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_GB2312" w:hAnsi="仿宋_GB2312" w:eastAsia="仿宋_GB2312" w:cs="仿宋_GB2312"/>
          <w:b/>
          <w:sz w:val="44"/>
          <w:szCs w:val="44"/>
        </w:rPr>
      </w:pPr>
      <w:bookmarkStart w:id="513" w:name="_GoBack"/>
      <w:bookmarkEnd w:id="513"/>
    </w:p>
    <w:p>
      <w:pPr>
        <w:adjustRightInd/>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杭州市公安局西湖风景名胜区分局</w:t>
      </w:r>
    </w:p>
    <w:p>
      <w:pPr>
        <w:adjustRightInd/>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景区人员综合管控提升项目</w:t>
      </w:r>
    </w:p>
    <w:p>
      <w:pPr>
        <w:adjustRightInd/>
        <w:spacing w:line="360" w:lineRule="auto"/>
        <w:jc w:val="center"/>
        <w:rPr>
          <w:rFonts w:hint="eastAsia" w:ascii="仿宋" w:hAnsi="仿宋" w:eastAsia="仿宋" w:cs="仿宋_GB2312"/>
          <w:b/>
          <w:sz w:val="72"/>
          <w:szCs w:val="72"/>
        </w:rPr>
      </w:pPr>
      <w:r>
        <w:rPr>
          <w:rFonts w:hint="eastAsia" w:ascii="仿宋" w:hAnsi="仿宋" w:eastAsia="仿宋" w:cs="仿宋_GB2312"/>
          <w:b/>
          <w:sz w:val="72"/>
          <w:szCs w:val="72"/>
        </w:rPr>
        <w:t>招标文件</w:t>
      </w:r>
    </w:p>
    <w:p>
      <w:pPr>
        <w:adjustRightInd/>
        <w:spacing w:line="360" w:lineRule="auto"/>
        <w:jc w:val="center"/>
        <w:rPr>
          <w:rFonts w:hint="eastAsia" w:ascii="仿宋" w:hAnsi="仿宋" w:eastAsia="仿宋" w:cs="仿宋_GB2312"/>
          <w:b/>
          <w:sz w:val="72"/>
          <w:szCs w:val="72"/>
        </w:rPr>
      </w:pPr>
    </w:p>
    <w:p>
      <w:pPr>
        <w:snapToGrid w:val="0"/>
        <w:spacing w:line="360" w:lineRule="auto"/>
        <w:ind w:firstLine="2680" w:firstLineChars="890"/>
        <w:rPr>
          <w:rFonts w:hint="eastAsia" w:ascii="仿宋" w:hAnsi="仿宋" w:eastAsia="仿宋" w:cs="仿宋_GB2312"/>
          <w:b/>
          <w:snapToGrid w:val="0"/>
          <w:color w:val="000000"/>
          <w:kern w:val="0"/>
          <w:sz w:val="30"/>
          <w:szCs w:val="30"/>
        </w:rPr>
      </w:pPr>
      <w:r>
        <w:rPr>
          <w:rFonts w:hint="eastAsia" w:ascii="仿宋" w:hAnsi="仿宋" w:eastAsia="仿宋" w:cs="仿宋_GB2312"/>
          <w:b/>
          <w:snapToGrid w:val="0"/>
          <w:color w:val="000000"/>
          <w:kern w:val="0"/>
          <w:sz w:val="30"/>
          <w:szCs w:val="30"/>
        </w:rPr>
        <w:t>采购方式：公开招标</w:t>
      </w:r>
    </w:p>
    <w:p>
      <w:pPr>
        <w:snapToGrid w:val="0"/>
        <w:spacing w:line="360" w:lineRule="auto"/>
        <w:ind w:firstLine="2680" w:firstLineChars="890"/>
        <w:rPr>
          <w:rFonts w:hint="eastAsia" w:ascii="仿宋" w:hAnsi="仿宋" w:eastAsia="仿宋" w:cs="仿宋_GB2312"/>
          <w:b/>
          <w:snapToGrid w:val="0"/>
          <w:color w:val="000000"/>
          <w:kern w:val="0"/>
          <w:sz w:val="30"/>
          <w:szCs w:val="30"/>
        </w:rPr>
      </w:pPr>
      <w:r>
        <w:rPr>
          <w:rFonts w:hint="eastAsia" w:ascii="仿宋" w:hAnsi="仿宋" w:eastAsia="仿宋" w:cs="仿宋_GB2312"/>
          <w:b/>
          <w:snapToGrid w:val="0"/>
          <w:color w:val="000000"/>
          <w:kern w:val="0"/>
          <w:sz w:val="30"/>
          <w:szCs w:val="30"/>
        </w:rPr>
        <w:t>招标编号：ZJZN-19216</w:t>
      </w:r>
    </w:p>
    <w:p>
      <w:pPr>
        <w:snapToGrid w:val="0"/>
        <w:spacing w:line="360" w:lineRule="auto"/>
        <w:rPr>
          <w:rFonts w:hint="eastAsia" w:ascii="仿宋" w:hAnsi="仿宋" w:eastAsia="仿宋" w:cs="仿宋_GB2312"/>
          <w:sz w:val="32"/>
          <w:szCs w:val="32"/>
        </w:rPr>
      </w:pPr>
    </w:p>
    <w:p>
      <w:pPr>
        <w:snapToGrid w:val="0"/>
        <w:spacing w:line="360" w:lineRule="auto"/>
        <w:rPr>
          <w:rFonts w:hint="eastAsia" w:ascii="仿宋" w:hAnsi="仿宋" w:eastAsia="仿宋" w:cs="仿宋_GB2312"/>
          <w:sz w:val="32"/>
          <w:szCs w:val="32"/>
        </w:rPr>
      </w:pPr>
    </w:p>
    <w:p>
      <w:pPr>
        <w:snapToGrid w:val="0"/>
        <w:spacing w:line="360" w:lineRule="auto"/>
        <w:rPr>
          <w:rFonts w:hint="eastAsia" w:ascii="仿宋" w:hAnsi="仿宋" w:eastAsia="仿宋" w:cs="仿宋_GB2312"/>
          <w:sz w:val="32"/>
          <w:szCs w:val="32"/>
        </w:rPr>
      </w:pPr>
    </w:p>
    <w:p>
      <w:pPr>
        <w:snapToGrid w:val="0"/>
        <w:spacing w:line="360" w:lineRule="auto"/>
        <w:rPr>
          <w:rFonts w:hint="eastAsia" w:ascii="仿宋" w:hAnsi="仿宋" w:eastAsia="仿宋" w:cs="仿宋_GB2312"/>
          <w:sz w:val="32"/>
          <w:szCs w:val="32"/>
        </w:rPr>
      </w:pPr>
    </w:p>
    <w:tbl>
      <w:tblPr>
        <w:tblStyle w:val="85"/>
        <w:tblW w:w="0" w:type="auto"/>
        <w:tblInd w:w="487" w:type="dxa"/>
        <w:tblLayout w:type="fixed"/>
        <w:tblCellMar>
          <w:top w:w="0" w:type="dxa"/>
          <w:left w:w="108" w:type="dxa"/>
          <w:bottom w:w="0" w:type="dxa"/>
          <w:right w:w="108" w:type="dxa"/>
        </w:tblCellMar>
      </w:tblPr>
      <w:tblGrid>
        <w:gridCol w:w="2391"/>
        <w:gridCol w:w="5027"/>
      </w:tblGrid>
      <w:tr>
        <w:tblPrEx>
          <w:tblCellMar>
            <w:top w:w="0" w:type="dxa"/>
            <w:left w:w="108" w:type="dxa"/>
            <w:bottom w:w="0" w:type="dxa"/>
            <w:right w:w="108" w:type="dxa"/>
          </w:tblCellMar>
        </w:tblPrEx>
        <w:trPr>
          <w:wBefore w:w="0" w:type="dxa"/>
          <w:wAfter w:w="0" w:type="dxa"/>
        </w:trPr>
        <w:tc>
          <w:tcPr>
            <w:tcW w:w="2391" w:type="dxa"/>
            <w:noWrap w:val="0"/>
            <w:vAlign w:val="top"/>
          </w:tcPr>
          <w:p>
            <w:pPr>
              <w:adjustRightInd/>
              <w:spacing w:line="360" w:lineRule="auto"/>
              <w:jc w:val="distribute"/>
              <w:rPr>
                <w:rFonts w:hint="eastAsia" w:ascii="仿宋" w:hAnsi="仿宋" w:eastAsia="仿宋" w:cs="仿宋_GB2312"/>
                <w:sz w:val="32"/>
                <w:szCs w:val="32"/>
              </w:rPr>
            </w:pPr>
            <w:r>
              <w:rPr>
                <w:rFonts w:hint="eastAsia" w:ascii="仿宋" w:hAnsi="仿宋" w:eastAsia="仿宋" w:cs="仿宋_GB2312"/>
                <w:sz w:val="32"/>
                <w:szCs w:val="32"/>
              </w:rPr>
              <w:t>采购人：</w:t>
            </w:r>
          </w:p>
        </w:tc>
        <w:tc>
          <w:tcPr>
            <w:tcW w:w="5027" w:type="dxa"/>
            <w:noWrap w:val="0"/>
            <w:vAlign w:val="top"/>
          </w:tcPr>
          <w:p>
            <w:pPr>
              <w:adjustRightInd/>
              <w:spacing w:line="360" w:lineRule="auto"/>
              <w:jc w:val="left"/>
              <w:rPr>
                <w:rFonts w:hint="eastAsia" w:ascii="仿宋" w:hAnsi="仿宋" w:eastAsia="仿宋" w:cs="仿宋_GB2312"/>
                <w:sz w:val="32"/>
                <w:szCs w:val="32"/>
              </w:rPr>
            </w:pPr>
            <w:r>
              <w:rPr>
                <w:rFonts w:hint="eastAsia" w:ascii="仿宋" w:hAnsi="仿宋" w:eastAsia="仿宋" w:cs="仿宋_GB2312"/>
                <w:sz w:val="32"/>
                <w:szCs w:val="32"/>
              </w:rPr>
              <w:t>杭州市公安局西湖风景名胜区分局</w:t>
            </w:r>
          </w:p>
        </w:tc>
      </w:tr>
      <w:tr>
        <w:tblPrEx>
          <w:tblCellMar>
            <w:top w:w="0" w:type="dxa"/>
            <w:left w:w="108" w:type="dxa"/>
            <w:bottom w:w="0" w:type="dxa"/>
            <w:right w:w="108" w:type="dxa"/>
          </w:tblCellMar>
        </w:tblPrEx>
        <w:trPr>
          <w:wBefore w:w="0" w:type="dxa"/>
        </w:trPr>
        <w:tc>
          <w:tcPr>
            <w:tcW w:w="2391" w:type="dxa"/>
            <w:noWrap w:val="0"/>
            <w:vAlign w:val="top"/>
          </w:tcPr>
          <w:p>
            <w:pPr>
              <w:adjustRightInd/>
              <w:spacing w:line="360" w:lineRule="auto"/>
              <w:jc w:val="distribute"/>
              <w:rPr>
                <w:rFonts w:hint="eastAsia" w:ascii="仿宋" w:hAnsi="仿宋" w:eastAsia="仿宋" w:cs="仿宋_GB2312"/>
                <w:sz w:val="32"/>
                <w:szCs w:val="32"/>
              </w:rPr>
            </w:pPr>
            <w:r>
              <w:rPr>
                <w:rFonts w:hint="eastAsia" w:ascii="仿宋" w:hAnsi="仿宋" w:eastAsia="仿宋" w:cs="仿宋_GB2312"/>
                <w:bCs/>
                <w:sz w:val="32"/>
                <w:szCs w:val="32"/>
              </w:rPr>
              <w:t>采购代理机构：</w:t>
            </w:r>
          </w:p>
        </w:tc>
        <w:tc>
          <w:tcPr>
            <w:tcW w:w="5027" w:type="dxa"/>
            <w:noWrap w:val="0"/>
            <w:vAlign w:val="top"/>
          </w:tcPr>
          <w:p>
            <w:pPr>
              <w:adjustRightInd/>
              <w:spacing w:line="360" w:lineRule="auto"/>
              <w:jc w:val="distribute"/>
              <w:rPr>
                <w:rFonts w:hint="eastAsia" w:ascii="仿宋" w:hAnsi="仿宋" w:eastAsia="仿宋" w:cs="仿宋_GB2312"/>
                <w:sz w:val="32"/>
                <w:szCs w:val="32"/>
              </w:rPr>
            </w:pPr>
            <w:r>
              <w:rPr>
                <w:rFonts w:hint="eastAsia" w:ascii="仿宋" w:hAnsi="仿宋" w:eastAsia="仿宋" w:cs="仿宋_GB2312"/>
                <w:bCs/>
                <w:sz w:val="32"/>
                <w:szCs w:val="32"/>
              </w:rPr>
              <w:t>浙江中诺招标代理有限公司</w:t>
            </w:r>
          </w:p>
        </w:tc>
      </w:tr>
      <w:tr>
        <w:tblPrEx>
          <w:tblCellMar>
            <w:top w:w="0" w:type="dxa"/>
            <w:left w:w="108" w:type="dxa"/>
            <w:bottom w:w="0" w:type="dxa"/>
            <w:right w:w="108" w:type="dxa"/>
          </w:tblCellMar>
        </w:tblPrEx>
        <w:trPr>
          <w:wBefore w:w="0" w:type="dxa"/>
        </w:trPr>
        <w:tc>
          <w:tcPr>
            <w:tcW w:w="2391" w:type="dxa"/>
            <w:noWrap w:val="0"/>
            <w:vAlign w:val="top"/>
          </w:tcPr>
          <w:p>
            <w:pPr>
              <w:adjustRightInd/>
              <w:spacing w:line="360" w:lineRule="auto"/>
              <w:jc w:val="distribute"/>
              <w:rPr>
                <w:rFonts w:hint="eastAsia" w:ascii="仿宋" w:hAnsi="仿宋" w:eastAsia="仿宋" w:cs="仿宋_GB2312"/>
                <w:sz w:val="32"/>
                <w:szCs w:val="32"/>
              </w:rPr>
            </w:pPr>
            <w:r>
              <w:rPr>
                <w:rFonts w:hint="eastAsia" w:ascii="仿宋" w:hAnsi="仿宋" w:eastAsia="仿宋" w:cs="仿宋_GB2312"/>
                <w:bCs/>
                <w:color w:val="000000"/>
                <w:sz w:val="32"/>
                <w:szCs w:val="32"/>
              </w:rPr>
              <w:t>日        期：</w:t>
            </w:r>
          </w:p>
        </w:tc>
        <w:tc>
          <w:tcPr>
            <w:tcW w:w="5027" w:type="dxa"/>
            <w:noWrap w:val="0"/>
            <w:vAlign w:val="top"/>
          </w:tcPr>
          <w:p>
            <w:pPr>
              <w:adjustRightInd/>
              <w:spacing w:line="360" w:lineRule="auto"/>
              <w:jc w:val="distribute"/>
              <w:rPr>
                <w:rFonts w:hint="eastAsia" w:ascii="仿宋" w:hAnsi="仿宋" w:eastAsia="仿宋" w:cs="仿宋_GB2312"/>
                <w:sz w:val="32"/>
                <w:szCs w:val="32"/>
              </w:rPr>
            </w:pPr>
            <w:r>
              <w:rPr>
                <w:rFonts w:hint="eastAsia" w:ascii="仿宋" w:hAnsi="仿宋" w:eastAsia="仿宋" w:cs="仿宋_GB2312"/>
                <w:bCs/>
                <w:color w:val="000000"/>
                <w:sz w:val="32"/>
                <w:szCs w:val="32"/>
              </w:rPr>
              <w:t>二○一九年六月三日</w:t>
            </w:r>
          </w:p>
        </w:tc>
      </w:tr>
    </w:tbl>
    <w:p>
      <w:pPr>
        <w:spacing w:line="360" w:lineRule="auto"/>
        <w:jc w:val="center"/>
        <w:rPr>
          <w:rFonts w:hint="eastAsia" w:ascii="仿宋_GB2312" w:hAnsi="仿宋_GB2312" w:eastAsia="仿宋_GB2312" w:cs="仿宋_GB2312"/>
          <w:sz w:val="24"/>
        </w:rPr>
        <w:sectPr>
          <w:footerReference r:id="rId4" w:type="first"/>
          <w:headerReference r:id="rId3" w:type="default"/>
          <w:pgSz w:w="11906" w:h="16838"/>
          <w:pgMar w:top="680" w:right="1418" w:bottom="468" w:left="1418" w:header="851" w:footer="992" w:gutter="0"/>
          <w:pgNumType w:start="1"/>
          <w:cols w:space="720" w:num="1"/>
          <w:docGrid w:linePitch="312" w:charSpace="0"/>
        </w:sectPr>
      </w:pPr>
      <w:bookmarkStart w:id="0" w:name="_Hlt67893495"/>
      <w:bookmarkEnd w:id="0"/>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 w:hAnsi="仿宋" w:eastAsia="仿宋" w:cs="仿宋_GB2312"/>
          <w:b/>
          <w:sz w:val="48"/>
          <w:szCs w:val="48"/>
        </w:rPr>
      </w:pPr>
      <w:r>
        <w:rPr>
          <w:rFonts w:hint="eastAsia" w:ascii="仿宋" w:hAnsi="仿宋" w:eastAsia="仿宋" w:cs="仿宋_GB2312"/>
          <w:b/>
          <w:sz w:val="48"/>
          <w:szCs w:val="48"/>
        </w:rPr>
        <w:t>目  录</w:t>
      </w:r>
    </w:p>
    <w:p>
      <w:pPr>
        <w:spacing w:line="360" w:lineRule="auto"/>
        <w:rPr>
          <w:rFonts w:hint="eastAsia" w:ascii="仿宋" w:hAnsi="仿宋" w:eastAsia="仿宋" w:cs="仿宋_GB2312"/>
          <w:sz w:val="32"/>
          <w:szCs w:val="32"/>
        </w:rPr>
      </w:pPr>
    </w:p>
    <w:p>
      <w:pPr>
        <w:spacing w:line="360" w:lineRule="auto"/>
        <w:rPr>
          <w:rFonts w:hint="eastAsia" w:ascii="仿宋" w:hAnsi="仿宋" w:eastAsia="仿宋" w:cs="仿宋_GB2312"/>
          <w:sz w:val="32"/>
          <w:szCs w:val="32"/>
        </w:rPr>
      </w:pP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第一部分      招标公告</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第二部分      投标人须知</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第三部分      采购需求</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第四部分      评标方法及评分标准</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第五部分      拟签订的合同文本</w:t>
      </w:r>
    </w:p>
    <w:p>
      <w:pPr>
        <w:spacing w:line="360" w:lineRule="auto"/>
        <w:ind w:firstLine="1280" w:firstLineChars="400"/>
        <w:rPr>
          <w:rFonts w:hint="eastAsia" w:ascii="仿宋" w:hAnsi="仿宋" w:eastAsia="仿宋" w:cs="仿宋_GB2312"/>
          <w:sz w:val="32"/>
          <w:szCs w:val="32"/>
        </w:rPr>
      </w:pPr>
      <w:r>
        <w:rPr>
          <w:rFonts w:hint="eastAsia" w:ascii="仿宋" w:hAnsi="仿宋" w:eastAsia="仿宋" w:cs="仿宋_GB2312"/>
          <w:sz w:val="32"/>
          <w:szCs w:val="32"/>
        </w:rPr>
        <w:t>第六部分      应提交的有关格式范例</w:t>
      </w:r>
    </w:p>
    <w:p>
      <w:pPr>
        <w:spacing w:line="360" w:lineRule="auto"/>
        <w:ind w:firstLine="549" w:firstLineChars="229"/>
        <w:rPr>
          <w:rFonts w:hint="eastAsia" w:ascii="仿宋" w:hAnsi="仿宋" w:eastAsia="仿宋" w:cs="仿宋_GB2312"/>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p>
      <w:pPr>
        <w:spacing w:line="360" w:lineRule="auto"/>
        <w:ind w:firstLine="549" w:firstLineChars="229"/>
        <w:rPr>
          <w:rFonts w:hint="eastAsia" w:ascii="仿宋_GB2312" w:hAnsi="仿宋_GB2312" w:eastAsia="仿宋_GB2312" w:cs="仿宋_GB2312"/>
          <w:sz w:val="24"/>
        </w:rPr>
      </w:pPr>
    </w:p>
    <w:bookmarkEnd w:id="2"/>
    <w:p>
      <w:pPr>
        <w:adjustRightInd/>
        <w:spacing w:line="360" w:lineRule="auto"/>
        <w:jc w:val="center"/>
        <w:outlineLvl w:val="0"/>
        <w:rPr>
          <w:rFonts w:hint="eastAsia" w:ascii="仿宋_GB2312" w:hAnsi="仿宋_GB2312" w:eastAsia="仿宋_GB2312" w:cs="仿宋_GB2312"/>
          <w:b/>
          <w:sz w:val="36"/>
          <w:szCs w:val="20"/>
        </w:rPr>
        <w:sectPr>
          <w:footerReference r:id="rId5" w:type="default"/>
          <w:pgSz w:w="11906" w:h="16838"/>
          <w:pgMar w:top="680" w:right="1418" w:bottom="468" w:left="1418" w:header="851" w:footer="992" w:gutter="0"/>
          <w:pgNumType w:start="1"/>
          <w:cols w:space="720" w:num="1"/>
          <w:docGrid w:linePitch="312" w:charSpace="0"/>
        </w:sectPr>
      </w:pPr>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p>
    <w:p>
      <w:pPr>
        <w:adjustRightInd/>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第一部分 招标公告</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浙江中诺招标代理有限公司（以下简称采购代理机构）受采购人杭州市公安局西湖风景名胜区分局的委托，就“杭州市公安局西湖风景名胜区分局景区人员综合管控提升项目”发布招标公告，邀请符合条件的供应商参加投标。具体如下：</w:t>
      </w:r>
    </w:p>
    <w:p>
      <w:pPr>
        <w:pStyle w:val="43"/>
        <w:spacing w:line="360" w:lineRule="auto"/>
        <w:ind w:firstLine="472" w:firstLineChars="196"/>
        <w:rPr>
          <w:rFonts w:hint="eastAsia" w:ascii="仿宋" w:hAnsi="仿宋" w:eastAsia="仿宋" w:cs="仿宋_GB2312"/>
          <w:sz w:val="24"/>
          <w:szCs w:val="24"/>
        </w:rPr>
      </w:pPr>
      <w:r>
        <w:rPr>
          <w:rFonts w:hint="eastAsia" w:ascii="仿宋" w:hAnsi="仿宋" w:eastAsia="仿宋" w:cs="仿宋_GB2312"/>
          <w:b/>
          <w:sz w:val="24"/>
          <w:szCs w:val="24"/>
        </w:rPr>
        <w:t>1、招标编号：</w:t>
      </w:r>
      <w:r>
        <w:rPr>
          <w:rFonts w:hint="eastAsia" w:ascii="仿宋" w:hAnsi="仿宋" w:eastAsia="仿宋" w:cs="仿宋_GB2312"/>
          <w:sz w:val="24"/>
          <w:szCs w:val="24"/>
        </w:rPr>
        <w:t>ZJZN-19216</w:t>
      </w:r>
    </w:p>
    <w:p>
      <w:pPr>
        <w:pStyle w:val="43"/>
        <w:spacing w:line="360" w:lineRule="auto"/>
        <w:ind w:firstLine="472" w:firstLineChars="196"/>
        <w:rPr>
          <w:rFonts w:hint="eastAsia" w:ascii="仿宋" w:hAnsi="仿宋" w:eastAsia="仿宋" w:cs="仿宋_GB2312"/>
          <w:sz w:val="24"/>
          <w:szCs w:val="24"/>
        </w:rPr>
      </w:pPr>
      <w:r>
        <w:rPr>
          <w:rFonts w:hint="eastAsia" w:ascii="仿宋" w:hAnsi="仿宋" w:eastAsia="仿宋" w:cs="仿宋_GB2312"/>
          <w:b/>
          <w:sz w:val="24"/>
          <w:szCs w:val="24"/>
        </w:rPr>
        <w:t>2、项目名称：</w:t>
      </w:r>
      <w:r>
        <w:rPr>
          <w:rFonts w:hint="eastAsia" w:ascii="仿宋" w:hAnsi="仿宋" w:eastAsia="仿宋" w:cs="仿宋_GB2312"/>
          <w:sz w:val="24"/>
          <w:szCs w:val="24"/>
        </w:rPr>
        <w:t>杭州市公安局西湖风景名胜区分局景区人员综合管控提升项目。</w:t>
      </w:r>
    </w:p>
    <w:p>
      <w:pPr>
        <w:pStyle w:val="43"/>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3、</w:t>
      </w:r>
      <w:r>
        <w:rPr>
          <w:rFonts w:hint="eastAsia" w:ascii="仿宋" w:hAnsi="仿宋" w:eastAsia="仿宋" w:cs="仿宋_GB2312"/>
          <w:b/>
          <w:sz w:val="24"/>
          <w:lang w:val="zh-CN"/>
        </w:rPr>
        <w:t>预算金额：</w:t>
      </w:r>
      <w:r>
        <w:rPr>
          <w:rFonts w:hint="eastAsia" w:ascii="仿宋" w:hAnsi="仿宋" w:eastAsia="仿宋" w:cs="仿宋_GB2312"/>
          <w:sz w:val="24"/>
        </w:rPr>
        <w:t>本项目采购预算不超过人民币</w:t>
      </w:r>
      <w:r>
        <w:rPr>
          <w:rFonts w:hint="eastAsia" w:ascii="仿宋" w:hAnsi="仿宋" w:eastAsia="仿宋" w:cs="仿宋_GB2312"/>
          <w:color w:val="FF0000"/>
          <w:sz w:val="24"/>
        </w:rPr>
        <w:t>784.85</w:t>
      </w:r>
      <w:r>
        <w:rPr>
          <w:rFonts w:hint="eastAsia" w:ascii="仿宋" w:hAnsi="仿宋" w:eastAsia="仿宋" w:cs="仿宋_GB2312"/>
          <w:sz w:val="24"/>
        </w:rPr>
        <w:t>万元。</w:t>
      </w:r>
    </w:p>
    <w:p>
      <w:pPr>
        <w:pStyle w:val="43"/>
        <w:spacing w:line="360" w:lineRule="auto"/>
        <w:ind w:firstLine="482" w:firstLineChars="200"/>
        <w:rPr>
          <w:rFonts w:hint="eastAsia" w:ascii="仿宋" w:hAnsi="仿宋" w:eastAsia="仿宋" w:cs="仿宋_GB2312"/>
          <w:sz w:val="24"/>
          <w:szCs w:val="24"/>
        </w:rPr>
      </w:pPr>
      <w:r>
        <w:rPr>
          <w:rFonts w:hint="eastAsia" w:ascii="仿宋" w:hAnsi="仿宋" w:eastAsia="仿宋" w:cs="仿宋_GB2312"/>
          <w:b/>
          <w:sz w:val="24"/>
          <w:szCs w:val="24"/>
        </w:rPr>
        <w:t>4、采购方式：</w:t>
      </w:r>
      <w:r>
        <w:rPr>
          <w:rFonts w:hint="eastAsia" w:ascii="仿宋" w:hAnsi="仿宋" w:eastAsia="仿宋" w:cs="仿宋_GB2312"/>
          <w:sz w:val="24"/>
          <w:szCs w:val="24"/>
        </w:rPr>
        <w:t>公开招标。</w:t>
      </w:r>
    </w:p>
    <w:p>
      <w:pPr>
        <w:pStyle w:val="78"/>
        <w:snapToGrid w:val="0"/>
        <w:spacing w:before="0" w:beforeAutospacing="0" w:after="0" w:afterAutospacing="0" w:line="360" w:lineRule="auto"/>
        <w:ind w:firstLine="472" w:firstLineChars="196"/>
        <w:rPr>
          <w:rFonts w:hint="eastAsia" w:ascii="仿宋" w:hAnsi="仿宋" w:eastAsia="仿宋" w:cs="仿宋_GB2312"/>
          <w:color w:val="000000"/>
        </w:rPr>
      </w:pPr>
      <w:r>
        <w:rPr>
          <w:rFonts w:hint="eastAsia" w:ascii="仿宋" w:hAnsi="仿宋" w:eastAsia="仿宋" w:cs="仿宋_GB2312"/>
          <w:b/>
        </w:rPr>
        <w:t>5、采购人的采购需求：</w:t>
      </w:r>
      <w:r>
        <w:rPr>
          <w:rFonts w:hint="eastAsia" w:ascii="仿宋" w:hAnsi="仿宋" w:eastAsia="仿宋"/>
        </w:rPr>
        <w:t>杭州市公安局西湖风景名胜区分局景区人员综合管控提升项目</w:t>
      </w:r>
      <w:r>
        <w:rPr>
          <w:rFonts w:hint="eastAsia" w:ascii="仿宋" w:hAnsi="仿宋" w:eastAsia="仿宋"/>
          <w:szCs w:val="20"/>
        </w:rPr>
        <w:t>，总体设计分为宏观人流量管控、特定人员微观管控、人脸识别，所有的数据通过展示平台一体化预警展现。</w:t>
      </w:r>
      <w:r>
        <w:rPr>
          <w:rFonts w:hint="eastAsia" w:ascii="仿宋" w:hAnsi="仿宋" w:eastAsia="仿宋"/>
          <w:b/>
          <w:szCs w:val="20"/>
        </w:rPr>
        <w:t>具体建设内容包括人脸识别系统建设、景区人员特征采集建设、数据管控与实战应用平台建设三大模块。</w:t>
      </w:r>
      <w:r>
        <w:rPr>
          <w:rFonts w:hint="eastAsia" w:ascii="仿宋" w:hAnsi="仿宋" w:eastAsia="仿宋"/>
          <w:szCs w:val="20"/>
        </w:rPr>
        <w:t>前端人脸识别系统与特征采集建设将提供景区人员管控相关业务数据的采集与初步融合计算，为实战应用提供数据支撑；数据管控与实战应用平台汇聚景区已有各类数据资源，通过建设多种数据分析模型与智能应用，为景区人员综合管控提供科学有效的实战信息与决策辅助</w:t>
      </w:r>
      <w:r>
        <w:rPr>
          <w:rFonts w:hint="eastAsia" w:ascii="仿宋" w:hAnsi="仿宋" w:eastAsia="仿宋"/>
          <w:b/>
          <w:szCs w:val="20"/>
        </w:rPr>
        <w:t>。</w:t>
      </w:r>
      <w:r>
        <w:rPr>
          <w:rFonts w:hint="eastAsia" w:ascii="仿宋" w:hAnsi="仿宋" w:eastAsia="仿宋"/>
          <w:szCs w:val="20"/>
        </w:rPr>
        <w:t>提供系统规划与设计、设备供货、安装调试、系统集成、运行维护、项目验收以及技术培训，</w:t>
      </w:r>
      <w:r>
        <w:rPr>
          <w:rFonts w:hint="eastAsia" w:ascii="仿宋" w:hAnsi="仿宋" w:eastAsia="仿宋"/>
          <w:color w:val="000000"/>
          <w:szCs w:val="20"/>
        </w:rPr>
        <w:t>并提供软件3年的7*24小时免费售后现场技术服务，硬件设备3年原厂服务等。详见招标文件。</w:t>
      </w:r>
    </w:p>
    <w:p>
      <w:pPr>
        <w:snapToGrid w:val="0"/>
        <w:spacing w:line="360" w:lineRule="auto"/>
        <w:ind w:firstLine="482" w:firstLineChars="200"/>
        <w:rPr>
          <w:rFonts w:hint="eastAsia" w:ascii="仿宋" w:hAnsi="仿宋" w:eastAsia="仿宋" w:cs="仿宋_GB2312"/>
          <w:sz w:val="24"/>
        </w:rPr>
      </w:pPr>
      <w:r>
        <w:rPr>
          <w:rFonts w:hint="eastAsia" w:ascii="仿宋" w:hAnsi="仿宋" w:eastAsia="仿宋" w:cs="仿宋_GB2312"/>
          <w:b/>
          <w:bCs/>
          <w:sz w:val="24"/>
        </w:rPr>
        <w:t>6、</w:t>
      </w:r>
      <w:r>
        <w:rPr>
          <w:rFonts w:hint="eastAsia" w:ascii="仿宋" w:hAnsi="仿宋" w:eastAsia="仿宋" w:cs="仿宋_GB2312"/>
          <w:b/>
          <w:sz w:val="24"/>
        </w:rPr>
        <w:t>需要落实的政府采购政策：包括保护环境、节约能源、促进中小企业发展等。详见招标文件的二部分总则。</w:t>
      </w:r>
    </w:p>
    <w:p>
      <w:pPr>
        <w:spacing w:line="360" w:lineRule="auto"/>
        <w:ind w:firstLine="475" w:firstLineChars="197"/>
        <w:rPr>
          <w:rFonts w:hint="eastAsia" w:ascii="仿宋" w:hAnsi="仿宋" w:eastAsia="仿宋" w:cs="仿宋_GB2312"/>
          <w:b/>
          <w:sz w:val="24"/>
        </w:rPr>
      </w:pPr>
      <w:r>
        <w:rPr>
          <w:rFonts w:hint="eastAsia" w:ascii="仿宋" w:hAnsi="仿宋" w:eastAsia="仿宋" w:cs="仿宋_GB2312"/>
          <w:b/>
          <w:sz w:val="24"/>
        </w:rPr>
        <w:t>7、投标人的资格要求：</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（1）基本条件：符合《中华人民共和国政府采购法》第二十二条第一款的规定；</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 xml:space="preserve">（2）特定条件： </w:t>
      </w:r>
      <w:r>
        <w:rPr>
          <w:rFonts w:hint="eastAsia" w:ascii="仿宋" w:hAnsi="仿宋" w:eastAsia="仿宋" w:cs="仿宋_GB2312"/>
          <w:kern w:val="0"/>
          <w:sz w:val="24"/>
        </w:rPr>
        <w:t>无。</w:t>
      </w:r>
    </w:p>
    <w:p>
      <w:pPr>
        <w:snapToGrid w:val="0"/>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8、本项目不接受联合体投标。</w:t>
      </w:r>
    </w:p>
    <w:p>
      <w:pPr>
        <w:spacing w:line="360" w:lineRule="auto"/>
        <w:ind w:firstLine="482" w:firstLineChars="200"/>
        <w:rPr>
          <w:rFonts w:hint="eastAsia" w:ascii="仿宋" w:hAnsi="仿宋" w:eastAsia="仿宋" w:cs="仿宋_GB2312"/>
          <w:b/>
          <w:snapToGrid w:val="0"/>
          <w:kern w:val="28"/>
          <w:sz w:val="24"/>
        </w:rPr>
      </w:pPr>
      <w:r>
        <w:rPr>
          <w:rFonts w:hint="eastAsia" w:ascii="仿宋" w:hAnsi="仿宋" w:eastAsia="仿宋" w:cs="仿宋_GB2312"/>
          <w:b/>
          <w:snapToGrid w:val="0"/>
          <w:kern w:val="28"/>
          <w:sz w:val="24"/>
        </w:rPr>
        <w:t>9、获取招标文件的时间期限、地点、方式及招标文件售价：</w:t>
      </w:r>
    </w:p>
    <w:p>
      <w:pPr>
        <w:pStyle w:val="78"/>
        <w:adjustRightInd/>
        <w:spacing w:before="0" w:beforeAutospacing="0" w:after="0" w:afterAutospacing="0" w:line="360" w:lineRule="auto"/>
        <w:ind w:firstLine="480" w:firstLineChars="200"/>
        <w:rPr>
          <w:rFonts w:hint="eastAsia" w:ascii="仿宋" w:hAnsi="仿宋" w:eastAsia="仿宋" w:cs="仿宋_GB2312"/>
        </w:rPr>
      </w:pPr>
      <w:r>
        <w:rPr>
          <w:rFonts w:hint="eastAsia" w:ascii="仿宋" w:hAnsi="仿宋" w:eastAsia="仿宋" w:cs="仿宋_GB2312"/>
        </w:rPr>
        <w:t>（1）时间期限：2019年6月3日至2019年6月11日</w:t>
      </w:r>
    </w:p>
    <w:p>
      <w:pPr>
        <w:pStyle w:val="78"/>
        <w:adjustRightInd/>
        <w:spacing w:before="0" w:beforeAutospacing="0" w:after="0" w:afterAutospacing="0" w:line="360" w:lineRule="auto"/>
        <w:ind w:firstLine="1181" w:firstLineChars="490"/>
        <w:rPr>
          <w:rFonts w:hint="eastAsia" w:ascii="仿宋" w:hAnsi="仿宋" w:eastAsia="仿宋" w:cs="仿宋_GB2312"/>
        </w:rPr>
      </w:pPr>
      <w:r>
        <w:rPr>
          <w:rStyle w:val="88"/>
          <w:rFonts w:hint="eastAsia" w:ascii="仿宋" w:hAnsi="仿宋" w:eastAsia="仿宋" w:cs="仿宋_GB2312"/>
        </w:rPr>
        <w:t>上午：</w:t>
      </w:r>
      <w:r>
        <w:rPr>
          <w:rStyle w:val="139"/>
          <w:rFonts w:hint="eastAsia" w:ascii="仿宋" w:hAnsi="仿宋" w:eastAsia="仿宋" w:cs="仿宋_GB2312"/>
        </w:rPr>
        <w:t>09:00-11:30</w:t>
      </w:r>
    </w:p>
    <w:p>
      <w:pPr>
        <w:pStyle w:val="78"/>
        <w:adjustRightInd/>
        <w:spacing w:before="0" w:beforeAutospacing="0" w:after="0" w:afterAutospacing="0" w:line="360" w:lineRule="auto"/>
        <w:ind w:firstLine="1181" w:firstLineChars="490"/>
        <w:rPr>
          <w:rFonts w:hint="eastAsia" w:ascii="仿宋" w:hAnsi="仿宋" w:eastAsia="仿宋" w:cs="仿宋_GB2312"/>
        </w:rPr>
      </w:pPr>
      <w:r>
        <w:rPr>
          <w:rStyle w:val="88"/>
          <w:rFonts w:hint="eastAsia" w:ascii="仿宋" w:hAnsi="仿宋" w:eastAsia="仿宋" w:cs="仿宋_GB2312"/>
        </w:rPr>
        <w:t>下午：</w:t>
      </w:r>
      <w:r>
        <w:rPr>
          <w:rStyle w:val="139"/>
          <w:rFonts w:hint="eastAsia" w:ascii="仿宋" w:hAnsi="仿宋" w:eastAsia="仿宋" w:cs="仿宋_GB2312"/>
        </w:rPr>
        <w:t>13:30-17:00</w:t>
      </w:r>
      <w:r>
        <w:rPr>
          <w:rFonts w:hint="eastAsia" w:ascii="仿宋" w:hAnsi="仿宋" w:eastAsia="仿宋" w:cs="仿宋_GB2312"/>
          <w:color w:val="333333"/>
        </w:rPr>
        <w:t>（双休日及法定节假日除外）</w:t>
      </w:r>
      <w:r>
        <w:rPr>
          <w:rFonts w:hint="eastAsia" w:ascii="仿宋" w:hAnsi="仿宋" w:eastAsia="仿宋" w:cs="仿宋_GB2312"/>
        </w:rPr>
        <w:t>；</w:t>
      </w:r>
    </w:p>
    <w:p>
      <w:pPr>
        <w:adjustRightInd/>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（2）地点：</w:t>
      </w:r>
      <w:r>
        <w:rPr>
          <w:rStyle w:val="139"/>
          <w:rFonts w:hint="eastAsia" w:ascii="仿宋" w:hAnsi="仿宋" w:eastAsia="仿宋" w:cs="仿宋_GB2312"/>
          <w:sz w:val="24"/>
        </w:rPr>
        <w:t>浙江中诺招标代理有限公司（杭州市下城区环城北路141号永通信息广场西楼10楼1002室）</w:t>
      </w:r>
      <w:r>
        <w:rPr>
          <w:rFonts w:hint="eastAsia" w:ascii="仿宋" w:hAnsi="仿宋" w:eastAsia="仿宋" w:cs="仿宋_GB2312"/>
          <w:sz w:val="24"/>
        </w:rPr>
        <w:t>；</w:t>
      </w:r>
    </w:p>
    <w:p>
      <w:pPr>
        <w:adjustRightInd/>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（3）方式：</w:t>
      </w:r>
      <w:r>
        <w:rPr>
          <w:rFonts w:hint="eastAsia" w:ascii="仿宋" w:hAnsi="仿宋" w:eastAsia="仿宋" w:cs="仿宋_GB2312"/>
          <w:b/>
          <w:snapToGrid w:val="0"/>
          <w:sz w:val="24"/>
        </w:rPr>
        <w:t>线下购买</w:t>
      </w:r>
      <w:r>
        <w:rPr>
          <w:rFonts w:hint="eastAsia" w:ascii="仿宋" w:hAnsi="仿宋" w:eastAsia="仿宋" w:cs="仿宋_GB2312"/>
          <w:sz w:val="24"/>
        </w:rPr>
        <w:t>；</w:t>
      </w:r>
    </w:p>
    <w:p>
      <w:pPr>
        <w:pStyle w:val="78"/>
        <w:adjustRightInd/>
        <w:spacing w:before="0" w:beforeAutospacing="0" w:after="0" w:afterAutospacing="0" w:line="360" w:lineRule="auto"/>
        <w:ind w:firstLine="480" w:firstLineChars="200"/>
        <w:rPr>
          <w:rFonts w:hint="eastAsia" w:ascii="仿宋" w:hAnsi="仿宋" w:eastAsia="仿宋" w:cs="仿宋_GB2312"/>
        </w:rPr>
      </w:pPr>
      <w:r>
        <w:rPr>
          <w:rFonts w:hint="eastAsia" w:ascii="仿宋" w:hAnsi="仿宋" w:eastAsia="仿宋" w:cs="仿宋_GB2312"/>
        </w:rPr>
        <w:t>（4）售价</w:t>
      </w:r>
      <w:r>
        <w:rPr>
          <w:rStyle w:val="88"/>
          <w:rFonts w:hint="eastAsia" w:ascii="仿宋" w:hAnsi="仿宋" w:eastAsia="仿宋" w:cs="仿宋_GB2312"/>
          <w:b w:val="0"/>
          <w:bCs w:val="0"/>
        </w:rPr>
        <w:t>(元)：</w:t>
      </w:r>
      <w:r>
        <w:rPr>
          <w:rStyle w:val="139"/>
          <w:rFonts w:hint="eastAsia" w:ascii="仿宋" w:hAnsi="仿宋" w:eastAsia="仿宋" w:cs="仿宋_GB2312"/>
        </w:rPr>
        <w:t>500.00；</w:t>
      </w:r>
    </w:p>
    <w:p>
      <w:pPr>
        <w:pStyle w:val="78"/>
        <w:adjustRightInd/>
        <w:spacing w:before="0" w:beforeAutospacing="0" w:after="0" w:afterAutospacing="0" w:line="360" w:lineRule="auto"/>
        <w:ind w:firstLine="480" w:firstLineChars="200"/>
        <w:rPr>
          <w:rFonts w:hint="eastAsia" w:ascii="仿宋" w:hAnsi="仿宋" w:eastAsia="仿宋" w:cs="仿宋_GB2312"/>
        </w:rPr>
      </w:pPr>
      <w:r>
        <w:rPr>
          <w:rFonts w:hint="eastAsia" w:ascii="仿宋" w:hAnsi="仿宋" w:eastAsia="仿宋" w:cs="仿宋_GB2312"/>
        </w:rPr>
        <w:t>（5）供应商获取招标文件时须提交的文件资料：</w:t>
      </w:r>
      <w:r>
        <w:rPr>
          <w:rFonts w:hint="eastAsia" w:ascii="仿宋" w:hAnsi="仿宋" w:eastAsia="仿宋" w:cs="仿宋_GB2312"/>
          <w:lang w:val="zh-CN"/>
        </w:rPr>
        <w:t>有效的营业执照复印件、法定代表人委托书或介绍信、</w:t>
      </w:r>
      <w:r>
        <w:rPr>
          <w:rFonts w:hint="eastAsia" w:ascii="仿宋" w:hAnsi="仿宋" w:eastAsia="仿宋" w:cs="仿宋_GB2312"/>
        </w:rPr>
        <w:t>被授权人身份证复印件和社保交纳证明复印件、</w:t>
      </w:r>
      <w:r>
        <w:rPr>
          <w:rFonts w:hint="eastAsia" w:ascii="仿宋" w:hAnsi="仿宋" w:eastAsia="仿宋" w:cs="仿宋_GB2312"/>
          <w:lang w:val="zh-CN"/>
        </w:rPr>
        <w:t>相关资质证书等</w:t>
      </w:r>
      <w:r>
        <w:rPr>
          <w:rStyle w:val="139"/>
          <w:rFonts w:hint="eastAsia" w:ascii="仿宋" w:hAnsi="仿宋" w:eastAsia="仿宋" w:cs="仿宋_GB2312"/>
        </w:rPr>
        <w:t>（均需加盖公章）</w:t>
      </w:r>
      <w:r>
        <w:rPr>
          <w:rFonts w:hint="eastAsia" w:ascii="仿宋" w:hAnsi="仿宋" w:eastAsia="仿宋" w:cs="仿宋_GB2312"/>
        </w:rPr>
        <w:t>；</w:t>
      </w:r>
    </w:p>
    <w:p>
      <w:pPr>
        <w:adjustRightInd/>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（6）提示：</w:t>
      </w:r>
    </w:p>
    <w:p>
      <w:pPr>
        <w:adjustRightInd/>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napToGrid w:val="0"/>
          <w:kern w:val="0"/>
          <w:sz w:val="24"/>
        </w:rPr>
        <w:t>采购代理机构将拒绝接受非报名供应商的投标文件。投标人未按上述方式获取的招标文件与采购代理机构发布的招标文件不一致的，由其自行承担由此产生的后果</w:t>
      </w:r>
      <w:r>
        <w:rPr>
          <w:rFonts w:hint="eastAsia" w:ascii="仿宋" w:hAnsi="仿宋" w:eastAsia="仿宋" w:cs="仿宋_GB2312"/>
          <w:sz w:val="24"/>
        </w:rPr>
        <w:t>。</w:t>
      </w:r>
    </w:p>
    <w:p>
      <w:pPr>
        <w:widowControl/>
        <w:adjustRightInd/>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2）获取招标文件的时间期限截止之日之后有潜在供应商提出获取招标文件的，采购代理机构将允许其获取，但该供应商如对招标文件有异议的，应于自采购文件公告期限届满之日起七个工作日内且在投标截止时间之前以书面形式向采购代理机构提出。</w:t>
      </w:r>
    </w:p>
    <w:p>
      <w:pPr>
        <w:widowControl/>
        <w:adjustRightInd/>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3）标前会：有。详见招标文件。</w:t>
      </w:r>
    </w:p>
    <w:p>
      <w:pPr>
        <w:pStyle w:val="19"/>
        <w:adjustRightInd/>
        <w:snapToGrid/>
        <w:spacing w:line="360" w:lineRule="auto"/>
        <w:ind w:firstLine="482" w:firstLineChars="200"/>
        <w:rPr>
          <w:rFonts w:hint="eastAsia" w:ascii="仿宋" w:hAnsi="仿宋" w:eastAsia="仿宋" w:cs="仿宋_GB2312"/>
          <w:color w:val="auto"/>
          <w:sz w:val="24"/>
          <w:szCs w:val="24"/>
        </w:rPr>
      </w:pPr>
      <w:r>
        <w:rPr>
          <w:rFonts w:hint="eastAsia" w:ascii="仿宋" w:hAnsi="仿宋" w:eastAsia="仿宋" w:cs="仿宋_GB2312"/>
          <w:b/>
          <w:color w:val="auto"/>
          <w:sz w:val="24"/>
          <w:szCs w:val="24"/>
        </w:rPr>
        <w:t>10、投标截止时间与地点：</w:t>
      </w:r>
      <w:r>
        <w:rPr>
          <w:rFonts w:hint="eastAsia" w:ascii="仿宋" w:hAnsi="仿宋" w:eastAsia="仿宋" w:cs="仿宋_GB2312"/>
          <w:color w:val="auto"/>
          <w:sz w:val="24"/>
          <w:szCs w:val="24"/>
        </w:rPr>
        <w:t>2019年6月 24 日下午13时30分，地点：</w:t>
      </w:r>
      <w:r>
        <w:rPr>
          <w:rStyle w:val="139"/>
          <w:rFonts w:hint="eastAsia" w:ascii="仿宋" w:hAnsi="仿宋" w:eastAsia="仿宋" w:cs="仿宋_GB2312"/>
          <w:sz w:val="24"/>
          <w:szCs w:val="24"/>
        </w:rPr>
        <w:t>浙江中诺招标代理有限公司（杭州市下城区环城北路141号永通信息广场西楼10楼）会议室</w:t>
      </w:r>
      <w:r>
        <w:rPr>
          <w:rFonts w:hint="eastAsia" w:ascii="仿宋" w:hAnsi="仿宋" w:eastAsia="仿宋" w:cs="仿宋_GB2312"/>
          <w:color w:val="auto"/>
          <w:sz w:val="24"/>
          <w:szCs w:val="24"/>
        </w:rPr>
        <w:t>。</w:t>
      </w:r>
    </w:p>
    <w:p>
      <w:pPr>
        <w:pStyle w:val="19"/>
        <w:adjustRightInd/>
        <w:snapToGrid/>
        <w:spacing w:line="360" w:lineRule="auto"/>
        <w:ind w:firstLine="482" w:firstLineChars="200"/>
        <w:rPr>
          <w:rFonts w:hint="eastAsia" w:ascii="仿宋" w:hAnsi="仿宋" w:eastAsia="仿宋" w:cs="仿宋_GB2312"/>
          <w:color w:val="auto"/>
          <w:sz w:val="24"/>
          <w:szCs w:val="24"/>
        </w:rPr>
      </w:pPr>
      <w:r>
        <w:rPr>
          <w:rFonts w:hint="eastAsia" w:ascii="仿宋" w:hAnsi="仿宋" w:eastAsia="仿宋" w:cs="仿宋_GB2312"/>
          <w:b/>
          <w:color w:val="auto"/>
          <w:sz w:val="24"/>
          <w:szCs w:val="24"/>
        </w:rPr>
        <w:t>11、开标时间与地点：投标截止时间与地点：</w:t>
      </w:r>
      <w:r>
        <w:rPr>
          <w:rFonts w:hint="eastAsia" w:ascii="仿宋" w:hAnsi="仿宋" w:eastAsia="仿宋" w:cs="仿宋_GB2312"/>
          <w:color w:val="auto"/>
          <w:sz w:val="24"/>
          <w:szCs w:val="24"/>
        </w:rPr>
        <w:t>2019年6月24日下午13时30分，地点：</w:t>
      </w:r>
      <w:r>
        <w:rPr>
          <w:rStyle w:val="139"/>
          <w:rFonts w:hint="eastAsia" w:ascii="仿宋" w:hAnsi="仿宋" w:eastAsia="仿宋" w:cs="仿宋_GB2312"/>
          <w:sz w:val="24"/>
          <w:szCs w:val="24"/>
        </w:rPr>
        <w:t>浙江中诺招标代理有限公司（杭州市下城区环城北路141号永通信息广场西楼10楼）会议室</w:t>
      </w:r>
      <w:r>
        <w:rPr>
          <w:rFonts w:hint="eastAsia" w:ascii="仿宋" w:hAnsi="仿宋" w:eastAsia="仿宋" w:cs="仿宋_GB2312"/>
          <w:color w:val="auto"/>
          <w:sz w:val="24"/>
          <w:szCs w:val="24"/>
        </w:rPr>
        <w:t>。</w:t>
      </w:r>
    </w:p>
    <w:p>
      <w:pPr>
        <w:pStyle w:val="19"/>
        <w:adjustRightInd/>
        <w:snapToGrid/>
        <w:spacing w:line="360" w:lineRule="auto"/>
        <w:ind w:firstLine="482" w:firstLineChars="200"/>
        <w:rPr>
          <w:rFonts w:hint="eastAsia" w:ascii="仿宋" w:hAnsi="仿宋" w:eastAsia="仿宋" w:cs="仿宋_GB2312"/>
          <w:b/>
          <w:color w:val="auto"/>
          <w:sz w:val="24"/>
          <w:szCs w:val="24"/>
        </w:rPr>
      </w:pPr>
      <w:r>
        <w:rPr>
          <w:rFonts w:hint="eastAsia" w:ascii="仿宋" w:hAnsi="仿宋" w:eastAsia="仿宋" w:cs="仿宋_GB2312"/>
          <w:b/>
          <w:color w:val="auto"/>
          <w:sz w:val="24"/>
          <w:szCs w:val="24"/>
        </w:rPr>
        <w:t>12、投标保证金：</w:t>
      </w:r>
    </w:p>
    <w:p>
      <w:pPr>
        <w:pStyle w:val="43"/>
        <w:adjustRightInd/>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不需缴纳。</w:t>
      </w:r>
    </w:p>
    <w:p>
      <w:pPr>
        <w:pStyle w:val="43"/>
        <w:adjustRightInd/>
        <w:spacing w:line="360" w:lineRule="auto"/>
        <w:ind w:firstLine="482" w:firstLineChars="200"/>
        <w:rPr>
          <w:rFonts w:hint="eastAsia" w:ascii="仿宋" w:hAnsi="仿宋" w:eastAsia="仿宋" w:cs="仿宋_GB2312"/>
          <w:b/>
          <w:sz w:val="24"/>
          <w:szCs w:val="24"/>
        </w:rPr>
      </w:pPr>
      <w:r>
        <w:rPr>
          <w:rFonts w:hint="eastAsia" w:ascii="仿宋" w:hAnsi="仿宋" w:eastAsia="仿宋" w:cs="仿宋_GB2312"/>
          <w:b/>
          <w:sz w:val="24"/>
          <w:szCs w:val="24"/>
        </w:rPr>
        <w:t>13、采购人、采购代理机构：</w:t>
      </w:r>
    </w:p>
    <w:p>
      <w:pPr>
        <w:pStyle w:val="78"/>
        <w:adjustRightInd/>
        <w:spacing w:before="0" w:beforeAutospacing="0" w:after="0" w:afterAutospacing="0" w:line="360" w:lineRule="auto"/>
        <w:ind w:firstLine="480" w:firstLineChars="200"/>
        <w:rPr>
          <w:rFonts w:hint="eastAsia" w:ascii="仿宋" w:hAnsi="仿宋" w:eastAsia="仿宋" w:cs="仿宋_GB2312"/>
        </w:rPr>
      </w:pPr>
      <w:r>
        <w:rPr>
          <w:rFonts w:hint="eastAsia" w:ascii="仿宋" w:hAnsi="仿宋" w:eastAsia="仿宋" w:cs="仿宋_GB2312"/>
        </w:rPr>
        <w:t>（1）</w:t>
      </w:r>
      <w:r>
        <w:rPr>
          <w:rStyle w:val="88"/>
          <w:rFonts w:hint="eastAsia" w:ascii="仿宋" w:hAnsi="仿宋" w:eastAsia="仿宋" w:cs="仿宋_GB2312"/>
        </w:rPr>
        <w:t>采购代理机构：</w:t>
      </w:r>
      <w:r>
        <w:rPr>
          <w:rStyle w:val="139"/>
          <w:rFonts w:hint="eastAsia" w:ascii="仿宋" w:hAnsi="仿宋" w:eastAsia="仿宋" w:cs="仿宋_GB2312"/>
        </w:rPr>
        <w:t>浙江中诺招标代理有限公司</w:t>
      </w:r>
    </w:p>
    <w:p>
      <w:pPr>
        <w:pStyle w:val="78"/>
        <w:adjustRightInd/>
        <w:spacing w:before="0" w:beforeAutospacing="0" w:after="0" w:afterAutospacing="0" w:line="360" w:lineRule="auto"/>
        <w:ind w:firstLine="482" w:firstLineChars="200"/>
        <w:rPr>
          <w:rFonts w:hint="eastAsia" w:ascii="仿宋" w:hAnsi="仿宋" w:eastAsia="仿宋" w:cs="仿宋_GB2312"/>
        </w:rPr>
      </w:pPr>
      <w:r>
        <w:rPr>
          <w:rStyle w:val="88"/>
          <w:rFonts w:hint="eastAsia" w:ascii="仿宋" w:hAnsi="仿宋" w:eastAsia="仿宋" w:cs="仿宋_GB2312"/>
        </w:rPr>
        <w:t>联系人：</w:t>
      </w:r>
      <w:r>
        <w:rPr>
          <w:rFonts w:hint="eastAsia" w:ascii="仿宋" w:hAnsi="仿宋" w:eastAsia="仿宋" w:cs="仿宋_GB2312"/>
        </w:rPr>
        <w:t>周伶、韦妍睿</w:t>
      </w:r>
    </w:p>
    <w:p>
      <w:pPr>
        <w:pStyle w:val="78"/>
        <w:adjustRightInd/>
        <w:spacing w:before="0" w:beforeAutospacing="0" w:after="0" w:afterAutospacing="0" w:line="360" w:lineRule="auto"/>
        <w:ind w:firstLine="482" w:firstLineChars="200"/>
        <w:rPr>
          <w:rFonts w:hint="eastAsia" w:ascii="仿宋" w:hAnsi="仿宋" w:eastAsia="仿宋" w:cs="仿宋_GB2312"/>
        </w:rPr>
      </w:pPr>
      <w:r>
        <w:rPr>
          <w:rStyle w:val="88"/>
          <w:rFonts w:hint="eastAsia" w:ascii="仿宋" w:hAnsi="仿宋" w:eastAsia="仿宋" w:cs="仿宋_GB2312"/>
        </w:rPr>
        <w:t>联系电话：</w:t>
      </w:r>
      <w:r>
        <w:rPr>
          <w:rStyle w:val="139"/>
          <w:rFonts w:hint="eastAsia" w:ascii="仿宋" w:hAnsi="仿宋" w:eastAsia="仿宋" w:cs="仿宋_GB2312"/>
        </w:rPr>
        <w:t>0571-88821402-823</w:t>
      </w:r>
    </w:p>
    <w:p>
      <w:pPr>
        <w:pStyle w:val="78"/>
        <w:adjustRightInd/>
        <w:spacing w:before="0" w:beforeAutospacing="0" w:after="0" w:afterAutospacing="0" w:line="360" w:lineRule="auto"/>
        <w:ind w:firstLine="482" w:firstLineChars="200"/>
        <w:rPr>
          <w:rFonts w:hint="eastAsia" w:ascii="仿宋" w:hAnsi="仿宋" w:eastAsia="仿宋" w:cs="仿宋_GB2312"/>
        </w:rPr>
      </w:pPr>
      <w:r>
        <w:rPr>
          <w:rStyle w:val="88"/>
          <w:rFonts w:hint="eastAsia" w:ascii="仿宋" w:hAnsi="仿宋" w:eastAsia="仿宋" w:cs="仿宋_GB2312"/>
        </w:rPr>
        <w:t>传真：</w:t>
      </w:r>
      <w:r>
        <w:rPr>
          <w:rStyle w:val="139"/>
          <w:rFonts w:hint="eastAsia" w:ascii="仿宋" w:hAnsi="仿宋" w:eastAsia="仿宋" w:cs="仿宋_GB2312"/>
        </w:rPr>
        <w:t>0571-88821402-820</w:t>
      </w:r>
    </w:p>
    <w:p>
      <w:pPr>
        <w:pStyle w:val="78"/>
        <w:adjustRightInd/>
        <w:spacing w:before="0" w:beforeAutospacing="0" w:after="0" w:afterAutospacing="0" w:line="360" w:lineRule="auto"/>
        <w:ind w:firstLine="482" w:firstLineChars="200"/>
        <w:rPr>
          <w:rFonts w:hint="eastAsia" w:ascii="仿宋" w:hAnsi="仿宋" w:eastAsia="仿宋" w:cs="仿宋_GB2312"/>
        </w:rPr>
      </w:pPr>
      <w:r>
        <w:rPr>
          <w:rStyle w:val="88"/>
          <w:rFonts w:hint="eastAsia" w:ascii="仿宋" w:hAnsi="仿宋" w:eastAsia="仿宋" w:cs="仿宋_GB2312"/>
        </w:rPr>
        <w:t>地址：</w:t>
      </w:r>
      <w:r>
        <w:rPr>
          <w:rStyle w:val="139"/>
          <w:rFonts w:hint="eastAsia" w:ascii="仿宋" w:hAnsi="仿宋" w:eastAsia="仿宋" w:cs="仿宋_GB2312"/>
        </w:rPr>
        <w:t>杭州市下城区环城北路141号永通信息广场西楼10楼1002室</w:t>
      </w:r>
    </w:p>
    <w:p>
      <w:pPr>
        <w:pStyle w:val="78"/>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cs="仿宋_GB2312"/>
        </w:rPr>
        <w:t>（2）</w:t>
      </w:r>
      <w:r>
        <w:rPr>
          <w:rStyle w:val="88"/>
          <w:rFonts w:ascii="仿宋" w:hAnsi="仿宋" w:eastAsia="仿宋"/>
        </w:rPr>
        <w:t>采购人名称：</w:t>
      </w:r>
      <w:r>
        <w:rPr>
          <w:rStyle w:val="139"/>
          <w:rFonts w:ascii="仿宋" w:hAnsi="仿宋" w:eastAsia="仿宋"/>
          <w:szCs w:val="24"/>
        </w:rPr>
        <w:t>杭州市公安局西湖风景名胜区分局</w:t>
      </w:r>
    </w:p>
    <w:p>
      <w:pPr>
        <w:pStyle w:val="78"/>
        <w:snapToGrid w:val="0"/>
        <w:spacing w:before="0" w:beforeAutospacing="0" w:after="0" w:afterAutospacing="0" w:line="360" w:lineRule="auto"/>
        <w:ind w:firstLine="472" w:firstLineChars="196"/>
        <w:rPr>
          <w:rFonts w:ascii="仿宋" w:hAnsi="仿宋" w:eastAsia="仿宋"/>
        </w:rPr>
      </w:pPr>
      <w:r>
        <w:rPr>
          <w:rStyle w:val="88"/>
          <w:rFonts w:ascii="仿宋" w:hAnsi="仿宋" w:eastAsia="仿宋"/>
        </w:rPr>
        <w:t>联系人：</w:t>
      </w:r>
      <w:r>
        <w:rPr>
          <w:rStyle w:val="139"/>
          <w:rFonts w:hint="eastAsia" w:ascii="仿宋" w:hAnsi="仿宋" w:eastAsia="仿宋"/>
          <w:szCs w:val="24"/>
        </w:rPr>
        <w:t>王</w:t>
      </w:r>
      <w:r>
        <w:rPr>
          <w:rStyle w:val="139"/>
          <w:rFonts w:ascii="仿宋" w:hAnsi="仿宋" w:eastAsia="仿宋"/>
          <w:szCs w:val="24"/>
        </w:rPr>
        <w:t>镭</w:t>
      </w:r>
    </w:p>
    <w:p>
      <w:pPr>
        <w:pStyle w:val="78"/>
        <w:snapToGrid w:val="0"/>
        <w:spacing w:before="0" w:beforeAutospacing="0" w:after="0" w:afterAutospacing="0" w:line="360" w:lineRule="auto"/>
        <w:ind w:firstLine="472" w:firstLineChars="196"/>
        <w:rPr>
          <w:rFonts w:ascii="仿宋" w:hAnsi="仿宋" w:eastAsia="仿宋"/>
        </w:rPr>
      </w:pPr>
      <w:r>
        <w:rPr>
          <w:rStyle w:val="88"/>
          <w:rFonts w:ascii="仿宋" w:hAnsi="仿宋" w:eastAsia="仿宋"/>
        </w:rPr>
        <w:t>联系电话：</w:t>
      </w:r>
      <w:r>
        <w:rPr>
          <w:rStyle w:val="139"/>
          <w:rFonts w:ascii="仿宋" w:hAnsi="仿宋" w:eastAsia="仿宋"/>
          <w:szCs w:val="24"/>
        </w:rPr>
        <w:t>0571-</w:t>
      </w:r>
      <w:r>
        <w:rPr>
          <w:rFonts w:hint="eastAsia" w:ascii="仿宋" w:hAnsi="仿宋" w:eastAsia="仿宋"/>
          <w:color w:val="333333"/>
        </w:rPr>
        <w:t>87285511</w:t>
      </w:r>
    </w:p>
    <w:p>
      <w:pPr>
        <w:pStyle w:val="78"/>
        <w:snapToGrid w:val="0"/>
        <w:spacing w:before="0" w:beforeAutospacing="0" w:after="0" w:afterAutospacing="0" w:line="360" w:lineRule="auto"/>
        <w:ind w:firstLine="472" w:firstLineChars="196"/>
        <w:rPr>
          <w:rFonts w:ascii="仿宋" w:hAnsi="仿宋" w:eastAsia="仿宋"/>
        </w:rPr>
      </w:pPr>
      <w:r>
        <w:rPr>
          <w:rStyle w:val="88"/>
          <w:rFonts w:ascii="仿宋" w:hAnsi="仿宋" w:eastAsia="仿宋"/>
        </w:rPr>
        <w:t>传真：</w:t>
      </w:r>
      <w:r>
        <w:rPr>
          <w:rStyle w:val="139"/>
          <w:rFonts w:ascii="仿宋" w:hAnsi="仿宋" w:eastAsia="仿宋"/>
          <w:szCs w:val="24"/>
        </w:rPr>
        <w:t>0571-</w:t>
      </w:r>
      <w:r>
        <w:rPr>
          <w:rFonts w:hint="eastAsia" w:ascii="仿宋" w:hAnsi="仿宋" w:eastAsia="仿宋"/>
          <w:color w:val="333333"/>
        </w:rPr>
        <w:t>87285533</w:t>
      </w:r>
    </w:p>
    <w:p>
      <w:pPr>
        <w:pStyle w:val="78"/>
        <w:snapToGrid w:val="0"/>
        <w:spacing w:before="0" w:beforeAutospacing="0" w:after="0" w:afterAutospacing="0" w:line="360" w:lineRule="auto"/>
        <w:ind w:firstLine="472" w:firstLineChars="196"/>
        <w:rPr>
          <w:rFonts w:hint="eastAsia" w:ascii="仿宋" w:hAnsi="仿宋" w:eastAsia="仿宋"/>
        </w:rPr>
      </w:pPr>
      <w:r>
        <w:rPr>
          <w:rStyle w:val="88"/>
          <w:rFonts w:ascii="仿宋" w:hAnsi="仿宋" w:eastAsia="仿宋"/>
        </w:rPr>
        <w:t>地址：</w:t>
      </w:r>
      <w:r>
        <w:rPr>
          <w:rStyle w:val="139"/>
          <w:rFonts w:ascii="仿宋" w:hAnsi="仿宋" w:eastAsia="仿宋"/>
          <w:szCs w:val="24"/>
        </w:rPr>
        <w:t>杭州市</w:t>
      </w:r>
      <w:r>
        <w:rPr>
          <w:rFonts w:hint="eastAsia" w:ascii="仿宋" w:hAnsi="仿宋" w:eastAsia="仿宋"/>
          <w:color w:val="333333"/>
        </w:rPr>
        <w:t>虎跑路32号</w:t>
      </w:r>
    </w:p>
    <w:p>
      <w:pPr>
        <w:widowControl/>
        <w:adjustRightInd/>
        <w:spacing w:line="360" w:lineRule="auto"/>
        <w:ind w:firstLine="480" w:firstLineChars="200"/>
        <w:jc w:val="left"/>
        <w:rPr>
          <w:rFonts w:hint="eastAsia" w:ascii="仿宋" w:hAnsi="仿宋" w:eastAsia="仿宋" w:cs="仿宋_GB2312"/>
          <w:b/>
          <w:snapToGrid w:val="0"/>
          <w:kern w:val="0"/>
          <w:sz w:val="24"/>
        </w:rPr>
      </w:pPr>
      <w:r>
        <w:rPr>
          <w:rFonts w:hint="eastAsia" w:ascii="仿宋" w:hAnsi="仿宋" w:eastAsia="仿宋" w:cs="仿宋_GB2312"/>
          <w:sz w:val="24"/>
        </w:rPr>
        <w:t>（3）</w:t>
      </w:r>
      <w:r>
        <w:rPr>
          <w:rFonts w:hint="eastAsia" w:ascii="仿宋" w:hAnsi="仿宋" w:eastAsia="仿宋" w:cs="仿宋_GB2312"/>
          <w:b/>
          <w:snapToGrid w:val="0"/>
          <w:kern w:val="0"/>
          <w:sz w:val="24"/>
        </w:rPr>
        <w:t>同级政府采购监督管理部门</w:t>
      </w:r>
    </w:p>
    <w:p>
      <w:pPr>
        <w:widowControl/>
        <w:shd w:val="clear" w:color="auto" w:fill="FFFFFF"/>
        <w:snapToGrid w:val="0"/>
        <w:spacing w:line="360" w:lineRule="auto"/>
        <w:ind w:firstLine="482" w:firstLineChars="200"/>
        <w:jc w:val="left"/>
        <w:rPr>
          <w:rFonts w:ascii="仿宋" w:hAnsi="仿宋" w:eastAsia="仿宋" w:cs="宋体"/>
          <w:color w:val="333333"/>
          <w:kern w:val="0"/>
          <w:sz w:val="24"/>
        </w:rPr>
      </w:pPr>
      <w:r>
        <w:rPr>
          <w:rFonts w:hint="eastAsia" w:ascii="仿宋" w:hAnsi="仿宋" w:eastAsia="仿宋" w:cs="宋体"/>
          <w:b/>
          <w:color w:val="333333"/>
          <w:kern w:val="0"/>
          <w:sz w:val="24"/>
        </w:rPr>
        <w:t>同级政府采购监督管理部门：</w:t>
      </w:r>
      <w:r>
        <w:rPr>
          <w:rFonts w:hint="eastAsia" w:ascii="仿宋" w:hAnsi="仿宋" w:eastAsia="仿宋" w:cs="宋体"/>
          <w:color w:val="333333"/>
          <w:kern w:val="0"/>
          <w:sz w:val="24"/>
        </w:rPr>
        <w:t>杭州市西湖风景名胜区管委会</w:t>
      </w:r>
    </w:p>
    <w:p>
      <w:pPr>
        <w:widowControl/>
        <w:shd w:val="clear" w:color="auto" w:fill="FFFFFF"/>
        <w:snapToGrid w:val="0"/>
        <w:spacing w:line="360" w:lineRule="auto"/>
        <w:ind w:firstLine="361" w:firstLineChars="150"/>
        <w:jc w:val="left"/>
        <w:rPr>
          <w:rFonts w:ascii="仿宋" w:hAnsi="仿宋" w:eastAsia="仿宋" w:cs="宋体"/>
          <w:color w:val="333333"/>
          <w:kern w:val="0"/>
          <w:sz w:val="24"/>
        </w:rPr>
      </w:pPr>
      <w:r>
        <w:rPr>
          <w:rFonts w:hint="eastAsia" w:ascii="仿宋" w:hAnsi="仿宋" w:eastAsia="仿宋" w:cs="宋体"/>
          <w:b/>
          <w:color w:val="333333"/>
          <w:kern w:val="0"/>
          <w:sz w:val="24"/>
        </w:rPr>
        <w:t>地址：</w:t>
      </w:r>
      <w:r>
        <w:rPr>
          <w:rFonts w:hint="eastAsia" w:ascii="仿宋" w:hAnsi="仿宋" w:eastAsia="仿宋" w:cs="宋体"/>
          <w:color w:val="333333"/>
          <w:kern w:val="0"/>
          <w:sz w:val="24"/>
        </w:rPr>
        <w:t>杭州市西湖区龙井路1号</w:t>
      </w:r>
    </w:p>
    <w:p>
      <w:pPr>
        <w:widowControl/>
        <w:shd w:val="clear" w:color="auto" w:fill="FFFFFF"/>
        <w:snapToGrid w:val="0"/>
        <w:spacing w:line="360" w:lineRule="auto"/>
        <w:ind w:firstLine="361" w:firstLineChars="150"/>
        <w:jc w:val="left"/>
        <w:rPr>
          <w:rFonts w:ascii="仿宋" w:hAnsi="仿宋" w:eastAsia="仿宋" w:cs="宋体"/>
          <w:color w:val="333333"/>
          <w:kern w:val="0"/>
          <w:sz w:val="24"/>
        </w:rPr>
      </w:pPr>
      <w:r>
        <w:rPr>
          <w:rFonts w:hint="eastAsia" w:ascii="仿宋" w:hAnsi="仿宋" w:eastAsia="仿宋" w:cs="宋体"/>
          <w:b/>
          <w:color w:val="333333"/>
          <w:kern w:val="0"/>
          <w:sz w:val="24"/>
        </w:rPr>
        <w:t>投诉受理人：</w:t>
      </w:r>
      <w:r>
        <w:rPr>
          <w:rFonts w:hint="eastAsia" w:ascii="仿宋" w:hAnsi="仿宋" w:eastAsia="仿宋" w:cs="宋体"/>
          <w:color w:val="333333"/>
          <w:kern w:val="0"/>
          <w:sz w:val="24"/>
        </w:rPr>
        <w:t>王女士</w:t>
      </w:r>
    </w:p>
    <w:p>
      <w:pPr>
        <w:widowControl/>
        <w:shd w:val="clear" w:color="auto" w:fill="FFFFFF"/>
        <w:snapToGrid w:val="0"/>
        <w:spacing w:line="360" w:lineRule="auto"/>
        <w:ind w:firstLine="361" w:firstLineChars="150"/>
        <w:jc w:val="left"/>
        <w:rPr>
          <w:rFonts w:ascii="仿宋" w:hAnsi="仿宋" w:eastAsia="仿宋" w:cs="宋体"/>
          <w:color w:val="333333"/>
          <w:kern w:val="0"/>
          <w:sz w:val="24"/>
        </w:rPr>
      </w:pPr>
      <w:r>
        <w:rPr>
          <w:rFonts w:hint="eastAsia" w:ascii="仿宋" w:hAnsi="仿宋" w:eastAsia="仿宋" w:cs="宋体"/>
          <w:b/>
          <w:color w:val="333333"/>
          <w:kern w:val="0"/>
          <w:sz w:val="24"/>
        </w:rPr>
        <w:t>联系电话：</w:t>
      </w:r>
      <w:r>
        <w:rPr>
          <w:rFonts w:hint="eastAsia" w:ascii="仿宋" w:hAnsi="仿宋" w:eastAsia="仿宋" w:cs="宋体"/>
          <w:color w:val="333333"/>
          <w:kern w:val="0"/>
          <w:sz w:val="24"/>
        </w:rPr>
        <w:t>0571-87179536</w:t>
      </w:r>
    </w:p>
    <w:p>
      <w:pPr>
        <w:widowControl/>
        <w:shd w:val="clear" w:color="auto" w:fill="FFFFFF"/>
        <w:snapToGrid w:val="0"/>
        <w:spacing w:line="360" w:lineRule="auto"/>
        <w:ind w:firstLine="361" w:firstLineChars="150"/>
        <w:jc w:val="left"/>
        <w:rPr>
          <w:rFonts w:hint="eastAsia" w:ascii="仿宋" w:hAnsi="仿宋" w:eastAsia="仿宋" w:cs="宋体"/>
          <w:color w:val="333333"/>
          <w:kern w:val="0"/>
          <w:sz w:val="24"/>
        </w:rPr>
      </w:pPr>
      <w:r>
        <w:rPr>
          <w:rFonts w:hint="eastAsia" w:ascii="仿宋" w:hAnsi="仿宋" w:eastAsia="仿宋" w:cs="宋体"/>
          <w:b/>
          <w:color w:val="333333"/>
          <w:kern w:val="0"/>
          <w:sz w:val="24"/>
        </w:rPr>
        <w:t>传真：</w:t>
      </w:r>
      <w:r>
        <w:rPr>
          <w:rFonts w:hint="eastAsia" w:ascii="仿宋" w:hAnsi="仿宋" w:eastAsia="仿宋" w:cs="宋体"/>
          <w:color w:val="333333"/>
          <w:kern w:val="0"/>
          <w:sz w:val="24"/>
        </w:rPr>
        <w:t>0571-87179813</w:t>
      </w:r>
    </w:p>
    <w:p>
      <w:pPr>
        <w:pStyle w:val="19"/>
        <w:adjustRightInd/>
        <w:snapToGrid/>
        <w:spacing w:line="360" w:lineRule="auto"/>
        <w:ind w:firstLine="482" w:firstLineChars="200"/>
        <w:rPr>
          <w:rFonts w:hint="eastAsia" w:ascii="仿宋" w:hAnsi="仿宋" w:eastAsia="仿宋" w:cs="仿宋_GB2312"/>
          <w:color w:val="auto"/>
          <w:sz w:val="24"/>
          <w:szCs w:val="24"/>
        </w:rPr>
      </w:pPr>
      <w:r>
        <w:rPr>
          <w:rFonts w:hint="eastAsia" w:ascii="仿宋" w:hAnsi="仿宋" w:eastAsia="仿宋" w:cs="仿宋_GB2312"/>
          <w:b/>
          <w:color w:val="auto"/>
          <w:sz w:val="24"/>
          <w:szCs w:val="24"/>
        </w:rPr>
        <w:t>14、本项目采购文件公告期限为：</w:t>
      </w:r>
      <w:r>
        <w:rPr>
          <w:rFonts w:hint="eastAsia" w:ascii="仿宋" w:hAnsi="仿宋" w:eastAsia="仿宋" w:cs="仿宋_GB2312"/>
          <w:color w:val="auto"/>
          <w:sz w:val="24"/>
          <w:szCs w:val="24"/>
        </w:rPr>
        <w:t>本公告发布之日起五个工作日。</w:t>
      </w:r>
    </w:p>
    <w:p>
      <w:pPr>
        <w:spacing w:line="360" w:lineRule="auto"/>
        <w:ind w:firstLine="200"/>
        <w:jc w:val="center"/>
        <w:rPr>
          <w:rFonts w:hint="eastAsia" w:ascii="仿宋" w:hAnsi="仿宋" w:eastAsia="仿宋" w:cs="仿宋_GB2312"/>
          <w:sz w:val="24"/>
        </w:rPr>
      </w:pPr>
      <w:r>
        <w:rPr>
          <w:rFonts w:hint="eastAsia" w:ascii="仿宋" w:hAnsi="仿宋" w:eastAsia="仿宋" w:cs="仿宋_GB2312"/>
          <w:sz w:val="24"/>
        </w:rPr>
        <w:t xml:space="preserve">                           浙江中诺招标代理有限公司</w:t>
      </w:r>
    </w:p>
    <w:p>
      <w:pPr>
        <w:pStyle w:val="43"/>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 xml:space="preserve">                                         二○一九年六月三日</w:t>
      </w:r>
    </w:p>
    <w:p>
      <w:pPr>
        <w:adjustRightInd/>
        <w:spacing w:line="360" w:lineRule="auto"/>
        <w:jc w:val="center"/>
        <w:outlineLvl w:val="0"/>
        <w:rPr>
          <w:rFonts w:hint="eastAsia" w:ascii="仿宋" w:hAnsi="仿宋" w:eastAsia="仿宋" w:cs="仿宋_GB2312"/>
          <w:b/>
          <w:sz w:val="36"/>
          <w:szCs w:val="20"/>
        </w:rPr>
      </w:pPr>
      <w:r>
        <w:rPr>
          <w:rFonts w:hint="eastAsia" w:ascii="仿宋_GB2312" w:hAnsi="仿宋_GB2312" w:eastAsia="仿宋_GB2312" w:cs="仿宋_GB2312"/>
          <w:b/>
          <w:sz w:val="36"/>
          <w:szCs w:val="20"/>
        </w:rPr>
        <w:br w:type="page"/>
      </w:r>
      <w:r>
        <w:rPr>
          <w:rFonts w:hint="eastAsia" w:ascii="仿宋" w:hAnsi="仿宋" w:eastAsia="仿宋" w:cs="仿宋_GB2312"/>
          <w:b/>
          <w:sz w:val="36"/>
          <w:szCs w:val="20"/>
        </w:rPr>
        <w:t>第二部分</w:t>
      </w:r>
      <w:bookmarkEnd w:id="7"/>
      <w:r>
        <w:rPr>
          <w:rFonts w:hint="eastAsia" w:ascii="仿宋" w:hAnsi="仿宋" w:eastAsia="仿宋" w:cs="仿宋_GB2312"/>
          <w:b/>
          <w:sz w:val="36"/>
          <w:szCs w:val="20"/>
        </w:rPr>
        <w:t xml:space="preserve"> 投标人须知</w:t>
      </w:r>
      <w:bookmarkEnd w:id="8"/>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前附表</w:t>
      </w:r>
    </w:p>
    <w:tbl>
      <w:tblPr>
        <w:tblStyle w:val="8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98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7" w:hRule="atLeast"/>
          <w:tblHeader/>
        </w:trPr>
        <w:tc>
          <w:tcPr>
            <w:tcW w:w="629" w:type="dxa"/>
            <w:noWrap w:val="0"/>
            <w:vAlign w:val="top"/>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1985"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事项</w:t>
            </w:r>
          </w:p>
        </w:tc>
        <w:tc>
          <w:tcPr>
            <w:tcW w:w="6378"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6523"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1</w:t>
            </w:r>
          </w:p>
        </w:tc>
        <w:tc>
          <w:tcPr>
            <w:tcW w:w="1985"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报价要求</w:t>
            </w:r>
          </w:p>
        </w:tc>
        <w:tc>
          <w:tcPr>
            <w:tcW w:w="6378" w:type="dxa"/>
            <w:noWrap w:val="0"/>
            <w:vAlign w:val="center"/>
          </w:tcPr>
          <w:p>
            <w:pPr>
              <w:snapToGrid w:val="0"/>
              <w:spacing w:line="360" w:lineRule="auto"/>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有关本项目建设所需的费用均计入报价。</w:t>
            </w:r>
            <w:r>
              <w:rPr>
                <w:rFonts w:hint="eastAsia" w:ascii="仿宋" w:hAnsi="仿宋" w:eastAsia="仿宋" w:cs="仿宋_GB2312"/>
                <w:sz w:val="24"/>
              </w:rPr>
              <w:t>《投标（开标）一览表》是报价的唯一载体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投标报价出现下列情形的，投标无效：</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cs="仿宋_GB2312"/>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cs="仿宋_GB2312"/>
                <w:b/>
                <w:sz w:val="24"/>
              </w:rPr>
              <w:t>▲投标报价高于本项目采购预算或者最高限价的;</w:t>
            </w:r>
          </w:p>
          <w:p>
            <w:pPr>
              <w:spacing w:line="360" w:lineRule="auto"/>
              <w:rPr>
                <w:rFonts w:hint="eastAsia" w:ascii="仿宋" w:hAnsi="仿宋" w:eastAsia="仿宋" w:cs="仿宋_GB2312"/>
                <w:b/>
                <w:sz w:val="24"/>
              </w:rPr>
            </w:pPr>
            <w:r>
              <w:rPr>
                <w:rFonts w:hint="eastAsia" w:ascii="仿宋" w:hAnsi="仿宋" w:eastAsia="仿宋" w:cs="仿宋_GB2312"/>
                <w:b/>
                <w:sz w:val="24"/>
              </w:rPr>
              <w:t>▲</w:t>
            </w:r>
            <w:r>
              <w:rPr>
                <w:rFonts w:hint="eastAsia" w:ascii="仿宋" w:hAnsi="仿宋" w:eastAsia="仿宋" w:cs="仿宋_GB2312"/>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rPr>
              <w:t>;</w:t>
            </w:r>
          </w:p>
          <w:p>
            <w:pPr>
              <w:spacing w:line="360" w:lineRule="auto"/>
              <w:rPr>
                <w:rFonts w:hint="eastAsia" w:ascii="仿宋" w:hAnsi="仿宋" w:eastAsia="仿宋" w:cs="仿宋_GB2312"/>
                <w:sz w:val="24"/>
              </w:rPr>
            </w:pPr>
            <w:r>
              <w:rPr>
                <w:rFonts w:hint="eastAsia" w:ascii="仿宋" w:hAnsi="仿宋" w:eastAsia="仿宋" w:cs="仿宋_GB2312"/>
                <w:b/>
                <w:sz w:val="24"/>
              </w:rPr>
              <w:t>▲《投标（开标）一览表》填写不完整或字迹不能辨认或有漏项的；</w:t>
            </w:r>
          </w:p>
          <w:p>
            <w:pPr>
              <w:spacing w:line="360" w:lineRule="auto"/>
              <w:rPr>
                <w:rFonts w:hint="eastAsia" w:ascii="仿宋" w:hAnsi="仿宋" w:eastAsia="仿宋" w:cs="仿宋_GB2312"/>
                <w:sz w:val="24"/>
              </w:rPr>
            </w:pPr>
            <w:r>
              <w:rPr>
                <w:rFonts w:hint="eastAsia" w:ascii="仿宋" w:hAnsi="仿宋" w:eastAsia="仿宋" w:cs="仿宋_GB2312"/>
                <w:b/>
                <w:kern w:val="0"/>
                <w:sz w:val="24"/>
              </w:rPr>
              <w:t>▲投标人对根据修正原则修正后的报价不确认的</w:t>
            </w:r>
            <w:r>
              <w:rPr>
                <w:rFonts w:hint="eastAsia" w:ascii="仿宋" w:hAnsi="仿宋" w:eastAsia="仿宋" w:cs="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1342" w:hRule="atLeast"/>
          <w:tblHeader/>
        </w:trPr>
        <w:tc>
          <w:tcPr>
            <w:tcW w:w="629"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2</w:t>
            </w:r>
          </w:p>
        </w:tc>
        <w:tc>
          <w:tcPr>
            <w:tcW w:w="1985" w:type="dxa"/>
            <w:noWrap w:val="0"/>
            <w:vAlign w:val="center"/>
          </w:tcPr>
          <w:p>
            <w:pPr>
              <w:snapToGrid w:val="0"/>
              <w:spacing w:line="360" w:lineRule="auto"/>
              <w:rPr>
                <w:rFonts w:hint="eastAsia" w:ascii="仿宋" w:hAnsi="仿宋" w:eastAsia="仿宋" w:cs="仿宋_GB2312"/>
                <w:b/>
                <w:sz w:val="24"/>
              </w:rPr>
            </w:pPr>
            <w:r>
              <w:rPr>
                <w:rFonts w:hint="eastAsia" w:ascii="仿宋" w:hAnsi="仿宋" w:eastAsia="仿宋" w:cs="仿宋_GB2312"/>
                <w:b/>
                <w:sz w:val="24"/>
              </w:rPr>
              <w:t>分包或转包。</w:t>
            </w:r>
          </w:p>
        </w:tc>
        <w:tc>
          <w:tcPr>
            <w:tcW w:w="6378" w:type="dxa"/>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2157"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3</w:t>
            </w:r>
          </w:p>
        </w:tc>
        <w:tc>
          <w:tcPr>
            <w:tcW w:w="1985"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投标人应当提供的资格、资信证明文件</w:t>
            </w:r>
          </w:p>
        </w:tc>
        <w:tc>
          <w:tcPr>
            <w:tcW w:w="6378" w:type="dxa"/>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（1）资格证明文件：营业执照(或事业法人登记证或其他工商 等登记证明材料)复印件、税务登记证(或其它缴纳证明材料)复印件、社保登记证（或其它缴纳证明材料）复印件、2018年度资产负债表等财务报表资料文件(新成立的公司，提供情况说明)、具有履行合同所必需的设备和专业技术能力的承诺函、参加政府采购活动前三年内，在经营活动中没有重大违法记录的声明。</w:t>
            </w:r>
          </w:p>
          <w:p>
            <w:pPr>
              <w:snapToGrid w:val="0"/>
              <w:spacing w:line="360" w:lineRule="auto"/>
              <w:jc w:val="left"/>
              <w:rPr>
                <w:rFonts w:hint="eastAsia" w:ascii="仿宋" w:hAnsi="仿宋" w:eastAsia="仿宋" w:cs="仿宋_GB2312"/>
                <w:color w:val="000000"/>
                <w:sz w:val="24"/>
              </w:rPr>
            </w:pPr>
            <w:r>
              <w:rPr>
                <w:rFonts w:hint="eastAsia" w:ascii="仿宋" w:hAnsi="仿宋" w:eastAsia="仿宋" w:cs="仿宋_GB2312"/>
                <w:sz w:val="24"/>
              </w:rPr>
              <w:t>（2）</w:t>
            </w:r>
            <w:r>
              <w:rPr>
                <w:rFonts w:hint="eastAsia" w:ascii="仿宋" w:hAnsi="仿宋" w:eastAsia="仿宋" w:cs="仿宋_GB2312"/>
                <w:b/>
                <w:color w:val="000000"/>
                <w:sz w:val="24"/>
              </w:rPr>
              <w:t>符合性审查要求的资信证明文件（如果有）：</w:t>
            </w:r>
            <w:r>
              <w:rPr>
                <w:rFonts w:hint="eastAsia" w:ascii="仿宋" w:hAnsi="仿宋" w:eastAsia="仿宋" w:cs="仿宋_GB2312"/>
                <w:color w:val="000000"/>
                <w:sz w:val="24"/>
              </w:rPr>
              <w:t xml:space="preserve"> </w:t>
            </w:r>
          </w:p>
          <w:p>
            <w:pPr>
              <w:tabs>
                <w:tab w:val="left" w:pos="0"/>
              </w:tabs>
              <w:snapToGrid w:val="0"/>
              <w:spacing w:line="360" w:lineRule="auto"/>
              <w:jc w:val="left"/>
              <w:rPr>
                <w:rFonts w:hint="eastAsia" w:ascii="仿宋" w:hAnsi="仿宋" w:eastAsia="仿宋" w:cs="仿宋_GB2312"/>
                <w:color w:val="000000"/>
                <w:sz w:val="24"/>
              </w:rPr>
            </w:pPr>
            <w:r>
              <w:rPr>
                <w:rFonts w:hint="eastAsia" w:ascii="仿宋" w:hAnsi="仿宋" w:eastAsia="仿宋" w:cs="仿宋_GB2312"/>
                <w:color w:val="000000"/>
                <w:sz w:val="24"/>
              </w:rPr>
              <w:t>投标人已取得的ISO9000质量管理体系认证证书；ISO14000环境管理体系认证证书；OHSI8000职业健康与安全管理体系认证证书等。</w:t>
            </w:r>
          </w:p>
          <w:p>
            <w:pPr>
              <w:spacing w:line="360" w:lineRule="auto"/>
              <w:rPr>
                <w:rFonts w:hint="eastAsia" w:ascii="仿宋" w:hAnsi="仿宋" w:eastAsia="仿宋" w:cs="仿宋_GB2312"/>
                <w:kern w:val="0"/>
                <w:sz w:val="24"/>
              </w:rPr>
            </w:pPr>
            <w:r>
              <w:rPr>
                <w:rFonts w:hint="eastAsia" w:ascii="仿宋" w:hAnsi="仿宋" w:eastAsia="仿宋" w:cs="仿宋_GB2312"/>
                <w:sz w:val="24"/>
              </w:rPr>
              <w:t>▲</w:t>
            </w:r>
            <w:r>
              <w:rPr>
                <w:rFonts w:hint="eastAsia" w:ascii="仿宋" w:hAnsi="仿宋" w:eastAsia="仿宋" w:cs="仿宋_GB2312"/>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7"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4</w:t>
            </w:r>
          </w:p>
          <w:p>
            <w:pPr>
              <w:snapToGrid w:val="0"/>
              <w:spacing w:line="360" w:lineRule="auto"/>
              <w:jc w:val="center"/>
              <w:rPr>
                <w:rFonts w:hint="eastAsia" w:ascii="仿宋" w:hAnsi="仿宋" w:eastAsia="仿宋" w:cs="仿宋_GB2312"/>
                <w:sz w:val="24"/>
              </w:rPr>
            </w:pPr>
          </w:p>
        </w:tc>
        <w:tc>
          <w:tcPr>
            <w:tcW w:w="1985"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投标文件的份数</w:t>
            </w:r>
          </w:p>
        </w:tc>
        <w:tc>
          <w:tcPr>
            <w:tcW w:w="6378"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资格文件正本1份，副本</w:t>
            </w:r>
            <w:r>
              <w:rPr>
                <w:rFonts w:hint="eastAsia" w:ascii="仿宋" w:hAnsi="仿宋" w:eastAsia="仿宋" w:cs="仿宋_GB2312"/>
                <w:sz w:val="24"/>
                <w:u w:val="single"/>
              </w:rPr>
              <w:t>2</w:t>
            </w:r>
            <w:r>
              <w:rPr>
                <w:rFonts w:hint="eastAsia" w:ascii="仿宋" w:hAnsi="仿宋" w:eastAsia="仿宋" w:cs="仿宋_GB2312"/>
                <w:sz w:val="24"/>
              </w:rPr>
              <w:t xml:space="preserve">份；报价文件正本1份，副本 </w:t>
            </w:r>
            <w:r>
              <w:rPr>
                <w:rFonts w:hint="eastAsia" w:ascii="仿宋" w:hAnsi="仿宋" w:eastAsia="仿宋" w:cs="仿宋_GB2312"/>
                <w:sz w:val="24"/>
                <w:u w:val="single"/>
              </w:rPr>
              <w:t xml:space="preserve"> 7 </w:t>
            </w:r>
            <w:r>
              <w:rPr>
                <w:rFonts w:hint="eastAsia" w:ascii="仿宋" w:hAnsi="仿宋" w:eastAsia="仿宋" w:cs="仿宋_GB2312"/>
                <w:sz w:val="24"/>
              </w:rPr>
              <w:t>份；商务技术文件正本</w:t>
            </w:r>
            <w:r>
              <w:rPr>
                <w:rFonts w:hint="eastAsia" w:ascii="仿宋" w:hAnsi="仿宋" w:eastAsia="仿宋" w:cs="仿宋_GB2312"/>
                <w:sz w:val="24"/>
                <w:u w:val="single"/>
              </w:rPr>
              <w:t>1</w:t>
            </w:r>
            <w:r>
              <w:rPr>
                <w:rFonts w:hint="eastAsia" w:ascii="仿宋" w:hAnsi="仿宋" w:eastAsia="仿宋" w:cs="仿宋_GB2312"/>
                <w:sz w:val="24"/>
              </w:rPr>
              <w:t>份，副本</w:t>
            </w:r>
            <w:r>
              <w:rPr>
                <w:rFonts w:hint="eastAsia" w:ascii="仿宋" w:hAnsi="仿宋" w:eastAsia="仿宋" w:cs="仿宋_GB2312"/>
                <w:sz w:val="24"/>
                <w:u w:val="single"/>
              </w:rPr>
              <w:t>7</w:t>
            </w:r>
            <w:r>
              <w:rPr>
                <w:rFonts w:hint="eastAsia" w:ascii="仿宋" w:hAnsi="仿宋" w:eastAsia="仿宋" w:cs="仿宋_GB2312"/>
                <w:sz w:val="24"/>
              </w:rPr>
              <w:t>份。</w:t>
            </w:r>
          </w:p>
          <w:p>
            <w:pPr>
              <w:spacing w:line="360" w:lineRule="auto"/>
              <w:rPr>
                <w:rFonts w:hint="eastAsia" w:ascii="仿宋" w:hAnsi="仿宋" w:eastAsia="仿宋" w:cs="仿宋_GB2312"/>
                <w:sz w:val="24"/>
              </w:rPr>
            </w:pPr>
            <w:r>
              <w:rPr>
                <w:rFonts w:hint="eastAsia" w:ascii="仿宋" w:hAnsi="仿宋" w:eastAsia="仿宋" w:cs="仿宋_GB2312"/>
                <w:b/>
                <w:sz w:val="24"/>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7"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5</w:t>
            </w:r>
          </w:p>
        </w:tc>
        <w:tc>
          <w:tcPr>
            <w:tcW w:w="1985" w:type="dxa"/>
            <w:noWrap w:val="0"/>
            <w:vAlign w:val="center"/>
          </w:tcPr>
          <w:p>
            <w:pPr>
              <w:snapToGrid w:val="0"/>
              <w:spacing w:line="360" w:lineRule="auto"/>
              <w:jc w:val="left"/>
              <w:rPr>
                <w:rFonts w:hint="eastAsia" w:ascii="仿宋" w:hAnsi="仿宋" w:eastAsia="仿宋" w:cs="仿宋_GB2312"/>
                <w:b/>
                <w:sz w:val="24"/>
              </w:rPr>
            </w:pPr>
            <w:r>
              <w:rPr>
                <w:rFonts w:hint="eastAsia" w:ascii="仿宋" w:hAnsi="仿宋" w:eastAsia="仿宋" w:cs="仿宋_GB2312"/>
                <w:b/>
                <w:sz w:val="24"/>
              </w:rPr>
              <w:t>开标前答疑会或现场考察</w:t>
            </w:r>
          </w:p>
        </w:tc>
        <w:tc>
          <w:tcPr>
            <w:tcW w:w="6378" w:type="dxa"/>
            <w:noWrap w:val="0"/>
            <w:vAlign w:val="center"/>
          </w:tcPr>
          <w:p>
            <w:pPr>
              <w:pStyle w:val="43"/>
              <w:spacing w:line="360" w:lineRule="auto"/>
              <w:jc w:val="left"/>
              <w:rPr>
                <w:rFonts w:hint="eastAsia" w:ascii="仿宋" w:hAnsi="仿宋" w:eastAsia="仿宋" w:cs="仿宋_GB2312"/>
                <w:snapToGrid/>
                <w:color w:val="000000"/>
                <w:sz w:val="24"/>
                <w:szCs w:val="24"/>
              </w:rPr>
            </w:pPr>
            <w:r>
              <w:rPr>
                <w:rFonts w:hint="eastAsia" w:ascii="仿宋" w:hAnsi="仿宋" w:eastAsia="仿宋"/>
                <w:color w:val="000000"/>
                <w:sz w:val="24"/>
                <w:szCs w:val="24"/>
                <w:lang w:val="zh-CN"/>
              </w:rPr>
              <w:t>时间：</w:t>
            </w:r>
            <w:r>
              <w:rPr>
                <w:rFonts w:hint="eastAsia" w:ascii="仿宋" w:hAnsi="仿宋" w:eastAsia="仿宋"/>
                <w:color w:val="000000"/>
                <w:sz w:val="24"/>
                <w:szCs w:val="24"/>
              </w:rPr>
              <w:t>2019年6月12日上午10时</w:t>
            </w:r>
            <w:r>
              <w:rPr>
                <w:rFonts w:hint="eastAsia" w:ascii="仿宋" w:hAnsi="仿宋" w:eastAsia="仿宋"/>
                <w:color w:val="000000"/>
                <w:sz w:val="24"/>
                <w:szCs w:val="24"/>
                <w:lang w:val="zh-CN"/>
              </w:rPr>
              <w:t>；地点：</w:t>
            </w:r>
            <w:r>
              <w:rPr>
                <w:rFonts w:hint="eastAsia" w:ascii="仿宋" w:hAnsi="仿宋" w:eastAsia="仿宋"/>
                <w:color w:val="000000"/>
                <w:sz w:val="24"/>
                <w:szCs w:val="24"/>
              </w:rPr>
              <w:t>杭州市公安局西湖风景名胜区分局会议室</w:t>
            </w:r>
            <w:r>
              <w:rPr>
                <w:rFonts w:hint="eastAsia" w:ascii="仿宋" w:hAnsi="仿宋" w:eastAsia="仿宋"/>
                <w:color w:val="000000"/>
                <w:sz w:val="24"/>
                <w:szCs w:val="24"/>
                <w:lang w:val="zh-CN"/>
              </w:rPr>
              <w:t>。安排潜在投标人</w:t>
            </w:r>
            <w:r>
              <w:rPr>
                <w:rFonts w:hint="eastAsia" w:ascii="仿宋" w:hAnsi="仿宋" w:eastAsia="仿宋" w:cs="仿宋_GB2312"/>
                <w:color w:val="000000"/>
                <w:sz w:val="24"/>
                <w:szCs w:val="24"/>
              </w:rPr>
              <w:t>现场踏勘</w:t>
            </w:r>
            <w:r>
              <w:rPr>
                <w:rFonts w:hint="eastAsia" w:ascii="仿宋" w:hAnsi="仿宋" w:eastAsia="仿宋"/>
                <w:color w:val="000000"/>
                <w:sz w:val="24"/>
                <w:szCs w:val="24"/>
                <w:lang w:val="zh-CN"/>
              </w:rPr>
              <w:t>，由采购人介绍相关情况，请各潜在投标人准时参加。</w:t>
            </w:r>
            <w:r>
              <w:rPr>
                <w:rFonts w:hint="eastAsia" w:ascii="仿宋" w:hAnsi="仿宋" w:eastAsia="仿宋"/>
                <w:color w:val="000000"/>
                <w:sz w:val="24"/>
                <w:szCs w:val="24"/>
              </w:rPr>
              <w:t>联系人：王镭，联系电话：0571-87285511</w:t>
            </w:r>
            <w:r>
              <w:rPr>
                <w:rFonts w:hint="eastAsia" w:ascii="仿宋" w:hAnsi="仿宋" w:eastAsia="仿宋"/>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1425" w:hRule="atLeast"/>
          <w:tblHeader/>
        </w:trPr>
        <w:tc>
          <w:tcPr>
            <w:tcW w:w="629" w:type="dxa"/>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6</w:t>
            </w:r>
          </w:p>
        </w:tc>
        <w:tc>
          <w:tcPr>
            <w:tcW w:w="1985"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b/>
                <w:kern w:val="0"/>
                <w:sz w:val="24"/>
                <w:lang w:val="zh-CN"/>
              </w:rPr>
              <w:t>投标方案讲解安排</w:t>
            </w:r>
          </w:p>
        </w:tc>
        <w:tc>
          <w:tcPr>
            <w:tcW w:w="6378" w:type="dxa"/>
            <w:noWrap w:val="0"/>
            <w:vAlign w:val="center"/>
          </w:tcPr>
          <w:p>
            <w:pPr>
              <w:widowControl/>
              <w:spacing w:before="100" w:beforeAutospacing="1" w:after="240" w:line="360" w:lineRule="auto"/>
              <w:rPr>
                <w:rFonts w:hint="eastAsia" w:ascii="仿宋" w:hAnsi="仿宋" w:eastAsia="仿宋" w:cs="仿宋_GB2312"/>
                <w:b/>
                <w:color w:val="000000"/>
                <w:sz w:val="24"/>
              </w:rPr>
            </w:pPr>
            <w:r>
              <w:rPr>
                <w:rFonts w:hint="eastAsia" w:ascii="仿宋" w:hAnsi="仿宋" w:eastAsia="仿宋"/>
                <w:b/>
                <w:bCs/>
                <w:color w:val="000000"/>
                <w:kern w:val="0"/>
                <w:sz w:val="24"/>
                <w:lang w:val="zh-CN"/>
              </w:rPr>
              <w:t>在评标时将安排每个投标人讲解投标方案和系统演示，每个投标人时间不超过</w:t>
            </w:r>
            <w:r>
              <w:rPr>
                <w:rFonts w:hint="eastAsia" w:ascii="仿宋" w:hAnsi="仿宋" w:eastAsia="仿宋"/>
                <w:b/>
                <w:bCs/>
                <w:color w:val="000000"/>
                <w:kern w:val="0"/>
                <w:sz w:val="24"/>
              </w:rPr>
              <w:t>15</w:t>
            </w:r>
            <w:r>
              <w:rPr>
                <w:rFonts w:hint="eastAsia" w:ascii="仿宋" w:hAnsi="仿宋" w:eastAsia="仿宋"/>
                <w:b/>
                <w:bCs/>
                <w:color w:val="000000"/>
                <w:kern w:val="0"/>
                <w:sz w:val="24"/>
                <w:lang w:val="zh-CN"/>
              </w:rPr>
              <w:t>分钟。讲标次序以投标登记次序为准。</w:t>
            </w:r>
            <w:r>
              <w:rPr>
                <w:rFonts w:hint="eastAsia" w:ascii="仿宋" w:hAnsi="仿宋" w:eastAsia="仿宋"/>
                <w:b/>
                <w:bCs/>
                <w:color w:val="000000"/>
                <w:kern w:val="10"/>
                <w:sz w:val="24"/>
              </w:rPr>
              <w:t>讲标进场人员须为投标人所属固定职员。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1008" w:hRule="atLeast"/>
          <w:tblHeader/>
        </w:trPr>
        <w:tc>
          <w:tcPr>
            <w:tcW w:w="629" w:type="dxa"/>
            <w:noWrap w:val="0"/>
            <w:vAlign w:val="top"/>
          </w:tcPr>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p>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7</w:t>
            </w:r>
          </w:p>
        </w:tc>
        <w:tc>
          <w:tcPr>
            <w:tcW w:w="1985" w:type="dxa"/>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采购代理机构代理费用</w:t>
            </w:r>
          </w:p>
        </w:tc>
        <w:tc>
          <w:tcPr>
            <w:tcW w:w="6378" w:type="dxa"/>
            <w:noWrap w:val="0"/>
            <w:vAlign w:val="center"/>
          </w:tcPr>
          <w:p>
            <w:pPr>
              <w:snapToGrid w:val="0"/>
              <w:spacing w:line="360" w:lineRule="auto"/>
              <w:rPr>
                <w:rFonts w:hint="eastAsia" w:ascii="仿宋" w:hAnsi="仿宋" w:eastAsia="仿宋" w:cs="仿宋_GB2312"/>
                <w:snapToGrid w:val="0"/>
                <w:color w:val="000000"/>
                <w:kern w:val="0"/>
                <w:sz w:val="24"/>
              </w:rPr>
            </w:pPr>
            <w:r>
              <w:rPr>
                <w:rFonts w:hint="eastAsia" w:ascii="仿宋" w:hAnsi="仿宋" w:eastAsia="仿宋" w:cs="仿宋_GB2312"/>
                <w:snapToGrid w:val="0"/>
                <w:color w:val="000000"/>
                <w:kern w:val="0"/>
                <w:sz w:val="24"/>
              </w:rPr>
              <w:t>本项目的采购代理费由中标人支付。计费标准：</w:t>
            </w:r>
          </w:p>
          <w:p>
            <w:pPr>
              <w:snapToGrid w:val="0"/>
              <w:spacing w:line="360" w:lineRule="auto"/>
              <w:rPr>
                <w:rFonts w:hint="eastAsia" w:ascii="仿宋" w:hAnsi="仿宋" w:eastAsia="仿宋" w:cs="仿宋_GB2312"/>
                <w:snapToGrid w:val="0"/>
                <w:color w:val="000000"/>
                <w:kern w:val="0"/>
                <w:sz w:val="24"/>
              </w:rPr>
            </w:pPr>
            <w:r>
              <w:rPr>
                <w:rFonts w:hint="eastAsia" w:ascii="仿宋" w:hAnsi="仿宋" w:eastAsia="仿宋" w:cs="仿宋_GB2312"/>
                <w:snapToGrid w:val="0"/>
                <w:color w:val="000000"/>
                <w:kern w:val="0"/>
                <w:sz w:val="24"/>
              </w:rPr>
              <w:t>以中标（成交）金额为计费基准，</w:t>
            </w:r>
            <w:r>
              <w:rPr>
                <w:rFonts w:hint="eastAsia" w:ascii="仿宋" w:hAnsi="仿宋" w:eastAsia="仿宋" w:cs="仿宋_GB2312"/>
                <w:color w:val="000000"/>
                <w:sz w:val="24"/>
              </w:rPr>
              <w:t>按照《关于杭州市招标代理服务收费管理有关问题的通知》(杭价费[2003]148号)文件</w:t>
            </w:r>
            <w:r>
              <w:rPr>
                <w:rFonts w:hint="eastAsia" w:ascii="仿宋" w:hAnsi="仿宋" w:eastAsia="仿宋" w:cs="仿宋_GB2312"/>
                <w:snapToGrid w:val="0"/>
                <w:color w:val="000000"/>
                <w:kern w:val="0"/>
                <w:sz w:val="24"/>
              </w:rPr>
              <w:t>收费标准计取。</w:t>
            </w:r>
          </w:p>
          <w:p>
            <w:pPr>
              <w:snapToGrid w:val="0"/>
              <w:spacing w:line="360" w:lineRule="auto"/>
              <w:rPr>
                <w:rFonts w:hint="eastAsia" w:ascii="仿宋" w:hAnsi="仿宋" w:eastAsia="仿宋" w:cs="仿宋_GB2312"/>
                <w:sz w:val="24"/>
              </w:rPr>
            </w:pPr>
            <w:r>
              <w:rPr>
                <w:rFonts w:hint="eastAsia" w:ascii="仿宋" w:hAnsi="仿宋" w:eastAsia="仿宋" w:cs="仿宋_GB2312"/>
                <w:snapToGrid w:val="0"/>
                <w:color w:val="000000"/>
                <w:kern w:val="0"/>
                <w:sz w:val="24"/>
              </w:rPr>
              <w:t>结算方式及时间为：在领取中标通知书时由中标人一次性向采购代理机构付清。</w:t>
            </w:r>
          </w:p>
        </w:tc>
      </w:tr>
    </w:tbl>
    <w:p>
      <w:pPr>
        <w:snapToGrid w:val="0"/>
        <w:spacing w:line="360" w:lineRule="auto"/>
        <w:jc w:val="center"/>
        <w:rPr>
          <w:rFonts w:hint="eastAsia" w:ascii="仿宋" w:hAnsi="仿宋" w:eastAsia="仿宋" w:cs="仿宋_GB2312"/>
          <w:b/>
          <w:sz w:val="32"/>
          <w:szCs w:val="20"/>
        </w:rPr>
      </w:pPr>
    </w:p>
    <w:p>
      <w:pPr>
        <w:adjustRightInd/>
        <w:spacing w:line="360" w:lineRule="auto"/>
        <w:ind w:firstLine="3845" w:firstLineChars="1197"/>
        <w:outlineLvl w:val="0"/>
        <w:rPr>
          <w:rFonts w:hint="eastAsia" w:ascii="仿宋" w:hAnsi="仿宋" w:eastAsia="仿宋" w:cs="仿宋_GB2312"/>
          <w:b/>
          <w:sz w:val="32"/>
          <w:szCs w:val="20"/>
        </w:rPr>
      </w:pPr>
      <w:r>
        <w:rPr>
          <w:rFonts w:hint="eastAsia" w:ascii="仿宋" w:hAnsi="仿宋" w:eastAsia="仿宋" w:cs="仿宋_GB2312"/>
          <w:b/>
          <w:sz w:val="32"/>
          <w:szCs w:val="20"/>
        </w:rPr>
        <w:t>一、总则</w:t>
      </w:r>
      <w:bookmarkEnd w:id="9"/>
    </w:p>
    <w:p>
      <w:pPr>
        <w:snapToGrid w:val="0"/>
        <w:spacing w:line="360" w:lineRule="auto"/>
        <w:ind w:firstLine="361" w:firstLineChars="150"/>
        <w:jc w:val="left"/>
        <w:outlineLvl w:val="1"/>
        <w:rPr>
          <w:rFonts w:hint="eastAsia" w:ascii="仿宋" w:hAnsi="仿宋" w:eastAsia="仿宋" w:cs="仿宋_GB2312"/>
          <w:b/>
          <w:sz w:val="24"/>
        </w:rPr>
      </w:pPr>
      <w:r>
        <w:rPr>
          <w:rFonts w:hint="eastAsia" w:ascii="仿宋" w:hAnsi="仿宋" w:eastAsia="仿宋" w:cs="仿宋_GB2312"/>
          <w:b/>
          <w:sz w:val="24"/>
        </w:rPr>
        <w:t>1. 适用范围</w:t>
      </w:r>
    </w:p>
    <w:p>
      <w:pPr>
        <w:snapToGrid w:val="0"/>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_GB2312"/>
          <w:b/>
          <w:sz w:val="24"/>
        </w:rPr>
      </w:pPr>
      <w:r>
        <w:rPr>
          <w:rFonts w:hint="eastAsia" w:ascii="仿宋" w:hAnsi="仿宋" w:eastAsia="仿宋" w:cs="仿宋_GB2312"/>
          <w:b/>
          <w:sz w:val="24"/>
        </w:rPr>
        <w:t xml:space="preserve">   2.定义</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2.1 “采购人”系指招标公告中载明的本项目的采购人。</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2.2 “采购代理机构”系指招标公告中载明的本项目的采购代理机构。</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2.3 “投标人”系指是指响应招标、参加投标竞争的法人、其他组织或者自然人。。</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2.5 “▲” 系指实质性要求条款。</w:t>
      </w:r>
    </w:p>
    <w:p>
      <w:pPr>
        <w:spacing w:line="360" w:lineRule="auto"/>
        <w:ind w:firstLine="241" w:firstLineChars="100"/>
        <w:rPr>
          <w:rFonts w:hint="eastAsia" w:ascii="仿宋" w:hAnsi="仿宋" w:eastAsia="仿宋" w:cs="仿宋_GB2312"/>
          <w:b/>
          <w:sz w:val="24"/>
        </w:rPr>
      </w:pPr>
      <w:r>
        <w:rPr>
          <w:rFonts w:hint="eastAsia" w:ascii="仿宋" w:hAnsi="仿宋" w:eastAsia="仿宋" w:cs="仿宋_GB2312"/>
          <w:b/>
          <w:sz w:val="24"/>
        </w:rPr>
        <w:t>3.</w:t>
      </w:r>
      <w:r>
        <w:rPr>
          <w:rFonts w:hint="eastAsia" w:ascii="仿宋" w:hAnsi="仿宋" w:eastAsia="仿宋" w:cs="仿宋_GB2312"/>
        </w:rPr>
        <w:t xml:space="preserve"> </w:t>
      </w:r>
      <w:r>
        <w:rPr>
          <w:rFonts w:hint="eastAsia" w:ascii="仿宋" w:hAnsi="仿宋" w:eastAsia="仿宋" w:cs="仿宋_GB2312"/>
          <w:b/>
          <w:sz w:val="24"/>
        </w:rPr>
        <w:t>采购项目需要落实的政府采购政策</w:t>
      </w:r>
    </w:p>
    <w:p>
      <w:pPr>
        <w:spacing w:line="360" w:lineRule="auto"/>
        <w:ind w:firstLine="240" w:firstLineChars="100"/>
        <w:rPr>
          <w:rFonts w:hint="eastAsia" w:ascii="仿宋" w:hAnsi="仿宋" w:eastAsia="仿宋" w:cs="仿宋_GB2312"/>
          <w:sz w:val="24"/>
        </w:rPr>
      </w:pPr>
      <w:r>
        <w:rPr>
          <w:rFonts w:hint="eastAsia" w:ascii="仿宋" w:hAnsi="仿宋" w:eastAsia="仿宋"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240" w:firstLineChars="100"/>
        <w:rPr>
          <w:rFonts w:hint="eastAsia" w:ascii="仿宋" w:hAnsi="仿宋" w:eastAsia="仿宋" w:cs="仿宋_GB2312"/>
          <w:sz w:val="24"/>
        </w:rPr>
      </w:pPr>
      <w:r>
        <w:rPr>
          <w:rFonts w:hint="eastAsia" w:ascii="仿宋" w:hAnsi="仿宋" w:eastAsia="仿宋" w:cs="仿宋_GB2312"/>
          <w:sz w:val="24"/>
        </w:rPr>
        <w:t>3.2 节能环保要求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3.2.1</w:t>
      </w:r>
      <w:r>
        <w:rPr>
          <w:rFonts w:hint="eastAsia" w:ascii="仿宋" w:hAnsi="仿宋" w:eastAsia="仿宋" w:cs="仿宋_GB2312"/>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 xml:space="preserve">3.2.2 </w:t>
      </w:r>
      <w:r>
        <w:rPr>
          <w:rFonts w:hint="eastAsia" w:ascii="仿宋" w:hAnsi="仿宋" w:eastAsia="仿宋" w:cs="仿宋_GB2312"/>
          <w:color w:val="000000"/>
          <w:sz w:val="24"/>
          <w:szCs w:val="20"/>
        </w:rPr>
        <w:t>▲</w:t>
      </w:r>
      <w:r>
        <w:rPr>
          <w:rFonts w:hint="eastAsia" w:ascii="仿宋" w:hAnsi="仿宋" w:eastAsia="仿宋" w:cs="仿宋_GB2312"/>
          <w:b/>
          <w:sz w:val="24"/>
        </w:rPr>
        <w:t>采购人拟采购的产品属于政府强制采购的节能产品品目清单范围的，供应商未按招标文件要求提供国家确定的认证机构出具的、处于有效期之内的节能产品认证证书，响应无效。</w:t>
      </w:r>
    </w:p>
    <w:p>
      <w:pPr>
        <w:spacing w:line="360" w:lineRule="auto"/>
        <w:ind w:firstLine="240" w:firstLineChars="100"/>
        <w:rPr>
          <w:rFonts w:hint="eastAsia" w:ascii="仿宋" w:hAnsi="仿宋" w:eastAsia="仿宋" w:cs="仿宋_GB2312"/>
          <w:sz w:val="24"/>
        </w:rPr>
      </w:pPr>
      <w:r>
        <w:rPr>
          <w:rFonts w:hint="eastAsia" w:ascii="仿宋" w:hAnsi="仿宋" w:eastAsia="仿宋" w:cs="仿宋_GB2312"/>
          <w:sz w:val="24"/>
        </w:rPr>
        <w:t>3.3</w:t>
      </w:r>
      <w:r>
        <w:rPr>
          <w:rFonts w:hint="eastAsia" w:ascii="仿宋" w:hAnsi="仿宋" w:eastAsia="仿宋" w:cs="仿宋_GB2312"/>
          <w:bCs/>
          <w:sz w:val="24"/>
        </w:rPr>
        <w:t>小型、微型</w:t>
      </w:r>
      <w:r>
        <w:rPr>
          <w:rFonts w:hint="eastAsia" w:ascii="仿宋" w:hAnsi="仿宋" w:eastAsia="仿宋" w:cs="仿宋_GB2312"/>
          <w:sz w:val="24"/>
        </w:rPr>
        <w:t>企业价格扣除。</w:t>
      </w:r>
    </w:p>
    <w:p>
      <w:pPr>
        <w:spacing w:line="360" w:lineRule="auto"/>
        <w:ind w:firstLine="480" w:firstLineChars="200"/>
        <w:rPr>
          <w:rFonts w:hint="eastAsia" w:ascii="仿宋" w:hAnsi="仿宋" w:eastAsia="仿宋" w:cs="仿宋_GB2312"/>
          <w:bCs/>
          <w:sz w:val="24"/>
        </w:rPr>
      </w:pPr>
      <w:r>
        <w:rPr>
          <w:rFonts w:hint="eastAsia" w:ascii="仿宋" w:hAnsi="仿宋" w:eastAsia="仿宋" w:cs="仿宋_GB2312"/>
          <w:sz w:val="24"/>
        </w:rPr>
        <w:t>3.3.1</w:t>
      </w:r>
      <w:r>
        <w:rPr>
          <w:rFonts w:hint="eastAsia" w:ascii="仿宋" w:hAnsi="仿宋" w:eastAsia="仿宋" w:cs="仿宋_GB2312"/>
          <w:bCs/>
          <w:sz w:val="24"/>
        </w:rPr>
        <w:t>小型、微型企业应当同时符合以下条件：</w:t>
      </w:r>
    </w:p>
    <w:p>
      <w:pPr>
        <w:spacing w:line="360" w:lineRule="auto"/>
        <w:ind w:firstLine="480" w:firstLineChars="200"/>
        <w:rPr>
          <w:rFonts w:hint="eastAsia" w:ascii="仿宋" w:hAnsi="仿宋" w:eastAsia="仿宋" w:cs="仿宋_GB2312"/>
          <w:bCs/>
          <w:sz w:val="24"/>
        </w:rPr>
      </w:pPr>
      <w:r>
        <w:rPr>
          <w:rFonts w:hint="eastAsia" w:ascii="仿宋" w:hAnsi="仿宋" w:eastAsia="仿宋" w:cs="仿宋_GB2312"/>
          <w:bCs/>
          <w:sz w:val="24"/>
        </w:rPr>
        <w:t>（1）符合中小企业划分标准；</w:t>
      </w:r>
    </w:p>
    <w:p>
      <w:pPr>
        <w:spacing w:line="360" w:lineRule="auto"/>
        <w:ind w:firstLine="480" w:firstLineChars="200"/>
        <w:rPr>
          <w:rFonts w:hint="eastAsia" w:ascii="仿宋" w:hAnsi="仿宋" w:eastAsia="仿宋" w:cs="仿宋_GB2312"/>
          <w:bCs/>
          <w:sz w:val="24"/>
        </w:rPr>
      </w:pPr>
      <w:r>
        <w:rPr>
          <w:rFonts w:hint="eastAsia" w:ascii="仿宋" w:hAnsi="仿宋" w:eastAsia="仿宋" w:cs="仿宋_GB2312"/>
          <w:bCs/>
          <w:sz w:val="24"/>
        </w:rPr>
        <w:t>（2）</w:t>
      </w:r>
      <w:r>
        <w:rPr>
          <w:rFonts w:hint="eastAsia" w:ascii="仿宋" w:hAnsi="仿宋" w:eastAsia="仿宋" w:cs="仿宋_GB2312"/>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3.3.2小型、微型企业应按照招标文件格式要求提供《中小企业声明函》。</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3.3.3对于非专门面向此类企业的项目，对小型和微型企业产品的投标价格给予6 %的扣除，用扣除后的价格参与评审。</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联合体各方均为小型、微型企业的，联合体视同为小型、微型企业。</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240" w:firstLineChars="100"/>
        <w:rPr>
          <w:rFonts w:hint="eastAsia" w:ascii="仿宋" w:hAnsi="仿宋" w:eastAsia="仿宋" w:cs="仿宋_GB2312"/>
          <w:b/>
          <w:sz w:val="24"/>
        </w:rPr>
      </w:pPr>
      <w:r>
        <w:rPr>
          <w:rFonts w:hint="eastAsia" w:ascii="仿宋" w:hAnsi="仿宋" w:eastAsia="仿宋" w:cs="仿宋_GB2312"/>
          <w:sz w:val="24"/>
        </w:rPr>
        <w:t>3.4企业信用融资：为支持和促进中小企业发展，进一步发挥政府采购政策功能，杭</w:t>
      </w:r>
      <w:r>
        <w:rPr>
          <w:rFonts w:hint="eastAsia" w:ascii="仿宋" w:hAnsi="仿宋" w:eastAsia="仿宋" w:cs="仿宋_GB2312"/>
          <w:sz w:val="24"/>
          <w:szCs w:val="20"/>
        </w:rPr>
        <w:t>州市财政局与省银监局、市金融办、市经信委共同出台了《杭州市政府采购支持中小企业信用融资暂行办法》，供应商若有融资意向，详见本招标文件尾页《政府采购支持中</w:t>
      </w:r>
      <w:r>
        <w:rPr>
          <w:rFonts w:hint="eastAsia" w:ascii="仿宋" w:hAnsi="仿宋" w:eastAsia="仿宋" w:cs="仿宋_GB2312"/>
          <w:sz w:val="24"/>
        </w:rPr>
        <w:t>小企业信用融资相关事项通知》，或登陆杭州市政府采购网（http://cg.hzft.gov.cn）“中小企业信用融资”专栏，查看信用融资政策文件及各相关银行服务方案。</w:t>
      </w:r>
      <w:r>
        <w:rPr>
          <w:rFonts w:hint="eastAsia" w:ascii="仿宋" w:hAnsi="仿宋" w:eastAsia="仿宋" w:cs="仿宋_GB2312"/>
          <w:sz w:val="24"/>
        </w:rPr>
        <w:cr/>
      </w:r>
      <w:r>
        <w:rPr>
          <w:rFonts w:hint="eastAsia" w:ascii="仿宋" w:hAnsi="仿宋" w:eastAsia="仿宋" w:cs="仿宋_GB2312"/>
          <w:b/>
          <w:sz w:val="24"/>
        </w:rPr>
        <w:t>4. 询问、质疑、投诉</w:t>
      </w:r>
    </w:p>
    <w:p>
      <w:pPr>
        <w:autoSpaceDE w:val="0"/>
        <w:autoSpaceDN w:val="0"/>
        <w:spacing w:line="360" w:lineRule="auto"/>
        <w:ind w:firstLine="240" w:firstLineChars="1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4.1供应商询问</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根据采购人与采购代理机构签订的《政府采购委托代理协议》的规定：供应商可以就采购文件中特定资格条件、采购需求、评分办法及采购过程中有关现场考察或开标前答疑会事项向采购人提出询问，采购人将对此作出答复；供应商可以就采购活动中的其它事项向采购代理机构提出询问，采购代理机构将对此作出答复。答复的内容不得涉及商业秘密。</w:t>
      </w:r>
    </w:p>
    <w:p>
      <w:pPr>
        <w:autoSpaceDE w:val="0"/>
        <w:autoSpaceDN w:val="0"/>
        <w:spacing w:line="360" w:lineRule="auto"/>
        <w:ind w:firstLine="240" w:firstLineChars="1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4.2供应商质疑</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kern w:val="0"/>
          <w:sz w:val="24"/>
          <w:lang w:val="zh-CN"/>
        </w:rPr>
        <w:t>4.2</w:t>
      </w:r>
      <w:r>
        <w:rPr>
          <w:rFonts w:hint="eastAsia" w:ascii="仿宋" w:hAnsi="仿宋" w:eastAsia="仿宋" w:cs="仿宋_GB2312"/>
          <w:sz w:val="24"/>
        </w:rPr>
        <w:t>.1提出质疑的供应商应当是参与所质疑项目采购活动的供应商。潜在供应商已依法获取其可质疑的采购文件的，可以对该文件提出质疑。</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kern w:val="0"/>
          <w:sz w:val="24"/>
          <w:lang w:val="zh-CN"/>
        </w:rPr>
        <w:t>4.2</w:t>
      </w:r>
      <w:r>
        <w:rPr>
          <w:rFonts w:hint="eastAsia" w:ascii="仿宋" w:hAnsi="仿宋" w:eastAsia="仿宋" w:cs="仿宋_GB2312"/>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9"/>
        <w:spacing w:line="360" w:lineRule="auto"/>
        <w:ind w:firstLine="434" w:firstLineChars="181"/>
        <w:rPr>
          <w:rFonts w:hint="eastAsia" w:ascii="仿宋" w:hAnsi="仿宋" w:eastAsia="仿宋" w:cs="仿宋_GB2312"/>
          <w:snapToGrid/>
          <w:color w:val="auto"/>
          <w:kern w:val="2"/>
          <w:sz w:val="24"/>
        </w:rPr>
      </w:pPr>
      <w:r>
        <w:rPr>
          <w:rFonts w:hint="eastAsia" w:ascii="仿宋" w:hAnsi="仿宋" w:eastAsia="仿宋" w:cs="仿宋_GB2312"/>
          <w:snapToGrid/>
          <w:color w:val="auto"/>
          <w:kern w:val="2"/>
          <w:sz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政府采购委托代理协议》的规定：对采购文件中特定资格条件、采购需求、评分办法提出的质疑，原则上由采购人负责答复；对采购文件中其他内容提出的质疑，原则上由采购代理机构负责答复。</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对采购过程提出质疑的，质疑期限为各采购程序环节结束之日起计算。对同一采购程序环节的质疑，供应商须一次性提出。根据采购人与采购代理机构签订的《政府采购委托代理协议》的规定：对采购过程中有关现场考察或开标前答疑会事项提出的质疑，原则上由采购人负责答复；对采购过程中其它事项提出的质疑，原则上由采购代理机构负责答复。</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（3）对采购结果提出质疑的，质疑期限自采购结果公告期限届满之日起计算。对采购结果提出质疑的，采购代理机构负责答复。</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4.2.3供应商提出质疑应当提交质疑函和必要的证明材料。质疑函应当包括下列内容：</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4.2.3.1供应商的姓名或者名称、地址、邮编、联系人及联系电话；</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4.2.3.2质疑项目的名称、编号；</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4.2.3.3具体、明确的质疑事项和与质疑事项相关的请求；</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4.2.3.4事实依据；</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4.2.3.5必要的法律依据；</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4.2.3.6提出质疑的日期。</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供应商提交的质疑函需一式三份。供应商为自然人的，应当由本人签字；供应商为法人或者其他组织的，应当由法定代表人、主要负责人，或者其授权代表签字或者盖章，并加盖公章。</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质疑函范本及制作说明详见附件2。</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kern w:val="0"/>
          <w:sz w:val="24"/>
          <w:lang w:val="zh-CN"/>
        </w:rPr>
        <w:t>4.2</w:t>
      </w:r>
      <w:r>
        <w:rPr>
          <w:rFonts w:hint="eastAsia" w:ascii="仿宋" w:hAnsi="仿宋" w:eastAsia="仿宋" w:cs="仿宋_GB2312"/>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kern w:val="0"/>
          <w:sz w:val="24"/>
          <w:lang w:val="zh-CN"/>
        </w:rPr>
        <w:t>4.2</w:t>
      </w:r>
      <w:r>
        <w:rPr>
          <w:rFonts w:hint="eastAsia" w:ascii="仿宋" w:hAnsi="仿宋" w:eastAsia="仿宋" w:cs="仿宋_GB2312"/>
          <w:sz w:val="24"/>
        </w:rPr>
        <w:t>.5询问或者质疑事项可能影响采购结果的，采购人应当暂停签订合同，已经签订合同的，应当中止履行合同。</w:t>
      </w:r>
    </w:p>
    <w:p>
      <w:pPr>
        <w:pStyle w:val="78"/>
        <w:snapToGrid w:val="0"/>
        <w:spacing w:before="0" w:beforeAutospacing="0" w:after="0" w:afterAutospacing="0" w:line="360" w:lineRule="auto"/>
        <w:ind w:firstLine="480" w:firstLineChars="200"/>
        <w:rPr>
          <w:rFonts w:hint="eastAsia" w:ascii="仿宋" w:hAnsi="仿宋" w:eastAsia="仿宋" w:cs="仿宋_GB2312"/>
        </w:rPr>
      </w:pPr>
      <w:r>
        <w:rPr>
          <w:rFonts w:hint="eastAsia" w:ascii="仿宋" w:hAnsi="仿宋" w:eastAsia="仿宋" w:cs="仿宋_GB2312"/>
          <w:kern w:val="2"/>
        </w:rPr>
        <w:t>4.2.6质疑接收人：</w:t>
      </w:r>
      <w:r>
        <w:rPr>
          <w:rStyle w:val="139"/>
          <w:rFonts w:hint="eastAsia" w:ascii="仿宋" w:hAnsi="仿宋" w:eastAsia="仿宋" w:cs="仿宋_GB2312"/>
        </w:rPr>
        <w:t>楼城娇；联系电话：0571-888210402-801</w:t>
      </w:r>
      <w:r>
        <w:rPr>
          <w:rFonts w:hint="eastAsia" w:ascii="仿宋" w:hAnsi="仿宋" w:eastAsia="仿宋" w:cs="仿宋_GB2312"/>
          <w:kern w:val="2"/>
          <w:szCs w:val="20"/>
        </w:rPr>
        <w:t>，传真：0571-88821402-820；地址：</w:t>
      </w:r>
      <w:r>
        <w:rPr>
          <w:rStyle w:val="139"/>
          <w:rFonts w:hint="eastAsia" w:ascii="仿宋" w:hAnsi="仿宋" w:eastAsia="仿宋" w:cs="仿宋_GB2312"/>
        </w:rPr>
        <w:t>杭州市下城区环城北路141号永通信息广场西楼10楼1001室</w:t>
      </w:r>
      <w:r>
        <w:rPr>
          <w:rFonts w:hint="eastAsia" w:ascii="仿宋" w:hAnsi="仿宋" w:eastAsia="仿宋" w:cs="仿宋_GB2312"/>
          <w:kern w:val="2"/>
          <w:szCs w:val="20"/>
        </w:rPr>
        <w:t>。</w:t>
      </w:r>
    </w:p>
    <w:p>
      <w:pPr>
        <w:pStyle w:val="43"/>
        <w:spacing w:line="360" w:lineRule="auto"/>
        <w:ind w:firstLine="240" w:firstLineChars="100"/>
        <w:rPr>
          <w:rFonts w:hint="eastAsia" w:ascii="仿宋" w:hAnsi="仿宋" w:eastAsia="仿宋" w:cs="仿宋_GB2312"/>
          <w:kern w:val="0"/>
          <w:sz w:val="24"/>
          <w:szCs w:val="24"/>
          <w:lang w:val="zh-CN"/>
        </w:rPr>
      </w:pPr>
      <w:r>
        <w:rPr>
          <w:rFonts w:hint="eastAsia" w:ascii="仿宋" w:hAnsi="仿宋" w:eastAsia="仿宋" w:cs="仿宋_GB2312"/>
          <w:kern w:val="0"/>
          <w:sz w:val="24"/>
          <w:szCs w:val="24"/>
          <w:lang w:val="zh-CN"/>
        </w:rPr>
        <w:t>4.3供应商投诉</w:t>
      </w:r>
    </w:p>
    <w:p>
      <w:pPr>
        <w:pStyle w:val="142"/>
        <w:snapToGrid w:val="0"/>
        <w:spacing w:before="0"/>
        <w:ind w:firstLine="480"/>
        <w:rPr>
          <w:rFonts w:hint="eastAsia" w:ascii="仿宋" w:hAnsi="仿宋" w:eastAsia="仿宋" w:cs="仿宋_GB2312"/>
        </w:rPr>
      </w:pPr>
      <w:r>
        <w:rPr>
          <w:rFonts w:hint="eastAsia" w:ascii="仿宋" w:hAnsi="仿宋" w:eastAsia="仿宋" w:cs="仿宋_GB2312"/>
        </w:rPr>
        <w:t>4.3.1质疑供应商对采购人、采购代理机构的答复不满意或者采购人、采购代理机构未在规定的时间内作出答复的，可以在答复期满后十五个工作日内向同级政府采购监督管理部门提出投诉。</w:t>
      </w:r>
    </w:p>
    <w:p>
      <w:pPr>
        <w:pStyle w:val="43"/>
        <w:spacing w:line="360" w:lineRule="auto"/>
        <w:ind w:firstLine="480" w:firstLineChars="200"/>
        <w:rPr>
          <w:rFonts w:hint="eastAsia" w:ascii="仿宋" w:hAnsi="仿宋" w:eastAsia="仿宋" w:cs="仿宋_GB2312"/>
          <w:b/>
          <w:kern w:val="0"/>
          <w:sz w:val="24"/>
          <w:szCs w:val="24"/>
          <w:lang w:val="zh-CN"/>
        </w:rPr>
      </w:pPr>
      <w:r>
        <w:rPr>
          <w:rFonts w:hint="eastAsia" w:ascii="仿宋" w:hAnsi="仿宋" w:eastAsia="仿宋" w:cs="仿宋_GB2312"/>
          <w:sz w:val="24"/>
        </w:rPr>
        <w:t>4.3.</w:t>
      </w:r>
      <w:r>
        <w:rPr>
          <w:rFonts w:hint="eastAsia" w:ascii="仿宋" w:hAnsi="仿宋" w:eastAsia="仿宋" w:cs="仿宋_GB2312"/>
          <w:kern w:val="0"/>
          <w:sz w:val="24"/>
          <w:szCs w:val="24"/>
          <w:lang w:val="zh-CN"/>
        </w:rPr>
        <w:t>2</w:t>
      </w:r>
      <w:r>
        <w:rPr>
          <w:rFonts w:hint="eastAsia" w:ascii="仿宋" w:hAnsi="仿宋" w:eastAsia="仿宋" w:cs="仿宋_GB2312"/>
          <w:sz w:val="24"/>
        </w:rPr>
        <w:t>供应商投诉的事项不得超出已质疑事项的范围，基于质疑答复内容提出的投诉事项除外。</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4.3.3供应商投诉应当有明确的请求和必要的证明材料。投诉书范本及制作说明详见附件3.</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4.3.5 以联合体形式参加政府采购活动的，其投诉应当由组成联合体的所有供应商共同提出。</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投诉书范本及制作说明详见附件3。</w:t>
      </w:r>
    </w:p>
    <w:p>
      <w:pPr>
        <w:pStyle w:val="142"/>
        <w:snapToGrid w:val="0"/>
        <w:spacing w:before="0"/>
        <w:ind w:firstLine="360"/>
        <w:rPr>
          <w:rFonts w:hint="eastAsia" w:ascii="仿宋" w:hAnsi="仿宋" w:eastAsia="仿宋" w:cs="仿宋_GB2312"/>
          <w:sz w:val="18"/>
          <w:szCs w:val="18"/>
        </w:rPr>
      </w:pPr>
    </w:p>
    <w:p>
      <w:pPr>
        <w:adjustRightInd/>
        <w:spacing w:line="360" w:lineRule="auto"/>
        <w:jc w:val="center"/>
        <w:outlineLvl w:val="0"/>
        <w:rPr>
          <w:rFonts w:hint="eastAsia" w:ascii="仿宋" w:hAnsi="仿宋" w:eastAsia="仿宋" w:cs="仿宋_GB2312"/>
          <w:b/>
          <w:sz w:val="32"/>
          <w:szCs w:val="20"/>
        </w:rPr>
      </w:pPr>
      <w:bookmarkStart w:id="10" w:name="_Hlt74729768"/>
      <w:bookmarkEnd w:id="10"/>
      <w:bookmarkStart w:id="11" w:name="_Hlt74707468"/>
      <w:bookmarkEnd w:id="11"/>
      <w:bookmarkStart w:id="12" w:name="_Hlt68057669"/>
      <w:bookmarkEnd w:id="12"/>
      <w:bookmarkStart w:id="13" w:name="_Hlt74730295"/>
      <w:bookmarkEnd w:id="13"/>
      <w:bookmarkStart w:id="14" w:name="_Hlt74714665"/>
      <w:bookmarkEnd w:id="14"/>
      <w:bookmarkStart w:id="15" w:name="_Hlt75236290"/>
      <w:bookmarkEnd w:id="15"/>
      <w:bookmarkStart w:id="16" w:name="_Hlt68072990"/>
      <w:bookmarkEnd w:id="16"/>
      <w:bookmarkStart w:id="17" w:name="_Toc91899879"/>
      <w:r>
        <w:rPr>
          <w:rFonts w:hint="eastAsia" w:ascii="仿宋" w:hAnsi="仿宋" w:eastAsia="仿宋" w:cs="仿宋_GB2312"/>
          <w:b/>
          <w:sz w:val="32"/>
          <w:szCs w:val="20"/>
        </w:rPr>
        <w:t>二、招标文件</w:t>
      </w:r>
      <w:bookmarkEnd w:id="17"/>
      <w:r>
        <w:rPr>
          <w:rFonts w:hint="eastAsia" w:ascii="仿宋" w:hAnsi="仿宋" w:eastAsia="仿宋" w:cs="仿宋_GB2312"/>
          <w:b/>
          <w:sz w:val="32"/>
          <w:szCs w:val="20"/>
        </w:rPr>
        <w:t>的构成、澄清、修改</w:t>
      </w:r>
    </w:p>
    <w:p>
      <w:pPr>
        <w:pStyle w:val="43"/>
        <w:spacing w:line="360" w:lineRule="auto"/>
        <w:rPr>
          <w:rFonts w:hint="eastAsia" w:ascii="仿宋" w:hAnsi="仿宋" w:eastAsia="仿宋" w:cs="仿宋_GB2312"/>
          <w:b/>
          <w:sz w:val="24"/>
          <w:szCs w:val="24"/>
        </w:rPr>
      </w:pPr>
      <w:bookmarkStart w:id="18" w:name="_Toc91899880"/>
      <w:bookmarkStart w:id="19" w:name="_Hlt74730307"/>
      <w:r>
        <w:rPr>
          <w:rFonts w:hint="eastAsia" w:ascii="仿宋" w:hAnsi="仿宋" w:eastAsia="仿宋" w:cs="仿宋_GB2312"/>
          <w:b/>
          <w:sz w:val="24"/>
          <w:szCs w:val="24"/>
        </w:rPr>
        <w:t>5．招标文件的构成</w:t>
      </w:r>
      <w:bookmarkEnd w:id="18"/>
    </w:p>
    <w:bookmarkEnd w:id="19"/>
    <w:p>
      <w:pPr>
        <w:pStyle w:val="43"/>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5.1 招标文件包括下列文件及附件</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第一部分 招标公告</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第二部分 投标人须知</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第三部分 采购需求</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第四部分 评标方法及评分标准</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第五部分 拟签订的合同文本</w:t>
      </w:r>
    </w:p>
    <w:p>
      <w:pPr>
        <w:pStyle w:val="43"/>
        <w:numPr>
          <w:ilvl w:val="0"/>
          <w:numId w:val="4"/>
        </w:numPr>
        <w:spacing w:line="360" w:lineRule="auto"/>
        <w:ind w:left="839" w:firstLine="480" w:firstLineChars="200"/>
        <w:rPr>
          <w:rFonts w:hint="eastAsia" w:ascii="仿宋" w:hAnsi="仿宋" w:eastAsia="仿宋" w:cs="仿宋_GB2312"/>
          <w:sz w:val="24"/>
          <w:szCs w:val="24"/>
        </w:rPr>
      </w:pPr>
      <w:r>
        <w:rPr>
          <w:rFonts w:hint="eastAsia" w:ascii="仿宋" w:hAnsi="仿宋" w:eastAsia="仿宋" w:cs="仿宋_GB2312"/>
          <w:sz w:val="24"/>
          <w:szCs w:val="24"/>
        </w:rPr>
        <w:t>第六部分 应提交的有关格式范例</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5.2与本项目有关的</w:t>
      </w:r>
      <w:r>
        <w:rPr>
          <w:rFonts w:hint="eastAsia" w:ascii="仿宋" w:hAnsi="仿宋" w:eastAsia="仿宋" w:cs="仿宋_GB2312"/>
          <w:bCs/>
          <w:sz w:val="24"/>
        </w:rPr>
        <w:t>澄清或者修改的内容为招标文件的组成部分</w:t>
      </w:r>
      <w:r>
        <w:rPr>
          <w:rFonts w:hint="eastAsia" w:ascii="仿宋" w:hAnsi="仿宋" w:eastAsia="仿宋" w:cs="仿宋_GB2312"/>
          <w:sz w:val="24"/>
        </w:rPr>
        <w:t>。</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6. 招标文件的澄清、修改</w:t>
      </w:r>
    </w:p>
    <w:p>
      <w:pPr>
        <w:pStyle w:val="142"/>
        <w:snapToGrid w:val="0"/>
        <w:spacing w:before="0"/>
        <w:ind w:firstLine="480"/>
        <w:rPr>
          <w:rFonts w:hint="eastAsia"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42"/>
        <w:snapToGrid w:val="0"/>
        <w:spacing w:before="0"/>
        <w:ind w:firstLine="480"/>
        <w:rPr>
          <w:rFonts w:hint="eastAsia" w:ascii="仿宋" w:hAnsi="仿宋" w:eastAsia="仿宋" w:cs="仿宋_GB2312"/>
        </w:rPr>
      </w:pPr>
      <w:r>
        <w:rPr>
          <w:rFonts w:hint="eastAsia" w:ascii="仿宋" w:hAnsi="仿宋" w:eastAsia="仿宋" w:cs="仿宋_GB2312"/>
        </w:rPr>
        <w:t>6.2采购代理机构如对已发出的招标文件进行必要澄清或者修改的，将在发布招标公告的网站上发布更正公告，同时视情况延长投标截止时间和开标时间。该澄清或者修改的内容为招标文件的组成部分。</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cs="仿宋_GB2312"/>
          <w:b/>
          <w:sz w:val="24"/>
        </w:rPr>
        <w:t>▲</w:t>
      </w:r>
      <w:r>
        <w:rPr>
          <w:rFonts w:hint="eastAsia" w:ascii="仿宋" w:hAnsi="仿宋" w:eastAsia="仿宋" w:cs="仿宋_GB2312"/>
          <w:b/>
          <w:sz w:val="24"/>
          <w:szCs w:val="21"/>
        </w:rPr>
        <w:t>投标文件未按招标文件的澄清、修改的内容编制，又不符合实质性要求的，投标无效。</w:t>
      </w:r>
    </w:p>
    <w:p>
      <w:pPr>
        <w:adjustRightInd/>
        <w:spacing w:line="360" w:lineRule="auto"/>
        <w:jc w:val="center"/>
        <w:outlineLvl w:val="0"/>
        <w:rPr>
          <w:rFonts w:hint="eastAsia" w:ascii="仿宋" w:hAnsi="仿宋" w:eastAsia="仿宋" w:cs="仿宋_GB2312"/>
          <w:b/>
          <w:sz w:val="30"/>
          <w:szCs w:val="20"/>
        </w:rPr>
      </w:pPr>
      <w:bookmarkStart w:id="20" w:name="_Hlt75236011"/>
      <w:bookmarkEnd w:id="20"/>
      <w:bookmarkStart w:id="21" w:name="_Toc91899884"/>
      <w:r>
        <w:rPr>
          <w:rFonts w:hint="eastAsia" w:ascii="仿宋" w:hAnsi="仿宋" w:eastAsia="仿宋" w:cs="仿宋_GB2312"/>
          <w:b/>
          <w:sz w:val="30"/>
          <w:szCs w:val="20"/>
        </w:rPr>
        <w:t>三、投标</w:t>
      </w:r>
      <w:bookmarkEnd w:id="21"/>
    </w:p>
    <w:p>
      <w:pPr>
        <w:pStyle w:val="43"/>
        <w:spacing w:line="360" w:lineRule="auto"/>
        <w:rPr>
          <w:rFonts w:hint="eastAsia" w:ascii="仿宋" w:hAnsi="仿宋" w:eastAsia="仿宋" w:cs="仿宋_GB2312"/>
          <w:b/>
          <w:sz w:val="24"/>
          <w:szCs w:val="24"/>
        </w:rPr>
      </w:pPr>
      <w:bookmarkStart w:id="22" w:name="_Toc86216991"/>
      <w:bookmarkStart w:id="23" w:name="_Toc91899892"/>
      <w:r>
        <w:rPr>
          <w:rFonts w:hint="eastAsia" w:ascii="仿宋" w:hAnsi="仿宋" w:eastAsia="仿宋" w:cs="仿宋_GB2312"/>
          <w:b/>
          <w:sz w:val="24"/>
          <w:szCs w:val="24"/>
        </w:rPr>
        <w:t>7. 招标文件的获取</w:t>
      </w:r>
    </w:p>
    <w:p>
      <w:pPr>
        <w:spacing w:line="360" w:lineRule="auto"/>
        <w:rPr>
          <w:rFonts w:hint="eastAsia"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8.开标前答疑会或现场考察</w:t>
      </w:r>
    </w:p>
    <w:p>
      <w:pPr>
        <w:pStyle w:val="43"/>
        <w:spacing w:line="360" w:lineRule="auto"/>
        <w:ind w:firstLine="240" w:firstLineChars="100"/>
        <w:rPr>
          <w:rFonts w:hint="eastAsia" w:ascii="仿宋" w:hAnsi="仿宋" w:eastAsia="仿宋" w:cs="仿宋_GB2312"/>
          <w:sz w:val="24"/>
          <w:szCs w:val="24"/>
        </w:rPr>
      </w:pPr>
      <w:r>
        <w:rPr>
          <w:rFonts w:hint="eastAsia" w:ascii="仿宋" w:hAnsi="仿宋" w:eastAsia="仿宋" w:cs="仿宋_GB2312"/>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cs="仿宋_GB2312"/>
          <w:b/>
          <w:sz w:val="24"/>
          <w:szCs w:val="24"/>
        </w:rPr>
        <w:t>采购人不单独或分别组织只有一个供应商参加的现场考察和答疑会。</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9. 投标文件的语言</w:t>
      </w:r>
    </w:p>
    <w:p>
      <w:pPr>
        <w:autoSpaceDE w:val="0"/>
        <w:autoSpaceDN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10. 投标文件的组成</w:t>
      </w:r>
    </w:p>
    <w:p>
      <w:pPr>
        <w:pStyle w:val="43"/>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资格文件、报价文件、商务技术文件</w:t>
      </w:r>
      <w:r>
        <w:rPr>
          <w:rFonts w:hint="eastAsia" w:ascii="仿宋" w:hAnsi="仿宋" w:eastAsia="仿宋" w:cs="仿宋_GB2312"/>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kern w:val="0"/>
          <w:sz w:val="24"/>
        </w:rPr>
      </w:pPr>
      <w:r>
        <w:rPr>
          <w:rFonts w:hint="eastAsia" w:ascii="仿宋" w:hAnsi="仿宋" w:eastAsia="仿宋" w:cs="仿宋_GB2312"/>
          <w:sz w:val="24"/>
        </w:rPr>
        <w:t>10.1</w:t>
      </w:r>
      <w:r>
        <w:rPr>
          <w:rFonts w:hint="eastAsia" w:ascii="仿宋" w:hAnsi="仿宋" w:eastAsia="仿宋" w:cs="仿宋_GB2312"/>
          <w:b/>
          <w:sz w:val="24"/>
        </w:rPr>
        <w:t>资格文件</w:t>
      </w:r>
      <w:r>
        <w:rPr>
          <w:rFonts w:hint="eastAsia" w:ascii="仿宋" w:hAnsi="仿宋" w:eastAsia="仿宋" w:cs="仿宋_GB2312"/>
          <w:sz w:val="24"/>
        </w:rPr>
        <w:t>应包括以下内容（均需加盖公章）：</w:t>
      </w:r>
      <w:r>
        <w:rPr>
          <w:rFonts w:hint="eastAsia" w:ascii="仿宋" w:hAnsi="仿宋" w:eastAsia="仿宋" w:cs="仿宋_GB2312"/>
          <w:kern w:val="0"/>
          <w:sz w:val="24"/>
        </w:rPr>
        <w:t>证明其符合《中华人民共和国政府采购法》规定的供应商基本条件和采购项目对供应商的特定条件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（以联合体形式进行政府采购的，参加联合体的供应商均应当提供）</w:t>
      </w:r>
    </w:p>
    <w:p>
      <w:pPr>
        <w:pStyle w:val="43"/>
        <w:spacing w:line="360" w:lineRule="auto"/>
        <w:ind w:firstLine="480" w:firstLineChars="200"/>
        <w:rPr>
          <w:rFonts w:hint="eastAsia" w:ascii="仿宋" w:hAnsi="仿宋" w:eastAsia="仿宋" w:cs="仿宋_GB2312"/>
          <w:sz w:val="24"/>
          <w:szCs w:val="24"/>
        </w:rPr>
      </w:pPr>
      <w:bookmarkStart w:id="24" w:name="_Hlt68072998"/>
      <w:bookmarkEnd w:id="24"/>
      <w:bookmarkStart w:id="25" w:name="_Hlt68073093"/>
      <w:bookmarkEnd w:id="25"/>
      <w:bookmarkStart w:id="26" w:name="_Hlt68403820"/>
      <w:bookmarkEnd w:id="26"/>
      <w:r>
        <w:rPr>
          <w:rFonts w:hint="eastAsia" w:ascii="仿宋" w:hAnsi="仿宋" w:eastAsia="仿宋" w:cs="仿宋_GB2312"/>
          <w:sz w:val="24"/>
          <w:szCs w:val="24"/>
        </w:rPr>
        <w:t>10.1.1营业执照(或事业法人登记证或其他工商等登记证明材料)复印件（投标人为自然人的，提供</w:t>
      </w:r>
      <w:r>
        <w:rPr>
          <w:rFonts w:hint="eastAsia" w:ascii="仿宋" w:hAnsi="仿宋" w:eastAsia="仿宋" w:cs="仿宋_GB2312"/>
          <w:kern w:val="0"/>
          <w:sz w:val="24"/>
          <w:szCs w:val="24"/>
        </w:rPr>
        <w:t>自然人的身份证明</w:t>
      </w:r>
      <w:r>
        <w:rPr>
          <w:rFonts w:hint="eastAsia" w:ascii="仿宋" w:hAnsi="仿宋" w:eastAsia="仿宋" w:cs="仿宋_GB2312"/>
          <w:sz w:val="24"/>
          <w:szCs w:val="24"/>
        </w:rPr>
        <w:t>）、税务登记证(</w:t>
      </w:r>
      <w:r>
        <w:rPr>
          <w:rFonts w:hint="eastAsia" w:ascii="仿宋" w:hAnsi="仿宋" w:eastAsia="仿宋" w:cs="仿宋_GB2312"/>
          <w:kern w:val="0"/>
          <w:sz w:val="24"/>
          <w:szCs w:val="24"/>
        </w:rPr>
        <w:t>或其它依法缴纳税收的相关材料</w:t>
      </w:r>
      <w:r>
        <w:rPr>
          <w:rFonts w:hint="eastAsia" w:ascii="仿宋" w:hAnsi="仿宋" w:eastAsia="仿宋" w:cs="仿宋_GB2312"/>
          <w:sz w:val="24"/>
          <w:szCs w:val="24"/>
        </w:rPr>
        <w:t>)复印件、社保登记证（</w:t>
      </w:r>
      <w:r>
        <w:rPr>
          <w:rFonts w:hint="eastAsia" w:ascii="仿宋" w:hAnsi="仿宋" w:eastAsia="仿宋" w:cs="仿宋_GB2312"/>
          <w:kern w:val="0"/>
          <w:sz w:val="24"/>
          <w:szCs w:val="24"/>
        </w:rPr>
        <w:t>或其它依法缴社会保障资金的相关材料</w:t>
      </w:r>
      <w:r>
        <w:rPr>
          <w:rFonts w:hint="eastAsia" w:ascii="仿宋" w:hAnsi="仿宋" w:eastAsia="仿宋" w:cs="仿宋_GB2312"/>
          <w:sz w:val="24"/>
          <w:szCs w:val="24"/>
        </w:rPr>
        <w:t>）复印件；实施“多证合一、一照一码”登记制度改革的，只需提供改革后取得的营业执照复印件；</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10.1.2 2018年度资产负债表等财务报表资料文件 (或其它</w:t>
      </w:r>
      <w:r>
        <w:rPr>
          <w:rFonts w:hint="eastAsia" w:ascii="仿宋" w:hAnsi="仿宋" w:eastAsia="仿宋" w:cs="仿宋_GB2312"/>
          <w:kern w:val="0"/>
          <w:sz w:val="24"/>
        </w:rPr>
        <w:t>财务状况报告，</w:t>
      </w:r>
      <w:r>
        <w:rPr>
          <w:rFonts w:hint="eastAsia" w:ascii="仿宋" w:hAnsi="仿宋" w:eastAsia="仿宋" w:cs="仿宋_GB2312"/>
          <w:sz w:val="24"/>
        </w:rPr>
        <w:t>新成立的公司，必须提供情况说明)；</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10.1.3具有履行合同所必需的设备和专业技术能力的承诺函；</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10.1.4参加政府采购活动前三年内，在经营活动中没有重大违法记录的声明；</w:t>
      </w:r>
    </w:p>
    <w:p>
      <w:pPr>
        <w:spacing w:line="360" w:lineRule="auto"/>
        <w:ind w:firstLine="480" w:firstLineChars="200"/>
        <w:rPr>
          <w:rFonts w:hint="eastAsia" w:ascii="仿宋" w:hAnsi="仿宋" w:eastAsia="仿宋" w:cs="仿宋_GB2312"/>
          <w:sz w:val="24"/>
          <w:szCs w:val="20"/>
        </w:rPr>
      </w:pPr>
      <w:r>
        <w:rPr>
          <w:rFonts w:hint="eastAsia" w:ascii="仿宋" w:hAnsi="仿宋" w:eastAsia="仿宋" w:cs="仿宋_GB2312"/>
          <w:sz w:val="24"/>
        </w:rPr>
        <w:t>10.1.5</w:t>
      </w:r>
      <w:r>
        <w:rPr>
          <w:rFonts w:hint="eastAsia" w:ascii="仿宋" w:hAnsi="仿宋" w:eastAsia="仿宋" w:cs="仿宋_GB2312"/>
          <w:sz w:val="24"/>
          <w:szCs w:val="20"/>
        </w:rPr>
        <w:t xml:space="preserve">具有良好商业信誉的特别声明； </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10.1.6符合特定资格条件（如果项目要求）的有关证明材料（复印件）；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附法定代表人授权书（如法定代表人直接参加投标并对相应文件签字的，只需提供其身份证复印件正反面；如以联合体形式参加政府采购活动的，按招标文件有关格式范例提供联合体投标授权书）；</w:t>
      </w:r>
    </w:p>
    <w:p>
      <w:pPr>
        <w:snapToGrid w:val="0"/>
        <w:spacing w:line="360" w:lineRule="auto"/>
        <w:ind w:firstLine="480" w:firstLineChars="200"/>
        <w:rPr>
          <w:rFonts w:hint="eastAsia" w:ascii="仿宋" w:hAnsi="仿宋" w:eastAsia="仿宋" w:cs="仿宋_GB2312"/>
          <w:sz w:val="24"/>
          <w:u w:val="single"/>
          <w:lang w:val="zh-CN"/>
        </w:rPr>
      </w:pPr>
      <w:r>
        <w:rPr>
          <w:rFonts w:hint="eastAsia" w:ascii="仿宋" w:hAnsi="仿宋" w:eastAsia="仿宋" w:cs="仿宋_GB2312"/>
          <w:kern w:val="0"/>
          <w:sz w:val="24"/>
          <w:lang w:val="zh-CN"/>
        </w:rPr>
        <w:t>1</w:t>
      </w:r>
      <w:r>
        <w:rPr>
          <w:rFonts w:hint="eastAsia" w:ascii="仿宋" w:hAnsi="仿宋" w:eastAsia="仿宋" w:cs="仿宋_GB2312"/>
          <w:kern w:val="0"/>
          <w:sz w:val="24"/>
        </w:rPr>
        <w:t>0</w:t>
      </w:r>
      <w:r>
        <w:rPr>
          <w:rFonts w:hint="eastAsia" w:ascii="仿宋" w:hAnsi="仿宋" w:eastAsia="仿宋" w:cs="仿宋_GB2312"/>
          <w:kern w:val="0"/>
          <w:sz w:val="24"/>
          <w:lang w:val="zh-CN"/>
        </w:rPr>
        <w:t xml:space="preserve">.2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应包括以下内容（均需加盖公章）：</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10.2.1</w:t>
      </w:r>
      <w:r>
        <w:rPr>
          <w:rFonts w:hint="eastAsia" w:ascii="仿宋" w:hAnsi="仿宋" w:eastAsia="仿宋" w:cs="仿宋_GB2312"/>
          <w:kern w:val="0"/>
          <w:sz w:val="24"/>
        </w:rPr>
        <w:t>投标响应函</w:t>
      </w:r>
      <w:r>
        <w:rPr>
          <w:rFonts w:hint="eastAsia" w:ascii="仿宋" w:hAnsi="仿宋" w:eastAsia="仿宋" w:cs="仿宋_GB2312"/>
          <w:sz w:val="24"/>
        </w:rPr>
        <w:t>；</w:t>
      </w:r>
    </w:p>
    <w:p>
      <w:pPr>
        <w:pStyle w:val="43"/>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10.2.2投标(开标)一览表；</w:t>
      </w:r>
    </w:p>
    <w:p>
      <w:pPr>
        <w:pStyle w:val="43"/>
        <w:snapToGrid w:val="0"/>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10.2.3中小企业声明函。</w:t>
      </w:r>
    </w:p>
    <w:p>
      <w:pPr>
        <w:pStyle w:val="43"/>
        <w:spacing w:line="360" w:lineRule="auto"/>
        <w:ind w:firstLine="480" w:firstLineChars="200"/>
        <w:rPr>
          <w:rFonts w:hint="eastAsia" w:ascii="仿宋" w:hAnsi="仿宋" w:eastAsia="仿宋" w:cs="仿宋_GB2312"/>
          <w:sz w:val="24"/>
          <w:szCs w:val="24"/>
          <w:lang w:val="zh-CN"/>
        </w:rPr>
      </w:pPr>
      <w:r>
        <w:rPr>
          <w:rFonts w:hint="eastAsia" w:ascii="仿宋" w:hAnsi="仿宋" w:eastAsia="仿宋" w:cs="仿宋_GB2312"/>
          <w:kern w:val="0"/>
          <w:sz w:val="24"/>
          <w:szCs w:val="24"/>
          <w:lang w:val="zh-CN"/>
        </w:rPr>
        <w:t>1</w:t>
      </w:r>
      <w:r>
        <w:rPr>
          <w:rFonts w:hint="eastAsia" w:ascii="仿宋" w:hAnsi="仿宋" w:eastAsia="仿宋" w:cs="仿宋_GB2312"/>
          <w:kern w:val="0"/>
          <w:sz w:val="24"/>
          <w:szCs w:val="24"/>
        </w:rPr>
        <w:t>0</w:t>
      </w:r>
      <w:r>
        <w:rPr>
          <w:rFonts w:hint="eastAsia" w:ascii="仿宋" w:hAnsi="仿宋" w:eastAsia="仿宋" w:cs="仿宋_GB2312"/>
          <w:kern w:val="0"/>
          <w:sz w:val="24"/>
          <w:szCs w:val="24"/>
          <w:lang w:val="zh-CN"/>
        </w:rPr>
        <w:t>.3  投标人的</w:t>
      </w:r>
      <w:r>
        <w:rPr>
          <w:rFonts w:hint="eastAsia" w:ascii="仿宋" w:hAnsi="仿宋" w:eastAsia="仿宋" w:cs="仿宋_GB2312"/>
          <w:b/>
          <w:sz w:val="24"/>
          <w:szCs w:val="24"/>
        </w:rPr>
        <w:t>商务技术</w:t>
      </w:r>
      <w:r>
        <w:rPr>
          <w:rFonts w:hint="eastAsia" w:ascii="仿宋" w:hAnsi="仿宋" w:eastAsia="仿宋" w:cs="仿宋_GB2312"/>
          <w:b/>
          <w:kern w:val="0"/>
          <w:sz w:val="24"/>
          <w:szCs w:val="24"/>
          <w:lang w:val="zh-CN"/>
        </w:rPr>
        <w:t>文件应</w:t>
      </w:r>
      <w:r>
        <w:rPr>
          <w:rFonts w:hint="eastAsia" w:ascii="仿宋" w:hAnsi="仿宋" w:eastAsia="仿宋" w:cs="仿宋_GB2312"/>
          <w:kern w:val="0"/>
          <w:sz w:val="24"/>
          <w:szCs w:val="24"/>
          <w:lang w:val="zh-CN"/>
        </w:rPr>
        <w:t>包括以下内容</w:t>
      </w:r>
      <w:r>
        <w:rPr>
          <w:rFonts w:hint="eastAsia" w:ascii="仿宋" w:hAnsi="仿宋" w:eastAsia="仿宋" w:cs="仿宋_GB2312"/>
          <w:sz w:val="24"/>
          <w:szCs w:val="24"/>
        </w:rPr>
        <w:t>（均需加盖公章）</w:t>
      </w:r>
      <w:r>
        <w:rPr>
          <w:rFonts w:hint="eastAsia" w:ascii="仿宋" w:hAnsi="仿宋" w:eastAsia="仿宋" w:cs="仿宋_GB2312"/>
          <w:kern w:val="0"/>
          <w:sz w:val="24"/>
          <w:szCs w:val="24"/>
          <w:lang w:val="zh-CN"/>
        </w:rPr>
        <w:t>：</w:t>
      </w:r>
      <w:r>
        <w:rPr>
          <w:rFonts w:hint="eastAsia" w:ascii="仿宋" w:hAnsi="仿宋" w:eastAsia="仿宋" w:cs="仿宋_GB2312"/>
          <w:sz w:val="24"/>
          <w:szCs w:val="24"/>
          <w:lang w:val="zh-CN"/>
        </w:rPr>
        <w:t xml:space="preserve"> </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.3.1</w:t>
      </w:r>
      <w:r>
        <w:rPr>
          <w:rFonts w:hint="eastAsia" w:ascii="仿宋" w:hAnsi="仿宋" w:eastAsia="仿宋" w:cs="仿宋_GB2312"/>
          <w:sz w:val="24"/>
        </w:rPr>
        <w:t>营业执照(或事业法人登记证或其他工商等登记证明材料)复印件（投标人为自然人的，须提供</w:t>
      </w:r>
      <w:r>
        <w:rPr>
          <w:rFonts w:hint="eastAsia" w:ascii="仿宋" w:hAnsi="仿宋" w:eastAsia="仿宋" w:cs="仿宋_GB2312"/>
          <w:kern w:val="0"/>
          <w:sz w:val="24"/>
        </w:rPr>
        <w:t>自然人的身份证明</w:t>
      </w:r>
      <w:r>
        <w:rPr>
          <w:rFonts w:hint="eastAsia" w:ascii="仿宋" w:hAnsi="仿宋" w:eastAsia="仿宋" w:cs="仿宋_GB2312"/>
          <w:sz w:val="24"/>
        </w:rPr>
        <w:t>）；</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.3.2</w:t>
      </w:r>
      <w:r>
        <w:rPr>
          <w:rFonts w:hint="eastAsia" w:ascii="仿宋" w:hAnsi="仿宋" w:eastAsia="仿宋" w:cs="仿宋_GB2312"/>
          <w:sz w:val="24"/>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cs="仿宋_GB2312"/>
          <w:b/>
          <w:sz w:val="24"/>
        </w:rPr>
        <w:t>投标文件中法定代表人授权书所载内容与本项目内容有异的，投标无效。</w:t>
      </w:r>
    </w:p>
    <w:p>
      <w:pPr>
        <w:pStyle w:val="43"/>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.3.3</w:t>
      </w:r>
      <w:r>
        <w:rPr>
          <w:rFonts w:hint="eastAsia" w:ascii="仿宋" w:hAnsi="仿宋" w:eastAsia="仿宋" w:cs="仿宋_GB2312"/>
          <w:sz w:val="24"/>
        </w:rPr>
        <w:t>如以联合体形式参加政府采购活动的，</w:t>
      </w:r>
      <w:r>
        <w:rPr>
          <w:rFonts w:hint="eastAsia" w:ascii="仿宋" w:hAnsi="仿宋" w:eastAsia="仿宋" w:cs="仿宋_GB2312"/>
          <w:sz w:val="24"/>
          <w:szCs w:val="24"/>
        </w:rPr>
        <w:t>联合体各方应当指定牵头人，授权其代表所有联合体成员负责投标和合同实施阶段的主办、协调工作，并应当向采购代理机构提交由所有联合体成员各方法定代表人签署的授权书，同时</w:t>
      </w:r>
      <w:r>
        <w:rPr>
          <w:rFonts w:hint="eastAsia" w:ascii="仿宋" w:hAnsi="仿宋" w:eastAsia="仿宋" w:cs="仿宋_GB2312"/>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cs="仿宋_GB2312"/>
          <w:b/>
          <w:sz w:val="24"/>
        </w:rPr>
        <w:t>▲如以联合体形式参加政府采购活动的，联合体协议不符合招标文件规定的联合体协议要求的，投标无效。</w:t>
      </w:r>
      <w:r>
        <w:rPr>
          <w:rFonts w:hint="eastAsia" w:ascii="仿宋" w:hAnsi="仿宋" w:eastAsia="仿宋" w:cs="仿宋_GB2312"/>
          <w:sz w:val="24"/>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w:t>
      </w:r>
      <w:r>
        <w:rPr>
          <w:rFonts w:hint="eastAsia" w:ascii="仿宋" w:hAnsi="仿宋" w:eastAsia="仿宋" w:cs="仿宋_GB2312"/>
          <w:sz w:val="24"/>
        </w:rPr>
        <w:t>4资信文件：</w:t>
      </w:r>
      <w:r>
        <w:rPr>
          <w:rFonts w:hint="eastAsia" w:ascii="仿宋" w:hAnsi="仿宋" w:eastAsia="仿宋" w:cs="仿宋_GB2312"/>
          <w:kern w:val="0"/>
          <w:sz w:val="24"/>
          <w:szCs w:val="20"/>
        </w:rPr>
        <w:t>见投标须知前附表所述。</w:t>
      </w:r>
    </w:p>
    <w:p>
      <w:pPr>
        <w:pStyle w:val="142"/>
        <w:snapToGrid w:val="0"/>
        <w:spacing w:before="0"/>
        <w:ind w:firstLine="480"/>
        <w:rPr>
          <w:rFonts w:hint="eastAsia" w:ascii="仿宋" w:hAnsi="仿宋" w:eastAsia="仿宋" w:cs="仿宋_GB2312"/>
          <w:kern w:val="0"/>
          <w:lang w:val="zh-CN"/>
        </w:rPr>
      </w:pPr>
      <w:r>
        <w:rPr>
          <w:rFonts w:hint="eastAsia" w:ascii="仿宋" w:hAnsi="仿宋" w:eastAsia="仿宋" w:cs="仿宋_GB2312"/>
          <w:lang w:val="zh-CN"/>
        </w:rPr>
        <w:t>1</w:t>
      </w:r>
      <w:r>
        <w:rPr>
          <w:rFonts w:hint="eastAsia" w:ascii="仿宋" w:hAnsi="仿宋" w:eastAsia="仿宋" w:cs="仿宋_GB2312"/>
        </w:rPr>
        <w:t>0</w:t>
      </w:r>
      <w:r>
        <w:rPr>
          <w:rFonts w:hint="eastAsia" w:ascii="仿宋" w:hAnsi="仿宋" w:eastAsia="仿宋" w:cs="仿宋_GB2312"/>
          <w:lang w:val="zh-CN"/>
        </w:rPr>
        <w:t>.3.</w:t>
      </w:r>
      <w:r>
        <w:rPr>
          <w:rFonts w:hint="eastAsia" w:ascii="仿宋" w:hAnsi="仿宋" w:eastAsia="仿宋" w:cs="仿宋_GB2312"/>
        </w:rPr>
        <w:t>5</w:t>
      </w:r>
      <w:r>
        <w:rPr>
          <w:rFonts w:hint="eastAsia" w:ascii="仿宋" w:hAnsi="仿宋" w:eastAsia="仿宋" w:cs="仿宋_GB2312"/>
          <w:kern w:val="0"/>
        </w:rPr>
        <w:t>投标截止时间前三年投标人的主要业绩证明材料即</w:t>
      </w:r>
      <w:r>
        <w:rPr>
          <w:rFonts w:hint="eastAsia" w:ascii="仿宋" w:hAnsi="仿宋" w:eastAsia="仿宋" w:cs="仿宋_GB2312"/>
          <w:lang w:val="zh-CN"/>
        </w:rPr>
        <w:t>合同</w:t>
      </w:r>
      <w:r>
        <w:rPr>
          <w:rFonts w:hint="eastAsia" w:ascii="仿宋" w:hAnsi="仿宋" w:eastAsia="仿宋" w:cs="仿宋_GB2312"/>
        </w:rPr>
        <w:t>和用户验收报告（联合体投标的，联合体各方</w:t>
      </w:r>
      <w:r>
        <w:rPr>
          <w:rFonts w:hint="eastAsia" w:ascii="仿宋" w:hAnsi="仿宋" w:eastAsia="仿宋" w:cs="仿宋_GB2312"/>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s="仿宋_GB2312"/>
        </w:rPr>
        <w:t>)</w:t>
      </w:r>
      <w:r>
        <w:rPr>
          <w:rFonts w:hint="eastAsia" w:ascii="仿宋" w:hAnsi="仿宋" w:eastAsia="仿宋" w:cs="仿宋_GB2312"/>
          <w:kern w:val="0"/>
        </w:rPr>
        <w:t>；</w:t>
      </w:r>
    </w:p>
    <w:p>
      <w:pPr>
        <w:snapToGrid w:val="0"/>
        <w:spacing w:line="360" w:lineRule="auto"/>
        <w:ind w:firstLine="540" w:firstLineChars="225"/>
        <w:rPr>
          <w:rFonts w:hint="eastAsia" w:ascii="仿宋" w:hAnsi="仿宋" w:eastAsia="仿宋" w:cs="仿宋_GB2312"/>
          <w:sz w:val="24"/>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w:t>
      </w:r>
      <w:r>
        <w:rPr>
          <w:rFonts w:hint="eastAsia" w:ascii="仿宋" w:hAnsi="仿宋" w:eastAsia="仿宋" w:cs="仿宋_GB2312"/>
          <w:sz w:val="24"/>
        </w:rPr>
        <w:t>6</w:t>
      </w:r>
      <w:r>
        <w:rPr>
          <w:rFonts w:hint="eastAsia" w:ascii="仿宋" w:hAnsi="仿宋" w:eastAsia="仿宋" w:cs="仿宋_GB2312"/>
          <w:kern w:val="0"/>
          <w:sz w:val="24"/>
          <w:lang w:val="zh-CN"/>
        </w:rPr>
        <w:t>投标人认为需要的其他商务文件或说明；</w:t>
      </w:r>
      <w:r>
        <w:rPr>
          <w:rFonts w:hint="eastAsia" w:ascii="仿宋" w:hAnsi="仿宋" w:eastAsia="仿宋" w:cs="仿宋_GB2312"/>
          <w:sz w:val="24"/>
        </w:rPr>
        <w:t xml:space="preserve"> </w:t>
      </w:r>
    </w:p>
    <w:p>
      <w:pPr>
        <w:pStyle w:val="43"/>
        <w:snapToGrid w:val="0"/>
        <w:spacing w:line="360" w:lineRule="auto"/>
        <w:ind w:firstLine="480" w:firstLineChars="200"/>
        <w:rPr>
          <w:rFonts w:hint="eastAsia" w:ascii="仿宋" w:hAnsi="仿宋" w:eastAsia="仿宋" w:cs="仿宋_GB2312"/>
          <w:sz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w:t>
      </w:r>
      <w:r>
        <w:rPr>
          <w:rFonts w:hint="eastAsia" w:ascii="仿宋" w:hAnsi="仿宋" w:eastAsia="仿宋" w:cs="仿宋_GB2312"/>
          <w:sz w:val="24"/>
        </w:rPr>
        <w:t>7</w:t>
      </w:r>
      <w:r>
        <w:rPr>
          <w:rFonts w:hint="eastAsia" w:ascii="仿宋" w:hAnsi="仿宋" w:eastAsia="仿宋" w:cs="仿宋_GB2312"/>
          <w:sz w:val="24"/>
          <w:lang w:val="zh-CN"/>
        </w:rPr>
        <w:t>投标人应提供针对项目的完整技术解决方案：</w:t>
      </w:r>
    </w:p>
    <w:p>
      <w:pPr>
        <w:snapToGrid w:val="0"/>
        <w:spacing w:line="360" w:lineRule="auto"/>
        <w:ind w:firstLine="480" w:firstLineChars="200"/>
        <w:rPr>
          <w:rFonts w:hint="eastAsia" w:ascii="仿宋" w:hAnsi="仿宋" w:eastAsia="仿宋" w:cs="仿宋_GB2312"/>
          <w:kern w:val="0"/>
          <w:sz w:val="24"/>
          <w:lang w:val="zh-CN"/>
        </w:rPr>
      </w:pPr>
      <w:r>
        <w:rPr>
          <w:rFonts w:hint="eastAsia" w:ascii="仿宋" w:hAnsi="仿宋" w:eastAsia="仿宋"/>
          <w:sz w:val="24"/>
          <w:lang w:val="zh-CN"/>
        </w:rPr>
        <w:t>针对本项目的完整技术解决方案和实施方案；详细阐述项目方案的实现思路及关键技术；符合本项目对当前和未来发展的要求；以及对功能设计和实施计划的建议；</w:t>
      </w:r>
    </w:p>
    <w:p>
      <w:pPr>
        <w:pStyle w:val="43"/>
        <w:snapToGrid w:val="0"/>
        <w:spacing w:line="360" w:lineRule="auto"/>
        <w:ind w:firstLine="482" w:firstLineChars="200"/>
        <w:rPr>
          <w:rFonts w:hint="eastAsia" w:ascii="仿宋" w:hAnsi="仿宋" w:eastAsia="仿宋"/>
          <w:kern w:val="0"/>
          <w:sz w:val="24"/>
          <w:lang w:val="zh-CN"/>
        </w:rPr>
      </w:pPr>
      <w:r>
        <w:rPr>
          <w:rFonts w:hint="eastAsia" w:ascii="仿宋" w:hAnsi="仿宋" w:eastAsia="仿宋"/>
          <w:b/>
          <w:sz w:val="24"/>
        </w:rPr>
        <w:t>如果本项目涉及硬件设备采购，还需提供相关设备完整配置方案（设备名称、品牌、规格型号、数量、主要技术参数等）</w:t>
      </w:r>
      <w:r>
        <w:rPr>
          <w:rFonts w:hint="eastAsia" w:ascii="仿宋" w:hAnsi="仿宋" w:eastAsia="仿宋"/>
          <w:sz w:val="24"/>
        </w:rPr>
        <w:t>，明确表示该项指标所涉及的软硬件是标准配置还是选择配置</w:t>
      </w:r>
      <w:r>
        <w:rPr>
          <w:rFonts w:hint="eastAsia" w:ascii="仿宋" w:hAnsi="仿宋" w:eastAsia="仿宋"/>
          <w:b/>
          <w:sz w:val="24"/>
        </w:rPr>
        <w:t>（所有技术指标表述均应采用中文，如当前公布的技术指标只有英文表述的，必须由投标人作出中文注释，否则</w:t>
      </w:r>
      <w:r>
        <w:rPr>
          <w:rFonts w:hint="eastAsia" w:ascii="仿宋" w:hAnsi="仿宋" w:eastAsia="仿宋" w:cs="仿宋_GB2312"/>
          <w:b/>
          <w:kern w:val="0"/>
          <w:sz w:val="24"/>
          <w:lang w:val="zh-CN"/>
        </w:rPr>
        <w:t>任何含糊不清的</w:t>
      </w:r>
      <w:r>
        <w:rPr>
          <w:rFonts w:hint="eastAsia" w:ascii="仿宋" w:hAnsi="仿宋" w:eastAsia="仿宋"/>
          <w:b/>
          <w:sz w:val="24"/>
        </w:rPr>
        <w:t>表述导致</w:t>
      </w:r>
      <w:r>
        <w:rPr>
          <w:rFonts w:hint="eastAsia" w:ascii="仿宋" w:hAnsi="仿宋" w:eastAsia="仿宋" w:cs="仿宋_GB2312"/>
          <w:b/>
          <w:kern w:val="0"/>
          <w:sz w:val="24"/>
          <w:lang w:val="zh-CN"/>
        </w:rPr>
        <w:t>评标委员会技术扣分直至认定为投标无效都将是投标人的责任）</w:t>
      </w:r>
      <w:r>
        <w:rPr>
          <w:rFonts w:hint="eastAsia" w:ascii="仿宋" w:hAnsi="仿宋" w:eastAsia="仿宋"/>
          <w:sz w:val="24"/>
        </w:rPr>
        <w:t>。</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.3.9</w:t>
      </w:r>
      <w:r>
        <w:rPr>
          <w:rFonts w:hint="eastAsia" w:ascii="仿宋" w:hAnsi="仿宋" w:eastAsia="仿宋" w:cs="仿宋_GB2312"/>
          <w:sz w:val="24"/>
        </w:rPr>
        <w:t>投标人在投标文件技术偏离说明表中，</w:t>
      </w:r>
      <w:r>
        <w:rPr>
          <w:rFonts w:hint="eastAsia" w:ascii="仿宋" w:hAnsi="仿宋" w:eastAsia="仿宋" w:cs="仿宋_GB2312"/>
          <w:kern w:val="0"/>
          <w:sz w:val="24"/>
          <w:lang w:val="zh-CN"/>
        </w:rPr>
        <w:t>应对</w:t>
      </w:r>
      <w:r>
        <w:rPr>
          <w:rFonts w:hint="eastAsia" w:ascii="仿宋" w:hAnsi="仿宋" w:eastAsia="仿宋" w:cs="仿宋_GB2312"/>
          <w:sz w:val="24"/>
        </w:rPr>
        <w:t>采购需求</w:t>
      </w:r>
      <w:r>
        <w:rPr>
          <w:rFonts w:hint="eastAsia" w:ascii="仿宋" w:hAnsi="仿宋" w:eastAsia="仿宋" w:cs="仿宋_GB2312"/>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.3.10</w:t>
      </w:r>
      <w:r>
        <w:rPr>
          <w:rFonts w:hint="eastAsia" w:ascii="仿宋" w:hAnsi="仿宋" w:eastAsia="仿宋"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.3.11</w:t>
      </w:r>
      <w:r>
        <w:rPr>
          <w:rFonts w:hint="eastAsia" w:ascii="仿宋" w:hAnsi="仿宋" w:eastAsia="仿宋"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480" w:firstLineChars="200"/>
        <w:rPr>
          <w:rFonts w:hint="eastAsia" w:ascii="仿宋" w:hAnsi="仿宋" w:eastAsia="仿宋"/>
          <w:kern w:val="0"/>
          <w:sz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.3.12</w:t>
      </w:r>
      <w:r>
        <w:rPr>
          <w:rFonts w:hint="eastAsia" w:ascii="仿宋" w:hAnsi="仿宋" w:eastAsia="仿宋"/>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w:t>
      </w:r>
      <w:r>
        <w:rPr>
          <w:rFonts w:hint="eastAsia" w:ascii="仿宋" w:hAnsi="仿宋" w:eastAsia="仿宋" w:cs="仿宋_GB2312"/>
          <w:kern w:val="0"/>
          <w:sz w:val="24"/>
          <w:lang w:val="zh-CN"/>
        </w:rPr>
        <w:t>资质情况等</w:t>
      </w:r>
      <w:r>
        <w:rPr>
          <w:rFonts w:hint="eastAsia" w:ascii="仿宋" w:hAnsi="仿宋" w:eastAsia="仿宋"/>
          <w:kern w:val="0"/>
          <w:sz w:val="24"/>
          <w:lang w:val="zh-CN"/>
        </w:rPr>
        <w:t>。</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.3.13</w:t>
      </w:r>
      <w:r>
        <w:rPr>
          <w:rFonts w:hint="eastAsia" w:ascii="仿宋" w:hAnsi="仿宋" w:eastAsia="仿宋"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.3.14</w:t>
      </w:r>
      <w:r>
        <w:rPr>
          <w:rFonts w:hint="eastAsia" w:ascii="仿宋" w:hAnsi="仿宋" w:eastAsia="仿宋"/>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.3.15</w:t>
      </w:r>
      <w:r>
        <w:rPr>
          <w:rFonts w:hint="eastAsia" w:ascii="仿宋" w:hAnsi="仿宋" w:eastAsia="仿宋" w:cs="仿宋_GB2312"/>
          <w:kern w:val="0"/>
          <w:sz w:val="24"/>
          <w:lang w:val="zh-CN"/>
        </w:rPr>
        <w:t>培训计划；（如果有）</w:t>
      </w:r>
    </w:p>
    <w:p>
      <w:pPr>
        <w:pStyle w:val="43"/>
        <w:spacing w:line="360" w:lineRule="auto"/>
        <w:ind w:firstLine="360" w:firstLineChars="150"/>
        <w:rPr>
          <w:rFonts w:hint="eastAsia" w:ascii="仿宋" w:hAnsi="仿宋" w:eastAsia="仿宋" w:cs="仿宋_GB2312"/>
          <w:kern w:val="0"/>
          <w:sz w:val="24"/>
          <w:szCs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.3.16</w:t>
      </w:r>
      <w:r>
        <w:rPr>
          <w:rFonts w:hint="eastAsia" w:ascii="仿宋" w:hAnsi="仿宋" w:eastAsia="仿宋" w:cs="仿宋_GB2312"/>
          <w:kern w:val="0"/>
          <w:sz w:val="24"/>
          <w:szCs w:val="24"/>
          <w:lang w:val="zh-CN"/>
        </w:rPr>
        <w:t>投标人认为需要的其他技术文件或说明；</w:t>
      </w:r>
    </w:p>
    <w:p>
      <w:pPr>
        <w:tabs>
          <w:tab w:val="left" w:pos="0"/>
        </w:tabs>
        <w:autoSpaceDE w:val="0"/>
        <w:autoSpaceDN w:val="0"/>
        <w:spacing w:line="360" w:lineRule="auto"/>
        <w:ind w:firstLine="360" w:firstLineChars="150"/>
        <w:rPr>
          <w:rFonts w:hint="eastAsia" w:ascii="仿宋" w:hAnsi="仿宋" w:eastAsia="仿宋" w:cs="仿宋_GB2312"/>
          <w:kern w:val="0"/>
          <w:sz w:val="24"/>
          <w:lang w:val="zh-CN"/>
        </w:rPr>
      </w:pPr>
      <w:r>
        <w:rPr>
          <w:rFonts w:hint="eastAsia" w:ascii="仿宋" w:hAnsi="仿宋" w:eastAsia="仿宋" w:cs="仿宋_GB2312"/>
          <w:sz w:val="24"/>
          <w:lang w:val="zh-CN"/>
        </w:rPr>
        <w:t>1</w:t>
      </w:r>
      <w:r>
        <w:rPr>
          <w:rFonts w:hint="eastAsia" w:ascii="仿宋" w:hAnsi="仿宋" w:eastAsia="仿宋" w:cs="仿宋_GB2312"/>
          <w:sz w:val="24"/>
        </w:rPr>
        <w:t>0</w:t>
      </w:r>
      <w:r>
        <w:rPr>
          <w:rFonts w:hint="eastAsia" w:ascii="仿宋" w:hAnsi="仿宋" w:eastAsia="仿宋" w:cs="仿宋_GB2312"/>
          <w:sz w:val="24"/>
          <w:lang w:val="zh-CN"/>
        </w:rPr>
        <w:t>.3.17</w:t>
      </w:r>
      <w:r>
        <w:rPr>
          <w:rFonts w:hint="eastAsia" w:ascii="仿宋" w:hAnsi="仿宋" w:eastAsia="仿宋" w:cs="仿宋_GB2312"/>
          <w:kern w:val="0"/>
          <w:sz w:val="24"/>
          <w:lang w:val="zh-CN"/>
        </w:rPr>
        <w:t>关于对招标文件商务、合同中有关条款的拒绝声明。（如果有）</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▲投标文件组成漏项，内容不全或内容字迹模糊辨认不清的，投标无效；</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▲投标文件含有采购人不能接受的附加条件的，投标无效；</w:t>
      </w:r>
    </w:p>
    <w:p>
      <w:pPr>
        <w:spacing w:line="360" w:lineRule="auto"/>
        <w:ind w:firstLine="482" w:firstLineChars="200"/>
        <w:rPr>
          <w:rFonts w:hint="eastAsia" w:ascii="仿宋" w:hAnsi="仿宋" w:eastAsia="仿宋" w:cs="仿宋_GB2312"/>
          <w:b/>
          <w:sz w:val="24"/>
          <w:szCs w:val="21"/>
        </w:rPr>
      </w:pPr>
      <w:r>
        <w:rPr>
          <w:rFonts w:hint="eastAsia" w:ascii="仿宋" w:hAnsi="仿宋" w:eastAsia="仿宋" w:cs="仿宋_GB2312"/>
          <w:b/>
          <w:sz w:val="24"/>
        </w:rPr>
        <w:t>▲投标人提供虚假材料投标的，投标无效。</w:t>
      </w:r>
    </w:p>
    <w:p>
      <w:pPr>
        <w:pStyle w:val="142"/>
        <w:snapToGrid w:val="0"/>
        <w:spacing w:before="0"/>
        <w:ind w:firstLine="0" w:firstLineChars="0"/>
        <w:outlineLvl w:val="0"/>
        <w:rPr>
          <w:rFonts w:hint="eastAsia" w:ascii="仿宋" w:hAnsi="仿宋" w:eastAsia="仿宋" w:cs="仿宋_GB2312"/>
          <w:b/>
        </w:rPr>
      </w:pPr>
      <w:bookmarkStart w:id="27" w:name="_Toc91899887"/>
      <w:r>
        <w:rPr>
          <w:rFonts w:hint="eastAsia" w:ascii="仿宋" w:hAnsi="仿宋" w:eastAsia="仿宋" w:cs="仿宋_GB2312"/>
          <w:b/>
        </w:rPr>
        <w:t>11</w:t>
      </w:r>
      <w:r>
        <w:rPr>
          <w:rFonts w:hint="eastAsia" w:ascii="仿宋" w:hAnsi="仿宋" w:eastAsia="仿宋" w:cs="仿宋_GB2312"/>
          <w:b/>
          <w:kern w:val="0"/>
          <w:lang w:val="zh-CN"/>
        </w:rPr>
        <w:t xml:space="preserve">. </w:t>
      </w:r>
      <w:r>
        <w:rPr>
          <w:rFonts w:hint="eastAsia" w:ascii="仿宋" w:hAnsi="仿宋" w:eastAsia="仿宋" w:cs="仿宋_GB2312"/>
          <w:b/>
        </w:rPr>
        <w:t>投标文件的编制</w:t>
      </w:r>
    </w:p>
    <w:p>
      <w:pPr>
        <w:spacing w:line="360" w:lineRule="auto"/>
        <w:ind w:firstLine="480" w:firstLineChars="200"/>
        <w:rPr>
          <w:rFonts w:hint="eastAsia" w:ascii="仿宋" w:hAnsi="仿宋" w:eastAsia="仿宋" w:cs="仿宋_GB2312"/>
          <w:b/>
          <w:sz w:val="24"/>
          <w:szCs w:val="21"/>
        </w:rPr>
      </w:pPr>
      <w:r>
        <w:rPr>
          <w:rFonts w:hint="eastAsia" w:ascii="仿宋" w:hAnsi="仿宋" w:eastAsia="仿宋" w:cs="仿宋_GB2312"/>
          <w:kern w:val="0"/>
          <w:sz w:val="24"/>
          <w:lang w:val="zh-CN"/>
        </w:rPr>
        <w:t>11.1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 w:hAnsi="仿宋" w:eastAsia="仿宋" w:cs="仿宋_GB2312"/>
          <w:b/>
          <w:sz w:val="24"/>
        </w:rPr>
        <w:t>▲投标文件未按规定的格式编制的，投标无效；</w:t>
      </w:r>
    </w:p>
    <w:bookmarkEnd w:id="27"/>
    <w:p>
      <w:pPr>
        <w:pStyle w:val="142"/>
        <w:snapToGrid w:val="0"/>
        <w:spacing w:before="0"/>
        <w:ind w:firstLine="480"/>
        <w:rPr>
          <w:rFonts w:hint="eastAsia" w:ascii="仿宋" w:hAnsi="仿宋" w:eastAsia="仿宋" w:cs="仿宋_GB2312"/>
        </w:rPr>
      </w:pPr>
      <w:r>
        <w:rPr>
          <w:rFonts w:hint="eastAsia" w:ascii="仿宋" w:hAnsi="仿宋" w:eastAsia="仿宋" w:cs="仿宋_GB2312"/>
        </w:rPr>
        <w:t>11.2投标人按前附表规定的份数编制投标文件，并在封面上标明“正本”和“副本”。投标文件正本和副本如有不一致之处，以正本为准。</w:t>
      </w:r>
    </w:p>
    <w:p>
      <w:pPr>
        <w:pStyle w:val="142"/>
        <w:snapToGrid w:val="0"/>
        <w:spacing w:before="0"/>
        <w:ind w:firstLine="480"/>
        <w:rPr>
          <w:rFonts w:hint="eastAsia" w:ascii="仿宋" w:hAnsi="仿宋" w:eastAsia="仿宋" w:cs="仿宋_GB2312"/>
        </w:rPr>
      </w:pPr>
      <w:r>
        <w:rPr>
          <w:rFonts w:hint="eastAsia" w:ascii="仿宋" w:hAnsi="仿宋" w:eastAsia="仿宋" w:cs="仿宋_GB2312"/>
        </w:rPr>
        <w:t>11.3投标文件正本应使用不能擦去的墨水打印或书写。</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11.4全套投标文件应无涂改和行间插字，除非这些删改是根据采购代理机构要求进行，或者是投标人造成的必须修改的错误。所修改处应由法定代表人或其授权代表签字盖章予以确认。</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11.5 投标文件建议采用A4幅面，按顺序统一编目编码装订成册。</w:t>
      </w:r>
      <w:r>
        <w:rPr>
          <w:rFonts w:hint="eastAsia" w:ascii="仿宋" w:hAnsi="仿宋" w:eastAsia="仿宋" w:cs="仿宋_GB2312"/>
          <w:b/>
          <w:sz w:val="24"/>
        </w:rPr>
        <w:t>提倡双面打印</w:t>
      </w:r>
      <w:r>
        <w:rPr>
          <w:rFonts w:hint="eastAsia" w:ascii="仿宋" w:hAnsi="仿宋" w:eastAsia="仿宋" w:cs="仿宋_GB2312"/>
          <w:sz w:val="24"/>
        </w:rPr>
        <w:t>。</w:t>
      </w:r>
    </w:p>
    <w:p>
      <w:pPr>
        <w:snapToGrid w:val="0"/>
        <w:spacing w:line="360" w:lineRule="auto"/>
        <w:rPr>
          <w:rFonts w:hint="eastAsia" w:ascii="仿宋" w:hAnsi="仿宋" w:eastAsia="仿宋" w:cs="仿宋_GB2312"/>
          <w:b/>
          <w:sz w:val="24"/>
        </w:rPr>
      </w:pPr>
      <w:r>
        <w:rPr>
          <w:rFonts w:hint="eastAsia" w:ascii="仿宋" w:hAnsi="仿宋" w:eastAsia="仿宋" w:cs="仿宋_GB2312"/>
          <w:b/>
          <w:sz w:val="24"/>
        </w:rPr>
        <w:t>12.投标文件的装订</w:t>
      </w:r>
    </w:p>
    <w:p>
      <w:pPr>
        <w:snapToGrid w:val="0"/>
        <w:spacing w:line="360" w:lineRule="auto"/>
        <w:ind w:firstLine="480" w:firstLineChars="200"/>
        <w:rPr>
          <w:rFonts w:hint="eastAsia" w:ascii="仿宋" w:hAnsi="仿宋" w:eastAsia="仿宋" w:cs="仿宋_GB2312"/>
          <w:b/>
          <w:sz w:val="24"/>
        </w:rPr>
      </w:pPr>
      <w:r>
        <w:rPr>
          <w:rFonts w:hint="eastAsia" w:ascii="仿宋" w:hAnsi="仿宋" w:eastAsia="仿宋" w:cs="仿宋_GB2312"/>
          <w:sz w:val="24"/>
        </w:rPr>
        <w:t>将投标文件的资格文件、商务技术文件、报价文件</w:t>
      </w:r>
      <w:r>
        <w:rPr>
          <w:rFonts w:hint="eastAsia" w:ascii="仿宋" w:hAnsi="仿宋" w:eastAsia="仿宋" w:cs="仿宋_GB2312"/>
          <w:b/>
          <w:sz w:val="24"/>
        </w:rPr>
        <w:t>三</w:t>
      </w:r>
      <w:r>
        <w:rPr>
          <w:rFonts w:hint="eastAsia" w:ascii="仿宋" w:hAnsi="仿宋" w:eastAsia="仿宋" w:cs="仿宋_GB2312"/>
          <w:sz w:val="24"/>
        </w:rPr>
        <w:t>部分分别装订成册，投标文件的装订必须采用</w:t>
      </w:r>
      <w:r>
        <w:rPr>
          <w:rFonts w:hint="eastAsia" w:ascii="仿宋" w:hAnsi="仿宋" w:eastAsia="仿宋" w:cs="仿宋_GB2312"/>
          <w:b/>
          <w:sz w:val="24"/>
        </w:rPr>
        <w:t>胶订或线订</w:t>
      </w:r>
      <w:r>
        <w:rPr>
          <w:rFonts w:hint="eastAsia" w:ascii="仿宋" w:hAnsi="仿宋" w:eastAsia="仿宋" w:cs="仿宋_GB2312"/>
          <w:sz w:val="24"/>
        </w:rPr>
        <w:t>形式，不得采用活页装订方式（胶订或线订以外装订形式视为活页装订）。</w:t>
      </w:r>
      <w:r>
        <w:rPr>
          <w:rFonts w:hint="eastAsia" w:ascii="仿宋" w:hAnsi="仿宋" w:eastAsia="仿宋" w:cs="仿宋_GB2312"/>
          <w:b/>
          <w:sz w:val="24"/>
        </w:rPr>
        <w:t>对不符合装订要求的投标文件，开标时，现场工作人员将予以退还。</w:t>
      </w:r>
    </w:p>
    <w:p>
      <w:pPr>
        <w:snapToGrid w:val="0"/>
        <w:spacing w:line="360" w:lineRule="auto"/>
        <w:rPr>
          <w:rFonts w:hint="eastAsia" w:ascii="仿宋" w:hAnsi="仿宋" w:eastAsia="仿宋" w:cs="仿宋_GB2312"/>
          <w:b/>
          <w:sz w:val="24"/>
        </w:rPr>
      </w:pPr>
      <w:r>
        <w:rPr>
          <w:rFonts w:hint="eastAsia" w:ascii="仿宋" w:hAnsi="仿宋" w:eastAsia="仿宋" w:cs="仿宋_GB2312"/>
          <w:b/>
          <w:sz w:val="24"/>
        </w:rPr>
        <w:t>13.投标文件的签署、盖章</w:t>
      </w:r>
    </w:p>
    <w:p>
      <w:pPr>
        <w:pStyle w:val="142"/>
        <w:snapToGrid w:val="0"/>
        <w:spacing w:before="0"/>
        <w:ind w:firstLine="480"/>
        <w:rPr>
          <w:rFonts w:hint="eastAsia" w:ascii="仿宋" w:hAnsi="仿宋" w:eastAsia="仿宋" w:cs="仿宋_GB2312"/>
          <w:b/>
        </w:rPr>
      </w:pPr>
      <w:r>
        <w:rPr>
          <w:rFonts w:hint="eastAsia" w:ascii="仿宋" w:hAnsi="仿宋" w:eastAsia="仿宋" w:cs="仿宋_GB2312"/>
        </w:rPr>
        <w:t>投标文件按照招标文件第六部分格式要求进行签署、盖章。</w:t>
      </w:r>
      <w:r>
        <w:rPr>
          <w:rFonts w:hint="eastAsia" w:ascii="仿宋" w:hAnsi="仿宋" w:eastAsia="仿宋" w:cs="仿宋_GB2312"/>
          <w:b/>
        </w:rPr>
        <w:t>投标人的投标文件未按照招标文件要求签署、盖章的，其投标无效；</w:t>
      </w:r>
    </w:p>
    <w:p>
      <w:pPr>
        <w:pStyle w:val="43"/>
        <w:spacing w:line="360" w:lineRule="auto"/>
        <w:rPr>
          <w:rFonts w:hint="eastAsia" w:ascii="仿宋" w:hAnsi="仿宋" w:eastAsia="仿宋" w:cs="仿宋_GB2312"/>
          <w:b/>
          <w:sz w:val="24"/>
          <w:szCs w:val="24"/>
        </w:rPr>
      </w:pPr>
      <w:r>
        <w:rPr>
          <w:rFonts w:hint="eastAsia" w:ascii="仿宋" w:hAnsi="仿宋" w:eastAsia="仿宋" w:cs="仿宋_GB2312"/>
          <w:b/>
          <w:sz w:val="24"/>
          <w:szCs w:val="24"/>
        </w:rPr>
        <w:t>14. 投标文件的密封与标志</w:t>
      </w:r>
    </w:p>
    <w:p>
      <w:pPr>
        <w:pStyle w:val="142"/>
        <w:spacing w:before="0"/>
        <w:ind w:firstLine="480"/>
        <w:rPr>
          <w:rFonts w:hint="eastAsia" w:ascii="仿宋" w:hAnsi="仿宋" w:eastAsia="仿宋" w:cs="仿宋_GB2312"/>
          <w:b/>
        </w:rPr>
      </w:pPr>
      <w:r>
        <w:rPr>
          <w:rFonts w:hint="eastAsia" w:ascii="仿宋" w:hAnsi="仿宋" w:eastAsia="仿宋" w:cs="仿宋_GB2312"/>
        </w:rPr>
        <w:t>14.1投标文件须</w:t>
      </w:r>
      <w:r>
        <w:rPr>
          <w:rFonts w:hint="eastAsia" w:ascii="仿宋" w:hAnsi="仿宋" w:eastAsia="仿宋" w:cs="仿宋_GB2312"/>
          <w:b/>
        </w:rPr>
        <w:t>密封包装</w:t>
      </w:r>
      <w:r>
        <w:rPr>
          <w:rFonts w:hint="eastAsia" w:ascii="仿宋" w:hAnsi="仿宋" w:eastAsia="仿宋" w:cs="仿宋_GB2312"/>
        </w:rPr>
        <w:t>，密封包装指：所有投标文件应密封在一起，内含资格文件、商务技术文件、报价文件三部分。其中，报价文件须单独密封，未单独密封的，在开标时发生报价泄露的，由投标人自行承担相关责任</w:t>
      </w:r>
      <w:r>
        <w:rPr>
          <w:rFonts w:hint="eastAsia" w:ascii="仿宋" w:hAnsi="仿宋" w:eastAsia="仿宋" w:cs="仿宋_GB2312"/>
          <w:b/>
        </w:rPr>
        <w:t>。没有密封包装的投标文件，将被拒收。</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14.2投标文件包装封面物应写明项目名称、投标人名称(联合体投标的，包装物封面需注明联合体投标，并注明联合体成员各方的名称和联合体协议中约定的牵头人的名称)。</w:t>
      </w:r>
    </w:p>
    <w:p>
      <w:pPr>
        <w:pStyle w:val="142"/>
        <w:spacing w:before="0"/>
        <w:ind w:firstLine="0" w:firstLineChars="0"/>
        <w:rPr>
          <w:rFonts w:hint="eastAsia" w:ascii="仿宋" w:hAnsi="仿宋" w:eastAsia="仿宋" w:cs="仿宋_GB2312"/>
          <w:b/>
        </w:rPr>
      </w:pPr>
      <w:r>
        <w:rPr>
          <w:rFonts w:hint="eastAsia" w:ascii="仿宋" w:hAnsi="仿宋" w:eastAsia="仿宋" w:cs="仿宋_GB2312"/>
          <w:b/>
        </w:rPr>
        <w:t>15. 投标文件的提交</w:t>
      </w:r>
    </w:p>
    <w:p>
      <w:pPr>
        <w:pStyle w:val="142"/>
        <w:spacing w:before="0"/>
        <w:ind w:firstLine="480"/>
        <w:rPr>
          <w:rFonts w:hint="eastAsia" w:ascii="仿宋" w:hAnsi="仿宋" w:eastAsia="仿宋" w:cs="仿宋_GB2312"/>
        </w:rPr>
      </w:pPr>
      <w:r>
        <w:rPr>
          <w:rFonts w:hint="eastAsia" w:ascii="仿宋" w:hAnsi="仿宋" w:eastAsia="仿宋" w:cs="仿宋_GB2312"/>
        </w:rPr>
        <w:t>15.1投标人应按“招标公告”规定的时间、地点将投标文件提交给采购代理机构，采购代理机构将拒绝接受逾期送达的投标文件。</w:t>
      </w:r>
    </w:p>
    <w:p>
      <w:pPr>
        <w:pStyle w:val="142"/>
        <w:spacing w:before="0"/>
        <w:ind w:firstLine="480"/>
        <w:rPr>
          <w:rFonts w:hint="eastAsia" w:ascii="仿宋" w:hAnsi="仿宋" w:eastAsia="仿宋" w:cs="仿宋_GB2312"/>
        </w:rPr>
      </w:pPr>
      <w:r>
        <w:rPr>
          <w:rFonts w:hint="eastAsia" w:ascii="仿宋" w:hAnsi="仿宋" w:eastAsia="仿宋" w:cs="仿宋_GB2312"/>
        </w:rPr>
        <w:t>15.2采购代理机构可以视情况延长投标文件提交的截止时间。在上述情况下，采购代理机构与投标人以前在投标截止期方面的全部权利、责任和义务，将适用于延长至新的投标截止期。</w:t>
      </w:r>
    </w:p>
    <w:bookmarkEnd w:id="22"/>
    <w:bookmarkEnd w:id="23"/>
    <w:p>
      <w:pPr>
        <w:pStyle w:val="43"/>
        <w:spacing w:line="360" w:lineRule="auto"/>
        <w:rPr>
          <w:rFonts w:hint="eastAsia" w:ascii="仿宋" w:hAnsi="仿宋" w:eastAsia="仿宋" w:cs="仿宋_GB2312"/>
          <w:b/>
          <w:sz w:val="24"/>
          <w:szCs w:val="24"/>
        </w:rPr>
      </w:pPr>
      <w:bookmarkStart w:id="28" w:name="第三部分"/>
      <w:bookmarkStart w:id="29" w:name="_Toc164416483"/>
      <w:r>
        <w:rPr>
          <w:rFonts w:hint="eastAsia" w:ascii="仿宋" w:hAnsi="仿宋" w:eastAsia="仿宋" w:cs="仿宋_GB2312"/>
          <w:b/>
          <w:sz w:val="24"/>
          <w:szCs w:val="24"/>
        </w:rPr>
        <w:t>16. 投标文件的补充、修改、撤回</w:t>
      </w:r>
    </w:p>
    <w:p>
      <w:pPr>
        <w:pStyle w:val="142"/>
        <w:spacing w:before="0"/>
        <w:ind w:firstLine="480"/>
        <w:rPr>
          <w:rFonts w:hint="eastAsia" w:ascii="仿宋" w:hAnsi="仿宋" w:eastAsia="仿宋" w:cs="仿宋_GB2312"/>
        </w:rPr>
      </w:pPr>
      <w:r>
        <w:rPr>
          <w:rFonts w:hint="eastAsia" w:ascii="仿宋" w:hAnsi="仿宋" w:eastAsia="仿宋" w:cs="仿宋_GB2312"/>
        </w:rPr>
        <w:t>16.1投标人递交投标文件以后，在规定的投标截止时间之前，可以书面形式对投标文件进行补充、修改，补充、修改文件须加盖单位公章，并由法定代表人或其授权代表签字或盖章，在投标截止时间以后，不能补充、修改投标文件。</w:t>
      </w:r>
    </w:p>
    <w:p>
      <w:pPr>
        <w:pStyle w:val="142"/>
        <w:spacing w:before="0"/>
        <w:ind w:firstLine="480"/>
        <w:rPr>
          <w:rFonts w:hint="eastAsia" w:ascii="仿宋" w:hAnsi="仿宋" w:eastAsia="仿宋" w:cs="仿宋_GB2312"/>
        </w:rPr>
      </w:pPr>
      <w:r>
        <w:rPr>
          <w:rFonts w:hint="eastAsia" w:ascii="仿宋" w:hAnsi="仿宋" w:eastAsia="仿宋" w:cs="仿宋_GB2312"/>
        </w:rPr>
        <w:t>16.2 投标人的补充、修改文件，应按本须知规定编制、密封、标志和递交，如果一份投标文件有几份函件时，应注明哪一份有效，否则所作修改视为无效。</w:t>
      </w:r>
    </w:p>
    <w:p>
      <w:pPr>
        <w:pStyle w:val="142"/>
        <w:spacing w:before="0"/>
        <w:ind w:firstLine="480"/>
        <w:rPr>
          <w:rFonts w:hint="eastAsia" w:ascii="仿宋" w:hAnsi="仿宋" w:eastAsia="仿宋" w:cs="仿宋_GB2312"/>
        </w:rPr>
      </w:pPr>
      <w:r>
        <w:rPr>
          <w:rFonts w:hint="eastAsia" w:ascii="仿宋" w:hAnsi="仿宋" w:eastAsia="仿宋" w:cs="仿宋_GB2312"/>
        </w:rPr>
        <w:t>16.3投标人对投标文件的修改均要加以说明，否则其修改将被视为无效。</w:t>
      </w:r>
    </w:p>
    <w:p>
      <w:pPr>
        <w:pStyle w:val="142"/>
        <w:spacing w:before="0"/>
        <w:ind w:firstLine="480"/>
        <w:rPr>
          <w:rFonts w:hint="eastAsia" w:ascii="仿宋" w:hAnsi="仿宋" w:eastAsia="仿宋" w:cs="仿宋_GB2312"/>
        </w:rPr>
      </w:pPr>
      <w:r>
        <w:rPr>
          <w:rFonts w:hint="eastAsia" w:ascii="仿宋" w:hAnsi="仿宋" w:eastAsia="仿宋" w:cs="仿宋_GB2312"/>
        </w:rPr>
        <w:t>16.4投标人在投标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142"/>
        <w:spacing w:before="0"/>
        <w:ind w:firstLine="0" w:firstLineChars="0"/>
        <w:rPr>
          <w:rFonts w:hint="eastAsia" w:ascii="仿宋" w:hAnsi="仿宋" w:eastAsia="仿宋" w:cs="仿宋_GB2312"/>
          <w:b/>
        </w:rPr>
      </w:pPr>
      <w:r>
        <w:rPr>
          <w:rFonts w:hint="eastAsia" w:ascii="仿宋" w:hAnsi="仿宋" w:eastAsia="仿宋" w:cs="仿宋_GB2312"/>
          <w:b/>
        </w:rPr>
        <w:t>17.投标文件的无效处理</w:t>
      </w:r>
    </w:p>
    <w:p>
      <w:pPr>
        <w:pStyle w:val="33"/>
        <w:spacing w:line="360" w:lineRule="auto"/>
        <w:ind w:firstLine="360" w:firstLineChars="150"/>
        <w:rPr>
          <w:rFonts w:hint="eastAsia" w:ascii="仿宋" w:hAnsi="仿宋" w:eastAsia="仿宋" w:cs="仿宋_GB2312"/>
          <w:szCs w:val="21"/>
          <w:lang w:eastAsia="zh-CN"/>
        </w:rPr>
      </w:pPr>
      <w:r>
        <w:rPr>
          <w:rFonts w:hint="eastAsia" w:ascii="仿宋" w:hAnsi="仿宋" w:eastAsia="仿宋" w:cs="仿宋_GB2312"/>
          <w:szCs w:val="21"/>
        </w:rPr>
        <w:t>有招标文件第四部分</w:t>
      </w:r>
      <w:r>
        <w:rPr>
          <w:rFonts w:hint="eastAsia" w:ascii="仿宋" w:hAnsi="仿宋" w:eastAsia="仿宋" w:cs="仿宋_GB2312"/>
        </w:rPr>
        <w:t>第13项规定</w:t>
      </w:r>
      <w:r>
        <w:rPr>
          <w:rFonts w:hint="eastAsia" w:ascii="仿宋" w:hAnsi="仿宋" w:eastAsia="仿宋" w:cs="仿宋_GB2312"/>
          <w:szCs w:val="21"/>
        </w:rPr>
        <w:t>的情形之一的，投标无效</w:t>
      </w:r>
      <w:r>
        <w:rPr>
          <w:rFonts w:hint="eastAsia" w:ascii="仿宋" w:hAnsi="仿宋" w:eastAsia="仿宋" w:cs="仿宋_GB2312"/>
        </w:rPr>
        <w:t>。</w:t>
      </w:r>
    </w:p>
    <w:p>
      <w:pPr>
        <w:pStyle w:val="142"/>
        <w:spacing w:before="0"/>
        <w:ind w:firstLine="0" w:firstLineChars="0"/>
        <w:rPr>
          <w:rFonts w:hint="eastAsia" w:ascii="仿宋" w:hAnsi="仿宋" w:eastAsia="仿宋" w:cs="仿宋_GB2312"/>
          <w:b/>
        </w:rPr>
      </w:pPr>
      <w:r>
        <w:rPr>
          <w:rFonts w:hint="eastAsia" w:ascii="仿宋" w:hAnsi="仿宋" w:eastAsia="仿宋" w:cs="仿宋_GB2312"/>
          <w:b/>
        </w:rPr>
        <w:t>18.投标有效期</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0"/>
        </w:rPr>
        <w:t>18.1投标有效期为从提交投标文件的截止之日起90天。▲投标人的投标文件中承</w:t>
      </w:r>
      <w:r>
        <w:rPr>
          <w:rFonts w:hint="eastAsia" w:ascii="仿宋" w:hAnsi="仿宋" w:eastAsia="仿宋" w:cs="仿宋_GB2312"/>
          <w:b/>
          <w:sz w:val="24"/>
          <w:szCs w:val="21"/>
        </w:rPr>
        <w:t>诺的投标有效期少于招标文件中载明的投标有效期的，投标无效。</w:t>
      </w:r>
    </w:p>
    <w:p>
      <w:pPr>
        <w:pStyle w:val="142"/>
        <w:spacing w:before="0"/>
        <w:ind w:firstLine="480"/>
        <w:rPr>
          <w:rFonts w:hint="eastAsia" w:ascii="仿宋" w:hAnsi="仿宋" w:eastAsia="仿宋" w:cs="仿宋_GB2312"/>
        </w:rPr>
      </w:pPr>
      <w:r>
        <w:rPr>
          <w:rFonts w:hint="eastAsia" w:ascii="仿宋" w:hAnsi="仿宋" w:eastAsia="仿宋" w:cs="仿宋_GB2312"/>
        </w:rPr>
        <w:t>18.2投标文件合格投递后，自投标截止日期起，在投标有效期内有效。</w:t>
      </w:r>
    </w:p>
    <w:p>
      <w:pPr>
        <w:pStyle w:val="142"/>
        <w:spacing w:before="0"/>
        <w:ind w:firstLine="480"/>
        <w:rPr>
          <w:rFonts w:hint="eastAsia" w:ascii="仿宋" w:hAnsi="仿宋" w:eastAsia="仿宋" w:cs="仿宋_GB2312"/>
        </w:rPr>
      </w:pPr>
      <w:r>
        <w:rPr>
          <w:rFonts w:hint="eastAsia" w:ascii="仿宋" w:hAnsi="仿宋" w:eastAsia="仿宋" w:cs="仿宋_GB2312"/>
        </w:rPr>
        <w:t>18.3在原定投标有效期满之前，如果出现特殊情况，采购代理机构可以以书面形式通知投标人延长投标有效期。</w:t>
      </w:r>
    </w:p>
    <w:p>
      <w:pPr>
        <w:pStyle w:val="142"/>
        <w:spacing w:before="0"/>
        <w:ind w:firstLine="643"/>
        <w:rPr>
          <w:rFonts w:hint="eastAsia" w:ascii="仿宋" w:hAnsi="仿宋" w:eastAsia="仿宋" w:cs="仿宋_GB2312"/>
          <w:b/>
          <w:sz w:val="32"/>
        </w:rPr>
      </w:pPr>
      <w:bookmarkStart w:id="30" w:name="_Toc91899897"/>
    </w:p>
    <w:p>
      <w:pPr>
        <w:pStyle w:val="142"/>
        <w:spacing w:before="0"/>
        <w:ind w:firstLine="1928" w:firstLineChars="600"/>
        <w:rPr>
          <w:rFonts w:hint="eastAsia" w:ascii="仿宋" w:hAnsi="仿宋" w:eastAsia="仿宋" w:cs="仿宋_GB2312"/>
          <w:b/>
          <w:sz w:val="32"/>
        </w:rPr>
      </w:pPr>
      <w:r>
        <w:rPr>
          <w:rFonts w:hint="eastAsia" w:ascii="仿宋" w:hAnsi="仿宋" w:eastAsia="仿宋" w:cs="仿宋_GB2312"/>
          <w:b/>
          <w:sz w:val="32"/>
        </w:rPr>
        <w:t>四、开标</w:t>
      </w:r>
      <w:bookmarkEnd w:id="30"/>
      <w:r>
        <w:rPr>
          <w:rFonts w:hint="eastAsia" w:ascii="仿宋" w:hAnsi="仿宋" w:eastAsia="仿宋" w:cs="仿宋_GB2312"/>
          <w:b/>
          <w:sz w:val="32"/>
        </w:rPr>
        <w:t>、资格审查与信用信息查询</w:t>
      </w:r>
    </w:p>
    <w:p>
      <w:pPr>
        <w:pStyle w:val="488"/>
        <w:spacing w:before="0" w:line="360" w:lineRule="auto"/>
        <w:ind w:left="0" w:firstLine="241" w:firstLineChars="100"/>
        <w:rPr>
          <w:rFonts w:hint="eastAsia" w:ascii="仿宋" w:hAnsi="仿宋" w:eastAsia="仿宋" w:cs="仿宋_GB2312"/>
          <w:sz w:val="24"/>
        </w:rPr>
      </w:pPr>
      <w:r>
        <w:rPr>
          <w:rFonts w:hint="eastAsia" w:ascii="仿宋" w:hAnsi="仿宋" w:eastAsia="仿宋" w:cs="仿宋_GB2312"/>
          <w:b/>
          <w:sz w:val="24"/>
          <w:szCs w:val="24"/>
        </w:rPr>
        <w:t>19.开标</w:t>
      </w:r>
      <w:r>
        <w:rPr>
          <w:rFonts w:hint="eastAsia" w:ascii="仿宋" w:hAnsi="仿宋" w:eastAsia="仿宋" w:cs="仿宋_GB2312"/>
          <w:sz w:val="24"/>
        </w:rPr>
        <w:t xml:space="preserve"> </w:t>
      </w:r>
    </w:p>
    <w:p>
      <w:pPr>
        <w:widowControl/>
        <w:spacing w:before="100" w:beforeAutospacing="1" w:after="240" w:line="360" w:lineRule="auto"/>
        <w:ind w:firstLine="480" w:firstLineChars="200"/>
        <w:jc w:val="left"/>
        <w:rPr>
          <w:rFonts w:hint="eastAsia" w:ascii="仿宋" w:hAnsi="仿宋" w:eastAsia="仿宋" w:cs="仿宋_GB2312"/>
          <w:sz w:val="24"/>
          <w:szCs w:val="20"/>
        </w:rPr>
      </w:pPr>
      <w:r>
        <w:rPr>
          <w:rFonts w:hint="eastAsia" w:ascii="仿宋" w:hAnsi="仿宋" w:eastAsia="仿宋" w:cs="仿宋_GB2312"/>
          <w:sz w:val="24"/>
          <w:szCs w:val="20"/>
        </w:rPr>
        <w:t>19.1开标在招标文件确定的时间、地点进行。</w:t>
      </w:r>
    </w:p>
    <w:p>
      <w:pPr>
        <w:widowControl/>
        <w:spacing w:before="100" w:beforeAutospacing="1" w:after="240" w:line="360" w:lineRule="auto"/>
        <w:jc w:val="left"/>
        <w:rPr>
          <w:rFonts w:hint="eastAsia" w:ascii="仿宋" w:hAnsi="仿宋" w:eastAsia="仿宋" w:cs="仿宋_GB2312"/>
          <w:sz w:val="24"/>
          <w:szCs w:val="20"/>
        </w:rPr>
      </w:pPr>
      <w:r>
        <w:rPr>
          <w:rFonts w:hint="eastAsia" w:ascii="仿宋" w:hAnsi="仿宋" w:eastAsia="仿宋" w:cs="仿宋_GB2312"/>
          <w:sz w:val="24"/>
          <w:szCs w:val="20"/>
        </w:rPr>
        <w:t>　　19.2开标由采购代理机构主持，邀请投标人参加。评标委员会成员不得参加开标活动。</w:t>
      </w:r>
    </w:p>
    <w:p>
      <w:pPr>
        <w:widowControl/>
        <w:spacing w:before="100" w:beforeAutospacing="1" w:after="240" w:line="360" w:lineRule="auto"/>
        <w:jc w:val="left"/>
        <w:rPr>
          <w:rFonts w:hint="eastAsia" w:ascii="仿宋" w:hAnsi="仿宋" w:eastAsia="仿宋" w:cs="仿宋_GB2312"/>
          <w:sz w:val="24"/>
          <w:szCs w:val="20"/>
        </w:rPr>
      </w:pPr>
      <w:r>
        <w:rPr>
          <w:rFonts w:hint="eastAsia" w:ascii="仿宋" w:hAnsi="仿宋" w:eastAsia="仿宋" w:cs="仿宋_GB2312"/>
          <w:sz w:val="24"/>
          <w:szCs w:val="20"/>
        </w:rPr>
        <w:t>　　19.3开标时，由投标人或者其推选的代表检查投标文件的密封情况；经确认无误后，由采购代理机构工作人员当众拆封，宣布投标人名称、投标价格等内容。</w:t>
      </w:r>
    </w:p>
    <w:p>
      <w:pPr>
        <w:widowControl/>
        <w:spacing w:before="100" w:beforeAutospacing="1" w:after="240" w:line="360" w:lineRule="auto"/>
        <w:jc w:val="left"/>
        <w:rPr>
          <w:rFonts w:hint="eastAsia" w:ascii="仿宋" w:hAnsi="仿宋" w:eastAsia="仿宋" w:cs="仿宋_GB2312"/>
          <w:b/>
          <w:sz w:val="24"/>
          <w:szCs w:val="20"/>
        </w:rPr>
      </w:pPr>
      <w:r>
        <w:rPr>
          <w:rFonts w:hint="eastAsia" w:ascii="仿宋" w:hAnsi="仿宋" w:eastAsia="仿宋" w:cs="仿宋_GB2312"/>
          <w:sz w:val="24"/>
          <w:szCs w:val="20"/>
        </w:rPr>
        <w:t>　</w:t>
      </w:r>
      <w:r>
        <w:rPr>
          <w:rFonts w:hint="eastAsia" w:ascii="仿宋" w:hAnsi="仿宋" w:eastAsia="仿宋" w:cs="仿宋_GB2312"/>
          <w:b/>
          <w:sz w:val="24"/>
          <w:szCs w:val="20"/>
        </w:rPr>
        <w:t>　投标人不足3家的，不得开标。</w:t>
      </w:r>
    </w:p>
    <w:p>
      <w:pPr>
        <w:widowControl/>
        <w:spacing w:before="100" w:beforeAutospacing="1" w:after="240" w:line="360" w:lineRule="auto"/>
        <w:jc w:val="left"/>
        <w:rPr>
          <w:rFonts w:hint="eastAsia" w:ascii="仿宋" w:hAnsi="仿宋" w:eastAsia="仿宋" w:cs="仿宋_GB2312"/>
          <w:sz w:val="24"/>
          <w:szCs w:val="20"/>
        </w:rPr>
      </w:pPr>
      <w:r>
        <w:rPr>
          <w:rFonts w:hint="eastAsia" w:ascii="仿宋" w:hAnsi="仿宋" w:eastAsia="仿宋" w:cs="仿宋_GB2312"/>
          <w:sz w:val="24"/>
          <w:szCs w:val="20"/>
        </w:rPr>
        <w:t>　　19.4开标过程应当由采购人或者采购代理机构负责记录，由参加开标的各投标人代表和相关工作人员签字确认后随采购文件一并存档。</w:t>
      </w:r>
    </w:p>
    <w:p>
      <w:pPr>
        <w:widowControl/>
        <w:spacing w:before="100" w:beforeAutospacing="1" w:after="240" w:line="360" w:lineRule="auto"/>
        <w:jc w:val="left"/>
        <w:rPr>
          <w:rFonts w:hint="eastAsia" w:ascii="仿宋" w:hAnsi="仿宋" w:eastAsia="仿宋" w:cs="仿宋_GB2312"/>
          <w:sz w:val="24"/>
          <w:szCs w:val="20"/>
        </w:rPr>
      </w:pPr>
      <w:r>
        <w:rPr>
          <w:rFonts w:hint="eastAsia" w:ascii="仿宋" w:hAnsi="仿宋" w:eastAsia="仿宋" w:cs="仿宋_GB2312"/>
          <w:sz w:val="24"/>
          <w:szCs w:val="20"/>
        </w:rPr>
        <w:t>　　19.5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widowControl/>
        <w:spacing w:before="100" w:beforeAutospacing="1" w:after="240" w:line="360" w:lineRule="auto"/>
        <w:jc w:val="left"/>
        <w:rPr>
          <w:rFonts w:hint="eastAsia" w:ascii="仿宋" w:hAnsi="仿宋" w:eastAsia="仿宋" w:cs="仿宋_GB2312"/>
          <w:sz w:val="24"/>
          <w:szCs w:val="20"/>
        </w:rPr>
      </w:pPr>
      <w:r>
        <w:rPr>
          <w:rFonts w:hint="eastAsia" w:ascii="仿宋" w:hAnsi="仿宋" w:eastAsia="仿宋" w:cs="仿宋_GB2312"/>
          <w:sz w:val="24"/>
          <w:szCs w:val="20"/>
        </w:rPr>
        <w:t>　　投标人未参加开标的，视同认可开标结果。</w:t>
      </w:r>
    </w:p>
    <w:p>
      <w:pPr>
        <w:widowControl/>
        <w:spacing w:before="100" w:beforeAutospacing="1" w:after="240" w:line="360" w:lineRule="auto"/>
        <w:jc w:val="left"/>
        <w:rPr>
          <w:rFonts w:hint="eastAsia" w:ascii="仿宋" w:hAnsi="仿宋" w:eastAsia="仿宋" w:cs="仿宋_GB2312"/>
          <w:b/>
          <w:sz w:val="24"/>
          <w:szCs w:val="20"/>
        </w:rPr>
      </w:pPr>
      <w:r>
        <w:rPr>
          <w:rFonts w:hint="eastAsia" w:ascii="仿宋" w:hAnsi="仿宋" w:eastAsia="仿宋" w:cs="仿宋_GB2312"/>
          <w:b/>
          <w:sz w:val="24"/>
          <w:szCs w:val="20"/>
        </w:rPr>
        <w:t>　20、资格审查</w:t>
      </w:r>
    </w:p>
    <w:p>
      <w:pPr>
        <w:pStyle w:val="142"/>
        <w:spacing w:before="0"/>
        <w:ind w:firstLine="480"/>
        <w:rPr>
          <w:rFonts w:hint="eastAsia" w:ascii="仿宋" w:hAnsi="仿宋" w:eastAsia="仿宋" w:cs="仿宋_GB2312"/>
          <w:kern w:val="0"/>
        </w:rPr>
      </w:pPr>
      <w:r>
        <w:rPr>
          <w:rFonts w:hint="eastAsia" w:ascii="仿宋" w:hAnsi="仿宋" w:eastAsia="仿宋" w:cs="仿宋_GB2312"/>
          <w:kern w:val="0"/>
        </w:rPr>
        <w:t>20.1开标后，采购人或采购代理机构将依法对投标人的资格进行审查。</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kern w:val="0"/>
          <w:sz w:val="24"/>
        </w:rPr>
        <w:t>20.2</w:t>
      </w:r>
      <w:r>
        <w:rPr>
          <w:rFonts w:hint="eastAsia" w:ascii="仿宋" w:hAnsi="仿宋" w:eastAsia="仿宋" w:cs="仿宋_GB2312"/>
          <w:sz w:val="24"/>
        </w:rPr>
        <w:t>采购人或采购代理机构依据法律法规和招标文件的规定，对投标人的基本资格条件、特定资格条件进行审查。</w:t>
      </w:r>
    </w:p>
    <w:p>
      <w:pPr>
        <w:pStyle w:val="142"/>
        <w:spacing w:before="0"/>
        <w:ind w:firstLine="480"/>
        <w:rPr>
          <w:rFonts w:hint="eastAsia" w:ascii="仿宋" w:hAnsi="仿宋" w:eastAsia="仿宋" w:cs="仿宋_GB2312"/>
        </w:rPr>
      </w:pPr>
      <w:r>
        <w:rPr>
          <w:rFonts w:hint="eastAsia" w:ascii="仿宋" w:hAnsi="仿宋" w:eastAsia="仿宋" w:cs="仿宋_GB2312"/>
          <w:kern w:val="0"/>
        </w:rPr>
        <w:t>20.3投标人未按照招标文件要求提供与</w:t>
      </w:r>
      <w:r>
        <w:rPr>
          <w:rFonts w:hint="eastAsia" w:ascii="仿宋" w:hAnsi="仿宋" w:eastAsia="仿宋" w:cs="仿宋_GB2312"/>
        </w:rPr>
        <w:t>基本资格条件、特定资格条件相应的</w:t>
      </w:r>
      <w:r>
        <w:rPr>
          <w:rFonts w:hint="eastAsia" w:ascii="仿宋" w:hAnsi="仿宋" w:eastAsia="仿宋" w:cs="仿宋_GB2312"/>
          <w:kern w:val="0"/>
        </w:rPr>
        <w:t>有效资格证明材料的，视为</w:t>
      </w:r>
      <w:r>
        <w:rPr>
          <w:rFonts w:hint="eastAsia" w:ascii="仿宋" w:hAnsi="仿宋" w:eastAsia="仿宋" w:cs="仿宋_GB2312"/>
        </w:rPr>
        <w:t>投标人不具备招标文件中规定的资格要求，其投标无效。</w:t>
      </w:r>
    </w:p>
    <w:p>
      <w:pPr>
        <w:pStyle w:val="142"/>
        <w:spacing w:before="0"/>
        <w:ind w:firstLine="480"/>
        <w:rPr>
          <w:rFonts w:hint="eastAsia" w:ascii="仿宋" w:hAnsi="仿宋" w:eastAsia="仿宋" w:cs="仿宋_GB2312"/>
        </w:rPr>
      </w:pPr>
      <w:r>
        <w:rPr>
          <w:rFonts w:hint="eastAsia" w:ascii="仿宋" w:hAnsi="仿宋" w:eastAsia="仿宋" w:cs="仿宋_GB2312"/>
        </w:rPr>
        <w:t>20.4对未通过资格审查的投标人，采购人或采购代理机构告知其未通过的原因。</w:t>
      </w:r>
    </w:p>
    <w:p>
      <w:pPr>
        <w:pStyle w:val="142"/>
        <w:spacing w:before="0"/>
        <w:ind w:firstLine="480"/>
        <w:rPr>
          <w:rFonts w:hint="eastAsia" w:ascii="仿宋" w:hAnsi="仿宋" w:eastAsia="仿宋" w:cs="仿宋_GB2312"/>
        </w:rPr>
      </w:pPr>
      <w:r>
        <w:rPr>
          <w:rFonts w:hint="eastAsia" w:ascii="仿宋" w:hAnsi="仿宋" w:eastAsia="仿宋" w:cs="仿宋_GB2312"/>
        </w:rPr>
        <w:t>20.5合格投标人不足3家的，不再评标。</w:t>
      </w:r>
    </w:p>
    <w:p>
      <w:pPr>
        <w:pStyle w:val="142"/>
        <w:spacing w:before="0"/>
        <w:ind w:firstLine="0" w:firstLineChars="0"/>
        <w:rPr>
          <w:rFonts w:hint="eastAsia" w:ascii="仿宋" w:hAnsi="仿宋" w:eastAsia="仿宋" w:cs="仿宋_GB2312"/>
          <w:b/>
        </w:rPr>
      </w:pPr>
      <w:r>
        <w:rPr>
          <w:rFonts w:hint="eastAsia" w:ascii="仿宋" w:hAnsi="仿宋" w:eastAsia="仿宋" w:cs="仿宋_GB2312"/>
          <w:b/>
        </w:rPr>
        <w:t>21、信用信息查询</w:t>
      </w:r>
    </w:p>
    <w:p>
      <w:pPr>
        <w:pStyle w:val="142"/>
        <w:spacing w:before="0"/>
        <w:ind w:firstLine="495" w:firstLineChars="0"/>
        <w:rPr>
          <w:rFonts w:hint="eastAsia" w:ascii="仿宋" w:hAnsi="仿宋" w:eastAsia="仿宋" w:cs="仿宋_GB2312"/>
          <w:kern w:val="0"/>
        </w:rPr>
      </w:pPr>
      <w:r>
        <w:rPr>
          <w:rFonts w:hint="eastAsia" w:ascii="仿宋" w:hAnsi="仿宋" w:eastAsia="仿宋" w:cs="仿宋_GB2312"/>
          <w:kern w:val="0"/>
        </w:rPr>
        <w:t>21.1信用信息查询渠道及截止时间：采购代理机构将通过“信用中国”网站(www.creditchina.gov.cn)、中国政府采购网(www.ccgp.gov.cn)渠道查询投标人投标截止时间前的信用记录。</w:t>
      </w:r>
    </w:p>
    <w:p>
      <w:pPr>
        <w:pStyle w:val="142"/>
        <w:spacing w:before="0"/>
        <w:ind w:firstLine="495" w:firstLineChars="0"/>
        <w:rPr>
          <w:rFonts w:hint="eastAsia" w:ascii="仿宋" w:hAnsi="仿宋" w:eastAsia="仿宋" w:cs="仿宋_GB2312"/>
          <w:kern w:val="0"/>
        </w:rPr>
      </w:pPr>
      <w:r>
        <w:rPr>
          <w:rFonts w:hint="eastAsia" w:ascii="仿宋" w:hAnsi="仿宋" w:eastAsia="仿宋" w:cs="仿宋_GB2312"/>
          <w:kern w:val="0"/>
        </w:rPr>
        <w:t>21.2信用信息查询记录和证据留存的具体方式：现场查询的投标人的信用记录、查询结果经确认后将与采购文件一起存档。</w:t>
      </w:r>
    </w:p>
    <w:p>
      <w:pPr>
        <w:pStyle w:val="142"/>
        <w:spacing w:before="0"/>
        <w:ind w:firstLine="495" w:firstLineChars="0"/>
        <w:rPr>
          <w:rFonts w:hint="eastAsia" w:ascii="仿宋" w:hAnsi="仿宋" w:eastAsia="仿宋" w:cs="仿宋_GB2312"/>
          <w:kern w:val="0"/>
        </w:rPr>
      </w:pPr>
      <w:r>
        <w:rPr>
          <w:rFonts w:hint="eastAsia" w:ascii="仿宋" w:hAnsi="仿宋" w:eastAsia="仿宋" w:cs="仿宋_GB2312"/>
          <w:kern w:val="0"/>
        </w:rPr>
        <w:t>21.3信用信息的使用规则：经查询列入失信被执行人名单、重大税收违法案件当事人名单、政府采购严重违法失信行为记录名单的投标人将被拒绝参与政府采购活动。</w:t>
      </w:r>
    </w:p>
    <w:p>
      <w:pPr>
        <w:pStyle w:val="142"/>
        <w:spacing w:before="0"/>
        <w:ind w:firstLine="480"/>
        <w:rPr>
          <w:rFonts w:hint="eastAsia" w:ascii="仿宋" w:hAnsi="仿宋" w:eastAsia="仿宋" w:cs="仿宋_GB2312"/>
        </w:rPr>
      </w:pPr>
      <w:r>
        <w:rPr>
          <w:rFonts w:hint="eastAsia" w:ascii="仿宋" w:hAnsi="仿宋" w:eastAsia="仿宋" w:cs="仿宋_GB2312"/>
          <w:kern w:val="0"/>
        </w:rPr>
        <w:t>21.4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42"/>
        <w:spacing w:before="0"/>
        <w:ind w:firstLine="0" w:firstLineChars="0"/>
        <w:rPr>
          <w:rFonts w:hint="eastAsia" w:ascii="仿宋" w:hAnsi="仿宋" w:eastAsia="仿宋" w:cs="仿宋_GB2312"/>
          <w:kern w:val="0"/>
        </w:rPr>
      </w:pPr>
    </w:p>
    <w:p>
      <w:pPr>
        <w:snapToGrid w:val="0"/>
        <w:spacing w:line="360" w:lineRule="auto"/>
        <w:jc w:val="center"/>
        <w:outlineLvl w:val="0"/>
        <w:rPr>
          <w:rFonts w:hint="eastAsia" w:ascii="仿宋" w:hAnsi="仿宋" w:eastAsia="仿宋" w:cs="仿宋_GB2312"/>
          <w:b/>
          <w:sz w:val="36"/>
          <w:szCs w:val="36"/>
        </w:rPr>
      </w:pPr>
      <w:bookmarkStart w:id="31" w:name="_Hlt75236101"/>
      <w:bookmarkEnd w:id="31"/>
      <w:bookmarkStart w:id="32" w:name="_Toc91899902"/>
      <w:r>
        <w:rPr>
          <w:rFonts w:hint="eastAsia" w:ascii="仿宋" w:hAnsi="仿宋" w:eastAsia="仿宋" w:cs="仿宋_GB2312"/>
          <w:b/>
          <w:sz w:val="36"/>
          <w:szCs w:val="36"/>
        </w:rPr>
        <w:t>五、评标</w:t>
      </w:r>
      <w:bookmarkEnd w:id="32"/>
    </w:p>
    <w:p>
      <w:pPr>
        <w:spacing w:line="360" w:lineRule="auto"/>
        <w:rPr>
          <w:rFonts w:hint="eastAsia" w:ascii="仿宋" w:hAnsi="仿宋" w:eastAsia="仿宋" w:cs="仿宋_GB2312"/>
          <w:b/>
          <w:sz w:val="24"/>
        </w:rPr>
      </w:pPr>
      <w:bookmarkStart w:id="33" w:name="_Toc91899903"/>
      <w:r>
        <w:rPr>
          <w:rFonts w:hint="eastAsia" w:ascii="仿宋" w:hAnsi="仿宋" w:eastAsia="仿宋" w:cs="仿宋_GB2312"/>
          <w:b/>
          <w:sz w:val="24"/>
        </w:rPr>
        <w:t>22.</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详见招标文件第四部分“评标方法及评分标准”</w:t>
      </w:r>
    </w:p>
    <w:p>
      <w:pPr>
        <w:spacing w:line="360" w:lineRule="auto"/>
        <w:rPr>
          <w:rFonts w:hint="eastAsia" w:ascii="仿宋" w:hAnsi="仿宋" w:eastAsia="仿宋" w:cs="仿宋_GB2312"/>
          <w:b/>
          <w:sz w:val="24"/>
        </w:rPr>
      </w:pPr>
    </w:p>
    <w:p>
      <w:pPr>
        <w:snapToGrid w:val="0"/>
        <w:spacing w:line="360" w:lineRule="auto"/>
        <w:jc w:val="center"/>
        <w:outlineLvl w:val="0"/>
        <w:rPr>
          <w:rFonts w:hint="eastAsia" w:ascii="仿宋" w:hAnsi="仿宋" w:eastAsia="仿宋" w:cs="仿宋_GB2312"/>
          <w:b/>
          <w:sz w:val="36"/>
          <w:szCs w:val="36"/>
        </w:rPr>
      </w:pPr>
      <w:r>
        <w:rPr>
          <w:rFonts w:hint="eastAsia" w:ascii="仿宋" w:hAnsi="仿宋" w:eastAsia="仿宋" w:cs="仿宋_GB2312"/>
          <w:b/>
          <w:sz w:val="36"/>
          <w:szCs w:val="36"/>
        </w:rPr>
        <w:t>六、定 标</w:t>
      </w:r>
    </w:p>
    <w:p>
      <w:pPr>
        <w:pStyle w:val="33"/>
        <w:spacing w:line="360" w:lineRule="auto"/>
        <w:ind w:left="479" w:hanging="479" w:hangingChars="199"/>
        <w:rPr>
          <w:rFonts w:hint="eastAsia" w:ascii="仿宋" w:hAnsi="仿宋" w:eastAsia="仿宋" w:cs="仿宋_GB2312"/>
          <w:b/>
        </w:rPr>
      </w:pPr>
      <w:r>
        <w:rPr>
          <w:rFonts w:hint="eastAsia" w:ascii="仿宋" w:hAnsi="仿宋" w:eastAsia="仿宋" w:cs="仿宋_GB2312"/>
          <w:b/>
        </w:rPr>
        <w:t>23. 确定中标供应商</w:t>
      </w:r>
    </w:p>
    <w:p>
      <w:pPr>
        <w:pStyle w:val="142"/>
        <w:snapToGrid w:val="0"/>
        <w:spacing w:before="0"/>
        <w:ind w:firstLine="480"/>
        <w:rPr>
          <w:rFonts w:hint="eastAsia" w:ascii="仿宋" w:hAnsi="仿宋" w:eastAsia="仿宋" w:cs="仿宋_GB2312"/>
          <w:b/>
        </w:rPr>
      </w:pPr>
      <w:r>
        <w:rPr>
          <w:rFonts w:hint="eastAsia" w:ascii="仿宋" w:hAnsi="仿宋" w:eastAsia="仿宋" w:cs="仿宋_GB2312"/>
        </w:rPr>
        <w:t>采购代理机构将自评审结束之日起2个工作日内将评审报告送交采购人。采购人将自收到评审报告之日起5个工作日内在评审报告推荐的中标候选人中按顺序确定中标交供应商。</w:t>
      </w:r>
    </w:p>
    <w:p>
      <w:pPr>
        <w:pStyle w:val="142"/>
        <w:snapToGrid w:val="0"/>
        <w:spacing w:before="0"/>
        <w:ind w:firstLine="0" w:firstLineChars="0"/>
        <w:rPr>
          <w:rFonts w:hint="eastAsia" w:ascii="仿宋" w:hAnsi="仿宋" w:eastAsia="仿宋" w:cs="仿宋_GB2312"/>
          <w:b/>
        </w:rPr>
      </w:pPr>
      <w:r>
        <w:rPr>
          <w:rFonts w:hint="eastAsia" w:ascii="仿宋" w:hAnsi="仿宋" w:eastAsia="仿宋" w:cs="仿宋_GB2312"/>
          <w:b/>
        </w:rPr>
        <w:t>24. 中标通知与中标结果公告</w:t>
      </w:r>
    </w:p>
    <w:p>
      <w:pPr>
        <w:widowControl/>
        <w:shd w:val="clear" w:color="auto" w:fill="FFFFFF"/>
        <w:spacing w:line="360" w:lineRule="auto"/>
        <w:ind w:firstLine="480"/>
        <w:jc w:val="left"/>
        <w:rPr>
          <w:rFonts w:hint="eastAsia" w:ascii="仿宋" w:hAnsi="仿宋" w:eastAsia="仿宋" w:cs="仿宋_GB2312"/>
          <w:sz w:val="24"/>
        </w:rPr>
      </w:pPr>
      <w:r>
        <w:rPr>
          <w:rFonts w:hint="eastAsia" w:ascii="仿宋" w:hAnsi="仿宋" w:eastAsia="仿宋" w:cs="仿宋_GB2312"/>
          <w:sz w:val="24"/>
        </w:rPr>
        <w:t>24.1采购代理机构将在自中标人确定之日起2个工作日内，发出中标通知书，并在发布招标公告的网站上公告中标结果。</w:t>
      </w:r>
    </w:p>
    <w:p>
      <w:pPr>
        <w:widowControl/>
        <w:shd w:val="clear" w:color="auto" w:fill="FFFFFF"/>
        <w:spacing w:line="360" w:lineRule="auto"/>
        <w:ind w:firstLine="480"/>
        <w:jc w:val="left"/>
        <w:rPr>
          <w:rFonts w:hint="eastAsia" w:ascii="仿宋" w:hAnsi="仿宋" w:eastAsia="仿宋" w:cs="仿宋_GB2312"/>
          <w:sz w:val="24"/>
        </w:rPr>
      </w:pPr>
      <w:r>
        <w:rPr>
          <w:rFonts w:hint="eastAsia" w:ascii="仿宋" w:hAnsi="仿宋" w:eastAsia="仿宋" w:cs="仿宋_GB2312"/>
          <w:sz w:val="24"/>
        </w:rPr>
        <w:t>24.2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hint="eastAsia" w:ascii="仿宋" w:hAnsi="仿宋" w:eastAsia="仿宋" w:cs="仿宋_GB2312"/>
          <w:sz w:val="24"/>
        </w:rPr>
      </w:pPr>
      <w:r>
        <w:rPr>
          <w:rFonts w:hint="eastAsia" w:ascii="仿宋" w:hAnsi="仿宋" w:eastAsia="仿宋" w:cs="仿宋_GB2312"/>
          <w:sz w:val="24"/>
        </w:rPr>
        <w:t>24.3公告期限为1个工作日。</w:t>
      </w:r>
    </w:p>
    <w:p>
      <w:pPr>
        <w:snapToGrid w:val="0"/>
        <w:spacing w:line="360" w:lineRule="auto"/>
        <w:ind w:left="120" w:leftChars="57" w:firstLine="482" w:firstLineChars="150"/>
        <w:jc w:val="center"/>
        <w:rPr>
          <w:rFonts w:hint="eastAsia" w:ascii="仿宋" w:hAnsi="仿宋" w:eastAsia="仿宋" w:cs="仿宋_GB2312"/>
          <w:b/>
          <w:sz w:val="3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七、合同授予</w:t>
      </w:r>
    </w:p>
    <w:p>
      <w:pPr>
        <w:pStyle w:val="33"/>
        <w:spacing w:line="360" w:lineRule="auto"/>
        <w:ind w:left="479" w:hanging="479" w:hangingChars="199"/>
        <w:rPr>
          <w:rFonts w:hint="eastAsia" w:ascii="仿宋" w:hAnsi="仿宋" w:eastAsia="仿宋" w:cs="仿宋_GB2312"/>
          <w:b/>
        </w:rPr>
      </w:pPr>
      <w:r>
        <w:rPr>
          <w:rFonts w:hint="eastAsia" w:ascii="仿宋" w:hAnsi="仿宋" w:eastAsia="仿宋" w:cs="仿宋_GB2312"/>
          <w:b/>
        </w:rPr>
        <w:t xml:space="preserve">25. </w:t>
      </w:r>
      <w:r>
        <w:rPr>
          <w:rFonts w:hint="eastAsia" w:ascii="仿宋" w:hAnsi="仿宋" w:eastAsia="仿宋" w:cs="仿宋_GB2312"/>
        </w:rPr>
        <w:t>合同主要条款详见第五部分拟签订的合同文本。</w:t>
      </w:r>
    </w:p>
    <w:p>
      <w:pPr>
        <w:pStyle w:val="33"/>
        <w:spacing w:line="360" w:lineRule="auto"/>
        <w:ind w:left="479" w:hanging="479" w:hangingChars="199"/>
        <w:rPr>
          <w:rFonts w:hint="eastAsia" w:ascii="仿宋" w:hAnsi="仿宋" w:eastAsia="仿宋" w:cs="仿宋_GB2312"/>
          <w:b/>
        </w:rPr>
      </w:pPr>
      <w:r>
        <w:rPr>
          <w:rFonts w:hint="eastAsia" w:ascii="仿宋" w:hAnsi="仿宋" w:eastAsia="仿宋" w:cs="仿宋_GB2312"/>
          <w:b/>
        </w:rPr>
        <w:t>26. 合同的签订</w:t>
      </w:r>
    </w:p>
    <w:p>
      <w:pPr>
        <w:widowControl/>
        <w:shd w:val="clear" w:color="auto" w:fill="FFFFFF"/>
        <w:spacing w:line="360" w:lineRule="auto"/>
        <w:ind w:firstLine="480"/>
        <w:jc w:val="left"/>
        <w:rPr>
          <w:rFonts w:hint="eastAsia" w:ascii="仿宋" w:hAnsi="仿宋" w:eastAsia="仿宋" w:cs="仿宋_GB2312"/>
          <w:kern w:val="0"/>
          <w:sz w:val="24"/>
        </w:rPr>
      </w:pPr>
      <w:r>
        <w:rPr>
          <w:rFonts w:hint="eastAsia" w:ascii="仿宋" w:hAnsi="仿宋" w:eastAsia="仿宋" w:cs="仿宋_GB2312"/>
          <w:sz w:val="24"/>
        </w:rPr>
        <w:t>26.1</w:t>
      </w:r>
      <w:r>
        <w:rPr>
          <w:rFonts w:hint="eastAsia" w:ascii="仿宋" w:hAnsi="仿宋" w:eastAsia="仿宋" w:cs="仿宋_GB2312"/>
          <w:kern w:val="0"/>
          <w:sz w:val="24"/>
        </w:rPr>
        <w:t xml:space="preserve"> 采购人与中标人应当在中标通知书发出之日起三十日内，按照招标文件确定的事项签订政府采购合同。</w:t>
      </w:r>
    </w:p>
    <w:p>
      <w:pPr>
        <w:pStyle w:val="142"/>
        <w:snapToGrid w:val="0"/>
        <w:spacing w:before="0"/>
        <w:ind w:firstLine="480"/>
        <w:rPr>
          <w:rFonts w:hint="eastAsia" w:ascii="仿宋" w:hAnsi="仿宋" w:eastAsia="仿宋" w:cs="仿宋_GB2312"/>
          <w:kern w:val="0"/>
        </w:rPr>
      </w:pPr>
      <w:r>
        <w:rPr>
          <w:rFonts w:hint="eastAsia" w:ascii="仿宋" w:hAnsi="仿宋" w:eastAsia="仿宋" w:cs="仿宋_GB2312"/>
          <w:kern w:val="0"/>
          <w:lang w:val="zh-CN"/>
        </w:rPr>
        <w:t>2</w:t>
      </w:r>
      <w:r>
        <w:rPr>
          <w:rFonts w:hint="eastAsia" w:ascii="仿宋" w:hAnsi="仿宋" w:eastAsia="仿宋" w:cs="仿宋_GB2312"/>
          <w:kern w:val="0"/>
        </w:rPr>
        <w:t>6</w:t>
      </w:r>
      <w:r>
        <w:rPr>
          <w:rFonts w:hint="eastAsia" w:ascii="仿宋" w:hAnsi="仿宋" w:eastAsia="仿宋" w:cs="仿宋_GB2312"/>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42"/>
        <w:snapToGrid w:val="0"/>
        <w:spacing w:before="0"/>
        <w:ind w:firstLine="480"/>
        <w:rPr>
          <w:rFonts w:hint="eastAsia" w:ascii="仿宋" w:hAnsi="仿宋" w:eastAsia="仿宋" w:cs="仿宋_GB2312"/>
        </w:rPr>
      </w:pPr>
      <w:r>
        <w:rPr>
          <w:rFonts w:hint="eastAsia" w:ascii="仿宋" w:hAnsi="仿宋" w:eastAsia="仿宋" w:cs="仿宋_GB2312"/>
        </w:rPr>
        <w:t>26.3如签订合同并生效后，供应商无故拒绝或延期，采购人除按照合同条款处理外，列入不良行为记录一次，并给予通报。</w:t>
      </w:r>
    </w:p>
    <w:p>
      <w:pPr>
        <w:pStyle w:val="142"/>
        <w:snapToGrid w:val="0"/>
        <w:spacing w:before="0"/>
        <w:ind w:firstLine="480"/>
        <w:rPr>
          <w:rFonts w:hint="eastAsia" w:ascii="仿宋" w:hAnsi="仿宋" w:eastAsia="仿宋" w:cs="仿宋_GB2312"/>
        </w:rPr>
      </w:pPr>
      <w:r>
        <w:rPr>
          <w:rFonts w:hint="eastAsia" w:ascii="仿宋" w:hAnsi="仿宋" w:eastAsia="仿宋" w:cs="仿宋_GB2312"/>
        </w:rPr>
        <w:t>26.4中标供应商拒绝与采购人签订合同的，采购人可以按照评审报告推荐的中标或者成交候选人名单排序，确定下一候选人为中标供应商，也可以重新开展政府采购活动。</w:t>
      </w:r>
    </w:p>
    <w:p>
      <w:pPr>
        <w:pStyle w:val="33"/>
        <w:spacing w:line="360" w:lineRule="auto"/>
        <w:ind w:left="479" w:hanging="479" w:hangingChars="199"/>
        <w:rPr>
          <w:rFonts w:hint="eastAsia" w:ascii="仿宋" w:hAnsi="仿宋" w:eastAsia="仿宋" w:cs="仿宋_GB2312"/>
          <w:b/>
        </w:rPr>
      </w:pPr>
      <w:r>
        <w:rPr>
          <w:rFonts w:hint="eastAsia" w:ascii="仿宋" w:hAnsi="仿宋" w:eastAsia="仿宋" w:cs="仿宋_GB2312"/>
          <w:b/>
        </w:rPr>
        <w:t>27. 履约保证金</w:t>
      </w:r>
    </w:p>
    <w:p>
      <w:pPr>
        <w:tabs>
          <w:tab w:val="left" w:pos="0"/>
        </w:tabs>
        <w:spacing w:line="360" w:lineRule="auto"/>
        <w:ind w:firstLine="480"/>
        <w:rPr>
          <w:rFonts w:hint="eastAsia" w:ascii="仿宋" w:hAnsi="仿宋" w:eastAsia="仿宋" w:cs="仿宋_GB2312"/>
          <w:sz w:val="24"/>
        </w:rPr>
      </w:pPr>
      <w:r>
        <w:rPr>
          <w:rFonts w:hint="eastAsia" w:ascii="仿宋" w:hAnsi="仿宋" w:eastAsia="仿宋" w:cs="仿宋_GB2312"/>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_GB2312"/>
          <w:sz w:val="24"/>
        </w:rPr>
        <w:t>。履约保证金的数额不得超过政府采购合同金额的5%。</w:t>
      </w:r>
    </w:p>
    <w:p>
      <w:pPr>
        <w:tabs>
          <w:tab w:val="left" w:pos="0"/>
        </w:tabs>
        <w:spacing w:line="360" w:lineRule="auto"/>
        <w:ind w:firstLine="480"/>
        <w:rPr>
          <w:rFonts w:hint="eastAsia" w:ascii="仿宋" w:hAnsi="仿宋" w:eastAsia="仿宋" w:cs="仿宋_GB2312"/>
          <w:sz w:val="24"/>
        </w:rPr>
      </w:pPr>
    </w:p>
    <w:p>
      <w:pPr>
        <w:snapToGrid w:val="0"/>
        <w:spacing w:line="360" w:lineRule="auto"/>
        <w:ind w:left="120" w:leftChars="57" w:firstLine="360" w:firstLineChars="150"/>
        <w:jc w:val="center"/>
        <w:rPr>
          <w:rFonts w:hint="eastAsia" w:ascii="仿宋" w:hAnsi="仿宋" w:eastAsia="仿宋" w:cs="仿宋_GB2312"/>
          <w:b/>
          <w:sz w:val="32"/>
        </w:rPr>
      </w:pPr>
      <w:r>
        <w:rPr>
          <w:rFonts w:hint="eastAsia" w:ascii="仿宋" w:hAnsi="仿宋" w:eastAsia="仿宋" w:cs="仿宋_GB2312"/>
          <w:sz w:val="24"/>
        </w:rPr>
        <w:t xml:space="preserve"> </w:t>
      </w:r>
      <w:r>
        <w:rPr>
          <w:rFonts w:hint="eastAsia" w:ascii="仿宋" w:hAnsi="仿宋" w:eastAsia="仿宋" w:cs="仿宋_GB2312"/>
          <w:b/>
          <w:sz w:val="32"/>
        </w:rPr>
        <w:t>八、验收</w:t>
      </w:r>
    </w:p>
    <w:p>
      <w:pPr>
        <w:pStyle w:val="33"/>
        <w:spacing w:line="360" w:lineRule="auto"/>
        <w:ind w:firstLine="0" w:firstLineChars="0"/>
        <w:rPr>
          <w:rFonts w:hint="eastAsia" w:ascii="仿宋" w:hAnsi="仿宋" w:eastAsia="仿宋" w:cs="仿宋_GB2312"/>
          <w:b/>
        </w:rPr>
      </w:pPr>
      <w:r>
        <w:rPr>
          <w:rFonts w:hint="eastAsia" w:ascii="仿宋" w:hAnsi="仿宋" w:eastAsia="仿宋" w:cs="仿宋_GB2312"/>
          <w:b/>
        </w:rPr>
        <w:t>28.验收</w:t>
      </w:r>
    </w:p>
    <w:p>
      <w:pPr>
        <w:tabs>
          <w:tab w:val="left" w:pos="0"/>
        </w:tabs>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28.1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28.2采购人可以邀请参加本项目的其他投标人或者第三方机构参与验收。参与验收的投标人或者第三方机构的意见作为验收书的参考资料一并存档。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3"/>
    <w:p>
      <w:pPr>
        <w:adjustRightInd/>
        <w:spacing w:line="360" w:lineRule="auto"/>
        <w:rPr>
          <w:rFonts w:hint="eastAsia" w:ascii="仿宋" w:hAnsi="仿宋" w:eastAsia="仿宋" w:cs="仿宋_GB2312"/>
          <w:b/>
          <w:sz w:val="32"/>
          <w:szCs w:val="32"/>
        </w:rPr>
        <w:sectPr>
          <w:footerReference r:id="rId6" w:type="default"/>
          <w:pgSz w:w="11906" w:h="16838"/>
          <w:pgMar w:top="680" w:right="1418" w:bottom="468" w:left="1418" w:header="851" w:footer="992" w:gutter="0"/>
          <w:pgNumType w:start="1"/>
          <w:cols w:space="720" w:num="1"/>
          <w:docGrid w:linePitch="312" w:charSpace="0"/>
        </w:sectPr>
      </w:pPr>
    </w:p>
    <w:bookmarkEnd w:id="28"/>
    <w:bookmarkEnd w:id="29"/>
    <w:p>
      <w:pPr>
        <w:spacing w:line="360" w:lineRule="auto"/>
        <w:jc w:val="center"/>
        <w:outlineLvl w:val="0"/>
        <w:rPr>
          <w:rFonts w:hint="eastAsia" w:ascii="仿宋" w:hAnsi="仿宋" w:eastAsia="仿宋" w:cs="仿宋_GB2312"/>
          <w:b/>
          <w:sz w:val="36"/>
          <w:szCs w:val="36"/>
        </w:rPr>
      </w:pPr>
      <w:bookmarkStart w:id="34" w:name="第四部分"/>
      <w:r>
        <w:rPr>
          <w:rFonts w:hint="eastAsia" w:ascii="仿宋" w:hAnsi="仿宋" w:eastAsia="仿宋" w:cs="仿宋_GB2312"/>
          <w:b/>
          <w:sz w:val="36"/>
          <w:szCs w:val="36"/>
        </w:rPr>
        <w:t>第三部分   采购需求</w:t>
      </w:r>
    </w:p>
    <w:p>
      <w:pPr>
        <w:snapToGrid w:val="0"/>
        <w:spacing w:line="360" w:lineRule="auto"/>
        <w:jc w:val="left"/>
        <w:rPr>
          <w:rFonts w:hint="eastAsia" w:ascii="仿宋" w:hAnsi="仿宋" w:eastAsia="仿宋" w:cs="仿宋_GB2312"/>
          <w:sz w:val="24"/>
        </w:rPr>
      </w:pPr>
      <w:r>
        <w:rPr>
          <w:rFonts w:hint="eastAsia" w:ascii="仿宋" w:hAnsi="仿宋" w:eastAsia="仿宋" w:cs="仿宋_GB2312"/>
          <w:sz w:val="24"/>
        </w:rPr>
        <w:t>属于实质性要求条款的，请用符号“▲”标明，否则属于非实质性要求。</w:t>
      </w:r>
    </w:p>
    <w:p>
      <w:pPr>
        <w:spacing w:line="360" w:lineRule="auto"/>
        <w:jc w:val="left"/>
        <w:rPr>
          <w:rFonts w:hint="eastAsia" w:ascii="仿宋" w:hAnsi="仿宋" w:eastAsia="仿宋" w:cs="Arial"/>
          <w:b/>
          <w:snapToGrid w:val="0"/>
          <w:kern w:val="0"/>
          <w:sz w:val="24"/>
        </w:rPr>
      </w:pPr>
      <w:r>
        <w:rPr>
          <w:rFonts w:hint="eastAsia" w:ascii="仿宋" w:hAnsi="仿宋" w:eastAsia="仿宋" w:cs="Arial"/>
          <w:b/>
          <w:snapToGrid w:val="0"/>
          <w:kern w:val="0"/>
          <w:sz w:val="24"/>
        </w:rPr>
        <w:t>一、项目建设背景</w:t>
      </w:r>
    </w:p>
    <w:p>
      <w:pPr>
        <w:spacing w:line="360" w:lineRule="auto"/>
        <w:ind w:firstLine="600" w:firstLineChars="250"/>
        <w:jc w:val="left"/>
        <w:rPr>
          <w:rFonts w:hint="eastAsia" w:ascii="仿宋" w:hAnsi="仿宋" w:eastAsia="仿宋" w:cs="Arial"/>
          <w:snapToGrid w:val="0"/>
          <w:kern w:val="0"/>
          <w:sz w:val="24"/>
        </w:rPr>
      </w:pPr>
      <w:r>
        <w:rPr>
          <w:rFonts w:hint="eastAsia" w:ascii="仿宋" w:hAnsi="仿宋" w:eastAsia="仿宋" w:cs="Arial"/>
          <w:snapToGrid w:val="0"/>
          <w:kern w:val="0"/>
          <w:sz w:val="24"/>
        </w:rPr>
        <w:t>2017年5月11日至12日,浙江省社会治安综合治理创新工作会议在宁波召开。浙江省委书记车俊在会议批示中希望全省深入学习贯彻习近平总书记系列重要讲话精神，坚定不移地沿着“八八战略”指引的路子走下去，建设平安中国示范区目标，用足用好G20杭州峰会维稳安保工作成果，重基层抓基础、重预防抓整治、重共建抓创新，全面提升社会治理社会化、法治化、智能化、精细化、专业化水平，加快构建全方位、立体化的平安网，牢牢守住平安底线,努力为党的十九大和省第十四次党代会召开营造和谐稳定的社会环境。</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杭州市公安局西湖风景名胜区分局景区人员综合管控提升项目建设项目围绕中央关于深入开展平安建设的意见，加快建设立体化、信息化社会治安防控平台，重点在防控风险、提升能力，改革引领、创新驱动，法制保障、规范建警等方面下手，努力提升景区治安治理能力和水平，营造景区安全稳定的社会环境。</w:t>
      </w:r>
    </w:p>
    <w:p>
      <w:pPr>
        <w:spacing w:line="360" w:lineRule="auto"/>
        <w:jc w:val="left"/>
        <w:rPr>
          <w:rFonts w:hint="eastAsia" w:ascii="仿宋" w:hAnsi="仿宋" w:eastAsia="仿宋" w:cs="Arial"/>
          <w:b/>
          <w:snapToGrid w:val="0"/>
          <w:kern w:val="0"/>
          <w:sz w:val="24"/>
        </w:rPr>
      </w:pPr>
      <w:r>
        <w:rPr>
          <w:rFonts w:hint="eastAsia" w:ascii="仿宋" w:hAnsi="仿宋" w:eastAsia="仿宋" w:cs="Arial"/>
          <w:b/>
          <w:snapToGrid w:val="0"/>
          <w:kern w:val="0"/>
          <w:sz w:val="24"/>
        </w:rPr>
        <w:t>二、建设目标、内容、周期、规模</w:t>
      </w:r>
    </w:p>
    <w:p>
      <w:pPr>
        <w:spacing w:line="360" w:lineRule="auto"/>
        <w:jc w:val="left"/>
        <w:rPr>
          <w:rFonts w:hint="eastAsia" w:ascii="仿宋" w:hAnsi="仿宋" w:eastAsia="仿宋" w:cs="Arial"/>
          <w:b/>
          <w:snapToGrid w:val="0"/>
          <w:kern w:val="0"/>
          <w:sz w:val="24"/>
        </w:rPr>
      </w:pPr>
      <w:r>
        <w:rPr>
          <w:rFonts w:hint="eastAsia" w:ascii="仿宋" w:hAnsi="仿宋" w:eastAsia="仿宋" w:cs="Arial"/>
          <w:b/>
          <w:snapToGrid w:val="0"/>
          <w:kern w:val="0"/>
          <w:sz w:val="24"/>
        </w:rPr>
        <w:t xml:space="preserve">1、项目建设目标 </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本系统的建设预期目标为建立独立的、开放的、全行统一的景区人员综合管控提升项目，项目主要由宏观人流量管控、特定人员微观管控、人脸识别系统、展示平台等部分组成。辅助景区公安实现对西湖景区景点、人员、人流量等情况进行分析，从相关人员人脸、移动信息、特征码、证件等进行多维分析，充分依托先进的科技手段和信息技术，实现具有成效的智能、连贯、动态化的监控。</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人脸识别相关数据将通过西湖景区管委会已有安全平台推送至数据中心，不断丰富西湖景区自有数据库资源使西湖景区安全保卫、面上秩序管理、游客服务等工作从简单操作型的静态事后复审向动态分析、事前预警转变，使操作过程的事中控制前移，加大风险的检查、监督以及监控力度。通过建设该系统，我们期待达到：</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有效利用技术手段强化对西湖名胜风景区安全工作的监督、预警和控制，实现景区管理的的科学化、信息化。</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 提高系统智能预警的实用性，扩大系统的预警覆盖范围，实现预警检查任务的系统化管理。</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 实现对系统中各个预警规则的灵活配置，提高预警模型配置效率，减少后期技术运维人力。</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 实现按旅游旺淡季的要求进行风险预警的分级、分时段、差异化管理，提升景区公安的信息融会贯通能力。</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 实现与事后监督系统功能的整合，促进风险预警、现场检查、监督检查等系统功能的全面提升，提高监督预警的系统管理水平。</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在景区顶层设计的框架下，形成共建共享的良好格局，夯实景区数据资源基础，更好的为“雪亮工程”中公共安全视频图像信息共享平台、综治办视频交换共享分平台和公安局视频交换共享分平台所形成的“一总两分”平台服务，实现多部门合成应用。</w:t>
      </w:r>
    </w:p>
    <w:p>
      <w:pPr>
        <w:spacing w:line="360" w:lineRule="auto"/>
        <w:jc w:val="left"/>
        <w:rPr>
          <w:rFonts w:ascii="仿宋" w:hAnsi="仿宋" w:eastAsia="仿宋" w:cs="Arial"/>
          <w:b/>
          <w:snapToGrid w:val="0"/>
          <w:kern w:val="0"/>
          <w:sz w:val="24"/>
        </w:rPr>
      </w:pPr>
      <w:r>
        <w:rPr>
          <w:rFonts w:hint="eastAsia" w:ascii="仿宋" w:hAnsi="仿宋" w:eastAsia="仿宋" w:cs="Arial"/>
          <w:b/>
          <w:snapToGrid w:val="0"/>
          <w:kern w:val="0"/>
          <w:sz w:val="24"/>
        </w:rPr>
        <w:t>2、项目建设内容</w:t>
      </w:r>
    </w:p>
    <w:p>
      <w:pPr>
        <w:spacing w:line="360" w:lineRule="auto"/>
        <w:ind w:firstLine="360" w:firstLineChars="150"/>
        <w:jc w:val="left"/>
        <w:rPr>
          <w:rFonts w:hint="eastAsia" w:ascii="仿宋" w:hAnsi="仿宋" w:eastAsia="仿宋" w:cs="Arial"/>
          <w:snapToGrid w:val="0"/>
          <w:kern w:val="0"/>
          <w:sz w:val="24"/>
        </w:rPr>
      </w:pPr>
      <w:r>
        <w:rPr>
          <w:rFonts w:hint="eastAsia" w:ascii="仿宋" w:hAnsi="仿宋" w:eastAsia="仿宋" w:cs="Arial"/>
          <w:snapToGrid w:val="0"/>
          <w:kern w:val="0"/>
          <w:sz w:val="24"/>
        </w:rPr>
        <w:t>系统总体设计分为宏观人流量管控、特定人员微观管控、人脸识别，所有的数据通过展示平台一体化预警展现。</w:t>
      </w:r>
    </w:p>
    <w:p>
      <w:pPr>
        <w:spacing w:line="360" w:lineRule="auto"/>
        <w:ind w:firstLine="361" w:firstLineChars="150"/>
        <w:jc w:val="left"/>
        <w:rPr>
          <w:rFonts w:hint="eastAsia" w:ascii="仿宋" w:hAnsi="仿宋" w:eastAsia="仿宋" w:cs="Arial"/>
          <w:snapToGrid w:val="0"/>
          <w:kern w:val="0"/>
          <w:sz w:val="24"/>
        </w:rPr>
      </w:pPr>
      <w:r>
        <w:rPr>
          <w:rFonts w:hint="eastAsia" w:ascii="仿宋" w:hAnsi="仿宋" w:eastAsia="仿宋" w:cs="Arial"/>
          <w:b/>
          <w:snapToGrid w:val="0"/>
          <w:kern w:val="0"/>
          <w:sz w:val="24"/>
        </w:rPr>
        <w:t>宏观人流量管控：</w:t>
      </w:r>
      <w:r>
        <w:rPr>
          <w:rFonts w:hint="eastAsia" w:ascii="仿宋" w:hAnsi="仿宋" w:eastAsia="仿宋" w:cs="Arial"/>
          <w:snapToGrid w:val="0"/>
          <w:kern w:val="0"/>
          <w:sz w:val="24"/>
        </w:rPr>
        <w:t>通过采集相关人员特征码，并结合已掌握的例如高德等社会地图数据、各景区智能管理数据，并面向景区数据的综合数据服务转型内容，包括针对“景区数据大脑”的数据处理、数据的对接传输服务等内容，使得景区公安自有数据和景区大脑数据结合，实时为景区实战管理服务。</w:t>
      </w:r>
    </w:p>
    <w:p>
      <w:pPr>
        <w:spacing w:line="360" w:lineRule="auto"/>
        <w:ind w:firstLine="354" w:firstLineChars="147"/>
        <w:jc w:val="left"/>
        <w:rPr>
          <w:rFonts w:hint="eastAsia" w:ascii="仿宋" w:hAnsi="仿宋" w:eastAsia="仿宋" w:cs="Arial"/>
          <w:snapToGrid w:val="0"/>
          <w:kern w:val="0"/>
          <w:sz w:val="24"/>
        </w:rPr>
      </w:pPr>
      <w:r>
        <w:rPr>
          <w:rFonts w:hint="eastAsia" w:ascii="仿宋" w:hAnsi="仿宋" w:eastAsia="仿宋" w:cs="Arial"/>
          <w:b/>
          <w:snapToGrid w:val="0"/>
          <w:kern w:val="0"/>
          <w:sz w:val="24"/>
        </w:rPr>
        <w:t>特定人员微观管控：</w:t>
      </w:r>
      <w:r>
        <w:rPr>
          <w:rFonts w:hint="eastAsia" w:ascii="仿宋" w:hAnsi="仿宋" w:eastAsia="仿宋" w:cs="Arial"/>
          <w:snapToGrid w:val="0"/>
          <w:kern w:val="0"/>
          <w:sz w:val="24"/>
        </w:rPr>
        <w:t>对景区内活动的重点人员、车辆结合云上公安重点人员库数据和交警车辆卡口数据，并结合景区公安自建的卡口视频及人脸识别等前端智能设备，进行全方位的精确管控、有针对性的预警打击。</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此次项目建设的人脸识别数据，同时支撑景区管委对于违法边缘人员（野导、拉客等）的管理。</w:t>
      </w:r>
    </w:p>
    <w:p>
      <w:pPr>
        <w:spacing w:line="360" w:lineRule="auto"/>
        <w:ind w:firstLine="361" w:firstLineChars="150"/>
        <w:jc w:val="left"/>
        <w:rPr>
          <w:rFonts w:hint="eastAsia" w:ascii="仿宋" w:hAnsi="仿宋" w:eastAsia="仿宋" w:cs="Arial"/>
          <w:snapToGrid w:val="0"/>
          <w:kern w:val="0"/>
          <w:sz w:val="24"/>
        </w:rPr>
      </w:pPr>
      <w:r>
        <w:rPr>
          <w:rFonts w:hint="eastAsia" w:ascii="仿宋" w:hAnsi="仿宋" w:eastAsia="仿宋" w:cs="Arial"/>
          <w:b/>
          <w:snapToGrid w:val="0"/>
          <w:kern w:val="0"/>
          <w:sz w:val="24"/>
        </w:rPr>
        <w:t>展示平台：</w:t>
      </w:r>
      <w:r>
        <w:rPr>
          <w:rFonts w:hint="eastAsia" w:ascii="仿宋" w:hAnsi="仿宋" w:eastAsia="仿宋" w:cs="Arial"/>
          <w:snapToGrid w:val="0"/>
          <w:kern w:val="0"/>
          <w:sz w:val="24"/>
        </w:rPr>
        <w:t>包括人流量展示、人流热力图展示、重点人员人像识别预警、特征码、多码信息预警、交通流量展示等实战应用功能。</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数据共享：平台接入除此次新建的前端智能采集设备数据外，还将接入景区公安已建卡口数据及云上公安结果数据，并预留数据接口，接入景区管委所拥有的信通结果数据，用于平台的全面感知和管控。</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平台对外预留人脸识别图片数据及统计结果（景区人流量、景区人员来源地等）数据，脱密后，与管委会共享人脸数据资源，同时支撑管委会对于景区秩序的全面管控。</w:t>
      </w:r>
    </w:p>
    <w:p>
      <w:pPr>
        <w:spacing w:line="360" w:lineRule="auto"/>
        <w:jc w:val="left"/>
        <w:rPr>
          <w:rFonts w:hint="eastAsia" w:ascii="仿宋" w:hAnsi="仿宋" w:eastAsia="仿宋" w:cs="Arial"/>
          <w:b/>
          <w:snapToGrid w:val="0"/>
          <w:kern w:val="0"/>
          <w:sz w:val="24"/>
        </w:rPr>
      </w:pPr>
      <w:r>
        <w:rPr>
          <w:rFonts w:hint="eastAsia" w:ascii="仿宋" w:hAnsi="仿宋" w:eastAsia="仿宋" w:cs="Arial"/>
          <w:b/>
          <w:snapToGrid w:val="0"/>
          <w:kern w:val="0"/>
          <w:sz w:val="24"/>
        </w:rPr>
        <w:t>3、项目建设周期</w:t>
      </w:r>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本项目建设周期要求为：合同签订后1个月内完成整体项目的需求调研，制定详细实施方案计划；</w:t>
      </w:r>
      <w:r>
        <w:rPr>
          <w:rFonts w:ascii="仿宋" w:hAnsi="仿宋" w:eastAsia="仿宋" w:cs="Arial"/>
          <w:snapToGrid w:val="0"/>
          <w:kern w:val="0"/>
          <w:sz w:val="24"/>
        </w:rPr>
        <w:t>4</w:t>
      </w:r>
      <w:r>
        <w:rPr>
          <w:rFonts w:hint="eastAsia" w:ascii="仿宋" w:hAnsi="仿宋" w:eastAsia="仿宋" w:cs="Arial"/>
          <w:snapToGrid w:val="0"/>
          <w:kern w:val="0"/>
          <w:sz w:val="24"/>
        </w:rPr>
        <w:t>个月内完成全部系统建设，上线投入试运行，进行初验；投入试运行后正常运行1个月，经验收合格，正式交付使用。</w:t>
      </w:r>
    </w:p>
    <w:p>
      <w:pPr>
        <w:spacing w:line="360" w:lineRule="auto"/>
        <w:jc w:val="left"/>
        <w:rPr>
          <w:rFonts w:ascii="仿宋" w:hAnsi="仿宋" w:eastAsia="仿宋" w:cs="Arial"/>
          <w:b/>
          <w:snapToGrid w:val="0"/>
          <w:kern w:val="0"/>
          <w:sz w:val="24"/>
        </w:rPr>
      </w:pPr>
      <w:r>
        <w:rPr>
          <w:rFonts w:hint="eastAsia" w:ascii="仿宋" w:hAnsi="仿宋" w:eastAsia="仿宋" w:cs="Arial"/>
          <w:b/>
          <w:snapToGrid w:val="0"/>
          <w:kern w:val="0"/>
          <w:sz w:val="24"/>
        </w:rPr>
        <w:t>4、建设规模</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本次项目为景区人员综合管控提升项目建设，通过对景区实际地理位置以及历史人流量数据进行统计分析，在西湖各景点及主要出入口搭建感知采集设备,布建前端感知数据采集体系。感知采集设备主要布建在景区辖区南、北、西三个方向共9个主要出入口，涵盖灵隐寺、断桥、雷峰塔、杭州动物园、杭州植物园等西湖及周边景点数十个，覆盖面积约35平方公里,通行路程大于20公里，总计部署100套人像抓拍摄像机，15套人员特征码信息采集设备。实现对景区人员信息的多维采集，为景区公安对景区人员的综合管控以及景区安全的全面保障提供数据研判支撑。</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本次项目从数据的关联及分析应用入手，通过数据采集对出入景区内的游客进行宏观和微观的综合分析，并结合省市“雪亮工程”的要求，对整个景区内的管理秩序和治安环境进行全面的掌控和实时处置，为城市数据大脑提供支撑和优化服务。同时将公安内网的数据与城市数据大脑相结合，围绕“执法、管理、服务”三个维度进行融合应用，让“数据”为景区公安所用，为保障城市安全、景区管理秩序及人民出行安全做出贡献。</w:t>
      </w:r>
    </w:p>
    <w:p>
      <w:pPr>
        <w:spacing w:line="360" w:lineRule="auto"/>
        <w:jc w:val="left"/>
        <w:rPr>
          <w:rFonts w:ascii="仿宋" w:hAnsi="仿宋" w:eastAsia="仿宋" w:cs="Arial"/>
          <w:b/>
          <w:snapToGrid w:val="0"/>
          <w:kern w:val="0"/>
          <w:sz w:val="24"/>
        </w:rPr>
      </w:pPr>
      <w:r>
        <w:rPr>
          <w:rFonts w:hint="eastAsia" w:ascii="仿宋" w:hAnsi="仿宋" w:eastAsia="仿宋" w:cs="Arial"/>
          <w:b/>
          <w:snapToGrid w:val="0"/>
          <w:kern w:val="0"/>
          <w:sz w:val="24"/>
        </w:rPr>
        <w:t>三、系统功能、性能需求</w:t>
      </w:r>
    </w:p>
    <w:p>
      <w:pPr>
        <w:spacing w:line="360" w:lineRule="auto"/>
        <w:jc w:val="left"/>
        <w:rPr>
          <w:rFonts w:ascii="仿宋" w:hAnsi="仿宋" w:eastAsia="仿宋" w:cs="Arial"/>
          <w:b/>
          <w:snapToGrid w:val="0"/>
          <w:kern w:val="0"/>
          <w:sz w:val="24"/>
        </w:rPr>
      </w:pPr>
      <w:r>
        <w:rPr>
          <w:rFonts w:hint="eastAsia" w:ascii="仿宋" w:hAnsi="仿宋" w:eastAsia="仿宋" w:cs="Arial"/>
          <w:b/>
          <w:snapToGrid w:val="0"/>
          <w:kern w:val="0"/>
          <w:sz w:val="24"/>
        </w:rPr>
        <w:t>1、人脸识别系统建设</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（1）抓拍机布设</w:t>
      </w:r>
    </w:p>
    <w:p>
      <w:pPr>
        <w:spacing w:line="360" w:lineRule="auto"/>
        <w:ind w:firstLine="360" w:firstLineChars="150"/>
        <w:jc w:val="left"/>
        <w:rPr>
          <w:rFonts w:ascii="仿宋" w:hAnsi="仿宋" w:eastAsia="仿宋" w:cs="Arial"/>
          <w:snapToGrid w:val="0"/>
          <w:color w:val="000000"/>
          <w:kern w:val="0"/>
          <w:sz w:val="24"/>
        </w:rPr>
      </w:pPr>
      <w:r>
        <w:rPr>
          <w:rFonts w:hint="eastAsia" w:ascii="仿宋" w:hAnsi="仿宋" w:eastAsia="仿宋" w:cs="Arial"/>
          <w:snapToGrid w:val="0"/>
          <w:color w:val="000000"/>
          <w:kern w:val="0"/>
          <w:sz w:val="24"/>
        </w:rPr>
        <w:t>本次项目抓拍机建设设置人像抓拍机共100个，全部覆盖于西湖风景名胜区内。因项目公开招标，具体点位不便公布，用户方将在投标前组织勘点，请各投标人在购买招标文件后进行标前会时公布并现场勘测咨询。</w:t>
      </w:r>
      <w:bookmarkStart w:id="35" w:name="_Toc2958862"/>
      <w:bookmarkStart w:id="36" w:name="_Toc515614400"/>
      <w:bookmarkStart w:id="37" w:name="_Toc477868202"/>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（2）人脸识别</w:t>
      </w:r>
      <w:bookmarkEnd w:id="35"/>
      <w:bookmarkEnd w:id="36"/>
      <w:bookmarkEnd w:id="37"/>
      <w:r>
        <w:rPr>
          <w:rFonts w:hint="eastAsia" w:ascii="仿宋" w:hAnsi="仿宋" w:eastAsia="仿宋" w:cs="Arial"/>
          <w:snapToGrid w:val="0"/>
          <w:kern w:val="0"/>
          <w:sz w:val="24"/>
        </w:rPr>
        <w:t>基础应用</w:t>
      </w:r>
    </w:p>
    <w:p>
      <w:pPr>
        <w:spacing w:line="360" w:lineRule="auto"/>
        <w:ind w:firstLine="600" w:firstLineChars="250"/>
        <w:jc w:val="left"/>
        <w:rPr>
          <w:rFonts w:ascii="仿宋" w:hAnsi="仿宋" w:eastAsia="仿宋" w:cs="Arial"/>
          <w:snapToGrid w:val="0"/>
          <w:kern w:val="0"/>
          <w:sz w:val="24"/>
        </w:rPr>
      </w:pPr>
      <w:r>
        <w:rPr>
          <w:rFonts w:ascii="仿宋" w:hAnsi="仿宋" w:eastAsia="仿宋" w:cs="Arial"/>
          <w:snapToGrid w:val="0"/>
          <w:kern w:val="0"/>
          <w:sz w:val="24"/>
        </w:rPr>
        <w:t>人像大数据应用系统负责</w:t>
      </w:r>
      <w:r>
        <w:rPr>
          <w:rFonts w:hint="eastAsia" w:ascii="仿宋" w:hAnsi="仿宋" w:eastAsia="仿宋" w:cs="Arial"/>
          <w:snapToGrid w:val="0"/>
          <w:kern w:val="0"/>
          <w:sz w:val="24"/>
        </w:rPr>
        <w:t>提供</w:t>
      </w:r>
      <w:r>
        <w:rPr>
          <w:rFonts w:ascii="仿宋" w:hAnsi="仿宋" w:eastAsia="仿宋" w:cs="Arial"/>
          <w:snapToGrid w:val="0"/>
          <w:kern w:val="0"/>
          <w:sz w:val="24"/>
        </w:rPr>
        <w:t>人员踪迹查询、人员布控、人员身份核查</w:t>
      </w:r>
      <w:r>
        <w:rPr>
          <w:rFonts w:hint="eastAsia" w:ascii="仿宋" w:hAnsi="仿宋" w:eastAsia="仿宋" w:cs="Arial"/>
          <w:snapToGrid w:val="0"/>
          <w:kern w:val="0"/>
          <w:sz w:val="24"/>
        </w:rPr>
        <w:t>等</w:t>
      </w:r>
      <w:r>
        <w:rPr>
          <w:rFonts w:ascii="仿宋" w:hAnsi="仿宋" w:eastAsia="仿宋" w:cs="Arial"/>
          <w:snapToGrid w:val="0"/>
          <w:kern w:val="0"/>
          <w:sz w:val="24"/>
        </w:rPr>
        <w:t>各类业务应用服务，并实现对系统的</w:t>
      </w:r>
      <w:r>
        <w:rPr>
          <w:rFonts w:hint="eastAsia" w:ascii="仿宋" w:hAnsi="仿宋" w:eastAsia="仿宋" w:cs="Arial"/>
          <w:snapToGrid w:val="0"/>
          <w:kern w:val="0"/>
          <w:sz w:val="24"/>
        </w:rPr>
        <w:t>管理、</w:t>
      </w:r>
      <w:r>
        <w:rPr>
          <w:rFonts w:ascii="仿宋" w:hAnsi="仿宋" w:eastAsia="仿宋" w:cs="Arial"/>
          <w:snapToGrid w:val="0"/>
          <w:kern w:val="0"/>
          <w:sz w:val="24"/>
        </w:rPr>
        <w:t>校时。</w:t>
      </w:r>
      <w:r>
        <w:rPr>
          <w:rFonts w:hint="eastAsia" w:ascii="仿宋" w:hAnsi="仿宋" w:eastAsia="仿宋" w:cs="Arial"/>
          <w:snapToGrid w:val="0"/>
          <w:kern w:val="0"/>
          <w:sz w:val="24"/>
        </w:rPr>
        <w:t>以</w:t>
      </w:r>
      <w:r>
        <w:rPr>
          <w:rFonts w:ascii="仿宋" w:hAnsi="仿宋" w:eastAsia="仿宋" w:cs="Arial"/>
          <w:snapToGrid w:val="0"/>
          <w:kern w:val="0"/>
          <w:sz w:val="24"/>
        </w:rPr>
        <w:t>“</w:t>
      </w:r>
      <w:r>
        <w:rPr>
          <w:rFonts w:hint="eastAsia" w:ascii="仿宋" w:hAnsi="仿宋" w:eastAsia="仿宋" w:cs="Arial"/>
          <w:snapToGrid w:val="0"/>
          <w:kern w:val="0"/>
          <w:sz w:val="24"/>
        </w:rPr>
        <w:t>人员</w:t>
      </w:r>
      <w:r>
        <w:rPr>
          <w:rFonts w:ascii="仿宋" w:hAnsi="仿宋" w:eastAsia="仿宋" w:cs="Arial"/>
          <w:snapToGrid w:val="0"/>
          <w:kern w:val="0"/>
          <w:sz w:val="24"/>
        </w:rPr>
        <w:t>轨迹</w:t>
      </w:r>
      <w:r>
        <w:rPr>
          <w:rFonts w:hint="eastAsia" w:ascii="仿宋" w:hAnsi="仿宋" w:eastAsia="仿宋" w:cs="Arial"/>
          <w:snapToGrid w:val="0"/>
          <w:kern w:val="0"/>
          <w:sz w:val="24"/>
        </w:rPr>
        <w:t>查询</w:t>
      </w:r>
      <w:r>
        <w:rPr>
          <w:rFonts w:ascii="仿宋" w:hAnsi="仿宋" w:eastAsia="仿宋" w:cs="Arial"/>
          <w:snapToGrid w:val="0"/>
          <w:kern w:val="0"/>
          <w:sz w:val="24"/>
        </w:rPr>
        <w:t>、身份确认、重点</w:t>
      </w:r>
      <w:r>
        <w:rPr>
          <w:rFonts w:hint="eastAsia" w:ascii="仿宋" w:hAnsi="仿宋" w:eastAsia="仿宋" w:cs="Arial"/>
          <w:snapToGrid w:val="0"/>
          <w:kern w:val="0"/>
          <w:sz w:val="24"/>
        </w:rPr>
        <w:t>人员</w:t>
      </w:r>
      <w:r>
        <w:rPr>
          <w:rFonts w:ascii="仿宋" w:hAnsi="仿宋" w:eastAsia="仿宋" w:cs="Arial"/>
          <w:snapToGrid w:val="0"/>
          <w:kern w:val="0"/>
          <w:sz w:val="24"/>
        </w:rPr>
        <w:t>布控”</w:t>
      </w:r>
      <w:r>
        <w:rPr>
          <w:rFonts w:hint="eastAsia" w:ascii="仿宋" w:hAnsi="仿宋" w:eastAsia="仿宋" w:cs="Arial"/>
          <w:snapToGrid w:val="0"/>
          <w:kern w:val="0"/>
          <w:sz w:val="24"/>
        </w:rPr>
        <w:t>三大</w:t>
      </w:r>
      <w:r>
        <w:rPr>
          <w:rFonts w:ascii="仿宋" w:hAnsi="仿宋" w:eastAsia="仿宋" w:cs="Arial"/>
          <w:snapToGrid w:val="0"/>
          <w:kern w:val="0"/>
          <w:sz w:val="24"/>
        </w:rPr>
        <w:t>业务需求为主线，结合“</w:t>
      </w:r>
      <w:r>
        <w:rPr>
          <w:rFonts w:hint="eastAsia" w:ascii="仿宋" w:hAnsi="仿宋" w:eastAsia="仿宋" w:cs="Arial"/>
          <w:snapToGrid w:val="0"/>
          <w:kern w:val="0"/>
          <w:sz w:val="24"/>
        </w:rPr>
        <w:t>事前</w:t>
      </w:r>
      <w:r>
        <w:rPr>
          <w:rFonts w:ascii="仿宋" w:hAnsi="仿宋" w:eastAsia="仿宋" w:cs="Arial"/>
          <w:snapToGrid w:val="0"/>
          <w:kern w:val="0"/>
          <w:sz w:val="24"/>
        </w:rPr>
        <w:t>预警、事</w:t>
      </w:r>
      <w:r>
        <w:rPr>
          <w:rFonts w:hint="eastAsia" w:ascii="仿宋" w:hAnsi="仿宋" w:eastAsia="仿宋" w:cs="Arial"/>
          <w:snapToGrid w:val="0"/>
          <w:kern w:val="0"/>
          <w:sz w:val="24"/>
        </w:rPr>
        <w:t>中</w:t>
      </w:r>
      <w:r>
        <w:rPr>
          <w:rFonts w:ascii="仿宋" w:hAnsi="仿宋" w:eastAsia="仿宋" w:cs="Arial"/>
          <w:snapToGrid w:val="0"/>
          <w:kern w:val="0"/>
          <w:sz w:val="24"/>
        </w:rPr>
        <w:t>布控、事后侦查”</w:t>
      </w:r>
      <w:r>
        <w:rPr>
          <w:rFonts w:hint="eastAsia" w:ascii="仿宋" w:hAnsi="仿宋" w:eastAsia="仿宋" w:cs="Arial"/>
          <w:snapToGrid w:val="0"/>
          <w:kern w:val="0"/>
          <w:sz w:val="24"/>
        </w:rPr>
        <w:t>应用</w:t>
      </w:r>
      <w:r>
        <w:rPr>
          <w:rFonts w:ascii="仿宋" w:hAnsi="仿宋" w:eastAsia="仿宋" w:cs="Arial"/>
          <w:snapToGrid w:val="0"/>
          <w:kern w:val="0"/>
          <w:sz w:val="24"/>
        </w:rPr>
        <w:t>模式，从“</w:t>
      </w:r>
      <w:r>
        <w:rPr>
          <w:rFonts w:hint="eastAsia" w:ascii="仿宋" w:hAnsi="仿宋" w:eastAsia="仿宋" w:cs="Arial"/>
          <w:snapToGrid w:val="0"/>
          <w:kern w:val="0"/>
          <w:sz w:val="24"/>
        </w:rPr>
        <w:t>搜</w:t>
      </w:r>
      <w:r>
        <w:rPr>
          <w:rFonts w:ascii="仿宋" w:hAnsi="仿宋" w:eastAsia="仿宋" w:cs="Arial"/>
          <w:snapToGrid w:val="0"/>
          <w:kern w:val="0"/>
          <w:sz w:val="24"/>
        </w:rPr>
        <w:t>人、判人、控人”</w:t>
      </w:r>
      <w:r>
        <w:rPr>
          <w:rFonts w:hint="eastAsia" w:ascii="仿宋" w:hAnsi="仿宋" w:eastAsia="仿宋" w:cs="Arial"/>
          <w:snapToGrid w:val="0"/>
          <w:kern w:val="0"/>
          <w:sz w:val="24"/>
        </w:rPr>
        <w:t>三个</w:t>
      </w:r>
      <w:r>
        <w:rPr>
          <w:rFonts w:ascii="仿宋" w:hAnsi="仿宋" w:eastAsia="仿宋" w:cs="Arial"/>
          <w:snapToGrid w:val="0"/>
          <w:kern w:val="0"/>
          <w:sz w:val="24"/>
        </w:rPr>
        <w:t>维度规划人像大数据应用系统功能，形成“</w:t>
      </w:r>
      <w:r>
        <w:rPr>
          <w:rFonts w:hint="eastAsia" w:ascii="仿宋" w:hAnsi="仿宋" w:eastAsia="仿宋" w:cs="Arial"/>
          <w:snapToGrid w:val="0"/>
          <w:kern w:val="0"/>
          <w:sz w:val="24"/>
        </w:rPr>
        <w:t>人员</w:t>
      </w:r>
      <w:r>
        <w:rPr>
          <w:rFonts w:ascii="仿宋" w:hAnsi="仿宋" w:eastAsia="仿宋" w:cs="Arial"/>
          <w:snapToGrid w:val="0"/>
          <w:kern w:val="0"/>
          <w:sz w:val="24"/>
        </w:rPr>
        <w:t>踪迹查询、人员身份</w:t>
      </w:r>
      <w:r>
        <w:rPr>
          <w:rFonts w:hint="eastAsia" w:ascii="仿宋" w:hAnsi="仿宋" w:eastAsia="仿宋" w:cs="Arial"/>
          <w:snapToGrid w:val="0"/>
          <w:kern w:val="0"/>
          <w:sz w:val="24"/>
        </w:rPr>
        <w:t>研判</w:t>
      </w:r>
      <w:r>
        <w:rPr>
          <w:rFonts w:ascii="仿宋" w:hAnsi="仿宋" w:eastAsia="仿宋" w:cs="Arial"/>
          <w:snapToGrid w:val="0"/>
          <w:kern w:val="0"/>
          <w:sz w:val="24"/>
        </w:rPr>
        <w:t>、人员布控预警”</w:t>
      </w:r>
      <w:r>
        <w:rPr>
          <w:rFonts w:hint="eastAsia" w:ascii="仿宋" w:hAnsi="仿宋" w:eastAsia="仿宋" w:cs="Arial"/>
          <w:snapToGrid w:val="0"/>
          <w:kern w:val="0"/>
          <w:sz w:val="24"/>
        </w:rPr>
        <w:t>三大</w:t>
      </w:r>
      <w:r>
        <w:rPr>
          <w:rFonts w:ascii="仿宋" w:hAnsi="仿宋" w:eastAsia="仿宋" w:cs="Arial"/>
          <w:snapToGrid w:val="0"/>
          <w:kern w:val="0"/>
          <w:sz w:val="24"/>
        </w:rPr>
        <w:t>业务功能；同时辅以系统管理</w:t>
      </w:r>
      <w:r>
        <w:rPr>
          <w:rFonts w:hint="eastAsia" w:ascii="仿宋" w:hAnsi="仿宋" w:eastAsia="仿宋" w:cs="Arial"/>
          <w:snapToGrid w:val="0"/>
          <w:kern w:val="0"/>
          <w:sz w:val="24"/>
        </w:rPr>
        <w:t>、移动</w:t>
      </w:r>
      <w:r>
        <w:rPr>
          <w:rFonts w:ascii="仿宋" w:hAnsi="仿宋" w:eastAsia="仿宋" w:cs="Arial"/>
          <w:snapToGrid w:val="0"/>
          <w:kern w:val="0"/>
          <w:sz w:val="24"/>
        </w:rPr>
        <w:t>应用需求，建立</w:t>
      </w:r>
      <w:r>
        <w:rPr>
          <w:rFonts w:hint="eastAsia" w:ascii="仿宋" w:hAnsi="仿宋" w:eastAsia="仿宋" w:cs="Arial"/>
          <w:snapToGrid w:val="0"/>
          <w:kern w:val="0"/>
          <w:sz w:val="24"/>
        </w:rPr>
        <w:t>对应</w:t>
      </w:r>
      <w:r>
        <w:rPr>
          <w:rFonts w:ascii="仿宋" w:hAnsi="仿宋" w:eastAsia="仿宋" w:cs="Arial"/>
          <w:snapToGrid w:val="0"/>
          <w:kern w:val="0"/>
          <w:sz w:val="24"/>
        </w:rPr>
        <w:t>的</w:t>
      </w:r>
      <w:r>
        <w:rPr>
          <w:rFonts w:hint="eastAsia" w:ascii="仿宋" w:hAnsi="仿宋" w:eastAsia="仿宋" w:cs="Arial"/>
          <w:snapToGrid w:val="0"/>
          <w:kern w:val="0"/>
          <w:sz w:val="24"/>
        </w:rPr>
        <w:t>“系统安全</w:t>
      </w:r>
      <w:r>
        <w:rPr>
          <w:rFonts w:ascii="仿宋" w:hAnsi="仿宋" w:eastAsia="仿宋" w:cs="Arial"/>
          <w:snapToGrid w:val="0"/>
          <w:kern w:val="0"/>
          <w:sz w:val="24"/>
        </w:rPr>
        <w:t>管理</w:t>
      </w:r>
      <w:r>
        <w:rPr>
          <w:rFonts w:hint="eastAsia" w:ascii="仿宋" w:hAnsi="仿宋" w:eastAsia="仿宋" w:cs="Arial"/>
          <w:snapToGrid w:val="0"/>
          <w:kern w:val="0"/>
          <w:sz w:val="24"/>
        </w:rPr>
        <w:t>、</w:t>
      </w:r>
      <w:r>
        <w:rPr>
          <w:rFonts w:ascii="仿宋" w:hAnsi="仿宋" w:eastAsia="仿宋" w:cs="Arial"/>
          <w:snapToGrid w:val="0"/>
          <w:kern w:val="0"/>
          <w:sz w:val="24"/>
        </w:rPr>
        <w:t>移动</w:t>
      </w:r>
      <w:r>
        <w:rPr>
          <w:rFonts w:hint="eastAsia" w:ascii="仿宋" w:hAnsi="仿宋" w:eastAsia="仿宋" w:cs="Arial"/>
          <w:snapToGrid w:val="0"/>
          <w:kern w:val="0"/>
          <w:sz w:val="24"/>
        </w:rPr>
        <w:t>APP”两大增值</w:t>
      </w:r>
      <w:r>
        <w:rPr>
          <w:rFonts w:ascii="仿宋" w:hAnsi="仿宋" w:eastAsia="仿宋" w:cs="Arial"/>
          <w:snapToGrid w:val="0"/>
          <w:kern w:val="0"/>
          <w:sz w:val="24"/>
        </w:rPr>
        <w:t>功能，将业务应用与</w:t>
      </w:r>
      <w:r>
        <w:rPr>
          <w:rFonts w:hint="eastAsia" w:ascii="仿宋" w:hAnsi="仿宋" w:eastAsia="仿宋" w:cs="Arial"/>
          <w:snapToGrid w:val="0"/>
          <w:kern w:val="0"/>
          <w:sz w:val="24"/>
        </w:rPr>
        <w:t>人性化</w:t>
      </w:r>
      <w:r>
        <w:rPr>
          <w:rFonts w:ascii="仿宋" w:hAnsi="仿宋" w:eastAsia="仿宋" w:cs="Arial"/>
          <w:snapToGrid w:val="0"/>
          <w:kern w:val="0"/>
          <w:sz w:val="24"/>
        </w:rPr>
        <w:t>管理机制进行有机结合，创新基于人像大数据的综合实战化应用模</w:t>
      </w:r>
      <w:r>
        <w:rPr>
          <w:rFonts w:hint="eastAsia" w:ascii="仿宋" w:hAnsi="仿宋" w:eastAsia="仿宋" w:cs="Arial"/>
          <w:snapToGrid w:val="0"/>
          <w:kern w:val="0"/>
          <w:sz w:val="24"/>
        </w:rPr>
        <w:t>式</w:t>
      </w:r>
      <w:r>
        <w:rPr>
          <w:rFonts w:ascii="仿宋" w:hAnsi="仿宋" w:eastAsia="仿宋" w:cs="Arial"/>
          <w:snapToGrid w:val="0"/>
          <w:kern w:val="0"/>
          <w:sz w:val="24"/>
        </w:rPr>
        <w:t>。</w:t>
      </w:r>
    </w:p>
    <w:p>
      <w:pPr>
        <w:spacing w:line="360" w:lineRule="auto"/>
        <w:jc w:val="left"/>
        <w:rPr>
          <w:rFonts w:ascii="仿宋" w:hAnsi="仿宋" w:eastAsia="仿宋" w:cs="Arial"/>
          <w:b/>
          <w:snapToGrid w:val="0"/>
          <w:kern w:val="0"/>
          <w:sz w:val="24"/>
        </w:rPr>
      </w:pPr>
      <w:r>
        <w:rPr>
          <w:rFonts w:hint="eastAsia" w:ascii="仿宋" w:hAnsi="仿宋" w:eastAsia="仿宋" w:cs="Arial"/>
          <w:b/>
          <w:snapToGrid w:val="0"/>
          <w:kern w:val="0"/>
          <w:sz w:val="24"/>
        </w:rPr>
        <w:t>2、景区人员特征采集建设</w:t>
      </w:r>
    </w:p>
    <w:p>
      <w:pPr>
        <w:spacing w:line="360" w:lineRule="auto"/>
        <w:ind w:firstLine="360" w:firstLineChars="150"/>
        <w:jc w:val="left"/>
        <w:rPr>
          <w:rFonts w:ascii="仿宋" w:hAnsi="仿宋" w:eastAsia="仿宋" w:cs="Arial"/>
          <w:snapToGrid w:val="0"/>
          <w:kern w:val="0"/>
          <w:sz w:val="24"/>
        </w:rPr>
      </w:pPr>
      <w:r>
        <w:rPr>
          <w:rFonts w:hint="eastAsia" w:ascii="仿宋" w:hAnsi="仿宋" w:eastAsia="仿宋" w:cs="Arial"/>
          <w:snapToGrid w:val="0"/>
          <w:kern w:val="0"/>
          <w:sz w:val="24"/>
        </w:rPr>
        <w:t>前端在景区重要卡口和开放路段通过优质信号覆盖，获取覆盖范围内进出景区人员的特征信息。通过公安已有其他系统的网络把信息传送到后台数据管理中心，建立人员信息库。通过后台管理软件，输出重点人员、重点地区的态势变化，及时对布控对象和重要事件进行预警，为景区治安管理提供有效手段。</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用户方将在投标前组织勘点。</w:t>
      </w:r>
    </w:p>
    <w:p>
      <w:pPr>
        <w:spacing w:line="360" w:lineRule="auto"/>
        <w:jc w:val="left"/>
        <w:rPr>
          <w:rFonts w:ascii="仿宋" w:hAnsi="仿宋" w:eastAsia="仿宋" w:cs="Arial"/>
          <w:b/>
          <w:snapToGrid w:val="0"/>
          <w:kern w:val="0"/>
          <w:sz w:val="24"/>
        </w:rPr>
      </w:pPr>
      <w:r>
        <w:rPr>
          <w:rFonts w:hint="eastAsia" w:ascii="仿宋" w:hAnsi="仿宋" w:eastAsia="仿宋" w:cs="Arial"/>
          <w:b/>
          <w:snapToGrid w:val="0"/>
          <w:kern w:val="0"/>
          <w:sz w:val="24"/>
        </w:rPr>
        <w:t>3、数据管控与实战应用平台建设</w:t>
      </w:r>
    </w:p>
    <w:p>
      <w:pPr>
        <w:spacing w:line="360" w:lineRule="auto"/>
        <w:jc w:val="left"/>
        <w:rPr>
          <w:rFonts w:ascii="仿宋" w:hAnsi="仿宋" w:eastAsia="仿宋" w:cs="Arial"/>
          <w:b/>
          <w:snapToGrid w:val="0"/>
          <w:kern w:val="0"/>
          <w:sz w:val="24"/>
        </w:rPr>
      </w:pPr>
      <w:bookmarkStart w:id="38" w:name="_Toc2958876"/>
      <w:bookmarkStart w:id="39" w:name="_Toc1632"/>
      <w:bookmarkStart w:id="40" w:name="_Toc515800364"/>
      <w:bookmarkStart w:id="41" w:name="_Toc505353148"/>
      <w:bookmarkStart w:id="42" w:name="_Toc494209766"/>
      <w:bookmarkStart w:id="43" w:name="_Toc494209767"/>
      <w:r>
        <w:rPr>
          <w:rFonts w:hint="eastAsia" w:ascii="仿宋" w:hAnsi="仿宋" w:eastAsia="仿宋" w:cs="Arial"/>
          <w:b/>
          <w:snapToGrid w:val="0"/>
          <w:kern w:val="0"/>
          <w:sz w:val="24"/>
        </w:rPr>
        <w:t>数据</w:t>
      </w:r>
      <w:bookmarkEnd w:id="38"/>
      <w:bookmarkEnd w:id="39"/>
      <w:bookmarkEnd w:id="40"/>
      <w:r>
        <w:rPr>
          <w:rFonts w:hint="eastAsia" w:ascii="仿宋" w:hAnsi="仿宋" w:eastAsia="仿宋" w:cs="Arial"/>
          <w:b/>
          <w:snapToGrid w:val="0"/>
          <w:kern w:val="0"/>
          <w:sz w:val="24"/>
        </w:rPr>
        <w:t>接入</w:t>
      </w:r>
    </w:p>
    <w:bookmarkEnd w:id="41"/>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人脸数据、人流量数据、交通信息数据等是本平台的数据来源，整合已有数据，并建立统一的数据库规范，还需要包括政府间交换数据及互联网第三方数据。</w:t>
      </w:r>
    </w:p>
    <w:bookmarkEnd w:id="42"/>
    <w:p>
      <w:pPr>
        <w:spacing w:line="360" w:lineRule="auto"/>
        <w:jc w:val="left"/>
        <w:rPr>
          <w:rFonts w:hint="eastAsia" w:ascii="仿宋" w:hAnsi="仿宋" w:eastAsia="仿宋" w:cs="Arial"/>
          <w:b/>
          <w:snapToGrid w:val="0"/>
          <w:kern w:val="0"/>
          <w:sz w:val="24"/>
        </w:rPr>
      </w:pPr>
      <w:bookmarkStart w:id="44" w:name="_Toc20452"/>
      <w:bookmarkStart w:id="45" w:name="_Toc2958882"/>
      <w:bookmarkStart w:id="46" w:name="_Toc515800370"/>
      <w:r>
        <w:rPr>
          <w:rFonts w:hint="eastAsia" w:ascii="仿宋" w:hAnsi="仿宋" w:eastAsia="仿宋" w:cs="Arial"/>
          <w:b/>
          <w:snapToGrid w:val="0"/>
          <w:kern w:val="0"/>
          <w:sz w:val="24"/>
        </w:rPr>
        <w:t>数据</w:t>
      </w:r>
      <w:bookmarkEnd w:id="44"/>
      <w:r>
        <w:rPr>
          <w:rFonts w:hint="eastAsia" w:ascii="仿宋" w:hAnsi="仿宋" w:eastAsia="仿宋" w:cs="Arial"/>
          <w:b/>
          <w:snapToGrid w:val="0"/>
          <w:kern w:val="0"/>
          <w:sz w:val="24"/>
        </w:rPr>
        <w:t>处理</w:t>
      </w:r>
      <w:bookmarkEnd w:id="45"/>
      <w:bookmarkEnd w:id="46"/>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数据处理包含数据计算挖掘与计算结果数据应用处理。</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计算挖掘模块包含如下功能：</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r>
        <w:rPr>
          <w:rFonts w:hint="eastAsia" w:ascii="仿宋" w:hAnsi="仿宋" w:eastAsia="仿宋" w:cs="Arial"/>
          <w:snapToGrid w:val="0"/>
          <w:kern w:val="0"/>
          <w:sz w:val="24"/>
        </w:rPr>
        <w:tab/>
      </w:r>
      <w:r>
        <w:rPr>
          <w:rFonts w:hint="eastAsia" w:ascii="仿宋" w:hAnsi="仿宋" w:eastAsia="仿宋" w:cs="Arial"/>
          <w:snapToGrid w:val="0"/>
          <w:kern w:val="0"/>
          <w:sz w:val="24"/>
        </w:rPr>
        <w:t>并行计算：提供一系列安全、稳定、高效的基于海量数据的定时任务的计算接口。</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w:t>
      </w:r>
      <w:r>
        <w:rPr>
          <w:rFonts w:hint="eastAsia" w:ascii="仿宋" w:hAnsi="仿宋" w:eastAsia="仿宋" w:cs="Arial"/>
          <w:snapToGrid w:val="0"/>
          <w:kern w:val="0"/>
          <w:sz w:val="24"/>
        </w:rPr>
        <w:tab/>
      </w:r>
      <w:r>
        <w:rPr>
          <w:rFonts w:hint="eastAsia" w:ascii="仿宋" w:hAnsi="仿宋" w:eastAsia="仿宋" w:cs="Arial"/>
          <w:snapToGrid w:val="0"/>
          <w:kern w:val="0"/>
          <w:sz w:val="24"/>
        </w:rPr>
        <w:t>实时流处理：提供一系列对实时性要求比较高或最近某一段时间内的数据进行计算的接口。</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w:t>
      </w:r>
      <w:r>
        <w:rPr>
          <w:rFonts w:hint="eastAsia" w:ascii="仿宋" w:hAnsi="仿宋" w:eastAsia="仿宋" w:cs="Arial"/>
          <w:snapToGrid w:val="0"/>
          <w:kern w:val="0"/>
          <w:sz w:val="24"/>
        </w:rPr>
        <w:tab/>
      </w:r>
      <w:r>
        <w:rPr>
          <w:rFonts w:hint="eastAsia" w:ascii="仿宋" w:hAnsi="仿宋" w:eastAsia="仿宋" w:cs="Arial"/>
          <w:snapToGrid w:val="0"/>
          <w:kern w:val="0"/>
          <w:sz w:val="24"/>
        </w:rPr>
        <w:t>交互式查询：提供一系列海量的数据进行查询与数据碰撞且类似于HQL语言的实时接口。</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w:t>
      </w:r>
      <w:r>
        <w:rPr>
          <w:rFonts w:hint="eastAsia" w:ascii="仿宋" w:hAnsi="仿宋" w:eastAsia="仿宋" w:cs="Arial"/>
          <w:snapToGrid w:val="0"/>
          <w:kern w:val="0"/>
          <w:sz w:val="24"/>
        </w:rPr>
        <w:tab/>
      </w:r>
      <w:r>
        <w:rPr>
          <w:rFonts w:hint="eastAsia" w:ascii="仿宋" w:hAnsi="仿宋" w:eastAsia="仿宋" w:cs="Arial"/>
          <w:snapToGrid w:val="0"/>
          <w:kern w:val="0"/>
          <w:sz w:val="24"/>
        </w:rPr>
        <w:t>数据挖掘：提供相应规则下的结构化数据与非结构化数据进行深度的数据挖掘接口。</w:t>
      </w:r>
    </w:p>
    <w:p>
      <w:pPr>
        <w:spacing w:line="360" w:lineRule="auto"/>
        <w:jc w:val="left"/>
        <w:rPr>
          <w:rFonts w:ascii="仿宋" w:hAnsi="仿宋" w:eastAsia="仿宋" w:cs="Arial"/>
          <w:b/>
          <w:snapToGrid w:val="0"/>
          <w:kern w:val="0"/>
          <w:sz w:val="24"/>
        </w:rPr>
      </w:pPr>
      <w:bookmarkStart w:id="47" w:name="_Toc515800373"/>
      <w:bookmarkStart w:id="48" w:name="_Toc2958885"/>
      <w:r>
        <w:rPr>
          <w:rFonts w:hint="eastAsia" w:ascii="仿宋" w:hAnsi="仿宋" w:eastAsia="仿宋" w:cs="Arial"/>
          <w:b/>
          <w:snapToGrid w:val="0"/>
          <w:kern w:val="0"/>
          <w:sz w:val="24"/>
        </w:rPr>
        <w:t>数据服务</w:t>
      </w:r>
      <w:bookmarkEnd w:id="47"/>
      <w:bookmarkEnd w:id="48"/>
    </w:p>
    <w:p>
      <w:pPr>
        <w:spacing w:line="360" w:lineRule="auto"/>
        <w:jc w:val="left"/>
        <w:rPr>
          <w:rFonts w:ascii="仿宋" w:hAnsi="仿宋" w:eastAsia="仿宋" w:cs="Arial"/>
          <w:snapToGrid w:val="0"/>
          <w:kern w:val="0"/>
          <w:sz w:val="24"/>
        </w:rPr>
      </w:pPr>
      <w:bookmarkStart w:id="49" w:name="_Toc2958886"/>
      <w:bookmarkStart w:id="50" w:name="_Toc515800374"/>
      <w:bookmarkStart w:id="51" w:name="_Toc9964"/>
      <w:bookmarkStart w:id="52" w:name="_Toc505353150"/>
      <w:r>
        <w:rPr>
          <w:rFonts w:hint="eastAsia" w:ascii="仿宋" w:hAnsi="仿宋" w:eastAsia="仿宋" w:cs="Arial"/>
          <w:snapToGrid w:val="0"/>
          <w:kern w:val="0"/>
          <w:sz w:val="24"/>
        </w:rPr>
        <w:t>（</w:t>
      </w:r>
      <w:r>
        <w:rPr>
          <w:rFonts w:ascii="仿宋" w:hAnsi="仿宋" w:eastAsia="仿宋" w:cs="Arial"/>
          <w:snapToGrid w:val="0"/>
          <w:kern w:val="0"/>
          <w:sz w:val="24"/>
        </w:rPr>
        <w:t>1</w:t>
      </w:r>
      <w:r>
        <w:rPr>
          <w:rFonts w:hint="eastAsia" w:ascii="仿宋" w:hAnsi="仿宋" w:eastAsia="仿宋" w:cs="Arial"/>
          <w:snapToGrid w:val="0"/>
          <w:kern w:val="0"/>
          <w:sz w:val="24"/>
        </w:rPr>
        <w:t>）数据分发服务</w:t>
      </w:r>
      <w:bookmarkEnd w:id="49"/>
      <w:bookmarkEnd w:id="50"/>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前端探头采集的实时图片数据在视频专网进行分发，一路发送到公安网，供景区公安分局调看及</w:t>
      </w:r>
      <w:r>
        <w:rPr>
          <w:rFonts w:ascii="仿宋" w:hAnsi="仿宋" w:eastAsia="仿宋" w:cs="Arial"/>
          <w:snapToGrid w:val="0"/>
          <w:kern w:val="0"/>
          <w:sz w:val="24"/>
        </w:rPr>
        <w:t>对比使用</w:t>
      </w:r>
      <w:r>
        <w:rPr>
          <w:rFonts w:hint="eastAsia" w:ascii="仿宋" w:hAnsi="仿宋" w:eastAsia="仿宋" w:cs="Arial"/>
          <w:snapToGrid w:val="0"/>
          <w:kern w:val="0"/>
          <w:sz w:val="24"/>
        </w:rPr>
        <w:t>；一路发送到景区管委会专网，供管委会调看使用。</w:t>
      </w:r>
    </w:p>
    <w:p>
      <w:pPr>
        <w:spacing w:line="360" w:lineRule="auto"/>
        <w:jc w:val="left"/>
        <w:rPr>
          <w:rFonts w:ascii="仿宋" w:hAnsi="仿宋" w:eastAsia="仿宋" w:cs="Arial"/>
          <w:snapToGrid w:val="0"/>
          <w:kern w:val="0"/>
          <w:sz w:val="24"/>
        </w:rPr>
      </w:pPr>
      <w:bookmarkStart w:id="53" w:name="_Toc515800375"/>
      <w:bookmarkStart w:id="54" w:name="_Toc2958887"/>
      <w:r>
        <w:rPr>
          <w:rFonts w:hint="eastAsia" w:ascii="仿宋" w:hAnsi="仿宋" w:eastAsia="仿宋" w:cs="Arial"/>
          <w:snapToGrid w:val="0"/>
          <w:kern w:val="0"/>
          <w:sz w:val="24"/>
        </w:rPr>
        <w:t>（</w:t>
      </w:r>
      <w:r>
        <w:rPr>
          <w:rFonts w:ascii="仿宋" w:hAnsi="仿宋" w:eastAsia="仿宋" w:cs="Arial"/>
          <w:snapToGrid w:val="0"/>
          <w:kern w:val="0"/>
          <w:sz w:val="24"/>
        </w:rPr>
        <w:t>2</w:t>
      </w:r>
      <w:r>
        <w:rPr>
          <w:rFonts w:hint="eastAsia" w:ascii="仿宋" w:hAnsi="仿宋" w:eastAsia="仿宋" w:cs="Arial"/>
          <w:snapToGrid w:val="0"/>
          <w:kern w:val="0"/>
          <w:sz w:val="24"/>
        </w:rPr>
        <w:t>）数据查询服务</w:t>
      </w:r>
      <w:bookmarkEnd w:id="53"/>
      <w:bookmarkEnd w:id="54"/>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现有的系统在数据查询服务的业务系统，在海量数据查询中存在如下瓶颈，现有架构难以满足海量数据搜索要求。现有搜索基于传统架构</w:t>
      </w:r>
      <w:r>
        <w:rPr>
          <w:rFonts w:ascii="仿宋" w:hAnsi="仿宋" w:eastAsia="仿宋" w:cs="Arial"/>
          <w:snapToGrid w:val="0"/>
          <w:kern w:val="0"/>
          <w:sz w:val="24"/>
        </w:rPr>
        <w:t>(</w:t>
      </w:r>
      <w:r>
        <w:rPr>
          <w:rFonts w:hint="eastAsia" w:ascii="仿宋" w:hAnsi="仿宋" w:eastAsia="仿宋" w:cs="Arial"/>
          <w:snapToGrid w:val="0"/>
          <w:kern w:val="0"/>
          <w:sz w:val="24"/>
        </w:rPr>
        <w:t>关系型数据库</w:t>
      </w:r>
      <w:r>
        <w:rPr>
          <w:rFonts w:ascii="仿宋" w:hAnsi="仿宋" w:eastAsia="仿宋" w:cs="Arial"/>
          <w:snapToGrid w:val="0"/>
          <w:kern w:val="0"/>
          <w:sz w:val="24"/>
        </w:rPr>
        <w:t>+</w:t>
      </w:r>
      <w:r>
        <w:rPr>
          <w:rFonts w:hint="eastAsia" w:ascii="仿宋" w:hAnsi="仿宋" w:eastAsia="仿宋" w:cs="Arial"/>
          <w:snapToGrid w:val="0"/>
          <w:kern w:val="0"/>
          <w:sz w:val="24"/>
        </w:rPr>
        <w:t>集中存储</w:t>
      </w:r>
      <w:r>
        <w:rPr>
          <w:rFonts w:ascii="仿宋" w:hAnsi="仿宋" w:eastAsia="仿宋" w:cs="Arial"/>
          <w:snapToGrid w:val="0"/>
          <w:kern w:val="0"/>
          <w:sz w:val="24"/>
        </w:rPr>
        <w:t>)</w:t>
      </w:r>
      <w:r>
        <w:rPr>
          <w:rFonts w:hint="eastAsia" w:ascii="仿宋" w:hAnsi="仿宋" w:eastAsia="仿宋" w:cs="Arial"/>
          <w:snapToGrid w:val="0"/>
          <w:kern w:val="0"/>
          <w:sz w:val="24"/>
        </w:rPr>
        <w:t>，其中关系型数据库适用于事务处理应用，在面对</w:t>
      </w:r>
      <w:r>
        <w:rPr>
          <w:rFonts w:ascii="仿宋" w:hAnsi="仿宋" w:eastAsia="仿宋" w:cs="Arial"/>
          <w:snapToGrid w:val="0"/>
          <w:kern w:val="0"/>
          <w:sz w:val="24"/>
        </w:rPr>
        <w:t>TB</w:t>
      </w:r>
      <w:r>
        <w:rPr>
          <w:rFonts w:hint="eastAsia" w:ascii="仿宋" w:hAnsi="仿宋" w:eastAsia="仿宋" w:cs="Arial"/>
          <w:snapToGrid w:val="0"/>
          <w:kern w:val="0"/>
          <w:sz w:val="24"/>
        </w:rPr>
        <w:t>级、甚至</w:t>
      </w:r>
      <w:r>
        <w:rPr>
          <w:rFonts w:ascii="仿宋" w:hAnsi="仿宋" w:eastAsia="仿宋" w:cs="Arial"/>
          <w:snapToGrid w:val="0"/>
          <w:kern w:val="0"/>
          <w:sz w:val="24"/>
        </w:rPr>
        <w:t>PB</w:t>
      </w:r>
      <w:r>
        <w:rPr>
          <w:rFonts w:hint="eastAsia" w:ascii="仿宋" w:hAnsi="仿宋" w:eastAsia="仿宋" w:cs="Arial"/>
          <w:snapToGrid w:val="0"/>
          <w:kern w:val="0"/>
          <w:sz w:val="24"/>
        </w:rPr>
        <w:t>级的半结构化、非结构化数据时，无法提供高效的全文检索、模糊查询、复杂统计与分析服务。传统架构在数据存储方式上受限于集中式存储，系统横向扩展性极差，扩容成本高昂，目前信息资源搜索服务无法满足当前大数据的搜索应用要求。</w:t>
      </w:r>
    </w:p>
    <w:p>
      <w:pPr>
        <w:spacing w:line="360" w:lineRule="auto"/>
        <w:jc w:val="left"/>
        <w:rPr>
          <w:rFonts w:ascii="仿宋" w:hAnsi="仿宋" w:eastAsia="仿宋" w:cs="Arial"/>
          <w:snapToGrid w:val="0"/>
          <w:kern w:val="0"/>
          <w:sz w:val="24"/>
        </w:rPr>
      </w:pPr>
      <w:bookmarkStart w:id="55" w:name="_Toc515800376"/>
      <w:bookmarkStart w:id="56" w:name="_Toc2958888"/>
      <w:r>
        <w:rPr>
          <w:rFonts w:hint="eastAsia" w:ascii="仿宋" w:hAnsi="仿宋" w:eastAsia="仿宋" w:cs="Arial"/>
          <w:snapToGrid w:val="0"/>
          <w:kern w:val="0"/>
          <w:sz w:val="24"/>
        </w:rPr>
        <w:t>（</w:t>
      </w:r>
      <w:r>
        <w:rPr>
          <w:rFonts w:ascii="仿宋" w:hAnsi="仿宋" w:eastAsia="仿宋" w:cs="Arial"/>
          <w:snapToGrid w:val="0"/>
          <w:kern w:val="0"/>
          <w:sz w:val="24"/>
        </w:rPr>
        <w:t>3</w:t>
      </w:r>
      <w:r>
        <w:rPr>
          <w:rFonts w:hint="eastAsia" w:ascii="仿宋" w:hAnsi="仿宋" w:eastAsia="仿宋" w:cs="Arial"/>
          <w:snapToGrid w:val="0"/>
          <w:kern w:val="0"/>
          <w:sz w:val="24"/>
        </w:rPr>
        <w:t>）碰撞对比服务</w:t>
      </w:r>
      <w:bookmarkEnd w:id="55"/>
      <w:bookmarkEnd w:id="56"/>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碰撞比对服务解决任意数据自定义碰撞，并通过交差并集、数据缓存、提取名单、分组统计等功能通过信息化手段快速、准确的在海量数据中通过条件筛选等方式最终找到对案例有用的数据。比对服务实现多数据源之间的交集、并集、差集运算。</w:t>
      </w:r>
    </w:p>
    <w:p>
      <w:pPr>
        <w:spacing w:line="360" w:lineRule="auto"/>
        <w:jc w:val="left"/>
        <w:rPr>
          <w:rFonts w:ascii="仿宋" w:hAnsi="仿宋" w:eastAsia="仿宋" w:cs="Arial"/>
          <w:snapToGrid w:val="0"/>
          <w:kern w:val="0"/>
          <w:sz w:val="24"/>
        </w:rPr>
      </w:pPr>
      <w:bookmarkStart w:id="57" w:name="_Toc515800377"/>
      <w:bookmarkStart w:id="58" w:name="_Toc2958889"/>
      <w:r>
        <w:rPr>
          <w:rFonts w:hint="eastAsia" w:ascii="仿宋" w:hAnsi="仿宋" w:eastAsia="仿宋" w:cs="Arial"/>
          <w:snapToGrid w:val="0"/>
          <w:kern w:val="0"/>
          <w:sz w:val="24"/>
        </w:rPr>
        <w:t>（</w:t>
      </w:r>
      <w:r>
        <w:rPr>
          <w:rFonts w:ascii="仿宋" w:hAnsi="仿宋" w:eastAsia="仿宋" w:cs="Arial"/>
          <w:snapToGrid w:val="0"/>
          <w:kern w:val="0"/>
          <w:sz w:val="24"/>
        </w:rPr>
        <w:t>4</w:t>
      </w:r>
      <w:r>
        <w:rPr>
          <w:rFonts w:hint="eastAsia" w:ascii="仿宋" w:hAnsi="仿宋" w:eastAsia="仿宋" w:cs="Arial"/>
          <w:snapToGrid w:val="0"/>
          <w:kern w:val="0"/>
          <w:sz w:val="24"/>
        </w:rPr>
        <w:t>）数据资源目录服务</w:t>
      </w:r>
      <w:bookmarkEnd w:id="57"/>
      <w:bookmarkEnd w:id="58"/>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数据资源目录服务能够提供标准化目录、标准化注册、标准化查询，同时提供元数据管理、数据对标、数据申请、权限管理等服务。</w:t>
      </w:r>
    </w:p>
    <w:bookmarkEnd w:id="43"/>
    <w:bookmarkEnd w:id="51"/>
    <w:bookmarkEnd w:id="52"/>
    <w:p>
      <w:pPr>
        <w:spacing w:line="360" w:lineRule="auto"/>
        <w:jc w:val="left"/>
        <w:rPr>
          <w:rFonts w:ascii="仿宋" w:hAnsi="仿宋" w:eastAsia="仿宋" w:cs="Arial"/>
          <w:snapToGrid w:val="0"/>
          <w:kern w:val="0"/>
          <w:sz w:val="24"/>
        </w:rPr>
      </w:pPr>
      <w:bookmarkStart w:id="59" w:name="_Toc2958890"/>
      <w:bookmarkStart w:id="60" w:name="_Toc515800378"/>
      <w:bookmarkStart w:id="61" w:name="_Toc30891"/>
      <w:bookmarkStart w:id="62" w:name="_Toc505353152"/>
      <w:bookmarkStart w:id="63" w:name="_Toc494209773"/>
      <w:r>
        <w:rPr>
          <w:rFonts w:hint="eastAsia" w:ascii="仿宋" w:hAnsi="仿宋" w:eastAsia="仿宋" w:cs="Arial"/>
          <w:snapToGrid w:val="0"/>
          <w:kern w:val="0"/>
          <w:sz w:val="24"/>
        </w:rPr>
        <w:t>（</w:t>
      </w:r>
      <w:r>
        <w:rPr>
          <w:rFonts w:ascii="仿宋" w:hAnsi="仿宋" w:eastAsia="仿宋" w:cs="Arial"/>
          <w:snapToGrid w:val="0"/>
          <w:kern w:val="0"/>
          <w:sz w:val="24"/>
        </w:rPr>
        <w:t>5</w:t>
      </w:r>
      <w:r>
        <w:rPr>
          <w:rFonts w:hint="eastAsia" w:ascii="仿宋" w:hAnsi="仿宋" w:eastAsia="仿宋" w:cs="Arial"/>
          <w:snapToGrid w:val="0"/>
          <w:kern w:val="0"/>
          <w:sz w:val="24"/>
        </w:rPr>
        <w:t>）数据对标服务</w:t>
      </w:r>
      <w:bookmarkEnd w:id="59"/>
      <w:bookmarkEnd w:id="60"/>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对标服务提供标准的数据元、数据项、限定词、数据代码等对标数据。公安局及景区管委会用户能够自定义上传数据结构，通过该服务完成数据对标，也可通过数据对标接口完成数据对标。</w:t>
      </w:r>
    </w:p>
    <w:p>
      <w:pPr>
        <w:spacing w:line="360" w:lineRule="auto"/>
        <w:jc w:val="left"/>
        <w:rPr>
          <w:rFonts w:hint="eastAsia" w:ascii="仿宋" w:hAnsi="仿宋" w:eastAsia="仿宋" w:cs="Arial"/>
          <w:snapToGrid w:val="0"/>
          <w:kern w:val="0"/>
          <w:sz w:val="24"/>
        </w:rPr>
      </w:pPr>
    </w:p>
    <w:bookmarkEnd w:id="61"/>
    <w:bookmarkEnd w:id="62"/>
    <w:bookmarkEnd w:id="63"/>
    <w:p>
      <w:pPr>
        <w:spacing w:line="360" w:lineRule="auto"/>
        <w:jc w:val="left"/>
        <w:rPr>
          <w:rFonts w:hint="eastAsia" w:ascii="仿宋" w:hAnsi="仿宋" w:eastAsia="仿宋" w:cs="Arial"/>
          <w:b/>
          <w:snapToGrid w:val="0"/>
          <w:kern w:val="0"/>
          <w:sz w:val="24"/>
        </w:rPr>
      </w:pPr>
      <w:bookmarkStart w:id="64" w:name="_Toc2958891"/>
      <w:bookmarkStart w:id="65" w:name="_Toc515800379"/>
      <w:r>
        <w:rPr>
          <w:rFonts w:hint="eastAsia" w:ascii="仿宋" w:hAnsi="仿宋" w:eastAsia="仿宋" w:cs="Arial"/>
          <w:b/>
          <w:snapToGrid w:val="0"/>
          <w:kern w:val="0"/>
          <w:sz w:val="24"/>
        </w:rPr>
        <w:t>数据资源管理体系</w:t>
      </w:r>
      <w:bookmarkEnd w:id="64"/>
      <w:bookmarkEnd w:id="65"/>
      <w:r>
        <w:rPr>
          <w:rFonts w:hint="eastAsia" w:ascii="仿宋" w:hAnsi="仿宋" w:eastAsia="仿宋" w:cs="Arial"/>
          <w:b/>
          <w:snapToGrid w:val="0"/>
          <w:kern w:val="0"/>
          <w:sz w:val="24"/>
        </w:rPr>
        <w:t>（需现场演示）</w:t>
      </w:r>
    </w:p>
    <w:p>
      <w:pPr>
        <w:pStyle w:val="488"/>
        <w:snapToGrid w:val="0"/>
        <w:spacing w:line="360" w:lineRule="auto"/>
        <w:ind w:left="0" w:firstLine="480" w:firstLineChars="200"/>
        <w:rPr>
          <w:rFonts w:hint="eastAsia" w:ascii="仿宋" w:hAnsi="仿宋" w:eastAsia="仿宋"/>
          <w:color w:val="000000"/>
          <w:sz w:val="24"/>
          <w:szCs w:val="24"/>
        </w:rPr>
      </w:pPr>
      <w:bookmarkStart w:id="66" w:name="_Toc2958895"/>
      <w:bookmarkStart w:id="67" w:name="_Toc515800383"/>
      <w:r>
        <w:rPr>
          <w:rFonts w:hint="eastAsia" w:ascii="仿宋" w:hAnsi="仿宋" w:eastAsia="仿宋"/>
          <w:color w:val="000000"/>
          <w:sz w:val="24"/>
          <w:szCs w:val="24"/>
        </w:rPr>
        <w:t>1）数据元管理：用于统一数据表中的字段，支持数据元的增删改查、批量新增、导出操作。</w:t>
      </w:r>
    </w:p>
    <w:p>
      <w:pPr>
        <w:pStyle w:val="488"/>
        <w:snapToGrid w:val="0"/>
        <w:spacing w:line="360" w:lineRule="auto"/>
        <w:ind w:left="0" w:firstLine="480" w:firstLineChars="200"/>
        <w:rPr>
          <w:rFonts w:ascii="仿宋" w:hAnsi="仿宋" w:eastAsia="仿宋"/>
          <w:color w:val="000000"/>
          <w:sz w:val="24"/>
          <w:szCs w:val="24"/>
        </w:rPr>
      </w:pPr>
      <w:r>
        <w:rPr>
          <w:rFonts w:hint="eastAsia" w:ascii="仿宋" w:hAnsi="仿宋" w:eastAsia="仿宋"/>
          <w:color w:val="000000"/>
          <w:sz w:val="24"/>
          <w:szCs w:val="24"/>
        </w:rPr>
        <w:t>2）数据源管理：可以进行不同数据库端的连接，传统型数据库和大数据类型的数据库。具有数据库查询、新增、测试连接、编辑、查看详情、删除功能。</w:t>
      </w:r>
    </w:p>
    <w:p>
      <w:pPr>
        <w:pStyle w:val="488"/>
        <w:snapToGrid w:val="0"/>
        <w:spacing w:line="360" w:lineRule="auto"/>
        <w:ind w:left="0" w:firstLine="480" w:firstLineChars="200"/>
        <w:rPr>
          <w:rFonts w:hint="eastAsia" w:ascii="仿宋" w:hAnsi="仿宋" w:eastAsia="仿宋"/>
          <w:color w:val="000000"/>
          <w:sz w:val="24"/>
          <w:szCs w:val="24"/>
        </w:rPr>
      </w:pPr>
      <w:r>
        <w:rPr>
          <w:rFonts w:hint="eastAsia" w:ascii="仿宋" w:hAnsi="仿宋" w:eastAsia="仿宋"/>
          <w:color w:val="000000"/>
          <w:sz w:val="24"/>
          <w:szCs w:val="24"/>
        </w:rPr>
        <w:t>3）数据资源管理：将处理好的数据以目录的形式提供出去。本模块提供数据资源的新增、查询、详情查看、审批流程轨迹查看、修改、删除功能。</w:t>
      </w:r>
    </w:p>
    <w:p>
      <w:pPr>
        <w:pStyle w:val="488"/>
        <w:snapToGrid w:val="0"/>
        <w:spacing w:before="0" w:line="360" w:lineRule="auto"/>
        <w:ind w:left="0" w:firstLine="480" w:firstLineChars="200"/>
        <w:rPr>
          <w:rFonts w:hint="eastAsia" w:ascii="仿宋" w:hAnsi="仿宋" w:eastAsia="仿宋"/>
          <w:color w:val="000000"/>
          <w:sz w:val="24"/>
          <w:szCs w:val="24"/>
        </w:rPr>
      </w:pPr>
      <w:r>
        <w:rPr>
          <w:rFonts w:hint="eastAsia" w:ascii="仿宋" w:hAnsi="仿宋" w:eastAsia="仿宋"/>
          <w:color w:val="000000"/>
          <w:sz w:val="24"/>
          <w:szCs w:val="24"/>
        </w:rPr>
        <w:t>4）数据大盘：采用动态可视化效果，统计分析展示后端平台数据中心汇聚的各类数据资源状态情况和运行使用情况，包括分类数据量、数据接入量、数据输出量等。</w:t>
      </w:r>
    </w:p>
    <w:p>
      <w:pPr>
        <w:spacing w:line="360" w:lineRule="auto"/>
        <w:jc w:val="left"/>
        <w:rPr>
          <w:rFonts w:hint="eastAsia" w:ascii="仿宋" w:hAnsi="仿宋" w:eastAsia="仿宋" w:cs="Arial"/>
          <w:b/>
          <w:snapToGrid w:val="0"/>
          <w:kern w:val="0"/>
          <w:sz w:val="24"/>
        </w:rPr>
      </w:pPr>
      <w:r>
        <w:rPr>
          <w:rFonts w:hint="eastAsia" w:ascii="仿宋" w:hAnsi="仿宋" w:eastAsia="仿宋" w:cs="Arial"/>
          <w:b/>
          <w:snapToGrid w:val="0"/>
          <w:kern w:val="0"/>
          <w:sz w:val="24"/>
        </w:rPr>
        <w:t>数据应用</w:t>
      </w:r>
      <w:bookmarkEnd w:id="66"/>
      <w:bookmarkEnd w:id="67"/>
      <w:bookmarkStart w:id="68" w:name="_Toc493512204"/>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通过数据管控平台的建设，将相关数据通过大数据计算模型进行数据碰撞、关联和挖掘，建立智能型的景区公安景点、人员、交通等等的信息数据库，通过建立模型算法，对数据资源进行综合分析和可视化展示，并进行相应风险评估、预警发布和关系人、科研数据可视化等应用。</w:t>
      </w:r>
    </w:p>
    <w:p>
      <w:pPr>
        <w:spacing w:line="360" w:lineRule="auto"/>
        <w:jc w:val="left"/>
        <w:rPr>
          <w:rFonts w:hint="eastAsia" w:ascii="仿宋" w:hAnsi="仿宋" w:eastAsia="仿宋" w:cs="Arial"/>
          <w:snapToGrid w:val="0"/>
          <w:kern w:val="0"/>
          <w:sz w:val="24"/>
        </w:rPr>
      </w:pPr>
      <w:bookmarkStart w:id="69" w:name="_Toc515800384"/>
      <w:bookmarkStart w:id="70" w:name="_Toc2958896"/>
      <w:r>
        <w:rPr>
          <w:rFonts w:hint="eastAsia" w:ascii="仿宋" w:hAnsi="仿宋" w:eastAsia="仿宋" w:cs="Arial"/>
          <w:snapToGrid w:val="0"/>
          <w:kern w:val="0"/>
          <w:sz w:val="24"/>
        </w:rPr>
        <w:t>（</w:t>
      </w:r>
      <w:r>
        <w:rPr>
          <w:rFonts w:ascii="仿宋" w:hAnsi="仿宋" w:eastAsia="仿宋" w:cs="Arial"/>
          <w:snapToGrid w:val="0"/>
          <w:kern w:val="0"/>
          <w:sz w:val="24"/>
        </w:rPr>
        <w:t>1</w:t>
      </w:r>
      <w:r>
        <w:rPr>
          <w:rFonts w:hint="eastAsia" w:ascii="仿宋" w:hAnsi="仿宋" w:eastAsia="仿宋" w:cs="Arial"/>
          <w:snapToGrid w:val="0"/>
          <w:kern w:val="0"/>
          <w:sz w:val="24"/>
        </w:rPr>
        <w:t>）各景点人流量分析</w:t>
      </w:r>
      <w:bookmarkEnd w:id="69"/>
      <w:bookmarkEnd w:id="70"/>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景点的人流数据在外网上，通过接口服务器和边界设备，将外网上的相关数据采集到数据管控平台中，并可以把数据统计信息在平台进行展示，依托数据管控平台的流计算引擎和图数据服务，对相关信息进行实时计算，并依据计算结果进行预警提示，例如进园多少，最大承载、瞬时承载，园区预警等信息。</w:t>
      </w:r>
    </w:p>
    <w:p>
      <w:pPr>
        <w:spacing w:line="360" w:lineRule="auto"/>
        <w:jc w:val="left"/>
        <w:rPr>
          <w:rFonts w:hint="eastAsia" w:ascii="仿宋" w:hAnsi="仿宋" w:eastAsia="仿宋" w:cs="Arial"/>
          <w:snapToGrid w:val="0"/>
          <w:kern w:val="0"/>
          <w:sz w:val="24"/>
        </w:rPr>
      </w:pPr>
      <w:bookmarkStart w:id="71" w:name="_Toc515800385"/>
      <w:bookmarkStart w:id="72" w:name="_Toc2958897"/>
      <w:r>
        <w:rPr>
          <w:rFonts w:hint="eastAsia" w:ascii="仿宋" w:hAnsi="仿宋" w:eastAsia="仿宋" w:cs="Arial"/>
          <w:snapToGrid w:val="0"/>
          <w:kern w:val="0"/>
          <w:sz w:val="24"/>
        </w:rPr>
        <w:t>（</w:t>
      </w:r>
      <w:r>
        <w:rPr>
          <w:rFonts w:ascii="仿宋" w:hAnsi="仿宋" w:eastAsia="仿宋" w:cs="Arial"/>
          <w:snapToGrid w:val="0"/>
          <w:kern w:val="0"/>
          <w:sz w:val="24"/>
        </w:rPr>
        <w:t>2</w:t>
      </w:r>
      <w:r>
        <w:rPr>
          <w:rFonts w:hint="eastAsia" w:ascii="仿宋" w:hAnsi="仿宋" w:eastAsia="仿宋" w:cs="Arial"/>
          <w:snapToGrid w:val="0"/>
          <w:kern w:val="0"/>
          <w:sz w:val="24"/>
        </w:rPr>
        <w:t>）景区人流热力图可视化</w:t>
      </w:r>
      <w:bookmarkEnd w:id="71"/>
      <w:bookmarkEnd w:id="72"/>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参照百度地图的人员分布热力图的方式，从互联网景区相关数据，汇聚到数据管控平台中，并将景区人流热力信息以图形化的可视方式展示出来。互联网数据通过接口服务器和边界设备进行对接获取。</w:t>
      </w:r>
    </w:p>
    <w:p>
      <w:pPr>
        <w:spacing w:line="360" w:lineRule="auto"/>
        <w:jc w:val="left"/>
        <w:rPr>
          <w:rFonts w:hint="eastAsia" w:ascii="仿宋" w:hAnsi="仿宋" w:eastAsia="仿宋" w:cs="Arial"/>
          <w:snapToGrid w:val="0"/>
          <w:kern w:val="0"/>
          <w:sz w:val="24"/>
        </w:rPr>
      </w:pPr>
      <w:bookmarkStart w:id="73" w:name="_Toc515800386"/>
      <w:bookmarkStart w:id="74" w:name="_Toc2958898"/>
      <w:r>
        <w:rPr>
          <w:rFonts w:hint="eastAsia" w:ascii="仿宋" w:hAnsi="仿宋" w:eastAsia="仿宋" w:cs="Arial"/>
          <w:snapToGrid w:val="0"/>
          <w:kern w:val="0"/>
          <w:sz w:val="24"/>
        </w:rPr>
        <w:t>（</w:t>
      </w:r>
      <w:r>
        <w:rPr>
          <w:rFonts w:ascii="仿宋" w:hAnsi="仿宋" w:eastAsia="仿宋" w:cs="Arial"/>
          <w:snapToGrid w:val="0"/>
          <w:kern w:val="0"/>
          <w:sz w:val="24"/>
        </w:rPr>
        <w:t>3</w:t>
      </w:r>
      <w:r>
        <w:rPr>
          <w:rFonts w:hint="eastAsia" w:ascii="仿宋" w:hAnsi="仿宋" w:eastAsia="仿宋" w:cs="Arial"/>
          <w:snapToGrid w:val="0"/>
          <w:kern w:val="0"/>
          <w:sz w:val="24"/>
        </w:rPr>
        <w:t>）人像识别信息分析</w:t>
      </w:r>
      <w:bookmarkEnd w:id="73"/>
      <w:bookmarkEnd w:id="74"/>
      <w:r>
        <w:rPr>
          <w:rFonts w:hint="eastAsia" w:ascii="仿宋" w:hAnsi="仿宋" w:eastAsia="仿宋" w:cs="Arial"/>
          <w:snapToGrid w:val="0"/>
          <w:kern w:val="0"/>
          <w:sz w:val="24"/>
        </w:rPr>
        <w:t>（需现场演示）</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通过前端人像识别的设备对景区内的人员进行人像识别，汇聚人像识别信息到数据管控平台，通过和重点人员库或关注人员库进行比对分析，并结合布控预警信息，将比中结果在地图上实时显示布控对象的轨迹展示。</w:t>
      </w:r>
    </w:p>
    <w:p>
      <w:pPr>
        <w:spacing w:line="360" w:lineRule="auto"/>
        <w:jc w:val="left"/>
        <w:rPr>
          <w:rFonts w:ascii="仿宋" w:hAnsi="仿宋" w:eastAsia="仿宋" w:cs="Arial"/>
          <w:snapToGrid w:val="0"/>
          <w:kern w:val="0"/>
          <w:sz w:val="24"/>
        </w:rPr>
      </w:pPr>
      <w:bookmarkStart w:id="75" w:name="_Toc515800387"/>
      <w:bookmarkStart w:id="76" w:name="_Toc2958899"/>
      <w:r>
        <w:rPr>
          <w:rFonts w:hint="eastAsia" w:ascii="仿宋" w:hAnsi="仿宋" w:eastAsia="仿宋" w:cs="Arial"/>
          <w:snapToGrid w:val="0"/>
          <w:kern w:val="0"/>
          <w:sz w:val="24"/>
        </w:rPr>
        <w:t>（</w:t>
      </w:r>
      <w:r>
        <w:rPr>
          <w:rFonts w:ascii="仿宋" w:hAnsi="仿宋" w:eastAsia="仿宋" w:cs="Arial"/>
          <w:snapToGrid w:val="0"/>
          <w:kern w:val="0"/>
          <w:sz w:val="24"/>
        </w:rPr>
        <w:t>4</w:t>
      </w:r>
      <w:r>
        <w:rPr>
          <w:rFonts w:hint="eastAsia" w:ascii="仿宋" w:hAnsi="仿宋" w:eastAsia="仿宋" w:cs="Arial"/>
          <w:snapToGrid w:val="0"/>
          <w:kern w:val="0"/>
          <w:sz w:val="24"/>
        </w:rPr>
        <w:t>）人脸二次识别数据应用</w:t>
      </w:r>
      <w:bookmarkEnd w:id="75"/>
      <w:bookmarkEnd w:id="76"/>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1.人脸抓拍</w:t>
      </w:r>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基于前端高清采集设备，系统可以从视频流中抓取过往人员最清晰、角度最优的人脸照片（包括场景照片），并且记录在数据</w:t>
      </w:r>
      <w:r>
        <w:rPr>
          <w:rFonts w:ascii="仿宋" w:hAnsi="仿宋" w:eastAsia="仿宋" w:cs="Arial"/>
          <w:snapToGrid w:val="0"/>
          <w:kern w:val="0"/>
          <w:sz w:val="24"/>
        </w:rPr>
        <w:t>管控平台</w:t>
      </w:r>
      <w:r>
        <w:rPr>
          <w:rFonts w:hint="eastAsia" w:ascii="仿宋" w:hAnsi="仿宋" w:eastAsia="仿宋" w:cs="Arial"/>
          <w:snapToGrid w:val="0"/>
          <w:kern w:val="0"/>
          <w:sz w:val="24"/>
        </w:rPr>
        <w:t>中，可以查询到历史时间段的抓拍人员信息。</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2.黑名单布控</w:t>
      </w:r>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可自行指定需要系统报警的“黑名单”人员，通过建立报警库，系统可对“黑名单”中的人进行布控。</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3.实时</w:t>
      </w:r>
      <w:r>
        <w:rPr>
          <w:rFonts w:ascii="仿宋" w:hAnsi="仿宋" w:eastAsia="仿宋" w:cs="Arial"/>
          <w:snapToGrid w:val="0"/>
          <w:kern w:val="0"/>
          <w:sz w:val="24"/>
        </w:rPr>
        <w:t>报警</w:t>
      </w:r>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前端摄像头抓拍到的人脸图像与报警库中的“名单”人员进行比对，如果发现其在黑名单中则实时报警。</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4.静态人脸</w:t>
      </w:r>
      <w:r>
        <w:rPr>
          <w:rFonts w:ascii="仿宋" w:hAnsi="仿宋" w:eastAsia="仿宋" w:cs="Arial"/>
          <w:snapToGrid w:val="0"/>
          <w:kern w:val="0"/>
          <w:sz w:val="24"/>
        </w:rPr>
        <w:t>检索</w:t>
      </w:r>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通过</w:t>
      </w:r>
      <w:r>
        <w:rPr>
          <w:rFonts w:ascii="仿宋" w:hAnsi="仿宋" w:eastAsia="仿宋" w:cs="Arial"/>
          <w:snapToGrid w:val="0"/>
          <w:kern w:val="0"/>
          <w:sz w:val="24"/>
        </w:rPr>
        <w:t>离线文件或照片</w:t>
      </w:r>
      <w:r>
        <w:rPr>
          <w:rFonts w:hint="eastAsia" w:ascii="仿宋" w:hAnsi="仿宋" w:eastAsia="仿宋" w:cs="Arial"/>
          <w:snapToGrid w:val="0"/>
          <w:kern w:val="0"/>
          <w:sz w:val="24"/>
        </w:rPr>
        <w:t>与</w:t>
      </w:r>
      <w:r>
        <w:rPr>
          <w:rFonts w:ascii="仿宋" w:hAnsi="仿宋" w:eastAsia="仿宋" w:cs="Arial"/>
          <w:snapToGrid w:val="0"/>
          <w:kern w:val="0"/>
          <w:sz w:val="24"/>
        </w:rPr>
        <w:t>名单库</w:t>
      </w:r>
      <w:r>
        <w:rPr>
          <w:rFonts w:hint="eastAsia" w:ascii="仿宋" w:hAnsi="仿宋" w:eastAsia="仿宋" w:cs="Arial"/>
          <w:snapToGrid w:val="0"/>
          <w:kern w:val="0"/>
          <w:sz w:val="24"/>
        </w:rPr>
        <w:t>进行</w:t>
      </w:r>
      <w:r>
        <w:rPr>
          <w:rFonts w:ascii="仿宋" w:hAnsi="仿宋" w:eastAsia="仿宋" w:cs="Arial"/>
          <w:snapToGrid w:val="0"/>
          <w:kern w:val="0"/>
          <w:sz w:val="24"/>
        </w:rPr>
        <w:t>相似人脸的比对，</w:t>
      </w:r>
      <w:r>
        <w:rPr>
          <w:rFonts w:hint="eastAsia" w:ascii="仿宋" w:hAnsi="仿宋" w:eastAsia="仿宋" w:cs="Arial"/>
          <w:snapToGrid w:val="0"/>
          <w:kern w:val="0"/>
          <w:sz w:val="24"/>
        </w:rPr>
        <w:t>可在</w:t>
      </w:r>
      <w:r>
        <w:rPr>
          <w:rFonts w:ascii="仿宋" w:hAnsi="仿宋" w:eastAsia="仿宋" w:cs="Arial"/>
          <w:snapToGrid w:val="0"/>
          <w:kern w:val="0"/>
          <w:sz w:val="24"/>
        </w:rPr>
        <w:t>前科、逃犯等库中进行快速的搜索相似人脸。</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5.历史人脸检索</w:t>
      </w:r>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所有被抓拍的过人信息被自动存入过人库，通过上传一张查询照片，可在大量的过人库中快速搜索与上传照片相似的人脸。在刑侦案件中，可有效缩减查找范围，极大削减人工查找的工作量。</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6.报警查询</w:t>
      </w:r>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查询历史报警信息。可以根据摄像头名称，时间来查询历史的报警信息，形成报警历史记录。报警查询应可展示布控申请人、布控申请事由、摄像头地点、摄像头名称、姓名、身份证号、性别、证件照片、人脸图片等。</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7.人员信息管理</w:t>
      </w:r>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在后台服务系统中基础信息管理中设定需要管理的人员的基本资料：包括面部信息、家庭信息、身份信息等，可以以不同参数为索引进行排列、查询，并可以生成进出人员信息报表。</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8.人员</w:t>
      </w:r>
      <w:r>
        <w:rPr>
          <w:rFonts w:ascii="仿宋" w:hAnsi="仿宋" w:eastAsia="仿宋" w:cs="Arial"/>
          <w:snapToGrid w:val="0"/>
          <w:kern w:val="0"/>
          <w:sz w:val="24"/>
        </w:rPr>
        <w:t>轨迹</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系统可以针对多次</w:t>
      </w:r>
      <w:r>
        <w:rPr>
          <w:rFonts w:ascii="仿宋" w:hAnsi="仿宋" w:eastAsia="仿宋" w:cs="Arial"/>
          <w:snapToGrid w:val="0"/>
          <w:kern w:val="0"/>
          <w:sz w:val="24"/>
        </w:rPr>
        <w:t>识别人员</w:t>
      </w:r>
      <w:r>
        <w:rPr>
          <w:rFonts w:hint="eastAsia" w:ascii="仿宋" w:hAnsi="仿宋" w:eastAsia="仿宋" w:cs="Arial"/>
          <w:snapToGrid w:val="0"/>
          <w:kern w:val="0"/>
          <w:sz w:val="24"/>
        </w:rPr>
        <w:t>进行</w:t>
      </w:r>
      <w:r>
        <w:rPr>
          <w:rFonts w:ascii="仿宋" w:hAnsi="仿宋" w:eastAsia="仿宋" w:cs="Arial"/>
          <w:snapToGrid w:val="0"/>
          <w:kern w:val="0"/>
          <w:sz w:val="24"/>
        </w:rPr>
        <w:t>地理信息的轨迹</w:t>
      </w:r>
      <w:r>
        <w:rPr>
          <w:rFonts w:hint="eastAsia" w:ascii="仿宋" w:hAnsi="仿宋" w:eastAsia="仿宋" w:cs="Arial"/>
          <w:snapToGrid w:val="0"/>
          <w:kern w:val="0"/>
          <w:sz w:val="24"/>
        </w:rPr>
        <w:t>重现</w:t>
      </w:r>
      <w:r>
        <w:rPr>
          <w:rFonts w:ascii="仿宋" w:hAnsi="仿宋" w:eastAsia="仿宋" w:cs="Arial"/>
          <w:snapToGrid w:val="0"/>
          <w:kern w:val="0"/>
          <w:sz w:val="24"/>
        </w:rPr>
        <w:t>。</w:t>
      </w:r>
    </w:p>
    <w:p>
      <w:pPr>
        <w:spacing w:line="360" w:lineRule="auto"/>
        <w:jc w:val="left"/>
        <w:rPr>
          <w:rFonts w:ascii="仿宋" w:hAnsi="仿宋" w:eastAsia="仿宋" w:cs="Arial"/>
          <w:snapToGrid w:val="0"/>
          <w:kern w:val="0"/>
          <w:sz w:val="24"/>
        </w:rPr>
      </w:pPr>
      <w:bookmarkStart w:id="77" w:name="_Toc2958900"/>
      <w:bookmarkStart w:id="78" w:name="_Toc515800388"/>
      <w:r>
        <w:rPr>
          <w:rFonts w:hint="eastAsia" w:ascii="仿宋" w:hAnsi="仿宋" w:eastAsia="仿宋" w:cs="Arial"/>
          <w:snapToGrid w:val="0"/>
          <w:kern w:val="0"/>
          <w:sz w:val="24"/>
        </w:rPr>
        <w:t>（</w:t>
      </w:r>
      <w:r>
        <w:rPr>
          <w:rFonts w:ascii="仿宋" w:hAnsi="仿宋" w:eastAsia="仿宋" w:cs="Arial"/>
          <w:snapToGrid w:val="0"/>
          <w:kern w:val="0"/>
          <w:sz w:val="24"/>
        </w:rPr>
        <w:t>5</w:t>
      </w:r>
      <w:r>
        <w:rPr>
          <w:rFonts w:hint="eastAsia" w:ascii="仿宋" w:hAnsi="仿宋" w:eastAsia="仿宋" w:cs="Arial"/>
          <w:snapToGrid w:val="0"/>
          <w:kern w:val="0"/>
          <w:sz w:val="24"/>
        </w:rPr>
        <w:t>）多维采集数据分析</w:t>
      </w:r>
      <w:bookmarkEnd w:id="77"/>
      <w:bookmarkEnd w:id="78"/>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通过多维采集数据工具，将采集的数据汇聚到数据管控平台中，形成独立的数据标签，同时结合布控预警信息，将地址信息和布控预警信息进行比对碰撞，并将碰撞出来的结果在地图上实时显示布控对象的轨迹展示。</w:t>
      </w:r>
    </w:p>
    <w:p>
      <w:pPr>
        <w:spacing w:line="360" w:lineRule="auto"/>
        <w:jc w:val="left"/>
        <w:rPr>
          <w:rFonts w:hint="eastAsia" w:ascii="仿宋" w:hAnsi="仿宋" w:eastAsia="仿宋" w:cs="Arial"/>
          <w:snapToGrid w:val="0"/>
          <w:kern w:val="0"/>
          <w:sz w:val="24"/>
        </w:rPr>
      </w:pPr>
      <w:bookmarkStart w:id="79" w:name="_Toc515800389"/>
      <w:bookmarkStart w:id="80" w:name="_Toc2958901"/>
      <w:r>
        <w:rPr>
          <w:rFonts w:hint="eastAsia" w:ascii="仿宋" w:hAnsi="仿宋" w:eastAsia="仿宋" w:cs="Arial"/>
          <w:snapToGrid w:val="0"/>
          <w:kern w:val="0"/>
          <w:sz w:val="24"/>
        </w:rPr>
        <w:t>（</w:t>
      </w:r>
      <w:r>
        <w:rPr>
          <w:rFonts w:ascii="仿宋" w:hAnsi="仿宋" w:eastAsia="仿宋" w:cs="Arial"/>
          <w:snapToGrid w:val="0"/>
          <w:kern w:val="0"/>
          <w:sz w:val="24"/>
        </w:rPr>
        <w:t>6</w:t>
      </w:r>
      <w:r>
        <w:rPr>
          <w:rFonts w:hint="eastAsia" w:ascii="仿宋" w:hAnsi="仿宋" w:eastAsia="仿宋" w:cs="Arial"/>
          <w:snapToGrid w:val="0"/>
          <w:kern w:val="0"/>
          <w:sz w:val="24"/>
        </w:rPr>
        <w:t>）人证核查数据分析</w:t>
      </w:r>
      <w:bookmarkEnd w:id="79"/>
      <w:bookmarkEnd w:id="80"/>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人证核查分两类数据，一是检查站固定人证核查机，在公园门口或大型活动入口；另一类是流动**通，由警员在景区随机检查身份证，检查的信息。人证核查时，结合布控预警信息，依托部署在景区的人证核查机、人脸识别设备，汇聚整合后，通过实时流计算服务，在地图上显示布控对象的轨迹。</w:t>
      </w:r>
    </w:p>
    <w:p>
      <w:pPr>
        <w:spacing w:line="360" w:lineRule="auto"/>
        <w:jc w:val="left"/>
        <w:rPr>
          <w:rFonts w:hint="eastAsia" w:ascii="仿宋" w:hAnsi="仿宋" w:eastAsia="仿宋" w:cs="Arial"/>
          <w:snapToGrid w:val="0"/>
          <w:kern w:val="0"/>
          <w:sz w:val="24"/>
        </w:rPr>
      </w:pPr>
      <w:bookmarkStart w:id="81" w:name="_Toc515800390"/>
      <w:bookmarkStart w:id="82" w:name="_Toc2958902"/>
      <w:r>
        <w:rPr>
          <w:rFonts w:hint="eastAsia" w:ascii="仿宋" w:hAnsi="仿宋" w:eastAsia="仿宋" w:cs="Arial"/>
          <w:snapToGrid w:val="0"/>
          <w:kern w:val="0"/>
          <w:sz w:val="24"/>
        </w:rPr>
        <w:t>（</w:t>
      </w:r>
      <w:r>
        <w:rPr>
          <w:rFonts w:ascii="仿宋" w:hAnsi="仿宋" w:eastAsia="仿宋" w:cs="Arial"/>
          <w:snapToGrid w:val="0"/>
          <w:kern w:val="0"/>
          <w:sz w:val="24"/>
        </w:rPr>
        <w:t>7</w:t>
      </w:r>
      <w:r>
        <w:rPr>
          <w:rFonts w:hint="eastAsia" w:ascii="仿宋" w:hAnsi="仿宋" w:eastAsia="仿宋" w:cs="Arial"/>
          <w:snapToGrid w:val="0"/>
          <w:kern w:val="0"/>
          <w:sz w:val="24"/>
        </w:rPr>
        <w:t>）景区交通流量数据分析</w:t>
      </w:r>
      <w:bookmarkEnd w:id="81"/>
      <w:bookmarkEnd w:id="82"/>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平台利用结合交警数据，采用按景点、路段划分交通小区的方式，以卡口系统为主，微波系统为辅，实现对交通小区进出车流实时监控，展示景区周边道路交通拥堵程度。在交通小区划分时，周边备选范围内的边界道路流量历史数据分析进行建模，为交通小区划分提供决策依据。</w:t>
      </w:r>
    </w:p>
    <w:p>
      <w:pPr>
        <w:spacing w:line="360" w:lineRule="auto"/>
        <w:jc w:val="left"/>
        <w:rPr>
          <w:rFonts w:hint="eastAsia" w:ascii="仿宋" w:hAnsi="仿宋" w:eastAsia="仿宋" w:cs="Arial"/>
          <w:snapToGrid w:val="0"/>
          <w:kern w:val="0"/>
          <w:sz w:val="24"/>
        </w:rPr>
      </w:pPr>
      <w:bookmarkStart w:id="83" w:name="_Toc2958903"/>
      <w:bookmarkStart w:id="84" w:name="_Toc515800391"/>
      <w:r>
        <w:rPr>
          <w:rFonts w:hint="eastAsia" w:ascii="仿宋" w:hAnsi="仿宋" w:eastAsia="仿宋" w:cs="Arial"/>
          <w:snapToGrid w:val="0"/>
          <w:kern w:val="0"/>
          <w:sz w:val="24"/>
        </w:rPr>
        <w:t>（</w:t>
      </w:r>
      <w:r>
        <w:rPr>
          <w:rFonts w:ascii="仿宋" w:hAnsi="仿宋" w:eastAsia="仿宋" w:cs="Arial"/>
          <w:snapToGrid w:val="0"/>
          <w:kern w:val="0"/>
          <w:sz w:val="24"/>
        </w:rPr>
        <w:t>8</w:t>
      </w:r>
      <w:r>
        <w:rPr>
          <w:rFonts w:hint="eastAsia" w:ascii="仿宋" w:hAnsi="仿宋" w:eastAsia="仿宋" w:cs="Arial"/>
          <w:snapToGrid w:val="0"/>
          <w:kern w:val="0"/>
          <w:sz w:val="24"/>
        </w:rPr>
        <w:t>）智能数据搜索</w:t>
      </w:r>
      <w:bookmarkEnd w:id="83"/>
      <w:bookmarkEnd w:id="84"/>
      <w:r>
        <w:rPr>
          <w:rFonts w:hint="eastAsia" w:ascii="仿宋" w:hAnsi="仿宋" w:eastAsia="仿宋" w:cs="Arial"/>
          <w:snapToGrid w:val="0"/>
          <w:kern w:val="0"/>
          <w:sz w:val="24"/>
        </w:rPr>
        <w:t>（需现场演示）</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在业务数据资源的全文索引中进行检索，提供全面、准确和快速的查询服务，把“模糊”信息逐步变为“精确”信息，从而极大提高工作人员的工作效率情。信息搜索模块中各类搜索模型（包括用户自主创建的检索模型）可以通过SOA总线架构被其他应用软件调用（类似于WebService服务接口）。通过智能全文检索，能够对平台内的全部信息进行快速查询。</w:t>
      </w:r>
    </w:p>
    <w:p>
      <w:pPr>
        <w:spacing w:line="360" w:lineRule="auto"/>
        <w:jc w:val="left"/>
        <w:rPr>
          <w:rFonts w:hint="eastAsia" w:ascii="仿宋" w:hAnsi="仿宋" w:eastAsia="仿宋" w:cs="Arial"/>
          <w:snapToGrid w:val="0"/>
          <w:kern w:val="0"/>
          <w:sz w:val="24"/>
        </w:rPr>
      </w:pPr>
      <w:bookmarkStart w:id="85" w:name="_Toc515800392"/>
      <w:bookmarkStart w:id="86" w:name="_Toc2958904"/>
      <w:r>
        <w:rPr>
          <w:rFonts w:hint="eastAsia" w:ascii="仿宋" w:hAnsi="仿宋" w:eastAsia="仿宋" w:cs="Arial"/>
          <w:snapToGrid w:val="0"/>
          <w:kern w:val="0"/>
          <w:sz w:val="24"/>
        </w:rPr>
        <w:t>（</w:t>
      </w:r>
      <w:r>
        <w:rPr>
          <w:rFonts w:ascii="仿宋" w:hAnsi="仿宋" w:eastAsia="仿宋" w:cs="Arial"/>
          <w:snapToGrid w:val="0"/>
          <w:kern w:val="0"/>
          <w:sz w:val="24"/>
        </w:rPr>
        <w:t>9</w:t>
      </w:r>
      <w:r>
        <w:rPr>
          <w:rFonts w:hint="eastAsia" w:ascii="仿宋" w:hAnsi="仿宋" w:eastAsia="仿宋" w:cs="Arial"/>
          <w:snapToGrid w:val="0"/>
          <w:kern w:val="0"/>
          <w:sz w:val="24"/>
        </w:rPr>
        <w:t>）条件数据碰撞</w:t>
      </w:r>
      <w:bookmarkEnd w:id="85"/>
      <w:bookmarkEnd w:id="86"/>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普通查询平台只做了对特定信息的查询，但是由于系统架构、性能、技术条件、安全性等方面的限制，并没有做到对各种数据的综合分析碰撞与数据挖掘。而这方面的功能恰恰是大数据分析应用工作中所急需的。因此将所有的业务相关数据和个人导入数据的数据碰撞与数据挖掘就成为了要解决的重要问题。平台需能自定义数据与规则进行比对碰撞。</w:t>
      </w:r>
    </w:p>
    <w:p>
      <w:pPr>
        <w:spacing w:line="360" w:lineRule="auto"/>
        <w:jc w:val="left"/>
        <w:rPr>
          <w:rFonts w:hint="eastAsia" w:ascii="仿宋" w:hAnsi="仿宋" w:eastAsia="仿宋" w:cs="Arial"/>
          <w:snapToGrid w:val="0"/>
          <w:kern w:val="0"/>
          <w:sz w:val="24"/>
        </w:rPr>
      </w:pPr>
      <w:bookmarkStart w:id="87" w:name="_Toc2958905"/>
      <w:bookmarkStart w:id="88" w:name="_Toc515800393"/>
      <w:r>
        <w:rPr>
          <w:rFonts w:hint="eastAsia" w:ascii="仿宋" w:hAnsi="仿宋" w:eastAsia="仿宋" w:cs="Arial"/>
          <w:snapToGrid w:val="0"/>
          <w:kern w:val="0"/>
          <w:sz w:val="24"/>
        </w:rPr>
        <w:t>（</w:t>
      </w:r>
      <w:r>
        <w:rPr>
          <w:rFonts w:ascii="仿宋" w:hAnsi="仿宋" w:eastAsia="仿宋" w:cs="Arial"/>
          <w:snapToGrid w:val="0"/>
          <w:kern w:val="0"/>
          <w:sz w:val="24"/>
        </w:rPr>
        <w:t>10</w:t>
      </w:r>
      <w:r>
        <w:rPr>
          <w:rFonts w:hint="eastAsia" w:ascii="仿宋" w:hAnsi="仿宋" w:eastAsia="仿宋" w:cs="Arial"/>
          <w:snapToGrid w:val="0"/>
          <w:kern w:val="0"/>
          <w:sz w:val="24"/>
        </w:rPr>
        <w:t>）智能多维分析</w:t>
      </w:r>
      <w:bookmarkEnd w:id="87"/>
      <w:bookmarkEnd w:id="88"/>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数据多维分析实现对数据进行多维度的指标设置，同时进行分析结果多样化展现。基于多维分析工具，对景点、游客、时间、事件等不同维度主题进行多维分析，同时以表格、图形、文字等多种形式展现。</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同时可以按需求对主体等参数进行筛选，通过数据比对、分析和归纳，及时、准确地反映数据的情况，帮助公安客观分析现状，辅助宏观决策和管理。</w:t>
      </w:r>
    </w:p>
    <w:p>
      <w:pPr>
        <w:spacing w:line="360" w:lineRule="auto"/>
        <w:jc w:val="left"/>
        <w:rPr>
          <w:rFonts w:hint="eastAsia" w:ascii="仿宋" w:hAnsi="仿宋" w:eastAsia="仿宋" w:cs="Arial"/>
          <w:snapToGrid w:val="0"/>
          <w:kern w:val="0"/>
          <w:sz w:val="24"/>
        </w:rPr>
      </w:pPr>
      <w:bookmarkStart w:id="89" w:name="_Toc2958906"/>
      <w:bookmarkStart w:id="90" w:name="_Toc515800394"/>
      <w:r>
        <w:rPr>
          <w:rFonts w:hint="eastAsia" w:ascii="仿宋" w:hAnsi="仿宋" w:eastAsia="仿宋" w:cs="Arial"/>
          <w:snapToGrid w:val="0"/>
          <w:kern w:val="0"/>
          <w:sz w:val="24"/>
        </w:rPr>
        <w:t>（</w:t>
      </w:r>
      <w:r>
        <w:rPr>
          <w:rFonts w:ascii="仿宋" w:hAnsi="仿宋" w:eastAsia="仿宋" w:cs="Arial"/>
          <w:snapToGrid w:val="0"/>
          <w:kern w:val="0"/>
          <w:sz w:val="24"/>
        </w:rPr>
        <w:t>11</w:t>
      </w:r>
      <w:r>
        <w:rPr>
          <w:rFonts w:hint="eastAsia" w:ascii="仿宋" w:hAnsi="仿宋" w:eastAsia="仿宋" w:cs="Arial"/>
          <w:snapToGrid w:val="0"/>
          <w:kern w:val="0"/>
          <w:sz w:val="24"/>
        </w:rPr>
        <w:t>）信息自动预警</w:t>
      </w:r>
      <w:bookmarkEnd w:id="89"/>
      <w:bookmarkEnd w:id="90"/>
      <w:r>
        <w:rPr>
          <w:rFonts w:hint="eastAsia" w:ascii="仿宋" w:hAnsi="仿宋" w:eastAsia="仿宋" w:cs="Arial"/>
          <w:snapToGrid w:val="0"/>
          <w:kern w:val="0"/>
          <w:sz w:val="24"/>
        </w:rPr>
        <w:t>（需现场演示）</w:t>
      </w:r>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采用面向服务的体系架构 (SOA) ，通过大数据计算模型，为景区公安的分析研判业务应用模块提供高性能计算服务，实现大批量数据碰撞和快速比对，设定阈值为风险预警提供准确高效的数据支撑。提供人流、车流、重点人员的评估、预警、分析、管控等功能。</w:t>
      </w:r>
    </w:p>
    <w:p>
      <w:pPr>
        <w:spacing w:line="360" w:lineRule="auto"/>
        <w:jc w:val="left"/>
        <w:rPr>
          <w:rFonts w:hint="eastAsia" w:ascii="仿宋" w:hAnsi="仿宋" w:eastAsia="仿宋" w:cs="Arial"/>
          <w:snapToGrid w:val="0"/>
          <w:kern w:val="0"/>
          <w:sz w:val="24"/>
        </w:rPr>
      </w:pPr>
      <w:bookmarkStart w:id="91" w:name="_Toc515800395"/>
      <w:bookmarkStart w:id="92" w:name="_Toc2958907"/>
      <w:r>
        <w:rPr>
          <w:rFonts w:hint="eastAsia" w:ascii="仿宋" w:hAnsi="仿宋" w:eastAsia="仿宋" w:cs="Arial"/>
          <w:snapToGrid w:val="0"/>
          <w:kern w:val="0"/>
          <w:sz w:val="24"/>
        </w:rPr>
        <w:t>（</w:t>
      </w:r>
      <w:r>
        <w:rPr>
          <w:rFonts w:ascii="仿宋" w:hAnsi="仿宋" w:eastAsia="仿宋" w:cs="Arial"/>
          <w:snapToGrid w:val="0"/>
          <w:kern w:val="0"/>
          <w:sz w:val="24"/>
        </w:rPr>
        <w:t>12</w:t>
      </w:r>
      <w:r>
        <w:rPr>
          <w:rFonts w:hint="eastAsia" w:ascii="仿宋" w:hAnsi="仿宋" w:eastAsia="仿宋" w:cs="Arial"/>
          <w:snapToGrid w:val="0"/>
          <w:kern w:val="0"/>
          <w:sz w:val="24"/>
        </w:rPr>
        <w:t>）数据应用可视化</w:t>
      </w:r>
      <w:bookmarkEnd w:id="91"/>
      <w:bookmarkEnd w:id="92"/>
      <w:r>
        <w:rPr>
          <w:rFonts w:hint="eastAsia" w:ascii="仿宋" w:hAnsi="仿宋" w:eastAsia="仿宋" w:cs="Arial"/>
          <w:snapToGrid w:val="0"/>
          <w:kern w:val="0"/>
          <w:sz w:val="24"/>
        </w:rPr>
        <w:t>（需现场演示）</w:t>
      </w:r>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通过计算挖掘服务的计算结果配置直接将数据写入图形数据库。平台提供开发接口供用户对图数据库实施数据写入与数据搜索服务。结合大数据中流计算模块对数据进行微批量计算，对实时的采集信息进行流式计算，并结合可视化形式进行直观的数据统计展现，提供人流态势、车流态势等模块。</w:t>
      </w:r>
    </w:p>
    <w:bookmarkEnd w:id="68"/>
    <w:p>
      <w:pPr>
        <w:spacing w:line="360" w:lineRule="auto"/>
        <w:jc w:val="left"/>
        <w:rPr>
          <w:rFonts w:ascii="仿宋" w:hAnsi="仿宋" w:eastAsia="仿宋" w:cs="Arial"/>
          <w:b/>
          <w:snapToGrid w:val="0"/>
          <w:kern w:val="0"/>
          <w:sz w:val="24"/>
        </w:rPr>
      </w:pPr>
      <w:bookmarkStart w:id="93" w:name="_Toc2958908"/>
      <w:bookmarkStart w:id="94" w:name="_Toc486593750"/>
      <w:bookmarkStart w:id="95" w:name="_Toc495497221"/>
      <w:bookmarkStart w:id="96" w:name="_Toc515800396"/>
      <w:r>
        <w:rPr>
          <w:rFonts w:ascii="仿宋" w:hAnsi="仿宋" w:eastAsia="仿宋" w:cs="Arial"/>
          <w:b/>
          <w:snapToGrid w:val="0"/>
          <w:kern w:val="0"/>
          <w:sz w:val="24"/>
        </w:rPr>
        <w:t>管理功能</w:t>
      </w:r>
      <w:bookmarkEnd w:id="93"/>
      <w:bookmarkEnd w:id="94"/>
      <w:bookmarkEnd w:id="95"/>
    </w:p>
    <w:p>
      <w:pPr>
        <w:spacing w:line="360" w:lineRule="auto"/>
        <w:jc w:val="left"/>
        <w:rPr>
          <w:rFonts w:ascii="仿宋" w:hAnsi="仿宋" w:eastAsia="仿宋" w:cs="Arial"/>
          <w:snapToGrid w:val="0"/>
          <w:kern w:val="0"/>
          <w:sz w:val="24"/>
        </w:rPr>
      </w:pPr>
      <w:bookmarkStart w:id="97" w:name="_Toc2958909"/>
      <w:bookmarkStart w:id="98" w:name="_Toc486593751"/>
      <w:bookmarkStart w:id="99" w:name="_Toc474414598"/>
      <w:r>
        <w:rPr>
          <w:rFonts w:hint="eastAsia" w:ascii="仿宋" w:hAnsi="仿宋" w:eastAsia="仿宋" w:cs="Arial"/>
          <w:snapToGrid w:val="0"/>
          <w:kern w:val="0"/>
          <w:sz w:val="24"/>
        </w:rPr>
        <w:t>（</w:t>
      </w:r>
      <w:r>
        <w:rPr>
          <w:rFonts w:ascii="仿宋" w:hAnsi="仿宋" w:eastAsia="仿宋" w:cs="Arial"/>
          <w:snapToGrid w:val="0"/>
          <w:kern w:val="0"/>
          <w:sz w:val="24"/>
        </w:rPr>
        <w:t>1</w:t>
      </w:r>
      <w:r>
        <w:rPr>
          <w:rFonts w:hint="eastAsia" w:ascii="仿宋" w:hAnsi="仿宋" w:eastAsia="仿宋" w:cs="Arial"/>
          <w:snapToGrid w:val="0"/>
          <w:kern w:val="0"/>
          <w:sz w:val="24"/>
        </w:rPr>
        <w:t>）系统管理</w:t>
      </w:r>
      <w:bookmarkEnd w:id="97"/>
      <w:bookmarkEnd w:id="98"/>
      <w:bookmarkEnd w:id="99"/>
    </w:p>
    <w:p>
      <w:pPr>
        <w:spacing w:line="360" w:lineRule="auto"/>
        <w:ind w:firstLine="480" w:firstLineChars="200"/>
        <w:jc w:val="left"/>
        <w:rPr>
          <w:rFonts w:ascii="仿宋" w:hAnsi="仿宋" w:eastAsia="仿宋" w:cs="Arial"/>
          <w:snapToGrid w:val="0"/>
          <w:kern w:val="0"/>
          <w:sz w:val="24"/>
        </w:rPr>
      </w:pPr>
      <w:bookmarkStart w:id="100" w:name="_Toc486593752"/>
      <w:r>
        <w:rPr>
          <w:rFonts w:hint="eastAsia" w:ascii="仿宋" w:hAnsi="仿宋" w:eastAsia="仿宋" w:cs="Arial"/>
          <w:snapToGrid w:val="0"/>
          <w:kern w:val="0"/>
          <w:sz w:val="24"/>
        </w:rPr>
        <w:t>提供系统运行、安全管理等方面的功能应用，包括：控制</w:t>
      </w:r>
      <w:r>
        <w:rPr>
          <w:rFonts w:ascii="仿宋" w:hAnsi="仿宋" w:eastAsia="仿宋" w:cs="Arial"/>
          <w:snapToGrid w:val="0"/>
          <w:kern w:val="0"/>
          <w:sz w:val="24"/>
        </w:rPr>
        <w:t>访问</w:t>
      </w:r>
      <w:bookmarkEnd w:id="100"/>
      <w:r>
        <w:rPr>
          <w:rFonts w:hint="eastAsia" w:ascii="仿宋" w:hAnsi="仿宋" w:eastAsia="仿宋" w:cs="Arial"/>
          <w:snapToGrid w:val="0"/>
          <w:kern w:val="0"/>
          <w:sz w:val="24"/>
        </w:rPr>
        <w:t>、</w:t>
      </w:r>
      <w:bookmarkStart w:id="101" w:name="_Toc486593753"/>
      <w:r>
        <w:rPr>
          <w:rFonts w:hint="eastAsia" w:ascii="仿宋" w:hAnsi="仿宋" w:eastAsia="仿宋" w:cs="Arial"/>
          <w:snapToGrid w:val="0"/>
          <w:kern w:val="0"/>
          <w:sz w:val="24"/>
        </w:rPr>
        <w:t>系统日志管理</w:t>
      </w:r>
      <w:bookmarkEnd w:id="101"/>
      <w:r>
        <w:rPr>
          <w:rFonts w:hint="eastAsia" w:ascii="仿宋" w:hAnsi="仿宋" w:eastAsia="仿宋" w:cs="Arial"/>
          <w:snapToGrid w:val="0"/>
          <w:kern w:val="0"/>
          <w:sz w:val="24"/>
        </w:rPr>
        <w:t>、</w:t>
      </w:r>
      <w:bookmarkStart w:id="102" w:name="_Toc486593754"/>
      <w:r>
        <w:rPr>
          <w:rFonts w:hint="eastAsia" w:ascii="仿宋" w:hAnsi="仿宋" w:eastAsia="仿宋" w:cs="Arial"/>
          <w:snapToGrid w:val="0"/>
          <w:kern w:val="0"/>
          <w:sz w:val="24"/>
        </w:rPr>
        <w:t>用户权限管理</w:t>
      </w:r>
      <w:bookmarkEnd w:id="102"/>
      <w:r>
        <w:rPr>
          <w:rFonts w:hint="eastAsia" w:ascii="仿宋" w:hAnsi="仿宋" w:eastAsia="仿宋" w:cs="Arial"/>
          <w:snapToGrid w:val="0"/>
          <w:kern w:val="0"/>
          <w:sz w:val="24"/>
        </w:rPr>
        <w:t>、</w:t>
      </w:r>
      <w:bookmarkStart w:id="103" w:name="_Toc486593755"/>
      <w:r>
        <w:rPr>
          <w:rFonts w:hint="eastAsia" w:ascii="仿宋" w:hAnsi="仿宋" w:eastAsia="仿宋" w:cs="Arial"/>
          <w:snapToGrid w:val="0"/>
          <w:kern w:val="0"/>
          <w:sz w:val="24"/>
        </w:rPr>
        <w:t>错误处理机制</w:t>
      </w:r>
      <w:bookmarkEnd w:id="103"/>
      <w:r>
        <w:rPr>
          <w:rFonts w:hint="eastAsia" w:ascii="仿宋" w:hAnsi="仿宋" w:eastAsia="仿宋" w:cs="Arial"/>
          <w:snapToGrid w:val="0"/>
          <w:kern w:val="0"/>
          <w:sz w:val="24"/>
        </w:rPr>
        <w:t>、</w:t>
      </w:r>
      <w:bookmarkStart w:id="104" w:name="_Toc297051320"/>
      <w:bookmarkStart w:id="105" w:name="_Toc486593756"/>
      <w:r>
        <w:rPr>
          <w:rFonts w:hint="eastAsia" w:ascii="仿宋" w:hAnsi="仿宋" w:eastAsia="仿宋" w:cs="Arial"/>
          <w:snapToGrid w:val="0"/>
          <w:kern w:val="0"/>
          <w:sz w:val="24"/>
        </w:rPr>
        <w:t>系统可扩展性</w:t>
      </w:r>
      <w:bookmarkEnd w:id="104"/>
      <w:bookmarkEnd w:id="105"/>
      <w:r>
        <w:rPr>
          <w:rFonts w:hint="eastAsia" w:ascii="仿宋" w:hAnsi="仿宋" w:eastAsia="仿宋" w:cs="Arial"/>
          <w:snapToGrid w:val="0"/>
          <w:kern w:val="0"/>
          <w:sz w:val="24"/>
        </w:rPr>
        <w:t>、</w:t>
      </w:r>
      <w:bookmarkStart w:id="106" w:name="_Toc486593757"/>
      <w:bookmarkStart w:id="107" w:name="_Toc297051321"/>
      <w:r>
        <w:rPr>
          <w:rFonts w:hint="eastAsia" w:ascii="仿宋" w:hAnsi="仿宋" w:eastAsia="仿宋" w:cs="Arial"/>
          <w:snapToGrid w:val="0"/>
          <w:kern w:val="0"/>
          <w:sz w:val="24"/>
        </w:rPr>
        <w:t>系统可维护性</w:t>
      </w:r>
      <w:bookmarkEnd w:id="106"/>
      <w:bookmarkEnd w:id="107"/>
      <w:r>
        <w:rPr>
          <w:rFonts w:hint="eastAsia" w:ascii="仿宋" w:hAnsi="仿宋" w:eastAsia="仿宋" w:cs="Arial"/>
          <w:snapToGrid w:val="0"/>
          <w:kern w:val="0"/>
          <w:sz w:val="24"/>
        </w:rPr>
        <w:t>。</w:t>
      </w:r>
    </w:p>
    <w:p>
      <w:pPr>
        <w:spacing w:line="360" w:lineRule="auto"/>
        <w:jc w:val="left"/>
        <w:rPr>
          <w:rFonts w:ascii="仿宋" w:hAnsi="仿宋" w:eastAsia="仿宋" w:cs="Arial"/>
          <w:snapToGrid w:val="0"/>
          <w:kern w:val="0"/>
          <w:sz w:val="24"/>
        </w:rPr>
      </w:pPr>
      <w:bookmarkStart w:id="108" w:name="_Toc486593758"/>
      <w:bookmarkStart w:id="109" w:name="_Toc2958910"/>
      <w:bookmarkStart w:id="110" w:name="_Toc458589553"/>
      <w:r>
        <w:rPr>
          <w:rFonts w:hint="eastAsia" w:ascii="仿宋" w:hAnsi="仿宋" w:eastAsia="仿宋" w:cs="Arial"/>
          <w:snapToGrid w:val="0"/>
          <w:kern w:val="0"/>
          <w:sz w:val="24"/>
        </w:rPr>
        <w:t>（</w:t>
      </w:r>
      <w:r>
        <w:rPr>
          <w:rFonts w:ascii="仿宋" w:hAnsi="仿宋" w:eastAsia="仿宋" w:cs="Arial"/>
          <w:snapToGrid w:val="0"/>
          <w:kern w:val="0"/>
          <w:sz w:val="24"/>
        </w:rPr>
        <w:t>2</w:t>
      </w:r>
      <w:r>
        <w:rPr>
          <w:rFonts w:hint="eastAsia" w:ascii="仿宋" w:hAnsi="仿宋" w:eastAsia="仿宋" w:cs="Arial"/>
          <w:snapToGrid w:val="0"/>
          <w:kern w:val="0"/>
          <w:sz w:val="24"/>
        </w:rPr>
        <w:t>）</w:t>
      </w:r>
      <w:r>
        <w:rPr>
          <w:rFonts w:ascii="仿宋" w:hAnsi="仿宋" w:eastAsia="仿宋" w:cs="Arial"/>
          <w:snapToGrid w:val="0"/>
          <w:kern w:val="0"/>
          <w:sz w:val="24"/>
        </w:rPr>
        <w:t>PKI证书</w:t>
      </w:r>
      <w:r>
        <w:rPr>
          <w:rFonts w:hint="eastAsia" w:ascii="仿宋" w:hAnsi="仿宋" w:eastAsia="仿宋" w:cs="Arial"/>
          <w:snapToGrid w:val="0"/>
          <w:kern w:val="0"/>
          <w:sz w:val="24"/>
        </w:rPr>
        <w:t>认证</w:t>
      </w:r>
      <w:r>
        <w:rPr>
          <w:rFonts w:ascii="仿宋" w:hAnsi="仿宋" w:eastAsia="仿宋" w:cs="Arial"/>
          <w:snapToGrid w:val="0"/>
          <w:kern w:val="0"/>
          <w:sz w:val="24"/>
        </w:rPr>
        <w:t>登录</w:t>
      </w:r>
      <w:bookmarkEnd w:id="108"/>
      <w:bookmarkEnd w:id="109"/>
      <w:bookmarkEnd w:id="110"/>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用户访问</w:t>
      </w:r>
      <w:r>
        <w:rPr>
          <w:rFonts w:ascii="仿宋" w:hAnsi="仿宋" w:eastAsia="仿宋" w:cs="Arial"/>
          <w:snapToGrid w:val="0"/>
          <w:kern w:val="0"/>
          <w:sz w:val="24"/>
        </w:rPr>
        <w:t>时，</w:t>
      </w:r>
      <w:r>
        <w:rPr>
          <w:rFonts w:hint="eastAsia" w:ascii="仿宋" w:hAnsi="仿宋" w:eastAsia="仿宋" w:cs="Arial"/>
          <w:snapToGrid w:val="0"/>
          <w:kern w:val="0"/>
          <w:sz w:val="24"/>
        </w:rPr>
        <w:t>支持普通的口令认证方式，同时支持公安部统一使用的USB密钥PKI数字证书认证。平台软件基于令牌和SSL协议的集中身份认证，保证身份认证安全可靠。</w:t>
      </w:r>
    </w:p>
    <w:p>
      <w:pPr>
        <w:spacing w:line="360" w:lineRule="auto"/>
        <w:jc w:val="left"/>
        <w:rPr>
          <w:rFonts w:ascii="仿宋" w:hAnsi="仿宋" w:eastAsia="仿宋" w:cs="Arial"/>
          <w:snapToGrid w:val="0"/>
          <w:kern w:val="0"/>
          <w:sz w:val="24"/>
        </w:rPr>
      </w:pPr>
      <w:bookmarkStart w:id="111" w:name="_Toc458589586"/>
      <w:bookmarkStart w:id="112" w:name="_Toc2958911"/>
      <w:bookmarkStart w:id="113" w:name="_Toc486593759"/>
      <w:r>
        <w:rPr>
          <w:rFonts w:hint="eastAsia" w:ascii="仿宋" w:hAnsi="仿宋" w:eastAsia="仿宋" w:cs="Arial"/>
          <w:snapToGrid w:val="0"/>
          <w:kern w:val="0"/>
          <w:sz w:val="24"/>
        </w:rPr>
        <w:t>（</w:t>
      </w:r>
      <w:r>
        <w:rPr>
          <w:rFonts w:ascii="仿宋" w:hAnsi="仿宋" w:eastAsia="仿宋" w:cs="Arial"/>
          <w:snapToGrid w:val="0"/>
          <w:kern w:val="0"/>
          <w:sz w:val="24"/>
        </w:rPr>
        <w:t>3</w:t>
      </w:r>
      <w:r>
        <w:rPr>
          <w:rFonts w:hint="eastAsia" w:ascii="仿宋" w:hAnsi="仿宋" w:eastAsia="仿宋" w:cs="Arial"/>
          <w:snapToGrid w:val="0"/>
          <w:kern w:val="0"/>
          <w:sz w:val="24"/>
        </w:rPr>
        <w:t>）设备</w:t>
      </w:r>
      <w:r>
        <w:rPr>
          <w:rFonts w:ascii="仿宋" w:hAnsi="仿宋" w:eastAsia="仿宋" w:cs="Arial"/>
          <w:snapToGrid w:val="0"/>
          <w:kern w:val="0"/>
          <w:sz w:val="24"/>
        </w:rPr>
        <w:t>运维监控</w:t>
      </w:r>
      <w:bookmarkEnd w:id="111"/>
      <w:bookmarkEnd w:id="112"/>
      <w:bookmarkEnd w:id="113"/>
    </w:p>
    <w:p>
      <w:pPr>
        <w:spacing w:line="360" w:lineRule="auto"/>
        <w:jc w:val="left"/>
        <w:rPr>
          <w:rFonts w:ascii="仿宋" w:hAnsi="仿宋" w:eastAsia="仿宋" w:cs="Arial"/>
          <w:snapToGrid w:val="0"/>
          <w:kern w:val="0"/>
          <w:sz w:val="24"/>
        </w:rPr>
      </w:pPr>
      <w:bookmarkStart w:id="114" w:name="_Toc486593760"/>
      <w:bookmarkStart w:id="115" w:name="_Toc458589587"/>
      <w:r>
        <w:rPr>
          <w:rFonts w:hint="eastAsia" w:ascii="仿宋" w:hAnsi="仿宋" w:eastAsia="仿宋" w:cs="Arial"/>
          <w:snapToGrid w:val="0"/>
          <w:kern w:val="0"/>
          <w:sz w:val="24"/>
        </w:rPr>
        <w:t>1．系统</w:t>
      </w:r>
      <w:r>
        <w:rPr>
          <w:rFonts w:ascii="仿宋" w:hAnsi="仿宋" w:eastAsia="仿宋" w:cs="Arial"/>
          <w:snapToGrid w:val="0"/>
          <w:kern w:val="0"/>
          <w:sz w:val="24"/>
        </w:rPr>
        <w:t>设备运行管理</w:t>
      </w:r>
      <w:bookmarkEnd w:id="114"/>
      <w:bookmarkEnd w:id="115"/>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实现对基础架构和设备设施等进行监控和管理，主要包括主机、网络、存储、虚拟机等，通过预先设定相关的阀值，建立起一整套的性能、故障、容量等的预警和报警机制。将基础架构部件和设备中收集到的性能数据和各种告警事件，经过初步的过滤后发送到设备运行管理平台进行处理。</w:t>
      </w:r>
    </w:p>
    <w:p>
      <w:pPr>
        <w:spacing w:line="360" w:lineRule="auto"/>
        <w:jc w:val="left"/>
        <w:rPr>
          <w:rFonts w:ascii="仿宋" w:hAnsi="仿宋" w:eastAsia="仿宋" w:cs="Arial"/>
          <w:snapToGrid w:val="0"/>
          <w:kern w:val="0"/>
          <w:sz w:val="24"/>
        </w:rPr>
      </w:pPr>
      <w:bookmarkStart w:id="116" w:name="_Toc458589588"/>
      <w:bookmarkStart w:id="117" w:name="_Toc417326384"/>
      <w:bookmarkStart w:id="118" w:name="_Toc486593761"/>
      <w:r>
        <w:rPr>
          <w:rFonts w:hint="eastAsia" w:ascii="仿宋" w:hAnsi="仿宋" w:eastAsia="仿宋" w:cs="Arial"/>
          <w:snapToGrid w:val="0"/>
          <w:kern w:val="0"/>
          <w:sz w:val="24"/>
        </w:rPr>
        <w:t>2.服务监控管理</w:t>
      </w:r>
      <w:bookmarkEnd w:id="116"/>
      <w:bookmarkEnd w:id="117"/>
      <w:bookmarkEnd w:id="118"/>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数据服务总线是服务、接口、应用集成的枢纽，各个应用系统之间的信息和服务共享、数据交换都将通过数据服务总线来进行，因此，数据服务总线平台本身的监控和管理的重要性是不言而喻的。全面、及时的服务监控功能除了能够辅助快捷的故障诊断，还能够提供完整的服务质量评估报告，以衡量现有的应用系统效率，并为优化、升级提供指导。服务监控需要包括服务状态、操作等级别的调用/失败次数、响应时间等信息，并且在超过设定阀值或配置指标的情况下能够报警。</w:t>
      </w:r>
    </w:p>
    <w:p>
      <w:pPr>
        <w:spacing w:line="360" w:lineRule="auto"/>
        <w:jc w:val="left"/>
        <w:rPr>
          <w:rFonts w:ascii="仿宋" w:hAnsi="仿宋" w:eastAsia="仿宋" w:cs="Arial"/>
          <w:snapToGrid w:val="0"/>
          <w:kern w:val="0"/>
          <w:sz w:val="24"/>
        </w:rPr>
      </w:pPr>
      <w:bookmarkStart w:id="119" w:name="_Toc458589589"/>
      <w:bookmarkStart w:id="120" w:name="_Toc486593762"/>
      <w:r>
        <w:rPr>
          <w:rFonts w:hint="eastAsia" w:ascii="仿宋" w:hAnsi="仿宋" w:eastAsia="仿宋" w:cs="Arial"/>
          <w:snapToGrid w:val="0"/>
          <w:kern w:val="0"/>
          <w:sz w:val="24"/>
        </w:rPr>
        <w:t>3.</w:t>
      </w:r>
      <w:r>
        <w:rPr>
          <w:rFonts w:ascii="仿宋" w:hAnsi="仿宋" w:eastAsia="仿宋" w:cs="Arial"/>
          <w:snapToGrid w:val="0"/>
          <w:kern w:val="0"/>
          <w:sz w:val="24"/>
        </w:rPr>
        <w:t>数据监控</w:t>
      </w:r>
      <w:r>
        <w:rPr>
          <w:rFonts w:hint="eastAsia" w:ascii="仿宋" w:hAnsi="仿宋" w:eastAsia="仿宋" w:cs="Arial"/>
          <w:snapToGrid w:val="0"/>
          <w:kern w:val="0"/>
          <w:sz w:val="24"/>
        </w:rPr>
        <w:t>管理</w:t>
      </w:r>
      <w:bookmarkEnd w:id="119"/>
      <w:bookmarkEnd w:id="120"/>
    </w:p>
    <w:p>
      <w:pPr>
        <w:spacing w:line="360" w:lineRule="auto"/>
        <w:ind w:firstLine="480" w:firstLineChars="200"/>
        <w:jc w:val="left"/>
        <w:rPr>
          <w:rFonts w:ascii="仿宋" w:hAnsi="仿宋" w:eastAsia="仿宋" w:cs="Arial"/>
          <w:snapToGrid w:val="0"/>
          <w:kern w:val="0"/>
          <w:sz w:val="24"/>
        </w:rPr>
      </w:pPr>
      <w:r>
        <w:rPr>
          <w:rFonts w:ascii="仿宋" w:hAnsi="仿宋" w:eastAsia="仿宋" w:cs="Arial"/>
          <w:snapToGrid w:val="0"/>
          <w:kern w:val="0"/>
          <w:sz w:val="24"/>
        </w:rPr>
        <w:t>监控对象</w:t>
      </w:r>
      <w:r>
        <w:rPr>
          <w:rFonts w:hint="eastAsia" w:ascii="仿宋" w:hAnsi="仿宋" w:eastAsia="仿宋" w:cs="Arial"/>
          <w:snapToGrid w:val="0"/>
          <w:kern w:val="0"/>
          <w:sz w:val="24"/>
        </w:rPr>
        <w:t>：</w:t>
      </w:r>
      <w:r>
        <w:rPr>
          <w:rFonts w:ascii="仿宋" w:hAnsi="仿宋" w:eastAsia="仿宋" w:cs="Arial"/>
          <w:snapToGrid w:val="0"/>
          <w:kern w:val="0"/>
          <w:sz w:val="24"/>
        </w:rPr>
        <w:t>数据加载</w:t>
      </w:r>
      <w:r>
        <w:rPr>
          <w:rFonts w:hint="eastAsia" w:ascii="仿宋" w:hAnsi="仿宋" w:eastAsia="仿宋" w:cs="Arial"/>
          <w:snapToGrid w:val="0"/>
          <w:kern w:val="0"/>
          <w:sz w:val="24"/>
        </w:rPr>
        <w:t>、</w:t>
      </w:r>
      <w:r>
        <w:rPr>
          <w:rFonts w:ascii="仿宋" w:hAnsi="仿宋" w:eastAsia="仿宋" w:cs="Arial"/>
          <w:snapToGrid w:val="0"/>
          <w:kern w:val="0"/>
          <w:sz w:val="24"/>
        </w:rPr>
        <w:t>提取</w:t>
      </w:r>
      <w:r>
        <w:rPr>
          <w:rFonts w:hint="eastAsia" w:ascii="仿宋" w:hAnsi="仿宋" w:eastAsia="仿宋" w:cs="Arial"/>
          <w:snapToGrid w:val="0"/>
          <w:kern w:val="0"/>
          <w:sz w:val="24"/>
        </w:rPr>
        <w:t>、</w:t>
      </w:r>
      <w:r>
        <w:rPr>
          <w:rFonts w:ascii="仿宋" w:hAnsi="仿宋" w:eastAsia="仿宋" w:cs="Arial"/>
          <w:snapToGrid w:val="0"/>
          <w:kern w:val="0"/>
          <w:sz w:val="24"/>
        </w:rPr>
        <w:t>处理</w:t>
      </w:r>
      <w:r>
        <w:rPr>
          <w:rFonts w:hint="eastAsia" w:ascii="仿宋" w:hAnsi="仿宋" w:eastAsia="仿宋" w:cs="Arial"/>
          <w:snapToGrid w:val="0"/>
          <w:kern w:val="0"/>
          <w:sz w:val="24"/>
        </w:rPr>
        <w:t>、</w:t>
      </w:r>
      <w:r>
        <w:rPr>
          <w:rFonts w:ascii="仿宋" w:hAnsi="仿宋" w:eastAsia="仿宋" w:cs="Arial"/>
          <w:snapToGrid w:val="0"/>
          <w:kern w:val="0"/>
          <w:sz w:val="24"/>
        </w:rPr>
        <w:t>等运行情况</w:t>
      </w:r>
      <w:r>
        <w:rPr>
          <w:rFonts w:hint="eastAsia" w:ascii="仿宋" w:hAnsi="仿宋" w:eastAsia="仿宋" w:cs="Arial"/>
          <w:snapToGrid w:val="0"/>
          <w:kern w:val="0"/>
          <w:sz w:val="24"/>
        </w:rPr>
        <w:t>；</w:t>
      </w:r>
      <w:r>
        <w:rPr>
          <w:rFonts w:ascii="仿宋" w:hAnsi="仿宋" w:eastAsia="仿宋" w:cs="Arial"/>
          <w:snapToGrid w:val="0"/>
          <w:kern w:val="0"/>
          <w:sz w:val="24"/>
        </w:rPr>
        <w:t>数据接口的运行状态等</w:t>
      </w:r>
      <w:r>
        <w:rPr>
          <w:rFonts w:hint="eastAsia" w:ascii="仿宋" w:hAnsi="仿宋" w:eastAsia="仿宋" w:cs="Arial"/>
          <w:snapToGrid w:val="0"/>
          <w:kern w:val="0"/>
          <w:sz w:val="24"/>
        </w:rPr>
        <w:t>。</w:t>
      </w:r>
      <w:r>
        <w:rPr>
          <w:rFonts w:ascii="仿宋" w:hAnsi="仿宋" w:eastAsia="仿宋" w:cs="Arial"/>
          <w:snapToGrid w:val="0"/>
          <w:kern w:val="0"/>
          <w:sz w:val="24"/>
        </w:rPr>
        <w:t>通过可视化方式对节点</w:t>
      </w:r>
      <w:r>
        <w:rPr>
          <w:rFonts w:hint="eastAsia" w:ascii="仿宋" w:hAnsi="仿宋" w:eastAsia="仿宋" w:cs="Arial"/>
          <w:snapToGrid w:val="0"/>
          <w:kern w:val="0"/>
          <w:sz w:val="24"/>
        </w:rPr>
        <w:t>、</w:t>
      </w:r>
      <w:r>
        <w:rPr>
          <w:rFonts w:ascii="仿宋" w:hAnsi="仿宋" w:eastAsia="仿宋" w:cs="Arial"/>
          <w:snapToGrid w:val="0"/>
          <w:kern w:val="0"/>
          <w:sz w:val="24"/>
        </w:rPr>
        <w:t>交换流程等进行实时</w:t>
      </w:r>
      <w:r>
        <w:rPr>
          <w:rFonts w:hint="eastAsia" w:ascii="仿宋" w:hAnsi="仿宋" w:eastAsia="仿宋" w:cs="Arial"/>
          <w:snapToGrid w:val="0"/>
          <w:kern w:val="0"/>
          <w:sz w:val="24"/>
        </w:rPr>
        <w:t>、</w:t>
      </w:r>
      <w:r>
        <w:rPr>
          <w:rFonts w:ascii="仿宋" w:hAnsi="仿宋" w:eastAsia="仿宋" w:cs="Arial"/>
          <w:snapToGrid w:val="0"/>
          <w:kern w:val="0"/>
          <w:sz w:val="24"/>
        </w:rPr>
        <w:t>全方位的监控</w:t>
      </w:r>
      <w:r>
        <w:rPr>
          <w:rFonts w:hint="eastAsia" w:ascii="仿宋" w:hAnsi="仿宋" w:eastAsia="仿宋" w:cs="Arial"/>
          <w:snapToGrid w:val="0"/>
          <w:kern w:val="0"/>
          <w:sz w:val="24"/>
        </w:rPr>
        <w:t>。</w:t>
      </w:r>
      <w:r>
        <w:rPr>
          <w:rFonts w:ascii="仿宋" w:hAnsi="仿宋" w:eastAsia="仿宋" w:cs="Arial"/>
          <w:snapToGrid w:val="0"/>
          <w:kern w:val="0"/>
          <w:sz w:val="24"/>
        </w:rPr>
        <w:t>并进行统一告警处理</w:t>
      </w:r>
      <w:r>
        <w:rPr>
          <w:rFonts w:hint="eastAsia" w:ascii="仿宋" w:hAnsi="仿宋" w:eastAsia="仿宋" w:cs="Arial"/>
          <w:snapToGrid w:val="0"/>
          <w:kern w:val="0"/>
          <w:sz w:val="24"/>
        </w:rPr>
        <w:t>。</w:t>
      </w:r>
    </w:p>
    <w:bookmarkEnd w:id="96"/>
    <w:p>
      <w:pPr>
        <w:spacing w:line="360" w:lineRule="auto"/>
        <w:jc w:val="left"/>
        <w:rPr>
          <w:rFonts w:ascii="仿宋" w:hAnsi="仿宋" w:eastAsia="仿宋" w:cs="Arial"/>
          <w:b/>
          <w:snapToGrid w:val="0"/>
          <w:kern w:val="0"/>
          <w:sz w:val="24"/>
        </w:rPr>
      </w:pPr>
      <w:bookmarkStart w:id="121" w:name="_Toc515800397"/>
      <w:bookmarkStart w:id="122" w:name="_Toc2958913"/>
      <w:r>
        <w:rPr>
          <w:rFonts w:hint="eastAsia" w:ascii="仿宋" w:hAnsi="仿宋" w:eastAsia="仿宋" w:cs="Arial"/>
          <w:b/>
          <w:snapToGrid w:val="0"/>
          <w:kern w:val="0"/>
          <w:sz w:val="24"/>
        </w:rPr>
        <w:t>数据</w:t>
      </w:r>
      <w:bookmarkEnd w:id="121"/>
      <w:r>
        <w:rPr>
          <w:rFonts w:hint="eastAsia" w:ascii="仿宋" w:hAnsi="仿宋" w:eastAsia="仿宋" w:cs="Arial"/>
          <w:b/>
          <w:snapToGrid w:val="0"/>
          <w:kern w:val="0"/>
          <w:sz w:val="24"/>
        </w:rPr>
        <w:t>获取</w:t>
      </w:r>
      <w:bookmarkEnd w:id="122"/>
    </w:p>
    <w:p>
      <w:pPr>
        <w:spacing w:line="360" w:lineRule="auto"/>
        <w:ind w:firstLine="360" w:firstLineChars="150"/>
        <w:jc w:val="left"/>
        <w:rPr>
          <w:rFonts w:ascii="仿宋" w:hAnsi="仿宋" w:eastAsia="仿宋" w:cs="Arial"/>
          <w:snapToGrid w:val="0"/>
          <w:kern w:val="0"/>
          <w:sz w:val="24"/>
        </w:rPr>
      </w:pPr>
      <w:r>
        <w:rPr>
          <w:rFonts w:hint="eastAsia" w:ascii="仿宋" w:hAnsi="仿宋" w:eastAsia="仿宋" w:cs="Arial"/>
          <w:snapToGrid w:val="0"/>
          <w:kern w:val="0"/>
          <w:sz w:val="24"/>
        </w:rPr>
        <w:t>景区人员综合管控提升项目与“公安大脑”衔接，对接相关系统实现预警、报警功能。</w:t>
      </w:r>
    </w:p>
    <w:p>
      <w:pPr>
        <w:spacing w:line="360" w:lineRule="auto"/>
        <w:jc w:val="left"/>
        <w:rPr>
          <w:rFonts w:hint="eastAsia" w:ascii="仿宋" w:hAnsi="仿宋" w:eastAsia="仿宋" w:cs="Arial"/>
          <w:snapToGrid w:val="0"/>
          <w:kern w:val="0"/>
          <w:sz w:val="24"/>
        </w:rPr>
      </w:pPr>
      <w:bookmarkStart w:id="123" w:name="_Toc2958914"/>
      <w:r>
        <w:rPr>
          <w:rFonts w:hint="eastAsia" w:ascii="仿宋" w:hAnsi="仿宋" w:eastAsia="仿宋" w:cs="Arial"/>
          <w:snapToGrid w:val="0"/>
          <w:kern w:val="0"/>
          <w:sz w:val="24"/>
        </w:rPr>
        <w:t>（</w:t>
      </w:r>
      <w:r>
        <w:rPr>
          <w:rFonts w:ascii="仿宋" w:hAnsi="仿宋" w:eastAsia="仿宋" w:cs="Arial"/>
          <w:snapToGrid w:val="0"/>
          <w:kern w:val="0"/>
          <w:sz w:val="24"/>
        </w:rPr>
        <w:t>1</w:t>
      </w:r>
      <w:r>
        <w:rPr>
          <w:rFonts w:hint="eastAsia" w:ascii="仿宋" w:hAnsi="仿宋" w:eastAsia="仿宋" w:cs="Arial"/>
          <w:snapToGrid w:val="0"/>
          <w:kern w:val="0"/>
          <w:sz w:val="24"/>
        </w:rPr>
        <w:t>）对接重点人员动态管控系统</w:t>
      </w:r>
      <w:bookmarkEnd w:id="123"/>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充分整合利用各类公安内部和社会信息资源，拓展重点人员轨迹比对资源，构建并优化重点人员单个、聚类、规律性分析模型，做大做强预警查询统计功能。</w:t>
      </w:r>
    </w:p>
    <w:p>
      <w:pPr>
        <w:spacing w:line="360" w:lineRule="auto"/>
        <w:jc w:val="left"/>
        <w:rPr>
          <w:rFonts w:hint="eastAsia" w:ascii="仿宋" w:hAnsi="仿宋" w:eastAsia="仿宋" w:cs="Arial"/>
          <w:snapToGrid w:val="0"/>
          <w:kern w:val="0"/>
          <w:sz w:val="24"/>
        </w:rPr>
      </w:pPr>
      <w:bookmarkStart w:id="124" w:name="_Toc2958915"/>
      <w:r>
        <w:rPr>
          <w:rFonts w:hint="eastAsia" w:ascii="仿宋" w:hAnsi="仿宋" w:eastAsia="仿宋" w:cs="Arial"/>
          <w:snapToGrid w:val="0"/>
          <w:kern w:val="0"/>
          <w:sz w:val="24"/>
        </w:rPr>
        <w:t>（</w:t>
      </w:r>
      <w:r>
        <w:rPr>
          <w:rFonts w:ascii="仿宋" w:hAnsi="仿宋" w:eastAsia="仿宋" w:cs="Arial"/>
          <w:snapToGrid w:val="0"/>
          <w:kern w:val="0"/>
          <w:sz w:val="24"/>
        </w:rPr>
        <w:t>2</w:t>
      </w:r>
      <w:r>
        <w:rPr>
          <w:rFonts w:hint="eastAsia" w:ascii="仿宋" w:hAnsi="仿宋" w:eastAsia="仿宋" w:cs="Arial"/>
          <w:snapToGrid w:val="0"/>
          <w:kern w:val="0"/>
          <w:sz w:val="24"/>
        </w:rPr>
        <w:t>）对接重点车辆智能管控系统</w:t>
      </w:r>
      <w:bookmarkEnd w:id="124"/>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完善集重点车辆布控预警、高危车辆分析、人车关联分析、临时布控与车案关联分析为一体的等功能的预警分析模型。</w:t>
      </w:r>
    </w:p>
    <w:p>
      <w:pPr>
        <w:spacing w:line="360" w:lineRule="auto"/>
        <w:jc w:val="left"/>
        <w:rPr>
          <w:rFonts w:hint="eastAsia" w:ascii="仿宋" w:hAnsi="仿宋" w:eastAsia="仿宋" w:cs="Arial"/>
          <w:snapToGrid w:val="0"/>
          <w:kern w:val="0"/>
          <w:sz w:val="24"/>
        </w:rPr>
      </w:pPr>
      <w:bookmarkStart w:id="125" w:name="_Toc2958916"/>
      <w:r>
        <w:rPr>
          <w:rFonts w:hint="eastAsia" w:ascii="仿宋" w:hAnsi="仿宋" w:eastAsia="仿宋" w:cs="Arial"/>
          <w:snapToGrid w:val="0"/>
          <w:kern w:val="0"/>
          <w:sz w:val="24"/>
        </w:rPr>
        <w:t>（</w:t>
      </w:r>
      <w:r>
        <w:rPr>
          <w:rFonts w:ascii="仿宋" w:hAnsi="仿宋" w:eastAsia="仿宋" w:cs="Arial"/>
          <w:snapToGrid w:val="0"/>
          <w:kern w:val="0"/>
          <w:sz w:val="24"/>
        </w:rPr>
        <w:t>3</w:t>
      </w:r>
      <w:r>
        <w:rPr>
          <w:rFonts w:hint="eastAsia" w:ascii="仿宋" w:hAnsi="仿宋" w:eastAsia="仿宋" w:cs="Arial"/>
          <w:snapToGrid w:val="0"/>
          <w:kern w:val="0"/>
          <w:sz w:val="24"/>
        </w:rPr>
        <w:t>）对接人力情报</w:t>
      </w:r>
      <w:bookmarkEnd w:id="125"/>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拓展情报信息来源渠道，全面整合景区公安机关的人力情报信息资源，建成一个集情报信息采集、分析、研判、发布、考核等功能为一体的人力情报管理系统，实现对情报信息的归口管理，服务中心工作，服务决策，为景区公安开展情报研判工作提供有力服务的支撑性情报分析应用。</w:t>
      </w:r>
    </w:p>
    <w:p>
      <w:pPr>
        <w:spacing w:line="360" w:lineRule="auto"/>
        <w:jc w:val="left"/>
        <w:rPr>
          <w:rFonts w:hint="eastAsia" w:ascii="仿宋" w:hAnsi="仿宋" w:eastAsia="仿宋" w:cs="Arial"/>
          <w:snapToGrid w:val="0"/>
          <w:kern w:val="0"/>
          <w:sz w:val="24"/>
        </w:rPr>
      </w:pPr>
      <w:bookmarkStart w:id="126" w:name="_Toc2958917"/>
      <w:r>
        <w:rPr>
          <w:rFonts w:hint="eastAsia" w:ascii="仿宋" w:hAnsi="仿宋" w:eastAsia="仿宋" w:cs="Arial"/>
          <w:snapToGrid w:val="0"/>
          <w:kern w:val="0"/>
          <w:sz w:val="24"/>
        </w:rPr>
        <w:t>（</w:t>
      </w:r>
      <w:r>
        <w:rPr>
          <w:rFonts w:ascii="仿宋" w:hAnsi="仿宋" w:eastAsia="仿宋" w:cs="Arial"/>
          <w:snapToGrid w:val="0"/>
          <w:kern w:val="0"/>
          <w:sz w:val="24"/>
        </w:rPr>
        <w:t>4</w:t>
      </w:r>
      <w:r>
        <w:rPr>
          <w:rFonts w:hint="eastAsia" w:ascii="仿宋" w:hAnsi="仿宋" w:eastAsia="仿宋" w:cs="Arial"/>
          <w:snapToGrid w:val="0"/>
          <w:kern w:val="0"/>
          <w:sz w:val="24"/>
        </w:rPr>
        <w:t>）对接浙江公安禁毒情报分析系统</w:t>
      </w:r>
      <w:bookmarkEnd w:id="126"/>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实现对涉毒问题的预测预警预防功能，提升对毒品违法犯罪的打击效能和对涉毒人员的管控效果。</w:t>
      </w:r>
    </w:p>
    <w:p>
      <w:pPr>
        <w:spacing w:line="360" w:lineRule="auto"/>
        <w:jc w:val="left"/>
        <w:rPr>
          <w:rFonts w:hint="eastAsia" w:ascii="仿宋" w:hAnsi="仿宋" w:eastAsia="仿宋" w:cs="Arial"/>
          <w:snapToGrid w:val="0"/>
          <w:kern w:val="0"/>
          <w:sz w:val="24"/>
        </w:rPr>
      </w:pPr>
      <w:bookmarkStart w:id="127" w:name="_Toc2958918"/>
      <w:r>
        <w:rPr>
          <w:rFonts w:hint="eastAsia" w:ascii="仿宋" w:hAnsi="仿宋" w:eastAsia="仿宋" w:cs="Arial"/>
          <w:snapToGrid w:val="0"/>
          <w:kern w:val="0"/>
          <w:sz w:val="24"/>
        </w:rPr>
        <w:t>（</w:t>
      </w:r>
      <w:r>
        <w:rPr>
          <w:rFonts w:ascii="仿宋" w:hAnsi="仿宋" w:eastAsia="仿宋" w:cs="Arial"/>
          <w:snapToGrid w:val="0"/>
          <w:kern w:val="0"/>
          <w:sz w:val="24"/>
        </w:rPr>
        <w:t>5</w:t>
      </w:r>
      <w:r>
        <w:rPr>
          <w:rFonts w:hint="eastAsia" w:ascii="仿宋" w:hAnsi="仿宋" w:eastAsia="仿宋" w:cs="Arial"/>
          <w:snapToGrid w:val="0"/>
          <w:kern w:val="0"/>
          <w:sz w:val="24"/>
        </w:rPr>
        <w:t>）获取宏观**态势预测分析数据</w:t>
      </w:r>
      <w:bookmarkEnd w:id="127"/>
    </w:p>
    <w:p>
      <w:pPr>
        <w:spacing w:line="360" w:lineRule="auto"/>
        <w:ind w:firstLine="480" w:firstLineChars="200"/>
        <w:jc w:val="left"/>
        <w:rPr>
          <w:rFonts w:hint="eastAsia" w:ascii="仿宋" w:hAnsi="仿宋" w:eastAsia="仿宋" w:cs="Arial"/>
          <w:snapToGrid w:val="0"/>
          <w:kern w:val="0"/>
          <w:sz w:val="24"/>
        </w:rPr>
      </w:pPr>
      <w:r>
        <w:rPr>
          <w:rFonts w:hint="eastAsia" w:ascii="仿宋" w:hAnsi="仿宋" w:eastAsia="仿宋" w:cs="Arial"/>
          <w:snapToGrid w:val="0"/>
          <w:kern w:val="0"/>
          <w:sz w:val="24"/>
        </w:rPr>
        <w:t>引用公安的社会治安动态趋势分析模型和业务形态分析模型，并实现可视化分析展现。</w:t>
      </w:r>
    </w:p>
    <w:p>
      <w:pPr>
        <w:spacing w:line="360" w:lineRule="auto"/>
        <w:jc w:val="left"/>
        <w:rPr>
          <w:rFonts w:hint="eastAsia" w:ascii="仿宋" w:hAnsi="仿宋" w:eastAsia="仿宋" w:cs="Arial"/>
          <w:snapToGrid w:val="0"/>
          <w:kern w:val="0"/>
          <w:sz w:val="24"/>
        </w:rPr>
      </w:pPr>
      <w:bookmarkStart w:id="128" w:name="_Toc2958919"/>
      <w:r>
        <w:rPr>
          <w:rFonts w:hint="eastAsia" w:ascii="仿宋" w:hAnsi="仿宋" w:eastAsia="仿宋" w:cs="Arial"/>
          <w:snapToGrid w:val="0"/>
          <w:kern w:val="0"/>
          <w:sz w:val="24"/>
        </w:rPr>
        <w:t>（</w:t>
      </w:r>
      <w:r>
        <w:rPr>
          <w:rFonts w:ascii="仿宋" w:hAnsi="仿宋" w:eastAsia="仿宋" w:cs="Arial"/>
          <w:snapToGrid w:val="0"/>
          <w:kern w:val="0"/>
          <w:sz w:val="24"/>
        </w:rPr>
        <w:t>6</w:t>
      </w:r>
      <w:r>
        <w:rPr>
          <w:rFonts w:hint="eastAsia" w:ascii="仿宋" w:hAnsi="仿宋" w:eastAsia="仿宋" w:cs="Arial"/>
          <w:snapToGrid w:val="0"/>
          <w:kern w:val="0"/>
          <w:sz w:val="24"/>
        </w:rPr>
        <w:t>）获取微观**态势预测预警数据</w:t>
      </w:r>
      <w:bookmarkEnd w:id="128"/>
    </w:p>
    <w:p>
      <w:pPr>
        <w:spacing w:line="360" w:lineRule="auto"/>
        <w:ind w:firstLine="480" w:firstLineChars="200"/>
        <w:jc w:val="left"/>
        <w:rPr>
          <w:rFonts w:ascii="仿宋" w:hAnsi="仿宋" w:eastAsia="仿宋" w:cs="Arial"/>
          <w:snapToGrid w:val="0"/>
          <w:kern w:val="0"/>
          <w:sz w:val="24"/>
        </w:rPr>
      </w:pPr>
      <w:r>
        <w:rPr>
          <w:rFonts w:hint="eastAsia" w:ascii="仿宋" w:hAnsi="仿宋" w:eastAsia="仿宋" w:cs="Arial"/>
          <w:snapToGrid w:val="0"/>
          <w:kern w:val="0"/>
          <w:sz w:val="24"/>
        </w:rPr>
        <w:t>实现重点人员、重点车辆的智能化动态预警，实现可防性景区案件智能化预测预警，实现特定事件的智能化预测预警。</w:t>
      </w:r>
    </w:p>
    <w:p>
      <w:pPr>
        <w:spacing w:line="360" w:lineRule="auto"/>
        <w:jc w:val="left"/>
        <w:rPr>
          <w:rFonts w:hint="eastAsia" w:ascii="仿宋" w:hAnsi="仿宋" w:eastAsia="仿宋" w:cs="Arial"/>
          <w:b/>
          <w:snapToGrid w:val="0"/>
          <w:kern w:val="0"/>
          <w:sz w:val="24"/>
        </w:rPr>
      </w:pPr>
      <w:r>
        <w:rPr>
          <w:rFonts w:hint="eastAsia" w:ascii="仿宋" w:hAnsi="仿宋" w:eastAsia="仿宋" w:cs="Arial"/>
          <w:b/>
          <w:snapToGrid w:val="0"/>
          <w:kern w:val="0"/>
          <w:sz w:val="24"/>
        </w:rPr>
        <w:t>总体性能指标</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（1)系统能够支持1000用户并发访问，支持在线人数2000用户的访问能力。</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（2)系统登陆、基本功能切换服务响应时间≤2秒</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（3)地图服务请求响应时间≤3秒；地图操作时，需要平滑流畅，不能出现明显的等待时间和露白现象，以方便用户操作；</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（4)在信息查询时，请求时间响应时间≤3 秒，资源搜索响应时间≤2 秒。</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（5)复杂空间操作和分析功能，提供单次访问时一般地图操作3 秒，复杂操作5 秒的响应性能；</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（6)对于各类服务访问接口，提供单次访问2秒以内，复杂操作3 秒以内的相应性能。</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（7)系统服务端和客户端均可实现7*24小时不间断稳定运行。</w:t>
      </w:r>
    </w:p>
    <w:p>
      <w:pPr>
        <w:spacing w:line="360" w:lineRule="auto"/>
        <w:jc w:val="left"/>
        <w:rPr>
          <w:rFonts w:ascii="仿宋" w:hAnsi="仿宋" w:eastAsia="仿宋" w:cs="Arial"/>
          <w:snapToGrid w:val="0"/>
          <w:kern w:val="0"/>
          <w:sz w:val="24"/>
        </w:rPr>
      </w:pP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5、软硬件采购清单</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硬件详细清单：</w:t>
      </w:r>
    </w:p>
    <w:tbl>
      <w:tblPr>
        <w:tblStyle w:val="8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71"/>
        <w:gridCol w:w="5422"/>
        <w:gridCol w:w="46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463" w:type="dxa"/>
            <w:shd w:val="clear" w:color="000000" w:fill="FFFFFF"/>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序号</w:t>
            </w:r>
          </w:p>
        </w:tc>
        <w:tc>
          <w:tcPr>
            <w:tcW w:w="1271" w:type="dxa"/>
            <w:shd w:val="clear" w:color="000000" w:fill="FFFFFF"/>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名称</w:t>
            </w:r>
          </w:p>
        </w:tc>
        <w:tc>
          <w:tcPr>
            <w:tcW w:w="5422" w:type="dxa"/>
            <w:shd w:val="clear" w:color="000000" w:fill="FFFFFF"/>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描述/用途</w:t>
            </w:r>
          </w:p>
        </w:tc>
        <w:tc>
          <w:tcPr>
            <w:tcW w:w="463" w:type="dxa"/>
            <w:shd w:val="clear" w:color="000000" w:fill="FFFFFF"/>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单位</w:t>
            </w:r>
          </w:p>
        </w:tc>
        <w:tc>
          <w:tcPr>
            <w:tcW w:w="816" w:type="dxa"/>
            <w:shd w:val="clear" w:color="000000" w:fill="FFFFFF"/>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8435" w:type="dxa"/>
            <w:gridSpan w:val="5"/>
            <w:shd w:val="clear" w:color="000000" w:fill="FFFFFF"/>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人脸识别系统设备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w:t>
            </w:r>
          </w:p>
        </w:tc>
        <w:tc>
          <w:tcPr>
            <w:tcW w:w="127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全局摄像机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400万1/1.8" CMOS网络摄像机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 支持最低照度可达彩色0.0004Lux，黑白0.0002Lux。</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Smart图像增强:120dB宽动态、透雾、强光抑制、电子防抖、背光补偿</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视频压缩:H.265/H.264/MJPEG，H.264编码支持Baseline/Main/High Profile</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分辨率及帧率:主码流50Hz:25fps(2560×1440);60Hz:30fps(2560×1440)</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 水平速度:水平键控速度：0.1°-200°/s,速度可设； 水平预置点速度：300°/s</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 垂直速度:垂直键控速度：0.1°-120°/s,速度可设； 垂直预置点速度：120°/s</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 设备具有1个RJ45网络接口，可输出两路视频图像：通道1、通道2。</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（9） 内置不少于2个GPU芯片。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（10） 设备可支持白光灯及红外光补光</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（11） 支持水平、垂直旋转，水平手控速度不小于240°/s，定位准确度不大于0.1°。</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（12） 支持快速聚焦功能，设备对监控区域内的移动目标进行跟踪录像，录像通过单帧回放时应能保证每帧画面清晰稳定。</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（13） 设备可同时对行人、非机动车、机动车进行检测、跟踪及抓拍；可支持人脸、车牌的抠图及人脸与人体、车牌与车辆的关联显示。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（14） 设备支持看清60米处人体轮廓，并可生成人体小图。</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（15） 可通过客户端软件显示行人的属性，包括上衣颜色、下装颜色、是/否戴眼镜、是/否背包、是/否戴帽子。</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（16） 支持检出两眼瞳距20像素点以上的人脸图片，人脸检出率不小于95%，支持单场景同时检出不少于30张人脸图片，并支持面部跟踪。</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（17） 设备可对30米处的行人进行人脸抓拍，并可生成分辨率不小于110×120的人脸图片。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（18） 通道1检测到且框出移动目标至通道2摄像机开始转动的时间不大于0.3秒。</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双舱一体机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400万1/1.8” CMOS双目筒型网络摄像机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 上通道看细节，下通道看全景，由双镜头相机与高性能GPU模块组成，聚合多种专为复杂场景设计的深度学习算法，实现全结构化数据精准采集，具备多场景数据融合分析能力，实现全方位态势感知</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支持对运动人脸进行检测、跟踪、抓拍、评分、筛选，输出最优的人脸</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支持人脸去误报、快速抓拍人脸</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支持快速抓拍和最佳抓拍两种模式，并支持2种模式同时开启</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 支持前端人脸比对</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 支持最多3个人脸库的管理</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 支持最多9万张人脸的导入</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（9） 支持不同人脸库不同时间布防</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（10） 支持黑名单比对成功报警输出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（11） 支持人脸快速比对多种比对方式设置</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（12） 支持上下镜头关联，细节场景的目标人脸会替换全景场景目标的人脸</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（13） 支持背景大图展示人体目标轨迹</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（14） 最低照度:上通道：彩色:0.0006 Lux @ (F1.2, AGC ON)；黑白:0.0002 Lux @ (F1.2, AGC ON), 0 Lux with IR</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 xml:space="preserve">下通道：彩色:0.0006 Lux @ (F1.2, AGC ON)；黑白:0.0002 Lux @ (F1.2, AGC ON), 0 Lux with </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（15） 视频压缩标准:H.265/H.264 / MJPEG</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（16） 最大图像尺寸:上通道：2560 x 1440; 下通道：2560 x 1440</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（17） 信噪比不小于56dB。</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（18） 摄像机能够在-40~65摄氏度环境下稳定工作。</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（19） 需支持本地SD卡存储，最大支持128G。</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（20） 不低于IP66防护等级、IK10防暴等级。</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黑光人脸抓拍机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400万1/1.8” CMOS智能护罩一体化网络摄像机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 人脸抓拍：支持同时检测30张人脸，支持对运动人脸进行检测、跟踪、抓拍、评分、筛选，输出最优的人脸抓图</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最低照度：彩色：0.0002 Lux @ (F1.2, AGC ON)；黑白：0.0001 Lux @ (F1.2, AGC ON)</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最大图像尺寸：2560 × 1440</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照度适应范围需大于120dB。</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 设备水平中心分辨力不小于1100TVL。</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 支持H.264、H.265、MJPEG视频编码格式，且具有High Profile编码能力</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 在分辨率2688x1520 @ 25fps，延时不大于130ms。</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 xml:space="preserve">（9） 信噪比不小于58dB。 </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（10） 需支持四码流技术，主码流分辨率不小于2688x1520@25fps，子码流不小于704x576@25fps，第三码流不小于1920x1080@25fps，第四码流不小于704x576@25fps，且支持在各码流最大分辨率和帧率时同时输出。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（11） 摄像机能够在-40~70摄氏度，湿度小于93%环境下稳定工作。</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（12） 需具有1个RJ45网络接口、1路CVBS视频输出、1路报警输入、1路报警输出接口、1个音频输入、1个音频输出接口、1个RS485接口、1个RS232接口、1个SD卡槽。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（13） 需支持IP67防尘防水。</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（14） 在丢包率设置为15%的网络环境下，可正常显示监视画面。</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（15） 支持单人人脸区域自动曝光功能，可根据外部不同场景和光照变化自动调节人脸区域曝光参数。</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（16） 需支持车辆捕获功能。（白天和晚上的捕获率均大于96%）需支持车牌识别功能。（白天和晚上的识别率均大于96%）</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黑光球机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35倍400万9寸黑光球机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 最低照度：彩色0.0003 lx，黑白0.0002 lx</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宽动态范围不小于120dB</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摄像机具体两个图像传感器，靶面尺寸不小于1/1.8英寸，视频图像分辨率不小于2560×1440</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摄像机具有双路视频融合功能，可分别输出黑白及彩色图像，并对视频图像进行融合输出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 内置GPU芯片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 支持快速聚焦功能，当设备对监控区域内的行人人脸进行跟踪录像，录像通过单帧回放时应能保持每帧画面清晰稳定。</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 设备可对监视画面中不小于35个人脸进行检测、跟踪和抓拍。</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（9） 可抓拍距设备90米处的人脸，可抓拍距设备120米处的人体及车辆。</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（10） 具有三种滤光片，在白天、夜晚及有雾情况下可自动切换不同的滤光片进行成像。滤光片透过率不小于93%。</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（11） 水平旋转范围为360°连续旋转，垂直旋转范围为-20°~90°</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（12） 支持7路报警输入，2路报警输出，支持1路音频输入和输出接口。最大支持512GB SD卡。</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（13） 室外球机应具备较好防护性能，支持IP67</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（14） 支持深度学习算法，提升Smart功能和跟踪功能，并支持去误报和目标分类</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（15） 支持区域入侵侦测、越界侦测、移动侦测等智能侦测功能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（16） 支持手动跟踪、全景跟踪、事件跟踪，并支持多场景巡航跟踪</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（17） 支持车牌捕获及检索、混行检测、多场景巡航检测、云存储服务功能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（18） 人脸抓拍：支持同时抓拍30张人脸，支持对运动人脸进行检测、跟踪、抓拍、评分、筛选，输出最优的人脸抓图</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（19） 支持智能雨刷:自动感应雨水并联动雨刷</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PT筒机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400万像素混合补光网络高清一体化云台筒型摄像机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 内置电动云台和一体化变焦镜头，施工便易，方便运维</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支持五种智能资源切换：人脸抓拍、混合目标检测（默认）、道路监控、周界</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一体化云台筒型摄像机，靶面尺寸不小于1/1.8英寸</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内置GPU芯片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 内置混合补光灯，可对红外灯及白光灯功率进行调节。</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 视频输出支持2560×1440@25fps，分辨力不小于1200TVL，红外距离可达25米</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 支持4倍光学变倍，16倍数字变倍</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（9） 支持最低照度可达彩色0.0003Lux，黑白0.0002Lux</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（10） 支持水平手控速度不小于100°/S，垂直手控速度不小于80°/S，云台定位精度为±0.1°</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（11） 水平旋转范围为360°，垂直旋转范围为-45°~30°</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（12） 支持300个预置位，支持18条巡航路径，支持7条以上的模式路径设置，支持预置位视频冻结功能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（13） 样机与客户端之间用300m五类非屏蔽网线直接连接，网络传输能力满足发送3000个数据包，重复测试3次，无丢包</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（14） 支持检出两眼瞳距20像素点以上的人脸图片，人脸检出率不小于95%。</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（15） 支持单场景同时检出不少于30张人脸图片，并支持面部跟踪。</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（16） 车辆品牌识别白天准确率不小于96%，晚上准确率不小于95%。</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（17） 支持捕获、识别新能源汽车专用号牌。</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（18） 球机应具备本机存储功能，支持SD卡热插拔，最大支持128GB</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（19） 支持采用H.265、H.264视频编码标准，H.264编码支持Baseline/Main/High Profile，音频编码支持G.711ulaw/G.711alaw/G.726/G.722.1/AAC</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（20） 具备较好的防护性能环境适应性，支持IP67，6kV防浪涌，工作温度范围可达-40℃-70℃</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全结构化摄像机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400万 1/1.8" 星光级CMOS护罩一体化网络摄像机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 支持对运动人脸进行检测、跟踪、抓拍、评分、筛选，输出最优的人脸</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信噪比不小于58dB。</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在2688x1520 @ 25fps下，清晰度不小于1100TVL。</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需支持五码流技术，主码流最高≥2688x1520@25fps；子码流≥704x576@25fps；第三码流最高≥1920x1080@25fps；第四码流最高≥704x576@25fps；第五码流最高≥704x576@25fps。</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 支持H.264、H.265、MJPEG视频编码格式，且具有High Profile编码能力。</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 支持人脸去误报、快速抓拍人脸</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 支持快速抓拍和最佳抓拍两种模式，并支持2种模式同时开启</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（9） 支持前端人脸比对，支持最多3个人脸库的管理，支持最多9万张人脸的导入</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（10） 支持合计人脸库的存储空间最大3GB，单张人脸不超过300Kb</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（11） 支持不同人脸库不同时间布防</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（12） 支持黑名单比对成功报警输出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（13） 支持人脸瞳距20像素以上的人脸检测</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（14） 支持人脸快速比对多种比对方式设置</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（15） 支持人脸区域自动曝光功能，可根据外部不同场景和光照变化自动调节人脸区域曝光参数。</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（16） 需支持车辆捕获功能。（白天和晚上的捕获率均大于98%）</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（17） 需支持车牌识别功能。（白天和晚上的识别率均大于98%）</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（18） 摄像机能够在-40~70摄氏度环境下稳定工作。</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（19） 在丢包率设置为15%的网络环境下，可正常显示监视画面。</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（20） 不低于IP67防护等级。</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7</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立杆安装</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3.5-4.5米，挑壁0.5-1.0米视现场情况；包括基础安装</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8</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挑杆支架</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利用路灯杆定制</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9</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壁装重型支架</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壁装；配合全局探头</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10</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落地设备箱</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600*500*450；金属材质喷漆，包括基础安装</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11</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抱杆箱</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300*400*200；抱杆安装</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12</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室外铠装防水性网线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24芯单模；室外铠装</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13</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室外铠装光缆</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12芯单模；室外铠装</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14</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防鼠蚁主干电缆</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RVV3*2.5-FSY；</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定制防鼠蚁功能</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15</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防鼠蚁分支电源线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RVV3*1.5-FSY；</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定制防鼠蚁功能</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16</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室外防水性网线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超五类以上；防水功能</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17</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线缆保护套管</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PE40暗敷</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18</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光纤熔接包或终端盒</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4口以上</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19</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尾纤</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单模</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20</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纤芯熔接</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衰减符合规范要求</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芯</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21</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单纤光纤收发器</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10/100M；须考虑室外温湿度环境</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22</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单纤光纤收发器</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1000M；须考虑室外温湿度环境</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23</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收发器电源箱</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4U箱体，集中供电</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24</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现场箱内交换机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8端口，10/100；须考虑室外温湿度环境</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25</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汇聚箱交换机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16口1000M</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26</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其它辅助材料</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　</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27</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平台服务器</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4114(10核2.2GHz)×1/32G DDR4/600G SAS×2/SAS_HBA/1GbE×2/Win Svr 2016 简中标版/550W(1+1)/2U/16DIMM</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28</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视频应用管理服务器</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4114(10核2.2GHz)×1/32G DDR4/600G SAS×2/SAS_HBA/1GbE×2/Win Svr 2016 简中标版/550W(1+1)/2U/16DIMM</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29</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视频接入服务器</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4114(10核2.2GHz)×1/32G DDR4/600G SAS×2/SAS_HBA/1GbE×2/Win Svr 2016 简中标版/550W(1+1)/2U/16DIMM</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30</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视频云结构化服务器</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19英寸4U机架式标准机箱，8个千兆网口、3个VGA接口、4个USB3.0接口和4个USB2.0接口，集成专业级GPU芯片；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 支持热拔插高效1+1冗余电源模块</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本地存储空间足够的情况下，支持本地存储10亿条人脸模型及结构化数据、6000万人脸图片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支持多机集群运行</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大数据写入情况下，人脸图片建模速度不低于180张/S，人脸图片建模成功率不低于98%</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 支持添加、修改、删除人脸抓拍机，在标准环境下通过模拟测试可模拟接入200路人脸抓拍机，支持实时预览人脸抓拍机界面</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 支持单场景同时检出不少于40个人脸，支持检出两眼瞳距10像素点以上的人脸图片，在标准环境下，人脸无明显遮挡的情况下，白天和夜晚单人图片的人脸检出率均不低于98%，单人图片的人脸检出响应时间不超过1秒，一个人脸检测结果，系统存储的人像特征数据大小不大于1k字节</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 支持识别48×48~1600万像素人脸图片，支持识别不低于8MB人脸图片，支持比对两眼瞳距不小于15像素点人脸图片，支持比对水平转动不超过±60°，俯仰角不超过±45°角度的人脸图片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（9） 在标准环境下，人脸无明显遮挡的情况下，支持识别人脸性别，单人图片人脸性别检出率不低于99%，单人图片人脸性别识别准确率不低于99%</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（10） 在标准环境下，人脸无明显遮挡的情况下，支持识别人脸年龄段，童年，少年，青年，中年，老年，人脸年龄段检出率不低于93%</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（11） 支持jpg、jpeg、png、bmp，tif图片格式</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（12） 在标准环境下，人脸无明显遮挡的情况下，支持识别人脸是否戴眼镜，单人图片人脸戴眼镜检出率不低于97%，单人图片戴眼镜识别准确率不低于97%</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（13） 支持单张或批量导入/导出名单图片及信息，支持对名单图片、姓名、性别、省份、城市、身份证号码、起止生日、截止生日、自定义标签4个、报警相似度阈值、报警时间、名单库选择进行编辑，支持按照姓名、性别、省份、城市、身份证号、起始生日、截止生日查询名单库中人脸图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（14） 支持名单库容量120万张图片，支持将名单库分为100个库分别管理，每个库设置不同报警阈值或关联相机，120万名单库实时报警响应速度不超过1秒</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（15） 支持在界面展示算法仓库的算法列表，包括算法名称、分析源类型、分析目标、算法厂商、芯片平台、算法版本和详情信息</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（16） 支持在界面上添加名称为人车分析，人脸图片分析、人脸视频分析和卡口车辆图片分析的算法，并支持通过分析源类型或分析目标进行算法查询</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（17） 支持NTP校时服务器配置，并支持手动校时；</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31</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视频存储存储节点</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8U机架式48盘位，双路64位多核处理器，32GB缓存，支持SATA/SAS硬盘</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 xml:space="preserve">（2） 单设备应标配≥4个千兆网口，可增扩≥2个万兆口或≥4个光纤接口，并可增扩2个SSD固态硬盘 </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可接入硬盘≥48块SATA/SAS硬盘，并支持≥12级扩展柜级联扩展</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系统由管理节点和/或存储节点组成，且系统可扩容，增加管理或存储节点。在多节点系统中，任何一个存储节点出现故障，应不影响数据的正常存取；支持控制流与数据流分离，数据的存储或读取由存储节点并行读写。</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支持前端设备和存储设备之间直接存储，采用块级存储，不生成文件（即不使用文件系统），无碎片。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 数据分散存储到存储节点上，数据呈离散式分布。</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 支持实时录像路数、录像回放路数、录像下载路数统计及展示</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 支持对人脸、人体、车辆等智能结构化数据进行实时缓存备份和全量备份存储</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（9） 支持视图转换，能将指定时间段视频按时间间隔抽帧转换成图片。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（10） 云存储支持单机EC方案，即支持以任一存储节点为单位独立设置N+M数据保护，支持多硬盘时，业务不中断，数据不丢失，同时可根据实时接入业务进行负载均衡。</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（11） 支持当磁盘或设备故障时，支持智能数据恢复，对标明重要的特定文件中的数据优先恢复。</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（12） 存储设备根据自身业务量，自适应重构速度，如当前设备空间资源较为充裕时，重构速度较高，若存储设备读写压力上来后，重构速度自动降低</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（13） 支持文件的基本操作，包括文件的打开、关闭、上传、下载、删除、拷贝、重命名等，支持单个或批量进行设置或查询文件属性</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（14） 支持视频片段的对象化，支持指定视频片段的唯一对象名称并下发开启录像指令，云存储从监控点取流之后进行对象化存储，后期用户可以根据该对象名称提取该对象数据</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（15） 支持对多套云同时进行管理，支持对添加多套云、修改、查看多套云的信息</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（16） 支持图片云间灾备时，可保证图片在主备云中URL一致，实现图片无缝提取</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（17） 支持通过统一运维一键式部署整个云存储系统，一键升级、格式化系统；支持设备自动发现，支持无需登录设备，即可远程配置IP地址；支持单服务、服务集群一键升级，支持升级包的hash签名加密认证。</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32</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云存储设备</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 4U机架式24盘位；双路64位多核处理器；32GB缓存；支持SATA/SAS硬盘</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 单设备应配置≥两颗64位多核处理器，≥8GB内存，内存支持扩展到≥256GB，需配置冗余金牌电源</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单设备应标配≥4个千兆网口，可增扩≥2个万兆口或≥4个光纤接口，可增扩2个SSD固态硬盘</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系统由管理节点和/或存储节点组成，且系统可扩容，增加管理或存储节点。在多节点系统中，任何一个存储节点出现故障，应不影响数据的正常存取；支持控制流与数据流分离，数据的存储或读取由存储节点并行读写。</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支持视频直存技术，兼容标准码流、海康私有标准、海康私有标准视频流写入云存储设备，能够直接接入支持GB/T28181-2011、GB/T28181-2016、ONVIF、Ehome、RTSP、PSIA 标准的前端设备。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 云存储支持补录（包括历史流计划补录、手动补录、云间历史流回传等）流控，支持针对不同的通道设置不同的流控速度</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 支持对人脸、人体、车辆等智能结构化数据进行实时缓存备份和全量备份存储</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 支持时区设置，支持客户端与云存储设备在不同的时区，录像时间段不受异地时区影响。</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（9） 支持当磁盘或设备故障时，支持智能数据恢复，对标明重要的特定文件中的数据优先恢复。</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（10） 支持根据业务需要配置重构速度，支持低速、中速、高速和全速四种重构速度配置。</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（11） 支持图片云间灾备时，可保证图片在主备云中URL一致，实现图片无缝提取</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（12） 支持通过统一运维一键式部署整个云存储系统，一键升级、格式化系统；支持设备自动发现，支持无需登录设备，即可远程配置IP地址；支持单服务、服务集群一键升级，支持升级包的hash签名加密认证。</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（13） 支持视频点位监控录像出现异常时及时告警，设备支持以分钟为精度对录像完整性监控，当录像连续丢失1分钟及以上时，自动判定该小时录像为异常。</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33</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硬盘（数据盘）</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4T SATA  6Gb/S  7200转  128MB缓存</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34</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视频应用及管理服务</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 xml:space="preserve">视频应用子系统主要提供视频基础应用，包括视频预览、录像回放、大屏管控、录像智能检索等。视频应用子系统v1.11.0主要实现了对接2016新国标，支持140项全项检测；支持接入雄鹰系列无人机,实现预览回放；支持用户设置默认展开的层级(cs支持),支持16倍速回放；视频巡逻收藏夹支持轮巡；增加斜置水印；视频地图支持4K服务器上墙；支持多用户登录键盘服务器。 </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35</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脸谱子系统</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包括人脸抓拍、人脸检索、人脸比对、人脸布控，人脸大数据服务等，提供人脸大数据的人脸模型、结构化数据存储、管理、检索查询应用等服务。在人脸大数据一体机实现，单机部署时可提供8亿级别人脸模型和结构化数据存储，同时支持3000万静态库的秒级检索，支持3台以上的集群部署，盘阵支持热插拔。同时具备高容错能力，能够自动保存数据的多个副本，确保数据的高可靠性和高安全性。</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36</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路数</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支持设置不小于24W路监控点，支持不少于9000用户同时在线；</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路</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8435" w:type="dxa"/>
            <w:gridSpan w:val="5"/>
            <w:shd w:val="clear" w:color="000000" w:fill="FFFFFF"/>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景区人员特征采集设备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3</w:t>
            </w:r>
            <w:r>
              <w:rPr>
                <w:rFonts w:ascii="仿宋" w:hAnsi="仿宋" w:eastAsia="仿宋" w:cs="Arial"/>
                <w:snapToGrid w:val="0"/>
                <w:kern w:val="0"/>
                <w:sz w:val="24"/>
              </w:rPr>
              <w:t>7</w:t>
            </w:r>
          </w:p>
        </w:tc>
        <w:tc>
          <w:tcPr>
            <w:tcW w:w="127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人员电子信息采集专用主机（主）</w:t>
            </w:r>
          </w:p>
        </w:tc>
        <w:tc>
          <w:tcPr>
            <w:tcW w:w="5422"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定制化专用主机设备：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单台设备支持5个高性能信号处理卡可拔插接口；</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支持1个10/100M以太网口、3个射频天线接口、2个SMA口、1个AV220V电源接口；</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设备最大功耗350W；</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设备尺寸：500mm*400mm*220mm；</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具备无线信号滤波以及合成功能。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防护等级达到IP65。</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电源接口使用航空接头。</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支持远程操作、维护和远程版本升级功能，维护手段包括管理客户端、SSH方式。</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设备使用专用工具才能打开箱体。</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所有接口均在箱体的一侧。</w:t>
            </w:r>
          </w:p>
        </w:tc>
        <w:tc>
          <w:tcPr>
            <w:tcW w:w="46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38</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人员电子信息采集专用主机（主）</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定制化专用主机设备：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单台设备支持5个高性能信号处理卡可拔插接口；</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支持1个10/100M以太网口、3个射频天线接口、2个SMA口、1个AV220V电源接口；</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设备最大功耗150W；</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设备尺寸：330mm*240mm*170mm；</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具备无线信号滤波以及合成功能。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防护等级达到IP65。</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电源接口使用航空接头。</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支持远程操作、维护和远程版本升级功能，维护手段包括管理客户端、SSH方式。</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设备使用专用工具才能打开箱体。</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所有接口均在箱体的一侧。</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39</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人员电子信息采集专用设备主机（分体）</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定制化专用分机设备：</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单台设备支持5个高性能信号处理卡可拔插接口；</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支持1个10/100M以太网口、3个射频天线接口、2个SMA口、1个AV220V电源接口；</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设备最大功耗150W；</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设备尺寸：330mm*240mm*170mm；</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具备无线信号滤波以及合成功能。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防护等级达到IP65。</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电源接口使用航空接头。</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支持远程操作、维护和远程版本升级功能，维护手段包括管理客户端、SSH方式。</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设备使用专用工具才能打开箱体。</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所有接口均在箱体的一侧。</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40</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人员电子信息采集板卡</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内嵌专业软件的高性能信号处理板卡：</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数据并行处理能力：1000个/分钟.</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用于人员信息数据处理，统一话单生成并上报.</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具有功率放大器功率控制调节功能，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射频开关控制功能，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设备网络接口调度控制功能；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采集数据加密保存，缓存数据500万条以上，保存周期不低于180天。</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41</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信号功率放大模块（2W）</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可调式功率放大模块，最大功率2w，频率：1700-2700MHz</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42</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信号功率放大模块（20W）</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可调式功率放大模块，最大功率20W，频率：1700-2700MHz</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43</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双极化设备天线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增益15dBm定向天线，频率：1700-2700MHz，接口：NK</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44</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玻璃钢天线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全向玻璃钢天线:频率: 1700-2700MHz,增益:5dBi,驻波比:≤1.5,接头:NK,长度：30cm</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45</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GPS天线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增益:3dBi，工作频率:1575MHz，接口: SMA，重量:50g</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46</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笔杆天线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全频段,接口:SMA,长度:10cm,重量:10g</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47</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馈线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2M，低损耗馈线，铜芯铝皮</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条</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48</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现场箱内交换机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8端口，10/100</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49</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汇聚交换机</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16口1000M</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50</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喉箍</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不锈钢可调</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51</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电线杆抱箍</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　</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52</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钢管</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不锈钢</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53</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带孔内六角扳手</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　</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54</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设备支架</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适配箱体支架</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55</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单支架双极化天线支架</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天线挂杆</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56</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立杆安装</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3.5-4.5米</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57</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抱杆安装支架</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　</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58</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落地设备箱</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600*500*450</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59</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光缆接续抱杆箱</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300*400*200</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铠装光缆</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6芯单模</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60</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防鼠蚁电源线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RVV3*1.5-FSY</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61</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室外防水性网线</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超五类以上</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62</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线缆保护套管</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PE40</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米</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63</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光纤熔接包或终端盒</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4口以上</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个</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64</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尾纤及跳纤</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单模</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65</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纤芯熔接</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衰减符合规范要求</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芯</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66</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单纤光纤收发器</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10/100</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67</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六网合一光纤链路跳纤测试接入</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　</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68</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其它辅助材料</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　</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项</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69</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人员电子信息采集平台服务器</w:t>
            </w:r>
          </w:p>
        </w:tc>
        <w:tc>
          <w:tcPr>
            <w:tcW w:w="542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配置：CPU双至强E5 2650v4，内存DDR4 128G，SATA硬盘  24T,双电源。</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内嵌专用平台软件：</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1. 内含数据库，数据存储大于一年：结构化入库存储。</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2. 提供查询工具界面：具备单采集点数据直接分析：可自定义进行数据归类、查询、检索、在线计算功能。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3. 具备多采集点数据关联分析：人员信息关联分析，自动输出重点人员、重点地区的态势变化。</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4. 具备人员流动信息画像生成功能。</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5. 历史数据比对分析：比对历史数据，对区域人群聚集情况进行预警。</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6.提供标准化接口与其他平台对接。</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7.支持碰撞、伴随、轨迹分析。</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8.支持离线、在线地图功能。</w:t>
            </w: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4" w:hRule="atLeast"/>
        </w:trPr>
        <w:tc>
          <w:tcPr>
            <w:tcW w:w="8435" w:type="dxa"/>
            <w:gridSpan w:val="5"/>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数据管控与实战应用平台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ascii="仿宋" w:hAnsi="仿宋" w:eastAsia="仿宋" w:cs="Arial"/>
                <w:snapToGrid w:val="0"/>
                <w:kern w:val="0"/>
                <w:sz w:val="24"/>
              </w:rPr>
              <w:t>70</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存储集群、计算集群</w:t>
            </w:r>
          </w:p>
        </w:tc>
        <w:tc>
          <w:tcPr>
            <w:tcW w:w="5422" w:type="dxa"/>
            <w:noWrap w:val="0"/>
            <w:vAlign w:val="center"/>
          </w:tcPr>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品牌及制造厂商</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国际知名品牌,2018年X86服务器出货量IDC报告全球前三。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规格</w:t>
                  </w:r>
                </w:p>
              </w:tc>
              <w:tc>
                <w:tcPr>
                  <w:tcW w:w="4186"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处理器</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配置4颗至强</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 金牌6</w:t>
                  </w:r>
                  <w:r>
                    <w:rPr>
                      <w:rFonts w:ascii="仿宋" w:hAnsi="仿宋" w:eastAsia="仿宋" w:cs="Arial"/>
                      <w:snapToGrid w:val="0"/>
                      <w:kern w:val="0"/>
                      <w:sz w:val="24"/>
                    </w:rPr>
                    <w:t>130</w:t>
                  </w:r>
                  <w:r>
                    <w:rPr>
                      <w:rFonts w:hint="eastAsia" w:ascii="仿宋" w:hAnsi="仿宋" w:eastAsia="仿宋" w:cs="Arial"/>
                      <w:snapToGrid w:val="0"/>
                      <w:kern w:val="0"/>
                      <w:sz w:val="24"/>
                    </w:rPr>
                    <w:t xml:space="preserve"> 2.</w:t>
                  </w:r>
                  <w:r>
                    <w:rPr>
                      <w:rFonts w:ascii="仿宋" w:hAnsi="仿宋" w:eastAsia="仿宋" w:cs="Arial"/>
                      <w:snapToGrid w:val="0"/>
                      <w:kern w:val="0"/>
                      <w:sz w:val="24"/>
                    </w:rPr>
                    <w:t>1</w:t>
                  </w:r>
                  <w:r>
                    <w:rPr>
                      <w:rFonts w:hint="eastAsia" w:ascii="仿宋" w:hAnsi="仿宋" w:eastAsia="仿宋" w:cs="Arial"/>
                      <w:snapToGrid w:val="0"/>
                      <w:kern w:val="0"/>
                      <w:sz w:val="24"/>
                    </w:rPr>
                    <w:t>G, 1</w:t>
                  </w:r>
                  <w:r>
                    <w:rPr>
                      <w:rFonts w:ascii="仿宋" w:hAnsi="仿宋" w:eastAsia="仿宋" w:cs="Arial"/>
                      <w:snapToGrid w:val="0"/>
                      <w:kern w:val="0"/>
                      <w:sz w:val="24"/>
                    </w:rPr>
                    <w:t>6</w:t>
                  </w:r>
                  <w:r>
                    <w:rPr>
                      <w:rFonts w:hint="eastAsia" w:ascii="仿宋" w:hAnsi="仿宋" w:eastAsia="仿宋" w:cs="Arial"/>
                      <w:snapToGrid w:val="0"/>
                      <w:kern w:val="0"/>
                      <w:sz w:val="24"/>
                    </w:rPr>
                    <w:t>C或以上处理器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内存</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配置32GB*4内存；实配</w:t>
                  </w:r>
                  <w:r>
                    <w:rPr>
                      <w:rFonts w:ascii="仿宋" w:hAnsi="仿宋" w:eastAsia="仿宋" w:cs="Arial"/>
                      <w:snapToGrid w:val="0"/>
                      <w:kern w:val="0"/>
                      <w:sz w:val="24"/>
                    </w:rPr>
                    <w:t>≥</w:t>
                  </w:r>
                  <w:r>
                    <w:rPr>
                      <w:rFonts w:hint="eastAsia" w:ascii="仿宋" w:hAnsi="仿宋" w:eastAsia="仿宋" w:cs="Arial"/>
                      <w:snapToGrid w:val="0"/>
                      <w:kern w:val="0"/>
                      <w:sz w:val="24"/>
                    </w:rPr>
                    <w:t>48个内存插槽,内存总容量不少于6TB，实现四位纠错、内存镜像、内存冗余位校验等技术,频率</w:t>
                  </w:r>
                  <w:r>
                    <w:rPr>
                      <w:rFonts w:ascii="仿宋" w:hAnsi="仿宋" w:eastAsia="仿宋" w:cs="Arial"/>
                      <w:snapToGrid w:val="0"/>
                      <w:kern w:val="0"/>
                      <w:sz w:val="24"/>
                    </w:rPr>
                    <w:t>≥2666MT/s</w:t>
                  </w:r>
                  <w:r>
                    <w:rPr>
                      <w:rFonts w:hint="eastAsia" w:ascii="仿宋" w:hAnsi="仿宋" w:eastAsia="仿宋" w:cs="Arial"/>
                      <w:snapToGrid w:val="0"/>
                      <w:kern w:val="0"/>
                      <w:sz w:val="24"/>
                    </w:rPr>
                    <w:t>；支持R</w:t>
                  </w:r>
                  <w:r>
                    <w:rPr>
                      <w:rFonts w:ascii="仿宋" w:hAnsi="仿宋" w:eastAsia="仿宋" w:cs="Arial"/>
                      <w:snapToGrid w:val="0"/>
                      <w:kern w:val="0"/>
                      <w:sz w:val="24"/>
                    </w:rPr>
                    <w:t>DIMM,LRDIMM,NVDIMM</w:t>
                  </w:r>
                  <w:r>
                    <w:rPr>
                      <w:rFonts w:hint="eastAsia" w:ascii="仿宋" w:hAnsi="仿宋" w:eastAsia="仿宋" w:cs="Arial"/>
                      <w:snapToGrid w:val="0"/>
                      <w:kern w:val="0"/>
                      <w:sz w:val="24"/>
                    </w:rPr>
                    <w:t>，官网截图证明。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硬盘</w:t>
                  </w:r>
                </w:p>
              </w:tc>
              <w:tc>
                <w:tcPr>
                  <w:tcW w:w="4186" w:type="dxa"/>
                  <w:noWrap w:val="0"/>
                  <w:vAlign w:val="top"/>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最多24</w:t>
                  </w:r>
                  <w:r>
                    <w:rPr>
                      <w:rFonts w:hint="eastAsia" w:ascii="仿宋" w:hAnsi="仿宋" w:eastAsia="仿宋" w:cs="Arial"/>
                      <w:snapToGrid w:val="0"/>
                      <w:kern w:val="0"/>
                      <w:sz w:val="24"/>
                    </w:rPr>
                    <w:t xml:space="preserve"> 个 2.5 英寸 SAS/SATA HDD</w:t>
                  </w:r>
                  <w:r>
                    <w:rPr>
                      <w:rFonts w:ascii="仿宋" w:hAnsi="仿宋" w:eastAsia="仿宋" w:cs="Arial"/>
                      <w:snapToGrid w:val="0"/>
                      <w:kern w:val="0"/>
                      <w:sz w:val="24"/>
                    </w:rPr>
                    <w:t>/SSD</w:t>
                  </w:r>
                  <w:r>
                    <w:rPr>
                      <w:rFonts w:hint="eastAsia" w:ascii="仿宋" w:hAnsi="仿宋" w:eastAsia="仿宋" w:cs="Arial"/>
                      <w:snapToGrid w:val="0"/>
                      <w:kern w:val="0"/>
                      <w:sz w:val="24"/>
                    </w:rPr>
                    <w:t>，实配6</w:t>
                  </w:r>
                  <w:r>
                    <w:rPr>
                      <w:rFonts w:ascii="仿宋" w:hAnsi="仿宋" w:eastAsia="仿宋" w:cs="Arial"/>
                      <w:snapToGrid w:val="0"/>
                      <w:kern w:val="0"/>
                      <w:sz w:val="24"/>
                    </w:rPr>
                    <w:t>*1TB SATA</w:t>
                  </w:r>
                  <w:r>
                    <w:rPr>
                      <w:rFonts w:hint="eastAsia" w:ascii="仿宋" w:hAnsi="仿宋" w:eastAsia="仿宋" w:cs="Arial"/>
                      <w:snapToGrid w:val="0"/>
                      <w:kern w:val="0"/>
                      <w:sz w:val="24"/>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RAID功能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 xml:space="preserve">配置磁盘阵列控制器,支持RAID </w:t>
                  </w:r>
                  <w:r>
                    <w:rPr>
                      <w:rFonts w:ascii="仿宋" w:hAnsi="仿宋" w:eastAsia="仿宋" w:cs="Arial"/>
                      <w:snapToGrid w:val="0"/>
                      <w:kern w:val="0"/>
                      <w:sz w:val="24"/>
                    </w:rPr>
                    <w:t>0</w:t>
                  </w:r>
                  <w:r>
                    <w:rPr>
                      <w:rFonts w:hint="eastAsia" w:ascii="仿宋" w:hAnsi="仿宋" w:eastAsia="仿宋" w:cs="Arial"/>
                      <w:snapToGrid w:val="0"/>
                      <w:kern w:val="0"/>
                      <w:sz w:val="24"/>
                    </w:rPr>
                    <w:t>，</w:t>
                  </w:r>
                  <w:r>
                    <w:rPr>
                      <w:rFonts w:ascii="仿宋" w:hAnsi="仿宋" w:eastAsia="仿宋" w:cs="Arial"/>
                      <w:snapToGrid w:val="0"/>
                      <w:kern w:val="0"/>
                      <w:sz w:val="24"/>
                    </w:rPr>
                    <w:t>1</w:t>
                  </w:r>
                  <w:r>
                    <w:rPr>
                      <w:rFonts w:hint="eastAsia" w:ascii="仿宋" w:hAnsi="仿宋" w:eastAsia="仿宋" w:cs="Arial"/>
                      <w:snapToGrid w:val="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网卡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配置4个千兆以太网端口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bottom"/>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GPU</w:t>
                  </w:r>
                  <w:r>
                    <w:rPr>
                      <w:rFonts w:hint="eastAsia" w:ascii="仿宋" w:hAnsi="仿宋" w:eastAsia="仿宋" w:cs="Arial"/>
                      <w:snapToGrid w:val="0"/>
                      <w:kern w:val="0"/>
                      <w:sz w:val="24"/>
                    </w:rPr>
                    <w:t>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最多支持2 个双宽 GPU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PCI I/O插槽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支持不少于6个PCI-E插槽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专用启动盘</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支持≥2块M.2接口SSD做专用启动盘，组硬件RAID</w:t>
                  </w:r>
                  <w:r>
                    <w:rPr>
                      <w:rFonts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冗余SD卡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支持配置冗余SD卡用于安装虚拟化系统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故障诊断</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带可编程LCD诊断显示屏，可显示默认或定制信息；支持不开机箱或前面盖直接察看面板LCD显示屏显示警告信息。支持硬件故障检测，电源、电压、风扇监控,温度监控,远程开关机,报错日志管理。 支持CPU，内存，硬盘，电源，风扇实时监控以及故障前预告警功能。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电源</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配置1+1 冗余电源</w:t>
                  </w:r>
                  <w:r>
                    <w:rPr>
                      <w:rFonts w:ascii="仿宋" w:hAnsi="仿宋" w:eastAsia="仿宋" w:cs="Arial"/>
                      <w:snapToGrid w:val="0"/>
                      <w:kern w:val="0"/>
                      <w:sz w:val="24"/>
                    </w:rPr>
                    <w:t>,</w:t>
                  </w:r>
                  <w:r>
                    <w:rPr>
                      <w:rFonts w:hint="eastAsia" w:ascii="仿宋" w:hAnsi="仿宋" w:eastAsia="仿宋" w:cs="Arial"/>
                      <w:snapToGrid w:val="0"/>
                      <w:kern w:val="0"/>
                      <w:sz w:val="24"/>
                    </w:rPr>
                    <w:t>功率</w:t>
                  </w:r>
                  <w:r>
                    <w:rPr>
                      <w:rFonts w:ascii="仿宋" w:hAnsi="仿宋" w:eastAsia="仿宋" w:cs="Arial"/>
                      <w:snapToGrid w:val="0"/>
                      <w:kern w:val="0"/>
                      <w:sz w:val="24"/>
                    </w:rPr>
                    <w:t>≥</w:t>
                  </w:r>
                  <w:r>
                    <w:rPr>
                      <w:rFonts w:hint="eastAsia" w:ascii="仿宋" w:hAnsi="仿宋" w:eastAsia="仿宋" w:cs="Arial"/>
                      <w:snapToGrid w:val="0"/>
                      <w:kern w:val="0"/>
                      <w:sz w:val="24"/>
                    </w:rPr>
                    <w:t>100</w:t>
                  </w:r>
                  <w:r>
                    <w:rPr>
                      <w:rFonts w:ascii="仿宋" w:hAnsi="仿宋" w:eastAsia="仿宋" w:cs="Arial"/>
                      <w:snapToGrid w:val="0"/>
                      <w:kern w:val="0"/>
                      <w:sz w:val="24"/>
                    </w:rPr>
                    <w:t>0</w:t>
                  </w:r>
                  <w:r>
                    <w:rPr>
                      <w:rFonts w:hint="eastAsia" w:ascii="仿宋" w:hAnsi="仿宋" w:eastAsia="仿宋" w:cs="Arial"/>
                      <w:snapToGrid w:val="0"/>
                      <w:kern w:val="0"/>
                      <w:sz w:val="24"/>
                    </w:rPr>
                    <w:t>W</w:t>
                  </w:r>
                  <w:r>
                    <w:rPr>
                      <w:rFonts w:ascii="仿宋" w:hAnsi="仿宋" w:eastAsia="仿宋" w:cs="Arial"/>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安全功能和特性</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加密签名固件，硬件根信任，安全启动，自动BIOS恢复，快速OS恢复，系统一键锁定，安全的缺省密码，配置和固件漂移检测，持久日志（包括用户形迹）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导轨</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所有服务器配置导轨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管理软件</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主机板內部集成管理软件及驱动</w:t>
                  </w:r>
                  <w:r>
                    <w:rPr>
                      <w:rFonts w:ascii="仿宋" w:hAnsi="仿宋" w:eastAsia="仿宋" w:cs="Arial"/>
                      <w:snapToGrid w:val="0"/>
                      <w:kern w:val="0"/>
                      <w:sz w:val="24"/>
                    </w:rPr>
                    <w:t>,</w:t>
                  </w:r>
                  <w:r>
                    <w:rPr>
                      <w:rFonts w:hint="eastAsia" w:ascii="仿宋" w:hAnsi="仿宋" w:eastAsia="仿宋" w:cs="Arial"/>
                      <w:snapToGrid w:val="0"/>
                      <w:kern w:val="0"/>
                      <w:sz w:val="24"/>
                    </w:rPr>
                    <w:t>可实现无需安裝软件直接管理服务器</w:t>
                  </w:r>
                  <w:r>
                    <w:rPr>
                      <w:rFonts w:ascii="仿宋" w:hAnsi="仿宋" w:eastAsia="仿宋" w:cs="Arial"/>
                      <w:snapToGrid w:val="0"/>
                      <w:kern w:val="0"/>
                      <w:sz w:val="24"/>
                    </w:rPr>
                    <w:t>,</w:t>
                  </w:r>
                  <w:r>
                    <w:rPr>
                      <w:rFonts w:hint="eastAsia" w:ascii="仿宋" w:hAnsi="仿宋" w:eastAsia="仿宋" w:cs="Arial"/>
                      <w:snapToGrid w:val="0"/>
                      <w:kern w:val="0"/>
                      <w:sz w:val="24"/>
                    </w:rPr>
                    <w:t>内置服务器驱动程序</w:t>
                  </w:r>
                  <w:r>
                    <w:rPr>
                      <w:rFonts w:ascii="仿宋" w:hAnsi="仿宋" w:eastAsia="仿宋" w:cs="Arial"/>
                      <w:snapToGrid w:val="0"/>
                      <w:kern w:val="0"/>
                      <w:sz w:val="24"/>
                    </w:rPr>
                    <w:t>,</w:t>
                  </w:r>
                  <w:r>
                    <w:rPr>
                      <w:rFonts w:hint="eastAsia" w:ascii="仿宋" w:hAnsi="仿宋" w:eastAsia="仿宋" w:cs="Arial"/>
                      <w:snapToGrid w:val="0"/>
                      <w:kern w:val="0"/>
                      <w:sz w:val="24"/>
                    </w:rPr>
                    <w:t>提供快速无盘布署和管理功能；能够通过手机和平板电脑通过</w:t>
                  </w:r>
                  <w:r>
                    <w:rPr>
                      <w:rFonts w:ascii="仿宋" w:hAnsi="仿宋" w:eastAsia="仿宋" w:cs="Arial"/>
                      <w:snapToGrid w:val="0"/>
                      <w:kern w:val="0"/>
                      <w:sz w:val="24"/>
                    </w:rPr>
                    <w:t>wifi</w:t>
                  </w:r>
                  <w:r>
                    <w:rPr>
                      <w:rFonts w:hint="eastAsia" w:ascii="仿宋" w:hAnsi="仿宋" w:eastAsia="仿宋" w:cs="Arial"/>
                      <w:snapToGrid w:val="0"/>
                      <w:kern w:val="0"/>
                      <w:sz w:val="24"/>
                    </w:rPr>
                    <w:t>和蓝牙管理服务器，可以做现场的资产清点</w:t>
                  </w:r>
                  <w:r>
                    <w:rPr>
                      <w:rFonts w:ascii="仿宋" w:hAnsi="仿宋" w:eastAsia="仿宋" w:cs="Arial"/>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第三方管理平台集成</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提供主流管理平台如VMware vCenter，Microsoft System Center，BMC Software的插件集成；能够连接常见的管理平台如Nagios &amp; Nagios XI,Oracle Enterprise Manager, HP Operations Manager,</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IBM Tivoli Netcool/OMNIbus, IBM Tivoli</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 Network Manager, CA Network and Systems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服务器管理</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1)提供服务器管理软件（正版含介质光盘）可实现服务器故障报警、批量的系统资源管理以及系统性能监控等功能；</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2）支持内置SD卡记录系统全生命周期运行日志</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3）基板管理控制器 (BMC) ，支持 IPMI 2.0；可实现与操作系统无关的远程对服务器的完全控制，包括远程的开机、关机、重启和虚拟介质等操作；如果以软件方式实现，需要提供正式许可证，无使用限制；</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4）提供</w:t>
                  </w:r>
                  <w:r>
                    <w:rPr>
                      <w:rFonts w:ascii="仿宋" w:hAnsi="仿宋" w:eastAsia="仿宋" w:cs="Arial"/>
                      <w:snapToGrid w:val="0"/>
                      <w:kern w:val="0"/>
                      <w:sz w:val="24"/>
                    </w:rPr>
                    <w:t>原厂的性能监控软件，提供对本系统连续1个月以上的性能监控分析图文报告：包含CPU、内存、读写IOPS的峰值、吞吐量、读写比例，以及延迟、队列等性能数据，同时能提供所连接服务器的总核心数、以及CPU的峰值和最低值；并提供优化方案。必须在应答书里描述如何实现并提供详细的报告样本实例（报告需为中文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操作</w:t>
                  </w:r>
                  <w:r>
                    <w:rPr>
                      <w:rFonts w:ascii="仿宋" w:hAnsi="仿宋" w:eastAsia="仿宋" w:cs="Arial"/>
                      <w:snapToGrid w:val="0"/>
                      <w:kern w:val="0"/>
                      <w:sz w:val="24"/>
                    </w:rPr>
                    <w:t>系统</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14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原厂服务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提供原厂安装服务，提供原生产厂商3年专业支持服务和关键任务: (7x24) 4小时上门服务，3年硬盘不返还服务。签订合同前提供设备原厂商针对本项目的唯一授权函原件和3年原厂唯一免费质保服务函原件。</w:t>
                  </w:r>
                </w:p>
              </w:tc>
            </w:tr>
          </w:tbl>
          <w:p>
            <w:pPr>
              <w:spacing w:line="360" w:lineRule="auto"/>
              <w:jc w:val="left"/>
              <w:rPr>
                <w:rFonts w:hint="eastAsia" w:ascii="仿宋" w:hAnsi="仿宋" w:eastAsia="仿宋" w:cs="Arial"/>
                <w:snapToGrid w:val="0"/>
                <w:kern w:val="0"/>
                <w:sz w:val="24"/>
              </w:rPr>
            </w:pPr>
          </w:p>
        </w:tc>
        <w:tc>
          <w:tcPr>
            <w:tcW w:w="46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71</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ascii="仿宋" w:hAnsi="仿宋" w:eastAsia="仿宋" w:cs="Arial"/>
                <w:snapToGrid w:val="0"/>
                <w:kern w:val="0"/>
                <w:sz w:val="24"/>
              </w:rPr>
              <w:t>Namenode</w:t>
            </w:r>
          </w:p>
        </w:tc>
        <w:tc>
          <w:tcPr>
            <w:tcW w:w="5422" w:type="dxa"/>
            <w:noWrap w:val="0"/>
            <w:vAlign w:val="center"/>
          </w:tcPr>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品牌及制造厂商</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国际知名品牌,2018年X86服务器出货量IDC报告全球前三。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规格</w:t>
                  </w:r>
                </w:p>
              </w:tc>
              <w:tc>
                <w:tcPr>
                  <w:tcW w:w="4186"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处理器</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配置4颗至强</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 金牌6</w:t>
                  </w:r>
                  <w:r>
                    <w:rPr>
                      <w:rFonts w:ascii="仿宋" w:hAnsi="仿宋" w:eastAsia="仿宋" w:cs="Arial"/>
                      <w:snapToGrid w:val="0"/>
                      <w:kern w:val="0"/>
                      <w:sz w:val="24"/>
                    </w:rPr>
                    <w:t>130</w:t>
                  </w:r>
                  <w:r>
                    <w:rPr>
                      <w:rFonts w:hint="eastAsia" w:ascii="仿宋" w:hAnsi="仿宋" w:eastAsia="仿宋" w:cs="Arial"/>
                      <w:snapToGrid w:val="0"/>
                      <w:kern w:val="0"/>
                      <w:sz w:val="24"/>
                    </w:rPr>
                    <w:t xml:space="preserve"> 2.</w:t>
                  </w:r>
                  <w:r>
                    <w:rPr>
                      <w:rFonts w:ascii="仿宋" w:hAnsi="仿宋" w:eastAsia="仿宋" w:cs="Arial"/>
                      <w:snapToGrid w:val="0"/>
                      <w:kern w:val="0"/>
                      <w:sz w:val="24"/>
                    </w:rPr>
                    <w:t>1</w:t>
                  </w:r>
                  <w:r>
                    <w:rPr>
                      <w:rFonts w:hint="eastAsia" w:ascii="仿宋" w:hAnsi="仿宋" w:eastAsia="仿宋" w:cs="Arial"/>
                      <w:snapToGrid w:val="0"/>
                      <w:kern w:val="0"/>
                      <w:sz w:val="24"/>
                    </w:rPr>
                    <w:t>G, 1</w:t>
                  </w:r>
                  <w:r>
                    <w:rPr>
                      <w:rFonts w:ascii="仿宋" w:hAnsi="仿宋" w:eastAsia="仿宋" w:cs="Arial"/>
                      <w:snapToGrid w:val="0"/>
                      <w:kern w:val="0"/>
                      <w:sz w:val="24"/>
                    </w:rPr>
                    <w:t>6</w:t>
                  </w:r>
                  <w:r>
                    <w:rPr>
                      <w:rFonts w:hint="eastAsia" w:ascii="仿宋" w:hAnsi="仿宋" w:eastAsia="仿宋" w:cs="Arial"/>
                      <w:snapToGrid w:val="0"/>
                      <w:kern w:val="0"/>
                      <w:sz w:val="24"/>
                    </w:rPr>
                    <w:t>C或以上处理器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内存</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配置32GB*4内存；实配</w:t>
                  </w:r>
                  <w:r>
                    <w:rPr>
                      <w:rFonts w:ascii="仿宋" w:hAnsi="仿宋" w:eastAsia="仿宋" w:cs="Arial"/>
                      <w:snapToGrid w:val="0"/>
                      <w:kern w:val="0"/>
                      <w:sz w:val="24"/>
                    </w:rPr>
                    <w:t>≥</w:t>
                  </w:r>
                  <w:r>
                    <w:rPr>
                      <w:rFonts w:hint="eastAsia" w:ascii="仿宋" w:hAnsi="仿宋" w:eastAsia="仿宋" w:cs="Arial"/>
                      <w:snapToGrid w:val="0"/>
                      <w:kern w:val="0"/>
                      <w:sz w:val="24"/>
                    </w:rPr>
                    <w:t>48个内存插槽,内存总容量不少于6TB，实现四位纠错、内存镜像、内存冗余位校验等技术,频率</w:t>
                  </w:r>
                  <w:r>
                    <w:rPr>
                      <w:rFonts w:ascii="仿宋" w:hAnsi="仿宋" w:eastAsia="仿宋" w:cs="Arial"/>
                      <w:snapToGrid w:val="0"/>
                      <w:kern w:val="0"/>
                      <w:sz w:val="24"/>
                    </w:rPr>
                    <w:t>≥2666MT/s</w:t>
                  </w:r>
                  <w:r>
                    <w:rPr>
                      <w:rFonts w:hint="eastAsia" w:ascii="仿宋" w:hAnsi="仿宋" w:eastAsia="仿宋" w:cs="Arial"/>
                      <w:snapToGrid w:val="0"/>
                      <w:kern w:val="0"/>
                      <w:sz w:val="24"/>
                    </w:rPr>
                    <w:t>；支持R</w:t>
                  </w:r>
                  <w:r>
                    <w:rPr>
                      <w:rFonts w:ascii="仿宋" w:hAnsi="仿宋" w:eastAsia="仿宋" w:cs="Arial"/>
                      <w:snapToGrid w:val="0"/>
                      <w:kern w:val="0"/>
                      <w:sz w:val="24"/>
                    </w:rPr>
                    <w:t>DIMM,LRDIMM,NVDIMM</w:t>
                  </w:r>
                  <w:r>
                    <w:rPr>
                      <w:rFonts w:hint="eastAsia" w:ascii="仿宋" w:hAnsi="仿宋" w:eastAsia="仿宋" w:cs="Arial"/>
                      <w:snapToGrid w:val="0"/>
                      <w:kern w:val="0"/>
                      <w:sz w:val="24"/>
                    </w:rPr>
                    <w:t>，官网截图证明。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硬盘</w:t>
                  </w:r>
                </w:p>
              </w:tc>
              <w:tc>
                <w:tcPr>
                  <w:tcW w:w="4186" w:type="dxa"/>
                  <w:noWrap w:val="0"/>
                  <w:vAlign w:val="top"/>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最多24</w:t>
                  </w:r>
                  <w:r>
                    <w:rPr>
                      <w:rFonts w:hint="eastAsia" w:ascii="仿宋" w:hAnsi="仿宋" w:eastAsia="仿宋" w:cs="Arial"/>
                      <w:snapToGrid w:val="0"/>
                      <w:kern w:val="0"/>
                      <w:sz w:val="24"/>
                    </w:rPr>
                    <w:t xml:space="preserve"> 个 2.5 英寸 SAS/SATA HDD</w:t>
                  </w:r>
                  <w:r>
                    <w:rPr>
                      <w:rFonts w:ascii="仿宋" w:hAnsi="仿宋" w:eastAsia="仿宋" w:cs="Arial"/>
                      <w:snapToGrid w:val="0"/>
                      <w:kern w:val="0"/>
                      <w:sz w:val="24"/>
                    </w:rPr>
                    <w:t>/SSD</w:t>
                  </w:r>
                  <w:r>
                    <w:rPr>
                      <w:rFonts w:hint="eastAsia" w:ascii="仿宋" w:hAnsi="仿宋" w:eastAsia="仿宋" w:cs="Arial"/>
                      <w:snapToGrid w:val="0"/>
                      <w:kern w:val="0"/>
                      <w:sz w:val="24"/>
                    </w:rPr>
                    <w:t>，实配2</w:t>
                  </w:r>
                  <w:r>
                    <w:rPr>
                      <w:rFonts w:ascii="仿宋" w:hAnsi="仿宋" w:eastAsia="仿宋" w:cs="Arial"/>
                      <w:snapToGrid w:val="0"/>
                      <w:kern w:val="0"/>
                      <w:sz w:val="24"/>
                    </w:rPr>
                    <w:t>*600 GB 10K SAS</w:t>
                  </w:r>
                  <w:r>
                    <w:rPr>
                      <w:rFonts w:hint="eastAsia" w:ascii="仿宋" w:hAnsi="仿宋" w:eastAsia="仿宋" w:cs="Arial"/>
                      <w:snapToGrid w:val="0"/>
                      <w:kern w:val="0"/>
                      <w:sz w:val="24"/>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RAID功能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 xml:space="preserve">配置磁盘阵列控制器,支持RAID </w:t>
                  </w:r>
                  <w:r>
                    <w:rPr>
                      <w:rFonts w:ascii="仿宋" w:hAnsi="仿宋" w:eastAsia="仿宋" w:cs="Arial"/>
                      <w:snapToGrid w:val="0"/>
                      <w:kern w:val="0"/>
                      <w:sz w:val="24"/>
                    </w:rPr>
                    <w:t>0</w:t>
                  </w:r>
                  <w:r>
                    <w:rPr>
                      <w:rFonts w:hint="eastAsia" w:ascii="仿宋" w:hAnsi="仿宋" w:eastAsia="仿宋" w:cs="Arial"/>
                      <w:snapToGrid w:val="0"/>
                      <w:kern w:val="0"/>
                      <w:sz w:val="24"/>
                    </w:rPr>
                    <w:t>，</w:t>
                  </w:r>
                  <w:r>
                    <w:rPr>
                      <w:rFonts w:ascii="仿宋" w:hAnsi="仿宋" w:eastAsia="仿宋" w:cs="Arial"/>
                      <w:snapToGrid w:val="0"/>
                      <w:kern w:val="0"/>
                      <w:sz w:val="24"/>
                    </w:rPr>
                    <w:t>1</w:t>
                  </w:r>
                  <w:r>
                    <w:rPr>
                      <w:rFonts w:hint="eastAsia" w:ascii="仿宋" w:hAnsi="仿宋" w:eastAsia="仿宋" w:cs="Arial"/>
                      <w:snapToGrid w:val="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网卡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配置4个千兆以太网端口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GPU</w:t>
                  </w:r>
                  <w:r>
                    <w:rPr>
                      <w:rFonts w:hint="eastAsia" w:ascii="仿宋" w:hAnsi="仿宋" w:eastAsia="仿宋" w:cs="Arial"/>
                      <w:snapToGrid w:val="0"/>
                      <w:kern w:val="0"/>
                      <w:sz w:val="24"/>
                    </w:rPr>
                    <w:t>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最多支持2 个双宽 GPU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PCI I/O插槽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支持不少于6个PCI-E插槽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专用启动盘</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支持≥2块M.2接口SSD做专用启动盘，组硬件RAID</w:t>
                  </w:r>
                  <w:r>
                    <w:rPr>
                      <w:rFonts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冗余SD卡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支持配置冗余SD卡用于安装虚拟化系统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故障诊断</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带可编程LCD诊断显示屏，可显示默认或定制信息；支持不开机箱或前面盖直接察看面板LCD显示屏显示警告信息。支持硬件故障检测，电源、电压、风扇监控,温度监控,远程开关机,报错日志管理。 支持CPU，内存，硬盘，电源，风扇实时监控以及故障前预告警功能。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电源</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配置1+1 冗余电源</w:t>
                  </w:r>
                  <w:r>
                    <w:rPr>
                      <w:rFonts w:ascii="仿宋" w:hAnsi="仿宋" w:eastAsia="仿宋" w:cs="Arial"/>
                      <w:snapToGrid w:val="0"/>
                      <w:kern w:val="0"/>
                      <w:sz w:val="24"/>
                    </w:rPr>
                    <w:t>,</w:t>
                  </w:r>
                  <w:r>
                    <w:rPr>
                      <w:rFonts w:hint="eastAsia" w:ascii="仿宋" w:hAnsi="仿宋" w:eastAsia="仿宋" w:cs="Arial"/>
                      <w:snapToGrid w:val="0"/>
                      <w:kern w:val="0"/>
                      <w:sz w:val="24"/>
                    </w:rPr>
                    <w:t>功率</w:t>
                  </w:r>
                  <w:r>
                    <w:rPr>
                      <w:rFonts w:ascii="仿宋" w:hAnsi="仿宋" w:eastAsia="仿宋" w:cs="Arial"/>
                      <w:snapToGrid w:val="0"/>
                      <w:kern w:val="0"/>
                      <w:sz w:val="24"/>
                    </w:rPr>
                    <w:t>≥</w:t>
                  </w:r>
                  <w:r>
                    <w:rPr>
                      <w:rFonts w:hint="eastAsia" w:ascii="仿宋" w:hAnsi="仿宋" w:eastAsia="仿宋" w:cs="Arial"/>
                      <w:snapToGrid w:val="0"/>
                      <w:kern w:val="0"/>
                      <w:sz w:val="24"/>
                    </w:rPr>
                    <w:t>100</w:t>
                  </w:r>
                  <w:r>
                    <w:rPr>
                      <w:rFonts w:ascii="仿宋" w:hAnsi="仿宋" w:eastAsia="仿宋" w:cs="Arial"/>
                      <w:snapToGrid w:val="0"/>
                      <w:kern w:val="0"/>
                      <w:sz w:val="24"/>
                    </w:rPr>
                    <w:t>0</w:t>
                  </w:r>
                  <w:r>
                    <w:rPr>
                      <w:rFonts w:hint="eastAsia" w:ascii="仿宋" w:hAnsi="仿宋" w:eastAsia="仿宋" w:cs="Arial"/>
                      <w:snapToGrid w:val="0"/>
                      <w:kern w:val="0"/>
                      <w:sz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安全功能和特性</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加密签名固件，硬件根信任，安全启动，自动BIOS恢复，快速OS恢复，系统一键锁定，安全的缺省密码，配置和固件漂移检测，持久日志（包括用户形迹）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导轨</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所有服务器配置导轨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管理软件</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主机板內部集成管理软件及驱动</w:t>
                  </w:r>
                  <w:r>
                    <w:rPr>
                      <w:rFonts w:ascii="仿宋" w:hAnsi="仿宋" w:eastAsia="仿宋" w:cs="Arial"/>
                      <w:snapToGrid w:val="0"/>
                      <w:kern w:val="0"/>
                      <w:sz w:val="24"/>
                    </w:rPr>
                    <w:t>,</w:t>
                  </w:r>
                  <w:r>
                    <w:rPr>
                      <w:rFonts w:hint="eastAsia" w:ascii="仿宋" w:hAnsi="仿宋" w:eastAsia="仿宋" w:cs="Arial"/>
                      <w:snapToGrid w:val="0"/>
                      <w:kern w:val="0"/>
                      <w:sz w:val="24"/>
                    </w:rPr>
                    <w:t>可实现无需安裝软件直接管理服务器</w:t>
                  </w:r>
                  <w:r>
                    <w:rPr>
                      <w:rFonts w:ascii="仿宋" w:hAnsi="仿宋" w:eastAsia="仿宋" w:cs="Arial"/>
                      <w:snapToGrid w:val="0"/>
                      <w:kern w:val="0"/>
                      <w:sz w:val="24"/>
                    </w:rPr>
                    <w:t>,</w:t>
                  </w:r>
                  <w:r>
                    <w:rPr>
                      <w:rFonts w:hint="eastAsia" w:ascii="仿宋" w:hAnsi="仿宋" w:eastAsia="仿宋" w:cs="Arial"/>
                      <w:snapToGrid w:val="0"/>
                      <w:kern w:val="0"/>
                      <w:sz w:val="24"/>
                    </w:rPr>
                    <w:t>内置服务器驱动程序</w:t>
                  </w:r>
                  <w:r>
                    <w:rPr>
                      <w:rFonts w:ascii="仿宋" w:hAnsi="仿宋" w:eastAsia="仿宋" w:cs="Arial"/>
                      <w:snapToGrid w:val="0"/>
                      <w:kern w:val="0"/>
                      <w:sz w:val="24"/>
                    </w:rPr>
                    <w:t>,</w:t>
                  </w:r>
                  <w:r>
                    <w:rPr>
                      <w:rFonts w:hint="eastAsia" w:ascii="仿宋" w:hAnsi="仿宋" w:eastAsia="仿宋" w:cs="Arial"/>
                      <w:snapToGrid w:val="0"/>
                      <w:kern w:val="0"/>
                      <w:sz w:val="24"/>
                    </w:rPr>
                    <w:t>提供快速无盘布署和管理功能；能够通过手机和平板电脑通过</w:t>
                  </w:r>
                  <w:r>
                    <w:rPr>
                      <w:rFonts w:ascii="仿宋" w:hAnsi="仿宋" w:eastAsia="仿宋" w:cs="Arial"/>
                      <w:snapToGrid w:val="0"/>
                      <w:kern w:val="0"/>
                      <w:sz w:val="24"/>
                    </w:rPr>
                    <w:t>wifi</w:t>
                  </w:r>
                  <w:r>
                    <w:rPr>
                      <w:rFonts w:hint="eastAsia" w:ascii="仿宋" w:hAnsi="仿宋" w:eastAsia="仿宋" w:cs="Arial"/>
                      <w:snapToGrid w:val="0"/>
                      <w:kern w:val="0"/>
                      <w:sz w:val="24"/>
                    </w:rPr>
                    <w:t>和蓝牙管理服务器，可以做现场的资产清点</w:t>
                  </w:r>
                  <w:r>
                    <w:rPr>
                      <w:rFonts w:ascii="仿宋" w:hAnsi="仿宋" w:eastAsia="仿宋" w:cs="Arial"/>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第三方管理平台集成</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提供主流管理平台如VMware vCenter，Microsoft System Center，BMC Software的插件集成；能够连接常见的管理平台如Nagios &amp; Nagios XI,Oracle Enterprise Manager, HP Operations Manager,</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IBM Tivoli Netcool/OMNIbus, IBM Tivoli</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 Network Manager, CA Network and Systems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服务器管理</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1)提供服务器管理软件（正版含介质光盘）可实现服务器故障报警、批量的系统资源管理以及系统性能监控等功能；</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2）支持内置SD卡记录系统全生命周期运行日志</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3）基板管理控制器 (BMC) ，支持 IPMI 2.0；可实现与操作系统无关的远程对服务器的完全控制，包括远程的开机、关机、重启和虚拟介质等操作；如果以软件方式实现，需要提供正式许可证，无使用限制；</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4）提供</w:t>
                  </w:r>
                  <w:r>
                    <w:rPr>
                      <w:rFonts w:ascii="仿宋" w:hAnsi="仿宋" w:eastAsia="仿宋" w:cs="Arial"/>
                      <w:snapToGrid w:val="0"/>
                      <w:kern w:val="0"/>
                      <w:sz w:val="24"/>
                    </w:rPr>
                    <w:t>原厂的性能监控软件，提供对本系统连续1个月以上的性能监控分析图文报告：包含CPU、内存、读写IOPS的峰值、吞吐量、读写比例，以及延迟、队列等性能数据，同时能提供所连接服务器的总核心数、以及CPU的峰值和最低值；并提供优化方案。必须在应答书里描述如何实现并提供详细的报告样本实例（报告需为中文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操作</w:t>
                  </w:r>
                  <w:r>
                    <w:rPr>
                      <w:rFonts w:ascii="仿宋" w:hAnsi="仿宋" w:eastAsia="仿宋" w:cs="Arial"/>
                      <w:snapToGrid w:val="0"/>
                      <w:kern w:val="0"/>
                      <w:sz w:val="24"/>
                    </w:rPr>
                    <w:t>系统</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原厂服务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提供原厂安装服务，提供原生产厂商3年专业支持服务和关键任务: (7x24) 4小时上门服务，3年硬盘不返还服务。签订合同前提供设备原厂商针对本项目的唯一授权函原件和3年原厂唯一免费质保服务函原件。</w:t>
                  </w:r>
                </w:p>
              </w:tc>
            </w:tr>
          </w:tbl>
          <w:p>
            <w:pPr>
              <w:spacing w:line="360" w:lineRule="auto"/>
              <w:jc w:val="left"/>
              <w:rPr>
                <w:rFonts w:hint="eastAsia" w:ascii="仿宋" w:hAnsi="仿宋" w:eastAsia="仿宋" w:cs="Arial"/>
                <w:snapToGrid w:val="0"/>
                <w:kern w:val="0"/>
                <w:sz w:val="24"/>
              </w:rPr>
            </w:pPr>
          </w:p>
        </w:tc>
        <w:tc>
          <w:tcPr>
            <w:tcW w:w="463"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72</w:t>
            </w:r>
          </w:p>
        </w:tc>
        <w:tc>
          <w:tcPr>
            <w:tcW w:w="127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索引数据库</w:t>
            </w:r>
          </w:p>
        </w:tc>
        <w:tc>
          <w:tcPr>
            <w:tcW w:w="5422" w:type="dxa"/>
            <w:noWrap w:val="0"/>
            <w:vAlign w:val="center"/>
          </w:tcPr>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品牌及制造厂商</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国际知名品牌,2018年X86服务器出货量IDC报告全球前三。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规格</w:t>
                  </w:r>
                </w:p>
              </w:tc>
              <w:tc>
                <w:tcPr>
                  <w:tcW w:w="4186"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处理器</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配置4颗至强</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 金牌6</w:t>
                  </w:r>
                  <w:r>
                    <w:rPr>
                      <w:rFonts w:ascii="仿宋" w:hAnsi="仿宋" w:eastAsia="仿宋" w:cs="Arial"/>
                      <w:snapToGrid w:val="0"/>
                      <w:kern w:val="0"/>
                      <w:sz w:val="24"/>
                    </w:rPr>
                    <w:t>130</w:t>
                  </w:r>
                  <w:r>
                    <w:rPr>
                      <w:rFonts w:hint="eastAsia" w:ascii="仿宋" w:hAnsi="仿宋" w:eastAsia="仿宋" w:cs="Arial"/>
                      <w:snapToGrid w:val="0"/>
                      <w:kern w:val="0"/>
                      <w:sz w:val="24"/>
                    </w:rPr>
                    <w:t xml:space="preserve"> 2.</w:t>
                  </w:r>
                  <w:r>
                    <w:rPr>
                      <w:rFonts w:ascii="仿宋" w:hAnsi="仿宋" w:eastAsia="仿宋" w:cs="Arial"/>
                      <w:snapToGrid w:val="0"/>
                      <w:kern w:val="0"/>
                      <w:sz w:val="24"/>
                    </w:rPr>
                    <w:t>1</w:t>
                  </w:r>
                  <w:r>
                    <w:rPr>
                      <w:rFonts w:hint="eastAsia" w:ascii="仿宋" w:hAnsi="仿宋" w:eastAsia="仿宋" w:cs="Arial"/>
                      <w:snapToGrid w:val="0"/>
                      <w:kern w:val="0"/>
                      <w:sz w:val="24"/>
                    </w:rPr>
                    <w:t>G, 1</w:t>
                  </w:r>
                  <w:r>
                    <w:rPr>
                      <w:rFonts w:ascii="仿宋" w:hAnsi="仿宋" w:eastAsia="仿宋" w:cs="Arial"/>
                      <w:snapToGrid w:val="0"/>
                      <w:kern w:val="0"/>
                      <w:sz w:val="24"/>
                    </w:rPr>
                    <w:t>6</w:t>
                  </w:r>
                  <w:r>
                    <w:rPr>
                      <w:rFonts w:hint="eastAsia" w:ascii="仿宋" w:hAnsi="仿宋" w:eastAsia="仿宋" w:cs="Arial"/>
                      <w:snapToGrid w:val="0"/>
                      <w:kern w:val="0"/>
                      <w:sz w:val="24"/>
                    </w:rPr>
                    <w:t>C或以上处理器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内存</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配置32GB*4内存；实配</w:t>
                  </w:r>
                  <w:r>
                    <w:rPr>
                      <w:rFonts w:ascii="仿宋" w:hAnsi="仿宋" w:eastAsia="仿宋" w:cs="Arial"/>
                      <w:snapToGrid w:val="0"/>
                      <w:kern w:val="0"/>
                      <w:sz w:val="24"/>
                    </w:rPr>
                    <w:t>≥</w:t>
                  </w:r>
                  <w:r>
                    <w:rPr>
                      <w:rFonts w:hint="eastAsia" w:ascii="仿宋" w:hAnsi="仿宋" w:eastAsia="仿宋" w:cs="Arial"/>
                      <w:snapToGrid w:val="0"/>
                      <w:kern w:val="0"/>
                      <w:sz w:val="24"/>
                    </w:rPr>
                    <w:t>48个内存插槽,内存总容量不少于6TB，实现四位纠错、内存镜像、内存冗余位校验等技术,频率</w:t>
                  </w:r>
                  <w:r>
                    <w:rPr>
                      <w:rFonts w:ascii="仿宋" w:hAnsi="仿宋" w:eastAsia="仿宋" w:cs="Arial"/>
                      <w:snapToGrid w:val="0"/>
                      <w:kern w:val="0"/>
                      <w:sz w:val="24"/>
                    </w:rPr>
                    <w:t>≥2666MT/s</w:t>
                  </w:r>
                  <w:r>
                    <w:rPr>
                      <w:rFonts w:hint="eastAsia" w:ascii="仿宋" w:hAnsi="仿宋" w:eastAsia="仿宋" w:cs="Arial"/>
                      <w:snapToGrid w:val="0"/>
                      <w:kern w:val="0"/>
                      <w:sz w:val="24"/>
                    </w:rPr>
                    <w:t>；支持R</w:t>
                  </w:r>
                  <w:r>
                    <w:rPr>
                      <w:rFonts w:ascii="仿宋" w:hAnsi="仿宋" w:eastAsia="仿宋" w:cs="Arial"/>
                      <w:snapToGrid w:val="0"/>
                      <w:kern w:val="0"/>
                      <w:sz w:val="24"/>
                    </w:rPr>
                    <w:t>DIMM,LRDIMM,NVDIMM</w:t>
                  </w:r>
                  <w:r>
                    <w:rPr>
                      <w:rFonts w:hint="eastAsia" w:ascii="仿宋" w:hAnsi="仿宋" w:eastAsia="仿宋" w:cs="Arial"/>
                      <w:snapToGrid w:val="0"/>
                      <w:kern w:val="0"/>
                      <w:sz w:val="24"/>
                    </w:rPr>
                    <w:t>，官网截图证明。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硬盘</w:t>
                  </w:r>
                </w:p>
              </w:tc>
              <w:tc>
                <w:tcPr>
                  <w:tcW w:w="4186" w:type="dxa"/>
                  <w:noWrap w:val="0"/>
                  <w:vAlign w:val="top"/>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最多24</w:t>
                  </w:r>
                  <w:r>
                    <w:rPr>
                      <w:rFonts w:hint="eastAsia" w:ascii="仿宋" w:hAnsi="仿宋" w:eastAsia="仿宋" w:cs="Arial"/>
                      <w:snapToGrid w:val="0"/>
                      <w:kern w:val="0"/>
                      <w:sz w:val="24"/>
                    </w:rPr>
                    <w:t xml:space="preserve"> 个 2.5 英寸 SAS/SATA HDD</w:t>
                  </w:r>
                  <w:r>
                    <w:rPr>
                      <w:rFonts w:ascii="仿宋" w:hAnsi="仿宋" w:eastAsia="仿宋" w:cs="Arial"/>
                      <w:snapToGrid w:val="0"/>
                      <w:kern w:val="0"/>
                      <w:sz w:val="24"/>
                    </w:rPr>
                    <w:t>/SSD</w:t>
                  </w:r>
                  <w:r>
                    <w:rPr>
                      <w:rFonts w:hint="eastAsia" w:ascii="仿宋" w:hAnsi="仿宋" w:eastAsia="仿宋" w:cs="Arial"/>
                      <w:snapToGrid w:val="0"/>
                      <w:kern w:val="0"/>
                      <w:sz w:val="24"/>
                    </w:rPr>
                    <w:t>，实配7</w:t>
                  </w:r>
                  <w:r>
                    <w:rPr>
                      <w:rFonts w:ascii="仿宋" w:hAnsi="仿宋" w:eastAsia="仿宋" w:cs="Arial"/>
                      <w:snapToGrid w:val="0"/>
                      <w:kern w:val="0"/>
                      <w:sz w:val="24"/>
                    </w:rPr>
                    <w:t>*</w:t>
                  </w:r>
                  <w:r>
                    <w:rPr>
                      <w:rFonts w:hint="eastAsia" w:ascii="仿宋" w:hAnsi="仿宋" w:eastAsia="仿宋" w:cs="Arial"/>
                      <w:snapToGrid w:val="0"/>
                      <w:kern w:val="0"/>
                      <w:sz w:val="24"/>
                    </w:rPr>
                    <w:t>9</w:t>
                  </w:r>
                  <w:r>
                    <w:rPr>
                      <w:rFonts w:ascii="仿宋" w:hAnsi="仿宋" w:eastAsia="仿宋" w:cs="Arial"/>
                      <w:snapToGrid w:val="0"/>
                      <w:kern w:val="0"/>
                      <w:sz w:val="24"/>
                    </w:rPr>
                    <w:t>60GB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RAID功能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 xml:space="preserve">配置磁盘阵列控制器,支持RAID </w:t>
                  </w:r>
                  <w:r>
                    <w:rPr>
                      <w:rFonts w:ascii="仿宋" w:hAnsi="仿宋" w:eastAsia="仿宋" w:cs="Arial"/>
                      <w:snapToGrid w:val="0"/>
                      <w:kern w:val="0"/>
                      <w:sz w:val="24"/>
                    </w:rPr>
                    <w:t>0</w:t>
                  </w:r>
                  <w:r>
                    <w:rPr>
                      <w:rFonts w:hint="eastAsia" w:ascii="仿宋" w:hAnsi="仿宋" w:eastAsia="仿宋" w:cs="Arial"/>
                      <w:snapToGrid w:val="0"/>
                      <w:kern w:val="0"/>
                      <w:sz w:val="24"/>
                    </w:rPr>
                    <w:t>，</w:t>
                  </w:r>
                  <w:r>
                    <w:rPr>
                      <w:rFonts w:ascii="仿宋" w:hAnsi="仿宋" w:eastAsia="仿宋" w:cs="Arial"/>
                      <w:snapToGrid w:val="0"/>
                      <w:kern w:val="0"/>
                      <w:sz w:val="24"/>
                    </w:rPr>
                    <w:t>1</w:t>
                  </w:r>
                  <w:r>
                    <w:rPr>
                      <w:rFonts w:hint="eastAsia" w:ascii="仿宋" w:hAnsi="仿宋" w:eastAsia="仿宋" w:cs="Arial"/>
                      <w:snapToGrid w:val="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网卡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配置4个千兆以太网端口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GPU</w:t>
                  </w:r>
                  <w:r>
                    <w:rPr>
                      <w:rFonts w:hint="eastAsia" w:ascii="仿宋" w:hAnsi="仿宋" w:eastAsia="仿宋" w:cs="Arial"/>
                      <w:snapToGrid w:val="0"/>
                      <w:kern w:val="0"/>
                      <w:sz w:val="24"/>
                    </w:rPr>
                    <w:t>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最多支持2 个双宽 GPU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PCI I/O插槽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支持不少于6个PCI-E插槽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专用启动盘</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支持≥2块M.2接口SSD做专用启动盘，组硬件RAID</w:t>
                  </w:r>
                  <w:r>
                    <w:rPr>
                      <w:rFonts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冗余SD卡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支持配置冗余SD卡用于安装虚拟化系统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故障诊断</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带可编程LCD诊断显示屏，可显示默认或定制信息；支持不开机箱或前面盖直接察看面板LCD显示屏显示警告信息。支持硬件故障检测，电源、电压、风扇监控,温度监控,远程开关机,报错日志管理。 支持CPU，内存，硬盘，电源，风扇实时监控以及故障前预告警功能。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电源</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配置1+1 冗余电源</w:t>
                  </w:r>
                  <w:r>
                    <w:rPr>
                      <w:rFonts w:ascii="仿宋" w:hAnsi="仿宋" w:eastAsia="仿宋" w:cs="Arial"/>
                      <w:snapToGrid w:val="0"/>
                      <w:kern w:val="0"/>
                      <w:sz w:val="24"/>
                    </w:rPr>
                    <w:t>,</w:t>
                  </w:r>
                  <w:r>
                    <w:rPr>
                      <w:rFonts w:hint="eastAsia" w:ascii="仿宋" w:hAnsi="仿宋" w:eastAsia="仿宋" w:cs="Arial"/>
                      <w:snapToGrid w:val="0"/>
                      <w:kern w:val="0"/>
                      <w:sz w:val="24"/>
                    </w:rPr>
                    <w:t>功率</w:t>
                  </w:r>
                  <w:r>
                    <w:rPr>
                      <w:rFonts w:ascii="仿宋" w:hAnsi="仿宋" w:eastAsia="仿宋" w:cs="Arial"/>
                      <w:snapToGrid w:val="0"/>
                      <w:kern w:val="0"/>
                      <w:sz w:val="24"/>
                    </w:rPr>
                    <w:t>≥</w:t>
                  </w:r>
                  <w:r>
                    <w:rPr>
                      <w:rFonts w:hint="eastAsia" w:ascii="仿宋" w:hAnsi="仿宋" w:eastAsia="仿宋" w:cs="Arial"/>
                      <w:snapToGrid w:val="0"/>
                      <w:kern w:val="0"/>
                      <w:sz w:val="24"/>
                    </w:rPr>
                    <w:t>100</w:t>
                  </w:r>
                  <w:r>
                    <w:rPr>
                      <w:rFonts w:ascii="仿宋" w:hAnsi="仿宋" w:eastAsia="仿宋" w:cs="Arial"/>
                      <w:snapToGrid w:val="0"/>
                      <w:kern w:val="0"/>
                      <w:sz w:val="24"/>
                    </w:rPr>
                    <w:t>0</w:t>
                  </w:r>
                  <w:r>
                    <w:rPr>
                      <w:rFonts w:hint="eastAsia" w:ascii="仿宋" w:hAnsi="仿宋" w:eastAsia="仿宋" w:cs="Arial"/>
                      <w:snapToGrid w:val="0"/>
                      <w:kern w:val="0"/>
                      <w:sz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安全功能和特性</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加密签名固件，硬件根信任，安全启动，自动BIOS恢复，快速OS恢复，系统一键锁定，安全的缺省密码，配置和固件漂移检测，持久日志（包括用户形迹）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管理软件</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主机板內部集成管理软件及驱动</w:t>
                  </w:r>
                  <w:r>
                    <w:rPr>
                      <w:rFonts w:ascii="仿宋" w:hAnsi="仿宋" w:eastAsia="仿宋" w:cs="Arial"/>
                      <w:snapToGrid w:val="0"/>
                      <w:kern w:val="0"/>
                      <w:sz w:val="24"/>
                    </w:rPr>
                    <w:t>,</w:t>
                  </w:r>
                  <w:r>
                    <w:rPr>
                      <w:rFonts w:hint="eastAsia" w:ascii="仿宋" w:hAnsi="仿宋" w:eastAsia="仿宋" w:cs="Arial"/>
                      <w:snapToGrid w:val="0"/>
                      <w:kern w:val="0"/>
                      <w:sz w:val="24"/>
                    </w:rPr>
                    <w:t>可实现无需安裝软件直接管理服务器</w:t>
                  </w:r>
                  <w:r>
                    <w:rPr>
                      <w:rFonts w:ascii="仿宋" w:hAnsi="仿宋" w:eastAsia="仿宋" w:cs="Arial"/>
                      <w:snapToGrid w:val="0"/>
                      <w:kern w:val="0"/>
                      <w:sz w:val="24"/>
                    </w:rPr>
                    <w:t>,</w:t>
                  </w:r>
                  <w:r>
                    <w:rPr>
                      <w:rFonts w:hint="eastAsia" w:ascii="仿宋" w:hAnsi="仿宋" w:eastAsia="仿宋" w:cs="Arial"/>
                      <w:snapToGrid w:val="0"/>
                      <w:kern w:val="0"/>
                      <w:sz w:val="24"/>
                    </w:rPr>
                    <w:t>内置服务器驱动程序</w:t>
                  </w:r>
                  <w:r>
                    <w:rPr>
                      <w:rFonts w:ascii="仿宋" w:hAnsi="仿宋" w:eastAsia="仿宋" w:cs="Arial"/>
                      <w:snapToGrid w:val="0"/>
                      <w:kern w:val="0"/>
                      <w:sz w:val="24"/>
                    </w:rPr>
                    <w:t>,</w:t>
                  </w:r>
                  <w:r>
                    <w:rPr>
                      <w:rFonts w:hint="eastAsia" w:ascii="仿宋" w:hAnsi="仿宋" w:eastAsia="仿宋" w:cs="Arial"/>
                      <w:snapToGrid w:val="0"/>
                      <w:kern w:val="0"/>
                      <w:sz w:val="24"/>
                    </w:rPr>
                    <w:t>提供快速无盘布署和管理功能；能够通过手机和平板电脑通过</w:t>
                  </w:r>
                  <w:r>
                    <w:rPr>
                      <w:rFonts w:ascii="仿宋" w:hAnsi="仿宋" w:eastAsia="仿宋" w:cs="Arial"/>
                      <w:snapToGrid w:val="0"/>
                      <w:kern w:val="0"/>
                      <w:sz w:val="24"/>
                    </w:rPr>
                    <w:t>wifi</w:t>
                  </w:r>
                  <w:r>
                    <w:rPr>
                      <w:rFonts w:hint="eastAsia" w:ascii="仿宋" w:hAnsi="仿宋" w:eastAsia="仿宋" w:cs="Arial"/>
                      <w:snapToGrid w:val="0"/>
                      <w:kern w:val="0"/>
                      <w:sz w:val="24"/>
                    </w:rPr>
                    <w:t>和蓝牙管理服务器，可以做现场的资产清点</w:t>
                  </w:r>
                  <w:r>
                    <w:rPr>
                      <w:rFonts w:ascii="仿宋" w:hAnsi="仿宋" w:eastAsia="仿宋" w:cs="Arial"/>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导轨</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所有服务器配置导轨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第三方管理平台集成</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提供主流管理平台如VMware vCenter，Microsoft System Center，BMC Software的插件集成；能够连接常见的管理平台如Nagios &amp; Nagios XI,Oracle Enterprise Manager, HP Operations Manager,</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IBM Tivoli Netcool/OMNIbus, IBM Tivoli</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 Network Manager, CA Network and Systems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服务器管理</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1)提供服务器管理软件（正版含介质光盘）可实现服务器故障报警、批量的系统资源管理以及系统性能监控等功能；</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2）支持内置SD卡记录系统全生命周期运行日志</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3）基板管理控制器 (BMC) ，支持 IPMI 2.0；可实现与操作系统无关的远程对服务器的完全控制，包括远程的开机、关机、重启和虚拟介质等操作；如果以软件方式实现，需要提供正式许可证，无使用限制；</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4）提供</w:t>
                  </w:r>
                  <w:r>
                    <w:rPr>
                      <w:rFonts w:ascii="仿宋" w:hAnsi="仿宋" w:eastAsia="仿宋" w:cs="Arial"/>
                      <w:snapToGrid w:val="0"/>
                      <w:kern w:val="0"/>
                      <w:sz w:val="24"/>
                    </w:rPr>
                    <w:t>原厂的性能监控软件，提供对本系统连续1个月以上的性能监控分析图文报告：包含CPU、内存、读写IOPS的峰值、吞吐量、读写比例，以及延迟、队列等性能数据，同时能提供所连接服务器的总核心数、以及CPU的峰值和最低值；并提供优化方案。必须在应答书里描述如何实现并提供详细的报告样本实例（报告需为中文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操作</w:t>
                  </w:r>
                  <w:r>
                    <w:rPr>
                      <w:rFonts w:ascii="仿宋" w:hAnsi="仿宋" w:eastAsia="仿宋" w:cs="Arial"/>
                      <w:snapToGrid w:val="0"/>
                      <w:kern w:val="0"/>
                      <w:sz w:val="24"/>
                    </w:rPr>
                    <w:t>系统</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原厂服务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提供原厂安装服务，提供原生产厂商3年专业支持服务和关键任务: (7x24) 4小时上门服务，3年硬盘不返还服务。签订合同前提供设备原厂商针对本项目的唯一授权函原件和3年原厂唯一免费质保服务函原件。</w:t>
                  </w:r>
                </w:p>
              </w:tc>
            </w:tr>
          </w:tbl>
          <w:p>
            <w:pPr>
              <w:spacing w:line="360" w:lineRule="auto"/>
              <w:jc w:val="left"/>
              <w:rPr>
                <w:rFonts w:hint="eastAsia" w:ascii="仿宋" w:hAnsi="仿宋" w:eastAsia="仿宋" w:cs="Arial"/>
                <w:snapToGrid w:val="0"/>
                <w:kern w:val="0"/>
                <w:sz w:val="24"/>
              </w:rPr>
            </w:pPr>
          </w:p>
        </w:tc>
        <w:tc>
          <w:tcPr>
            <w:tcW w:w="46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7</w:t>
            </w:r>
            <w:r>
              <w:rPr>
                <w:rFonts w:ascii="仿宋" w:hAnsi="仿宋" w:eastAsia="仿宋" w:cs="Arial"/>
                <w:snapToGrid w:val="0"/>
                <w:kern w:val="0"/>
                <w:sz w:val="24"/>
              </w:rPr>
              <w:t>3</w:t>
            </w:r>
          </w:p>
        </w:tc>
        <w:tc>
          <w:tcPr>
            <w:tcW w:w="127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应用服务器</w:t>
            </w:r>
          </w:p>
        </w:tc>
        <w:tc>
          <w:tcPr>
            <w:tcW w:w="5422" w:type="dxa"/>
            <w:noWrap w:val="0"/>
            <w:vAlign w:val="center"/>
          </w:tcPr>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品牌及制造厂商</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国际知名品牌,2018年X86服务器出货量IDC报告全球前三。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规格</w:t>
                  </w:r>
                </w:p>
              </w:tc>
              <w:tc>
                <w:tcPr>
                  <w:tcW w:w="4186"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处理器</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配置2颗至强</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 银牌 </w:t>
                  </w:r>
                  <w:r>
                    <w:rPr>
                      <w:rFonts w:ascii="仿宋" w:hAnsi="仿宋" w:eastAsia="仿宋" w:cs="Arial"/>
                      <w:snapToGrid w:val="0"/>
                      <w:kern w:val="0"/>
                      <w:sz w:val="24"/>
                    </w:rPr>
                    <w:t>4110 2.1</w:t>
                  </w:r>
                  <w:r>
                    <w:rPr>
                      <w:rFonts w:hint="eastAsia" w:ascii="仿宋" w:hAnsi="仿宋" w:eastAsia="仿宋" w:cs="Arial"/>
                      <w:snapToGrid w:val="0"/>
                      <w:kern w:val="0"/>
                      <w:sz w:val="24"/>
                    </w:rPr>
                    <w:t xml:space="preserve">G, </w:t>
                  </w:r>
                  <w:r>
                    <w:rPr>
                      <w:rFonts w:ascii="仿宋" w:hAnsi="仿宋" w:eastAsia="仿宋" w:cs="Arial"/>
                      <w:snapToGrid w:val="0"/>
                      <w:kern w:val="0"/>
                      <w:sz w:val="24"/>
                    </w:rPr>
                    <w:t>8</w:t>
                  </w:r>
                  <w:r>
                    <w:rPr>
                      <w:rFonts w:hint="eastAsia" w:ascii="仿宋" w:hAnsi="仿宋" w:eastAsia="仿宋" w:cs="Arial"/>
                      <w:snapToGrid w:val="0"/>
                      <w:kern w:val="0"/>
                      <w:sz w:val="24"/>
                    </w:rPr>
                    <w:t>C或以上处理器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内存</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配置32GB*2内存；支持</w:t>
                  </w:r>
                  <w:r>
                    <w:rPr>
                      <w:rFonts w:ascii="仿宋" w:hAnsi="仿宋" w:eastAsia="仿宋" w:cs="Arial"/>
                      <w:snapToGrid w:val="0"/>
                      <w:kern w:val="0"/>
                      <w:sz w:val="24"/>
                    </w:rPr>
                    <w:t>≥</w:t>
                  </w:r>
                  <w:r>
                    <w:rPr>
                      <w:rFonts w:hint="eastAsia" w:ascii="仿宋" w:hAnsi="仿宋" w:eastAsia="仿宋" w:cs="Arial"/>
                      <w:snapToGrid w:val="0"/>
                      <w:kern w:val="0"/>
                      <w:sz w:val="24"/>
                    </w:rPr>
                    <w:t>24个内存插槽,内存总容量不少于3TB，实现四位纠错、内存镜像、内存冗余位校验等技术,频率</w:t>
                  </w:r>
                  <w:r>
                    <w:rPr>
                      <w:rFonts w:ascii="仿宋" w:hAnsi="仿宋" w:eastAsia="仿宋" w:cs="Arial"/>
                      <w:snapToGrid w:val="0"/>
                      <w:kern w:val="0"/>
                      <w:sz w:val="24"/>
                    </w:rPr>
                    <w:t>≥2666MT/s</w:t>
                  </w:r>
                  <w:r>
                    <w:rPr>
                      <w:rFonts w:hint="eastAsia" w:ascii="仿宋" w:hAnsi="仿宋" w:eastAsia="仿宋" w:cs="Arial"/>
                      <w:snapToGrid w:val="0"/>
                      <w:kern w:val="0"/>
                      <w:sz w:val="24"/>
                    </w:rPr>
                    <w:t>；支持R</w:t>
                  </w:r>
                  <w:r>
                    <w:rPr>
                      <w:rFonts w:ascii="仿宋" w:hAnsi="仿宋" w:eastAsia="仿宋" w:cs="Arial"/>
                      <w:snapToGrid w:val="0"/>
                      <w:kern w:val="0"/>
                      <w:sz w:val="24"/>
                    </w:rPr>
                    <w:t>DIMM,LRDIMM,NVDIMM</w:t>
                  </w:r>
                  <w:r>
                    <w:rPr>
                      <w:rFonts w:hint="eastAsia" w:ascii="仿宋" w:hAnsi="仿宋" w:eastAsia="仿宋" w:cs="Arial"/>
                      <w:snapToGrid w:val="0"/>
                      <w:kern w:val="0"/>
                      <w:sz w:val="24"/>
                    </w:rPr>
                    <w:t>，官网截图证明。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硬盘</w:t>
                  </w:r>
                </w:p>
              </w:tc>
              <w:tc>
                <w:tcPr>
                  <w:tcW w:w="4186" w:type="dxa"/>
                  <w:noWrap w:val="0"/>
                  <w:vAlign w:val="top"/>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最多</w:t>
                  </w:r>
                  <w:r>
                    <w:rPr>
                      <w:rFonts w:hint="eastAsia" w:ascii="仿宋" w:hAnsi="仿宋" w:eastAsia="仿宋" w:cs="Arial"/>
                      <w:snapToGrid w:val="0"/>
                      <w:kern w:val="0"/>
                      <w:sz w:val="24"/>
                    </w:rPr>
                    <w:t>16 个 2.5 英寸 SAS/SATA HDD</w:t>
                  </w:r>
                  <w:r>
                    <w:rPr>
                      <w:rFonts w:ascii="仿宋" w:hAnsi="仿宋" w:eastAsia="仿宋" w:cs="Arial"/>
                      <w:snapToGrid w:val="0"/>
                      <w:kern w:val="0"/>
                      <w:sz w:val="24"/>
                    </w:rPr>
                    <w:t>/SSD</w:t>
                  </w:r>
                  <w:r>
                    <w:rPr>
                      <w:rFonts w:hint="eastAsia" w:ascii="仿宋" w:hAnsi="仿宋" w:eastAsia="仿宋" w:cs="Arial"/>
                      <w:snapToGrid w:val="0"/>
                      <w:kern w:val="0"/>
                      <w:sz w:val="24"/>
                    </w:rPr>
                    <w:t>，实配3</w:t>
                  </w:r>
                  <w:r>
                    <w:rPr>
                      <w:rFonts w:ascii="仿宋" w:hAnsi="仿宋" w:eastAsia="仿宋" w:cs="Arial"/>
                      <w:snapToGrid w:val="0"/>
                      <w:kern w:val="0"/>
                      <w:sz w:val="24"/>
                    </w:rPr>
                    <w:t>*12</w:t>
                  </w:r>
                  <w:r>
                    <w:rPr>
                      <w:rFonts w:hint="eastAsia" w:ascii="仿宋" w:hAnsi="仿宋" w:eastAsia="仿宋" w:cs="Arial"/>
                      <w:snapToGrid w:val="0"/>
                      <w:kern w:val="0"/>
                      <w:sz w:val="24"/>
                    </w:rPr>
                    <w:t>0</w:t>
                  </w:r>
                  <w:r>
                    <w:rPr>
                      <w:rFonts w:ascii="仿宋" w:hAnsi="仿宋" w:eastAsia="仿宋" w:cs="Arial"/>
                      <w:snapToGrid w:val="0"/>
                      <w:kern w:val="0"/>
                      <w:sz w:val="24"/>
                    </w:rPr>
                    <w:t xml:space="preserve">0G </w:t>
                  </w:r>
                  <w:r>
                    <w:rPr>
                      <w:rFonts w:hint="eastAsia" w:ascii="仿宋" w:hAnsi="仿宋" w:eastAsia="仿宋" w:cs="Arial"/>
                      <w:snapToGrid w:val="0"/>
                      <w:kern w:val="0"/>
                      <w:sz w:val="24"/>
                    </w:rPr>
                    <w:t>10</w:t>
                  </w:r>
                  <w:r>
                    <w:rPr>
                      <w:rFonts w:ascii="仿宋" w:hAnsi="仿宋" w:eastAsia="仿宋" w:cs="Arial"/>
                      <w:snapToGrid w:val="0"/>
                      <w:kern w:val="0"/>
                      <w:sz w:val="24"/>
                    </w:rPr>
                    <w:t>K</w:t>
                  </w:r>
                  <w:r>
                    <w:rPr>
                      <w:rFonts w:hint="eastAsia" w:ascii="仿宋" w:hAnsi="仿宋" w:eastAsia="仿宋" w:cs="Arial"/>
                      <w:snapToGrid w:val="0"/>
                      <w:kern w:val="0"/>
                      <w:sz w:val="24"/>
                    </w:rPr>
                    <w:t xml:space="preserve"> 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RAID功能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 xml:space="preserve">配置磁盘阵列控制器,支持RAID </w:t>
                  </w:r>
                  <w:r>
                    <w:rPr>
                      <w:rFonts w:ascii="仿宋" w:hAnsi="仿宋" w:eastAsia="仿宋" w:cs="Arial"/>
                      <w:snapToGrid w:val="0"/>
                      <w:kern w:val="0"/>
                      <w:sz w:val="24"/>
                    </w:rPr>
                    <w:t>0</w:t>
                  </w:r>
                  <w:r>
                    <w:rPr>
                      <w:rFonts w:hint="eastAsia" w:ascii="仿宋" w:hAnsi="仿宋" w:eastAsia="仿宋" w:cs="Arial"/>
                      <w:snapToGrid w:val="0"/>
                      <w:kern w:val="0"/>
                      <w:sz w:val="24"/>
                    </w:rPr>
                    <w:t>，</w:t>
                  </w:r>
                  <w:r>
                    <w:rPr>
                      <w:rFonts w:ascii="仿宋" w:hAnsi="仿宋" w:eastAsia="仿宋" w:cs="Arial"/>
                      <w:snapToGrid w:val="0"/>
                      <w:kern w:val="0"/>
                      <w:sz w:val="24"/>
                    </w:rPr>
                    <w:t>1</w:t>
                  </w:r>
                  <w:r>
                    <w:rPr>
                      <w:rFonts w:hint="eastAsia" w:ascii="仿宋" w:hAnsi="仿宋" w:eastAsia="仿宋" w:cs="Arial"/>
                      <w:snapToGrid w:val="0"/>
                      <w:kern w:val="0"/>
                      <w:sz w:val="24"/>
                    </w:rPr>
                    <w:t>，5，10，6，配置2</w:t>
                  </w:r>
                  <w:r>
                    <w:rPr>
                      <w:rFonts w:ascii="仿宋" w:hAnsi="仿宋" w:eastAsia="仿宋" w:cs="Arial"/>
                      <w:snapToGrid w:val="0"/>
                      <w:kern w:val="0"/>
                      <w:sz w:val="24"/>
                    </w:rPr>
                    <w:t>GB</w:t>
                  </w:r>
                  <w:r>
                    <w:rPr>
                      <w:rFonts w:hint="eastAsia" w:ascii="仿宋" w:hAnsi="仿宋" w:eastAsia="仿宋" w:cs="Arial"/>
                      <w:snapToGrid w:val="0"/>
                      <w:kern w:val="0"/>
                      <w:sz w:val="24"/>
                    </w:rPr>
                    <w:t>缓存，缓存可选</w:t>
                  </w:r>
                  <w:r>
                    <w:rPr>
                      <w:rFonts w:ascii="仿宋" w:hAnsi="仿宋" w:eastAsia="仿宋" w:cs="Arial"/>
                      <w:snapToGrid w:val="0"/>
                      <w:kern w:val="0"/>
                      <w:sz w:val="24"/>
                    </w:rPr>
                    <w:t>6</w:t>
                  </w:r>
                  <w:r>
                    <w:rPr>
                      <w:rFonts w:hint="eastAsia" w:ascii="仿宋" w:hAnsi="仿宋" w:eastAsia="仿宋" w:cs="Arial"/>
                      <w:snapToGrid w:val="0"/>
                      <w:kern w:val="0"/>
                      <w:sz w:val="24"/>
                    </w:rPr>
                    <w:t>G</w:t>
                  </w:r>
                  <w:r>
                    <w:rPr>
                      <w:rFonts w:ascii="仿宋" w:hAnsi="仿宋" w:eastAsia="仿宋" w:cs="Arial"/>
                      <w:snapToGrid w:val="0"/>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网卡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配置4个千兆以太网端口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GPU</w:t>
                  </w:r>
                  <w:r>
                    <w:rPr>
                      <w:rFonts w:hint="eastAsia" w:ascii="仿宋" w:hAnsi="仿宋" w:eastAsia="仿宋" w:cs="Arial"/>
                      <w:snapToGrid w:val="0"/>
                      <w:kern w:val="0"/>
                      <w:sz w:val="24"/>
                    </w:rPr>
                    <w:t>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最多支持 3 个双宽 GPU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PCI I/O插槽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支持不少于8个PCI-E插槽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专用启动盘</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支持≥2块M.2接口SSD做专用启动盘，组硬件RAID</w:t>
                  </w:r>
                  <w:r>
                    <w:rPr>
                      <w:rFonts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冗余SD卡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支持配置冗余SD卡用于安装虚拟化系统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故障诊断</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带可编程LCD诊断显示屏，可显示默认或定制信息；支持不开机箱或前面盖直接察看面板LCD显示屏显示警告信息。支持硬件故障检测，电源、电压、风扇监控,温度监控,远程开关机,报错日志管理。 支持CPU，内存，硬盘，电源，风扇实时监控以及故障前预告警功能。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电源</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配置1+1 冗余电源</w:t>
                  </w:r>
                  <w:r>
                    <w:rPr>
                      <w:rFonts w:ascii="仿宋" w:hAnsi="仿宋" w:eastAsia="仿宋" w:cs="Arial"/>
                      <w:snapToGrid w:val="0"/>
                      <w:kern w:val="0"/>
                      <w:sz w:val="24"/>
                    </w:rPr>
                    <w:t>,</w:t>
                  </w:r>
                  <w:r>
                    <w:rPr>
                      <w:rFonts w:hint="eastAsia" w:ascii="仿宋" w:hAnsi="仿宋" w:eastAsia="仿宋" w:cs="Arial"/>
                      <w:snapToGrid w:val="0"/>
                      <w:kern w:val="0"/>
                      <w:sz w:val="24"/>
                    </w:rPr>
                    <w:t>功率</w:t>
                  </w:r>
                  <w:r>
                    <w:rPr>
                      <w:rFonts w:ascii="仿宋" w:hAnsi="仿宋" w:eastAsia="仿宋" w:cs="Arial"/>
                      <w:snapToGrid w:val="0"/>
                      <w:kern w:val="0"/>
                      <w:sz w:val="24"/>
                    </w:rPr>
                    <w:t>≥750</w:t>
                  </w:r>
                  <w:r>
                    <w:rPr>
                      <w:rFonts w:hint="eastAsia" w:ascii="仿宋" w:hAnsi="仿宋" w:eastAsia="仿宋" w:cs="Arial"/>
                      <w:snapToGrid w:val="0"/>
                      <w:kern w:val="0"/>
                      <w:sz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安全功能和特性</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加密签名固件，硬件根信任，安全启动，自动BIOS恢复，快速OS恢复，系统一键锁定，安全的缺省密码，配置和固件漂移检测，持久日志（包括用户形迹）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导轨</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所有服务器配置导轨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管理软件</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主机板內部集成管理软件及驱动</w:t>
                  </w:r>
                  <w:r>
                    <w:rPr>
                      <w:rFonts w:ascii="仿宋" w:hAnsi="仿宋" w:eastAsia="仿宋" w:cs="Arial"/>
                      <w:snapToGrid w:val="0"/>
                      <w:kern w:val="0"/>
                      <w:sz w:val="24"/>
                    </w:rPr>
                    <w:t>,</w:t>
                  </w:r>
                  <w:r>
                    <w:rPr>
                      <w:rFonts w:hint="eastAsia" w:ascii="仿宋" w:hAnsi="仿宋" w:eastAsia="仿宋" w:cs="Arial"/>
                      <w:snapToGrid w:val="0"/>
                      <w:kern w:val="0"/>
                      <w:sz w:val="24"/>
                    </w:rPr>
                    <w:t>可实现无需安裝软件直接管理服务器</w:t>
                  </w:r>
                  <w:r>
                    <w:rPr>
                      <w:rFonts w:ascii="仿宋" w:hAnsi="仿宋" w:eastAsia="仿宋" w:cs="Arial"/>
                      <w:snapToGrid w:val="0"/>
                      <w:kern w:val="0"/>
                      <w:sz w:val="24"/>
                    </w:rPr>
                    <w:t>,</w:t>
                  </w:r>
                  <w:r>
                    <w:rPr>
                      <w:rFonts w:hint="eastAsia" w:ascii="仿宋" w:hAnsi="仿宋" w:eastAsia="仿宋" w:cs="Arial"/>
                      <w:snapToGrid w:val="0"/>
                      <w:kern w:val="0"/>
                      <w:sz w:val="24"/>
                    </w:rPr>
                    <w:t>内置服务器驱动程序</w:t>
                  </w:r>
                  <w:r>
                    <w:rPr>
                      <w:rFonts w:ascii="仿宋" w:hAnsi="仿宋" w:eastAsia="仿宋" w:cs="Arial"/>
                      <w:snapToGrid w:val="0"/>
                      <w:kern w:val="0"/>
                      <w:sz w:val="24"/>
                    </w:rPr>
                    <w:t>,</w:t>
                  </w:r>
                  <w:r>
                    <w:rPr>
                      <w:rFonts w:hint="eastAsia" w:ascii="仿宋" w:hAnsi="仿宋" w:eastAsia="仿宋" w:cs="Arial"/>
                      <w:snapToGrid w:val="0"/>
                      <w:kern w:val="0"/>
                      <w:sz w:val="24"/>
                    </w:rPr>
                    <w:t>提供快速无盘布署和管理功能；能够通过手机和平板电脑通过</w:t>
                  </w:r>
                  <w:r>
                    <w:rPr>
                      <w:rFonts w:ascii="仿宋" w:hAnsi="仿宋" w:eastAsia="仿宋" w:cs="Arial"/>
                      <w:snapToGrid w:val="0"/>
                      <w:kern w:val="0"/>
                      <w:sz w:val="24"/>
                    </w:rPr>
                    <w:t>wifi</w:t>
                  </w:r>
                  <w:r>
                    <w:rPr>
                      <w:rFonts w:hint="eastAsia" w:ascii="仿宋" w:hAnsi="仿宋" w:eastAsia="仿宋" w:cs="Arial"/>
                      <w:snapToGrid w:val="0"/>
                      <w:kern w:val="0"/>
                      <w:sz w:val="24"/>
                    </w:rPr>
                    <w:t>和蓝牙管理服务器，可以做现场的资产清点</w:t>
                  </w:r>
                  <w:r>
                    <w:rPr>
                      <w:rFonts w:ascii="仿宋" w:hAnsi="仿宋" w:eastAsia="仿宋" w:cs="Arial"/>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第三方管理平台集成</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提供主流管理平台如VMware vCenter，Microsoft System Center，BMC Software的插件集成；能够连接常见的管理平台如Nagios &amp; Nagios XI,Oracle Enterprise Manager, HP Operations Manager,</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IBM Tivoli Netcool/OMNIbus, IBM Tivoli</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 Network Manager, CA Network and Systems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服务器管理</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1)提供服务器管理软件（正版含介质光盘）可实现服务器故障报警、批量的系统资源管理以及系统性能监控等功能；</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2）支持内置SD卡记录系统全生命周期运行日志</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3）基板管理控制器 (BMC) ，支持 IPMI 2.0；可实现与操作系统无关的远程对服务器的完全控制，包括远程的开机、关机、重启和虚拟介质等操作；如果以软件方式实现，需要提供正式许可证，无使用限制；</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4）提供</w:t>
                  </w:r>
                  <w:r>
                    <w:rPr>
                      <w:rFonts w:ascii="仿宋" w:hAnsi="仿宋" w:eastAsia="仿宋" w:cs="Arial"/>
                      <w:snapToGrid w:val="0"/>
                      <w:kern w:val="0"/>
                      <w:sz w:val="24"/>
                    </w:rPr>
                    <w:t>原厂的性能监控软件，提供对本系统连续1个月以上的性能监控分析图文报告：包含CPU、内存、读写IOPS的峰值、吞吐量、读写比例，以及延迟、队列等性能数据，同时能提供所连接服务器的总核心数、以及CPU的峰值和最低值；并提供优化方案。必须在应答书里描述如何实现并提供详细的报告样本实例（报告需为中文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操作</w:t>
                  </w:r>
                  <w:r>
                    <w:rPr>
                      <w:rFonts w:ascii="仿宋" w:hAnsi="仿宋" w:eastAsia="仿宋" w:cs="Arial"/>
                      <w:snapToGrid w:val="0"/>
                      <w:kern w:val="0"/>
                      <w:sz w:val="24"/>
                    </w:rPr>
                    <w:t>系统</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原厂服务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提供原厂安装服务，提供原生产厂商3年专业支持服务和关键任务: (7x24) 4小时上门服务，3年硬盘不返还服务。签订合同前提供设备原厂商针对本项目的唯一授权函原件和3年原厂免费质保服务函原件。</w:t>
                  </w:r>
                </w:p>
              </w:tc>
            </w:tr>
          </w:tbl>
          <w:p>
            <w:pPr>
              <w:spacing w:line="360" w:lineRule="auto"/>
              <w:jc w:val="left"/>
              <w:rPr>
                <w:rFonts w:hint="eastAsia" w:ascii="仿宋" w:hAnsi="仿宋" w:eastAsia="仿宋" w:cs="Arial"/>
                <w:snapToGrid w:val="0"/>
                <w:kern w:val="0"/>
                <w:sz w:val="24"/>
              </w:rPr>
            </w:pPr>
          </w:p>
        </w:tc>
        <w:tc>
          <w:tcPr>
            <w:tcW w:w="46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463" w:type="dxa"/>
            <w:shd w:val="clear" w:color="000000" w:fill="FFFFFF"/>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74</w:t>
            </w:r>
          </w:p>
        </w:tc>
        <w:tc>
          <w:tcPr>
            <w:tcW w:w="1271"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数据库服务器</w:t>
            </w:r>
          </w:p>
        </w:tc>
        <w:tc>
          <w:tcPr>
            <w:tcW w:w="5422" w:type="dxa"/>
            <w:noWrap w:val="0"/>
            <w:vAlign w:val="center"/>
          </w:tcPr>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9"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品牌及制造厂商</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国际知名品牌,2018年X86服务器出货量IDC报告全球前三。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规格</w:t>
                  </w:r>
                </w:p>
              </w:tc>
              <w:tc>
                <w:tcPr>
                  <w:tcW w:w="4186" w:type="dxa"/>
                  <w:noWrap w:val="0"/>
                  <w:vAlign w:val="top"/>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处理器</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配置2颗至强</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银牌银牌 </w:t>
                  </w:r>
                  <w:r>
                    <w:rPr>
                      <w:rFonts w:ascii="仿宋" w:hAnsi="仿宋" w:eastAsia="仿宋" w:cs="Arial"/>
                      <w:snapToGrid w:val="0"/>
                      <w:kern w:val="0"/>
                      <w:sz w:val="24"/>
                    </w:rPr>
                    <w:t>4110 2.1</w:t>
                  </w:r>
                  <w:r>
                    <w:rPr>
                      <w:rFonts w:hint="eastAsia" w:ascii="仿宋" w:hAnsi="仿宋" w:eastAsia="仿宋" w:cs="Arial"/>
                      <w:snapToGrid w:val="0"/>
                      <w:kern w:val="0"/>
                      <w:sz w:val="24"/>
                    </w:rPr>
                    <w:t xml:space="preserve">G, </w:t>
                  </w:r>
                  <w:r>
                    <w:rPr>
                      <w:rFonts w:ascii="仿宋" w:hAnsi="仿宋" w:eastAsia="仿宋" w:cs="Arial"/>
                      <w:snapToGrid w:val="0"/>
                      <w:kern w:val="0"/>
                      <w:sz w:val="24"/>
                    </w:rPr>
                    <w:t>8</w:t>
                  </w:r>
                  <w:r>
                    <w:rPr>
                      <w:rFonts w:hint="eastAsia" w:ascii="仿宋" w:hAnsi="仿宋" w:eastAsia="仿宋" w:cs="Arial"/>
                      <w:snapToGrid w:val="0"/>
                      <w:kern w:val="0"/>
                      <w:sz w:val="24"/>
                    </w:rPr>
                    <w:t>C或以上处理器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内存</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配置32GB*2内存；支持</w:t>
                  </w:r>
                  <w:r>
                    <w:rPr>
                      <w:rFonts w:ascii="仿宋" w:hAnsi="仿宋" w:eastAsia="仿宋" w:cs="Arial"/>
                      <w:snapToGrid w:val="0"/>
                      <w:kern w:val="0"/>
                      <w:sz w:val="24"/>
                    </w:rPr>
                    <w:t>≥</w:t>
                  </w:r>
                  <w:r>
                    <w:rPr>
                      <w:rFonts w:hint="eastAsia" w:ascii="仿宋" w:hAnsi="仿宋" w:eastAsia="仿宋" w:cs="Arial"/>
                      <w:snapToGrid w:val="0"/>
                      <w:kern w:val="0"/>
                      <w:sz w:val="24"/>
                    </w:rPr>
                    <w:t>24个内存插槽,内存总容量不少于3TB，实现四位纠错、内存镜像、内存冗余位校验等技术,频率</w:t>
                  </w:r>
                  <w:r>
                    <w:rPr>
                      <w:rFonts w:ascii="仿宋" w:hAnsi="仿宋" w:eastAsia="仿宋" w:cs="Arial"/>
                      <w:snapToGrid w:val="0"/>
                      <w:kern w:val="0"/>
                      <w:sz w:val="24"/>
                    </w:rPr>
                    <w:t>≥2666MT/s</w:t>
                  </w:r>
                  <w:r>
                    <w:rPr>
                      <w:rFonts w:hint="eastAsia" w:ascii="仿宋" w:hAnsi="仿宋" w:eastAsia="仿宋" w:cs="Arial"/>
                      <w:snapToGrid w:val="0"/>
                      <w:kern w:val="0"/>
                      <w:sz w:val="24"/>
                    </w:rPr>
                    <w:t>；支持R</w:t>
                  </w:r>
                  <w:r>
                    <w:rPr>
                      <w:rFonts w:ascii="仿宋" w:hAnsi="仿宋" w:eastAsia="仿宋" w:cs="Arial"/>
                      <w:snapToGrid w:val="0"/>
                      <w:kern w:val="0"/>
                      <w:sz w:val="24"/>
                    </w:rPr>
                    <w:t>DIMM,LRDIMM,NVDIMM</w:t>
                  </w:r>
                  <w:r>
                    <w:rPr>
                      <w:rFonts w:hint="eastAsia" w:ascii="仿宋" w:hAnsi="仿宋" w:eastAsia="仿宋" w:cs="Arial"/>
                      <w:snapToGrid w:val="0"/>
                      <w:kern w:val="0"/>
                      <w:sz w:val="24"/>
                    </w:rPr>
                    <w:t>，官网截图证明。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硬盘</w:t>
                  </w:r>
                </w:p>
              </w:tc>
              <w:tc>
                <w:tcPr>
                  <w:tcW w:w="4186" w:type="dxa"/>
                  <w:noWrap w:val="0"/>
                  <w:vAlign w:val="top"/>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最多</w:t>
                  </w:r>
                  <w:r>
                    <w:rPr>
                      <w:rFonts w:hint="eastAsia" w:ascii="仿宋" w:hAnsi="仿宋" w:eastAsia="仿宋" w:cs="Arial"/>
                      <w:snapToGrid w:val="0"/>
                      <w:kern w:val="0"/>
                      <w:sz w:val="24"/>
                    </w:rPr>
                    <w:t>16 个 2.5 英寸 SAS/SATA HDD</w:t>
                  </w:r>
                  <w:r>
                    <w:rPr>
                      <w:rFonts w:ascii="仿宋" w:hAnsi="仿宋" w:eastAsia="仿宋" w:cs="Arial"/>
                      <w:snapToGrid w:val="0"/>
                      <w:kern w:val="0"/>
                      <w:sz w:val="24"/>
                    </w:rPr>
                    <w:t>/SSD</w:t>
                  </w:r>
                  <w:r>
                    <w:rPr>
                      <w:rFonts w:hint="eastAsia" w:ascii="仿宋" w:hAnsi="仿宋" w:eastAsia="仿宋" w:cs="Arial"/>
                      <w:snapToGrid w:val="0"/>
                      <w:kern w:val="0"/>
                      <w:sz w:val="24"/>
                    </w:rPr>
                    <w:t>，实配3</w:t>
                  </w:r>
                  <w:r>
                    <w:rPr>
                      <w:rFonts w:ascii="仿宋" w:hAnsi="仿宋" w:eastAsia="仿宋" w:cs="Arial"/>
                      <w:snapToGrid w:val="0"/>
                      <w:kern w:val="0"/>
                      <w:sz w:val="24"/>
                    </w:rPr>
                    <w:t>*12</w:t>
                  </w:r>
                  <w:r>
                    <w:rPr>
                      <w:rFonts w:hint="eastAsia" w:ascii="仿宋" w:hAnsi="仿宋" w:eastAsia="仿宋" w:cs="Arial"/>
                      <w:snapToGrid w:val="0"/>
                      <w:kern w:val="0"/>
                      <w:sz w:val="24"/>
                    </w:rPr>
                    <w:t>0</w:t>
                  </w:r>
                  <w:r>
                    <w:rPr>
                      <w:rFonts w:ascii="仿宋" w:hAnsi="仿宋" w:eastAsia="仿宋" w:cs="Arial"/>
                      <w:snapToGrid w:val="0"/>
                      <w:kern w:val="0"/>
                      <w:sz w:val="24"/>
                    </w:rPr>
                    <w:t xml:space="preserve">0G </w:t>
                  </w:r>
                  <w:r>
                    <w:rPr>
                      <w:rFonts w:hint="eastAsia" w:ascii="仿宋" w:hAnsi="仿宋" w:eastAsia="仿宋" w:cs="Arial"/>
                      <w:snapToGrid w:val="0"/>
                      <w:kern w:val="0"/>
                      <w:sz w:val="24"/>
                    </w:rPr>
                    <w:t>10</w:t>
                  </w:r>
                  <w:r>
                    <w:rPr>
                      <w:rFonts w:ascii="仿宋" w:hAnsi="仿宋" w:eastAsia="仿宋" w:cs="Arial"/>
                      <w:snapToGrid w:val="0"/>
                      <w:kern w:val="0"/>
                      <w:sz w:val="24"/>
                    </w:rPr>
                    <w:t>K</w:t>
                  </w:r>
                  <w:r>
                    <w:rPr>
                      <w:rFonts w:hint="eastAsia" w:ascii="仿宋" w:hAnsi="仿宋" w:eastAsia="仿宋" w:cs="Arial"/>
                      <w:snapToGrid w:val="0"/>
                      <w:kern w:val="0"/>
                      <w:sz w:val="24"/>
                    </w:rPr>
                    <w:t xml:space="preserve"> SAS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RAID功能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 xml:space="preserve">配置磁盘阵列控制器,支持RAID </w:t>
                  </w:r>
                  <w:r>
                    <w:rPr>
                      <w:rFonts w:ascii="仿宋" w:hAnsi="仿宋" w:eastAsia="仿宋" w:cs="Arial"/>
                      <w:snapToGrid w:val="0"/>
                      <w:kern w:val="0"/>
                      <w:sz w:val="24"/>
                    </w:rPr>
                    <w:t>0</w:t>
                  </w:r>
                  <w:r>
                    <w:rPr>
                      <w:rFonts w:hint="eastAsia" w:ascii="仿宋" w:hAnsi="仿宋" w:eastAsia="仿宋" w:cs="Arial"/>
                      <w:snapToGrid w:val="0"/>
                      <w:kern w:val="0"/>
                      <w:sz w:val="24"/>
                    </w:rPr>
                    <w:t>，</w:t>
                  </w:r>
                  <w:r>
                    <w:rPr>
                      <w:rFonts w:ascii="仿宋" w:hAnsi="仿宋" w:eastAsia="仿宋" w:cs="Arial"/>
                      <w:snapToGrid w:val="0"/>
                      <w:kern w:val="0"/>
                      <w:sz w:val="24"/>
                    </w:rPr>
                    <w:t>1</w:t>
                  </w:r>
                  <w:r>
                    <w:rPr>
                      <w:rFonts w:hint="eastAsia" w:ascii="仿宋" w:hAnsi="仿宋" w:eastAsia="仿宋" w:cs="Arial"/>
                      <w:snapToGrid w:val="0"/>
                      <w:kern w:val="0"/>
                      <w:sz w:val="24"/>
                    </w:rPr>
                    <w:t>，5，10，6，配置2</w:t>
                  </w:r>
                  <w:r>
                    <w:rPr>
                      <w:rFonts w:ascii="仿宋" w:hAnsi="仿宋" w:eastAsia="仿宋" w:cs="Arial"/>
                      <w:snapToGrid w:val="0"/>
                      <w:kern w:val="0"/>
                      <w:sz w:val="24"/>
                    </w:rPr>
                    <w:t>GB</w:t>
                  </w:r>
                  <w:r>
                    <w:rPr>
                      <w:rFonts w:hint="eastAsia" w:ascii="仿宋" w:hAnsi="仿宋" w:eastAsia="仿宋" w:cs="Arial"/>
                      <w:snapToGrid w:val="0"/>
                      <w:kern w:val="0"/>
                      <w:sz w:val="24"/>
                    </w:rPr>
                    <w:t>缓存，缓存可选</w:t>
                  </w:r>
                  <w:r>
                    <w:rPr>
                      <w:rFonts w:ascii="仿宋" w:hAnsi="仿宋" w:eastAsia="仿宋" w:cs="Arial"/>
                      <w:snapToGrid w:val="0"/>
                      <w:kern w:val="0"/>
                      <w:sz w:val="24"/>
                    </w:rPr>
                    <w:t>6</w:t>
                  </w:r>
                  <w:r>
                    <w:rPr>
                      <w:rFonts w:hint="eastAsia" w:ascii="仿宋" w:hAnsi="仿宋" w:eastAsia="仿宋" w:cs="Arial"/>
                      <w:snapToGrid w:val="0"/>
                      <w:kern w:val="0"/>
                      <w:sz w:val="24"/>
                    </w:rPr>
                    <w:t>G</w:t>
                  </w:r>
                  <w:r>
                    <w:rPr>
                      <w:rFonts w:ascii="仿宋" w:hAnsi="仿宋" w:eastAsia="仿宋" w:cs="Arial"/>
                      <w:snapToGrid w:val="0"/>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网卡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配置4个千兆以太网端口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bottom"/>
                </w:tcPr>
                <w:p>
                  <w:pPr>
                    <w:spacing w:line="360" w:lineRule="auto"/>
                    <w:jc w:val="left"/>
                    <w:rPr>
                      <w:rFonts w:ascii="仿宋" w:hAnsi="仿宋" w:eastAsia="仿宋" w:cs="Arial"/>
                      <w:snapToGrid w:val="0"/>
                      <w:kern w:val="0"/>
                      <w:sz w:val="24"/>
                    </w:rPr>
                  </w:pPr>
                  <w:r>
                    <w:rPr>
                      <w:rFonts w:ascii="仿宋" w:hAnsi="仿宋" w:eastAsia="仿宋" w:cs="Arial"/>
                      <w:snapToGrid w:val="0"/>
                      <w:kern w:val="0"/>
                      <w:sz w:val="24"/>
                    </w:rPr>
                    <w:t>GPU</w:t>
                  </w:r>
                  <w:r>
                    <w:rPr>
                      <w:rFonts w:hint="eastAsia" w:ascii="仿宋" w:hAnsi="仿宋" w:eastAsia="仿宋" w:cs="Arial"/>
                      <w:snapToGrid w:val="0"/>
                      <w:kern w:val="0"/>
                      <w:sz w:val="24"/>
                    </w:rPr>
                    <w:t>卡</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支持最多 3 个双宽 GPU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PCI I/O插槽</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支持不少于8个PCI-E插槽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专用启动盘</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支持≥2块M.2接口SSD做专用启动盘，组硬件RAID</w:t>
                  </w:r>
                  <w:r>
                    <w:rPr>
                      <w:rFonts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冗余SD卡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支持配置冗余SD卡用于安装虚拟化系统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故障诊断</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带可编程LCD诊断显示屏，可显示默认或定制信息；支持不开机箱或前面盖直接察看面板LCD显示屏显示警告信息。支持硬件故障检测，电源、电压、风扇监控,温度监控,远程开关机,报错日志管理。 支持CPU，内存，硬盘，电源，风扇实时监控以及故障前预告警功能。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电源</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配置1+1 冗余电源</w:t>
                  </w:r>
                  <w:r>
                    <w:rPr>
                      <w:rFonts w:ascii="仿宋" w:hAnsi="仿宋" w:eastAsia="仿宋" w:cs="Arial"/>
                      <w:snapToGrid w:val="0"/>
                      <w:kern w:val="0"/>
                      <w:sz w:val="24"/>
                    </w:rPr>
                    <w:t>,</w:t>
                  </w:r>
                  <w:r>
                    <w:rPr>
                      <w:rFonts w:hint="eastAsia" w:ascii="仿宋" w:hAnsi="仿宋" w:eastAsia="仿宋" w:cs="Arial"/>
                      <w:snapToGrid w:val="0"/>
                      <w:kern w:val="0"/>
                      <w:sz w:val="24"/>
                    </w:rPr>
                    <w:t>功率</w:t>
                  </w:r>
                  <w:r>
                    <w:rPr>
                      <w:rFonts w:ascii="仿宋" w:hAnsi="仿宋" w:eastAsia="仿宋" w:cs="Arial"/>
                      <w:snapToGrid w:val="0"/>
                      <w:kern w:val="0"/>
                      <w:sz w:val="24"/>
                    </w:rPr>
                    <w:t>≥750</w:t>
                  </w:r>
                  <w:r>
                    <w:rPr>
                      <w:rFonts w:hint="eastAsia" w:ascii="仿宋" w:hAnsi="仿宋" w:eastAsia="仿宋" w:cs="Arial"/>
                      <w:snapToGrid w:val="0"/>
                      <w:kern w:val="0"/>
                      <w:sz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安全功能和特性</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加密签名固件，硬件根信任，安全启动，自动BIOS恢复，快速OS恢复，系统一键锁定，安全的缺省密码，配置和固件漂移检测，持久日志（包括用户形迹）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导轨</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所有服务器配置导轨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管理软件</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主机板內部集成管理软件及驱动</w:t>
                  </w:r>
                  <w:r>
                    <w:rPr>
                      <w:rFonts w:ascii="仿宋" w:hAnsi="仿宋" w:eastAsia="仿宋" w:cs="Arial"/>
                      <w:snapToGrid w:val="0"/>
                      <w:kern w:val="0"/>
                      <w:sz w:val="24"/>
                    </w:rPr>
                    <w:t>,</w:t>
                  </w:r>
                  <w:r>
                    <w:rPr>
                      <w:rFonts w:hint="eastAsia" w:ascii="仿宋" w:hAnsi="仿宋" w:eastAsia="仿宋" w:cs="Arial"/>
                      <w:snapToGrid w:val="0"/>
                      <w:kern w:val="0"/>
                      <w:sz w:val="24"/>
                    </w:rPr>
                    <w:t>可实现无需安裝软件直接管理服务器</w:t>
                  </w:r>
                  <w:r>
                    <w:rPr>
                      <w:rFonts w:ascii="仿宋" w:hAnsi="仿宋" w:eastAsia="仿宋" w:cs="Arial"/>
                      <w:snapToGrid w:val="0"/>
                      <w:kern w:val="0"/>
                      <w:sz w:val="24"/>
                    </w:rPr>
                    <w:t>,</w:t>
                  </w:r>
                  <w:r>
                    <w:rPr>
                      <w:rFonts w:hint="eastAsia" w:ascii="仿宋" w:hAnsi="仿宋" w:eastAsia="仿宋" w:cs="Arial"/>
                      <w:snapToGrid w:val="0"/>
                      <w:kern w:val="0"/>
                      <w:sz w:val="24"/>
                    </w:rPr>
                    <w:t>内置服务器驱动程序</w:t>
                  </w:r>
                  <w:r>
                    <w:rPr>
                      <w:rFonts w:ascii="仿宋" w:hAnsi="仿宋" w:eastAsia="仿宋" w:cs="Arial"/>
                      <w:snapToGrid w:val="0"/>
                      <w:kern w:val="0"/>
                      <w:sz w:val="24"/>
                    </w:rPr>
                    <w:t>,</w:t>
                  </w:r>
                  <w:r>
                    <w:rPr>
                      <w:rFonts w:hint="eastAsia" w:ascii="仿宋" w:hAnsi="仿宋" w:eastAsia="仿宋" w:cs="Arial"/>
                      <w:snapToGrid w:val="0"/>
                      <w:kern w:val="0"/>
                      <w:sz w:val="24"/>
                    </w:rPr>
                    <w:t>提供快速无盘布署和管理功能；能够通过手机和平板电脑通过</w:t>
                  </w:r>
                  <w:r>
                    <w:rPr>
                      <w:rFonts w:ascii="仿宋" w:hAnsi="仿宋" w:eastAsia="仿宋" w:cs="Arial"/>
                      <w:snapToGrid w:val="0"/>
                      <w:kern w:val="0"/>
                      <w:sz w:val="24"/>
                    </w:rPr>
                    <w:t>wifi</w:t>
                  </w:r>
                  <w:r>
                    <w:rPr>
                      <w:rFonts w:hint="eastAsia" w:ascii="仿宋" w:hAnsi="仿宋" w:eastAsia="仿宋" w:cs="Arial"/>
                      <w:snapToGrid w:val="0"/>
                      <w:kern w:val="0"/>
                      <w:sz w:val="24"/>
                    </w:rPr>
                    <w:t>和蓝牙管理服务器，可以做现场的资产清点</w:t>
                  </w:r>
                  <w:r>
                    <w:rPr>
                      <w:rFonts w:ascii="仿宋" w:hAnsi="仿宋" w:eastAsia="仿宋" w:cs="Arial"/>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第三方管理平台集成</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提供主流管理平台如VMware vCenter，Microsoft System Center，BMC Software的插件集成；能够连接常见的管理平台如Nagios &amp; Nagios XI,Oracle Enterprise Manager, HP Operations Manager,</w:t>
                  </w:r>
                  <w:r>
                    <w:rPr>
                      <w:rFonts w:hint="eastAsia" w:ascii="仿宋" w:hAnsi="仿宋" w:eastAsia="仿宋" w:cs="Arial"/>
                      <w:snapToGrid w:val="0"/>
                      <w:kern w:val="0"/>
                      <w:sz w:val="24"/>
                    </w:rPr>
                    <w:br w:type="textWrapping"/>
                  </w:r>
                  <w:r>
                    <w:rPr>
                      <w:rFonts w:hint="eastAsia" w:ascii="仿宋" w:hAnsi="仿宋" w:eastAsia="仿宋" w:cs="Arial"/>
                      <w:snapToGrid w:val="0"/>
                      <w:kern w:val="0"/>
                      <w:sz w:val="24"/>
                    </w:rPr>
                    <w:t>IBM Tivoli Netcool/OMNIbus, IBM Tivoli</w:t>
                  </w:r>
                  <w:r>
                    <w:rPr>
                      <w:rFonts w:hint="eastAsia" w:ascii="宋体" w:hAnsi="宋体" w:eastAsia="仿宋" w:cs="宋体"/>
                      <w:snapToGrid w:val="0"/>
                      <w:kern w:val="0"/>
                      <w:sz w:val="24"/>
                    </w:rPr>
                    <w:t>®</w:t>
                  </w:r>
                  <w:r>
                    <w:rPr>
                      <w:rFonts w:hint="eastAsia" w:ascii="仿宋" w:hAnsi="仿宋" w:eastAsia="仿宋" w:cs="Arial"/>
                      <w:snapToGrid w:val="0"/>
                      <w:kern w:val="0"/>
                      <w:sz w:val="24"/>
                    </w:rPr>
                    <w:t xml:space="preserve"> Network Manager, CA Network and Systems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服务器管理</w:t>
                  </w:r>
                </w:p>
              </w:tc>
              <w:tc>
                <w:tcPr>
                  <w:tcW w:w="4186" w:type="dxa"/>
                  <w:noWrap w:val="0"/>
                  <w:vAlign w:val="bottom"/>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1)提供服务器管理软件（正版含介质光盘）可实现服务器故障报警、批量的系统资源管理以及系统性能监控等功能；</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2）支持内置SD卡记录系统全生命周期运行日志</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3）基板管理控制器 (BMC) ，支持 IPMI 2.0；可实现与操作系统无关的远程对服务器的完全控制，包括远程的开机、关机、重启和虚拟介质等操作；如果以软件方式实现，需要提供正式许可证，无使用限制；</w:t>
                  </w: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4）提供</w:t>
                  </w:r>
                  <w:r>
                    <w:rPr>
                      <w:rFonts w:ascii="仿宋" w:hAnsi="仿宋" w:eastAsia="仿宋" w:cs="Arial"/>
                      <w:snapToGrid w:val="0"/>
                      <w:kern w:val="0"/>
                      <w:sz w:val="24"/>
                    </w:rPr>
                    <w:t>原厂的性能监控软件，提供对本系统连续1个月以上的性能监控分析图文报告：包含CPU、内存、读写IOPS的峰值、吞吐量、读写比例，以及延迟、队列等性能数据，同时能提供所连接服务器的总核心数、以及CPU的峰值和最低值；并提供优化方案。必须在应答书里描述如何实现并提供详细的报告样本实例（报告需为中文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操作</w:t>
                  </w:r>
                  <w:r>
                    <w:rPr>
                      <w:rFonts w:ascii="仿宋" w:hAnsi="仿宋" w:eastAsia="仿宋" w:cs="Arial"/>
                      <w:snapToGrid w:val="0"/>
                      <w:kern w:val="0"/>
                      <w:sz w:val="24"/>
                    </w:rPr>
                    <w:t>系统</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支持主流操作系统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1010"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原厂服务</w:t>
                  </w:r>
                </w:p>
              </w:tc>
              <w:tc>
                <w:tcPr>
                  <w:tcW w:w="418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提供原厂安装服务，提供原生产厂商3年专业支持服务和关键任务: (7x24) 4小时上门服务，3年硬盘不返还服务。签订合同前提供设备原厂商针对本项目的唯一授权函原件和3年原厂免费质保服务函原件。</w:t>
                  </w:r>
                </w:p>
              </w:tc>
            </w:tr>
          </w:tbl>
          <w:p>
            <w:pPr>
              <w:spacing w:line="360" w:lineRule="auto"/>
              <w:jc w:val="left"/>
              <w:rPr>
                <w:rFonts w:hint="eastAsia" w:ascii="仿宋" w:hAnsi="仿宋" w:eastAsia="仿宋" w:cs="Arial"/>
                <w:snapToGrid w:val="0"/>
                <w:kern w:val="0"/>
                <w:sz w:val="24"/>
              </w:rPr>
            </w:pPr>
          </w:p>
        </w:tc>
        <w:tc>
          <w:tcPr>
            <w:tcW w:w="46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台</w:t>
            </w:r>
          </w:p>
        </w:tc>
        <w:tc>
          <w:tcPr>
            <w:tcW w:w="816"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w:t>
            </w:r>
          </w:p>
        </w:tc>
      </w:tr>
    </w:tbl>
    <w:p>
      <w:pPr>
        <w:spacing w:line="360" w:lineRule="auto"/>
        <w:jc w:val="left"/>
        <w:rPr>
          <w:rFonts w:ascii="仿宋" w:hAnsi="仿宋" w:eastAsia="仿宋" w:cs="Arial"/>
          <w:snapToGrid w:val="0"/>
          <w:kern w:val="0"/>
          <w:sz w:val="24"/>
        </w:rPr>
      </w:pPr>
    </w:p>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5、软件详细清单：</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32"/>
        <w:gridCol w:w="1123"/>
        <w:gridCol w:w="4674"/>
        <w:gridCol w:w="551"/>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序号</w:t>
            </w:r>
          </w:p>
        </w:tc>
        <w:tc>
          <w:tcPr>
            <w:tcW w:w="932"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名称</w:t>
            </w:r>
          </w:p>
        </w:tc>
        <w:tc>
          <w:tcPr>
            <w:tcW w:w="112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内容</w:t>
            </w: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说明</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单位</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3"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w:t>
            </w:r>
          </w:p>
        </w:tc>
        <w:tc>
          <w:tcPr>
            <w:tcW w:w="932" w:type="dxa"/>
            <w:vMerge w:val="restart"/>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数据管控平台</w:t>
            </w:r>
          </w:p>
        </w:tc>
        <w:tc>
          <w:tcPr>
            <w:tcW w:w="112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数据接入</w:t>
            </w: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对公安业务数据、社会数据、互联网数据进行采集、汇聚</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2</w:t>
            </w:r>
          </w:p>
        </w:tc>
        <w:tc>
          <w:tcPr>
            <w:tcW w:w="932" w:type="dxa"/>
            <w:vMerge w:val="continue"/>
            <w:noWrap w:val="0"/>
            <w:vAlign w:val="center"/>
          </w:tcPr>
          <w:p>
            <w:pPr>
              <w:spacing w:line="360" w:lineRule="auto"/>
              <w:jc w:val="left"/>
              <w:rPr>
                <w:rFonts w:hint="eastAsia" w:ascii="仿宋" w:hAnsi="仿宋" w:eastAsia="仿宋" w:cs="Arial"/>
                <w:snapToGrid w:val="0"/>
                <w:kern w:val="0"/>
                <w:sz w:val="24"/>
              </w:rPr>
            </w:pPr>
          </w:p>
        </w:tc>
        <w:tc>
          <w:tcPr>
            <w:tcW w:w="112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数据资源管理</w:t>
            </w: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对采集汇聚的数据进行数据格式标准化管理和数据资源存储管理</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3</w:t>
            </w:r>
          </w:p>
        </w:tc>
        <w:tc>
          <w:tcPr>
            <w:tcW w:w="932" w:type="dxa"/>
            <w:vMerge w:val="continue"/>
            <w:noWrap w:val="0"/>
            <w:vAlign w:val="center"/>
          </w:tcPr>
          <w:p>
            <w:pPr>
              <w:spacing w:line="360" w:lineRule="auto"/>
              <w:jc w:val="left"/>
              <w:rPr>
                <w:rFonts w:hint="eastAsia" w:ascii="仿宋" w:hAnsi="仿宋" w:eastAsia="仿宋" w:cs="Arial"/>
                <w:snapToGrid w:val="0"/>
                <w:kern w:val="0"/>
                <w:sz w:val="24"/>
              </w:rPr>
            </w:pPr>
          </w:p>
        </w:tc>
        <w:tc>
          <w:tcPr>
            <w:tcW w:w="112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数据处理</w:t>
            </w: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对存储的标准化数据提供计算、挖机、查询、搜索等数据应用功能</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4</w:t>
            </w:r>
          </w:p>
        </w:tc>
        <w:tc>
          <w:tcPr>
            <w:tcW w:w="932" w:type="dxa"/>
            <w:vMerge w:val="continue"/>
            <w:noWrap w:val="0"/>
            <w:vAlign w:val="center"/>
          </w:tcPr>
          <w:p>
            <w:pPr>
              <w:spacing w:line="360" w:lineRule="auto"/>
              <w:jc w:val="left"/>
              <w:rPr>
                <w:rFonts w:hint="eastAsia" w:ascii="仿宋" w:hAnsi="仿宋" w:eastAsia="仿宋" w:cs="Arial"/>
                <w:snapToGrid w:val="0"/>
                <w:kern w:val="0"/>
                <w:sz w:val="24"/>
              </w:rPr>
            </w:pPr>
          </w:p>
        </w:tc>
        <w:tc>
          <w:tcPr>
            <w:tcW w:w="112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数据服务</w:t>
            </w: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对数据资源提供智能云检索、智能云分析、智能碰撞分析、数据服务等数据服务</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697" w:type="dxa"/>
            <w:vMerge w:val="restart"/>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5</w:t>
            </w:r>
          </w:p>
        </w:tc>
        <w:tc>
          <w:tcPr>
            <w:tcW w:w="932" w:type="dxa"/>
            <w:vMerge w:val="restart"/>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实战应用平台</w:t>
            </w:r>
          </w:p>
        </w:tc>
        <w:tc>
          <w:tcPr>
            <w:tcW w:w="1123" w:type="dxa"/>
            <w:vMerge w:val="restart"/>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数据应用</w:t>
            </w: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各景点人流量分析展示</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trPr>
        <w:tc>
          <w:tcPr>
            <w:tcW w:w="697" w:type="dxa"/>
            <w:vMerge w:val="continue"/>
            <w:noWrap w:val="0"/>
            <w:vAlign w:val="center"/>
          </w:tcPr>
          <w:p>
            <w:pPr>
              <w:spacing w:line="360" w:lineRule="auto"/>
              <w:jc w:val="left"/>
              <w:rPr>
                <w:rFonts w:ascii="仿宋" w:hAnsi="仿宋" w:eastAsia="仿宋" w:cs="Arial"/>
                <w:snapToGrid w:val="0"/>
                <w:kern w:val="0"/>
                <w:sz w:val="24"/>
              </w:rPr>
            </w:pPr>
          </w:p>
        </w:tc>
        <w:tc>
          <w:tcPr>
            <w:tcW w:w="932" w:type="dxa"/>
            <w:vMerge w:val="continue"/>
            <w:noWrap w:val="0"/>
            <w:vAlign w:val="center"/>
          </w:tcPr>
          <w:p>
            <w:pPr>
              <w:spacing w:line="360" w:lineRule="auto"/>
              <w:jc w:val="left"/>
              <w:rPr>
                <w:rFonts w:ascii="仿宋" w:hAnsi="仿宋" w:eastAsia="仿宋" w:cs="Arial"/>
                <w:snapToGrid w:val="0"/>
                <w:kern w:val="0"/>
                <w:sz w:val="24"/>
              </w:rPr>
            </w:pPr>
          </w:p>
        </w:tc>
        <w:tc>
          <w:tcPr>
            <w:tcW w:w="1123" w:type="dxa"/>
            <w:vMerge w:val="continue"/>
            <w:noWrap w:val="0"/>
            <w:vAlign w:val="center"/>
          </w:tcPr>
          <w:p>
            <w:pPr>
              <w:spacing w:line="360" w:lineRule="auto"/>
              <w:jc w:val="left"/>
              <w:rPr>
                <w:rFonts w:ascii="仿宋" w:hAnsi="仿宋" w:eastAsia="仿宋" w:cs="Arial"/>
                <w:snapToGrid w:val="0"/>
                <w:kern w:val="0"/>
                <w:sz w:val="24"/>
              </w:rPr>
            </w:pP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景区人流热力图</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 w:hRule="atLeast"/>
        </w:trPr>
        <w:tc>
          <w:tcPr>
            <w:tcW w:w="697" w:type="dxa"/>
            <w:vMerge w:val="continue"/>
            <w:noWrap w:val="0"/>
            <w:vAlign w:val="center"/>
          </w:tcPr>
          <w:p>
            <w:pPr>
              <w:spacing w:line="360" w:lineRule="auto"/>
              <w:jc w:val="left"/>
              <w:rPr>
                <w:rFonts w:ascii="仿宋" w:hAnsi="仿宋" w:eastAsia="仿宋" w:cs="Arial"/>
                <w:snapToGrid w:val="0"/>
                <w:kern w:val="0"/>
                <w:sz w:val="24"/>
              </w:rPr>
            </w:pPr>
          </w:p>
        </w:tc>
        <w:tc>
          <w:tcPr>
            <w:tcW w:w="932" w:type="dxa"/>
            <w:vMerge w:val="continue"/>
            <w:noWrap w:val="0"/>
            <w:vAlign w:val="center"/>
          </w:tcPr>
          <w:p>
            <w:pPr>
              <w:spacing w:line="360" w:lineRule="auto"/>
              <w:jc w:val="left"/>
              <w:rPr>
                <w:rFonts w:ascii="仿宋" w:hAnsi="仿宋" w:eastAsia="仿宋" w:cs="Arial"/>
                <w:snapToGrid w:val="0"/>
                <w:kern w:val="0"/>
                <w:sz w:val="24"/>
              </w:rPr>
            </w:pPr>
          </w:p>
        </w:tc>
        <w:tc>
          <w:tcPr>
            <w:tcW w:w="1123" w:type="dxa"/>
            <w:vMerge w:val="continue"/>
            <w:noWrap w:val="0"/>
            <w:vAlign w:val="center"/>
          </w:tcPr>
          <w:p>
            <w:pPr>
              <w:spacing w:line="360" w:lineRule="auto"/>
              <w:jc w:val="left"/>
              <w:rPr>
                <w:rFonts w:ascii="仿宋" w:hAnsi="仿宋" w:eastAsia="仿宋" w:cs="Arial"/>
                <w:snapToGrid w:val="0"/>
                <w:kern w:val="0"/>
                <w:sz w:val="24"/>
              </w:rPr>
            </w:pP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人像识别信息分析展示</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697" w:type="dxa"/>
            <w:vMerge w:val="continue"/>
            <w:noWrap w:val="0"/>
            <w:vAlign w:val="center"/>
          </w:tcPr>
          <w:p>
            <w:pPr>
              <w:spacing w:line="360" w:lineRule="auto"/>
              <w:jc w:val="left"/>
              <w:rPr>
                <w:rFonts w:ascii="仿宋" w:hAnsi="仿宋" w:eastAsia="仿宋" w:cs="Arial"/>
                <w:snapToGrid w:val="0"/>
                <w:kern w:val="0"/>
                <w:sz w:val="24"/>
              </w:rPr>
            </w:pPr>
          </w:p>
        </w:tc>
        <w:tc>
          <w:tcPr>
            <w:tcW w:w="932" w:type="dxa"/>
            <w:vMerge w:val="continue"/>
            <w:noWrap w:val="0"/>
            <w:vAlign w:val="center"/>
          </w:tcPr>
          <w:p>
            <w:pPr>
              <w:spacing w:line="360" w:lineRule="auto"/>
              <w:jc w:val="left"/>
              <w:rPr>
                <w:rFonts w:ascii="仿宋" w:hAnsi="仿宋" w:eastAsia="仿宋" w:cs="Arial"/>
                <w:snapToGrid w:val="0"/>
                <w:kern w:val="0"/>
                <w:sz w:val="24"/>
              </w:rPr>
            </w:pPr>
          </w:p>
        </w:tc>
        <w:tc>
          <w:tcPr>
            <w:tcW w:w="1123" w:type="dxa"/>
            <w:vMerge w:val="continue"/>
            <w:noWrap w:val="0"/>
            <w:vAlign w:val="center"/>
          </w:tcPr>
          <w:p>
            <w:pPr>
              <w:spacing w:line="360" w:lineRule="auto"/>
              <w:jc w:val="left"/>
              <w:rPr>
                <w:rFonts w:ascii="仿宋" w:hAnsi="仿宋" w:eastAsia="仿宋" w:cs="Arial"/>
                <w:snapToGrid w:val="0"/>
                <w:kern w:val="0"/>
                <w:sz w:val="24"/>
              </w:rPr>
            </w:pP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人证核查数据分析展示</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6</w:t>
            </w:r>
          </w:p>
        </w:tc>
        <w:tc>
          <w:tcPr>
            <w:tcW w:w="932" w:type="dxa"/>
            <w:vMerge w:val="continue"/>
            <w:noWrap w:val="0"/>
            <w:vAlign w:val="center"/>
          </w:tcPr>
          <w:p>
            <w:pPr>
              <w:spacing w:line="360" w:lineRule="auto"/>
              <w:jc w:val="left"/>
              <w:rPr>
                <w:rFonts w:ascii="仿宋" w:hAnsi="仿宋" w:eastAsia="仿宋" w:cs="Arial"/>
                <w:snapToGrid w:val="0"/>
                <w:kern w:val="0"/>
                <w:sz w:val="24"/>
              </w:rPr>
            </w:pPr>
          </w:p>
        </w:tc>
        <w:tc>
          <w:tcPr>
            <w:tcW w:w="1123" w:type="dxa"/>
            <w:vMerge w:val="continue"/>
            <w:noWrap w:val="0"/>
            <w:vAlign w:val="center"/>
          </w:tcPr>
          <w:p>
            <w:pPr>
              <w:spacing w:line="360" w:lineRule="auto"/>
              <w:jc w:val="left"/>
              <w:rPr>
                <w:rFonts w:ascii="仿宋" w:hAnsi="仿宋" w:eastAsia="仿宋" w:cs="Arial"/>
                <w:snapToGrid w:val="0"/>
                <w:kern w:val="0"/>
                <w:sz w:val="24"/>
              </w:rPr>
            </w:pP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景区交通流量数据分析展示</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7</w:t>
            </w:r>
          </w:p>
        </w:tc>
        <w:tc>
          <w:tcPr>
            <w:tcW w:w="932" w:type="dxa"/>
            <w:vMerge w:val="continue"/>
            <w:noWrap w:val="0"/>
            <w:vAlign w:val="center"/>
          </w:tcPr>
          <w:p>
            <w:pPr>
              <w:spacing w:line="360" w:lineRule="auto"/>
              <w:jc w:val="left"/>
              <w:rPr>
                <w:rFonts w:ascii="仿宋" w:hAnsi="仿宋" w:eastAsia="仿宋" w:cs="Arial"/>
                <w:snapToGrid w:val="0"/>
                <w:kern w:val="0"/>
                <w:sz w:val="24"/>
              </w:rPr>
            </w:pPr>
          </w:p>
        </w:tc>
        <w:tc>
          <w:tcPr>
            <w:tcW w:w="1123" w:type="dxa"/>
            <w:vMerge w:val="continue"/>
            <w:noWrap w:val="0"/>
            <w:vAlign w:val="center"/>
          </w:tcPr>
          <w:p>
            <w:pPr>
              <w:spacing w:line="360" w:lineRule="auto"/>
              <w:jc w:val="left"/>
              <w:rPr>
                <w:rFonts w:ascii="仿宋" w:hAnsi="仿宋" w:eastAsia="仿宋" w:cs="Arial"/>
                <w:snapToGrid w:val="0"/>
                <w:kern w:val="0"/>
                <w:sz w:val="24"/>
              </w:rPr>
            </w:pP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智能全文搜索</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8</w:t>
            </w:r>
          </w:p>
        </w:tc>
        <w:tc>
          <w:tcPr>
            <w:tcW w:w="932" w:type="dxa"/>
            <w:vMerge w:val="continue"/>
            <w:noWrap w:val="0"/>
            <w:vAlign w:val="center"/>
          </w:tcPr>
          <w:p>
            <w:pPr>
              <w:spacing w:line="360" w:lineRule="auto"/>
              <w:jc w:val="left"/>
              <w:rPr>
                <w:rFonts w:ascii="仿宋" w:hAnsi="仿宋" w:eastAsia="仿宋" w:cs="Arial"/>
                <w:snapToGrid w:val="0"/>
                <w:kern w:val="0"/>
                <w:sz w:val="24"/>
              </w:rPr>
            </w:pPr>
          </w:p>
        </w:tc>
        <w:tc>
          <w:tcPr>
            <w:tcW w:w="1123" w:type="dxa"/>
            <w:vMerge w:val="continue"/>
            <w:noWrap w:val="0"/>
            <w:vAlign w:val="center"/>
          </w:tcPr>
          <w:p>
            <w:pPr>
              <w:spacing w:line="360" w:lineRule="auto"/>
              <w:jc w:val="left"/>
              <w:rPr>
                <w:rFonts w:ascii="仿宋" w:hAnsi="仿宋" w:eastAsia="仿宋" w:cs="Arial"/>
                <w:snapToGrid w:val="0"/>
                <w:kern w:val="0"/>
                <w:sz w:val="24"/>
              </w:rPr>
            </w:pP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条件数据碰撞</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9</w:t>
            </w:r>
          </w:p>
        </w:tc>
        <w:tc>
          <w:tcPr>
            <w:tcW w:w="932" w:type="dxa"/>
            <w:vMerge w:val="continue"/>
            <w:noWrap w:val="0"/>
            <w:vAlign w:val="center"/>
          </w:tcPr>
          <w:p>
            <w:pPr>
              <w:spacing w:line="360" w:lineRule="auto"/>
              <w:jc w:val="left"/>
              <w:rPr>
                <w:rFonts w:ascii="仿宋" w:hAnsi="仿宋" w:eastAsia="仿宋" w:cs="Arial"/>
                <w:snapToGrid w:val="0"/>
                <w:kern w:val="0"/>
                <w:sz w:val="24"/>
              </w:rPr>
            </w:pPr>
          </w:p>
        </w:tc>
        <w:tc>
          <w:tcPr>
            <w:tcW w:w="1123" w:type="dxa"/>
            <w:vMerge w:val="continue"/>
            <w:noWrap w:val="0"/>
            <w:vAlign w:val="center"/>
          </w:tcPr>
          <w:p>
            <w:pPr>
              <w:spacing w:line="360" w:lineRule="auto"/>
              <w:jc w:val="left"/>
              <w:rPr>
                <w:rFonts w:ascii="仿宋" w:hAnsi="仿宋" w:eastAsia="仿宋" w:cs="Arial"/>
                <w:snapToGrid w:val="0"/>
                <w:kern w:val="0"/>
                <w:sz w:val="24"/>
              </w:rPr>
            </w:pP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信息自动预警</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10</w:t>
            </w:r>
          </w:p>
        </w:tc>
        <w:tc>
          <w:tcPr>
            <w:tcW w:w="932" w:type="dxa"/>
            <w:vMerge w:val="continue"/>
            <w:noWrap w:val="0"/>
            <w:vAlign w:val="center"/>
          </w:tcPr>
          <w:p>
            <w:pPr>
              <w:spacing w:line="360" w:lineRule="auto"/>
              <w:jc w:val="left"/>
              <w:rPr>
                <w:rFonts w:hint="eastAsia" w:ascii="仿宋" w:hAnsi="仿宋" w:eastAsia="仿宋" w:cs="Arial"/>
                <w:snapToGrid w:val="0"/>
                <w:kern w:val="0"/>
                <w:sz w:val="24"/>
              </w:rPr>
            </w:pPr>
          </w:p>
        </w:tc>
        <w:tc>
          <w:tcPr>
            <w:tcW w:w="112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管理功能</w:t>
            </w: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平台提供包括：用户管理、软件管理、存储管理、节点管理、部署管理、运行监控、PKI认证登陆等</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 w:hRule="atLeast"/>
        </w:trPr>
        <w:tc>
          <w:tcPr>
            <w:tcW w:w="697" w:type="dxa"/>
            <w:noWrap/>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11</w:t>
            </w:r>
          </w:p>
        </w:tc>
        <w:tc>
          <w:tcPr>
            <w:tcW w:w="932" w:type="dxa"/>
            <w:vMerge w:val="continue"/>
            <w:noWrap w:val="0"/>
            <w:vAlign w:val="center"/>
          </w:tcPr>
          <w:p>
            <w:pPr>
              <w:spacing w:line="360" w:lineRule="auto"/>
              <w:jc w:val="left"/>
              <w:rPr>
                <w:rFonts w:hint="eastAsia" w:ascii="仿宋" w:hAnsi="仿宋" w:eastAsia="仿宋" w:cs="Arial"/>
                <w:snapToGrid w:val="0"/>
                <w:kern w:val="0"/>
                <w:sz w:val="24"/>
              </w:rPr>
            </w:pPr>
          </w:p>
        </w:tc>
        <w:tc>
          <w:tcPr>
            <w:tcW w:w="1123"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终端数据初步汇集</w:t>
            </w:r>
          </w:p>
        </w:tc>
        <w:tc>
          <w:tcPr>
            <w:tcW w:w="4674" w:type="dxa"/>
            <w:noWrap w:val="0"/>
            <w:vAlign w:val="center"/>
          </w:tcPr>
          <w:p>
            <w:pPr>
              <w:spacing w:line="360" w:lineRule="auto"/>
              <w:jc w:val="left"/>
              <w:rPr>
                <w:rFonts w:ascii="仿宋" w:hAnsi="仿宋" w:eastAsia="仿宋" w:cs="Arial"/>
                <w:snapToGrid w:val="0"/>
                <w:kern w:val="0"/>
                <w:sz w:val="24"/>
              </w:rPr>
            </w:pPr>
            <w:r>
              <w:rPr>
                <w:rFonts w:hint="eastAsia" w:ascii="仿宋" w:hAnsi="仿宋" w:eastAsia="仿宋" w:cs="Arial"/>
                <w:snapToGrid w:val="0"/>
                <w:kern w:val="0"/>
                <w:sz w:val="24"/>
              </w:rPr>
              <w:t>对原始数据的初步汇集进行分析和处理。</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套</w:t>
            </w:r>
          </w:p>
        </w:tc>
        <w:tc>
          <w:tcPr>
            <w:tcW w:w="551" w:type="dxa"/>
            <w:noWrap w:val="0"/>
            <w:vAlign w:val="center"/>
          </w:tcPr>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p>
        </w:tc>
      </w:tr>
    </w:tbl>
    <w:p>
      <w:pPr>
        <w:spacing w:line="360" w:lineRule="auto"/>
        <w:jc w:val="left"/>
        <w:rPr>
          <w:rFonts w:ascii="仿宋" w:hAnsi="仿宋" w:eastAsia="仿宋" w:cs="Arial"/>
          <w:snapToGrid w:val="0"/>
          <w:kern w:val="0"/>
          <w:sz w:val="24"/>
        </w:rPr>
      </w:pPr>
    </w:p>
    <w:p>
      <w:pPr>
        <w:spacing w:line="360" w:lineRule="auto"/>
        <w:jc w:val="left"/>
        <w:rPr>
          <w:rFonts w:hint="eastAsia" w:ascii="仿宋" w:hAnsi="仿宋" w:eastAsia="仿宋" w:cs="Arial"/>
          <w:b/>
          <w:snapToGrid w:val="0"/>
          <w:kern w:val="0"/>
          <w:sz w:val="24"/>
        </w:rPr>
      </w:pPr>
      <w:r>
        <w:rPr>
          <w:rFonts w:hint="eastAsia" w:ascii="仿宋" w:hAnsi="仿宋" w:eastAsia="仿宋" w:cs="Arial"/>
          <w:b/>
          <w:snapToGrid w:val="0"/>
          <w:kern w:val="0"/>
          <w:sz w:val="24"/>
        </w:rPr>
        <w:t>四、总体要求</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（一）具体要求：</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（1）投标总价应包括运抵采购单位杭州市公安局西湖风景名胜区分局的运保费及安装调试费等。</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（2）所投产品需符合杭州市公安局西湖风景名胜区分局实际需求，符合国家技术规范和质量标准。</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（3）验收条件：系统正式交付后，进行所规定时间的试验运行后方可验收。</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（二）其它要求</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1、产品方便易用。</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所投产品的应详细列明产品所有技术指标，明确表示该项指标所涉及的软件是标准配置还是选择配置。同时还须包括产品说明书或产品主要技术资料和性能的详细描述，详细的交货时所配文件清单等，任何含糊不清的表述对评标结果的影响将是投标人的责任。</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（三）服务与培训要求</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1、质量保证：</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（1）投标货物必须是符合国家技术规范和质量标准的合格产品，满足采购单位的使用需求，并具有可靠的售后服务体系，质量可靠、使用安全。</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（2）投标人保证其提供的货物中所有预装和为本项目安装的软件均为具有合法版权或使用权的正版软件且无质量瑕疵；</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w:t>
      </w:r>
      <w:r>
        <w:rPr>
          <w:rFonts w:hint="eastAsia" w:ascii="仿宋" w:hAnsi="仿宋" w:eastAsia="仿宋" w:cs="Arial"/>
          <w:snapToGrid w:val="0"/>
          <w:kern w:val="0"/>
          <w:sz w:val="24"/>
        </w:rPr>
        <w:tab/>
      </w:r>
      <w:r>
        <w:rPr>
          <w:rFonts w:hint="eastAsia" w:ascii="仿宋" w:hAnsi="仿宋" w:eastAsia="仿宋" w:cs="Arial"/>
          <w:snapToGrid w:val="0"/>
          <w:kern w:val="0"/>
          <w:sz w:val="24"/>
        </w:rPr>
        <w:t>在质保期内，如遇软件产品升级、改版，应免费提供更新、升级服务。</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2、要求投标人提供的服务不得低于标准服务，即与投标设备制造厂商通过网站等对外公布的有效服务标准相一致（投标人不得另行制作网页）。在标准服务基础上，投标人还应达到以下标准：</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w:t>
      </w:r>
      <w:r>
        <w:rPr>
          <w:rFonts w:hint="eastAsia" w:ascii="仿宋" w:hAnsi="仿宋" w:eastAsia="仿宋" w:cs="Arial"/>
          <w:snapToGrid w:val="0"/>
          <w:kern w:val="0"/>
          <w:sz w:val="24"/>
        </w:rPr>
        <w:tab/>
      </w:r>
      <w:r>
        <w:rPr>
          <w:rFonts w:hint="eastAsia" w:ascii="仿宋" w:hAnsi="仿宋" w:eastAsia="仿宋" w:cs="Arial"/>
          <w:snapToGrid w:val="0"/>
          <w:kern w:val="0"/>
          <w:sz w:val="24"/>
        </w:rPr>
        <w:t>投标货物制造厂商应具有完善的服务保障体系（在最终供货地有直接设立或授权的售后服务机构，配备有足够的、有相应资质的专业技术人员）；供应商也应就投标货物的品质和服务对采购机构和采购单位负责。</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w:t>
      </w:r>
      <w:r>
        <w:rPr>
          <w:rFonts w:hint="eastAsia" w:ascii="仿宋" w:hAnsi="仿宋" w:eastAsia="仿宋" w:cs="Arial"/>
          <w:snapToGrid w:val="0"/>
          <w:kern w:val="0"/>
          <w:sz w:val="24"/>
        </w:rPr>
        <w:tab/>
      </w:r>
      <w:r>
        <w:rPr>
          <w:rFonts w:hint="eastAsia" w:ascii="仿宋" w:hAnsi="仿宋" w:eastAsia="仿宋" w:cs="Arial"/>
          <w:snapToGrid w:val="0"/>
          <w:kern w:val="0"/>
          <w:sz w:val="24"/>
        </w:rPr>
        <w:t>投标人应明确说明此次投标的服务策略，提供此次投标货物的服务计划（售后服务内容、等级、相关服务指标、售后服务组织机构及人员安排情况及其联络信息）。</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w:t>
      </w:r>
      <w:r>
        <w:rPr>
          <w:rFonts w:hint="eastAsia" w:ascii="仿宋" w:hAnsi="仿宋" w:eastAsia="仿宋" w:cs="Arial"/>
          <w:snapToGrid w:val="0"/>
          <w:kern w:val="0"/>
          <w:sz w:val="24"/>
        </w:rPr>
        <w:tab/>
      </w:r>
      <w:r>
        <w:rPr>
          <w:rFonts w:hint="eastAsia" w:ascii="仿宋" w:hAnsi="仿宋" w:eastAsia="仿宋" w:cs="Arial"/>
          <w:snapToGrid w:val="0"/>
          <w:kern w:val="0"/>
          <w:sz w:val="24"/>
        </w:rPr>
        <w:t>除在质保期内提供设备标准现场保修和技术支持服务外，还应另外提供质保期满后2年服务的承诺及备品、备件支持，以满足最终用户硬件故障、升级的要求。</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w:t>
      </w:r>
      <w:r>
        <w:rPr>
          <w:rFonts w:hint="eastAsia" w:ascii="仿宋" w:hAnsi="仿宋" w:eastAsia="仿宋" w:cs="Arial"/>
          <w:snapToGrid w:val="0"/>
          <w:kern w:val="0"/>
          <w:sz w:val="24"/>
        </w:rPr>
        <w:tab/>
      </w:r>
      <w:r>
        <w:rPr>
          <w:rFonts w:hint="eastAsia" w:ascii="仿宋" w:hAnsi="仿宋" w:eastAsia="仿宋" w:cs="Arial"/>
          <w:snapToGrid w:val="0"/>
          <w:kern w:val="0"/>
          <w:sz w:val="24"/>
        </w:rPr>
        <w:t>在质保期内供应商必须为最终用户提供技术服务热线（7*24小时），负责解答用户在系统使用中遇到的问题，并及时提出解决问题的建议和操作方法。技术服务热线支持应是中文服务。</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w:t>
      </w:r>
      <w:r>
        <w:rPr>
          <w:rFonts w:hint="eastAsia" w:ascii="仿宋" w:hAnsi="仿宋" w:eastAsia="仿宋" w:cs="Arial"/>
          <w:snapToGrid w:val="0"/>
          <w:kern w:val="0"/>
          <w:sz w:val="24"/>
        </w:rPr>
        <w:tab/>
      </w:r>
      <w:r>
        <w:rPr>
          <w:rFonts w:hint="eastAsia" w:ascii="仿宋" w:hAnsi="仿宋" w:eastAsia="仿宋" w:cs="Arial"/>
          <w:snapToGrid w:val="0"/>
          <w:kern w:val="0"/>
          <w:sz w:val="24"/>
        </w:rPr>
        <w:t>在投标货物质保期内，供应商应提供不低于软件三年的7*24小时的现场质保和技术支持服务，对故障即时响应，</w:t>
      </w:r>
      <w:r>
        <w:rPr>
          <w:rFonts w:ascii="仿宋" w:hAnsi="仿宋" w:eastAsia="仿宋" w:cs="Arial"/>
          <w:snapToGrid w:val="0"/>
          <w:kern w:val="0"/>
          <w:sz w:val="24"/>
        </w:rPr>
        <w:t>1</w:t>
      </w:r>
      <w:r>
        <w:rPr>
          <w:rFonts w:hint="eastAsia" w:ascii="仿宋" w:hAnsi="仿宋" w:eastAsia="仿宋" w:cs="Arial"/>
          <w:snapToGrid w:val="0"/>
          <w:kern w:val="0"/>
          <w:sz w:val="24"/>
        </w:rPr>
        <w:t xml:space="preserve">小时以内到现场，5小时以内解决问题；硬件设备三年原厂服务。如果逾期未作出响应，供应商应承担由于故障所造成的全部损失。 </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（6）</w:t>
      </w:r>
      <w:r>
        <w:rPr>
          <w:rFonts w:hint="eastAsia" w:ascii="仿宋" w:hAnsi="仿宋" w:eastAsia="仿宋" w:cs="Arial"/>
          <w:snapToGrid w:val="0"/>
          <w:kern w:val="0"/>
          <w:sz w:val="24"/>
        </w:rPr>
        <w:tab/>
      </w:r>
      <w:r>
        <w:rPr>
          <w:rFonts w:hint="eastAsia" w:ascii="仿宋" w:hAnsi="仿宋" w:eastAsia="仿宋" w:cs="Arial"/>
          <w:snapToGrid w:val="0"/>
          <w:kern w:val="0"/>
          <w:sz w:val="24"/>
        </w:rPr>
        <w:t>当投标货物发生非人为因素严重故障时，供应商应当免费在七日内将补充或者更换的货物运抵发生故障的货物所在地，由此产生的一切相关费用由供应商负担。</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（7）</w:t>
      </w:r>
      <w:r>
        <w:rPr>
          <w:rFonts w:hint="eastAsia" w:ascii="仿宋" w:hAnsi="仿宋" w:eastAsia="仿宋" w:cs="Arial"/>
          <w:snapToGrid w:val="0"/>
          <w:kern w:val="0"/>
          <w:sz w:val="24"/>
        </w:rPr>
        <w:tab/>
      </w:r>
      <w:r>
        <w:rPr>
          <w:rFonts w:hint="eastAsia" w:ascii="仿宋" w:hAnsi="仿宋" w:eastAsia="仿宋" w:cs="Arial"/>
          <w:snapToGrid w:val="0"/>
          <w:kern w:val="0"/>
          <w:sz w:val="24"/>
        </w:rPr>
        <w:t>质保期内所有因更换或修理设备或部件而导致设备停止运行的时间应从其质保期内扣除。</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（8）供应商必须为维修和技术支持所未能解决的问题和故障提供正式的升级方案。</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（9）在质保期内，供应商有责任解决所提供的投标软件系统的任何问题，在质保期满后，当需要时，供应商仍须对因投标系统本身的固有缺陷和瑕疵承担相应责任。</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3、对设备服务要求的有效响应将被视为投标人对其所投标设备的服务承诺，如果中标，须将服务承诺列入合同的设备服务条款。</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投标人须保证所提供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5、项目所涉及的软件到货时，须注明供货对象为杭州市公安局西湖风景名胜区分局；涉及进口货物应在到货验收时乙方还须提供报关单、产地证及商检证明等材料，杭州市公安局西湖风景名胜区分局是所有设备的最终用户。</w:t>
      </w:r>
    </w:p>
    <w:p>
      <w:pPr>
        <w:spacing w:line="360" w:lineRule="auto"/>
        <w:jc w:val="left"/>
        <w:rPr>
          <w:rFonts w:hint="eastAsia" w:ascii="仿宋" w:hAnsi="仿宋" w:eastAsia="仿宋" w:cs="Arial"/>
          <w:b/>
          <w:snapToGrid w:val="0"/>
          <w:kern w:val="0"/>
          <w:sz w:val="24"/>
        </w:rPr>
      </w:pPr>
      <w:r>
        <w:rPr>
          <w:rFonts w:hint="eastAsia" w:ascii="仿宋" w:hAnsi="仿宋" w:eastAsia="仿宋" w:cs="Arial"/>
          <w:b/>
          <w:snapToGrid w:val="0"/>
          <w:kern w:val="0"/>
          <w:sz w:val="24"/>
        </w:rPr>
        <w:t>五、技术服务</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如果设备在质保期内发生系统故障，投标人应及时予以响应（免费上门服务），否则采购人将自行采取必要的措施，由此产生风险和费用由投标人承担。投标人对其提供的软硬件产品提供3年及以上原厂商质保。保修期从验收合格之日起开始计算。</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特别提示：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spacing w:line="360" w:lineRule="auto"/>
        <w:jc w:val="left"/>
        <w:rPr>
          <w:rFonts w:hint="eastAsia" w:ascii="仿宋" w:hAnsi="仿宋" w:eastAsia="仿宋" w:cs="Arial"/>
          <w:snapToGrid w:val="0"/>
          <w:kern w:val="0"/>
          <w:sz w:val="24"/>
        </w:rPr>
      </w:pPr>
    </w:p>
    <w:p>
      <w:pPr>
        <w:spacing w:line="360" w:lineRule="auto"/>
        <w:jc w:val="left"/>
        <w:rPr>
          <w:rFonts w:hint="eastAsia" w:ascii="仿宋" w:hAnsi="仿宋" w:eastAsia="仿宋" w:cs="Arial"/>
          <w:b/>
          <w:snapToGrid w:val="0"/>
          <w:kern w:val="0"/>
          <w:sz w:val="24"/>
        </w:rPr>
      </w:pPr>
      <w:r>
        <w:rPr>
          <w:rFonts w:hint="eastAsia" w:ascii="仿宋" w:hAnsi="仿宋" w:eastAsia="仿宋" w:cs="Arial"/>
          <w:b/>
          <w:snapToGrid w:val="0"/>
          <w:kern w:val="0"/>
          <w:sz w:val="24"/>
        </w:rPr>
        <w:t>六、项目的工作内容及成果</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文档的提交应覆盖以下内容，电子文档是成果不可分割的部分。要求如下文档：</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1、项目实施前：需求分析报告；深化设计方案、施工组织计划、设计图纸等；</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2、项目实施期间：施工报告、设备验货资料、故障诊断及排除记录、项目实施过程中衍生的其它相关资料；</w:t>
      </w:r>
      <w:r>
        <w:rPr>
          <w:rFonts w:hint="eastAsia" w:ascii="仿宋" w:hAnsi="仿宋" w:eastAsia="仿宋" w:cs="Arial"/>
          <w:snapToGrid w:val="0"/>
          <w:kern w:val="0"/>
          <w:sz w:val="24"/>
        </w:rPr>
        <w:tab/>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3、项目实施后：系统试运行和自测报告、第三方检测报告、故障诊断与排除手册、工作总结报告、竣工图纸等；</w:t>
      </w:r>
    </w:p>
    <w:p>
      <w:pPr>
        <w:spacing w:line="360" w:lineRule="auto"/>
        <w:jc w:val="left"/>
        <w:rPr>
          <w:rFonts w:hint="eastAsia" w:ascii="仿宋" w:hAnsi="仿宋" w:eastAsia="仿宋" w:cs="Arial"/>
          <w:snapToGrid w:val="0"/>
          <w:kern w:val="0"/>
          <w:sz w:val="24"/>
        </w:rPr>
      </w:pPr>
      <w:r>
        <w:rPr>
          <w:rFonts w:hint="eastAsia" w:ascii="仿宋" w:hAnsi="仿宋" w:eastAsia="仿宋" w:cs="Arial"/>
          <w:snapToGrid w:val="0"/>
          <w:kern w:val="0"/>
          <w:sz w:val="24"/>
        </w:rPr>
        <w:t>4、培训期间：培训计划、用户使用手册、管理员使用手册等；</w:t>
      </w:r>
    </w:p>
    <w:p>
      <w:pPr>
        <w:spacing w:line="360" w:lineRule="auto"/>
        <w:jc w:val="left"/>
        <w:rPr>
          <w:rFonts w:hint="eastAsia" w:ascii="仿宋" w:hAnsi="仿宋" w:eastAsia="仿宋" w:cs="仿宋_GB2312"/>
          <w:sz w:val="24"/>
        </w:rPr>
      </w:pPr>
      <w:r>
        <w:rPr>
          <w:rFonts w:hint="eastAsia" w:ascii="仿宋" w:hAnsi="仿宋" w:eastAsia="仿宋" w:cs="Arial"/>
          <w:snapToGrid w:val="0"/>
          <w:kern w:val="0"/>
          <w:sz w:val="24"/>
        </w:rPr>
        <w:t>5、运行维护期间：日常运行记录、备品备件、巡检记录、维修记录、维护总结报告、月报、年报等。</w:t>
      </w:r>
    </w:p>
    <w:p>
      <w:pPr>
        <w:spacing w:line="360" w:lineRule="auto"/>
        <w:jc w:val="left"/>
        <w:outlineLvl w:val="0"/>
        <w:rPr>
          <w:rFonts w:hint="eastAsia" w:ascii="仿宋" w:hAnsi="仿宋" w:eastAsia="仿宋" w:cs="仿宋_GB2312"/>
          <w:b/>
          <w:sz w:val="24"/>
        </w:rPr>
      </w:pPr>
    </w:p>
    <w:p>
      <w:pPr>
        <w:spacing w:line="360" w:lineRule="auto"/>
        <w:outlineLvl w:val="0"/>
        <w:rPr>
          <w:rFonts w:hint="eastAsia" w:ascii="仿宋_GB2312" w:hAnsi="仿宋_GB2312" w:eastAsia="仿宋_GB2312" w:cs="仿宋_GB2312"/>
          <w:b/>
          <w:sz w:val="36"/>
          <w:szCs w:val="36"/>
        </w:rPr>
        <w:sectPr>
          <w:footerReference r:id="rId10" w:type="first"/>
          <w:footerReference r:id="rId8" w:type="default"/>
          <w:headerReference r:id="rId7" w:type="even"/>
          <w:footerReference r:id="rId9" w:type="even"/>
          <w:pgSz w:w="11906" w:h="16838"/>
          <w:pgMar w:top="1440" w:right="1797" w:bottom="1440" w:left="1797" w:header="851" w:footer="992" w:gutter="0"/>
          <w:cols w:space="720" w:num="1"/>
          <w:titlePg/>
          <w:docGrid w:linePitch="312" w:charSpace="0"/>
        </w:sectPr>
      </w:pPr>
    </w:p>
    <w:p>
      <w:pPr>
        <w:adjustRightInd/>
        <w:spacing w:line="360" w:lineRule="auto"/>
        <w:jc w:val="center"/>
        <w:rPr>
          <w:rFonts w:hint="eastAsia" w:ascii="仿宋" w:hAnsi="仿宋" w:eastAsia="仿宋" w:cs="仿宋_GB2312"/>
          <w:b/>
          <w:sz w:val="36"/>
          <w:szCs w:val="36"/>
        </w:rPr>
      </w:pPr>
      <w:r>
        <w:rPr>
          <w:rFonts w:hint="eastAsia" w:ascii="仿宋" w:hAnsi="仿宋" w:eastAsia="仿宋" w:cs="仿宋_GB2312"/>
          <w:b/>
          <w:sz w:val="36"/>
          <w:szCs w:val="36"/>
        </w:rPr>
        <w:t xml:space="preserve">第四部分   </w:t>
      </w:r>
      <w:bookmarkStart w:id="129" w:name="_Toc184313277"/>
      <w:bookmarkEnd w:id="129"/>
      <w:bookmarkStart w:id="130" w:name="_Toc184314431"/>
      <w:bookmarkEnd w:id="130"/>
      <w:bookmarkStart w:id="131" w:name="_Toc184314458"/>
      <w:bookmarkEnd w:id="131"/>
      <w:bookmarkStart w:id="132" w:name="_Toc184314449"/>
      <w:bookmarkEnd w:id="132"/>
      <w:bookmarkStart w:id="133" w:name="_Toc184308039"/>
      <w:bookmarkEnd w:id="133"/>
      <w:bookmarkStart w:id="134" w:name="_Toc184312084"/>
      <w:bookmarkEnd w:id="134"/>
      <w:bookmarkStart w:id="135" w:name="_Toc184313251"/>
      <w:bookmarkEnd w:id="135"/>
      <w:bookmarkStart w:id="136" w:name="_Toc184310297"/>
      <w:bookmarkEnd w:id="136"/>
      <w:bookmarkStart w:id="137" w:name="_Toc184308101"/>
      <w:bookmarkEnd w:id="137"/>
      <w:bookmarkStart w:id="138" w:name="_Toc184310275"/>
      <w:bookmarkEnd w:id="138"/>
      <w:bookmarkStart w:id="139" w:name="_Toc184310317"/>
      <w:bookmarkEnd w:id="139"/>
      <w:bookmarkStart w:id="140" w:name="_Toc184308058"/>
      <w:bookmarkEnd w:id="140"/>
      <w:bookmarkStart w:id="141" w:name="_Toc184312069"/>
      <w:bookmarkEnd w:id="141"/>
      <w:bookmarkStart w:id="142" w:name="_Toc184308053"/>
      <w:bookmarkEnd w:id="142"/>
      <w:bookmarkStart w:id="143" w:name="_Toc184310281"/>
      <w:bookmarkEnd w:id="143"/>
      <w:bookmarkStart w:id="144" w:name="_Toc184314413"/>
      <w:bookmarkEnd w:id="144"/>
      <w:bookmarkStart w:id="145" w:name="_Toc184312112"/>
      <w:bookmarkEnd w:id="145"/>
      <w:bookmarkStart w:id="146" w:name="_Toc184313292"/>
      <w:bookmarkEnd w:id="146"/>
      <w:bookmarkStart w:id="147" w:name="_Toc184308061"/>
      <w:bookmarkEnd w:id="147"/>
      <w:bookmarkStart w:id="148" w:name="_Toc184313306"/>
      <w:bookmarkEnd w:id="148"/>
      <w:bookmarkStart w:id="149" w:name="_Toc184313254"/>
      <w:bookmarkEnd w:id="149"/>
      <w:bookmarkStart w:id="150" w:name="_Toc184314478"/>
      <w:bookmarkEnd w:id="150"/>
      <w:bookmarkStart w:id="151" w:name="_Toc184314432"/>
      <w:bookmarkEnd w:id="151"/>
      <w:bookmarkStart w:id="152" w:name="_Toc184314455"/>
      <w:bookmarkEnd w:id="152"/>
      <w:bookmarkStart w:id="153" w:name="_Toc184310322"/>
      <w:bookmarkEnd w:id="153"/>
      <w:bookmarkStart w:id="154" w:name="_Toc184310299"/>
      <w:bookmarkEnd w:id="154"/>
      <w:bookmarkStart w:id="155" w:name="_Toc184310336"/>
      <w:bookmarkEnd w:id="155"/>
      <w:bookmarkStart w:id="156" w:name="_Toc184308081"/>
      <w:bookmarkEnd w:id="156"/>
      <w:bookmarkStart w:id="157" w:name="_Toc184310288"/>
      <w:bookmarkEnd w:id="157"/>
      <w:bookmarkStart w:id="158" w:name="_Toc184312070"/>
      <w:bookmarkEnd w:id="158"/>
      <w:bookmarkStart w:id="159" w:name="_Toc184314473"/>
      <w:bookmarkEnd w:id="159"/>
      <w:bookmarkStart w:id="160" w:name="_Toc184308054"/>
      <w:bookmarkEnd w:id="160"/>
      <w:bookmarkStart w:id="161" w:name="_Toc184314446"/>
      <w:bookmarkEnd w:id="161"/>
      <w:bookmarkStart w:id="162" w:name="_Toc184313256"/>
      <w:bookmarkEnd w:id="162"/>
      <w:bookmarkStart w:id="163" w:name="_Toc184314434"/>
      <w:bookmarkEnd w:id="163"/>
      <w:bookmarkStart w:id="164" w:name="_Toc184313275"/>
      <w:bookmarkEnd w:id="164"/>
      <w:bookmarkStart w:id="165" w:name="_Toc184310291"/>
      <w:bookmarkEnd w:id="165"/>
      <w:bookmarkStart w:id="166" w:name="_Toc184308057"/>
      <w:bookmarkEnd w:id="166"/>
      <w:bookmarkStart w:id="167" w:name="_Toc184313258"/>
      <w:bookmarkEnd w:id="167"/>
      <w:bookmarkStart w:id="168" w:name="_Toc184310289"/>
      <w:bookmarkEnd w:id="168"/>
      <w:bookmarkStart w:id="169" w:name="_Toc184314429"/>
      <w:bookmarkEnd w:id="169"/>
      <w:bookmarkStart w:id="170" w:name="_Toc184312067"/>
      <w:bookmarkEnd w:id="170"/>
      <w:bookmarkStart w:id="171" w:name="_Toc184308055"/>
      <w:bookmarkEnd w:id="171"/>
      <w:bookmarkStart w:id="172" w:name="_Toc184313259"/>
      <w:bookmarkEnd w:id="172"/>
      <w:bookmarkStart w:id="173" w:name="_Toc184313255"/>
      <w:bookmarkEnd w:id="173"/>
      <w:bookmarkStart w:id="174" w:name="_Toc184312086"/>
      <w:bookmarkEnd w:id="174"/>
      <w:bookmarkStart w:id="175" w:name="_Toc184313303"/>
      <w:bookmarkEnd w:id="175"/>
      <w:bookmarkStart w:id="176" w:name="_Toc184308056"/>
      <w:bookmarkEnd w:id="176"/>
      <w:bookmarkStart w:id="177" w:name="_Toc184314454"/>
      <w:bookmarkEnd w:id="177"/>
      <w:bookmarkStart w:id="178" w:name="_Toc184314475"/>
      <w:bookmarkEnd w:id="178"/>
      <w:bookmarkStart w:id="179" w:name="_Toc184310292"/>
      <w:bookmarkEnd w:id="179"/>
      <w:bookmarkStart w:id="180" w:name="_Toc184312087"/>
      <w:bookmarkEnd w:id="180"/>
      <w:bookmarkStart w:id="181" w:name="_Toc184310293"/>
      <w:bookmarkEnd w:id="181"/>
      <w:bookmarkStart w:id="182" w:name="_Toc184312106"/>
      <w:bookmarkEnd w:id="182"/>
      <w:bookmarkStart w:id="183" w:name="_Toc184314428"/>
      <w:bookmarkEnd w:id="183"/>
      <w:bookmarkStart w:id="184" w:name="_Toc184313307"/>
      <w:bookmarkEnd w:id="184"/>
      <w:bookmarkStart w:id="185" w:name="_Toc184313257"/>
      <w:bookmarkEnd w:id="185"/>
      <w:bookmarkStart w:id="186" w:name="_Toc184314430"/>
      <w:bookmarkEnd w:id="186"/>
      <w:bookmarkStart w:id="187" w:name="_Toc184312088"/>
      <w:bookmarkEnd w:id="187"/>
      <w:bookmarkStart w:id="188" w:name="_Toc184313283"/>
      <w:bookmarkEnd w:id="188"/>
      <w:bookmarkStart w:id="189" w:name="_Toc184313267"/>
      <w:bookmarkEnd w:id="189"/>
      <w:bookmarkStart w:id="190" w:name="_Toc184313268"/>
      <w:bookmarkEnd w:id="190"/>
      <w:bookmarkStart w:id="191" w:name="_Toc184312113"/>
      <w:bookmarkEnd w:id="191"/>
      <w:bookmarkStart w:id="192" w:name="_Toc184310301"/>
      <w:bookmarkEnd w:id="192"/>
      <w:bookmarkStart w:id="193" w:name="_Toc184310273"/>
      <w:bookmarkEnd w:id="193"/>
      <w:bookmarkStart w:id="194" w:name="_Toc184312068"/>
      <w:bookmarkEnd w:id="194"/>
      <w:bookmarkStart w:id="195" w:name="_Toc184314447"/>
      <w:bookmarkEnd w:id="195"/>
      <w:bookmarkStart w:id="196" w:name="_Toc184310282"/>
      <w:bookmarkEnd w:id="196"/>
      <w:bookmarkStart w:id="197" w:name="_Toc184314439"/>
      <w:bookmarkEnd w:id="197"/>
      <w:bookmarkStart w:id="198" w:name="_Toc184312095"/>
      <w:bookmarkEnd w:id="198"/>
      <w:bookmarkStart w:id="199" w:name="_Toc184310315"/>
      <w:bookmarkEnd w:id="199"/>
      <w:bookmarkStart w:id="200" w:name="_Toc184313281"/>
      <w:bookmarkEnd w:id="200"/>
      <w:bookmarkStart w:id="201" w:name="_Toc184310341"/>
      <w:bookmarkEnd w:id="201"/>
      <w:bookmarkStart w:id="202" w:name="_Toc184310300"/>
      <w:bookmarkEnd w:id="202"/>
      <w:bookmarkStart w:id="203" w:name="_Toc184308065"/>
      <w:bookmarkEnd w:id="203"/>
      <w:bookmarkStart w:id="204" w:name="_Toc184308064"/>
      <w:bookmarkEnd w:id="204"/>
      <w:bookmarkStart w:id="205" w:name="_Toc184312096"/>
      <w:bookmarkEnd w:id="205"/>
      <w:bookmarkStart w:id="206" w:name="_Toc184312083"/>
      <w:bookmarkEnd w:id="206"/>
      <w:bookmarkStart w:id="207" w:name="_Toc184308066"/>
      <w:bookmarkEnd w:id="207"/>
      <w:bookmarkStart w:id="208" w:name="_Toc184310302"/>
      <w:bookmarkEnd w:id="208"/>
      <w:bookmarkStart w:id="209" w:name="_Toc184312097"/>
      <w:bookmarkEnd w:id="209"/>
      <w:bookmarkStart w:id="210" w:name="_Toc184314426"/>
      <w:bookmarkEnd w:id="210"/>
      <w:bookmarkStart w:id="211" w:name="_Toc184314438"/>
      <w:bookmarkEnd w:id="211"/>
      <w:bookmarkStart w:id="212" w:name="_Toc184308074"/>
      <w:bookmarkEnd w:id="212"/>
      <w:bookmarkStart w:id="213" w:name="_Toc184308052"/>
      <w:bookmarkEnd w:id="213"/>
      <w:bookmarkStart w:id="214" w:name="_Toc184313266"/>
      <w:bookmarkEnd w:id="214"/>
      <w:bookmarkStart w:id="215" w:name="_Toc184312103"/>
      <w:bookmarkEnd w:id="215"/>
      <w:bookmarkStart w:id="216" w:name="_Toc184308069"/>
      <w:bookmarkEnd w:id="216"/>
      <w:bookmarkStart w:id="217" w:name="_Toc184308070"/>
      <w:bookmarkEnd w:id="217"/>
      <w:bookmarkStart w:id="218" w:name="_Toc184308067"/>
      <w:bookmarkEnd w:id="218"/>
      <w:bookmarkStart w:id="219" w:name="_Toc184310310"/>
      <w:bookmarkEnd w:id="219"/>
      <w:bookmarkStart w:id="220" w:name="_Toc184314443"/>
      <w:bookmarkEnd w:id="220"/>
      <w:bookmarkStart w:id="221" w:name="_Toc184310306"/>
      <w:bookmarkEnd w:id="221"/>
      <w:bookmarkStart w:id="222" w:name="_Toc184308047"/>
      <w:bookmarkEnd w:id="222"/>
      <w:bookmarkStart w:id="223" w:name="_Toc184313272"/>
      <w:bookmarkEnd w:id="223"/>
      <w:bookmarkStart w:id="224" w:name="_Toc184314444"/>
      <w:bookmarkEnd w:id="224"/>
      <w:bookmarkStart w:id="225" w:name="_Toc184313269"/>
      <w:bookmarkEnd w:id="225"/>
      <w:bookmarkStart w:id="226" w:name="_Toc184310305"/>
      <w:bookmarkEnd w:id="226"/>
      <w:bookmarkStart w:id="227" w:name="_Toc184310307"/>
      <w:bookmarkEnd w:id="227"/>
      <w:bookmarkStart w:id="228" w:name="_Toc184312102"/>
      <w:bookmarkEnd w:id="228"/>
      <w:bookmarkStart w:id="229" w:name="_Toc184313273"/>
      <w:bookmarkEnd w:id="229"/>
      <w:bookmarkStart w:id="230" w:name="_Toc184310308"/>
      <w:bookmarkEnd w:id="230"/>
      <w:bookmarkStart w:id="231" w:name="_Toc184314445"/>
      <w:bookmarkEnd w:id="231"/>
      <w:bookmarkStart w:id="232" w:name="_Toc184308072"/>
      <w:bookmarkEnd w:id="232"/>
      <w:bookmarkStart w:id="233" w:name="_Toc184312100"/>
      <w:bookmarkEnd w:id="233"/>
      <w:bookmarkStart w:id="234" w:name="_Toc184312101"/>
      <w:bookmarkEnd w:id="234"/>
      <w:bookmarkStart w:id="235" w:name="_Toc184308071"/>
      <w:bookmarkEnd w:id="235"/>
      <w:bookmarkStart w:id="236" w:name="_Toc184310303"/>
      <w:bookmarkEnd w:id="236"/>
      <w:bookmarkStart w:id="237" w:name="_Toc184312136"/>
      <w:bookmarkEnd w:id="237"/>
      <w:bookmarkStart w:id="238" w:name="_Toc184312098"/>
      <w:bookmarkEnd w:id="238"/>
      <w:bookmarkStart w:id="239" w:name="_Toc184313270"/>
      <w:bookmarkEnd w:id="239"/>
      <w:bookmarkStart w:id="240" w:name="_Toc184313271"/>
      <w:bookmarkEnd w:id="240"/>
      <w:bookmarkStart w:id="241" w:name="_Toc184314440"/>
      <w:bookmarkEnd w:id="241"/>
      <w:bookmarkStart w:id="242" w:name="_Toc184314442"/>
      <w:bookmarkEnd w:id="242"/>
      <w:bookmarkStart w:id="243" w:name="_Toc184310284"/>
      <w:bookmarkEnd w:id="243"/>
      <w:bookmarkStart w:id="244" w:name="_Toc184313240"/>
      <w:bookmarkEnd w:id="244"/>
      <w:bookmarkStart w:id="245" w:name="_Toc184308051"/>
      <w:bookmarkEnd w:id="245"/>
      <w:bookmarkStart w:id="246" w:name="_Toc184312104"/>
      <w:bookmarkEnd w:id="246"/>
      <w:bookmarkStart w:id="247" w:name="_Toc184308102"/>
      <w:bookmarkEnd w:id="247"/>
      <w:bookmarkStart w:id="248" w:name="_Toc184312071"/>
      <w:bookmarkEnd w:id="248"/>
      <w:bookmarkStart w:id="249" w:name="_Toc184308084"/>
      <w:bookmarkEnd w:id="249"/>
      <w:bookmarkStart w:id="250" w:name="_Toc184310286"/>
      <w:bookmarkEnd w:id="250"/>
      <w:bookmarkStart w:id="251" w:name="_Toc184310311"/>
      <w:bookmarkEnd w:id="251"/>
      <w:bookmarkStart w:id="252" w:name="_Toc184312126"/>
      <w:bookmarkEnd w:id="252"/>
      <w:bookmarkStart w:id="253" w:name="_Toc184312079"/>
      <w:bookmarkEnd w:id="253"/>
      <w:bookmarkStart w:id="254" w:name="_Toc184312138"/>
      <w:bookmarkEnd w:id="254"/>
      <w:bookmarkStart w:id="255" w:name="_Toc184308082"/>
      <w:bookmarkEnd w:id="255"/>
      <w:bookmarkStart w:id="256" w:name="_Toc184308100"/>
      <w:bookmarkEnd w:id="256"/>
      <w:bookmarkStart w:id="257" w:name="_Toc184314410"/>
      <w:bookmarkEnd w:id="257"/>
      <w:bookmarkStart w:id="258" w:name="_Toc184314419"/>
      <w:bookmarkEnd w:id="258"/>
      <w:bookmarkStart w:id="259" w:name="_Toc184310283"/>
      <w:bookmarkEnd w:id="259"/>
      <w:bookmarkStart w:id="260" w:name="_Toc184313247"/>
      <w:bookmarkEnd w:id="260"/>
      <w:bookmarkStart w:id="261" w:name="_Toc184313249"/>
      <w:bookmarkEnd w:id="261"/>
      <w:bookmarkStart w:id="262" w:name="_Toc184312081"/>
      <w:bookmarkEnd w:id="262"/>
      <w:bookmarkStart w:id="263" w:name="_Toc184313238"/>
      <w:bookmarkEnd w:id="263"/>
      <w:bookmarkStart w:id="264" w:name="_Toc184312078"/>
      <w:bookmarkEnd w:id="264"/>
      <w:bookmarkStart w:id="265" w:name="_Toc184314423"/>
      <w:bookmarkEnd w:id="265"/>
      <w:bookmarkStart w:id="266" w:name="_Toc184313252"/>
      <w:bookmarkEnd w:id="266"/>
      <w:bookmarkStart w:id="267" w:name="_Toc184314420"/>
      <w:bookmarkEnd w:id="267"/>
      <w:bookmarkStart w:id="268" w:name="_Toc184313264"/>
      <w:bookmarkEnd w:id="268"/>
      <w:bookmarkStart w:id="269" w:name="_Toc184308048"/>
      <w:bookmarkEnd w:id="269"/>
      <w:bookmarkStart w:id="270" w:name="_Toc184314436"/>
      <w:bookmarkEnd w:id="270"/>
      <w:bookmarkStart w:id="271" w:name="_Toc184310285"/>
      <w:bookmarkEnd w:id="271"/>
      <w:bookmarkStart w:id="272" w:name="_Toc184310337"/>
      <w:bookmarkEnd w:id="272"/>
      <w:bookmarkStart w:id="273" w:name="_Toc184308083"/>
      <w:bookmarkEnd w:id="273"/>
      <w:bookmarkStart w:id="274" w:name="_Toc184310319"/>
      <w:bookmarkEnd w:id="274"/>
      <w:bookmarkStart w:id="275" w:name="_Toc184310309"/>
      <w:bookmarkEnd w:id="275"/>
      <w:bookmarkStart w:id="276" w:name="_Toc184312114"/>
      <w:bookmarkEnd w:id="276"/>
      <w:bookmarkStart w:id="277" w:name="_Toc184313310"/>
      <w:bookmarkEnd w:id="277"/>
      <w:bookmarkStart w:id="278" w:name="_Toc184313239"/>
      <w:bookmarkEnd w:id="278"/>
      <w:bookmarkStart w:id="279" w:name="_Toc184308078"/>
      <w:bookmarkEnd w:id="279"/>
      <w:bookmarkStart w:id="280" w:name="_Toc184308079"/>
      <w:bookmarkEnd w:id="280"/>
      <w:bookmarkStart w:id="281" w:name="_Toc184313242"/>
      <w:bookmarkEnd w:id="281"/>
      <w:bookmarkStart w:id="282" w:name="_Toc184308086"/>
      <w:bookmarkEnd w:id="282"/>
      <w:bookmarkStart w:id="283" w:name="_Toc184314421"/>
      <w:bookmarkEnd w:id="283"/>
      <w:bookmarkStart w:id="284" w:name="_Toc184314456"/>
      <w:bookmarkEnd w:id="284"/>
      <w:bookmarkStart w:id="285" w:name="_Toc184310313"/>
      <w:bookmarkEnd w:id="285"/>
      <w:bookmarkStart w:id="286" w:name="_Toc184314441"/>
      <w:bookmarkEnd w:id="286"/>
      <w:bookmarkStart w:id="287" w:name="_Toc184308063"/>
      <w:bookmarkEnd w:id="287"/>
      <w:bookmarkStart w:id="288" w:name="_Toc184312139"/>
      <w:bookmarkEnd w:id="288"/>
      <w:bookmarkStart w:id="289" w:name="_Toc184312099"/>
      <w:bookmarkEnd w:id="289"/>
      <w:bookmarkStart w:id="290" w:name="_Toc184312131"/>
      <w:bookmarkEnd w:id="290"/>
      <w:bookmarkStart w:id="291" w:name="_Toc184313279"/>
      <w:bookmarkEnd w:id="291"/>
      <w:bookmarkStart w:id="292" w:name="_Toc184314482"/>
      <w:bookmarkEnd w:id="292"/>
      <w:bookmarkStart w:id="293" w:name="_Toc184312093"/>
      <w:bookmarkEnd w:id="293"/>
      <w:bookmarkStart w:id="294" w:name="_Toc184314453"/>
      <w:bookmarkEnd w:id="294"/>
      <w:bookmarkStart w:id="295" w:name="_Toc184314422"/>
      <w:bookmarkEnd w:id="295"/>
      <w:bookmarkStart w:id="296" w:name="_Toc184308088"/>
      <w:bookmarkEnd w:id="296"/>
      <w:bookmarkStart w:id="297" w:name="_Toc184310324"/>
      <w:bookmarkEnd w:id="297"/>
      <w:bookmarkStart w:id="298" w:name="_Toc184313250"/>
      <w:bookmarkEnd w:id="298"/>
      <w:bookmarkStart w:id="299" w:name="_Toc184312105"/>
      <w:bookmarkEnd w:id="299"/>
      <w:bookmarkStart w:id="300" w:name="_Toc184314464"/>
      <w:bookmarkEnd w:id="300"/>
      <w:bookmarkStart w:id="301" w:name="_Toc184313274"/>
      <w:bookmarkEnd w:id="301"/>
      <w:bookmarkStart w:id="302" w:name="_Toc184314479"/>
      <w:bookmarkEnd w:id="302"/>
      <w:bookmarkStart w:id="303" w:name="_Toc184312108"/>
      <w:bookmarkEnd w:id="303"/>
      <w:bookmarkStart w:id="304" w:name="_Toc184308085"/>
      <w:bookmarkEnd w:id="304"/>
      <w:bookmarkStart w:id="305" w:name="_Toc184308077"/>
      <w:bookmarkEnd w:id="305"/>
      <w:bookmarkStart w:id="306" w:name="_Toc184313288"/>
      <w:bookmarkEnd w:id="306"/>
      <w:bookmarkStart w:id="307" w:name="_Toc184314480"/>
      <w:bookmarkEnd w:id="307"/>
      <w:bookmarkStart w:id="308" w:name="_Toc184313248"/>
      <w:bookmarkEnd w:id="308"/>
      <w:bookmarkStart w:id="309" w:name="_Toc184310331"/>
      <w:bookmarkEnd w:id="309"/>
      <w:bookmarkStart w:id="310" w:name="_Toc184312080"/>
      <w:bookmarkEnd w:id="310"/>
      <w:bookmarkStart w:id="311" w:name="_Toc184312137"/>
      <w:bookmarkEnd w:id="311"/>
      <w:bookmarkStart w:id="312" w:name="_Toc184308108"/>
      <w:bookmarkEnd w:id="312"/>
      <w:bookmarkStart w:id="313" w:name="_Toc184314460"/>
      <w:bookmarkEnd w:id="313"/>
      <w:bookmarkStart w:id="314" w:name="_Toc184308087"/>
      <w:bookmarkEnd w:id="314"/>
      <w:bookmarkStart w:id="315" w:name="_Toc184310343"/>
      <w:bookmarkEnd w:id="315"/>
      <w:bookmarkStart w:id="316" w:name="_Toc184308107"/>
      <w:bookmarkEnd w:id="316"/>
      <w:bookmarkStart w:id="317" w:name="_Toc184314481"/>
      <w:bookmarkEnd w:id="317"/>
      <w:bookmarkStart w:id="318" w:name="_Toc184310323"/>
      <w:bookmarkEnd w:id="318"/>
      <w:bookmarkStart w:id="319" w:name="_Toc184314451"/>
      <w:bookmarkEnd w:id="319"/>
      <w:bookmarkStart w:id="320" w:name="_Toc184313308"/>
      <w:bookmarkEnd w:id="320"/>
      <w:bookmarkStart w:id="321" w:name="_Toc184312118"/>
      <w:bookmarkEnd w:id="321"/>
      <w:bookmarkStart w:id="322" w:name="_Toc184313289"/>
      <w:bookmarkEnd w:id="322"/>
      <w:bookmarkStart w:id="323" w:name="_Toc184314461"/>
      <w:bookmarkEnd w:id="323"/>
      <w:bookmarkStart w:id="324" w:name="_Toc184310328"/>
      <w:bookmarkEnd w:id="324"/>
      <w:bookmarkStart w:id="325" w:name="_Toc184312123"/>
      <w:bookmarkEnd w:id="325"/>
      <w:bookmarkStart w:id="326" w:name="_Toc184313294"/>
      <w:bookmarkEnd w:id="326"/>
      <w:bookmarkStart w:id="327" w:name="_Toc184314466"/>
      <w:bookmarkEnd w:id="327"/>
      <w:bookmarkStart w:id="328" w:name="_Toc184308091"/>
      <w:bookmarkEnd w:id="328"/>
      <w:bookmarkStart w:id="329" w:name="_Toc184313290"/>
      <w:bookmarkEnd w:id="329"/>
      <w:bookmarkStart w:id="330" w:name="_Toc184308089"/>
      <w:bookmarkEnd w:id="330"/>
      <w:bookmarkStart w:id="331" w:name="_Toc184310325"/>
      <w:bookmarkEnd w:id="331"/>
      <w:bookmarkStart w:id="332" w:name="_Toc184313293"/>
      <w:bookmarkEnd w:id="332"/>
      <w:bookmarkStart w:id="333" w:name="_Toc184312119"/>
      <w:bookmarkEnd w:id="333"/>
      <w:bookmarkStart w:id="334" w:name="_Toc184308090"/>
      <w:bookmarkEnd w:id="334"/>
      <w:bookmarkStart w:id="335" w:name="_Toc184314462"/>
      <w:bookmarkEnd w:id="335"/>
      <w:bookmarkStart w:id="336" w:name="_Toc184310329"/>
      <w:bookmarkEnd w:id="336"/>
      <w:bookmarkStart w:id="337" w:name="_Toc184312124"/>
      <w:bookmarkEnd w:id="337"/>
      <w:bookmarkStart w:id="338" w:name="_Toc184308093"/>
      <w:bookmarkEnd w:id="338"/>
      <w:bookmarkStart w:id="339" w:name="_Toc184313291"/>
      <w:bookmarkEnd w:id="339"/>
      <w:bookmarkStart w:id="340" w:name="_Toc184312109"/>
      <w:bookmarkEnd w:id="340"/>
      <w:bookmarkStart w:id="341" w:name="_Toc184308092"/>
      <w:bookmarkEnd w:id="341"/>
      <w:bookmarkStart w:id="342" w:name="_Toc184308068"/>
      <w:bookmarkEnd w:id="342"/>
      <w:bookmarkStart w:id="343" w:name="_Toc184313295"/>
      <w:bookmarkEnd w:id="343"/>
      <w:bookmarkStart w:id="344" w:name="_Toc184310327"/>
      <w:bookmarkEnd w:id="344"/>
      <w:bookmarkStart w:id="345" w:name="_Toc184312120"/>
      <w:bookmarkEnd w:id="345"/>
      <w:bookmarkStart w:id="346" w:name="_Toc184314463"/>
      <w:bookmarkEnd w:id="346"/>
      <w:bookmarkStart w:id="347" w:name="_Toc184310326"/>
      <w:bookmarkEnd w:id="347"/>
      <w:bookmarkStart w:id="348" w:name="_Toc184312121"/>
      <w:bookmarkEnd w:id="348"/>
      <w:bookmarkStart w:id="349" w:name="_Toc184313241"/>
      <w:bookmarkEnd w:id="349"/>
      <w:bookmarkStart w:id="350" w:name="_Toc184313302"/>
      <w:bookmarkEnd w:id="350"/>
      <w:bookmarkStart w:id="351" w:name="_Toc184312122"/>
      <w:bookmarkEnd w:id="351"/>
      <w:bookmarkStart w:id="352" w:name="_Toc184314465"/>
      <w:bookmarkEnd w:id="352"/>
      <w:bookmarkStart w:id="353" w:name="_Toc184314469"/>
      <w:bookmarkEnd w:id="353"/>
      <w:bookmarkStart w:id="354" w:name="_Toc184313298"/>
      <w:bookmarkEnd w:id="354"/>
      <w:bookmarkStart w:id="355" w:name="_Toc184314470"/>
      <w:bookmarkEnd w:id="355"/>
      <w:bookmarkStart w:id="356" w:name="_Toc184308097"/>
      <w:bookmarkEnd w:id="356"/>
      <w:bookmarkStart w:id="357" w:name="_Toc184308094"/>
      <w:bookmarkEnd w:id="357"/>
      <w:bookmarkStart w:id="358" w:name="_Toc184310330"/>
      <w:bookmarkEnd w:id="358"/>
      <w:bookmarkStart w:id="359" w:name="_Toc184313296"/>
      <w:bookmarkEnd w:id="359"/>
      <w:bookmarkStart w:id="360" w:name="_Toc184314468"/>
      <w:bookmarkEnd w:id="360"/>
      <w:bookmarkStart w:id="361" w:name="_Toc184313297"/>
      <w:bookmarkEnd w:id="361"/>
      <w:bookmarkStart w:id="362" w:name="_Toc184308096"/>
      <w:bookmarkEnd w:id="362"/>
      <w:bookmarkStart w:id="363" w:name="_Toc184308095"/>
      <w:bookmarkEnd w:id="363"/>
      <w:bookmarkStart w:id="364" w:name="_Toc184314467"/>
      <w:bookmarkEnd w:id="364"/>
      <w:bookmarkStart w:id="365" w:name="_Toc184312091"/>
      <w:bookmarkEnd w:id="365"/>
      <w:bookmarkStart w:id="366" w:name="_Toc184312125"/>
      <w:bookmarkEnd w:id="366"/>
      <w:bookmarkStart w:id="367" w:name="_Toc184312082"/>
      <w:bookmarkEnd w:id="367"/>
      <w:bookmarkStart w:id="368" w:name="_Toc184310332"/>
      <w:bookmarkEnd w:id="368"/>
      <w:bookmarkStart w:id="369" w:name="_Toc184312127"/>
      <w:bookmarkEnd w:id="369"/>
      <w:bookmarkStart w:id="370" w:name="_Toc184310334"/>
      <w:bookmarkEnd w:id="370"/>
      <w:bookmarkStart w:id="371" w:name="_Toc184310333"/>
      <w:bookmarkEnd w:id="371"/>
      <w:bookmarkStart w:id="372" w:name="_Toc184313299"/>
      <w:bookmarkEnd w:id="372"/>
      <w:bookmarkStart w:id="373" w:name="_Toc184312128"/>
      <w:bookmarkEnd w:id="373"/>
      <w:bookmarkStart w:id="374" w:name="_Toc184314471"/>
      <w:bookmarkEnd w:id="374"/>
      <w:bookmarkStart w:id="375" w:name="_Toc184308098"/>
      <w:bookmarkEnd w:id="375"/>
      <w:bookmarkStart w:id="376" w:name="_Toc184312129"/>
      <w:bookmarkEnd w:id="376"/>
      <w:bookmarkStart w:id="377" w:name="_Toc184313300"/>
      <w:bookmarkEnd w:id="377"/>
      <w:bookmarkStart w:id="378" w:name="_Toc184314472"/>
      <w:bookmarkEnd w:id="378"/>
      <w:bookmarkStart w:id="379" w:name="_Toc184308099"/>
      <w:bookmarkEnd w:id="379"/>
      <w:bookmarkStart w:id="380" w:name="_Toc184310335"/>
      <w:bookmarkEnd w:id="380"/>
      <w:bookmarkStart w:id="381" w:name="_Toc184312130"/>
      <w:bookmarkEnd w:id="381"/>
      <w:bookmarkStart w:id="382" w:name="_Toc184313301"/>
      <w:bookmarkEnd w:id="382"/>
      <w:bookmarkStart w:id="383" w:name="_Toc184314477"/>
      <w:bookmarkEnd w:id="383"/>
      <w:bookmarkStart w:id="384" w:name="_Toc184314476"/>
      <w:bookmarkEnd w:id="384"/>
      <w:bookmarkStart w:id="385" w:name="_Toc184308103"/>
      <w:bookmarkEnd w:id="385"/>
      <w:bookmarkStart w:id="386" w:name="_Toc184314452"/>
      <w:bookmarkEnd w:id="386"/>
      <w:bookmarkStart w:id="387" w:name="_Toc184310339"/>
      <w:bookmarkEnd w:id="387"/>
      <w:bookmarkStart w:id="388" w:name="_Toc184312134"/>
      <w:bookmarkEnd w:id="388"/>
      <w:bookmarkStart w:id="389" w:name="_Toc184312133"/>
      <w:bookmarkEnd w:id="389"/>
      <w:bookmarkStart w:id="390" w:name="_Toc184313304"/>
      <w:bookmarkEnd w:id="390"/>
      <w:bookmarkStart w:id="391" w:name="_Toc184310338"/>
      <w:bookmarkEnd w:id="391"/>
      <w:bookmarkStart w:id="392" w:name="_Toc184313305"/>
      <w:bookmarkEnd w:id="392"/>
      <w:bookmarkStart w:id="393" w:name="_Toc184310318"/>
      <w:bookmarkEnd w:id="393"/>
      <w:bookmarkStart w:id="394" w:name="_Toc184312111"/>
      <w:bookmarkEnd w:id="394"/>
      <w:bookmarkStart w:id="395" w:name="_Toc184308104"/>
      <w:bookmarkEnd w:id="395"/>
      <w:bookmarkStart w:id="396" w:name="_Toc184310340"/>
      <w:bookmarkEnd w:id="396"/>
      <w:bookmarkStart w:id="397" w:name="_Toc184308080"/>
      <w:bookmarkEnd w:id="397"/>
      <w:bookmarkStart w:id="398" w:name="_Toc184314427"/>
      <w:bookmarkEnd w:id="398"/>
      <w:bookmarkStart w:id="399" w:name="_Toc184312092"/>
      <w:bookmarkEnd w:id="399"/>
      <w:bookmarkStart w:id="400" w:name="_Toc184313309"/>
      <w:bookmarkEnd w:id="400"/>
      <w:bookmarkStart w:id="401" w:name="_Toc184313276"/>
      <w:bookmarkEnd w:id="401"/>
      <w:bookmarkStart w:id="402" w:name="_Toc184312090"/>
      <w:bookmarkEnd w:id="402"/>
      <w:bookmarkStart w:id="403" w:name="_Toc184312077"/>
      <w:bookmarkEnd w:id="403"/>
      <w:bookmarkStart w:id="404" w:name="_Toc184312107"/>
      <w:bookmarkEnd w:id="404"/>
      <w:bookmarkStart w:id="405" w:name="_Toc184312110"/>
      <w:bookmarkEnd w:id="405"/>
      <w:bookmarkStart w:id="406" w:name="_Toc184313278"/>
      <w:bookmarkEnd w:id="406"/>
      <w:bookmarkStart w:id="407" w:name="_Toc184308046"/>
      <w:bookmarkEnd w:id="407"/>
      <w:bookmarkStart w:id="408" w:name="_Toc184314424"/>
      <w:bookmarkEnd w:id="408"/>
      <w:bookmarkStart w:id="409" w:name="_Toc184308076"/>
      <w:bookmarkEnd w:id="409"/>
      <w:bookmarkStart w:id="410" w:name="_Toc184310287"/>
      <w:bookmarkEnd w:id="410"/>
      <w:bookmarkStart w:id="411" w:name="_Toc184313285"/>
      <w:bookmarkEnd w:id="411"/>
      <w:bookmarkStart w:id="412" w:name="_Toc184314457"/>
      <w:bookmarkEnd w:id="412"/>
      <w:bookmarkStart w:id="413" w:name="_Toc184308050"/>
      <w:bookmarkEnd w:id="413"/>
      <w:bookmarkStart w:id="414" w:name="_Toc184314437"/>
      <w:bookmarkEnd w:id="414"/>
      <w:bookmarkStart w:id="415" w:name="_Toc184310312"/>
      <w:bookmarkEnd w:id="415"/>
      <w:bookmarkStart w:id="416" w:name="_Toc184310320"/>
      <w:bookmarkEnd w:id="416"/>
      <w:bookmarkStart w:id="417" w:name="_Toc184308106"/>
      <w:bookmarkEnd w:id="417"/>
      <w:bookmarkStart w:id="418" w:name="_Toc184308073"/>
      <w:bookmarkEnd w:id="418"/>
      <w:bookmarkStart w:id="419" w:name="_Toc184313286"/>
      <w:bookmarkEnd w:id="419"/>
      <w:bookmarkStart w:id="420" w:name="_Toc184310276"/>
      <w:bookmarkEnd w:id="420"/>
      <w:bookmarkStart w:id="421" w:name="_Toc184313265"/>
      <w:bookmarkEnd w:id="421"/>
      <w:bookmarkStart w:id="422" w:name="_Toc184312132"/>
      <w:bookmarkEnd w:id="422"/>
      <w:bookmarkStart w:id="423" w:name="_Toc184310290"/>
      <w:bookmarkEnd w:id="423"/>
      <w:bookmarkStart w:id="424" w:name="_Toc184310344"/>
      <w:bookmarkEnd w:id="424"/>
      <w:bookmarkStart w:id="425" w:name="_Toc184314474"/>
      <w:bookmarkEnd w:id="425"/>
      <w:bookmarkStart w:id="426" w:name="_Toc184310316"/>
      <w:bookmarkEnd w:id="426"/>
      <w:bookmarkStart w:id="427" w:name="_Toc184313282"/>
      <w:bookmarkEnd w:id="427"/>
      <w:bookmarkStart w:id="428" w:name="_Toc184314435"/>
      <w:bookmarkEnd w:id="428"/>
      <w:bookmarkStart w:id="429" w:name="_Toc184308062"/>
      <w:bookmarkEnd w:id="429"/>
      <w:bookmarkStart w:id="430" w:name="_Toc184314448"/>
      <w:bookmarkEnd w:id="430"/>
      <w:bookmarkStart w:id="431" w:name="_Toc184313284"/>
      <w:bookmarkEnd w:id="431"/>
      <w:bookmarkStart w:id="432" w:name="_Toc184308075"/>
      <w:bookmarkEnd w:id="432"/>
      <w:bookmarkStart w:id="433" w:name="_Toc184312089"/>
      <w:bookmarkEnd w:id="433"/>
      <w:bookmarkStart w:id="434" w:name="_Toc184308060"/>
      <w:bookmarkEnd w:id="434"/>
      <w:bookmarkStart w:id="435" w:name="_Toc184312076"/>
      <w:bookmarkEnd w:id="435"/>
      <w:bookmarkStart w:id="436" w:name="_Toc184310272"/>
      <w:bookmarkEnd w:id="436"/>
      <w:bookmarkStart w:id="437" w:name="_Toc184308036"/>
      <w:bookmarkEnd w:id="437"/>
      <w:bookmarkStart w:id="438" w:name="_Toc184314433"/>
      <w:bookmarkEnd w:id="438"/>
      <w:bookmarkStart w:id="439" w:name="_Toc184308045"/>
      <w:bookmarkEnd w:id="439"/>
      <w:bookmarkStart w:id="440" w:name="_Toc184310321"/>
      <w:bookmarkEnd w:id="440"/>
      <w:bookmarkStart w:id="441" w:name="_Toc184310304"/>
      <w:bookmarkEnd w:id="441"/>
      <w:bookmarkStart w:id="442" w:name="_Toc184308038"/>
      <w:bookmarkEnd w:id="442"/>
      <w:bookmarkStart w:id="443" w:name="_Toc184314411"/>
      <w:bookmarkEnd w:id="443"/>
      <w:bookmarkStart w:id="444" w:name="_Toc184313261"/>
      <w:bookmarkEnd w:id="444"/>
      <w:bookmarkStart w:id="445" w:name="_Toc184314425"/>
      <w:bookmarkEnd w:id="445"/>
      <w:bookmarkStart w:id="446" w:name="_Toc184310295"/>
      <w:bookmarkEnd w:id="446"/>
      <w:bookmarkStart w:id="447" w:name="_Toc184308041"/>
      <w:bookmarkEnd w:id="447"/>
      <w:bookmarkStart w:id="448" w:name="_Toc184308037"/>
      <w:bookmarkEnd w:id="448"/>
      <w:bookmarkStart w:id="449" w:name="_Toc184312072"/>
      <w:bookmarkEnd w:id="449"/>
      <w:bookmarkStart w:id="450" w:name="_Toc184314415"/>
      <w:bookmarkEnd w:id="450"/>
      <w:bookmarkStart w:id="451" w:name="_Toc184308059"/>
      <w:bookmarkEnd w:id="451"/>
      <w:bookmarkStart w:id="452" w:name="_Toc184313243"/>
      <w:bookmarkEnd w:id="452"/>
      <w:bookmarkStart w:id="453" w:name="_Toc184310277"/>
      <w:bookmarkEnd w:id="453"/>
      <w:bookmarkStart w:id="454" w:name="_Toc184310342"/>
      <w:bookmarkEnd w:id="454"/>
      <w:bookmarkStart w:id="455" w:name="_Toc184310278"/>
      <w:bookmarkEnd w:id="455"/>
      <w:bookmarkStart w:id="456" w:name="_Toc184310294"/>
      <w:bookmarkEnd w:id="456"/>
      <w:bookmarkStart w:id="457" w:name="_Toc184314412"/>
      <w:bookmarkEnd w:id="457"/>
      <w:bookmarkStart w:id="458" w:name="_Toc184314414"/>
      <w:bookmarkEnd w:id="458"/>
      <w:bookmarkStart w:id="459" w:name="_Toc184308042"/>
      <w:bookmarkEnd w:id="459"/>
      <w:bookmarkStart w:id="460" w:name="_Toc184308043"/>
      <w:bookmarkEnd w:id="460"/>
      <w:bookmarkStart w:id="461" w:name="_Toc184312074"/>
      <w:bookmarkEnd w:id="461"/>
      <w:bookmarkStart w:id="462" w:name="_Toc184314418"/>
      <w:bookmarkEnd w:id="462"/>
      <w:bookmarkStart w:id="463" w:name="_Toc184310279"/>
      <w:bookmarkEnd w:id="463"/>
      <w:bookmarkStart w:id="464" w:name="_Toc184312073"/>
      <w:bookmarkEnd w:id="464"/>
      <w:bookmarkStart w:id="465" w:name="_Toc184313244"/>
      <w:bookmarkEnd w:id="465"/>
      <w:bookmarkStart w:id="466" w:name="_Toc184314416"/>
      <w:bookmarkEnd w:id="466"/>
      <w:bookmarkStart w:id="467" w:name="_Toc184314417"/>
      <w:bookmarkEnd w:id="467"/>
      <w:bookmarkStart w:id="468" w:name="_Toc184313245"/>
      <w:bookmarkEnd w:id="468"/>
      <w:bookmarkStart w:id="469" w:name="_Toc184308044"/>
      <w:bookmarkEnd w:id="469"/>
      <w:bookmarkStart w:id="470" w:name="_Toc184310280"/>
      <w:bookmarkEnd w:id="470"/>
      <w:bookmarkStart w:id="471" w:name="_Toc184312075"/>
      <w:bookmarkEnd w:id="471"/>
      <w:bookmarkStart w:id="472" w:name="_Toc184313246"/>
      <w:bookmarkEnd w:id="472"/>
      <w:bookmarkStart w:id="473" w:name="_Toc184313260"/>
      <w:bookmarkEnd w:id="473"/>
      <w:bookmarkStart w:id="474" w:name="_Toc184313263"/>
      <w:bookmarkEnd w:id="474"/>
      <w:bookmarkStart w:id="475" w:name="_Toc184312115"/>
      <w:bookmarkEnd w:id="475"/>
      <w:bookmarkStart w:id="476" w:name="_Toc184312135"/>
      <w:bookmarkEnd w:id="476"/>
      <w:bookmarkStart w:id="477" w:name="_Toc184314459"/>
      <w:bookmarkEnd w:id="477"/>
      <w:bookmarkStart w:id="478" w:name="_Toc184310314"/>
      <w:bookmarkEnd w:id="478"/>
      <w:bookmarkStart w:id="479" w:name="_Toc184313280"/>
      <w:bookmarkEnd w:id="479"/>
      <w:bookmarkStart w:id="480" w:name="_Toc184312094"/>
      <w:bookmarkEnd w:id="480"/>
      <w:bookmarkStart w:id="481" w:name="_Toc184310298"/>
      <w:bookmarkEnd w:id="481"/>
      <w:bookmarkStart w:id="482" w:name="_Toc184312117"/>
      <w:bookmarkEnd w:id="482"/>
      <w:bookmarkStart w:id="483" w:name="_Toc184308105"/>
      <w:bookmarkEnd w:id="483"/>
      <w:bookmarkStart w:id="484" w:name="_Toc184310274"/>
      <w:bookmarkEnd w:id="484"/>
      <w:bookmarkStart w:id="485" w:name="_Toc184310296"/>
      <w:bookmarkEnd w:id="485"/>
      <w:bookmarkStart w:id="486" w:name="_Toc184308040"/>
      <w:bookmarkEnd w:id="486"/>
      <w:bookmarkStart w:id="487" w:name="_Toc184313253"/>
      <w:bookmarkEnd w:id="487"/>
      <w:bookmarkStart w:id="488" w:name="_Toc184314450"/>
      <w:bookmarkEnd w:id="488"/>
      <w:bookmarkStart w:id="489" w:name="_Toc184312116"/>
      <w:bookmarkEnd w:id="489"/>
      <w:bookmarkStart w:id="490" w:name="_Toc184313262"/>
      <w:bookmarkEnd w:id="490"/>
      <w:bookmarkStart w:id="491" w:name="_Toc184308049"/>
      <w:bookmarkEnd w:id="491"/>
      <w:bookmarkStart w:id="492" w:name="_Toc184313287"/>
      <w:bookmarkEnd w:id="492"/>
      <w:bookmarkStart w:id="493" w:name="_Toc184312085"/>
      <w:bookmarkEnd w:id="493"/>
      <w:r>
        <w:rPr>
          <w:rFonts w:hint="eastAsia" w:ascii="仿宋" w:hAnsi="仿宋" w:eastAsia="仿宋" w:cs="仿宋_GB2312"/>
          <w:b/>
          <w:sz w:val="36"/>
          <w:szCs w:val="36"/>
        </w:rPr>
        <w:t>评标方法及评分标准</w:t>
      </w:r>
    </w:p>
    <w:p>
      <w:pPr>
        <w:snapToGrid w:val="0"/>
        <w:spacing w:line="360" w:lineRule="auto"/>
        <w:ind w:firstLine="3052" w:firstLineChars="950"/>
        <w:rPr>
          <w:rFonts w:hint="eastAsia" w:ascii="仿宋" w:hAnsi="仿宋" w:eastAsia="仿宋" w:cs="仿宋_GB2312"/>
          <w:b/>
          <w:sz w:val="28"/>
          <w:szCs w:val="28"/>
        </w:rPr>
      </w:pPr>
      <w:r>
        <w:rPr>
          <w:rFonts w:hint="eastAsia" w:ascii="仿宋" w:hAnsi="仿宋" w:eastAsia="仿宋" w:cs="仿宋_GB2312"/>
          <w:b/>
          <w:sz w:val="32"/>
        </w:rPr>
        <w:t>一、评标方法</w:t>
      </w:r>
    </w:p>
    <w:p>
      <w:pPr>
        <w:adjustRightInd/>
        <w:spacing w:line="360" w:lineRule="auto"/>
        <w:rPr>
          <w:rFonts w:hint="eastAsia" w:ascii="仿宋" w:hAnsi="仿宋" w:eastAsia="仿宋" w:cs="仿宋_GB2312"/>
          <w:kern w:val="0"/>
          <w:sz w:val="24"/>
        </w:rPr>
      </w:pPr>
      <w:r>
        <w:rPr>
          <w:rFonts w:hint="eastAsia" w:ascii="仿宋" w:hAnsi="仿宋" w:eastAsia="仿宋" w:cs="仿宋_GB2312"/>
          <w:b/>
          <w:kern w:val="0"/>
          <w:sz w:val="24"/>
        </w:rPr>
        <w:t>1.综合评分法。</w:t>
      </w:r>
      <w:r>
        <w:rPr>
          <w:rFonts w:hint="eastAsia" w:ascii="仿宋" w:hAnsi="仿宋" w:eastAsia="仿宋" w:cs="仿宋_GB2312"/>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_GB2312"/>
          <w:kern w:val="0"/>
          <w:sz w:val="24"/>
        </w:rPr>
      </w:pPr>
    </w:p>
    <w:p>
      <w:pPr>
        <w:snapToGrid w:val="0"/>
        <w:spacing w:line="360" w:lineRule="auto"/>
        <w:ind w:left="120" w:leftChars="57" w:firstLine="3052" w:firstLineChars="950"/>
        <w:rPr>
          <w:rFonts w:hint="eastAsia" w:ascii="仿宋" w:hAnsi="仿宋" w:eastAsia="仿宋" w:cs="仿宋_GB2312"/>
          <w:b/>
          <w:sz w:val="32"/>
        </w:rPr>
      </w:pPr>
      <w:r>
        <w:rPr>
          <w:rFonts w:hint="eastAsia" w:ascii="仿宋" w:hAnsi="仿宋" w:eastAsia="仿宋" w:cs="仿宋_GB2312"/>
          <w:b/>
          <w:sz w:val="32"/>
        </w:rPr>
        <w:t>二、评标委员会的组成</w:t>
      </w:r>
    </w:p>
    <w:p>
      <w:pPr>
        <w:snapToGrid w:val="0"/>
        <w:spacing w:line="360" w:lineRule="auto"/>
        <w:rPr>
          <w:rFonts w:hint="eastAsia" w:ascii="仿宋" w:hAnsi="仿宋" w:eastAsia="仿宋" w:cs="仿宋_GB2312"/>
          <w:kern w:val="0"/>
          <w:sz w:val="24"/>
        </w:rPr>
      </w:pPr>
      <w:r>
        <w:rPr>
          <w:rFonts w:hint="eastAsia" w:ascii="仿宋" w:hAnsi="仿宋" w:eastAsia="仿宋" w:cs="仿宋_GB2312"/>
          <w:b/>
          <w:kern w:val="0"/>
          <w:sz w:val="24"/>
        </w:rPr>
        <w:t>2.评标委员会的组成。</w:t>
      </w:r>
      <w:r>
        <w:rPr>
          <w:rFonts w:hint="eastAsia" w:ascii="仿宋" w:hAnsi="仿宋" w:eastAsia="仿宋" w:cs="仿宋_GB2312"/>
          <w:kern w:val="0"/>
          <w:sz w:val="24"/>
        </w:rPr>
        <w:t>评标委员会由采购人代表和评审专家组成，成员人数为5人（含）以上单数，其中评审专家不少于成员总数的三分之二。</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b/>
          <w:kern w:val="0"/>
        </w:rPr>
        <w:t>3.评标委员会的组成人员的回避。</w:t>
      </w:r>
      <w:r>
        <w:rPr>
          <w:rFonts w:hint="eastAsia" w:ascii="仿宋" w:hAnsi="仿宋" w:eastAsia="仿宋" w:cs="仿宋_GB2312"/>
          <w:kern w:val="0"/>
        </w:rPr>
        <w:t>在政府采购活动中，评标委员会的组成人员与供应商有下列利害关系之一的，应当回避：</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3.1参加采购活动前3年内与供应商存在劳动关系；</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3.2参加采购活动前3年内担任供应商的董事、监事；</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3.3参加采购活动前3年内是供应商的控股股东或者实际控制人；</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3.4与供应商的法定代表人或者负责人有夫妻、直系血亲、三代以内旁系血亲或者近姻亲关系；</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_GB2312"/>
          <w:b/>
          <w:sz w:val="32"/>
          <w:szCs w:val="32"/>
        </w:rPr>
      </w:pPr>
    </w:p>
    <w:p>
      <w:pPr>
        <w:snapToGrid w:val="0"/>
        <w:spacing w:line="360" w:lineRule="auto"/>
        <w:ind w:left="120" w:leftChars="57" w:firstLine="482" w:firstLineChars="150"/>
        <w:jc w:val="center"/>
        <w:rPr>
          <w:rFonts w:hint="eastAsia" w:ascii="仿宋" w:hAnsi="仿宋" w:eastAsia="仿宋" w:cs="仿宋_GB2312"/>
          <w:b/>
          <w:sz w:val="32"/>
          <w:szCs w:val="32"/>
        </w:rPr>
      </w:pPr>
      <w:r>
        <w:rPr>
          <w:rFonts w:hint="eastAsia" w:ascii="仿宋" w:hAnsi="仿宋" w:eastAsia="仿宋" w:cs="仿宋_GB2312"/>
          <w:b/>
          <w:sz w:val="32"/>
        </w:rPr>
        <w:t>三、评标委员会的职责</w:t>
      </w:r>
    </w:p>
    <w:p>
      <w:pPr>
        <w:pStyle w:val="142"/>
        <w:spacing w:before="0"/>
        <w:ind w:firstLine="0" w:firstLineChars="0"/>
        <w:rPr>
          <w:rFonts w:hint="eastAsia" w:ascii="仿宋" w:hAnsi="仿宋" w:eastAsia="仿宋" w:cs="仿宋_GB2312"/>
          <w:b/>
          <w:kern w:val="0"/>
        </w:rPr>
      </w:pPr>
      <w:r>
        <w:rPr>
          <w:rFonts w:hint="eastAsia" w:ascii="仿宋" w:hAnsi="仿宋" w:eastAsia="仿宋" w:cs="仿宋_GB2312"/>
          <w:b/>
          <w:kern w:val="0"/>
        </w:rPr>
        <w:t>4.评标委员会负责具体评标事务，并独立履行下列职责：</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4.1审查、评价投标文件是否符合招标文件的商务、技术等实质性要求；</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4.2要求投标人对投标文件有关事项作出澄清或者说明；</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4.3对投标文件进行比较和评价；</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4.4确定中标候选人名单，以及根据采购人委托直接确定中标人；</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4.5向采购人、采购代理机构或者有关部门报告评标中发现的违法行为；</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4.6法律、法规、规章、招标文件等规定的其它事项。</w:t>
      </w:r>
    </w:p>
    <w:p>
      <w:pPr>
        <w:pStyle w:val="142"/>
        <w:spacing w:before="0"/>
        <w:ind w:firstLine="0" w:firstLineChars="0"/>
        <w:rPr>
          <w:rFonts w:hint="eastAsia" w:ascii="仿宋" w:hAnsi="仿宋" w:eastAsia="仿宋" w:cs="仿宋_GB2312"/>
          <w:b/>
          <w:kern w:val="0"/>
        </w:rPr>
      </w:pPr>
      <w:r>
        <w:rPr>
          <w:rFonts w:hint="eastAsia" w:ascii="仿宋" w:hAnsi="仿宋" w:eastAsia="仿宋" w:cs="仿宋_GB2312"/>
          <w:b/>
          <w:kern w:val="0"/>
        </w:rPr>
        <w:t>5.评标委员会及其成员不得有下列行为：</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5.1确定参与评标至评标结束前私自接触投标人；</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5.2接受投标人提出的与投标文件不一致的澄清或者说明，本办法第五十一条规定的情形除外；</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5.3违反评标纪律发表倾向性意见或者征询采购人的倾向性意见；</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5.4对需要专业判断的主观评审因素协商评分；</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5.5在评标过程中擅离职守，影响评标程序正常进行的；</w:t>
      </w:r>
    </w:p>
    <w:p>
      <w:pPr>
        <w:pStyle w:val="142"/>
        <w:spacing w:before="0"/>
        <w:ind w:firstLine="240" w:firstLineChars="100"/>
        <w:rPr>
          <w:rFonts w:hint="eastAsia" w:ascii="仿宋" w:hAnsi="仿宋" w:eastAsia="仿宋" w:cs="仿宋_GB2312"/>
          <w:kern w:val="0"/>
        </w:rPr>
      </w:pPr>
      <w:r>
        <w:rPr>
          <w:rFonts w:hint="eastAsia" w:ascii="仿宋" w:hAnsi="仿宋" w:eastAsia="仿宋" w:cs="仿宋_GB2312"/>
          <w:kern w:val="0"/>
        </w:rPr>
        <w:t>5.6记录、复制或者带走任何评标资料；</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5.7其他不遵守评标纪律的行为。</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　　评标委员会成员有5.1-5.5行为之一的，其评审意见无效，并不得获取评审劳务报酬和报销异地评审差旅费。</w:t>
      </w:r>
    </w:p>
    <w:p>
      <w:pPr>
        <w:pStyle w:val="142"/>
        <w:spacing w:before="0"/>
        <w:ind w:firstLine="0" w:firstLineChars="0"/>
        <w:rPr>
          <w:rFonts w:hint="eastAsia" w:ascii="仿宋" w:hAnsi="仿宋" w:eastAsia="仿宋" w:cs="仿宋_GB2312"/>
          <w:kern w:val="0"/>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四、评审程序</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b/>
          <w:kern w:val="0"/>
        </w:rPr>
        <w:t xml:space="preserve">6.符合性审查。 </w:t>
      </w:r>
      <w:r>
        <w:rPr>
          <w:rFonts w:hint="eastAsia" w:ascii="仿宋" w:hAnsi="仿宋" w:eastAsia="仿宋" w:cs="仿宋_GB2312"/>
          <w:kern w:val="0"/>
        </w:rPr>
        <w:t>评标委员会应当对符合资格的投标人的投标文件进行符合性审查，以确定其是否满足招标文件的实质性要求。符合投标无效情形的，投标无效。</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b/>
          <w:kern w:val="0"/>
        </w:rPr>
        <w:t>7.投标人澄清、说明或者补正。</w:t>
      </w:r>
      <w:r>
        <w:rPr>
          <w:rFonts w:hint="eastAsia" w:ascii="仿宋" w:hAnsi="仿宋" w:eastAsia="仿宋" w:cs="仿宋_GB2312"/>
          <w:kern w:val="0"/>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b/>
          <w:kern w:val="0"/>
        </w:rPr>
        <w:t>8. 比较与评价。</w:t>
      </w:r>
      <w:r>
        <w:rPr>
          <w:rFonts w:hint="eastAsia" w:ascii="仿宋" w:hAnsi="仿宋" w:eastAsia="仿宋" w:cs="仿宋_GB2312"/>
          <w:kern w:val="0"/>
        </w:rPr>
        <w:t>标委员会应当按照评标标准，对符合性审查合格的投标文件进行商务和技术评估，综合比较与评价。</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b/>
          <w:kern w:val="0"/>
        </w:rPr>
        <w:t>9. 汇总（商务技术得分情况）。</w:t>
      </w:r>
      <w:r>
        <w:rPr>
          <w:rFonts w:hint="eastAsia" w:ascii="仿宋" w:hAnsi="仿宋" w:eastAsia="仿宋" w:cs="仿宋_GB2312"/>
          <w:kern w:val="0"/>
        </w:rPr>
        <w:t>评标委员会各成员应当独立对每个投标人的商务和技术文件进行评价，并汇总商务技术得分情况。</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b/>
          <w:kern w:val="0"/>
        </w:rPr>
        <w:t>10. 报价审核。</w:t>
      </w:r>
      <w:r>
        <w:rPr>
          <w:rFonts w:hint="eastAsia" w:ascii="仿宋" w:hAnsi="仿宋" w:eastAsia="仿宋" w:cs="仿宋_GB2312"/>
          <w:kern w:val="0"/>
        </w:rPr>
        <w:t>对经商务和技术评审符合采购需求的投标人的报价的合理性、准确性等进行审查核实。</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10.2根据财政部发布的《政府采购促进中小企业发展暂行办法》规定，对于非专门面向中小企业的项目，对小型和微型企业产品的价格给予一定的扣除，用扣除后的价格参与评审。</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10.3投标价格的修正原则。投标文件报价出现前后不一致的，按照下列规定修正：</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10.3.1投标文件中开标一览表(报价表)内容与投标文件中相应内容不一致的，以开标一览表(报价表)为准;</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10.3.2大写金额和小写金额不一致的，以大写金额为准;</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10.3.3单价金额小数点或者百分比有明显错位的，以开标一览表的总价为准，并修改单价;</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10.3.4总价金额与按单价汇总金额不一致的，以单价金额计算结果为准。</w:t>
      </w:r>
    </w:p>
    <w:p>
      <w:pPr>
        <w:pStyle w:val="142"/>
        <w:spacing w:before="0"/>
        <w:ind w:firstLine="0" w:firstLineChars="0"/>
        <w:rPr>
          <w:rFonts w:hint="eastAsia" w:ascii="仿宋" w:hAnsi="仿宋" w:eastAsia="仿宋" w:cs="仿宋_GB2312"/>
          <w:kern w:val="0"/>
        </w:rPr>
      </w:pPr>
      <w:r>
        <w:rPr>
          <w:rFonts w:hint="eastAsia" w:ascii="仿宋" w:hAnsi="仿宋" w:eastAsia="仿宋" w:cs="仿宋_GB2312"/>
          <w:kern w:val="0"/>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hint="eastAsia"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pPr>
        <w:spacing w:line="360" w:lineRule="auto"/>
        <w:rPr>
          <w:rFonts w:hint="eastAsia" w:ascii="仿宋" w:hAnsi="仿宋" w:eastAsia="仿宋" w:cs="仿宋_GB2312"/>
          <w:kern w:val="0"/>
          <w:sz w:val="24"/>
        </w:rPr>
      </w:pPr>
      <w:r>
        <w:rPr>
          <w:rFonts w:hint="eastAsia" w:ascii="仿宋" w:hAnsi="仿宋" w:eastAsia="仿宋" w:cs="仿宋_GB2312"/>
          <w:b/>
          <w:kern w:val="0"/>
          <w:sz w:val="24"/>
        </w:rPr>
        <w:t>11.汇总得分。</w:t>
      </w:r>
      <w:r>
        <w:rPr>
          <w:rFonts w:hint="eastAsia" w:ascii="仿宋" w:hAnsi="仿宋" w:eastAsia="仿宋" w:cs="仿宋_GB2312"/>
          <w:kern w:val="0"/>
          <w:sz w:val="24"/>
        </w:rPr>
        <w:t>评标委员会各成员应当独立对每个投标人的投标文件进行评价，并汇总每个投标人的得分。</w:t>
      </w:r>
    </w:p>
    <w:p>
      <w:pPr>
        <w:spacing w:line="360" w:lineRule="auto"/>
        <w:rPr>
          <w:rFonts w:hint="eastAsia" w:ascii="仿宋" w:hAnsi="仿宋" w:eastAsia="仿宋" w:cs="仿宋_GB2312"/>
          <w:b/>
          <w:kern w:val="0"/>
          <w:sz w:val="24"/>
        </w:rPr>
      </w:pPr>
      <w:r>
        <w:rPr>
          <w:rFonts w:hint="eastAsia" w:ascii="仿宋" w:hAnsi="仿宋" w:eastAsia="仿宋" w:cs="仿宋_GB2312"/>
          <w:b/>
          <w:kern w:val="0"/>
          <w:sz w:val="24"/>
        </w:rPr>
        <w:t>12.顺序排列与中标候选推荐。</w:t>
      </w:r>
    </w:p>
    <w:p>
      <w:pPr>
        <w:spacing w:line="360" w:lineRule="auto"/>
        <w:rPr>
          <w:rFonts w:hint="eastAsia" w:ascii="仿宋" w:hAnsi="仿宋" w:eastAsia="仿宋" w:cs="仿宋_GB2312"/>
          <w:sz w:val="24"/>
          <w:szCs w:val="21"/>
        </w:rPr>
      </w:pPr>
      <w:r>
        <w:rPr>
          <w:rFonts w:hint="eastAsia" w:ascii="仿宋" w:hAnsi="仿宋" w:eastAsia="仿宋" w:cs="仿宋_GB2312"/>
          <w:sz w:val="24"/>
          <w:szCs w:val="21"/>
        </w:rPr>
        <w:t>12.1评标结果按评审后得分由高到低顺序排列。得分相同的，按投标报价由低到高顺序排列。得分且投标报价相同的并列。得分最高的投标人为排名第一的中标候选人。</w:t>
      </w:r>
    </w:p>
    <w:p>
      <w:pPr>
        <w:spacing w:line="360" w:lineRule="auto"/>
        <w:rPr>
          <w:rFonts w:hint="eastAsia" w:ascii="仿宋" w:hAnsi="仿宋" w:eastAsia="仿宋" w:cs="仿宋_GB2312"/>
          <w:sz w:val="24"/>
          <w:szCs w:val="21"/>
        </w:rPr>
      </w:pPr>
      <w:r>
        <w:rPr>
          <w:rFonts w:hint="eastAsia" w:ascii="仿宋" w:hAnsi="仿宋" w:eastAsia="仿宋" w:cs="仿宋_GB2312"/>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33"/>
        <w:spacing w:line="360" w:lineRule="auto"/>
        <w:ind w:left="559" w:hanging="559" w:hangingChars="199"/>
        <w:rPr>
          <w:rFonts w:hint="eastAsia" w:ascii="仿宋" w:hAnsi="仿宋" w:eastAsia="仿宋" w:cs="仿宋_GB2312"/>
          <w:szCs w:val="21"/>
        </w:rPr>
      </w:pPr>
      <w:r>
        <w:rPr>
          <w:rFonts w:hint="eastAsia" w:ascii="仿宋" w:hAnsi="仿宋" w:eastAsia="仿宋" w:cs="仿宋_GB2312"/>
          <w:b/>
          <w:spacing w:val="20"/>
        </w:rPr>
        <w:t>13.投标无效。</w:t>
      </w:r>
      <w:r>
        <w:rPr>
          <w:rFonts w:hint="eastAsia" w:ascii="仿宋" w:hAnsi="仿宋" w:eastAsia="仿宋" w:cs="仿宋_GB2312"/>
          <w:szCs w:val="21"/>
        </w:rPr>
        <w:t>有下列情况之一的，投标无效：</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13.1</w:t>
      </w:r>
      <w:r>
        <w:rPr>
          <w:rFonts w:hint="eastAsia" w:ascii="仿宋" w:hAnsi="仿宋" w:eastAsia="仿宋" w:cs="仿宋_GB2312"/>
          <w:sz w:val="24"/>
          <w:szCs w:val="21"/>
        </w:rPr>
        <w:t>单位负责人为同一人或者存在直接控股、管理关系的不同供应商参加同一合同项下的政府采购活动的（均无效）；</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13.2</w:t>
      </w:r>
      <w:r>
        <w:rPr>
          <w:rFonts w:hint="eastAsia" w:ascii="仿宋" w:hAnsi="仿宋" w:eastAsia="仿宋" w:cs="仿宋_GB2312"/>
          <w:sz w:val="24"/>
          <w:szCs w:val="21"/>
        </w:rPr>
        <w:t xml:space="preserve">为采购项目提供整体设计、规范编制或者项目管理、监理、检测等服务的供应商再参加该采购项目的其他采购活动的； </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13.3</w:t>
      </w:r>
      <w:r>
        <w:rPr>
          <w:rFonts w:hint="eastAsia" w:ascii="仿宋" w:hAnsi="仿宋" w:eastAsia="仿宋" w:cs="仿宋_GB2312"/>
          <w:sz w:val="24"/>
          <w:szCs w:val="21"/>
        </w:rPr>
        <w:t>投标人不具备招标文件中规定的资格要求的（投标人未提供有效的资格证明文件的，视为投标人不具备招标文件中规定的资格要求）；</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13.4</w:t>
      </w:r>
      <w:r>
        <w:rPr>
          <w:rFonts w:hint="eastAsia" w:ascii="仿宋" w:hAnsi="仿宋" w:eastAsia="仿宋" w:cs="仿宋_GB2312"/>
          <w:sz w:val="24"/>
          <w:szCs w:val="21"/>
        </w:rPr>
        <w:t>如以联合体形式参加政府采购活动的，联合体协议不符合招标文件规定的联合体协议要求的；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13. 5</w:t>
      </w:r>
      <w:r>
        <w:rPr>
          <w:rFonts w:hint="eastAsia" w:ascii="仿宋" w:hAnsi="仿宋" w:eastAsia="仿宋" w:cs="仿宋_GB2312"/>
          <w:sz w:val="24"/>
          <w:szCs w:val="21"/>
        </w:rPr>
        <w:t>投标文件未按规定的格式编制的；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13.6</w:t>
      </w:r>
      <w:r>
        <w:rPr>
          <w:rFonts w:hint="eastAsia" w:ascii="仿宋" w:hAnsi="仿宋" w:eastAsia="仿宋" w:cs="仿宋_GB2312"/>
          <w:sz w:val="24"/>
          <w:szCs w:val="21"/>
        </w:rPr>
        <w:t>投标文件未按招标文件的澄清、修改的内容编制，又不符合实质性要求的；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13.7</w:t>
      </w:r>
      <w:r>
        <w:rPr>
          <w:rFonts w:hint="eastAsia" w:ascii="仿宋" w:hAnsi="仿宋" w:eastAsia="仿宋" w:cs="仿宋_GB2312"/>
          <w:sz w:val="24"/>
          <w:szCs w:val="21"/>
        </w:rPr>
        <w:t>投标文件组成漏项，内容不全或内容字迹模糊辨认不清的；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13.8</w:t>
      </w:r>
      <w:r>
        <w:rPr>
          <w:rFonts w:hint="eastAsia" w:ascii="仿宋" w:hAnsi="仿宋" w:eastAsia="仿宋" w:cs="仿宋_GB2312"/>
          <w:sz w:val="24"/>
          <w:szCs w:val="21"/>
        </w:rPr>
        <w:t>投标文件中法定代表人授权书所载内容与本项目内容有异的；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13.9</w:t>
      </w:r>
      <w:r>
        <w:rPr>
          <w:rFonts w:hint="eastAsia" w:ascii="仿宋" w:hAnsi="仿宋" w:eastAsia="仿宋" w:cs="仿宋_GB2312"/>
          <w:sz w:val="24"/>
          <w:szCs w:val="21"/>
        </w:rPr>
        <w:t>投标文件未按照招标文件要求签署、盖章的；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13.10</w:t>
      </w:r>
      <w:r>
        <w:rPr>
          <w:rFonts w:hint="eastAsia" w:ascii="仿宋" w:hAnsi="仿宋" w:eastAsia="仿宋" w:cs="仿宋_GB2312"/>
          <w:sz w:val="24"/>
          <w:szCs w:val="21"/>
        </w:rPr>
        <w:t>投标文件正、副本份数不足，其投标文件作无效处理；</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13.11</w:t>
      </w:r>
      <w:r>
        <w:rPr>
          <w:rFonts w:hint="eastAsia" w:ascii="仿宋" w:hAnsi="仿宋" w:eastAsia="仿宋" w:cs="仿宋_GB2312"/>
          <w:sz w:val="24"/>
          <w:szCs w:val="21"/>
        </w:rPr>
        <w:t>招标文件要求提供样品，投标人没有提供样品的；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13.12</w:t>
      </w:r>
      <w:r>
        <w:rPr>
          <w:rFonts w:hint="eastAsia" w:ascii="仿宋" w:hAnsi="仿宋" w:eastAsia="仿宋" w:cs="仿宋_GB2312"/>
          <w:sz w:val="24"/>
          <w:szCs w:val="21"/>
        </w:rPr>
        <w:t>投标文件中未含所投产品相应的节能产品政府采购清单页的（如果本项目采购涉及节能清单中的政府强制采购的节能产品的）；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13.13</w:t>
      </w:r>
      <w:r>
        <w:rPr>
          <w:rFonts w:hint="eastAsia" w:ascii="仿宋" w:hAnsi="仿宋" w:eastAsia="仿宋" w:cs="仿宋_GB2312"/>
          <w:sz w:val="24"/>
          <w:szCs w:val="21"/>
        </w:rPr>
        <w:t>投标文件含有采购人不能接受的附加条件的；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13.14</w:t>
      </w:r>
      <w:r>
        <w:rPr>
          <w:rFonts w:hint="eastAsia" w:ascii="仿宋" w:hAnsi="仿宋" w:eastAsia="仿宋" w:cs="仿宋_GB2312"/>
          <w:sz w:val="24"/>
          <w:szCs w:val="21"/>
        </w:rPr>
        <w:t>投标文件中承诺的投标有效期少于招标文件中载明的投标有效期的；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13.15</w:t>
      </w:r>
      <w:r>
        <w:rPr>
          <w:rFonts w:hint="eastAsia" w:ascii="仿宋" w:hAnsi="仿宋" w:eastAsia="仿宋" w:cs="仿宋_GB2312"/>
          <w:sz w:val="24"/>
          <w:szCs w:val="21"/>
        </w:rPr>
        <w:t>投标人所投内容不符合采购需求中实质性要求的；</w:t>
      </w:r>
    </w:p>
    <w:p>
      <w:pPr>
        <w:snapToGrid w:val="0"/>
        <w:spacing w:line="360" w:lineRule="auto"/>
        <w:jc w:val="left"/>
        <w:rPr>
          <w:rFonts w:hint="eastAsia" w:ascii="仿宋" w:hAnsi="仿宋" w:eastAsia="仿宋" w:cs="仿宋_GB2312"/>
          <w:sz w:val="24"/>
          <w:szCs w:val="21"/>
        </w:rPr>
      </w:pPr>
      <w:r>
        <w:rPr>
          <w:rFonts w:hint="eastAsia" w:ascii="仿宋" w:hAnsi="仿宋" w:eastAsia="仿宋" w:cs="仿宋_GB2312"/>
          <w:sz w:val="24"/>
          <w:szCs w:val="21"/>
        </w:rPr>
        <w:t xml:space="preserve">   </w:t>
      </w:r>
      <w:r>
        <w:rPr>
          <w:rFonts w:hint="eastAsia" w:ascii="仿宋" w:hAnsi="仿宋" w:eastAsia="仿宋" w:cs="仿宋_GB2312"/>
        </w:rPr>
        <w:t>13.16</w:t>
      </w:r>
      <w:r>
        <w:rPr>
          <w:rFonts w:hint="eastAsia" w:ascii="仿宋" w:hAnsi="仿宋" w:eastAsia="仿宋" w:cs="仿宋_GB2312"/>
          <w:sz w:val="24"/>
          <w:szCs w:val="21"/>
        </w:rPr>
        <w:t xml:space="preserve"> 投标文件出现不是唯一的、有选择性投标报价的;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13.17</w:t>
      </w:r>
      <w:r>
        <w:rPr>
          <w:rFonts w:hint="eastAsia" w:ascii="仿宋" w:hAnsi="仿宋" w:eastAsia="仿宋" w:cs="仿宋_GB2312"/>
          <w:sz w:val="24"/>
          <w:szCs w:val="21"/>
        </w:rPr>
        <w:t>投标报价高于本项目采购预算或者最高限价的;</w:t>
      </w:r>
    </w:p>
    <w:p>
      <w:pPr>
        <w:spacing w:line="360" w:lineRule="auto"/>
        <w:ind w:firstLine="420" w:firstLineChars="200"/>
        <w:rPr>
          <w:rFonts w:hint="eastAsia" w:ascii="仿宋" w:hAnsi="仿宋" w:eastAsia="仿宋" w:cs="仿宋_GB2312"/>
          <w:sz w:val="24"/>
          <w:szCs w:val="21"/>
        </w:rPr>
      </w:pPr>
      <w:r>
        <w:rPr>
          <w:rFonts w:hint="eastAsia" w:ascii="仿宋" w:hAnsi="仿宋" w:eastAsia="仿宋" w:cs="仿宋_GB2312"/>
        </w:rPr>
        <w:t>13.19</w:t>
      </w:r>
      <w:r>
        <w:rPr>
          <w:rFonts w:hint="eastAsia" w:ascii="仿宋" w:hAnsi="仿宋" w:eastAsia="仿宋" w:cs="仿宋_GB2312"/>
          <w:sz w:val="24"/>
          <w:szCs w:val="21"/>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13.20《投标（开标）一览表》填写不完整或字迹不能辨认或有漏项的；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13.21投标人对根据修正原则修正后的报价不确认的；</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13.21投标人提供虚假材料投标的（包括但不限于以下情节）；</w:t>
      </w:r>
    </w:p>
    <w:p>
      <w:pPr>
        <w:spacing w:line="360" w:lineRule="auto"/>
        <w:ind w:left="239" w:leftChars="114" w:firstLine="480" w:firstLineChars="200"/>
        <w:rPr>
          <w:rFonts w:hint="eastAsia" w:ascii="仿宋" w:hAnsi="仿宋" w:eastAsia="仿宋" w:cs="仿宋_GB2312"/>
          <w:sz w:val="24"/>
          <w:szCs w:val="21"/>
        </w:rPr>
      </w:pPr>
      <w:r>
        <w:rPr>
          <w:rFonts w:hint="eastAsia" w:ascii="仿宋" w:hAnsi="仿宋" w:eastAsia="仿宋" w:cs="仿宋_GB2312"/>
          <w:sz w:val="24"/>
          <w:szCs w:val="21"/>
        </w:rPr>
        <w:t>13.21.1使用伪造、变造的许可证件；</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13.21.2提供虚假的财务状况或者业绩；</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13.21.3提供虚假的项目负责人或者主要技术人员简历、劳动关系证明；</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13.21.4提供虚假的信用状况；</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13.21.5其他弄虚作假的行为。</w:t>
      </w:r>
      <w:r>
        <w:rPr>
          <w:rFonts w:hint="eastAsia" w:ascii="仿宋" w:hAnsi="仿宋" w:eastAsia="仿宋" w:cs="仿宋_GB2312"/>
          <w:sz w:val="24"/>
          <w:szCs w:val="21"/>
        </w:rPr>
        <w:br w:type="textWrapping"/>
      </w:r>
      <w:r>
        <w:rPr>
          <w:rFonts w:hint="eastAsia" w:ascii="仿宋" w:hAnsi="仿宋" w:eastAsia="仿宋" w:cs="仿宋_GB2312"/>
          <w:sz w:val="24"/>
          <w:szCs w:val="21"/>
        </w:rPr>
        <w:t xml:space="preserve">  13.22投标人有恶意串通、妨碍其他投标人的竞争行为、损害采购人或者其他投标人的合法权益情形的；有下列情形之一的，属于或视为恶意串通，其投标无效：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13.22.1供应商直接或者间接从采购人或者采购代理机构处获得其他供应商的相关情况并修改其投标文件或者响应文件；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13.22.2供应商按照采购人或者采购代理机构的授意撤换、修改投标文件或者响应文件；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13.22.3供应商之间协商报价、技术方案等投标文件或者响应文件的实质性内容；</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13.22.5供应商之间事先约定由某一特定供应商中标、成交；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13.22.6供应商之间商定部分供应商放弃参加政府采购活动或者放弃中标、成交；</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13.22.8不同投标人的投标文件由同一单位或者个人编制；</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13.22.9不同投标人委托同一单位或者个人办理投标事宜；</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13.22.10不同投标人的投标文件载明的项目管理成员或者联系人员为同一人；</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13.22.11不同投标人的投标文件异常一致或者投标报价呈规律性差异；</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13.22.12不同投标人的投标文件相互混装；</w:t>
      </w:r>
    </w:p>
    <w:p>
      <w:pPr>
        <w:spacing w:line="360" w:lineRule="auto"/>
        <w:ind w:firstLine="480" w:firstLineChars="200"/>
        <w:rPr>
          <w:rFonts w:hint="eastAsia" w:ascii="仿宋" w:hAnsi="仿宋" w:eastAsia="仿宋" w:cs="仿宋_GB2312"/>
          <w:sz w:val="24"/>
          <w:szCs w:val="21"/>
        </w:rPr>
      </w:pPr>
      <w:r>
        <w:rPr>
          <w:rFonts w:hint="eastAsia" w:ascii="仿宋" w:hAnsi="仿宋" w:eastAsia="仿宋" w:cs="仿宋_GB2312"/>
          <w:sz w:val="24"/>
          <w:szCs w:val="21"/>
        </w:rPr>
        <w:t>13.23法律、法规、规章（适用本市的）及省级以上规范性文件（适用本市的）规定的其他无效情形。</w:t>
      </w:r>
    </w:p>
    <w:p>
      <w:pPr>
        <w:spacing w:line="360" w:lineRule="auto"/>
        <w:ind w:firstLine="240" w:firstLineChars="100"/>
        <w:rPr>
          <w:rFonts w:hint="eastAsia" w:ascii="仿宋" w:hAnsi="仿宋" w:eastAsia="仿宋" w:cs="仿宋_GB2312"/>
          <w:sz w:val="24"/>
          <w:szCs w:val="21"/>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 xml:space="preserve">五、评标报告 </w:t>
      </w:r>
    </w:p>
    <w:p>
      <w:pPr>
        <w:pStyle w:val="142"/>
        <w:spacing w:before="0"/>
        <w:ind w:firstLine="0" w:firstLineChars="0"/>
        <w:rPr>
          <w:rFonts w:hint="eastAsia" w:ascii="仿宋" w:hAnsi="仿宋" w:eastAsia="仿宋" w:cs="仿宋_GB2312"/>
        </w:rPr>
      </w:pPr>
      <w:r>
        <w:rPr>
          <w:rFonts w:hint="eastAsia" w:ascii="仿宋" w:hAnsi="仿宋" w:eastAsia="仿宋" w:cs="仿宋_GB2312"/>
          <w:b/>
        </w:rPr>
        <w:t>14. 评标报告与推荐中标候选人。</w:t>
      </w:r>
      <w:r>
        <w:rPr>
          <w:rFonts w:hint="eastAsia" w:ascii="仿宋" w:hAnsi="仿宋" w:eastAsia="仿宋" w:cs="仿宋_GB2312"/>
        </w:rPr>
        <w:t>评标委员会根据全体评标成员签字的原始评标记录和评标结果编写评标报告，并推荐中标候选人，评审报告由评标委员会成员签字确认提交。</w:t>
      </w:r>
    </w:p>
    <w:p>
      <w:pPr>
        <w:widowControl/>
        <w:adjustRightInd/>
        <w:spacing w:before="100" w:beforeAutospacing="1" w:after="100" w:afterAutospacing="1" w:line="360" w:lineRule="auto"/>
        <w:jc w:val="left"/>
        <w:rPr>
          <w:rFonts w:hint="eastAsia" w:ascii="仿宋" w:hAnsi="仿宋" w:eastAsia="仿宋" w:cs="仿宋_GB2312"/>
          <w:kern w:val="0"/>
          <w:sz w:val="24"/>
        </w:rPr>
      </w:pPr>
      <w:r>
        <w:rPr>
          <w:rFonts w:hint="eastAsia" w:ascii="仿宋" w:hAnsi="仿宋" w:eastAsia="仿宋" w:cs="仿宋_GB2312"/>
          <w:b/>
          <w:sz w:val="24"/>
        </w:rPr>
        <w:t>15. 评标争议事项处理。</w:t>
      </w:r>
      <w:r>
        <w:rPr>
          <w:rFonts w:hint="eastAsia"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hint="eastAsia" w:ascii="仿宋" w:hAnsi="仿宋" w:eastAsia="仿宋" w:cs="仿宋_GB2312"/>
          <w:b/>
          <w:sz w:val="32"/>
        </w:rPr>
      </w:pPr>
      <w:r>
        <w:rPr>
          <w:rFonts w:hint="eastAsia" w:ascii="仿宋" w:hAnsi="仿宋" w:eastAsia="仿宋" w:cs="仿宋_GB2312"/>
          <w:b/>
          <w:sz w:val="32"/>
        </w:rPr>
        <w:t>六、 废标</w:t>
      </w:r>
    </w:p>
    <w:p>
      <w:pPr>
        <w:pStyle w:val="33"/>
        <w:snapToGrid w:val="0"/>
        <w:spacing w:line="360" w:lineRule="auto"/>
        <w:ind w:firstLine="0" w:firstLineChars="0"/>
        <w:rPr>
          <w:rFonts w:hint="eastAsia" w:ascii="仿宋" w:hAnsi="仿宋" w:eastAsia="仿宋" w:cs="仿宋_GB2312"/>
          <w:b/>
        </w:rPr>
      </w:pPr>
      <w:r>
        <w:rPr>
          <w:rFonts w:hint="eastAsia" w:ascii="仿宋" w:hAnsi="仿宋" w:eastAsia="仿宋" w:cs="仿宋_GB2312"/>
          <w:b/>
        </w:rPr>
        <w:t>16.废标。</w:t>
      </w:r>
    </w:p>
    <w:p>
      <w:pPr>
        <w:pStyle w:val="33"/>
        <w:snapToGrid w:val="0"/>
        <w:spacing w:line="360" w:lineRule="auto"/>
        <w:ind w:firstLine="470" w:firstLineChars="196"/>
        <w:rPr>
          <w:rFonts w:hint="eastAsia" w:ascii="仿宋" w:hAnsi="仿宋" w:eastAsia="仿宋" w:cs="仿宋_GB2312"/>
        </w:rPr>
      </w:pPr>
      <w:r>
        <w:rPr>
          <w:rFonts w:hint="eastAsia" w:ascii="仿宋" w:hAnsi="仿宋" w:eastAsia="仿宋" w:cs="仿宋_GB2312"/>
        </w:rPr>
        <w:t>根据《中华人民共和国政府采购法》第三十六条之规定，在采购中，出现下列情形之一的，应予废标：</w:t>
      </w:r>
    </w:p>
    <w:p>
      <w:pPr>
        <w:pStyle w:val="33"/>
        <w:snapToGrid w:val="0"/>
        <w:spacing w:line="360" w:lineRule="auto"/>
        <w:rPr>
          <w:rFonts w:hint="eastAsia" w:ascii="仿宋" w:hAnsi="仿宋" w:eastAsia="仿宋" w:cs="仿宋_GB2312"/>
        </w:rPr>
      </w:pPr>
      <w:r>
        <w:rPr>
          <w:rFonts w:hint="eastAsia" w:ascii="仿宋" w:hAnsi="仿宋" w:eastAsia="仿宋" w:cs="仿宋_GB2312"/>
        </w:rPr>
        <w:t>16.1符合专业条件的供应商或者对招标文件作实质响应的供应商不足3家的；</w:t>
      </w:r>
    </w:p>
    <w:p>
      <w:pPr>
        <w:pStyle w:val="33"/>
        <w:snapToGrid w:val="0"/>
        <w:spacing w:line="360" w:lineRule="auto"/>
        <w:rPr>
          <w:rFonts w:hint="eastAsia" w:ascii="仿宋" w:hAnsi="仿宋" w:eastAsia="仿宋" w:cs="仿宋_GB2312"/>
        </w:rPr>
      </w:pPr>
      <w:r>
        <w:rPr>
          <w:rFonts w:hint="eastAsia" w:ascii="仿宋" w:hAnsi="仿宋" w:eastAsia="仿宋" w:cs="仿宋_GB2312"/>
        </w:rPr>
        <w:t>16.2出现影响采购公正的违法、违规行为的；</w:t>
      </w:r>
    </w:p>
    <w:p>
      <w:pPr>
        <w:pStyle w:val="33"/>
        <w:snapToGrid w:val="0"/>
        <w:spacing w:line="360" w:lineRule="auto"/>
        <w:rPr>
          <w:rFonts w:hint="eastAsia" w:ascii="仿宋" w:hAnsi="仿宋" w:eastAsia="仿宋" w:cs="仿宋_GB2312"/>
        </w:rPr>
      </w:pPr>
      <w:r>
        <w:rPr>
          <w:rFonts w:hint="eastAsia" w:ascii="仿宋" w:hAnsi="仿宋" w:eastAsia="仿宋" w:cs="仿宋_GB2312"/>
        </w:rPr>
        <w:t>16.3投标人的报价均超过了采购预算，采购人不能支付的；</w:t>
      </w:r>
    </w:p>
    <w:p>
      <w:pPr>
        <w:pStyle w:val="33"/>
        <w:snapToGrid w:val="0"/>
        <w:spacing w:line="360" w:lineRule="auto"/>
        <w:rPr>
          <w:rFonts w:hint="eastAsia" w:ascii="仿宋" w:hAnsi="仿宋" w:eastAsia="仿宋" w:cs="仿宋_GB2312"/>
        </w:rPr>
      </w:pPr>
      <w:r>
        <w:rPr>
          <w:rFonts w:hint="eastAsia" w:ascii="仿宋" w:hAnsi="仿宋" w:eastAsia="仿宋" w:cs="仿宋_GB2312"/>
        </w:rPr>
        <w:t>16.4因重大变故，采购任务取消的。</w:t>
      </w:r>
    </w:p>
    <w:p>
      <w:pPr>
        <w:pStyle w:val="33"/>
        <w:snapToGrid w:val="0"/>
        <w:spacing w:line="360" w:lineRule="auto"/>
        <w:rPr>
          <w:rFonts w:hint="eastAsia" w:ascii="仿宋" w:hAnsi="仿宋" w:eastAsia="仿宋" w:cs="仿宋_GB2312"/>
        </w:rPr>
      </w:pPr>
      <w:r>
        <w:rPr>
          <w:rFonts w:hint="eastAsia" w:ascii="仿宋" w:hAnsi="仿宋" w:eastAsia="仿宋" w:cs="仿宋_GB2312"/>
        </w:rPr>
        <w:t>废标后，采购代理机构应当将废标理由通知所有投标人。</w:t>
      </w:r>
    </w:p>
    <w:p>
      <w:pPr>
        <w:pStyle w:val="33"/>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七、 重新组织采购</w:t>
      </w:r>
    </w:p>
    <w:p>
      <w:pPr>
        <w:pStyle w:val="33"/>
        <w:snapToGrid w:val="0"/>
        <w:spacing w:line="360" w:lineRule="auto"/>
        <w:ind w:firstLine="482"/>
        <w:rPr>
          <w:rFonts w:hint="eastAsia" w:ascii="仿宋" w:hAnsi="仿宋" w:eastAsia="仿宋" w:cs="仿宋_GB2312"/>
        </w:rPr>
      </w:pPr>
      <w:r>
        <w:rPr>
          <w:rFonts w:hint="eastAsia" w:ascii="仿宋" w:hAnsi="仿宋" w:eastAsia="仿宋" w:cs="仿宋_GB2312"/>
          <w:b/>
        </w:rPr>
        <w:t>17.修改招标文件，重新组织采购活动。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3"/>
        <w:snapToGrid w:val="0"/>
        <w:spacing w:line="360" w:lineRule="auto"/>
        <w:ind w:firstLine="482"/>
        <w:rPr>
          <w:rFonts w:hint="eastAsia" w:ascii="仿宋" w:hAnsi="仿宋" w:eastAsia="仿宋" w:cs="仿宋_GB2312"/>
        </w:rPr>
      </w:pPr>
      <w:r>
        <w:rPr>
          <w:rFonts w:hint="eastAsia" w:ascii="仿宋" w:hAnsi="仿宋" w:eastAsia="仿宋" w:cs="仿宋_GB2312"/>
          <w:b/>
          <w:kern w:val="0"/>
        </w:rPr>
        <w:t>18.重新开展采购。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33"/>
        <w:snapToGrid w:val="0"/>
        <w:spacing w:line="360" w:lineRule="auto"/>
        <w:rPr>
          <w:rFonts w:hint="eastAsia" w:ascii="仿宋" w:hAnsi="仿宋" w:eastAsia="仿宋" w:cs="仿宋_GB2312"/>
        </w:rPr>
      </w:pPr>
      <w:r>
        <w:rPr>
          <w:rFonts w:hint="eastAsia" w:ascii="仿宋" w:hAnsi="仿宋" w:eastAsia="仿宋" w:cs="仿宋_GB2312"/>
        </w:rPr>
        <w:t>18.1未确定中标或者成交供应商的，终止本次政府采购活动，重新开展政府采购活动。</w:t>
      </w:r>
    </w:p>
    <w:p>
      <w:pPr>
        <w:pStyle w:val="33"/>
        <w:snapToGrid w:val="0"/>
        <w:spacing w:line="360" w:lineRule="auto"/>
        <w:rPr>
          <w:rFonts w:hint="eastAsia" w:ascii="仿宋" w:hAnsi="仿宋" w:eastAsia="仿宋" w:cs="仿宋_GB2312"/>
        </w:rPr>
      </w:pPr>
      <w:r>
        <w:rPr>
          <w:rFonts w:hint="eastAsia" w:ascii="仿宋" w:hAnsi="仿宋" w:eastAsia="仿宋" w:cs="仿宋_GB2312"/>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33"/>
        <w:snapToGrid w:val="0"/>
        <w:spacing w:line="360" w:lineRule="auto"/>
        <w:rPr>
          <w:rFonts w:hint="eastAsia" w:ascii="仿宋" w:hAnsi="仿宋" w:eastAsia="仿宋" w:cs="仿宋_GB2312"/>
        </w:rPr>
      </w:pPr>
      <w:r>
        <w:rPr>
          <w:rFonts w:hint="eastAsia" w:ascii="仿宋" w:hAnsi="仿宋" w:eastAsia="仿宋" w:cs="仿宋_GB2312"/>
        </w:rPr>
        <w:t>18.3政府采购合同已签订但尚未履行的，撤销合同，从合格的中标或者成交候选人中另行确定中标或者成交供应商；没有合格的中标或者成交候选人的，重新开展政府采购活动。</w:t>
      </w:r>
    </w:p>
    <w:p>
      <w:pPr>
        <w:pStyle w:val="33"/>
        <w:snapToGrid w:val="0"/>
        <w:spacing w:line="360" w:lineRule="auto"/>
        <w:rPr>
          <w:rFonts w:hint="eastAsia" w:ascii="仿宋" w:hAnsi="仿宋" w:eastAsia="仿宋" w:cs="仿宋_GB2312"/>
        </w:rPr>
      </w:pPr>
      <w:r>
        <w:rPr>
          <w:rFonts w:hint="eastAsia" w:ascii="仿宋" w:hAnsi="仿宋" w:eastAsia="仿宋" w:cs="仿宋_GB2312"/>
        </w:rPr>
        <w:t>18.4政府采购合同已经履行，给采购人、供应商造成损失的，由责任人承担赔偿责任。</w:t>
      </w:r>
    </w:p>
    <w:p>
      <w:pPr>
        <w:pStyle w:val="33"/>
        <w:snapToGrid w:val="0"/>
        <w:spacing w:line="360" w:lineRule="auto"/>
        <w:rPr>
          <w:rFonts w:hint="eastAsia" w:ascii="仿宋" w:hAnsi="仿宋" w:eastAsia="仿宋" w:cs="仿宋_GB2312"/>
        </w:rPr>
      </w:pPr>
      <w:r>
        <w:rPr>
          <w:rFonts w:hint="eastAsia" w:ascii="仿宋" w:hAnsi="仿宋" w:eastAsia="仿宋" w:cs="仿宋_GB2312"/>
        </w:rPr>
        <w:t>18.5政府采购当事人有其他违反政府采购法或者本条例规定的行为，经改正后仍然影响或者可能影响中标、成交结果或者依法被认定为中标、成交无效的，依照18.1-18.4规定处理。</w:t>
      </w:r>
    </w:p>
    <w:p>
      <w:pPr>
        <w:pStyle w:val="33"/>
        <w:snapToGrid w:val="0"/>
        <w:spacing w:line="360" w:lineRule="auto"/>
        <w:rPr>
          <w:rFonts w:hint="eastAsia" w:ascii="仿宋" w:hAnsi="仿宋" w:eastAsia="仿宋" w:cs="仿宋_GB231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八、评审过程的保密与录像</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19.保密。</w:t>
      </w:r>
      <w:r>
        <w:rPr>
          <w:rFonts w:hint="eastAsia"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sz w:val="24"/>
        </w:rPr>
      </w:pPr>
      <w:r>
        <w:rPr>
          <w:rFonts w:hint="eastAsia" w:ascii="仿宋" w:hAnsi="仿宋" w:eastAsia="仿宋" w:cs="仿宋_GB2312"/>
          <w:b/>
          <w:sz w:val="24"/>
        </w:rPr>
        <w:t>20.录音录像。</w:t>
      </w:r>
      <w:r>
        <w:rPr>
          <w:rFonts w:hint="eastAsia" w:ascii="仿宋" w:hAnsi="仿宋" w:eastAsia="仿宋" w:cs="仿宋_GB2312"/>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sz w:val="32"/>
        </w:rPr>
      </w:pPr>
    </w:p>
    <w:p>
      <w:pPr>
        <w:snapToGrid w:val="0"/>
        <w:spacing w:line="360" w:lineRule="auto"/>
        <w:ind w:left="120" w:leftChars="57" w:firstLine="482" w:firstLineChars="150"/>
        <w:jc w:val="center"/>
        <w:rPr>
          <w:rFonts w:hint="eastAsia" w:ascii="仿宋" w:hAnsi="仿宋" w:eastAsia="仿宋" w:cs="仿宋_GB2312"/>
          <w:b/>
          <w:sz w:val="32"/>
        </w:rPr>
      </w:pPr>
      <w:r>
        <w:rPr>
          <w:rFonts w:hint="eastAsia" w:ascii="仿宋" w:hAnsi="仿宋" w:eastAsia="仿宋" w:cs="仿宋_GB2312"/>
          <w:b/>
          <w:sz w:val="32"/>
        </w:rPr>
        <w:t>九、具体评标标准</w:t>
      </w:r>
    </w:p>
    <w:p>
      <w:pPr>
        <w:pStyle w:val="606"/>
        <w:spacing w:afterLines="0" w:line="360" w:lineRule="auto"/>
        <w:ind w:firstLine="482"/>
        <w:rPr>
          <w:rFonts w:ascii="仿宋" w:hAnsi="仿宋" w:eastAsia="仿宋" w:cs="仿宋_GB2312"/>
          <w:color w:val="000000"/>
          <w:kern w:val="2"/>
          <w:szCs w:val="24"/>
        </w:rPr>
      </w:pPr>
      <w:bookmarkStart w:id="494" w:name="gxebd_pack_1_EvalFactorAccordEnd"/>
      <w:bookmarkEnd w:id="494"/>
      <w:r>
        <w:rPr>
          <w:rFonts w:hint="eastAsia" w:ascii="仿宋" w:hAnsi="仿宋" w:eastAsia="仿宋" w:cs="仿宋_GB2312"/>
          <w:b/>
          <w:color w:val="000000"/>
          <w:szCs w:val="24"/>
        </w:rPr>
        <w:t>本项目采用综合评分法</w:t>
      </w:r>
      <w:r>
        <w:rPr>
          <w:rFonts w:hint="eastAsia" w:ascii="仿宋" w:hAnsi="仿宋" w:eastAsia="仿宋" w:cs="仿宋_GB2312"/>
          <w:color w:val="000000"/>
          <w:kern w:val="2"/>
          <w:szCs w:val="24"/>
        </w:rPr>
        <w:t>，评标委员会将对各投标人的投标报价、技术和服务方案、投标人的资质和业绩情况等方面进行综合评审，对实质上响应招标文件的投标人，由各评委独立记名打分。经统计，得出各投标人的最终评审分</w:t>
      </w:r>
      <w:r>
        <w:rPr>
          <w:rFonts w:ascii="仿宋" w:hAnsi="仿宋" w:eastAsia="仿宋" w:cs="仿宋_GB2312"/>
          <w:color w:val="000000"/>
          <w:kern w:val="2"/>
          <w:szCs w:val="24"/>
        </w:rPr>
        <w:t>,</w:t>
      </w:r>
      <w:r>
        <w:rPr>
          <w:rFonts w:hint="eastAsia" w:ascii="仿宋" w:hAnsi="仿宋" w:eastAsia="仿宋" w:cs="仿宋_GB2312"/>
          <w:color w:val="000000"/>
          <w:kern w:val="2"/>
          <w:szCs w:val="24"/>
        </w:rPr>
        <w:t>按最终评审分由高到低顺序排列。得分相同的，按投标报价由低到高顺序排列。得分且投标报价相同的，按技术指标优劣顺序排列，并形成评标意见。</w:t>
      </w:r>
    </w:p>
    <w:p>
      <w:pPr>
        <w:snapToGrid w:val="0"/>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sz w:val="24"/>
        </w:rPr>
        <w:t>各投标人的综合得分为：投标价格得分</w:t>
      </w:r>
      <w:r>
        <w:rPr>
          <w:rFonts w:ascii="仿宋" w:hAnsi="仿宋" w:eastAsia="仿宋" w:cs="仿宋_GB2312"/>
          <w:color w:val="000000"/>
          <w:sz w:val="24"/>
        </w:rPr>
        <w:t>+</w:t>
      </w:r>
      <w:r>
        <w:rPr>
          <w:rFonts w:hint="eastAsia" w:ascii="仿宋" w:hAnsi="仿宋" w:eastAsia="仿宋" w:cs="仿宋_GB2312"/>
          <w:color w:val="000000"/>
          <w:sz w:val="24"/>
        </w:rPr>
        <w:t>技术和服务方案得分</w:t>
      </w:r>
      <w:r>
        <w:rPr>
          <w:rFonts w:ascii="仿宋" w:hAnsi="仿宋" w:eastAsia="仿宋" w:cs="仿宋_GB2312"/>
          <w:color w:val="000000"/>
          <w:sz w:val="24"/>
        </w:rPr>
        <w:t>+</w:t>
      </w:r>
      <w:r>
        <w:rPr>
          <w:rFonts w:hint="eastAsia" w:ascii="仿宋" w:hAnsi="仿宋" w:eastAsia="仿宋" w:cs="仿宋_GB2312"/>
          <w:color w:val="000000"/>
          <w:sz w:val="24"/>
        </w:rPr>
        <w:t>投标人的资质和业绩得分之和，</w:t>
      </w:r>
      <w:r>
        <w:rPr>
          <w:rFonts w:hint="eastAsia" w:ascii="仿宋" w:hAnsi="仿宋" w:eastAsia="仿宋" w:cs="仿宋_GB2312"/>
          <w:b/>
          <w:color w:val="000000"/>
          <w:sz w:val="24"/>
        </w:rPr>
        <w:t>总分为</w:t>
      </w:r>
      <w:r>
        <w:rPr>
          <w:rFonts w:ascii="仿宋" w:hAnsi="仿宋" w:eastAsia="仿宋" w:cs="仿宋_GB2312"/>
          <w:b/>
          <w:color w:val="000000"/>
          <w:sz w:val="24"/>
          <w:u w:val="single"/>
        </w:rPr>
        <w:t>100</w:t>
      </w:r>
      <w:r>
        <w:rPr>
          <w:rFonts w:hint="eastAsia" w:ascii="仿宋" w:hAnsi="仿宋" w:eastAsia="仿宋" w:cs="仿宋_GB2312"/>
          <w:b/>
          <w:color w:val="000000"/>
          <w:sz w:val="24"/>
        </w:rPr>
        <w:t>分</w:t>
      </w:r>
      <w:r>
        <w:rPr>
          <w:rFonts w:hint="eastAsia" w:ascii="仿宋" w:hAnsi="仿宋" w:eastAsia="仿宋" w:cs="仿宋_GB2312"/>
          <w:color w:val="000000"/>
          <w:sz w:val="24"/>
        </w:rPr>
        <w:t>，其中：</w:t>
      </w:r>
      <w:r>
        <w:rPr>
          <w:rFonts w:hint="eastAsia" w:ascii="仿宋" w:hAnsi="仿宋" w:eastAsia="仿宋" w:cs="仿宋_GB2312"/>
          <w:b/>
          <w:color w:val="000000"/>
          <w:sz w:val="24"/>
        </w:rPr>
        <w:t>投标价格</w:t>
      </w:r>
      <w:r>
        <w:rPr>
          <w:rFonts w:hint="eastAsia" w:ascii="仿宋" w:hAnsi="仿宋" w:eastAsia="仿宋" w:cs="仿宋_GB2312"/>
          <w:b/>
          <w:color w:val="000000"/>
          <w:sz w:val="24"/>
          <w:u w:val="single"/>
        </w:rPr>
        <w:t>得分</w:t>
      </w:r>
      <w:r>
        <w:rPr>
          <w:rFonts w:ascii="仿宋" w:hAnsi="仿宋" w:eastAsia="仿宋" w:cs="仿宋_GB2312"/>
          <w:b/>
          <w:color w:val="000000"/>
          <w:sz w:val="24"/>
          <w:u w:val="single"/>
        </w:rPr>
        <w:t>30</w:t>
      </w:r>
      <w:r>
        <w:rPr>
          <w:rFonts w:hint="eastAsia" w:ascii="仿宋" w:hAnsi="仿宋" w:eastAsia="仿宋" w:cs="仿宋_GB2312"/>
          <w:b/>
          <w:color w:val="000000"/>
          <w:sz w:val="24"/>
        </w:rPr>
        <w:t>，技术和服务方案</w:t>
      </w:r>
      <w:r>
        <w:rPr>
          <w:rFonts w:hint="eastAsia" w:ascii="仿宋" w:hAnsi="仿宋" w:eastAsia="仿宋" w:cs="仿宋_GB2312"/>
          <w:b/>
          <w:color w:val="000000"/>
          <w:sz w:val="24"/>
          <w:u w:val="single"/>
        </w:rPr>
        <w:t>60分</w:t>
      </w:r>
      <w:r>
        <w:rPr>
          <w:rFonts w:hint="eastAsia" w:ascii="仿宋" w:hAnsi="仿宋" w:eastAsia="仿宋" w:cs="仿宋_GB2312"/>
          <w:b/>
          <w:color w:val="000000"/>
          <w:sz w:val="24"/>
        </w:rPr>
        <w:t>，投标人的资质和业绩情况</w:t>
      </w:r>
      <w:r>
        <w:rPr>
          <w:rFonts w:hint="eastAsia" w:ascii="仿宋" w:hAnsi="仿宋" w:eastAsia="仿宋" w:cs="仿宋_GB2312"/>
          <w:b/>
          <w:color w:val="000000"/>
          <w:sz w:val="24"/>
          <w:u w:val="single"/>
        </w:rPr>
        <w:t>10</w:t>
      </w:r>
      <w:r>
        <w:rPr>
          <w:rFonts w:hint="eastAsia" w:ascii="仿宋" w:hAnsi="仿宋" w:eastAsia="仿宋" w:cs="仿宋_GB2312"/>
          <w:b/>
          <w:color w:val="000000"/>
          <w:sz w:val="24"/>
        </w:rPr>
        <w:t>分。各投标人总分为：综合得分</w:t>
      </w:r>
      <w:r>
        <w:rPr>
          <w:rFonts w:ascii="仿宋" w:hAnsi="仿宋" w:eastAsia="仿宋" w:cs="仿宋_GB2312"/>
          <w:b/>
          <w:color w:val="000000"/>
          <w:sz w:val="24"/>
        </w:rPr>
        <w:t>-</w:t>
      </w:r>
      <w:r>
        <w:rPr>
          <w:rFonts w:hint="eastAsia" w:ascii="仿宋" w:hAnsi="仿宋" w:eastAsia="仿宋" w:cs="仿宋_GB2312"/>
          <w:b/>
          <w:color w:val="000000"/>
          <w:sz w:val="24"/>
        </w:rPr>
        <w:t>投标人的信誉情况扣分。</w:t>
      </w:r>
    </w:p>
    <w:p>
      <w:pPr>
        <w:autoSpaceDE w:val="0"/>
        <w:autoSpaceDN w:val="0"/>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各投标人的技术和服务方案、投标人的资质和业绩情况（评标委员会独立打分）得分为：各成员评分的算术平均值。各投标人的投标价格得分按投标价格评分</w:t>
      </w:r>
      <w:r>
        <w:rPr>
          <w:rFonts w:hint="eastAsia" w:ascii="仿宋" w:hAnsi="仿宋" w:eastAsia="仿宋" w:cs="仿宋_GB2312"/>
          <w:b/>
          <w:color w:val="000000"/>
          <w:kern w:val="0"/>
          <w:sz w:val="24"/>
        </w:rPr>
        <w:t>公式由招标代理机构计算，</w:t>
      </w:r>
      <w:r>
        <w:rPr>
          <w:rFonts w:hint="eastAsia" w:ascii="仿宋" w:hAnsi="仿宋" w:eastAsia="仿宋" w:cs="仿宋_GB2312"/>
          <w:b/>
          <w:color w:val="000000"/>
          <w:sz w:val="24"/>
        </w:rPr>
        <w:t>评标委员会审核。</w:t>
      </w:r>
      <w:r>
        <w:rPr>
          <w:rFonts w:hint="eastAsia" w:ascii="仿宋" w:hAnsi="仿宋" w:eastAsia="仿宋" w:cs="仿宋_GB2312"/>
          <w:color w:val="000000"/>
          <w:sz w:val="24"/>
        </w:rPr>
        <w:t>根据上述评标原则，分值安排如下：</w:t>
      </w:r>
    </w:p>
    <w:p>
      <w:pPr>
        <w:pStyle w:val="43"/>
        <w:snapToGrid w:val="0"/>
        <w:spacing w:line="360" w:lineRule="auto"/>
        <w:ind w:firstLine="482" w:firstLineChars="200"/>
        <w:rPr>
          <w:rFonts w:ascii="仿宋" w:hAnsi="仿宋" w:eastAsia="仿宋" w:cs="仿宋_GB2312"/>
          <w:b/>
          <w:color w:val="000000"/>
          <w:kern w:val="28"/>
          <w:sz w:val="24"/>
          <w:szCs w:val="24"/>
        </w:rPr>
      </w:pPr>
      <w:r>
        <w:rPr>
          <w:rFonts w:hint="eastAsia" w:ascii="仿宋" w:hAnsi="仿宋" w:eastAsia="仿宋" w:cs="仿宋_GB2312"/>
          <w:b/>
          <w:bCs/>
          <w:color w:val="000000"/>
          <w:sz w:val="24"/>
          <w:szCs w:val="24"/>
        </w:rPr>
        <w:t>▲</w:t>
      </w:r>
      <w:r>
        <w:rPr>
          <w:rFonts w:hint="eastAsia" w:ascii="仿宋" w:hAnsi="仿宋" w:eastAsia="仿宋" w:cs="仿宋_GB2312"/>
          <w:b/>
          <w:color w:val="000000"/>
          <w:sz w:val="24"/>
          <w:szCs w:val="24"/>
        </w:rPr>
        <w:t>投标价格（</w:t>
      </w:r>
      <w:r>
        <w:rPr>
          <w:rFonts w:ascii="仿宋" w:hAnsi="仿宋" w:eastAsia="仿宋" w:cs="仿宋_GB2312"/>
          <w:b/>
          <w:color w:val="000000"/>
          <w:sz w:val="24"/>
          <w:szCs w:val="24"/>
        </w:rPr>
        <w:t>A=30</w:t>
      </w:r>
      <w:r>
        <w:rPr>
          <w:rFonts w:hint="eastAsia" w:ascii="仿宋" w:hAnsi="仿宋" w:eastAsia="仿宋" w:cs="仿宋_GB2312"/>
          <w:b/>
          <w:color w:val="000000"/>
          <w:sz w:val="24"/>
          <w:szCs w:val="24"/>
        </w:rPr>
        <w:t>分）：</w:t>
      </w:r>
    </w:p>
    <w:p>
      <w:pPr>
        <w:autoSpaceDE w:val="0"/>
        <w:autoSpaceDN w:val="0"/>
        <w:snapToGrid w:val="0"/>
        <w:spacing w:line="360" w:lineRule="auto"/>
        <w:ind w:firstLine="482" w:firstLineChars="200"/>
        <w:rPr>
          <w:rFonts w:ascii="仿宋" w:hAnsi="仿宋" w:eastAsia="仿宋" w:cs="仿宋_GB2312"/>
          <w:color w:val="000000"/>
          <w:sz w:val="24"/>
          <w:lang w:val="zh-CN"/>
        </w:rPr>
      </w:pPr>
      <w:r>
        <w:rPr>
          <w:rFonts w:hint="eastAsia" w:ascii="仿宋" w:hAnsi="仿宋" w:eastAsia="仿宋" w:cs="仿宋_GB2312"/>
          <w:b/>
          <w:color w:val="000000"/>
          <w:sz w:val="24"/>
        </w:rPr>
        <w:t>（</w:t>
      </w:r>
      <w:r>
        <w:rPr>
          <w:rFonts w:ascii="仿宋" w:hAnsi="仿宋" w:eastAsia="仿宋" w:cs="仿宋_GB2312"/>
          <w:b/>
          <w:color w:val="000000"/>
          <w:sz w:val="24"/>
        </w:rPr>
        <w:t>1</w:t>
      </w:r>
      <w:r>
        <w:rPr>
          <w:rFonts w:hint="eastAsia" w:ascii="仿宋" w:hAnsi="仿宋" w:eastAsia="仿宋" w:cs="仿宋_GB2312"/>
          <w:b/>
          <w:color w:val="000000"/>
          <w:sz w:val="24"/>
        </w:rPr>
        <w:t>）</w:t>
      </w:r>
      <w:r>
        <w:rPr>
          <w:rFonts w:hint="eastAsia" w:ascii="仿宋" w:hAnsi="仿宋" w:eastAsia="仿宋" w:cs="仿宋_GB2312"/>
          <w:b/>
          <w:color w:val="000000"/>
          <w:sz w:val="24"/>
          <w:lang w:val="zh-CN"/>
        </w:rPr>
        <w:t>报价的合理性：</w:t>
      </w:r>
      <w:r>
        <w:rPr>
          <w:rFonts w:hint="eastAsia" w:ascii="仿宋" w:hAnsi="仿宋" w:eastAsia="仿宋" w:cs="仿宋_GB2312"/>
          <w:color w:val="000000"/>
          <w:sz w:val="24"/>
          <w:lang w:val="zh-CN"/>
        </w:rPr>
        <w:t>分析总报价及各个分项报价是否合理，报价范围是否完整，有否重大错漏项</w:t>
      </w:r>
      <w:r>
        <w:rPr>
          <w:rFonts w:hint="eastAsia" w:ascii="仿宋" w:hAnsi="仿宋" w:eastAsia="仿宋" w:cs="仿宋_GB2312"/>
          <w:color w:val="000000"/>
          <w:sz w:val="24"/>
        </w:rPr>
        <w:t>，评标委员会认为投标报价出现异常时，有权要求投标人在评标期间对投标报价的详细组成和投标设备的供应渠道等事项作出解释和澄清，并确认其投标报价是否有效</w:t>
      </w:r>
      <w:r>
        <w:rPr>
          <w:rFonts w:hint="eastAsia" w:ascii="仿宋" w:hAnsi="仿宋" w:eastAsia="仿宋" w:cs="仿宋_GB2312"/>
          <w:color w:val="000000"/>
          <w:sz w:val="24"/>
          <w:lang w:val="zh-CN"/>
        </w:rPr>
        <w:t>。</w:t>
      </w:r>
    </w:p>
    <w:p>
      <w:pPr>
        <w:snapToGrid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lang w:val="zh-CN"/>
        </w:rPr>
        <w:t>报价分计算方法：根据各投标人的有效投标报价，以满足招标文件要求且有效投标价格的最低的投标报价为评标基准价，其价格分为</w:t>
      </w:r>
      <w:r>
        <w:rPr>
          <w:rFonts w:ascii="仿宋" w:hAnsi="仿宋" w:eastAsia="仿宋" w:cs="仿宋_GB2312"/>
          <w:color w:val="000000"/>
          <w:sz w:val="24"/>
          <w:lang w:val="zh-CN"/>
        </w:rPr>
        <w:t>30</w:t>
      </w:r>
      <w:r>
        <w:rPr>
          <w:rFonts w:hint="eastAsia" w:ascii="仿宋" w:hAnsi="仿宋" w:eastAsia="仿宋" w:cs="仿宋_GB2312"/>
          <w:color w:val="000000"/>
          <w:sz w:val="24"/>
          <w:lang w:val="zh-CN"/>
        </w:rPr>
        <w:t>分。其他投标人的价格分统一按照下列公式计算：投标报价得分＝</w:t>
      </w:r>
      <w:r>
        <w:rPr>
          <w:rFonts w:ascii="仿宋" w:hAnsi="仿宋" w:eastAsia="仿宋" w:cs="仿宋_GB2312"/>
          <w:color w:val="000000"/>
          <w:sz w:val="24"/>
          <w:lang w:val="zh-CN"/>
        </w:rPr>
        <w:t>(</w:t>
      </w:r>
      <w:r>
        <w:rPr>
          <w:rFonts w:hint="eastAsia" w:ascii="仿宋" w:hAnsi="仿宋" w:eastAsia="仿宋" w:cs="仿宋_GB2312"/>
          <w:color w:val="000000"/>
          <w:sz w:val="24"/>
          <w:lang w:val="zh-CN"/>
        </w:rPr>
        <w:t>评标基准价</w:t>
      </w:r>
      <w:r>
        <w:rPr>
          <w:rFonts w:ascii="仿宋" w:hAnsi="仿宋" w:eastAsia="仿宋" w:cs="仿宋_GB2312"/>
          <w:color w:val="000000"/>
          <w:sz w:val="24"/>
          <w:lang w:val="zh-CN"/>
        </w:rPr>
        <w:t>/</w:t>
      </w:r>
      <w:r>
        <w:rPr>
          <w:rFonts w:hint="eastAsia" w:ascii="仿宋" w:hAnsi="仿宋" w:eastAsia="仿宋" w:cs="仿宋_GB2312"/>
          <w:color w:val="000000"/>
          <w:sz w:val="24"/>
          <w:lang w:val="zh-CN"/>
        </w:rPr>
        <w:t>有效投标报价</w:t>
      </w:r>
      <w:r>
        <w:rPr>
          <w:rFonts w:ascii="仿宋" w:hAnsi="仿宋" w:eastAsia="仿宋" w:cs="仿宋_GB2312"/>
          <w:color w:val="000000"/>
          <w:sz w:val="24"/>
          <w:lang w:val="zh-CN"/>
        </w:rPr>
        <w:t>)</w:t>
      </w:r>
      <w:r>
        <w:rPr>
          <w:rFonts w:hint="eastAsia" w:ascii="仿宋" w:hAnsi="仿宋" w:eastAsia="仿宋" w:cs="仿宋_GB2312"/>
          <w:color w:val="000000"/>
          <w:sz w:val="24"/>
        </w:rPr>
        <w:t>×</w:t>
      </w:r>
      <w:r>
        <w:rPr>
          <w:rFonts w:hint="eastAsia" w:ascii="仿宋" w:hAnsi="仿宋" w:eastAsia="仿宋" w:cs="仿宋_GB2312"/>
          <w:color w:val="000000"/>
          <w:sz w:val="24"/>
          <w:lang w:val="zh-CN"/>
        </w:rPr>
        <w:t>价格权值</w:t>
      </w:r>
      <w:r>
        <w:rPr>
          <w:rFonts w:hint="eastAsia" w:ascii="仿宋" w:hAnsi="仿宋" w:eastAsia="仿宋" w:cs="仿宋_GB2312"/>
          <w:color w:val="000000"/>
          <w:sz w:val="24"/>
        </w:rPr>
        <w:t>×</w:t>
      </w:r>
      <w:r>
        <w:rPr>
          <w:rFonts w:ascii="仿宋" w:hAnsi="仿宋" w:eastAsia="仿宋" w:cs="仿宋_GB2312"/>
          <w:color w:val="000000"/>
          <w:sz w:val="24"/>
          <w:lang w:val="zh-CN"/>
        </w:rPr>
        <w:t>100(</w:t>
      </w:r>
      <w:r>
        <w:rPr>
          <w:rFonts w:hint="eastAsia" w:ascii="仿宋" w:hAnsi="仿宋" w:eastAsia="仿宋" w:cs="仿宋_GB2312"/>
          <w:color w:val="000000"/>
          <w:sz w:val="24"/>
          <w:lang w:val="zh-CN"/>
        </w:rPr>
        <w:t>精确到小数点后二位，由招标代理机构当场统一计算</w:t>
      </w:r>
      <w:r>
        <w:rPr>
          <w:rFonts w:ascii="仿宋" w:hAnsi="仿宋" w:eastAsia="仿宋" w:cs="仿宋_GB2312"/>
          <w:color w:val="000000"/>
          <w:sz w:val="24"/>
          <w:lang w:val="zh-CN"/>
        </w:rPr>
        <w:t>)</w:t>
      </w:r>
      <w:r>
        <w:rPr>
          <w:rFonts w:hint="eastAsia" w:ascii="仿宋" w:hAnsi="仿宋" w:eastAsia="仿宋" w:cs="仿宋_GB2312"/>
          <w:color w:val="000000"/>
          <w:sz w:val="24"/>
          <w:lang w:val="zh-CN"/>
        </w:rPr>
        <w:t>。</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根据《政府采购促进中小企业发展暂行办法》（财库</w:t>
      </w:r>
      <w:r>
        <w:rPr>
          <w:rFonts w:ascii="仿宋" w:hAnsi="仿宋" w:eastAsia="仿宋" w:cs="仿宋_GB2312"/>
          <w:b/>
          <w:color w:val="000000"/>
          <w:sz w:val="24"/>
        </w:rPr>
        <w:t>[2011]181</w:t>
      </w:r>
      <w:r>
        <w:rPr>
          <w:rFonts w:hint="eastAsia" w:ascii="仿宋" w:hAnsi="仿宋" w:eastAsia="仿宋" w:cs="仿宋_GB2312"/>
          <w:b/>
          <w:color w:val="000000"/>
          <w:sz w:val="24"/>
        </w:rPr>
        <w:t>号）及《财政部司法部关于政府采购支持监狱企业发展有关问题的通知》（财库</w:t>
      </w:r>
      <w:r>
        <w:rPr>
          <w:rFonts w:ascii="仿宋" w:hAnsi="仿宋" w:eastAsia="仿宋" w:cs="仿宋_GB2312"/>
          <w:b/>
          <w:color w:val="000000"/>
          <w:sz w:val="24"/>
        </w:rPr>
        <w:t>[2014]68</w:t>
      </w:r>
      <w:r>
        <w:rPr>
          <w:rFonts w:hint="eastAsia" w:ascii="仿宋" w:hAnsi="仿宋" w:eastAsia="仿宋" w:cs="仿宋_GB2312"/>
          <w:b/>
          <w:color w:val="000000"/>
          <w:sz w:val="24"/>
        </w:rPr>
        <w:t>号）规定要求，评标委员会对提供有效认定材料的小微企业及监狱企业给予</w:t>
      </w:r>
      <w:r>
        <w:rPr>
          <w:rFonts w:ascii="仿宋" w:hAnsi="仿宋" w:eastAsia="仿宋" w:cs="仿宋_GB2312"/>
          <w:b/>
          <w:color w:val="000000"/>
          <w:sz w:val="24"/>
        </w:rPr>
        <w:t>6%</w:t>
      </w:r>
      <w:r>
        <w:rPr>
          <w:rFonts w:hint="eastAsia" w:ascii="仿宋" w:hAnsi="仿宋" w:eastAsia="仿宋" w:cs="仿宋_GB2312"/>
          <w:b/>
          <w:color w:val="000000"/>
          <w:sz w:val="24"/>
        </w:rPr>
        <w:t>的价格扣除后，计算各投标人价格分，其中：</w:t>
      </w:r>
    </w:p>
    <w:p>
      <w:pPr>
        <w:snapToGrid w:val="0"/>
        <w:spacing w:line="360" w:lineRule="auto"/>
        <w:ind w:firstLine="482" w:firstLineChars="200"/>
        <w:rPr>
          <w:rFonts w:ascii="仿宋" w:hAnsi="仿宋" w:eastAsia="仿宋" w:cs="仿宋_GB2312"/>
          <w:b/>
          <w:color w:val="000000"/>
          <w:sz w:val="24"/>
        </w:rPr>
      </w:pPr>
      <w:r>
        <w:rPr>
          <w:rFonts w:ascii="仿宋" w:hAnsi="仿宋" w:eastAsia="仿宋" w:cs="仿宋_GB2312"/>
          <w:b/>
          <w:color w:val="000000"/>
          <w:sz w:val="24"/>
        </w:rPr>
        <w:t>a.</w:t>
      </w:r>
      <w:r>
        <w:rPr>
          <w:rFonts w:hint="eastAsia" w:ascii="仿宋" w:hAnsi="仿宋" w:eastAsia="仿宋" w:cs="仿宋_GB2312"/>
          <w:b/>
          <w:color w:val="000000"/>
          <w:sz w:val="24"/>
        </w:rPr>
        <w:t>中小企业划分标准根据《政府采购促进中小企业发展暂行办法》（财库</w:t>
      </w:r>
      <w:r>
        <w:rPr>
          <w:rFonts w:ascii="仿宋" w:hAnsi="仿宋" w:eastAsia="仿宋" w:cs="仿宋_GB2312"/>
          <w:b/>
          <w:color w:val="000000"/>
          <w:sz w:val="24"/>
        </w:rPr>
        <w:t>[2011]181</w:t>
      </w:r>
      <w:r>
        <w:rPr>
          <w:rFonts w:hint="eastAsia" w:ascii="仿宋" w:hAnsi="仿宋" w:eastAsia="仿宋" w:cs="仿宋_GB2312"/>
          <w:b/>
          <w:color w:val="000000"/>
          <w:sz w:val="24"/>
        </w:rPr>
        <w:t>号）文件确定，参加政府采购活动的中小企业应当根据划分标准如实填写财库</w:t>
      </w:r>
      <w:r>
        <w:rPr>
          <w:rFonts w:ascii="仿宋" w:hAnsi="仿宋" w:eastAsia="仿宋" w:cs="仿宋_GB2312"/>
          <w:b/>
          <w:color w:val="000000"/>
          <w:sz w:val="24"/>
        </w:rPr>
        <w:t>[2011]181</w:t>
      </w:r>
      <w:r>
        <w:rPr>
          <w:rFonts w:hint="eastAsia" w:ascii="仿宋" w:hAnsi="仿宋" w:eastAsia="仿宋" w:cs="仿宋_GB2312"/>
          <w:b/>
          <w:color w:val="000000"/>
          <w:sz w:val="24"/>
        </w:rPr>
        <w:t>号文件附件格式的《中小企业声明函》供评标委员会认定；</w:t>
      </w:r>
    </w:p>
    <w:p>
      <w:pPr>
        <w:snapToGrid w:val="0"/>
        <w:spacing w:line="360" w:lineRule="auto"/>
        <w:ind w:firstLine="482" w:firstLineChars="200"/>
        <w:rPr>
          <w:rFonts w:ascii="仿宋" w:hAnsi="仿宋" w:eastAsia="仿宋" w:cs="仿宋_GB2312"/>
          <w:b/>
          <w:color w:val="000000"/>
          <w:sz w:val="24"/>
        </w:rPr>
      </w:pPr>
      <w:r>
        <w:rPr>
          <w:rFonts w:ascii="仿宋" w:hAnsi="仿宋" w:eastAsia="仿宋" w:cs="仿宋_GB2312"/>
          <w:b/>
          <w:color w:val="000000"/>
          <w:sz w:val="24"/>
        </w:rPr>
        <w:t>b.</w:t>
      </w:r>
      <w:r>
        <w:rPr>
          <w:rFonts w:hint="eastAsia" w:ascii="仿宋" w:hAnsi="仿宋" w:eastAsia="仿宋" w:cs="仿宋_GB2312"/>
          <w:b/>
          <w:color w:val="000000"/>
          <w:sz w:val="24"/>
        </w:rPr>
        <w:t>监狱企业参加政府采购活动时，应当提供由省级以上监狱管理局、戒毒管理局（含新疆生产建设兵团）出具的属于监狱企业的证明文件供评标委员会认定。</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c.符合条件的残疾人福利性单位在参加政府采购活动时，应当提供财库[2017]141号文件附件格式的《残疾人福利性单位声明函》供评标委员会认定，并对声明的真实性负责。</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w:t>
      </w:r>
      <w:r>
        <w:rPr>
          <w:rFonts w:ascii="仿宋" w:hAnsi="仿宋" w:eastAsia="仿宋" w:cs="仿宋_GB2312"/>
          <w:b/>
          <w:color w:val="000000"/>
          <w:sz w:val="24"/>
        </w:rPr>
        <w:t>2</w:t>
      </w:r>
      <w:r>
        <w:rPr>
          <w:rFonts w:hint="eastAsia" w:ascii="仿宋" w:hAnsi="仿宋" w:eastAsia="仿宋" w:cs="仿宋_GB2312"/>
          <w:b/>
          <w:color w:val="000000"/>
          <w:sz w:val="24"/>
        </w:rPr>
        <w:t>）投标报价高于本项目预算将作无效标处理。</w:t>
      </w:r>
    </w:p>
    <w:p>
      <w:pPr>
        <w:snapToGrid w:val="0"/>
        <w:spacing w:line="400" w:lineRule="exact"/>
        <w:ind w:firstLine="482" w:firstLineChars="200"/>
        <w:rPr>
          <w:rFonts w:ascii="仿宋" w:hAnsi="仿宋" w:eastAsia="仿宋" w:cs="仿宋_GB2312"/>
          <w:b/>
          <w:bCs/>
          <w:color w:val="000000"/>
          <w:sz w:val="24"/>
        </w:rPr>
      </w:pPr>
      <w:r>
        <w:rPr>
          <w:rFonts w:hint="eastAsia" w:ascii="仿宋" w:hAnsi="仿宋" w:eastAsia="仿宋" w:cs="仿宋_GB2312"/>
          <w:b/>
          <w:bCs/>
          <w:color w:val="000000"/>
          <w:sz w:val="24"/>
        </w:rPr>
        <w:t xml:space="preserve">▲ 技术和服务方案（B= </w:t>
      </w:r>
      <w:r>
        <w:rPr>
          <w:rFonts w:hint="eastAsia" w:ascii="仿宋" w:hAnsi="仿宋" w:eastAsia="仿宋"/>
          <w:b/>
          <w:snapToGrid w:val="0"/>
          <w:color w:val="000000"/>
          <w:kern w:val="28"/>
          <w:sz w:val="24"/>
          <w:u w:val="single"/>
        </w:rPr>
        <w:t>60</w:t>
      </w:r>
      <w:r>
        <w:rPr>
          <w:rFonts w:hint="eastAsia" w:ascii="仿宋" w:hAnsi="仿宋" w:eastAsia="仿宋" w:cs="仿宋_GB2312"/>
          <w:b/>
          <w:bCs/>
          <w:color w:val="000000"/>
          <w:sz w:val="24"/>
        </w:rPr>
        <w:t>分）：</w:t>
      </w:r>
      <w:r>
        <w:rPr>
          <w:rFonts w:hint="eastAsia" w:ascii="仿宋" w:hAnsi="仿宋" w:eastAsia="仿宋" w:cs="仿宋_GB2312"/>
          <w:color w:val="000000"/>
          <w:sz w:val="24"/>
        </w:rPr>
        <w:t>主要包含方案的</w:t>
      </w:r>
      <w:r>
        <w:rPr>
          <w:rFonts w:hint="eastAsia" w:ascii="仿宋" w:hAnsi="仿宋" w:eastAsia="仿宋" w:cs="仿宋_GB2312"/>
          <w:bCs/>
          <w:color w:val="000000"/>
          <w:sz w:val="24"/>
        </w:rPr>
        <w:t>先进性、科学性和完整性，产品与</w:t>
      </w:r>
      <w:r>
        <w:rPr>
          <w:rFonts w:hint="eastAsia" w:ascii="仿宋" w:hAnsi="仿宋" w:eastAsia="仿宋" w:cs="仿宋_GB2312"/>
          <w:color w:val="000000"/>
          <w:sz w:val="24"/>
        </w:rPr>
        <w:t>需求的吻合程度</w:t>
      </w:r>
      <w:r>
        <w:rPr>
          <w:rFonts w:hint="eastAsia" w:ascii="仿宋" w:hAnsi="仿宋" w:eastAsia="仿宋" w:cs="仿宋_GB2312"/>
          <w:bCs/>
          <w:color w:val="000000"/>
          <w:sz w:val="24"/>
        </w:rPr>
        <w:t>，</w:t>
      </w:r>
      <w:r>
        <w:rPr>
          <w:rFonts w:hint="eastAsia" w:ascii="仿宋" w:hAnsi="仿宋" w:eastAsia="仿宋" w:cs="仿宋_GB2312"/>
          <w:color w:val="000000"/>
          <w:sz w:val="24"/>
        </w:rPr>
        <w:t>提供的售后服务方案、维护人员和机构等情况的服务优劣程度等方面的因素</w:t>
      </w:r>
      <w:r>
        <w:rPr>
          <w:rFonts w:hint="eastAsia" w:ascii="仿宋" w:hAnsi="仿宋" w:eastAsia="仿宋" w:cs="仿宋_GB2312"/>
          <w:color w:val="000000"/>
          <w:kern w:val="0"/>
          <w:sz w:val="24"/>
        </w:rPr>
        <w:t>，</w:t>
      </w:r>
      <w:r>
        <w:rPr>
          <w:rFonts w:hint="eastAsia" w:ascii="仿宋" w:hAnsi="仿宋" w:eastAsia="仿宋" w:cs="仿宋_GB2312"/>
          <w:color w:val="000000"/>
          <w:sz w:val="24"/>
        </w:rPr>
        <w:t>以及承诺和优惠。</w:t>
      </w:r>
    </w:p>
    <w:p>
      <w:pPr>
        <w:snapToGrid w:val="0"/>
        <w:spacing w:line="400" w:lineRule="exact"/>
        <w:rPr>
          <w:rFonts w:ascii="仿宋" w:hAnsi="仿宋" w:eastAsia="仿宋" w:cs="仿宋_GB2312"/>
          <w:b/>
          <w:color w:val="000000"/>
          <w:sz w:val="24"/>
        </w:rPr>
      </w:pPr>
      <w:r>
        <w:rPr>
          <w:rFonts w:hint="eastAsia" w:ascii="仿宋" w:hAnsi="仿宋" w:eastAsia="仿宋" w:cs="仿宋_GB2312"/>
          <w:b/>
          <w:color w:val="000000"/>
          <w:sz w:val="24"/>
        </w:rPr>
        <w:t>（1）投标方案的</w:t>
      </w:r>
      <w:r>
        <w:rPr>
          <w:rFonts w:hint="eastAsia" w:ascii="仿宋" w:hAnsi="仿宋" w:eastAsia="仿宋" w:cs="仿宋_GB2312"/>
          <w:b/>
          <w:bCs/>
          <w:color w:val="000000"/>
          <w:sz w:val="24"/>
        </w:rPr>
        <w:t>科学性、完整性，与实际的符合程度</w:t>
      </w:r>
      <w:r>
        <w:rPr>
          <w:rFonts w:hint="eastAsia" w:ascii="仿宋" w:hAnsi="仿宋" w:eastAsia="仿宋" w:cs="仿宋_GB2312"/>
          <w:b/>
          <w:color w:val="000000"/>
          <w:sz w:val="24"/>
        </w:rPr>
        <w:t>（10分）：</w:t>
      </w:r>
    </w:p>
    <w:p>
      <w:pPr>
        <w:pStyle w:val="488"/>
        <w:snapToGrid w:val="0"/>
        <w:spacing w:before="0" w:line="400" w:lineRule="exact"/>
        <w:ind w:left="0" w:firstLine="480" w:firstLineChars="200"/>
        <w:rPr>
          <w:rFonts w:ascii="仿宋" w:hAnsi="仿宋" w:eastAsia="仿宋"/>
          <w:color w:val="000000"/>
          <w:sz w:val="24"/>
          <w:szCs w:val="24"/>
        </w:rPr>
      </w:pPr>
      <w:r>
        <w:rPr>
          <w:rFonts w:hint="eastAsia" w:ascii="仿宋" w:hAnsi="仿宋" w:eastAsia="仿宋"/>
          <w:color w:val="000000"/>
          <w:sz w:val="24"/>
          <w:szCs w:val="24"/>
        </w:rPr>
        <w:t>● 投标人对杭州市公安局西湖风景名胜区分局项目的整体理解把握，给出总体技术架构设计方案。根据项目技术方案设计完整、合理、详尽、清晰、准确、可行等情况,横向比较打分（5分）；</w:t>
      </w:r>
    </w:p>
    <w:p>
      <w:pPr>
        <w:pStyle w:val="488"/>
        <w:snapToGrid w:val="0"/>
        <w:spacing w:before="0" w:line="400" w:lineRule="exact"/>
        <w:ind w:left="0" w:firstLine="480" w:firstLineChars="200"/>
        <w:rPr>
          <w:rFonts w:ascii="仿宋" w:hAnsi="仿宋" w:eastAsia="仿宋"/>
          <w:color w:val="000000"/>
          <w:sz w:val="24"/>
          <w:szCs w:val="24"/>
        </w:rPr>
      </w:pPr>
      <w:r>
        <w:rPr>
          <w:rFonts w:hint="eastAsia" w:ascii="仿宋" w:hAnsi="仿宋" w:eastAsia="仿宋"/>
          <w:color w:val="000000"/>
          <w:sz w:val="24"/>
          <w:szCs w:val="24"/>
        </w:rPr>
        <w:t>● 投标人能充分理解招标文件要求且考虑到成品成熟度，根据系统功能模块与项目需求的符合程度，硬件整体设计与性能的合理性、可行性，软件整体架构与功能点的可行性、合理性、规范性，包括界面设计、接口设计、数据库设计及模块设计等打分。（5分）；</w:t>
      </w:r>
    </w:p>
    <w:p>
      <w:pPr>
        <w:snapToGrid w:val="0"/>
        <w:spacing w:line="400" w:lineRule="exact"/>
        <w:rPr>
          <w:rFonts w:ascii="仿宋" w:hAnsi="仿宋" w:eastAsia="仿宋" w:cs="仿宋_GB2312"/>
          <w:b/>
          <w:color w:val="000000"/>
          <w:sz w:val="24"/>
        </w:rPr>
      </w:pPr>
      <w:r>
        <w:rPr>
          <w:rFonts w:hint="eastAsia" w:ascii="仿宋" w:hAnsi="仿宋" w:eastAsia="仿宋" w:cs="仿宋_GB2312"/>
          <w:b/>
          <w:color w:val="000000"/>
          <w:sz w:val="24"/>
        </w:rPr>
        <w:t>（2）投标产品与需求的吻合程度（10分）：</w:t>
      </w:r>
    </w:p>
    <w:p>
      <w:pPr>
        <w:pStyle w:val="488"/>
        <w:snapToGrid w:val="0"/>
        <w:spacing w:before="0" w:line="400" w:lineRule="exact"/>
        <w:ind w:left="0" w:firstLine="480" w:firstLineChars="200"/>
        <w:rPr>
          <w:rFonts w:hint="eastAsia" w:ascii="仿宋" w:hAnsi="仿宋" w:eastAsia="仿宋"/>
          <w:color w:val="000000"/>
          <w:sz w:val="24"/>
          <w:szCs w:val="24"/>
        </w:rPr>
      </w:pPr>
      <w:r>
        <w:rPr>
          <w:rFonts w:hint="eastAsia" w:ascii="仿宋" w:hAnsi="仿宋" w:eastAsia="仿宋"/>
          <w:color w:val="000000"/>
          <w:sz w:val="24"/>
          <w:szCs w:val="24"/>
        </w:rPr>
        <w:t>● 投标产品与招标需求的偏差情况（包括所投标产品的品牌、规格型号、详细配置、主要技术参数），是否能满足招标文件的要求。技术指标负偏离每一项扣减1分；对于关键技术指标，需提供充分的证明材料，如检测报告、官网截图、产品说明书或产品彩页，提供相关产品的检测报告、功能等证明材料评分，关键技术指标负偏离（或不提供证明材料的）每一项扣减2分；扣完为止。（10分）；</w:t>
      </w:r>
    </w:p>
    <w:p>
      <w:pPr>
        <w:snapToGrid w:val="0"/>
        <w:spacing w:line="276" w:lineRule="auto"/>
        <w:rPr>
          <w:rFonts w:ascii="仿宋" w:hAnsi="仿宋" w:eastAsia="仿宋" w:cs="仿宋_GB2312"/>
          <w:b/>
          <w:color w:val="000000"/>
          <w:sz w:val="24"/>
        </w:rPr>
      </w:pPr>
      <w:r>
        <w:rPr>
          <w:rFonts w:hint="eastAsia" w:ascii="仿宋" w:hAnsi="仿宋" w:eastAsia="仿宋" w:cs="仿宋_GB2312"/>
          <w:b/>
          <w:color w:val="000000"/>
          <w:sz w:val="24"/>
        </w:rPr>
        <w:t>（3）投标方案现场讲解情况（15分）：</w:t>
      </w:r>
    </w:p>
    <w:p>
      <w:pPr>
        <w:snapToGrid w:val="0"/>
        <w:spacing w:line="276" w:lineRule="auto"/>
        <w:ind w:firstLine="482" w:firstLineChars="200"/>
        <w:jc w:val="left"/>
        <w:rPr>
          <w:rFonts w:hint="eastAsia" w:ascii="仿宋" w:hAnsi="仿宋" w:eastAsia="仿宋" w:cs="仿宋_GB2312"/>
          <w:b/>
          <w:color w:val="000000"/>
          <w:sz w:val="24"/>
        </w:rPr>
      </w:pPr>
      <w:r>
        <w:rPr>
          <w:rFonts w:hint="eastAsia" w:ascii="仿宋" w:hAnsi="仿宋" w:eastAsia="仿宋" w:cs="仿宋_GB2312"/>
          <w:b/>
          <w:color w:val="000000"/>
          <w:sz w:val="24"/>
        </w:rPr>
        <w:t>需原型Demo系统演示，采用图片、PPT、Axure等高保真原型等演示均不得分。</w:t>
      </w:r>
    </w:p>
    <w:p>
      <w:pPr>
        <w:pStyle w:val="488"/>
        <w:snapToGrid w:val="0"/>
        <w:spacing w:before="0" w:line="276" w:lineRule="auto"/>
        <w:ind w:left="0" w:firstLine="482" w:firstLineChars="200"/>
        <w:rPr>
          <w:rFonts w:hint="eastAsia" w:ascii="仿宋" w:hAnsi="仿宋" w:eastAsia="仿宋"/>
          <w:b/>
          <w:color w:val="000000"/>
          <w:sz w:val="24"/>
          <w:szCs w:val="24"/>
        </w:rPr>
      </w:pPr>
      <w:r>
        <w:rPr>
          <w:rFonts w:hint="eastAsia" w:ascii="仿宋" w:hAnsi="仿宋" w:eastAsia="仿宋" w:cs="仿宋_GB2312"/>
          <w:b/>
          <w:color w:val="000000"/>
          <w:sz w:val="24"/>
        </w:rPr>
        <w:t>演示内容应包括但不限于以下内容：</w:t>
      </w:r>
      <w:r>
        <w:rPr>
          <w:rFonts w:hint="eastAsia" w:ascii="仿宋" w:hAnsi="仿宋" w:eastAsia="仿宋"/>
          <w:b/>
          <w:color w:val="000000"/>
          <w:sz w:val="24"/>
          <w:szCs w:val="24"/>
        </w:rPr>
        <w:t>演示现场提供投影设备，演示机器及网络环境由投标人自行准备。</w:t>
      </w:r>
    </w:p>
    <w:p>
      <w:pPr>
        <w:snapToGrid w:val="0"/>
        <w:spacing w:line="276" w:lineRule="auto"/>
        <w:jc w:val="left"/>
        <w:rPr>
          <w:rFonts w:ascii="仿宋" w:hAnsi="仿宋" w:eastAsia="仿宋" w:cs="仿宋_GB2312"/>
          <w:b/>
          <w:color w:val="000000"/>
          <w:sz w:val="24"/>
        </w:rPr>
      </w:pPr>
    </w:p>
    <w:p>
      <w:pPr>
        <w:pStyle w:val="488"/>
        <w:snapToGrid w:val="0"/>
        <w:spacing w:before="0" w:line="360" w:lineRule="auto"/>
        <w:ind w:left="0" w:firstLine="480" w:firstLineChars="200"/>
        <w:jc w:val="left"/>
        <w:rPr>
          <w:rFonts w:ascii="仿宋" w:hAnsi="仿宋" w:eastAsia="仿宋"/>
          <w:color w:val="000000"/>
          <w:sz w:val="24"/>
          <w:szCs w:val="24"/>
        </w:rPr>
      </w:pPr>
      <w:r>
        <w:rPr>
          <w:rFonts w:hint="eastAsia" w:ascii="仿宋" w:hAnsi="仿宋" w:eastAsia="仿宋"/>
          <w:color w:val="000000"/>
          <w:sz w:val="24"/>
          <w:szCs w:val="24"/>
        </w:rPr>
        <w:t>1、数据资源管理体系演示：（8分）</w:t>
      </w:r>
    </w:p>
    <w:p>
      <w:pPr>
        <w:pStyle w:val="488"/>
        <w:snapToGrid w:val="0"/>
        <w:spacing w:line="276" w:lineRule="auto"/>
        <w:ind w:left="0" w:firstLine="480" w:firstLineChars="200"/>
        <w:rPr>
          <w:rFonts w:hint="eastAsia" w:ascii="仿宋" w:hAnsi="仿宋" w:eastAsia="仿宋"/>
          <w:color w:val="000000"/>
          <w:sz w:val="24"/>
          <w:szCs w:val="24"/>
        </w:rPr>
      </w:pPr>
      <w:r>
        <w:rPr>
          <w:rFonts w:hint="eastAsia" w:ascii="仿宋" w:hAnsi="仿宋" w:eastAsia="仿宋"/>
          <w:color w:val="000000"/>
          <w:sz w:val="24"/>
          <w:szCs w:val="24"/>
        </w:rPr>
        <w:t>1）数据元管理（2分）</w:t>
      </w:r>
    </w:p>
    <w:p>
      <w:pPr>
        <w:pStyle w:val="488"/>
        <w:snapToGrid w:val="0"/>
        <w:spacing w:line="276" w:lineRule="auto"/>
        <w:ind w:left="0" w:firstLine="480" w:firstLineChars="200"/>
        <w:rPr>
          <w:rFonts w:hint="eastAsia" w:ascii="仿宋" w:hAnsi="仿宋" w:eastAsia="仿宋"/>
          <w:color w:val="000000"/>
          <w:sz w:val="24"/>
          <w:szCs w:val="24"/>
        </w:rPr>
      </w:pPr>
      <w:r>
        <w:rPr>
          <w:rFonts w:hint="eastAsia" w:ascii="仿宋" w:hAnsi="仿宋" w:eastAsia="仿宋"/>
          <w:color w:val="000000"/>
          <w:sz w:val="24"/>
          <w:szCs w:val="24"/>
        </w:rPr>
        <w:t>2）数据源管理（2分）</w:t>
      </w:r>
    </w:p>
    <w:p>
      <w:pPr>
        <w:pStyle w:val="488"/>
        <w:snapToGrid w:val="0"/>
        <w:spacing w:line="276" w:lineRule="auto"/>
        <w:ind w:left="0" w:firstLine="480" w:firstLineChars="200"/>
        <w:rPr>
          <w:rFonts w:hint="eastAsia" w:ascii="仿宋" w:hAnsi="仿宋" w:eastAsia="仿宋"/>
          <w:color w:val="000000"/>
          <w:sz w:val="24"/>
          <w:szCs w:val="24"/>
        </w:rPr>
      </w:pPr>
      <w:r>
        <w:rPr>
          <w:rFonts w:hint="eastAsia" w:ascii="仿宋" w:hAnsi="仿宋" w:eastAsia="仿宋"/>
          <w:color w:val="000000"/>
          <w:sz w:val="24"/>
          <w:szCs w:val="24"/>
        </w:rPr>
        <w:t>3）数据资源管理（2分）</w:t>
      </w:r>
    </w:p>
    <w:p>
      <w:pPr>
        <w:pStyle w:val="488"/>
        <w:snapToGrid w:val="0"/>
        <w:spacing w:before="0" w:line="276" w:lineRule="auto"/>
        <w:ind w:left="0" w:firstLine="480" w:firstLineChars="200"/>
        <w:rPr>
          <w:rFonts w:hint="eastAsia" w:ascii="仿宋" w:hAnsi="仿宋" w:eastAsia="仿宋"/>
          <w:color w:val="000000"/>
          <w:sz w:val="24"/>
          <w:szCs w:val="24"/>
        </w:rPr>
      </w:pPr>
      <w:r>
        <w:rPr>
          <w:rFonts w:hint="eastAsia" w:ascii="仿宋" w:hAnsi="仿宋" w:eastAsia="仿宋"/>
          <w:color w:val="000000"/>
          <w:sz w:val="24"/>
          <w:szCs w:val="24"/>
        </w:rPr>
        <w:t>4）数据大盘（2分）；</w:t>
      </w:r>
    </w:p>
    <w:p>
      <w:pPr>
        <w:pStyle w:val="488"/>
        <w:snapToGrid w:val="0"/>
        <w:spacing w:before="0" w:line="276" w:lineRule="auto"/>
        <w:ind w:left="0" w:firstLine="480" w:firstLineChars="200"/>
        <w:rPr>
          <w:rFonts w:ascii="仿宋" w:hAnsi="仿宋" w:eastAsia="仿宋"/>
          <w:color w:val="000000"/>
          <w:sz w:val="24"/>
          <w:szCs w:val="24"/>
        </w:rPr>
      </w:pPr>
      <w:r>
        <w:rPr>
          <w:rFonts w:hint="eastAsia" w:ascii="仿宋" w:hAnsi="仿宋" w:eastAsia="仿宋"/>
          <w:color w:val="000000"/>
          <w:sz w:val="24"/>
          <w:szCs w:val="24"/>
        </w:rPr>
        <w:t>2、数据应用演示：（7分）</w:t>
      </w:r>
    </w:p>
    <w:p>
      <w:pPr>
        <w:pStyle w:val="488"/>
        <w:snapToGrid w:val="0"/>
        <w:spacing w:line="276" w:lineRule="auto"/>
        <w:ind w:left="0"/>
        <w:rPr>
          <w:rFonts w:hint="eastAsia" w:ascii="仿宋" w:hAnsi="仿宋" w:eastAsia="仿宋"/>
          <w:color w:val="000000"/>
          <w:sz w:val="24"/>
          <w:szCs w:val="24"/>
        </w:rPr>
      </w:pPr>
      <w:r>
        <w:rPr>
          <w:rFonts w:hint="eastAsia" w:ascii="仿宋" w:hAnsi="仿宋" w:eastAsia="仿宋"/>
          <w:color w:val="000000"/>
          <w:sz w:val="24"/>
          <w:szCs w:val="24"/>
        </w:rPr>
        <w:t>1）人像识别信息分析（2分）</w:t>
      </w:r>
    </w:p>
    <w:p>
      <w:pPr>
        <w:pStyle w:val="488"/>
        <w:snapToGrid w:val="0"/>
        <w:spacing w:line="276" w:lineRule="auto"/>
        <w:ind w:left="0"/>
        <w:rPr>
          <w:rFonts w:hint="eastAsia" w:ascii="仿宋" w:hAnsi="仿宋" w:eastAsia="仿宋"/>
          <w:color w:val="000000"/>
          <w:sz w:val="24"/>
          <w:szCs w:val="24"/>
        </w:rPr>
      </w:pPr>
      <w:r>
        <w:rPr>
          <w:rFonts w:hint="eastAsia" w:ascii="仿宋" w:hAnsi="仿宋" w:eastAsia="仿宋"/>
          <w:color w:val="000000"/>
          <w:sz w:val="24"/>
          <w:szCs w:val="24"/>
        </w:rPr>
        <w:t>2）智能数据搜索（1分）</w:t>
      </w:r>
    </w:p>
    <w:p>
      <w:pPr>
        <w:pStyle w:val="488"/>
        <w:snapToGrid w:val="0"/>
        <w:spacing w:line="276" w:lineRule="auto"/>
        <w:ind w:left="0"/>
        <w:rPr>
          <w:rFonts w:hint="eastAsia" w:ascii="仿宋" w:hAnsi="仿宋" w:eastAsia="仿宋"/>
          <w:color w:val="000000"/>
          <w:sz w:val="24"/>
          <w:szCs w:val="24"/>
        </w:rPr>
      </w:pPr>
      <w:r>
        <w:rPr>
          <w:rFonts w:hint="eastAsia" w:ascii="仿宋" w:hAnsi="仿宋" w:eastAsia="仿宋"/>
          <w:color w:val="000000"/>
          <w:sz w:val="24"/>
          <w:szCs w:val="24"/>
        </w:rPr>
        <w:t>3）条件数据碰撞（1分）</w:t>
      </w:r>
    </w:p>
    <w:p>
      <w:pPr>
        <w:pStyle w:val="488"/>
        <w:snapToGrid w:val="0"/>
        <w:spacing w:line="276" w:lineRule="auto"/>
        <w:ind w:left="0"/>
        <w:rPr>
          <w:rFonts w:ascii="仿宋" w:hAnsi="仿宋" w:eastAsia="仿宋"/>
          <w:color w:val="000000"/>
          <w:sz w:val="24"/>
          <w:szCs w:val="24"/>
        </w:rPr>
      </w:pPr>
      <w:r>
        <w:rPr>
          <w:rFonts w:hint="eastAsia" w:ascii="仿宋" w:hAnsi="仿宋" w:eastAsia="仿宋"/>
          <w:color w:val="000000"/>
          <w:sz w:val="24"/>
          <w:szCs w:val="24"/>
        </w:rPr>
        <w:t>4）信息自动预警（2分）</w:t>
      </w:r>
    </w:p>
    <w:p>
      <w:pPr>
        <w:pStyle w:val="488"/>
        <w:snapToGrid w:val="0"/>
        <w:spacing w:line="276" w:lineRule="auto"/>
        <w:ind w:left="0"/>
        <w:rPr>
          <w:rFonts w:ascii="仿宋" w:hAnsi="仿宋" w:eastAsia="仿宋"/>
          <w:color w:val="000000"/>
          <w:sz w:val="24"/>
          <w:szCs w:val="24"/>
        </w:rPr>
      </w:pPr>
      <w:r>
        <w:rPr>
          <w:rFonts w:hint="eastAsia" w:ascii="仿宋" w:hAnsi="仿宋" w:eastAsia="仿宋"/>
          <w:color w:val="000000"/>
          <w:sz w:val="24"/>
          <w:szCs w:val="24"/>
        </w:rPr>
        <w:t>5）数据应用展现（1分）；</w:t>
      </w:r>
    </w:p>
    <w:p>
      <w:pPr>
        <w:snapToGrid w:val="0"/>
        <w:spacing w:line="360" w:lineRule="auto"/>
        <w:rPr>
          <w:rFonts w:ascii="仿宋" w:hAnsi="仿宋" w:eastAsia="仿宋" w:cs="仿宋_GB2312"/>
          <w:b/>
          <w:color w:val="000000"/>
          <w:sz w:val="24"/>
        </w:rPr>
      </w:pPr>
      <w:r>
        <w:rPr>
          <w:rFonts w:hint="eastAsia" w:ascii="仿宋" w:hAnsi="仿宋" w:eastAsia="仿宋" w:cs="仿宋_GB2312"/>
          <w:b/>
          <w:color w:val="000000"/>
          <w:sz w:val="24"/>
        </w:rPr>
        <w:t>（4）项目涉及的关键技术创新能力（4分）：</w:t>
      </w:r>
    </w:p>
    <w:p>
      <w:pPr>
        <w:pStyle w:val="488"/>
        <w:snapToGrid w:val="0"/>
        <w:spacing w:line="360" w:lineRule="auto"/>
        <w:ind w:left="0" w:firstLine="480" w:firstLineChars="200"/>
        <w:rPr>
          <w:rFonts w:hint="eastAsia" w:ascii="仿宋" w:hAnsi="仿宋" w:eastAsia="仿宋"/>
          <w:color w:val="000000"/>
          <w:sz w:val="24"/>
          <w:szCs w:val="24"/>
        </w:rPr>
      </w:pPr>
      <w:r>
        <w:rPr>
          <w:rFonts w:hint="eastAsia" w:ascii="仿宋" w:hAnsi="仿宋" w:eastAsia="仿宋"/>
          <w:color w:val="000000"/>
          <w:sz w:val="24"/>
          <w:szCs w:val="24"/>
        </w:rPr>
        <w:t>投标人取得相关领域创新能力证明材料（专利证书）且证书名称中包含以下关键词之一的：“空间大数据快速处理及检索”、“滞留点确定方法”。每具有一项上述证书得2分，最多得4分。同一证书只计一次，不得重复计分。（4分）</w:t>
      </w:r>
    </w:p>
    <w:p>
      <w:pPr>
        <w:pStyle w:val="488"/>
        <w:snapToGrid w:val="0"/>
        <w:spacing w:before="0" w:line="360" w:lineRule="auto"/>
        <w:ind w:left="0" w:firstLine="480" w:firstLineChars="200"/>
        <w:rPr>
          <w:rFonts w:ascii="仿宋" w:hAnsi="仿宋" w:eastAsia="仿宋"/>
          <w:color w:val="000000"/>
          <w:sz w:val="24"/>
          <w:szCs w:val="24"/>
        </w:rPr>
      </w:pPr>
      <w:r>
        <w:rPr>
          <w:rFonts w:hint="eastAsia" w:ascii="仿宋" w:hAnsi="仿宋" w:eastAsia="仿宋"/>
          <w:color w:val="000000"/>
          <w:sz w:val="24"/>
          <w:szCs w:val="24"/>
        </w:rPr>
        <w:t>注：需提供证书复印件及原件备查，否则不得分。</w:t>
      </w:r>
    </w:p>
    <w:p>
      <w:pPr>
        <w:snapToGrid w:val="0"/>
        <w:spacing w:line="400" w:lineRule="exact"/>
        <w:rPr>
          <w:rFonts w:ascii="仿宋" w:hAnsi="仿宋" w:eastAsia="仿宋" w:cs="仿宋_GB2312"/>
          <w:b/>
          <w:color w:val="000000"/>
          <w:sz w:val="24"/>
        </w:rPr>
      </w:pPr>
      <w:r>
        <w:rPr>
          <w:rFonts w:hint="eastAsia" w:ascii="仿宋" w:hAnsi="仿宋" w:eastAsia="仿宋" w:cs="仿宋_GB2312"/>
          <w:b/>
          <w:color w:val="000000"/>
          <w:sz w:val="24"/>
        </w:rPr>
        <w:t>（5）组织实施方案以及质量和工期的保证措施（3分）：</w:t>
      </w:r>
      <w:r>
        <w:rPr>
          <w:rFonts w:hint="eastAsia" w:ascii="仿宋" w:hAnsi="仿宋" w:eastAsia="仿宋"/>
          <w:color w:val="000000"/>
          <w:sz w:val="24"/>
        </w:rPr>
        <w:t>项目的具体实施方案、测试方案、进度控制计划的科学性、可行性，项目管理规范性等；</w:t>
      </w:r>
    </w:p>
    <w:p>
      <w:pPr>
        <w:snapToGrid w:val="0"/>
        <w:spacing w:line="400" w:lineRule="exact"/>
        <w:rPr>
          <w:rFonts w:ascii="仿宋" w:hAnsi="仿宋" w:eastAsia="仿宋" w:cs="仿宋_GB2312"/>
          <w:b/>
          <w:color w:val="000000"/>
          <w:sz w:val="24"/>
        </w:rPr>
      </w:pPr>
      <w:r>
        <w:rPr>
          <w:rFonts w:hint="eastAsia" w:ascii="仿宋" w:hAnsi="仿宋" w:eastAsia="仿宋" w:cs="仿宋_GB2312"/>
          <w:b/>
          <w:color w:val="000000"/>
          <w:sz w:val="24"/>
        </w:rPr>
        <w:t>（6）培训、测试、试运行和验收（1分）：</w:t>
      </w:r>
      <w:r>
        <w:rPr>
          <w:rFonts w:hint="eastAsia" w:ascii="仿宋" w:hAnsi="仿宋" w:eastAsia="仿宋"/>
          <w:color w:val="000000"/>
          <w:sz w:val="24"/>
        </w:rPr>
        <w:t>投标人提出的功能测试、试运转、验收方案的合理性、可行性情况；培训计划包括培训内容、时间、地点、人次，费用计入总报价；</w:t>
      </w:r>
    </w:p>
    <w:p>
      <w:pPr>
        <w:snapToGrid w:val="0"/>
        <w:spacing w:line="400" w:lineRule="exact"/>
        <w:rPr>
          <w:rFonts w:ascii="仿宋" w:hAnsi="仿宋" w:eastAsia="仿宋" w:cs="仿宋_GB2312"/>
          <w:b/>
          <w:color w:val="000000"/>
          <w:sz w:val="24"/>
        </w:rPr>
      </w:pPr>
      <w:r>
        <w:rPr>
          <w:rFonts w:hint="eastAsia" w:ascii="仿宋" w:hAnsi="仿宋" w:eastAsia="仿宋" w:cs="仿宋_GB2312"/>
          <w:b/>
          <w:color w:val="000000"/>
          <w:sz w:val="24"/>
        </w:rPr>
        <w:t>（7）售后服务方案情况（4分）：</w:t>
      </w:r>
    </w:p>
    <w:p>
      <w:pPr>
        <w:pStyle w:val="488"/>
        <w:snapToGrid w:val="0"/>
        <w:spacing w:before="0" w:line="400" w:lineRule="exact"/>
        <w:ind w:left="0" w:firstLine="480" w:firstLineChars="200"/>
        <w:rPr>
          <w:rFonts w:ascii="仿宋" w:hAnsi="仿宋" w:eastAsia="仿宋"/>
          <w:color w:val="000000"/>
          <w:sz w:val="24"/>
          <w:szCs w:val="24"/>
        </w:rPr>
      </w:pPr>
      <w:r>
        <w:rPr>
          <w:rFonts w:hint="eastAsia" w:ascii="仿宋" w:hAnsi="仿宋" w:eastAsia="仿宋"/>
          <w:color w:val="000000"/>
          <w:sz w:val="24"/>
          <w:szCs w:val="24"/>
        </w:rPr>
        <w:t>● 项目维护计划(提供本地化服务，驻点人员安排，定期巡检等情况)的有效性等(2分)</w:t>
      </w:r>
    </w:p>
    <w:p>
      <w:pPr>
        <w:pStyle w:val="488"/>
        <w:snapToGrid w:val="0"/>
        <w:spacing w:before="0" w:line="400" w:lineRule="exact"/>
        <w:ind w:left="0" w:firstLine="480" w:firstLineChars="200"/>
        <w:rPr>
          <w:rFonts w:ascii="仿宋" w:hAnsi="仿宋" w:eastAsia="仿宋"/>
          <w:color w:val="000000"/>
          <w:sz w:val="24"/>
          <w:szCs w:val="24"/>
        </w:rPr>
      </w:pPr>
      <w:r>
        <w:rPr>
          <w:rFonts w:hint="eastAsia" w:ascii="仿宋" w:hAnsi="仿宋" w:eastAsia="仿宋"/>
          <w:color w:val="000000"/>
          <w:sz w:val="24"/>
          <w:szCs w:val="24"/>
        </w:rPr>
        <w:t>● 售后服务的响应情况(对用户故障的响应、处理、维保期等)(2分)。</w:t>
      </w:r>
    </w:p>
    <w:p>
      <w:pPr>
        <w:snapToGrid w:val="0"/>
        <w:spacing w:line="400" w:lineRule="exact"/>
        <w:rPr>
          <w:rFonts w:ascii="仿宋" w:hAnsi="仿宋" w:eastAsia="仿宋" w:cs="仿宋_GB2312"/>
          <w:b/>
          <w:color w:val="000000"/>
          <w:sz w:val="24"/>
        </w:rPr>
      </w:pPr>
      <w:r>
        <w:rPr>
          <w:rFonts w:hint="eastAsia" w:ascii="仿宋" w:hAnsi="仿宋" w:eastAsia="仿宋" w:cs="仿宋_GB2312"/>
          <w:b/>
          <w:color w:val="000000"/>
          <w:sz w:val="24"/>
        </w:rPr>
        <w:t>（8）项目组人员素质情况（8分）：</w:t>
      </w:r>
    </w:p>
    <w:p>
      <w:pPr>
        <w:pStyle w:val="488"/>
        <w:snapToGrid w:val="0"/>
        <w:spacing w:before="0" w:line="400" w:lineRule="exact"/>
        <w:ind w:left="0" w:firstLine="480" w:firstLineChars="200"/>
        <w:rPr>
          <w:rFonts w:ascii="仿宋" w:hAnsi="仿宋" w:eastAsia="仿宋"/>
          <w:color w:val="000000"/>
          <w:sz w:val="24"/>
          <w:szCs w:val="24"/>
        </w:rPr>
      </w:pPr>
      <w:r>
        <w:rPr>
          <w:rFonts w:hint="eastAsia" w:ascii="仿宋" w:hAnsi="仿宋" w:eastAsia="仿宋"/>
          <w:color w:val="000000"/>
          <w:sz w:val="24"/>
          <w:szCs w:val="24"/>
        </w:rPr>
        <w:t>● 拟担任本项目的项目经理是否具备高级信息系统项目管理师证书，得2分（2分）；</w:t>
      </w:r>
    </w:p>
    <w:p>
      <w:pPr>
        <w:pStyle w:val="488"/>
        <w:snapToGrid w:val="0"/>
        <w:spacing w:before="0" w:line="400" w:lineRule="exact"/>
        <w:ind w:left="0" w:firstLine="480" w:firstLineChars="200"/>
        <w:rPr>
          <w:rFonts w:ascii="仿宋" w:hAnsi="仿宋" w:eastAsia="仿宋"/>
          <w:color w:val="000000"/>
          <w:sz w:val="24"/>
          <w:szCs w:val="24"/>
        </w:rPr>
      </w:pPr>
      <w:r>
        <w:rPr>
          <w:rFonts w:hint="eastAsia" w:ascii="仿宋" w:hAnsi="仿宋" w:eastAsia="仿宋"/>
          <w:color w:val="000000"/>
          <w:sz w:val="24"/>
          <w:szCs w:val="24"/>
        </w:rPr>
        <w:t>● 拟担任本项目的项目组成员中是否至少1名高级架构工程师（具备高级系统架构工程师证书），得2分（2分）；</w:t>
      </w:r>
    </w:p>
    <w:p>
      <w:pPr>
        <w:pStyle w:val="488"/>
        <w:snapToGrid w:val="0"/>
        <w:spacing w:before="0" w:line="400" w:lineRule="exact"/>
        <w:ind w:left="0" w:firstLine="480" w:firstLineChars="200"/>
        <w:rPr>
          <w:rFonts w:ascii="仿宋" w:hAnsi="仿宋" w:eastAsia="仿宋"/>
          <w:color w:val="000000"/>
          <w:sz w:val="24"/>
          <w:szCs w:val="24"/>
        </w:rPr>
      </w:pPr>
      <w:r>
        <w:rPr>
          <w:rFonts w:hint="eastAsia" w:ascii="仿宋" w:hAnsi="仿宋" w:eastAsia="仿宋"/>
          <w:color w:val="000000"/>
          <w:sz w:val="24"/>
          <w:szCs w:val="24"/>
        </w:rPr>
        <w:t>● 拟担任本项目的项目组成员中是否至少1名数据库工程师（具备OCP证书），得2分（2分）；</w:t>
      </w:r>
    </w:p>
    <w:p>
      <w:pPr>
        <w:pStyle w:val="488"/>
        <w:snapToGrid w:val="0"/>
        <w:spacing w:before="0" w:line="400" w:lineRule="exact"/>
        <w:ind w:left="0" w:firstLine="480" w:firstLineChars="200"/>
        <w:rPr>
          <w:rFonts w:hint="eastAsia" w:ascii="仿宋" w:hAnsi="仿宋" w:eastAsia="仿宋"/>
          <w:color w:val="000000"/>
          <w:sz w:val="24"/>
          <w:szCs w:val="24"/>
        </w:rPr>
      </w:pPr>
      <w:r>
        <w:rPr>
          <w:rFonts w:hint="eastAsia" w:ascii="仿宋" w:hAnsi="仿宋" w:eastAsia="仿宋"/>
          <w:color w:val="000000"/>
          <w:sz w:val="24"/>
          <w:szCs w:val="24"/>
        </w:rPr>
        <w:t>● 拟担任本项目的项目组成员中是否至少1名Hadoop数据库工程师（具备CCAH证书），得2分（2分）。</w:t>
      </w:r>
    </w:p>
    <w:p>
      <w:pPr>
        <w:pStyle w:val="488"/>
        <w:snapToGrid w:val="0"/>
        <w:spacing w:before="0" w:line="400" w:lineRule="exact"/>
        <w:ind w:left="0" w:firstLine="480" w:firstLineChars="200"/>
        <w:rPr>
          <w:rFonts w:ascii="仿宋" w:hAnsi="仿宋" w:eastAsia="仿宋"/>
          <w:color w:val="000000"/>
          <w:sz w:val="24"/>
          <w:szCs w:val="24"/>
        </w:rPr>
      </w:pPr>
      <w:r>
        <w:rPr>
          <w:rFonts w:hint="eastAsia" w:ascii="仿宋" w:hAnsi="仿宋" w:eastAsia="仿宋"/>
          <w:color w:val="000000"/>
          <w:sz w:val="24"/>
          <w:szCs w:val="24"/>
        </w:rPr>
        <w:t>注：项目组实施人员须为公司正式在编员工，提供其相关证明资料、劳动合同或参保证明等情况，如有一项目组成员无相关证明，该项不得分。</w:t>
      </w:r>
    </w:p>
    <w:p>
      <w:pPr>
        <w:snapToGrid w:val="0"/>
        <w:spacing w:line="400" w:lineRule="exact"/>
        <w:rPr>
          <w:rFonts w:ascii="仿宋" w:hAnsi="仿宋" w:eastAsia="仿宋" w:cs="仿宋_GB2312"/>
          <w:b/>
          <w:color w:val="000000"/>
          <w:sz w:val="24"/>
        </w:rPr>
      </w:pPr>
      <w:r>
        <w:rPr>
          <w:rFonts w:hint="eastAsia" w:ascii="仿宋" w:hAnsi="仿宋" w:eastAsia="仿宋" w:cs="仿宋_GB2312"/>
          <w:b/>
          <w:color w:val="000000"/>
          <w:sz w:val="24"/>
        </w:rPr>
        <w:t>（9）优惠和承诺（5分）：</w:t>
      </w:r>
    </w:p>
    <w:p>
      <w:pPr>
        <w:pStyle w:val="488"/>
        <w:snapToGrid w:val="0"/>
        <w:spacing w:before="0" w:line="400" w:lineRule="exact"/>
        <w:ind w:left="0" w:firstLine="480" w:firstLineChars="200"/>
        <w:rPr>
          <w:rFonts w:ascii="仿宋" w:hAnsi="仿宋" w:eastAsia="仿宋" w:cs="仿宋_GB2312"/>
          <w:color w:val="000000"/>
          <w:sz w:val="24"/>
          <w:szCs w:val="24"/>
        </w:rPr>
      </w:pPr>
      <w:r>
        <w:rPr>
          <w:rFonts w:hint="eastAsia" w:ascii="仿宋" w:hAnsi="仿宋" w:eastAsia="仿宋"/>
          <w:color w:val="000000"/>
          <w:sz w:val="24"/>
          <w:szCs w:val="24"/>
        </w:rPr>
        <w:t xml:space="preserve">● </w:t>
      </w:r>
      <w:r>
        <w:rPr>
          <w:rFonts w:hint="eastAsia" w:ascii="仿宋" w:hAnsi="仿宋" w:eastAsia="仿宋" w:cs="仿宋_GB2312"/>
          <w:color w:val="000000"/>
          <w:sz w:val="24"/>
          <w:szCs w:val="24"/>
        </w:rPr>
        <w:t>投标人针对本项目提出的实质性优惠条件和承诺情况：对后续服务等方面的优惠承诺，以及对本次项目的优势说明其他特色服务和响应措施等情况。(2分）</w:t>
      </w:r>
    </w:p>
    <w:p>
      <w:pPr>
        <w:pStyle w:val="488"/>
        <w:snapToGrid w:val="0"/>
        <w:spacing w:before="0" w:line="400" w:lineRule="exact"/>
        <w:ind w:left="0" w:firstLine="480" w:firstLineChars="200"/>
        <w:rPr>
          <w:rFonts w:ascii="仿宋" w:hAnsi="仿宋" w:eastAsia="仿宋"/>
          <w:color w:val="000000"/>
          <w:sz w:val="24"/>
          <w:szCs w:val="24"/>
        </w:rPr>
      </w:pPr>
      <w:r>
        <w:rPr>
          <w:rFonts w:hint="eastAsia" w:ascii="仿宋" w:hAnsi="仿宋" w:eastAsia="仿宋"/>
          <w:color w:val="000000"/>
          <w:sz w:val="24"/>
          <w:szCs w:val="24"/>
        </w:rPr>
        <w:t>● 主要硬件厂商需提供原厂唯一支持授权函及质保函（如同一品牌硬件厂商出具两家授权函，则硬件报价高的投标人该项不得分）（3分）</w:t>
      </w:r>
    </w:p>
    <w:p>
      <w:pPr>
        <w:snapToGrid w:val="0"/>
        <w:spacing w:line="400" w:lineRule="exact"/>
        <w:ind w:firstLine="482" w:firstLineChars="200"/>
        <w:rPr>
          <w:rFonts w:ascii="仿宋" w:hAnsi="仿宋" w:eastAsia="仿宋" w:cs="仿宋_GB2312"/>
          <w:color w:val="000000"/>
          <w:sz w:val="24"/>
        </w:rPr>
      </w:pPr>
      <w:r>
        <w:rPr>
          <w:rFonts w:hint="eastAsia" w:ascii="仿宋" w:hAnsi="仿宋" w:eastAsia="仿宋" w:cs="仿宋_GB2312"/>
          <w:b/>
          <w:bCs/>
          <w:color w:val="000000"/>
          <w:sz w:val="24"/>
        </w:rPr>
        <w:t>▲</w:t>
      </w:r>
      <w:r>
        <w:rPr>
          <w:rFonts w:hint="eastAsia" w:ascii="仿宋" w:hAnsi="仿宋" w:eastAsia="仿宋" w:cs="仿宋_GB2312"/>
          <w:b/>
          <w:color w:val="000000"/>
          <w:sz w:val="24"/>
        </w:rPr>
        <w:t>投标人的资质和业绩情况</w:t>
      </w:r>
      <w:r>
        <w:rPr>
          <w:rFonts w:hint="eastAsia" w:ascii="仿宋" w:hAnsi="仿宋" w:eastAsia="仿宋" w:cs="仿宋_GB2312"/>
          <w:b/>
          <w:bCs/>
          <w:color w:val="000000"/>
          <w:sz w:val="24"/>
        </w:rPr>
        <w:t>（C=10分）：</w:t>
      </w:r>
      <w:r>
        <w:rPr>
          <w:rFonts w:hint="eastAsia" w:ascii="仿宋" w:hAnsi="仿宋" w:eastAsia="仿宋" w:cs="仿宋_GB2312"/>
          <w:color w:val="000000"/>
          <w:sz w:val="24"/>
        </w:rPr>
        <w:t>主要包含投标人的资质、类似</w:t>
      </w:r>
      <w:r>
        <w:rPr>
          <w:rFonts w:hint="eastAsia" w:ascii="仿宋" w:hAnsi="仿宋" w:eastAsia="仿宋" w:cs="仿宋_GB2312"/>
          <w:color w:val="000000"/>
          <w:kern w:val="28"/>
          <w:sz w:val="24"/>
        </w:rPr>
        <w:t>项目建设</w:t>
      </w:r>
      <w:r>
        <w:rPr>
          <w:rFonts w:hint="eastAsia" w:ascii="仿宋" w:hAnsi="仿宋" w:eastAsia="仿宋" w:cs="仿宋_GB2312"/>
          <w:color w:val="000000"/>
          <w:sz w:val="24"/>
        </w:rPr>
        <w:t xml:space="preserve">成功案例等方面的因素。  </w:t>
      </w:r>
    </w:p>
    <w:p>
      <w:pPr>
        <w:snapToGrid w:val="0"/>
        <w:spacing w:line="400" w:lineRule="exact"/>
        <w:ind w:firstLine="480" w:firstLineChars="200"/>
        <w:rPr>
          <w:rFonts w:ascii="仿宋" w:hAnsi="仿宋" w:eastAsia="仿宋" w:cs="仿宋_GB2312"/>
          <w:color w:val="000000"/>
          <w:sz w:val="24"/>
        </w:rPr>
      </w:pPr>
      <w:r>
        <w:rPr>
          <w:rFonts w:hint="eastAsia" w:ascii="仿宋" w:hAnsi="仿宋" w:eastAsia="仿宋" w:cs="仿宋_GB2312"/>
          <w:color w:val="000000"/>
          <w:sz w:val="24"/>
        </w:rPr>
        <w:t>评审要点为：</w:t>
      </w:r>
    </w:p>
    <w:p>
      <w:pPr>
        <w:snapToGrid w:val="0"/>
        <w:spacing w:line="400" w:lineRule="exact"/>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（1）投标人基本情况（</w:t>
      </w:r>
      <w:r>
        <w:rPr>
          <w:rFonts w:hint="eastAsia" w:ascii="仿宋" w:hAnsi="仿宋" w:eastAsia="仿宋" w:cs="仿宋_GB2312"/>
          <w:b/>
          <w:bCs/>
          <w:color w:val="000000"/>
          <w:sz w:val="24"/>
        </w:rPr>
        <w:t>8</w:t>
      </w:r>
      <w:r>
        <w:rPr>
          <w:rFonts w:hint="eastAsia" w:ascii="仿宋" w:hAnsi="仿宋" w:eastAsia="仿宋" w:cs="仿宋_GB2312"/>
          <w:b/>
          <w:color w:val="000000"/>
          <w:sz w:val="24"/>
        </w:rPr>
        <w:t>分）：</w:t>
      </w:r>
    </w:p>
    <w:p>
      <w:pPr>
        <w:snapToGrid w:val="0"/>
        <w:spacing w:line="400" w:lineRule="exact"/>
        <w:ind w:firstLine="720" w:firstLineChars="300"/>
        <w:rPr>
          <w:rFonts w:ascii="仿宋" w:hAnsi="仿宋" w:eastAsia="仿宋" w:cs="仿宋_GB2312"/>
          <w:color w:val="000000"/>
          <w:sz w:val="24"/>
        </w:rPr>
      </w:pPr>
      <w:r>
        <w:rPr>
          <w:rFonts w:hint="eastAsia" w:ascii="仿宋" w:hAnsi="仿宋" w:eastAsia="仿宋" w:cs="仿宋_GB2312"/>
          <w:color w:val="000000"/>
          <w:sz w:val="24"/>
        </w:rPr>
        <w:t>● 投标人具有CMMI3及以上级别证书，3级证书得1分，4级证书得2分，5级证书得3分(0-3分）；</w:t>
      </w:r>
    </w:p>
    <w:p>
      <w:pPr>
        <w:snapToGrid w:val="0"/>
        <w:spacing w:line="400" w:lineRule="exact"/>
        <w:ind w:firstLine="720" w:firstLineChars="300"/>
        <w:rPr>
          <w:rFonts w:ascii="仿宋" w:hAnsi="仿宋" w:eastAsia="仿宋" w:cs="仿宋_GB2312"/>
          <w:color w:val="000000"/>
          <w:sz w:val="24"/>
        </w:rPr>
      </w:pPr>
      <w:r>
        <w:rPr>
          <w:rFonts w:hint="eastAsia" w:ascii="仿宋" w:hAnsi="仿宋" w:eastAsia="仿宋" w:cs="仿宋_GB2312"/>
          <w:color w:val="000000"/>
          <w:sz w:val="24"/>
        </w:rPr>
        <w:t>● 投标人具有信息系统集成及服务三级以上资质（1分）；</w:t>
      </w:r>
    </w:p>
    <w:p>
      <w:pPr>
        <w:snapToGrid w:val="0"/>
        <w:spacing w:line="400" w:lineRule="exact"/>
        <w:ind w:firstLine="720" w:firstLineChars="300"/>
        <w:rPr>
          <w:rFonts w:hint="eastAsia" w:ascii="仿宋" w:hAnsi="仿宋" w:eastAsia="仿宋" w:cs="仿宋_GB2312"/>
          <w:color w:val="000000"/>
          <w:sz w:val="24"/>
        </w:rPr>
      </w:pPr>
      <w:r>
        <w:rPr>
          <w:rFonts w:hint="eastAsia" w:ascii="仿宋" w:hAnsi="仿宋" w:eastAsia="仿宋" w:cs="仿宋_GB2312"/>
          <w:color w:val="000000"/>
          <w:sz w:val="24"/>
        </w:rPr>
        <w:t>● 投标人具有软件企业认定证书（1分）；</w:t>
      </w:r>
    </w:p>
    <w:p>
      <w:pPr>
        <w:snapToGrid w:val="0"/>
        <w:spacing w:line="400" w:lineRule="exact"/>
        <w:ind w:firstLine="720" w:firstLineChars="300"/>
        <w:rPr>
          <w:rFonts w:hint="eastAsia" w:ascii="仿宋" w:hAnsi="仿宋" w:eastAsia="仿宋" w:cs="仿宋_GB2312"/>
          <w:color w:val="000000"/>
          <w:sz w:val="24"/>
        </w:rPr>
      </w:pPr>
      <w:r>
        <w:rPr>
          <w:rFonts w:hint="eastAsia" w:ascii="仿宋" w:hAnsi="仿宋" w:eastAsia="仿宋" w:cs="仿宋_GB2312"/>
          <w:color w:val="000000"/>
          <w:sz w:val="24"/>
        </w:rPr>
        <w:t>● 投标人具有（认证范围含行业应用软件开发、应用服务等）质量管理体系认证证书ISO9001、环境管理体系认证证书ISO14001、信息安全管理体系认证证书ISO27001 ，每张证书得1分(3分）。</w:t>
      </w:r>
    </w:p>
    <w:p>
      <w:pPr>
        <w:snapToGrid w:val="0"/>
        <w:spacing w:line="400" w:lineRule="exact"/>
        <w:ind w:firstLine="467" w:firstLineChars="194"/>
        <w:rPr>
          <w:rFonts w:ascii="仿宋" w:hAnsi="仿宋" w:eastAsia="仿宋"/>
          <w:b/>
          <w:color w:val="000000"/>
          <w:sz w:val="24"/>
        </w:rPr>
      </w:pPr>
      <w:r>
        <w:rPr>
          <w:rFonts w:hint="eastAsia" w:ascii="仿宋" w:hAnsi="仿宋" w:eastAsia="仿宋" w:cs="仿宋_GB2312"/>
          <w:b/>
          <w:color w:val="000000"/>
          <w:sz w:val="24"/>
        </w:rPr>
        <w:t>（2）投标人类似项目建设的成功经验（</w:t>
      </w:r>
      <w:r>
        <w:rPr>
          <w:rFonts w:hint="eastAsia" w:ascii="仿宋" w:hAnsi="仿宋" w:eastAsia="仿宋" w:cs="仿宋_GB2312"/>
          <w:b/>
          <w:bCs/>
          <w:color w:val="000000"/>
          <w:sz w:val="24"/>
        </w:rPr>
        <w:t>2</w:t>
      </w:r>
      <w:r>
        <w:rPr>
          <w:rFonts w:hint="eastAsia" w:ascii="仿宋" w:hAnsi="仿宋" w:eastAsia="仿宋" w:cs="仿宋_GB2312"/>
          <w:b/>
          <w:color w:val="000000"/>
          <w:sz w:val="24"/>
        </w:rPr>
        <w:t>分）：</w:t>
      </w:r>
      <w:r>
        <w:rPr>
          <w:rFonts w:hint="eastAsia" w:ascii="仿宋" w:hAnsi="仿宋" w:eastAsia="仿宋"/>
          <w:color w:val="000000"/>
          <w:sz w:val="24"/>
        </w:rPr>
        <w:t>截止投标时间近三年以来投标人</w:t>
      </w:r>
      <w:r>
        <w:rPr>
          <w:rFonts w:hint="eastAsia" w:ascii="仿宋" w:hAnsi="仿宋" w:eastAsia="仿宋" w:cs="仿宋_GB2312"/>
          <w:color w:val="000000"/>
          <w:sz w:val="24"/>
        </w:rPr>
        <w:t>承担类似</w:t>
      </w:r>
      <w:r>
        <w:rPr>
          <w:rFonts w:hint="eastAsia" w:ascii="仿宋" w:hAnsi="仿宋" w:eastAsia="仿宋" w:cs="宋体"/>
          <w:color w:val="000000"/>
          <w:sz w:val="24"/>
        </w:rPr>
        <w:t>项目</w:t>
      </w:r>
      <w:r>
        <w:rPr>
          <w:rFonts w:hint="eastAsia" w:ascii="仿宋" w:hAnsi="仿宋" w:eastAsia="仿宋"/>
          <w:color w:val="000000"/>
          <w:sz w:val="24"/>
        </w:rPr>
        <w:t>实施的成功经验情况</w:t>
      </w:r>
      <w:r>
        <w:rPr>
          <w:rFonts w:hint="eastAsia" w:ascii="仿宋" w:hAnsi="仿宋" w:eastAsia="仿宋" w:cs="宋体"/>
          <w:color w:val="000000"/>
          <w:sz w:val="24"/>
        </w:rPr>
        <w:t>，</w:t>
      </w:r>
      <w:r>
        <w:rPr>
          <w:rFonts w:hint="eastAsia" w:ascii="仿宋" w:hAnsi="仿宋" w:eastAsia="仿宋" w:cs="仿宋_GB2312"/>
          <w:color w:val="000000"/>
          <w:sz w:val="24"/>
        </w:rPr>
        <w:t>每个成功案例得1分，本项最高得2分</w:t>
      </w:r>
      <w:r>
        <w:rPr>
          <w:rFonts w:hint="eastAsia" w:ascii="仿宋" w:hAnsi="仿宋" w:eastAsia="仿宋" w:cs="宋体"/>
          <w:color w:val="000000"/>
          <w:sz w:val="24"/>
        </w:rPr>
        <w:t>。</w:t>
      </w:r>
      <w:r>
        <w:rPr>
          <w:rFonts w:hint="eastAsia" w:ascii="仿宋" w:hAnsi="仿宋" w:eastAsia="仿宋" w:cs="仿宋_GB2312"/>
          <w:color w:val="000000"/>
          <w:sz w:val="24"/>
          <w:lang w:val="zh-CN"/>
        </w:rPr>
        <w:t>结合</w:t>
      </w:r>
      <w:r>
        <w:rPr>
          <w:rFonts w:hint="eastAsia" w:ascii="仿宋" w:hAnsi="仿宋" w:eastAsia="仿宋"/>
          <w:bCs/>
          <w:color w:val="000000"/>
          <w:sz w:val="24"/>
        </w:rPr>
        <w:t>已完成的项目案例和用户反应情况，</w:t>
      </w:r>
      <w:r>
        <w:rPr>
          <w:rFonts w:hint="eastAsia" w:ascii="仿宋" w:hAnsi="仿宋" w:eastAsia="仿宋"/>
          <w:snapToGrid w:val="0"/>
          <w:color w:val="000000"/>
          <w:sz w:val="24"/>
        </w:rPr>
        <w:t>依照投标人同时提供的</w:t>
      </w:r>
      <w:r>
        <w:rPr>
          <w:rFonts w:hint="eastAsia" w:ascii="仿宋" w:hAnsi="仿宋" w:eastAsia="仿宋"/>
          <w:color w:val="000000"/>
          <w:sz w:val="24"/>
          <w:lang w:val="zh-CN"/>
        </w:rPr>
        <w:t>合同</w:t>
      </w:r>
      <w:r>
        <w:rPr>
          <w:rFonts w:hint="eastAsia" w:ascii="仿宋" w:hAnsi="仿宋" w:eastAsia="仿宋"/>
          <w:color w:val="000000"/>
          <w:sz w:val="24"/>
        </w:rPr>
        <w:t>和用户验收报告（</w:t>
      </w:r>
      <w:r>
        <w:rPr>
          <w:rFonts w:hint="eastAsia" w:ascii="仿宋" w:hAnsi="仿宋" w:eastAsia="仿宋"/>
          <w:b/>
          <w:color w:val="000000"/>
          <w:sz w:val="24"/>
        </w:rPr>
        <w:t>以验收报告时间为准，原件备查，采购机构在项目评审直至合同签订、履约期间，有权要求投标人出具投标文件中的合同和用户验收报告，予以确认其的真实性和有效性，如出现与事实不符等情况，将根据有关规定以“提供虚假材料谋取中标”予以处理</w:t>
      </w:r>
      <w:r>
        <w:rPr>
          <w:rFonts w:hint="eastAsia" w:ascii="仿宋" w:hAnsi="仿宋" w:eastAsia="仿宋"/>
          <w:color w:val="000000"/>
          <w:sz w:val="24"/>
        </w:rPr>
        <w:t>），</w:t>
      </w:r>
      <w:r>
        <w:rPr>
          <w:rFonts w:hint="eastAsia" w:ascii="仿宋" w:hAnsi="仿宋" w:eastAsia="仿宋" w:cs="仿宋_GB2312"/>
          <w:color w:val="000000"/>
          <w:sz w:val="24"/>
        </w:rPr>
        <w:t>是否有良好的工作业绩和履约记录</w:t>
      </w:r>
      <w:r>
        <w:rPr>
          <w:rFonts w:hint="eastAsia" w:ascii="仿宋" w:hAnsi="仿宋" w:eastAsia="仿宋"/>
          <w:color w:val="000000"/>
          <w:sz w:val="24"/>
          <w:lang w:val="zh-CN"/>
        </w:rPr>
        <w:t>等情况</w:t>
      </w:r>
      <w:r>
        <w:rPr>
          <w:rFonts w:hint="eastAsia" w:ascii="仿宋" w:hAnsi="仿宋" w:eastAsia="仿宋"/>
          <w:color w:val="000000"/>
          <w:sz w:val="24"/>
        </w:rPr>
        <w:t>；</w:t>
      </w:r>
      <w:r>
        <w:rPr>
          <w:rFonts w:hint="eastAsia" w:ascii="仿宋" w:hAnsi="仿宋" w:eastAsia="仿宋"/>
          <w:b/>
          <w:color w:val="000000"/>
          <w:kern w:val="0"/>
          <w:sz w:val="24"/>
        </w:rPr>
        <w:t>以分包方式履行政府采购合同的，还需提供该项目采购方同意分包的证明材料;</w:t>
      </w:r>
      <w:r>
        <w:rPr>
          <w:rFonts w:hint="eastAsia" w:ascii="仿宋" w:hAnsi="仿宋" w:eastAsia="仿宋"/>
          <w:b/>
          <w:color w:val="000000"/>
          <w:sz w:val="24"/>
        </w:rPr>
        <w:t>如投标人提供的合同复印件等实施项目证明材料与投标主体无关或违规转包分包的，评标委员会将进行扣分直至认定投标无效。</w:t>
      </w:r>
    </w:p>
    <w:p>
      <w:pPr>
        <w:snapToGrid w:val="0"/>
        <w:spacing w:line="400" w:lineRule="exact"/>
        <w:ind w:firstLine="467" w:firstLineChars="194"/>
        <w:rPr>
          <w:rFonts w:ascii="仿宋" w:hAnsi="仿宋" w:eastAsia="仿宋" w:cs="仿宋_GB2312"/>
          <w:b/>
          <w:color w:val="000000"/>
          <w:sz w:val="24"/>
        </w:rPr>
      </w:pPr>
      <w:r>
        <w:rPr>
          <w:rFonts w:hint="eastAsia" w:ascii="仿宋" w:hAnsi="仿宋" w:eastAsia="仿宋" w:cs="仿宋_GB2312"/>
          <w:b/>
          <w:color w:val="000000"/>
          <w:sz w:val="24"/>
        </w:rPr>
        <w:t>▲ 综合得分=A+B+C</w:t>
      </w:r>
    </w:p>
    <w:p>
      <w:pPr>
        <w:pStyle w:val="43"/>
        <w:snapToGrid w:val="0"/>
        <w:spacing w:line="400" w:lineRule="exact"/>
        <w:ind w:firstLine="482" w:firstLineChars="200"/>
        <w:rPr>
          <w:rFonts w:ascii="仿宋" w:hAnsi="仿宋" w:eastAsia="仿宋" w:cs="仿宋_GB2312"/>
          <w:color w:val="000000"/>
          <w:sz w:val="24"/>
          <w:szCs w:val="24"/>
        </w:rPr>
      </w:pPr>
      <w:r>
        <w:rPr>
          <w:rFonts w:hint="eastAsia" w:ascii="仿宋" w:hAnsi="仿宋" w:eastAsia="仿宋" w:cs="仿宋_GB2312"/>
          <w:b/>
          <w:color w:val="000000"/>
          <w:sz w:val="24"/>
          <w:szCs w:val="24"/>
        </w:rPr>
        <w:t>▲ 减分：投标人的信誉情况（D）：</w:t>
      </w:r>
      <w:r>
        <w:rPr>
          <w:rFonts w:hint="eastAsia" w:ascii="仿宋" w:hAnsi="仿宋" w:eastAsia="仿宋" w:cs="仿宋_GB2312"/>
          <w:color w:val="000000"/>
          <w:kern w:val="0"/>
          <w:sz w:val="24"/>
          <w:szCs w:val="24"/>
        </w:rPr>
        <w:t>政府采购领域中</w:t>
      </w:r>
      <w:r>
        <w:rPr>
          <w:rFonts w:hint="eastAsia" w:ascii="仿宋" w:hAnsi="仿宋" w:eastAsia="仿宋" w:cs="仿宋_GB2312"/>
          <w:color w:val="000000"/>
          <w:sz w:val="24"/>
          <w:szCs w:val="24"/>
        </w:rPr>
        <w:t>投标人在项目招标、投标和合同履约期间是否存在不良行为记录。</w:t>
      </w:r>
    </w:p>
    <w:p>
      <w:pPr>
        <w:snapToGrid w:val="0"/>
        <w:spacing w:line="400" w:lineRule="exact"/>
        <w:ind w:firstLine="465" w:firstLineChars="194"/>
        <w:rPr>
          <w:rFonts w:ascii="仿宋" w:hAnsi="仿宋" w:eastAsia="仿宋" w:cs="仿宋_GB2312"/>
          <w:color w:val="000000"/>
          <w:sz w:val="24"/>
        </w:rPr>
      </w:pPr>
      <w:r>
        <w:rPr>
          <w:rFonts w:hint="eastAsia" w:ascii="仿宋" w:hAnsi="仿宋" w:eastAsia="仿宋" w:cs="仿宋_GB2312"/>
          <w:color w:val="000000"/>
          <w:sz w:val="24"/>
        </w:rPr>
        <w:t>●投标人参与本次招标活动前三年内在浙江省范围内政府采购领域中受到不良行为记录处罚的，每次扣1分。</w:t>
      </w:r>
    </w:p>
    <w:p>
      <w:pPr>
        <w:spacing w:line="360" w:lineRule="auto"/>
        <w:ind w:firstLine="467" w:firstLineChars="194"/>
        <w:rPr>
          <w:rFonts w:ascii="仿宋" w:hAnsi="仿宋" w:eastAsia="仿宋" w:cs="仿宋_GB2312"/>
          <w:b/>
          <w:color w:val="000000"/>
          <w:sz w:val="24"/>
        </w:rPr>
      </w:pPr>
      <w:r>
        <w:rPr>
          <w:rFonts w:hint="eastAsia" w:ascii="仿宋" w:hAnsi="仿宋" w:eastAsia="仿宋" w:cs="仿宋_GB2312"/>
          <w:b/>
          <w:color w:val="000000"/>
          <w:sz w:val="24"/>
        </w:rPr>
        <w:t>▲ 总分=综合得分-D</w:t>
      </w:r>
    </w:p>
    <w:p>
      <w:pPr>
        <w:pStyle w:val="43"/>
        <w:spacing w:line="360" w:lineRule="auto"/>
        <w:ind w:firstLine="472" w:firstLineChars="196"/>
        <w:jc w:val="left"/>
        <w:rPr>
          <w:rFonts w:hint="eastAsia" w:ascii="仿宋" w:hAnsi="仿宋" w:eastAsia="仿宋" w:cs="仿宋_GB2312"/>
          <w:color w:val="000000"/>
          <w:sz w:val="24"/>
          <w:szCs w:val="24"/>
        </w:rPr>
      </w:pPr>
      <w:r>
        <w:rPr>
          <w:rFonts w:hint="eastAsia" w:ascii="仿宋" w:hAnsi="仿宋" w:eastAsia="仿宋" w:cs="仿宋_GB2312"/>
          <w:b/>
          <w:color w:val="000000"/>
          <w:sz w:val="24"/>
          <w:szCs w:val="24"/>
        </w:rPr>
        <w:t>报价是中标的一个重要因素，但最低报价不是中标的唯一依据。</w:t>
      </w:r>
    </w:p>
    <w:p>
      <w:pPr>
        <w:autoSpaceDE w:val="0"/>
        <w:autoSpaceDN w:val="0"/>
        <w:snapToGrid w:val="0"/>
        <w:spacing w:line="360" w:lineRule="auto"/>
        <w:ind w:firstLine="482" w:firstLineChars="200"/>
        <w:jc w:val="left"/>
        <w:rPr>
          <w:rFonts w:hint="eastAsia" w:ascii="仿宋" w:hAnsi="仿宋" w:eastAsia="仿宋" w:cs="仿宋_GB2312"/>
          <w:b/>
          <w:color w:val="000000"/>
          <w:sz w:val="24"/>
        </w:rPr>
      </w:pPr>
      <w:r>
        <w:rPr>
          <w:rFonts w:hint="eastAsia" w:ascii="仿宋" w:hAnsi="仿宋" w:eastAsia="仿宋" w:cs="仿宋_GB2312"/>
          <w:b/>
          <w:color w:val="000000"/>
          <w:sz w:val="24"/>
        </w:rPr>
        <w:t>二、采购代理机构有权对评标委员会各成员的评分情况和评审意见进行合理性和合规性审查</w:t>
      </w:r>
      <w:r>
        <w:rPr>
          <w:rFonts w:hint="eastAsia" w:ascii="仿宋" w:hAnsi="仿宋" w:eastAsia="仿宋" w:cs="仿宋_GB2312"/>
          <w:color w:val="000000"/>
          <w:sz w:val="24"/>
        </w:rPr>
        <w:t>，如发现评标委员会成员的评审意见带有明显倾向性，或不按规定程序和标准评审、计分的，评标委员会成员应进行书面澄清和说明；评标委员会成员拒不接受采购代理机构审查的，采购代理机构将向同级政府采购监督管理部门报告并予以处理。</w:t>
      </w:r>
    </w:p>
    <w:p>
      <w:pPr>
        <w:spacing w:line="360" w:lineRule="auto"/>
        <w:ind w:left="720" w:leftChars="343" w:firstLine="1446" w:firstLineChars="400"/>
        <w:outlineLvl w:val="0"/>
        <w:rPr>
          <w:rFonts w:hint="eastAsia" w:ascii="仿宋" w:hAnsi="仿宋" w:eastAsia="仿宋" w:cs="仿宋_GB2312"/>
          <w:b/>
          <w:sz w:val="36"/>
          <w:szCs w:val="36"/>
        </w:rPr>
      </w:pPr>
      <w:r>
        <w:rPr>
          <w:rFonts w:hint="eastAsia" w:ascii="仿宋" w:hAnsi="仿宋" w:eastAsia="仿宋" w:cs="仿宋_GB2312"/>
          <w:b/>
          <w:sz w:val="36"/>
          <w:szCs w:val="36"/>
        </w:rPr>
        <w:t>第五部分</w:t>
      </w:r>
      <w:bookmarkEnd w:id="34"/>
      <w:r>
        <w:rPr>
          <w:rFonts w:hint="eastAsia" w:ascii="仿宋" w:hAnsi="仿宋" w:eastAsia="仿宋" w:cs="仿宋_GB2312"/>
          <w:b/>
          <w:sz w:val="36"/>
          <w:szCs w:val="36"/>
        </w:rPr>
        <w:t xml:space="preserve"> 拟签订的合同文本</w:t>
      </w:r>
    </w:p>
    <w:p>
      <w:pPr>
        <w:rPr>
          <w:rFonts w:hint="eastAsia" w:ascii="仿宋" w:hAnsi="仿宋" w:eastAsia="仿宋" w:cs="仿宋_GB2312"/>
        </w:rPr>
      </w:pPr>
      <w:bookmarkStart w:id="495" w:name="_GoBack"/>
      <w:bookmarkEnd w:id="495"/>
      <w:bookmarkStart w:id="496" w:name="第五部分"/>
      <w:bookmarkStart w:id="497" w:name="_Toc86217003"/>
    </w:p>
    <w:p>
      <w:pPr>
        <w:spacing w:line="360" w:lineRule="auto"/>
        <w:rPr>
          <w:rFonts w:hint="eastAsia" w:ascii="仿宋" w:hAnsi="仿宋" w:eastAsia="仿宋"/>
          <w:b/>
          <w:sz w:val="24"/>
        </w:rPr>
      </w:pPr>
      <w:r>
        <w:rPr>
          <w:rFonts w:hint="eastAsia" w:ascii="仿宋" w:hAnsi="仿宋" w:eastAsia="仿宋"/>
          <w:b/>
          <w:sz w:val="24"/>
        </w:rPr>
        <w:t>1．定义</w:t>
      </w:r>
    </w:p>
    <w:p>
      <w:pPr>
        <w:spacing w:line="360" w:lineRule="auto"/>
        <w:ind w:firstLine="480" w:firstLineChars="200"/>
        <w:rPr>
          <w:rFonts w:hint="eastAsia" w:ascii="仿宋" w:hAnsi="仿宋" w:eastAsia="仿宋"/>
          <w:b/>
          <w:sz w:val="24"/>
        </w:rPr>
      </w:pPr>
      <w:r>
        <w:rPr>
          <w:rFonts w:hint="eastAsia" w:ascii="仿宋" w:hAnsi="仿宋" w:eastAsia="仿宋"/>
          <w:sz w:val="24"/>
        </w:rPr>
        <w:t>1．1  “</w:t>
      </w:r>
      <w:r>
        <w:rPr>
          <w:rFonts w:hint="eastAsia" w:ascii="仿宋" w:hAnsi="仿宋" w:eastAsia="仿宋" w:cs="仿宋_GB2312"/>
          <w:kern w:val="0"/>
          <w:sz w:val="24"/>
          <w:lang w:val="zh-CN"/>
        </w:rPr>
        <w:t>合同”</w:t>
      </w:r>
      <w:r>
        <w:rPr>
          <w:rFonts w:hint="eastAsia" w:ascii="仿宋" w:hAnsi="仿宋" w:eastAsia="仿宋"/>
          <w:sz w:val="24"/>
        </w:rPr>
        <w:t>即由</w:t>
      </w:r>
      <w:r>
        <w:rPr>
          <w:rFonts w:hint="eastAsia" w:ascii="仿宋" w:hAnsi="仿宋" w:eastAsia="仿宋" w:cs="仿宋_GB2312"/>
          <w:kern w:val="0"/>
          <w:sz w:val="24"/>
          <w:lang w:val="zh-CN"/>
        </w:rPr>
        <w:t>甲乙方</w:t>
      </w:r>
      <w:r>
        <w:rPr>
          <w:rFonts w:hint="eastAsia" w:ascii="仿宋" w:hAnsi="仿宋" w:eastAsia="仿宋"/>
          <w:sz w:val="24"/>
        </w:rPr>
        <w:t>双方签订的合同格式中的文件，包括所有的附件、附录和组成合同部分的所有其他文件。</w:t>
      </w:r>
    </w:p>
    <w:p>
      <w:pPr>
        <w:spacing w:line="360" w:lineRule="auto"/>
        <w:ind w:firstLine="480" w:firstLineChars="200"/>
        <w:rPr>
          <w:rFonts w:hint="eastAsia" w:ascii="仿宋" w:hAnsi="仿宋" w:eastAsia="仿宋"/>
          <w:sz w:val="24"/>
        </w:rPr>
      </w:pPr>
      <w:r>
        <w:rPr>
          <w:rFonts w:hint="eastAsia" w:ascii="仿宋" w:hAnsi="仿宋" w:eastAsia="仿宋"/>
          <w:sz w:val="24"/>
        </w:rPr>
        <w:t>合同将由杭州市公安局西湖风景名胜区分局（以下简称甲方）与经评审最终确定的中标人（以下简称乙方）结合本项目具体情况协商后签订，</w:t>
      </w:r>
      <w:r>
        <w:rPr>
          <w:rFonts w:hint="eastAsia" w:ascii="仿宋" w:hAnsi="仿宋" w:eastAsia="仿宋" w:cs="仿宋_GB2312"/>
          <w:kern w:val="0"/>
          <w:sz w:val="24"/>
          <w:lang w:val="zh-CN"/>
        </w:rPr>
        <w:t>以下为采购人提出涉及乙方的主要条款，投标人在投标文件中应对其进行确认或拒绝。如投标人在其投标文件中未做拒绝或提出修改要求的，采购人将视作认同</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1．2 “合同价格”系指根据合同规定，在供应商全面正确地履行合同义务时，采购人应支付给供应商的款项。</w:t>
      </w:r>
    </w:p>
    <w:p>
      <w:pPr>
        <w:spacing w:line="360" w:lineRule="auto"/>
        <w:ind w:firstLine="480" w:firstLineChars="200"/>
        <w:rPr>
          <w:rFonts w:hint="eastAsia" w:ascii="仿宋" w:hAnsi="仿宋" w:eastAsia="仿宋"/>
          <w:sz w:val="24"/>
        </w:rPr>
      </w:pPr>
      <w:r>
        <w:rPr>
          <w:rFonts w:hint="eastAsia" w:ascii="仿宋" w:hAnsi="仿宋" w:eastAsia="仿宋"/>
          <w:sz w:val="24"/>
        </w:rPr>
        <w:t>1．3“服务”系指招标文件规定供应商须承担的安装、调试技术协助、校准、培训以及其它类似的义务。</w:t>
      </w:r>
    </w:p>
    <w:p>
      <w:pPr>
        <w:spacing w:line="360" w:lineRule="auto"/>
        <w:ind w:firstLine="480" w:firstLineChars="200"/>
        <w:rPr>
          <w:rFonts w:hint="eastAsia" w:ascii="仿宋" w:hAnsi="仿宋" w:eastAsia="仿宋"/>
          <w:sz w:val="24"/>
        </w:rPr>
      </w:pPr>
      <w:r>
        <w:rPr>
          <w:rFonts w:hint="eastAsia" w:ascii="仿宋" w:hAnsi="仿宋" w:eastAsia="仿宋"/>
          <w:sz w:val="24"/>
        </w:rPr>
        <w:t>1．4“现场”系指将要进行系统安装和运转的地点。</w:t>
      </w:r>
    </w:p>
    <w:p>
      <w:pPr>
        <w:spacing w:line="360" w:lineRule="auto"/>
        <w:ind w:firstLine="480" w:firstLineChars="200"/>
        <w:rPr>
          <w:rFonts w:hint="eastAsia" w:ascii="仿宋" w:hAnsi="仿宋" w:eastAsia="仿宋"/>
          <w:sz w:val="24"/>
        </w:rPr>
      </w:pPr>
      <w:r>
        <w:rPr>
          <w:rFonts w:hint="eastAsia" w:ascii="仿宋" w:hAnsi="仿宋" w:eastAsia="仿宋"/>
          <w:sz w:val="24"/>
        </w:rPr>
        <w:t>1．5“验收”系指采购人依据技术规格规定接受合同所依据的程序和条件。</w:t>
      </w:r>
    </w:p>
    <w:p>
      <w:pPr>
        <w:spacing w:line="360" w:lineRule="auto"/>
        <w:rPr>
          <w:rFonts w:hint="eastAsia" w:ascii="仿宋" w:hAnsi="仿宋" w:eastAsia="仿宋"/>
          <w:b/>
          <w:sz w:val="24"/>
        </w:rPr>
      </w:pPr>
      <w:r>
        <w:rPr>
          <w:rFonts w:hint="eastAsia" w:ascii="仿宋" w:hAnsi="仿宋" w:eastAsia="仿宋"/>
          <w:b/>
          <w:sz w:val="24"/>
        </w:rPr>
        <w:t>2．适用范围</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本合同条款适用与本次采购活动。项目实施范围详见附件——招标文件和投标文件及补充文件、采购设计图、承诺书等。 </w:t>
      </w:r>
    </w:p>
    <w:p>
      <w:pPr>
        <w:spacing w:line="360" w:lineRule="auto"/>
        <w:rPr>
          <w:rFonts w:hint="eastAsia" w:ascii="仿宋" w:hAnsi="仿宋" w:eastAsia="仿宋"/>
          <w:b/>
          <w:sz w:val="24"/>
        </w:rPr>
      </w:pPr>
      <w:r>
        <w:rPr>
          <w:rFonts w:hint="eastAsia" w:ascii="仿宋" w:hAnsi="仿宋" w:eastAsia="仿宋"/>
          <w:b/>
          <w:sz w:val="24"/>
        </w:rPr>
        <w:t>3．项目开发与要求</w:t>
      </w:r>
    </w:p>
    <w:p>
      <w:pPr>
        <w:spacing w:line="360" w:lineRule="auto"/>
        <w:ind w:firstLine="480" w:firstLineChars="200"/>
        <w:rPr>
          <w:rFonts w:hint="eastAsia" w:ascii="仿宋" w:hAnsi="仿宋" w:eastAsia="仿宋"/>
          <w:b/>
          <w:sz w:val="24"/>
        </w:rPr>
      </w:pPr>
      <w:r>
        <w:rPr>
          <w:rFonts w:hint="eastAsia" w:ascii="仿宋" w:hAnsi="仿宋" w:eastAsia="仿宋"/>
          <w:sz w:val="24"/>
        </w:rPr>
        <w:t>3．1乙方必须</w:t>
      </w:r>
      <w:r>
        <w:rPr>
          <w:rFonts w:hint="eastAsia" w:ascii="仿宋" w:hAnsi="仿宋" w:eastAsia="仿宋" w:cs="仿宋_GB2312"/>
          <w:kern w:val="0"/>
          <w:sz w:val="24"/>
          <w:szCs w:val="28"/>
          <w:lang w:val="zh-CN"/>
        </w:rPr>
        <w:t>进一步优化需求分析、系统设计，</w:t>
      </w:r>
      <w:r>
        <w:rPr>
          <w:rFonts w:hint="eastAsia" w:ascii="仿宋" w:hAnsi="仿宋" w:eastAsia="仿宋"/>
          <w:sz w:val="24"/>
        </w:rPr>
        <w:t>并细化系统建设计划、目标任务书和测试验收方案</w:t>
      </w:r>
      <w:r>
        <w:rPr>
          <w:rFonts w:hint="eastAsia" w:ascii="仿宋" w:hAnsi="仿宋" w:eastAsia="仿宋" w:cs="仿宋_GB2312"/>
          <w:kern w:val="0"/>
          <w:sz w:val="24"/>
          <w:szCs w:val="28"/>
          <w:lang w:val="zh-CN"/>
        </w:rPr>
        <w:t>，向采购人提供上述文档并需经采购人审查。</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sz w:val="24"/>
        </w:rPr>
        <w:t>3.2</w:t>
      </w:r>
      <w:r>
        <w:rPr>
          <w:rFonts w:hint="eastAsia" w:ascii="仿宋" w:hAnsi="仿宋" w:eastAsia="仿宋" w:cs="仿宋_GB2312"/>
          <w:kern w:val="0"/>
          <w:sz w:val="24"/>
          <w:lang w:val="zh-CN"/>
        </w:rPr>
        <w:t>本项目的最终用户为甲方，项目的知识产权归甲方所有，乙方必须提供项目的所有源代码和开发文档，甲方有权对软件进行修改。未经同意，乙方不得擅自扩散或提供给第三方使用，但甲方在本平台应用、二次开发或升级除外。乙方对甲方提供的业务资料、技术资料应严格保密，不得扩散。</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sz w:val="24"/>
        </w:rPr>
        <w:t>3．3</w:t>
      </w:r>
      <w:r>
        <w:rPr>
          <w:rFonts w:hint="eastAsia" w:ascii="仿宋" w:hAnsi="仿宋" w:eastAsia="仿宋" w:cs="仿宋_GB2312"/>
          <w:kern w:val="0"/>
          <w:sz w:val="24"/>
          <w:lang w:val="zh-CN"/>
        </w:rPr>
        <w:t>乙方</w:t>
      </w:r>
      <w:r>
        <w:rPr>
          <w:rFonts w:hint="eastAsia" w:ascii="仿宋" w:hAnsi="仿宋" w:eastAsia="仿宋"/>
          <w:sz w:val="24"/>
          <w:szCs w:val="21"/>
        </w:rPr>
        <w:t>对所提供的产品、技术和服务等拥有</w:t>
      </w:r>
      <w:r>
        <w:rPr>
          <w:rFonts w:hint="eastAsia" w:ascii="仿宋" w:hAnsi="仿宋" w:eastAsia="仿宋" w:cs="Vrinda"/>
          <w:sz w:val="24"/>
        </w:rPr>
        <w:t>合法的占有和处置权，并对涉及项目的</w:t>
      </w:r>
      <w:r>
        <w:rPr>
          <w:rFonts w:hint="eastAsia" w:ascii="仿宋" w:hAnsi="仿宋" w:eastAsia="仿宋"/>
          <w:sz w:val="24"/>
          <w:szCs w:val="21"/>
        </w:rPr>
        <w:t>所有内容可能侵权行为指控负责，保证不伤害</w:t>
      </w:r>
      <w:r>
        <w:rPr>
          <w:rFonts w:hint="eastAsia" w:ascii="仿宋" w:hAnsi="仿宋" w:eastAsia="仿宋"/>
          <w:sz w:val="24"/>
        </w:rPr>
        <w:t>甲方</w:t>
      </w:r>
      <w:r>
        <w:rPr>
          <w:rFonts w:hint="eastAsia" w:ascii="仿宋" w:hAnsi="仿宋" w:eastAsia="仿宋"/>
          <w:sz w:val="24"/>
          <w:szCs w:val="21"/>
        </w:rPr>
        <w:t>的利益。在法律范围内，如果出现文字、图片、商标和技术等侵权行为而造成的纠纷和产生的一切费用，</w:t>
      </w:r>
      <w:r>
        <w:rPr>
          <w:rFonts w:hint="eastAsia" w:ascii="仿宋" w:hAnsi="仿宋" w:eastAsia="仿宋"/>
          <w:sz w:val="24"/>
        </w:rPr>
        <w:t>甲方</w:t>
      </w:r>
      <w:r>
        <w:rPr>
          <w:rFonts w:hint="eastAsia" w:ascii="仿宋" w:hAnsi="仿宋" w:eastAsia="仿宋"/>
          <w:sz w:val="24"/>
          <w:szCs w:val="21"/>
        </w:rPr>
        <w:t>概不负责，由此给</w:t>
      </w:r>
      <w:r>
        <w:rPr>
          <w:rFonts w:hint="eastAsia" w:ascii="仿宋" w:hAnsi="仿宋" w:eastAsia="仿宋"/>
          <w:sz w:val="24"/>
        </w:rPr>
        <w:t>甲方</w:t>
      </w:r>
      <w:r>
        <w:rPr>
          <w:rFonts w:hint="eastAsia" w:ascii="仿宋" w:hAnsi="仿宋" w:eastAsia="仿宋"/>
          <w:sz w:val="24"/>
          <w:szCs w:val="21"/>
        </w:rPr>
        <w:t>造成损失的，</w:t>
      </w:r>
      <w:r>
        <w:rPr>
          <w:rFonts w:hint="eastAsia" w:ascii="仿宋" w:hAnsi="仿宋" w:eastAsia="仿宋" w:cs="仿宋_GB2312"/>
          <w:kern w:val="0"/>
          <w:sz w:val="24"/>
          <w:lang w:val="zh-CN"/>
        </w:rPr>
        <w:t>乙方</w:t>
      </w:r>
      <w:r>
        <w:rPr>
          <w:rFonts w:hint="eastAsia" w:ascii="仿宋" w:hAnsi="仿宋" w:eastAsia="仿宋"/>
          <w:sz w:val="24"/>
        </w:rPr>
        <w:t>要承担相应后果，</w:t>
      </w:r>
      <w:r>
        <w:rPr>
          <w:rFonts w:hint="eastAsia" w:ascii="仿宋" w:hAnsi="仿宋" w:eastAsia="仿宋"/>
          <w:kern w:val="0"/>
          <w:sz w:val="24"/>
          <w:lang w:val="zh-CN"/>
        </w:rPr>
        <w:t>并负责赔偿。</w:t>
      </w:r>
      <w:r>
        <w:rPr>
          <w:rFonts w:hint="eastAsia" w:ascii="仿宋" w:hAnsi="仿宋" w:eastAsia="仿宋" w:cs="仿宋_GB2312"/>
          <w:kern w:val="0"/>
          <w:sz w:val="24"/>
          <w:lang w:val="zh-CN"/>
        </w:rPr>
        <w:t>乙方</w:t>
      </w:r>
      <w:r>
        <w:rPr>
          <w:rFonts w:hint="eastAsia" w:ascii="仿宋" w:hAnsi="仿宋" w:eastAsia="仿宋"/>
          <w:sz w:val="24"/>
        </w:rPr>
        <w:t>为执行本项目合同而提供的技术资料等归甲方所有。</w:t>
      </w:r>
    </w:p>
    <w:p>
      <w:pPr>
        <w:spacing w:line="360" w:lineRule="auto"/>
        <w:ind w:firstLine="480" w:firstLineChars="200"/>
        <w:rPr>
          <w:rFonts w:hint="eastAsia" w:ascii="仿宋" w:hAnsi="仿宋" w:eastAsia="仿宋"/>
          <w:sz w:val="24"/>
        </w:rPr>
      </w:pPr>
      <w:r>
        <w:rPr>
          <w:rFonts w:hint="eastAsia" w:ascii="仿宋" w:hAnsi="仿宋" w:eastAsia="仿宋"/>
          <w:sz w:val="24"/>
        </w:rPr>
        <w:t>3.4乙方必须按照本项目进度进场实施，按照项目需求、</w:t>
      </w:r>
      <w:r>
        <w:rPr>
          <w:rFonts w:hint="eastAsia" w:ascii="仿宋" w:hAnsi="仿宋" w:eastAsia="仿宋"/>
          <w:sz w:val="24"/>
          <w:szCs w:val="28"/>
        </w:rPr>
        <w:t>国家技术规范和质量标准实施项目开发和系统集成</w:t>
      </w:r>
      <w:r>
        <w:rPr>
          <w:rFonts w:hint="eastAsia" w:ascii="仿宋" w:hAnsi="仿宋" w:eastAsia="仿宋"/>
          <w:sz w:val="24"/>
        </w:rPr>
        <w:t>。</w:t>
      </w:r>
    </w:p>
    <w:p>
      <w:pPr>
        <w:autoSpaceDE w:val="0"/>
        <w:autoSpaceDN w:val="0"/>
        <w:spacing w:line="360" w:lineRule="auto"/>
        <w:ind w:firstLine="480"/>
        <w:rPr>
          <w:rFonts w:hint="eastAsia" w:ascii="仿宋" w:hAnsi="仿宋" w:eastAsia="仿宋" w:cs="仿宋_GB2312"/>
          <w:kern w:val="0"/>
          <w:sz w:val="24"/>
          <w:lang w:val="zh-CN"/>
        </w:rPr>
      </w:pPr>
      <w:r>
        <w:rPr>
          <w:rFonts w:hint="eastAsia" w:ascii="仿宋" w:hAnsi="仿宋" w:eastAsia="仿宋"/>
          <w:sz w:val="24"/>
        </w:rPr>
        <w:t xml:space="preserve">3.5 </w:t>
      </w:r>
      <w:r>
        <w:rPr>
          <w:rFonts w:hint="eastAsia" w:ascii="仿宋" w:hAnsi="仿宋" w:eastAsia="仿宋" w:cs="仿宋_GB2312"/>
          <w:kern w:val="0"/>
          <w:sz w:val="24"/>
          <w:lang w:val="zh-CN"/>
        </w:rPr>
        <w:t>乙方对在项目建设期间所获得的甲方的情报和资料有保密义务，泄漏秘密应承担的责任。不论本合同是否变更、解除、终止，本条款均有效。</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3.6 </w:t>
      </w:r>
      <w:r>
        <w:rPr>
          <w:rFonts w:hint="eastAsia" w:ascii="仿宋" w:hAnsi="仿宋" w:eastAsia="仿宋"/>
          <w:kern w:val="0"/>
          <w:sz w:val="24"/>
          <w:lang w:val="zh-CN"/>
        </w:rPr>
        <w:t>乙方应在合同签订后3个工作日内，向甲方缴纳合同总价5％的履约保证金。</w:t>
      </w:r>
    </w:p>
    <w:p>
      <w:pPr>
        <w:spacing w:line="360" w:lineRule="auto"/>
        <w:rPr>
          <w:rFonts w:hint="eastAsia" w:ascii="仿宋" w:hAnsi="仿宋" w:eastAsia="仿宋"/>
          <w:b/>
          <w:sz w:val="24"/>
        </w:rPr>
      </w:pPr>
      <w:r>
        <w:rPr>
          <w:rFonts w:hint="eastAsia" w:ascii="仿宋" w:hAnsi="仿宋" w:eastAsia="仿宋"/>
          <w:b/>
          <w:sz w:val="24"/>
        </w:rPr>
        <w:t>4．项目实施</w:t>
      </w:r>
    </w:p>
    <w:p>
      <w:pPr>
        <w:spacing w:line="360" w:lineRule="auto"/>
        <w:ind w:firstLine="480" w:firstLineChars="200"/>
        <w:rPr>
          <w:rFonts w:hint="eastAsia" w:ascii="仿宋" w:hAnsi="仿宋" w:eastAsia="仿宋"/>
          <w:sz w:val="24"/>
        </w:rPr>
      </w:pPr>
      <w:r>
        <w:rPr>
          <w:rFonts w:hint="eastAsia" w:ascii="仿宋" w:hAnsi="仿宋" w:eastAsia="仿宋"/>
          <w:sz w:val="24"/>
        </w:rPr>
        <w:t>4.1 甲方提供项目所需的设备资源和必要场地。</w:t>
      </w:r>
    </w:p>
    <w:p>
      <w:pPr>
        <w:spacing w:line="360" w:lineRule="auto"/>
        <w:ind w:firstLine="480" w:firstLineChars="200"/>
        <w:rPr>
          <w:rFonts w:hint="eastAsia" w:ascii="仿宋" w:hAnsi="仿宋" w:eastAsia="仿宋"/>
          <w:sz w:val="24"/>
        </w:rPr>
      </w:pPr>
      <w:r>
        <w:rPr>
          <w:rFonts w:hint="eastAsia" w:ascii="仿宋" w:hAnsi="仿宋" w:eastAsia="仿宋"/>
          <w:sz w:val="24"/>
        </w:rPr>
        <w:t>4.2 乙方项目实施人员须服从甲方管理人员管理。乙方项目实施人员必须遵守现场的各项规章制度。</w:t>
      </w:r>
    </w:p>
    <w:p>
      <w:pPr>
        <w:spacing w:line="360" w:lineRule="auto"/>
        <w:ind w:firstLine="480" w:firstLineChars="200"/>
        <w:rPr>
          <w:rFonts w:hint="eastAsia" w:ascii="仿宋" w:hAnsi="仿宋" w:eastAsia="仿宋"/>
          <w:sz w:val="24"/>
        </w:rPr>
      </w:pPr>
      <w:r>
        <w:rPr>
          <w:rFonts w:hint="eastAsia" w:ascii="仿宋" w:hAnsi="仿宋" w:eastAsia="仿宋"/>
          <w:sz w:val="24"/>
        </w:rPr>
        <w:t>4.3 乙方应根据项目情况提供软件开发、安装调试计划，项目实施进度计划，经甲、乙双方共同确定后作为双方共同执行的合同条款，乙方应按计划完工交付验收，若超过计划完工日15天以上的天数按超期处罚，处罚按13</w:t>
      </w:r>
      <w:r>
        <w:rPr>
          <w:rFonts w:hint="eastAsia" w:ascii="仿宋" w:hAnsi="仿宋" w:eastAsia="仿宋"/>
          <w:sz w:val="24"/>
          <w:lang w:eastAsia="ja-JP"/>
        </w:rPr>
        <w:t>.2</w:t>
      </w:r>
      <w:r>
        <w:rPr>
          <w:rFonts w:hint="eastAsia" w:ascii="仿宋" w:hAnsi="仿宋" w:eastAsia="仿宋"/>
          <w:sz w:val="24"/>
        </w:rPr>
        <w:t>条办法。</w:t>
      </w:r>
    </w:p>
    <w:p>
      <w:pPr>
        <w:spacing w:line="360" w:lineRule="auto"/>
        <w:ind w:firstLine="480" w:firstLineChars="200"/>
        <w:rPr>
          <w:rFonts w:hint="eastAsia" w:ascii="仿宋" w:hAnsi="仿宋" w:eastAsia="仿宋"/>
          <w:sz w:val="24"/>
        </w:rPr>
      </w:pPr>
      <w:r>
        <w:rPr>
          <w:rFonts w:hint="eastAsia" w:ascii="仿宋" w:hAnsi="仿宋" w:eastAsia="仿宋"/>
          <w:sz w:val="24"/>
        </w:rPr>
        <w:t>4.4 如项目验收达到合同规定的质量标准，履约保证金在项目质保期满后，售后服务良好，无质量和服务问题，5个工作日内无息退还。</w:t>
      </w:r>
    </w:p>
    <w:p>
      <w:pPr>
        <w:spacing w:line="360" w:lineRule="auto"/>
        <w:rPr>
          <w:rFonts w:hint="eastAsia" w:ascii="仿宋" w:hAnsi="仿宋" w:eastAsia="仿宋"/>
          <w:b/>
          <w:sz w:val="24"/>
        </w:rPr>
      </w:pPr>
      <w:r>
        <w:rPr>
          <w:rFonts w:hint="eastAsia" w:ascii="仿宋" w:hAnsi="仿宋" w:eastAsia="仿宋"/>
          <w:b/>
          <w:sz w:val="24"/>
        </w:rPr>
        <w:t>5．</w:t>
      </w:r>
      <w:r>
        <w:rPr>
          <w:rFonts w:hint="eastAsia" w:ascii="仿宋" w:hAnsi="仿宋" w:eastAsia="仿宋" w:cs="仿宋_GB2312"/>
          <w:b/>
          <w:bCs/>
          <w:kern w:val="0"/>
          <w:sz w:val="24"/>
          <w:lang w:val="zh-CN"/>
        </w:rPr>
        <w:t>系统维护</w:t>
      </w:r>
    </w:p>
    <w:p>
      <w:pPr>
        <w:spacing w:line="360" w:lineRule="auto"/>
        <w:ind w:firstLine="480" w:firstLineChars="200"/>
        <w:rPr>
          <w:rFonts w:hint="eastAsia" w:ascii="仿宋" w:hAnsi="仿宋" w:eastAsia="仿宋"/>
          <w:sz w:val="24"/>
        </w:rPr>
      </w:pPr>
      <w:r>
        <w:rPr>
          <w:rFonts w:hint="eastAsia" w:ascii="仿宋" w:hAnsi="仿宋" w:eastAsia="仿宋"/>
          <w:sz w:val="24"/>
        </w:rPr>
        <w:t>5.1 乙方对甲方提供操作维护、管理等培训，至熟练操作为止。</w:t>
      </w:r>
    </w:p>
    <w:p>
      <w:pPr>
        <w:spacing w:line="360" w:lineRule="auto"/>
        <w:ind w:firstLine="480" w:firstLineChars="200"/>
        <w:rPr>
          <w:rFonts w:hint="eastAsia" w:ascii="仿宋" w:hAnsi="仿宋" w:eastAsia="仿宋"/>
          <w:sz w:val="24"/>
        </w:rPr>
      </w:pPr>
      <w:r>
        <w:rPr>
          <w:rFonts w:hint="eastAsia" w:ascii="仿宋" w:hAnsi="仿宋" w:eastAsia="仿宋"/>
          <w:sz w:val="24"/>
        </w:rPr>
        <w:t>5.2</w:t>
      </w:r>
      <w:r>
        <w:rPr>
          <w:rFonts w:hint="eastAsia" w:ascii="仿宋" w:hAnsi="仿宋" w:eastAsia="仿宋" w:cs="Arial"/>
          <w:b/>
          <w:color w:val="FF0000"/>
          <w:sz w:val="24"/>
        </w:rPr>
        <w:t xml:space="preserve"> </w:t>
      </w:r>
      <w:r>
        <w:rPr>
          <w:rFonts w:hint="eastAsia" w:ascii="仿宋" w:hAnsi="仿宋" w:eastAsia="仿宋" w:cs="Arial"/>
          <w:b/>
          <w:color w:val="000000"/>
          <w:sz w:val="24"/>
        </w:rPr>
        <w:t>提供软件</w:t>
      </w:r>
      <w:r>
        <w:rPr>
          <w:rFonts w:hint="eastAsia" w:ascii="仿宋" w:hAnsi="仿宋" w:eastAsia="仿宋" w:cs="仿宋_GB2312"/>
          <w:b/>
          <w:color w:val="000000"/>
          <w:sz w:val="24"/>
        </w:rPr>
        <w:t>不少于3年</w:t>
      </w:r>
      <w:r>
        <w:rPr>
          <w:rFonts w:hint="eastAsia" w:ascii="仿宋" w:hAnsi="仿宋" w:eastAsia="仿宋" w:cs="Arial"/>
          <w:b/>
          <w:color w:val="000000"/>
          <w:sz w:val="24"/>
        </w:rPr>
        <w:t>7*24</w:t>
      </w:r>
      <w:r>
        <w:rPr>
          <w:rFonts w:hint="eastAsia" w:ascii="仿宋" w:hAnsi="仿宋" w:eastAsia="仿宋" w:cs="Arial"/>
          <w:bCs/>
          <w:sz w:val="24"/>
        </w:rPr>
        <w:t xml:space="preserve">免费售后技术支持服务（包括故障排除、性能调优、技术咨询等，并负责处理、协调与各系统软件等供应商的关系） </w:t>
      </w:r>
      <w:r>
        <w:rPr>
          <w:rFonts w:hint="eastAsia" w:ascii="仿宋" w:hAnsi="仿宋" w:eastAsia="仿宋"/>
          <w:sz w:val="24"/>
        </w:rPr>
        <w:t>。</w:t>
      </w:r>
    </w:p>
    <w:p>
      <w:pPr>
        <w:autoSpaceDE w:val="0"/>
        <w:autoSpaceDN w:val="0"/>
        <w:spacing w:line="360" w:lineRule="auto"/>
        <w:ind w:firstLine="480"/>
        <w:rPr>
          <w:rFonts w:hint="eastAsia" w:ascii="仿宋" w:hAnsi="仿宋" w:eastAsia="仿宋"/>
          <w:sz w:val="24"/>
        </w:rPr>
      </w:pPr>
      <w:r>
        <w:rPr>
          <w:rFonts w:hint="eastAsia" w:ascii="仿宋" w:hAnsi="仿宋" w:eastAsia="仿宋"/>
          <w:sz w:val="24"/>
        </w:rPr>
        <w:t xml:space="preserve">5.3 </w:t>
      </w:r>
      <w:r>
        <w:rPr>
          <w:rFonts w:hint="eastAsia" w:ascii="仿宋" w:hAnsi="仿宋" w:eastAsia="仿宋" w:cs="仿宋_GB2312"/>
          <w:bCs/>
          <w:kern w:val="0"/>
          <w:sz w:val="24"/>
          <w:lang w:val="zh-CN"/>
        </w:rPr>
        <w:t>系统维护</w:t>
      </w:r>
      <w:r>
        <w:rPr>
          <w:rFonts w:hint="eastAsia" w:ascii="仿宋" w:hAnsi="仿宋" w:eastAsia="仿宋"/>
          <w:sz w:val="24"/>
        </w:rPr>
        <w:t>期内，乙方须根据系统运行情况进行不定期的检测与调优，每半年对系统进行一次总体检测，</w:t>
      </w:r>
      <w:r>
        <w:rPr>
          <w:rFonts w:hint="eastAsia" w:ascii="仿宋" w:hAnsi="仿宋" w:eastAsia="仿宋" w:cs="仿宋_GB2312"/>
          <w:bCs/>
          <w:kern w:val="0"/>
          <w:sz w:val="24"/>
          <w:lang w:val="zh-CN"/>
        </w:rPr>
        <w:t>系统维护</w:t>
      </w:r>
      <w:r>
        <w:rPr>
          <w:rFonts w:hint="eastAsia" w:ascii="仿宋" w:hAnsi="仿宋" w:eastAsia="仿宋"/>
          <w:sz w:val="24"/>
        </w:rPr>
        <w:t>期满后为甲方提供一套完整的运行记录。</w:t>
      </w:r>
    </w:p>
    <w:p>
      <w:pPr>
        <w:spacing w:line="360" w:lineRule="auto"/>
        <w:ind w:firstLine="480" w:firstLineChars="200"/>
        <w:rPr>
          <w:rFonts w:hint="eastAsia" w:ascii="仿宋" w:hAnsi="仿宋" w:eastAsia="仿宋"/>
          <w:sz w:val="24"/>
        </w:rPr>
      </w:pPr>
      <w:r>
        <w:rPr>
          <w:rFonts w:hint="eastAsia" w:ascii="仿宋" w:hAnsi="仿宋" w:eastAsia="仿宋"/>
          <w:sz w:val="24"/>
        </w:rPr>
        <w:t>5.4 系统维护期内，乙方提供7*24应急响应服务，乙方在确认紧急响应请求后，通过电话、Email或传真等远程方式查找紧急事件的事发原因并解决相应问题，如无法远程解决问题，在乙方确认紧急响应请求后要求内提供现场技术支持。</w:t>
      </w:r>
    </w:p>
    <w:p>
      <w:pPr>
        <w:spacing w:line="360" w:lineRule="auto"/>
        <w:rPr>
          <w:rFonts w:hint="eastAsia" w:ascii="仿宋" w:hAnsi="仿宋" w:eastAsia="仿宋"/>
          <w:sz w:val="24"/>
        </w:rPr>
      </w:pPr>
      <w:r>
        <w:rPr>
          <w:rFonts w:hint="eastAsia" w:ascii="仿宋" w:hAnsi="仿宋" w:eastAsia="仿宋"/>
          <w:b/>
          <w:sz w:val="24"/>
        </w:rPr>
        <w:t>6．验收</w:t>
      </w:r>
    </w:p>
    <w:p>
      <w:pPr>
        <w:autoSpaceDE w:val="0"/>
        <w:autoSpaceDN w:val="0"/>
        <w:spacing w:line="360" w:lineRule="auto"/>
        <w:ind w:firstLine="480"/>
        <w:rPr>
          <w:rFonts w:hint="eastAsia" w:ascii="仿宋" w:hAnsi="仿宋" w:eastAsia="仿宋"/>
          <w:sz w:val="24"/>
        </w:rPr>
      </w:pPr>
      <w:r>
        <w:rPr>
          <w:rFonts w:hint="eastAsia" w:ascii="仿宋" w:hAnsi="仿宋" w:eastAsia="仿宋"/>
          <w:sz w:val="24"/>
        </w:rPr>
        <w:t xml:space="preserve">6.1 </w:t>
      </w:r>
      <w:r>
        <w:rPr>
          <w:rFonts w:hint="eastAsia" w:ascii="仿宋" w:hAnsi="仿宋" w:eastAsia="仿宋" w:cs="仿宋_GB2312"/>
          <w:kern w:val="0"/>
          <w:sz w:val="24"/>
          <w:lang w:val="zh-CN"/>
        </w:rPr>
        <w:t>完成全部系统建设任务，投入试运行前，由甲方组织对项目进行初步验收，通过初验后进行试运行。投入试运行后正常运行，由甲方会同</w:t>
      </w:r>
      <w:r>
        <w:rPr>
          <w:rFonts w:hint="eastAsia" w:ascii="仿宋" w:hAnsi="仿宋" w:eastAsia="仿宋"/>
          <w:sz w:val="24"/>
        </w:rPr>
        <w:t>有关部门对项目进行最终验收。</w:t>
      </w:r>
    </w:p>
    <w:p>
      <w:pPr>
        <w:autoSpaceDE w:val="0"/>
        <w:autoSpaceDN w:val="0"/>
        <w:spacing w:line="360" w:lineRule="auto"/>
        <w:ind w:firstLine="480"/>
        <w:rPr>
          <w:rFonts w:hint="eastAsia" w:ascii="仿宋" w:hAnsi="仿宋" w:eastAsia="仿宋"/>
          <w:sz w:val="24"/>
        </w:rPr>
      </w:pPr>
      <w:r>
        <w:rPr>
          <w:rFonts w:hint="eastAsia" w:ascii="仿宋" w:hAnsi="仿宋" w:eastAsia="仿宋"/>
          <w:sz w:val="24"/>
        </w:rPr>
        <w:t>6.2 验收合格后，甲乙双方共同签署验收报告，一式二份，一份交甲方留存，一份由乙方用作结算凭证，同时由甲方填写《杭州市政府采购售后服务质量反馈表》，该表与设备运行期内甲方的反馈意见，都将作为考核乙方售后服务和质量的依据。</w:t>
      </w:r>
    </w:p>
    <w:p>
      <w:pPr>
        <w:autoSpaceDE w:val="0"/>
        <w:autoSpaceDN w:val="0"/>
        <w:spacing w:line="360" w:lineRule="auto"/>
        <w:ind w:firstLine="480"/>
        <w:rPr>
          <w:rFonts w:hint="eastAsia" w:ascii="仿宋" w:hAnsi="仿宋" w:eastAsia="仿宋"/>
          <w:sz w:val="24"/>
        </w:rPr>
      </w:pPr>
      <w:r>
        <w:rPr>
          <w:rFonts w:hint="eastAsia" w:ascii="仿宋" w:hAnsi="仿宋" w:eastAsia="仿宋"/>
          <w:sz w:val="24"/>
        </w:rPr>
        <w:t>6.3 如果发现与合同中要求不符，乙方须承担由此发生的一切损失和费用，并接受相应的处罚。</w:t>
      </w:r>
    </w:p>
    <w:p>
      <w:pPr>
        <w:spacing w:line="360" w:lineRule="auto"/>
        <w:ind w:firstLine="480" w:firstLineChars="200"/>
        <w:rPr>
          <w:rFonts w:hint="eastAsia" w:ascii="仿宋" w:hAnsi="仿宋" w:eastAsia="仿宋"/>
          <w:b/>
          <w:sz w:val="24"/>
        </w:rPr>
      </w:pPr>
      <w:r>
        <w:rPr>
          <w:rFonts w:hint="eastAsia" w:ascii="仿宋" w:hAnsi="仿宋" w:eastAsia="仿宋"/>
          <w:sz w:val="24"/>
        </w:rPr>
        <w:t>6.4 验收时必须提供完整的竣工验收资料，包括招标文件</w:t>
      </w:r>
      <w:r>
        <w:rPr>
          <w:rFonts w:hint="eastAsia" w:ascii="仿宋" w:hAnsi="仿宋" w:eastAsia="仿宋"/>
          <w:bCs/>
          <w:sz w:val="24"/>
        </w:rPr>
        <w:t>第三部分项目技术规范和服务要求中所列的所有文档资料</w:t>
      </w:r>
      <w:r>
        <w:rPr>
          <w:rFonts w:hint="eastAsia" w:ascii="仿宋" w:hAnsi="仿宋" w:eastAsia="仿宋"/>
          <w:sz w:val="24"/>
        </w:rPr>
        <w:t>等。</w:t>
      </w:r>
    </w:p>
    <w:p>
      <w:pPr>
        <w:spacing w:line="360" w:lineRule="auto"/>
        <w:rPr>
          <w:rFonts w:hint="eastAsia" w:ascii="仿宋" w:hAnsi="仿宋" w:eastAsia="仿宋"/>
          <w:b/>
          <w:sz w:val="24"/>
        </w:rPr>
      </w:pPr>
      <w:r>
        <w:rPr>
          <w:rFonts w:hint="eastAsia" w:ascii="仿宋" w:hAnsi="仿宋" w:eastAsia="仿宋"/>
          <w:b/>
          <w:sz w:val="24"/>
        </w:rPr>
        <w:t>7．支付</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本次项目合同总价为大写人民币</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    元），采用分期付款方式，具体如下</w:t>
      </w:r>
      <w:r>
        <w:rPr>
          <w:rFonts w:hint="eastAsia" w:ascii="仿宋" w:hAnsi="仿宋" w:eastAsia="仿宋" w:cs="仿宋_GB2312"/>
          <w:color w:val="000000"/>
          <w:kern w:val="0"/>
          <w:sz w:val="24"/>
        </w:rPr>
        <w:t>：</w:t>
      </w:r>
    </w:p>
    <w:p>
      <w:pPr>
        <w:spacing w:line="360" w:lineRule="auto"/>
        <w:ind w:firstLine="480" w:firstLineChars="200"/>
        <w:rPr>
          <w:rFonts w:hint="eastAsia" w:ascii="仿宋" w:hAnsi="仿宋" w:eastAsia="仿宋"/>
          <w:color w:val="000000"/>
          <w:kern w:val="0"/>
          <w:sz w:val="24"/>
          <w:lang w:val="zh-CN"/>
        </w:rPr>
      </w:pPr>
      <w:r>
        <w:rPr>
          <w:rFonts w:hint="eastAsia" w:ascii="仿宋" w:hAnsi="仿宋" w:eastAsia="仿宋"/>
          <w:color w:val="000000"/>
          <w:kern w:val="0"/>
          <w:sz w:val="24"/>
          <w:lang w:val="zh-CN"/>
        </w:rPr>
        <w:t>第一期付款：</w:t>
      </w:r>
      <w:r>
        <w:rPr>
          <w:rFonts w:hint="eastAsia" w:ascii="仿宋" w:hAnsi="仿宋" w:eastAsia="仿宋"/>
          <w:color w:val="000000"/>
          <w:sz w:val="24"/>
        </w:rPr>
        <w:t>合同签订后5个工作日内，提供详细的项目实施计划</w:t>
      </w:r>
      <w:r>
        <w:rPr>
          <w:rFonts w:hint="eastAsia" w:ascii="仿宋" w:hAnsi="仿宋" w:eastAsia="仿宋" w:cs="仿宋_GB2312"/>
          <w:color w:val="000000"/>
          <w:kern w:val="0"/>
          <w:sz w:val="24"/>
          <w:lang w:val="zh-CN"/>
        </w:rPr>
        <w:t>，向甲方提供上述文档并需经甲方审查通过。</w:t>
      </w:r>
      <w:r>
        <w:rPr>
          <w:rFonts w:hint="eastAsia" w:ascii="仿宋" w:hAnsi="仿宋" w:eastAsia="仿宋"/>
          <w:color w:val="000000"/>
          <w:sz w:val="24"/>
        </w:rPr>
        <w:t>乙方凭甲方签字盖章的支付通知书向甲方办理合同总价20%的货款结算手续，计人民币</w:t>
      </w:r>
      <w:r>
        <w:rPr>
          <w:rFonts w:hint="eastAsia" w:ascii="仿宋" w:hAnsi="仿宋" w:eastAsia="仿宋"/>
          <w:color w:val="000000"/>
          <w:sz w:val="24"/>
          <w:u w:val="single"/>
        </w:rPr>
        <w:t xml:space="preserve">           </w:t>
      </w:r>
      <w:r>
        <w:rPr>
          <w:rFonts w:hint="eastAsia" w:ascii="仿宋" w:hAnsi="仿宋" w:eastAsia="仿宋"/>
          <w:color w:val="000000"/>
          <w:sz w:val="24"/>
        </w:rPr>
        <w:t xml:space="preserve"> 整</w:t>
      </w:r>
      <w:r>
        <w:rPr>
          <w:rFonts w:hint="eastAsia" w:ascii="仿宋" w:hAnsi="仿宋" w:eastAsia="仿宋"/>
          <w:color w:val="000000"/>
          <w:kern w:val="0"/>
          <w:sz w:val="24"/>
          <w:lang w:val="zh-CN"/>
        </w:rPr>
        <w:t>（￥）。</w:t>
      </w:r>
    </w:p>
    <w:p>
      <w:pPr>
        <w:spacing w:line="360" w:lineRule="auto"/>
        <w:ind w:firstLine="480" w:firstLineChars="200"/>
        <w:rPr>
          <w:rFonts w:hint="eastAsia" w:ascii="仿宋" w:hAnsi="仿宋" w:eastAsia="仿宋"/>
          <w:color w:val="000000"/>
          <w:kern w:val="0"/>
          <w:sz w:val="24"/>
          <w:lang w:val="zh-CN"/>
        </w:rPr>
      </w:pPr>
      <w:r>
        <w:rPr>
          <w:rFonts w:hint="eastAsia" w:ascii="仿宋" w:hAnsi="仿宋" w:eastAsia="仿宋"/>
          <w:color w:val="000000"/>
          <w:kern w:val="0"/>
          <w:sz w:val="24"/>
          <w:lang w:val="zh-CN"/>
        </w:rPr>
        <w:t>第二期付款：</w:t>
      </w:r>
      <w:r>
        <w:rPr>
          <w:rFonts w:hint="eastAsia" w:ascii="仿宋" w:hAnsi="仿宋" w:eastAsia="仿宋"/>
          <w:color w:val="000000"/>
          <w:sz w:val="24"/>
        </w:rPr>
        <w:t>合同签订后1个月内，提交详细的需求规格说明书、概要设计方案、详细设计方案、数据库设计方案，</w:t>
      </w:r>
      <w:r>
        <w:rPr>
          <w:rFonts w:hint="eastAsia" w:ascii="仿宋" w:hAnsi="仿宋" w:eastAsia="仿宋" w:cs="仿宋_GB2312"/>
          <w:color w:val="000000"/>
          <w:kern w:val="0"/>
          <w:sz w:val="24"/>
          <w:lang w:val="zh-CN"/>
        </w:rPr>
        <w:t>向甲方提供上述文档并需经甲方审查通过。</w:t>
      </w:r>
      <w:r>
        <w:rPr>
          <w:rFonts w:hint="eastAsia" w:ascii="仿宋" w:hAnsi="仿宋" w:eastAsia="仿宋"/>
          <w:color w:val="000000"/>
          <w:sz w:val="24"/>
        </w:rPr>
        <w:t>乙方凭甲方签字盖章的支付通知书向甲方办理合同总价30%的货款结算手续，计人民币</w:t>
      </w:r>
      <w:r>
        <w:rPr>
          <w:rFonts w:hint="eastAsia" w:ascii="仿宋" w:hAnsi="仿宋" w:eastAsia="仿宋"/>
          <w:color w:val="000000"/>
          <w:sz w:val="24"/>
          <w:u w:val="single"/>
        </w:rPr>
        <w:t xml:space="preserve">    </w:t>
      </w:r>
      <w:r>
        <w:rPr>
          <w:rFonts w:hint="eastAsia" w:ascii="仿宋" w:hAnsi="仿宋" w:eastAsia="仿宋"/>
          <w:color w:val="000000"/>
          <w:sz w:val="24"/>
        </w:rPr>
        <w:t xml:space="preserve"> 整</w:t>
      </w:r>
      <w:r>
        <w:rPr>
          <w:rFonts w:hint="eastAsia" w:ascii="仿宋" w:hAnsi="仿宋" w:eastAsia="仿宋"/>
          <w:color w:val="000000"/>
          <w:kern w:val="0"/>
          <w:sz w:val="24"/>
          <w:lang w:val="zh-CN"/>
        </w:rPr>
        <w:t>（￥）。</w:t>
      </w:r>
    </w:p>
    <w:p>
      <w:pPr>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第三期付款：乙方在合同签订后3个月内完成</w:t>
      </w:r>
      <w:r>
        <w:rPr>
          <w:rFonts w:hint="eastAsia" w:ascii="仿宋" w:hAnsi="仿宋" w:eastAsia="仿宋"/>
          <w:color w:val="000000"/>
          <w:sz w:val="24"/>
          <w:lang w:val="zh-CN"/>
        </w:rPr>
        <w:t>项目建设系统设计、开发、集成、实施</w:t>
      </w:r>
      <w:r>
        <w:rPr>
          <w:rFonts w:hint="eastAsia" w:ascii="仿宋" w:hAnsi="仿宋" w:eastAsia="仿宋"/>
          <w:color w:val="000000"/>
          <w:sz w:val="24"/>
        </w:rPr>
        <w:t>，</w:t>
      </w:r>
      <w:r>
        <w:rPr>
          <w:rFonts w:hint="eastAsia" w:ascii="仿宋" w:hAnsi="仿宋" w:eastAsia="仿宋"/>
          <w:color w:val="000000"/>
          <w:sz w:val="24"/>
          <w:lang w:val="zh-CN"/>
        </w:rPr>
        <w:t>通过初验后</w:t>
      </w:r>
      <w:r>
        <w:rPr>
          <w:rFonts w:hint="eastAsia" w:ascii="仿宋" w:hAnsi="仿宋" w:eastAsia="仿宋"/>
          <w:color w:val="000000"/>
          <w:sz w:val="24"/>
        </w:rPr>
        <w:t>进行试运行</w:t>
      </w:r>
      <w:r>
        <w:rPr>
          <w:rFonts w:hint="eastAsia" w:ascii="仿宋" w:hAnsi="仿宋" w:eastAsia="仿宋"/>
          <w:color w:val="000000"/>
          <w:sz w:val="24"/>
          <w:lang w:val="zh-CN"/>
        </w:rPr>
        <w:t>，并出具初步验收报告后10个工作日内</w:t>
      </w:r>
      <w:r>
        <w:rPr>
          <w:rFonts w:hint="eastAsia" w:ascii="仿宋" w:hAnsi="仿宋" w:eastAsia="仿宋"/>
          <w:color w:val="000000"/>
          <w:sz w:val="24"/>
        </w:rPr>
        <w:t>，</w:t>
      </w:r>
      <w:r>
        <w:rPr>
          <w:rFonts w:hint="eastAsia" w:ascii="仿宋" w:hAnsi="仿宋" w:eastAsia="仿宋" w:cs="仿宋_GB2312"/>
          <w:color w:val="000000"/>
          <w:kern w:val="0"/>
          <w:sz w:val="24"/>
          <w:lang w:val="zh-CN"/>
        </w:rPr>
        <w:t>乙方凭甲方签字盖章的支付通知书、向甲方办理合同总价20%</w:t>
      </w:r>
      <w:r>
        <w:rPr>
          <w:rFonts w:hint="eastAsia" w:ascii="仿宋" w:hAnsi="仿宋" w:eastAsia="仿宋"/>
          <w:color w:val="000000"/>
          <w:sz w:val="24"/>
        </w:rPr>
        <w:t>的货款结算手续</w:t>
      </w:r>
      <w:r>
        <w:rPr>
          <w:rFonts w:hint="eastAsia" w:ascii="仿宋" w:hAnsi="仿宋" w:eastAsia="仿宋" w:cs="仿宋_GB2312"/>
          <w:color w:val="000000"/>
          <w:kern w:val="0"/>
          <w:sz w:val="24"/>
          <w:lang w:val="zh-CN"/>
        </w:rPr>
        <w:t>，计人民币</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整（￥）。</w:t>
      </w:r>
    </w:p>
    <w:p>
      <w:pPr>
        <w:autoSpaceDE w:val="0"/>
        <w:autoSpaceDN w:val="0"/>
        <w:spacing w:line="360" w:lineRule="auto"/>
        <w:ind w:firstLine="540"/>
        <w:rPr>
          <w:rFonts w:hint="eastAsia" w:ascii="仿宋" w:hAnsi="仿宋" w:eastAsia="仿宋"/>
          <w:color w:val="000000"/>
          <w:sz w:val="24"/>
        </w:rPr>
      </w:pPr>
      <w:r>
        <w:rPr>
          <w:rFonts w:hint="eastAsia" w:ascii="仿宋" w:hAnsi="仿宋" w:eastAsia="仿宋"/>
          <w:color w:val="000000"/>
          <w:sz w:val="24"/>
        </w:rPr>
        <w:t>第四期付款：</w:t>
      </w:r>
      <w:r>
        <w:rPr>
          <w:rFonts w:hint="eastAsia" w:ascii="仿宋" w:hAnsi="仿宋" w:eastAsia="仿宋"/>
          <w:color w:val="000000"/>
          <w:kern w:val="0"/>
          <w:sz w:val="24"/>
          <w:lang w:val="zh-CN"/>
        </w:rPr>
        <w:t>试运行正常，提交全部报告材料，并通过正式验收，出具项目终验报告后10个工作日内，</w:t>
      </w:r>
      <w:r>
        <w:rPr>
          <w:rFonts w:hint="eastAsia" w:ascii="仿宋" w:hAnsi="仿宋" w:eastAsia="仿宋"/>
          <w:color w:val="000000"/>
          <w:sz w:val="24"/>
        </w:rPr>
        <w:t>乙方凭甲方签字盖章的支付通知书、发票复印件、终验报告向甲方办理合同总价30%的货款结算手续</w:t>
      </w:r>
      <w:r>
        <w:rPr>
          <w:rFonts w:hint="eastAsia" w:ascii="仿宋" w:hAnsi="仿宋" w:eastAsia="仿宋"/>
          <w:color w:val="000000"/>
          <w:kern w:val="0"/>
          <w:sz w:val="24"/>
          <w:lang w:val="zh-CN"/>
        </w:rPr>
        <w:t>，计人民币</w:t>
      </w:r>
      <w:r>
        <w:rPr>
          <w:rFonts w:hint="eastAsia" w:ascii="仿宋" w:hAnsi="仿宋" w:eastAsia="仿宋"/>
          <w:color w:val="000000"/>
          <w:kern w:val="0"/>
          <w:sz w:val="24"/>
          <w:u w:val="single"/>
          <w:lang w:val="zh-CN"/>
        </w:rPr>
        <w:t xml:space="preserve">            </w:t>
      </w:r>
      <w:r>
        <w:rPr>
          <w:rFonts w:hint="eastAsia" w:ascii="仿宋" w:hAnsi="仿宋" w:eastAsia="仿宋"/>
          <w:color w:val="000000"/>
          <w:kern w:val="0"/>
          <w:sz w:val="24"/>
          <w:lang w:val="zh-CN"/>
        </w:rPr>
        <w:t>整（￥）</w:t>
      </w:r>
      <w:r>
        <w:rPr>
          <w:rFonts w:hint="eastAsia" w:ascii="仿宋" w:hAnsi="仿宋" w:eastAsia="仿宋"/>
          <w:color w:val="000000"/>
          <w:sz w:val="24"/>
        </w:rPr>
        <w:t>。</w:t>
      </w:r>
    </w:p>
    <w:p>
      <w:pPr>
        <w:spacing w:line="360" w:lineRule="auto"/>
        <w:rPr>
          <w:rFonts w:hint="eastAsia" w:ascii="仿宋" w:hAnsi="仿宋" w:eastAsia="仿宋"/>
          <w:b/>
          <w:sz w:val="24"/>
        </w:rPr>
      </w:pPr>
      <w:r>
        <w:rPr>
          <w:rFonts w:hint="eastAsia" w:ascii="仿宋" w:hAnsi="仿宋" w:eastAsia="仿宋"/>
          <w:b/>
          <w:sz w:val="24"/>
        </w:rPr>
        <w:t>8．延期交付与核定损失额</w:t>
      </w:r>
    </w:p>
    <w:p>
      <w:pPr>
        <w:spacing w:line="360" w:lineRule="auto"/>
        <w:ind w:firstLine="480" w:firstLineChars="200"/>
        <w:rPr>
          <w:rFonts w:hint="eastAsia" w:ascii="仿宋" w:hAnsi="仿宋" w:eastAsia="仿宋"/>
          <w:sz w:val="24"/>
        </w:rPr>
      </w:pPr>
      <w:r>
        <w:rPr>
          <w:rFonts w:hint="eastAsia" w:ascii="仿宋" w:hAnsi="仿宋" w:eastAsia="仿宋"/>
          <w:sz w:val="24"/>
        </w:rPr>
        <w:t>如果</w:t>
      </w:r>
      <w:r>
        <w:rPr>
          <w:rFonts w:hint="eastAsia" w:ascii="仿宋" w:hAnsi="仿宋" w:eastAsia="仿宋"/>
          <w:kern w:val="0"/>
          <w:sz w:val="24"/>
          <w:lang w:val="zh-CN"/>
        </w:rPr>
        <w:t>乙方</w:t>
      </w:r>
      <w:r>
        <w:rPr>
          <w:rFonts w:hint="eastAsia" w:ascii="仿宋" w:hAnsi="仿宋" w:eastAsia="仿宋"/>
          <w:sz w:val="24"/>
        </w:rPr>
        <w:t>在正常情况下未能按合同规定的时间按期交付使用，</w:t>
      </w:r>
      <w:r>
        <w:rPr>
          <w:rFonts w:hint="eastAsia" w:ascii="仿宋" w:hAnsi="仿宋" w:eastAsia="仿宋"/>
          <w:kern w:val="0"/>
          <w:sz w:val="24"/>
          <w:lang w:val="zh-CN"/>
        </w:rPr>
        <w:t>乙方</w:t>
      </w:r>
      <w:r>
        <w:rPr>
          <w:rFonts w:hint="eastAsia" w:ascii="仿宋" w:hAnsi="仿宋" w:eastAsia="仿宋"/>
          <w:sz w:val="24"/>
        </w:rPr>
        <w:t>应承担相应后果。</w:t>
      </w:r>
      <w:r>
        <w:rPr>
          <w:rFonts w:hint="eastAsia" w:ascii="仿宋" w:hAnsi="仿宋" w:eastAsia="仿宋"/>
          <w:kern w:val="0"/>
          <w:sz w:val="24"/>
          <w:lang w:val="zh-CN"/>
        </w:rPr>
        <w:t>如果乙方未能按合同规定履行其义务，甲方有权从履约保证金中取得补偿。</w:t>
      </w:r>
    </w:p>
    <w:p>
      <w:pPr>
        <w:spacing w:line="360" w:lineRule="auto"/>
        <w:rPr>
          <w:rFonts w:hint="eastAsia" w:ascii="仿宋" w:hAnsi="仿宋" w:eastAsia="仿宋"/>
          <w:b/>
          <w:sz w:val="24"/>
        </w:rPr>
      </w:pPr>
      <w:r>
        <w:rPr>
          <w:rFonts w:hint="eastAsia" w:ascii="仿宋" w:hAnsi="仿宋" w:eastAsia="仿宋"/>
          <w:b/>
          <w:sz w:val="24"/>
        </w:rPr>
        <w:t>9．不可抗力</w:t>
      </w:r>
    </w:p>
    <w:p>
      <w:pPr>
        <w:autoSpaceDE w:val="0"/>
        <w:autoSpaceDN w:val="0"/>
        <w:spacing w:line="360" w:lineRule="auto"/>
        <w:ind w:firstLine="480" w:firstLineChars="200"/>
        <w:jc w:val="left"/>
        <w:rPr>
          <w:rFonts w:hint="eastAsia" w:ascii="仿宋" w:hAnsi="仿宋" w:eastAsia="仿宋"/>
          <w:b/>
          <w:bCs/>
          <w:kern w:val="0"/>
          <w:sz w:val="24"/>
          <w:lang w:val="zh-CN"/>
        </w:rPr>
      </w:pPr>
      <w:r>
        <w:rPr>
          <w:rFonts w:hint="eastAsia" w:ascii="仿宋" w:hAnsi="仿宋" w:eastAsia="仿宋"/>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spacing w:line="360" w:lineRule="auto"/>
        <w:jc w:val="left"/>
        <w:rPr>
          <w:rFonts w:hint="eastAsia" w:ascii="仿宋" w:hAnsi="仿宋" w:eastAsia="仿宋"/>
          <w:b/>
          <w:kern w:val="0"/>
          <w:sz w:val="24"/>
          <w:lang w:val="zh-CN"/>
        </w:rPr>
      </w:pPr>
      <w:r>
        <w:rPr>
          <w:rFonts w:hint="eastAsia" w:ascii="仿宋" w:hAnsi="仿宋" w:eastAsia="仿宋"/>
          <w:b/>
          <w:kern w:val="0"/>
          <w:sz w:val="24"/>
          <w:lang w:val="zh-CN"/>
        </w:rPr>
        <w:t>10. 乙方的责任与义务</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10．1 乙方应为杭州市政府采购注册供应商，如尚未注册，应在签订合同前，登陆杭州市政府采购网</w:t>
      </w:r>
      <w:r>
        <w:rPr>
          <w:rFonts w:hint="eastAsia" w:ascii="仿宋" w:hAnsi="仿宋" w:eastAsia="仿宋"/>
          <w:sz w:val="24"/>
        </w:rPr>
        <w:t>（</w:t>
      </w:r>
      <w:r>
        <w:rPr>
          <w:rFonts w:hint="eastAsia" w:ascii="仿宋" w:hAnsi="仿宋" w:eastAsia="仿宋"/>
          <w:sz w:val="24"/>
        </w:rPr>
        <w:fldChar w:fldCharType="begin"/>
      </w:r>
      <w:r>
        <w:rPr>
          <w:rFonts w:hint="eastAsia" w:ascii="仿宋" w:hAnsi="仿宋" w:eastAsia="仿宋"/>
          <w:sz w:val="24"/>
        </w:rPr>
        <w:instrText xml:space="preserve"> HYPERLINK "http://cg.hzft.gov.cn" </w:instrText>
      </w:r>
      <w:r>
        <w:rPr>
          <w:rFonts w:hint="eastAsia" w:ascii="仿宋" w:hAnsi="仿宋" w:eastAsia="仿宋"/>
          <w:sz w:val="24"/>
        </w:rPr>
        <w:fldChar w:fldCharType="separate"/>
      </w:r>
      <w:r>
        <w:rPr>
          <w:rStyle w:val="97"/>
          <w:rFonts w:hint="eastAsia" w:ascii="仿宋" w:hAnsi="仿宋" w:eastAsia="仿宋"/>
        </w:rPr>
        <w:t>http://cg.hzft.gov.cn</w:t>
      </w:r>
      <w:r>
        <w:rPr>
          <w:rFonts w:hint="eastAsia" w:ascii="仿宋" w:hAnsi="仿宋" w:eastAsia="仿宋"/>
          <w:sz w:val="24"/>
        </w:rPr>
        <w:fldChar w:fldCharType="end"/>
      </w:r>
      <w:r>
        <w:rPr>
          <w:rFonts w:hint="eastAsia" w:ascii="仿宋" w:hAnsi="仿宋" w:eastAsia="仿宋"/>
          <w:sz w:val="24"/>
        </w:rPr>
        <w:t>）</w:t>
      </w:r>
      <w:r>
        <w:rPr>
          <w:rFonts w:hint="eastAsia" w:ascii="仿宋" w:hAnsi="仿宋" w:eastAsia="仿宋"/>
          <w:kern w:val="0"/>
          <w:sz w:val="24"/>
          <w:lang w:val="zh-CN"/>
        </w:rPr>
        <w:t>进行注册并将书面资料提交鉴证方复核备案。</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10．2 根据投标文件的承诺向甲方委派</w:t>
      </w:r>
      <w:r>
        <w:rPr>
          <w:rFonts w:hint="eastAsia" w:ascii="仿宋" w:hAnsi="仿宋" w:eastAsia="仿宋"/>
          <w:sz w:val="24"/>
        </w:rPr>
        <w:t>项目负责人、技术负责人</w:t>
      </w:r>
      <w:r>
        <w:rPr>
          <w:rFonts w:hint="eastAsia" w:ascii="仿宋" w:hAnsi="仿宋" w:eastAsia="仿宋"/>
          <w:kern w:val="0"/>
          <w:sz w:val="24"/>
          <w:lang w:val="zh-CN"/>
        </w:rPr>
        <w:t>和专业技术人员。</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10．3 在履行本合同义务的期间，应运用合理的技能，认真、勤奋的工作。</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10．4 在本合同期内或合同终止后，未征得有关方同意，不得泄漏与本项目、本合同有关的技术、资料等，不得以任何形式侵害甲方的知识产权。</w:t>
      </w:r>
    </w:p>
    <w:p>
      <w:pPr>
        <w:autoSpaceDE w:val="0"/>
        <w:autoSpaceDN w:val="0"/>
        <w:spacing w:line="360" w:lineRule="auto"/>
        <w:ind w:firstLine="480"/>
        <w:rPr>
          <w:rFonts w:hint="eastAsia" w:ascii="仿宋" w:hAnsi="仿宋" w:eastAsia="仿宋"/>
          <w:sz w:val="24"/>
        </w:rPr>
      </w:pPr>
      <w:r>
        <w:rPr>
          <w:rFonts w:hint="eastAsia" w:ascii="仿宋" w:hAnsi="仿宋" w:eastAsia="仿宋"/>
          <w:kern w:val="0"/>
          <w:sz w:val="24"/>
          <w:lang w:val="zh-CN"/>
        </w:rPr>
        <w:t xml:space="preserve">10．5 </w:t>
      </w:r>
      <w:r>
        <w:rPr>
          <w:rFonts w:hint="eastAsia" w:ascii="仿宋" w:hAnsi="仿宋" w:eastAsia="仿宋"/>
          <w:sz w:val="24"/>
        </w:rPr>
        <w:t>负责本系统项目建设及整体联动，负责处理好与其他项目实施单位的协调。</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10．6 项目建设有关事项包括：项目规划、设计标准、规范和使用功能要求，向甲方的建议权；</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10．7 项目设计中的技术问题，按照安全和优化的原则，提出建议，并向甲方提出书面报告。如果由于拟提出的建议会提高项目造价，或延长工期，应当事先取的甲方的同意；</w:t>
      </w:r>
    </w:p>
    <w:p>
      <w:pPr>
        <w:autoSpaceDE w:val="0"/>
        <w:autoSpaceDN w:val="0"/>
        <w:spacing w:line="360" w:lineRule="auto"/>
        <w:ind w:firstLine="480"/>
        <w:rPr>
          <w:rFonts w:hint="eastAsia" w:ascii="仿宋" w:hAnsi="仿宋" w:eastAsia="仿宋"/>
          <w:sz w:val="24"/>
        </w:rPr>
      </w:pPr>
      <w:r>
        <w:rPr>
          <w:rFonts w:hint="eastAsia" w:ascii="仿宋" w:hAnsi="仿宋" w:eastAsia="仿宋"/>
          <w:kern w:val="0"/>
          <w:sz w:val="24"/>
          <w:lang w:val="zh-CN"/>
        </w:rPr>
        <w:t>10．8 项目实施组织设计和技术方案，按照保质量、保工期和降低成本的原则，向甲方提出书面报告。如果由于拟提出的建议会提高项目造价，或延长工期，应当事先取得甲方的同意。</w:t>
      </w:r>
    </w:p>
    <w:p>
      <w:pPr>
        <w:autoSpaceDE w:val="0"/>
        <w:autoSpaceDN w:val="0"/>
        <w:spacing w:line="360" w:lineRule="auto"/>
        <w:jc w:val="left"/>
        <w:rPr>
          <w:rFonts w:hint="eastAsia" w:ascii="仿宋" w:hAnsi="仿宋" w:eastAsia="仿宋"/>
          <w:b/>
          <w:kern w:val="0"/>
          <w:sz w:val="24"/>
          <w:lang w:val="zh-CN"/>
        </w:rPr>
      </w:pPr>
      <w:r>
        <w:rPr>
          <w:rFonts w:hint="eastAsia" w:ascii="仿宋" w:hAnsi="仿宋" w:eastAsia="仿宋"/>
          <w:b/>
          <w:kern w:val="0"/>
          <w:sz w:val="24"/>
          <w:lang w:val="zh-CN"/>
        </w:rPr>
        <w:t>11. 甲方的责任与义务</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11．1甲方应当主要负责项目建设的所有外部关系的联系与协调，为乙方工作提供良好的外部条件。</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11．2 甲方应当按合同专用条款双方约定的内容和时间，向乙方提供与项目建设有关的项目等资料。</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11．3 甲方应当按合同专用条款约定的时间就乙方书面提交并要求做出决定的一切事宜做出书面决定。逾期应视为甲方同意。</w:t>
      </w:r>
    </w:p>
    <w:p>
      <w:pPr>
        <w:autoSpaceDE w:val="0"/>
        <w:autoSpaceDN w:val="0"/>
        <w:spacing w:line="360" w:lineRule="auto"/>
        <w:ind w:firstLine="480"/>
        <w:rPr>
          <w:rFonts w:hint="eastAsia" w:ascii="仿宋" w:hAnsi="仿宋" w:eastAsia="仿宋"/>
          <w:kern w:val="0"/>
          <w:sz w:val="24"/>
          <w:lang w:val="zh-CN"/>
        </w:rPr>
      </w:pPr>
      <w:r>
        <w:rPr>
          <w:rFonts w:hint="eastAsia" w:ascii="仿宋" w:hAnsi="仿宋" w:eastAsia="仿宋"/>
          <w:kern w:val="0"/>
          <w:sz w:val="24"/>
          <w:lang w:val="zh-CN"/>
        </w:rPr>
        <w:t>11．4 甲方应授权一名熟悉本项目情况、能迅速做出决定的项目代表，负责与乙方联系。更换代表，要提前通知乙方。</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11．5 甲方有与乙方订立补充合同的签订权。</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11．6 甲方有对项目规模、设计标准、规范和设计使用功能要求的认定权，以及对项目建设、设计变更的审批权。</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11．7 甲方有权要求乙方提交工作月度报告及专项报告等。</w:t>
      </w:r>
    </w:p>
    <w:p>
      <w:pPr>
        <w:autoSpaceDE w:val="0"/>
        <w:autoSpaceDN w:val="0"/>
        <w:spacing w:line="360" w:lineRule="auto"/>
        <w:jc w:val="left"/>
        <w:rPr>
          <w:rFonts w:hint="eastAsia" w:ascii="仿宋" w:hAnsi="仿宋" w:eastAsia="仿宋"/>
          <w:b/>
          <w:kern w:val="0"/>
          <w:sz w:val="24"/>
          <w:lang w:val="zh-CN"/>
        </w:rPr>
      </w:pPr>
      <w:r>
        <w:rPr>
          <w:rFonts w:hint="eastAsia" w:ascii="仿宋" w:hAnsi="仿宋" w:eastAsia="仿宋"/>
          <w:b/>
          <w:kern w:val="0"/>
          <w:sz w:val="24"/>
          <w:lang w:val="zh-CN"/>
        </w:rPr>
        <w:t>12. 合同生效、变更和终止</w:t>
      </w:r>
    </w:p>
    <w:p>
      <w:pPr>
        <w:autoSpaceDE w:val="0"/>
        <w:autoSpaceDN w:val="0"/>
        <w:spacing w:line="360" w:lineRule="auto"/>
        <w:ind w:firstLine="48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12．1 在乙方的责任期即合同的有效期内，如因</w:t>
      </w:r>
      <w:r>
        <w:rPr>
          <w:rFonts w:hint="eastAsia" w:ascii="仿宋" w:hAnsi="仿宋" w:eastAsia="仿宋"/>
          <w:sz w:val="24"/>
        </w:rPr>
        <w:t>甲方</w:t>
      </w:r>
      <w:r>
        <w:rPr>
          <w:rFonts w:hint="eastAsia" w:ascii="仿宋" w:hAnsi="仿宋" w:eastAsia="仿宋" w:cs="仿宋_GB2312"/>
          <w:kern w:val="0"/>
          <w:sz w:val="24"/>
          <w:lang w:val="zh-CN"/>
        </w:rPr>
        <w:t>的原因，导致项目建设进度的推迟或延误而超过约定的日期，</w:t>
      </w:r>
      <w:r>
        <w:rPr>
          <w:rFonts w:hint="eastAsia" w:ascii="仿宋" w:hAnsi="仿宋" w:eastAsia="仿宋"/>
          <w:sz w:val="24"/>
        </w:rPr>
        <w:t>甲乙</w:t>
      </w:r>
      <w:r>
        <w:rPr>
          <w:rFonts w:hint="eastAsia" w:ascii="仿宋" w:hAnsi="仿宋" w:eastAsia="仿宋"/>
          <w:kern w:val="0"/>
          <w:sz w:val="24"/>
          <w:lang w:val="zh-CN"/>
        </w:rPr>
        <w:t>双方</w:t>
      </w:r>
      <w:r>
        <w:rPr>
          <w:rFonts w:hint="eastAsia" w:ascii="仿宋" w:hAnsi="仿宋" w:eastAsia="仿宋" w:cs="仿宋_GB2312"/>
          <w:kern w:val="0"/>
          <w:sz w:val="24"/>
          <w:lang w:val="zh-CN"/>
        </w:rPr>
        <w:t>应</w:t>
      </w:r>
      <w:r>
        <w:rPr>
          <w:rFonts w:hint="eastAsia" w:ascii="仿宋" w:hAnsi="仿宋" w:eastAsia="仿宋"/>
          <w:kern w:val="0"/>
          <w:sz w:val="24"/>
          <w:lang w:val="zh-CN"/>
        </w:rPr>
        <w:t>协商，</w:t>
      </w:r>
      <w:r>
        <w:rPr>
          <w:rFonts w:hint="eastAsia" w:ascii="仿宋" w:hAnsi="仿宋" w:eastAsia="仿宋" w:cs="仿宋_GB2312"/>
          <w:kern w:val="0"/>
          <w:sz w:val="24"/>
          <w:lang w:val="zh-CN"/>
        </w:rPr>
        <w:t>重新约定相应延长的合同期。因乙方的责任，导致项目建设进度的推迟或延误而超过约定的日期</w:t>
      </w:r>
      <w:r>
        <w:rPr>
          <w:rFonts w:hint="eastAsia" w:ascii="仿宋" w:hAnsi="仿宋" w:eastAsia="仿宋" w:cs="仿宋_GB2312"/>
          <w:sz w:val="24"/>
          <w:lang w:val="zh-CN"/>
        </w:rPr>
        <w:t>按</w:t>
      </w:r>
      <w:r>
        <w:rPr>
          <w:rFonts w:hint="eastAsia" w:ascii="仿宋" w:hAnsi="仿宋" w:eastAsia="仿宋" w:cs="仿宋_GB2312"/>
          <w:bCs/>
          <w:kern w:val="0"/>
          <w:sz w:val="24"/>
          <w:lang w:val="zh-CN"/>
        </w:rPr>
        <w:t>违约责任处罚。</w:t>
      </w:r>
    </w:p>
    <w:p>
      <w:pPr>
        <w:autoSpaceDE w:val="0"/>
        <w:autoSpaceDN w:val="0"/>
        <w:spacing w:line="360" w:lineRule="auto"/>
        <w:ind w:firstLine="48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12．2 在合同签订后，因项目需求发生重大变化</w:t>
      </w:r>
      <w:r>
        <w:rPr>
          <w:rFonts w:hint="eastAsia" w:ascii="仿宋" w:hAnsi="仿宋" w:eastAsia="仿宋"/>
          <w:kern w:val="0"/>
          <w:sz w:val="24"/>
          <w:lang w:val="zh-CN"/>
        </w:rPr>
        <w:t>，</w:t>
      </w:r>
      <w:r>
        <w:rPr>
          <w:rFonts w:hint="eastAsia" w:ascii="仿宋" w:hAnsi="仿宋" w:eastAsia="仿宋" w:cs="仿宋_GB2312"/>
          <w:kern w:val="0"/>
          <w:sz w:val="24"/>
          <w:lang w:val="zh-CN"/>
        </w:rPr>
        <w:t>使得乙方不能按原计划全部或部分执行项目时，乙方应当立即通知甲方。该项目的完成时间是否延长或当恢复执行项目时，是否需增加时间用于恢复执行，由双方协商确定。</w:t>
      </w:r>
    </w:p>
    <w:p>
      <w:pPr>
        <w:autoSpaceDE w:val="0"/>
        <w:autoSpaceDN w:val="0"/>
        <w:spacing w:line="360" w:lineRule="auto"/>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12．3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cs="仿宋_GB2312"/>
          <w:kern w:val="0"/>
          <w:sz w:val="24"/>
          <w:lang w:val="zh-CN"/>
        </w:rPr>
        <w:t xml:space="preserve">12.4  </w:t>
      </w:r>
      <w:r>
        <w:rPr>
          <w:rFonts w:hint="eastAsia" w:ascii="仿宋" w:hAnsi="仿宋" w:eastAsia="仿宋" w:cs="仿宋_GB2312"/>
          <w:sz w:val="24"/>
        </w:rPr>
        <w:t>本合同经甲乙双方法定代表人或其委托人签字盖章并在财政指定媒体公示无异议后生效。</w:t>
      </w:r>
    </w:p>
    <w:p>
      <w:pPr>
        <w:autoSpaceDE w:val="0"/>
        <w:autoSpaceDN w:val="0"/>
        <w:spacing w:line="360" w:lineRule="auto"/>
        <w:jc w:val="left"/>
        <w:rPr>
          <w:rFonts w:hint="eastAsia" w:ascii="仿宋" w:hAnsi="仿宋" w:eastAsia="仿宋"/>
          <w:b/>
          <w:kern w:val="0"/>
          <w:sz w:val="24"/>
          <w:lang w:val="zh-CN"/>
        </w:rPr>
      </w:pPr>
      <w:r>
        <w:rPr>
          <w:rFonts w:hint="eastAsia" w:ascii="仿宋" w:hAnsi="仿宋" w:eastAsia="仿宋"/>
          <w:b/>
          <w:kern w:val="0"/>
          <w:sz w:val="24"/>
          <w:lang w:val="zh-CN"/>
        </w:rPr>
        <w:t>13. 违约责任</w:t>
      </w:r>
    </w:p>
    <w:p>
      <w:pPr>
        <w:autoSpaceDE w:val="0"/>
        <w:autoSpaceDN w:val="0"/>
        <w:spacing w:line="360" w:lineRule="auto"/>
        <w:ind w:firstLine="480" w:firstLineChars="200"/>
        <w:jc w:val="left"/>
        <w:rPr>
          <w:rFonts w:hint="eastAsia" w:ascii="仿宋" w:hAnsi="仿宋" w:eastAsia="仿宋"/>
          <w:b/>
          <w:kern w:val="0"/>
          <w:sz w:val="24"/>
          <w:lang w:val="zh-CN"/>
        </w:rPr>
      </w:pPr>
      <w:r>
        <w:rPr>
          <w:rFonts w:hint="eastAsia" w:ascii="仿宋" w:hAnsi="仿宋" w:eastAsia="仿宋"/>
          <w:sz w:val="24"/>
        </w:rPr>
        <w:t>13.1 甲</w:t>
      </w:r>
      <w:r>
        <w:rPr>
          <w:rFonts w:hint="eastAsia" w:ascii="仿宋" w:hAnsi="仿宋" w:eastAsia="仿宋"/>
          <w:kern w:val="0"/>
          <w:sz w:val="24"/>
          <w:lang w:val="zh-CN"/>
        </w:rPr>
        <w:t>方应当履行合同约定的义务，如有违反，须承担相应的违约责任。</w:t>
      </w:r>
    </w:p>
    <w:p>
      <w:pPr>
        <w:spacing w:line="360" w:lineRule="auto"/>
        <w:ind w:firstLine="480" w:firstLineChars="200"/>
        <w:rPr>
          <w:rFonts w:hint="eastAsia" w:ascii="仿宋" w:hAnsi="仿宋" w:eastAsia="仿宋"/>
          <w:sz w:val="24"/>
        </w:rPr>
      </w:pPr>
      <w:r>
        <w:rPr>
          <w:rFonts w:hint="eastAsia" w:ascii="仿宋" w:hAnsi="仿宋" w:eastAsia="仿宋"/>
          <w:kern w:val="0"/>
          <w:sz w:val="24"/>
          <w:lang w:val="zh-CN"/>
        </w:rPr>
        <w:t xml:space="preserve">13.2 </w:t>
      </w:r>
      <w:r>
        <w:rPr>
          <w:rFonts w:hint="eastAsia" w:ascii="仿宋" w:hAnsi="仿宋" w:eastAsia="仿宋"/>
          <w:sz w:val="24"/>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sz w:val="24"/>
        </w:rPr>
        <w:t>13.3 如</w:t>
      </w:r>
      <w:r>
        <w:rPr>
          <w:rFonts w:hint="eastAsia" w:ascii="仿宋" w:hAnsi="仿宋" w:eastAsia="仿宋" w:cs="仿宋_GB2312"/>
          <w:kern w:val="0"/>
          <w:sz w:val="24"/>
          <w:lang w:val="zh-CN"/>
        </w:rPr>
        <w:t>在合同规定的工期内，达不到项目规定的技术指标，乙方应当承担违约责任。承担方式和违约金额如下：超期30天内，每天扣合同金额的0.5‰；累计超期30天，甲方有权终止执行合同，并没收履约保证金，同时乙方须无条件退还甲方所有已支付的款项，所退款项</w:t>
      </w:r>
      <w:r>
        <w:rPr>
          <w:rFonts w:hint="eastAsia" w:ascii="仿宋" w:hAnsi="仿宋" w:eastAsia="仿宋"/>
          <w:sz w:val="24"/>
        </w:rPr>
        <w:t>每超过一天，乙方按须本项目总价款的1‰赔偿甲方的经济损失。</w:t>
      </w:r>
    </w:p>
    <w:p>
      <w:pPr>
        <w:spacing w:line="360" w:lineRule="auto"/>
        <w:ind w:firstLine="480" w:firstLineChars="200"/>
        <w:rPr>
          <w:rFonts w:hint="eastAsia" w:ascii="仿宋" w:hAnsi="仿宋" w:eastAsia="仿宋"/>
          <w:sz w:val="24"/>
        </w:rPr>
      </w:pPr>
      <w:r>
        <w:rPr>
          <w:rFonts w:hint="eastAsia" w:ascii="仿宋" w:hAnsi="仿宋" w:eastAsia="仿宋" w:cs="仿宋_GB2312"/>
          <w:sz w:val="24"/>
          <w:lang w:val="zh-CN"/>
        </w:rPr>
        <w:t>13.4 如因乙方原因达不到合格等级的，则必须无条件返工至合格，并全额没收履约保证金。</w:t>
      </w:r>
    </w:p>
    <w:p>
      <w:pPr>
        <w:spacing w:line="360" w:lineRule="auto"/>
        <w:ind w:firstLine="480" w:firstLineChars="200"/>
        <w:rPr>
          <w:rFonts w:hint="eastAsia" w:ascii="仿宋" w:hAnsi="仿宋" w:eastAsia="仿宋" w:cs="仿宋_GB2312"/>
          <w:kern w:val="0"/>
          <w:sz w:val="24"/>
        </w:rPr>
      </w:pPr>
      <w:r>
        <w:rPr>
          <w:rFonts w:hint="eastAsia" w:ascii="仿宋" w:hAnsi="仿宋" w:eastAsia="仿宋"/>
          <w:sz w:val="24"/>
        </w:rPr>
        <w:t>13.5 未经甲方同意，乙方不得在任何时期擅自更换投标文件中规定的项目负责人和技术负责人，同时必须确保项目技术人员的数量和水平与投标文件一致，否则</w:t>
      </w:r>
      <w:r>
        <w:rPr>
          <w:rFonts w:hint="eastAsia" w:ascii="仿宋" w:hAnsi="仿宋" w:eastAsia="仿宋" w:cs="仿宋_GB2312"/>
          <w:kern w:val="0"/>
          <w:sz w:val="24"/>
        </w:rPr>
        <w:t>甲方有权放弃或终止合同，并没收投标保证金或履约保证金。</w:t>
      </w:r>
    </w:p>
    <w:p>
      <w:pPr>
        <w:spacing w:line="360" w:lineRule="auto"/>
        <w:ind w:firstLine="480" w:firstLineChars="200"/>
        <w:rPr>
          <w:rFonts w:hint="eastAsia" w:ascii="仿宋" w:hAnsi="仿宋" w:eastAsia="仿宋"/>
          <w:sz w:val="24"/>
        </w:rPr>
      </w:pPr>
      <w:r>
        <w:rPr>
          <w:rFonts w:hint="eastAsia" w:ascii="仿宋" w:hAnsi="仿宋" w:eastAsia="仿宋"/>
          <w:sz w:val="24"/>
        </w:rPr>
        <w:t>13.6 因乙方原因造成甲方其他系统不能正常运行，酿成重大事故（正常工作日系统中断一天或一天以上）的，将承担全部法律责任，并赔偿经济损失，赔偿金额为项目总价的50%。</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sz w:val="24"/>
        </w:rPr>
        <w:t xml:space="preserve">13.7 </w:t>
      </w:r>
      <w:r>
        <w:rPr>
          <w:rFonts w:hint="eastAsia" w:ascii="仿宋" w:hAnsi="仿宋" w:eastAsia="仿宋" w:cs="仿宋_GB2312"/>
          <w:kern w:val="0"/>
          <w:sz w:val="24"/>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sz w:val="24"/>
        </w:rPr>
        <w:t xml:space="preserve">13.8 </w:t>
      </w:r>
      <w:r>
        <w:rPr>
          <w:rFonts w:hint="eastAsia" w:ascii="仿宋" w:hAnsi="仿宋" w:eastAsia="仿宋"/>
          <w:kern w:val="0"/>
          <w:sz w:val="24"/>
          <w:lang w:val="zh-CN"/>
        </w:rPr>
        <w:t>因不可抗力导致合同不能全部或部分履行，</w:t>
      </w:r>
      <w:r>
        <w:rPr>
          <w:rFonts w:hint="eastAsia" w:ascii="仿宋" w:hAnsi="仿宋" w:eastAsia="仿宋"/>
          <w:sz w:val="24"/>
        </w:rPr>
        <w:t>甲、</w:t>
      </w:r>
      <w:r>
        <w:rPr>
          <w:rFonts w:hint="eastAsia" w:ascii="仿宋" w:hAnsi="仿宋" w:eastAsia="仿宋"/>
          <w:kern w:val="0"/>
          <w:sz w:val="24"/>
          <w:lang w:val="zh-CN"/>
        </w:rPr>
        <w:t>乙双方协商解决。</w:t>
      </w:r>
    </w:p>
    <w:p>
      <w:pPr>
        <w:autoSpaceDE w:val="0"/>
        <w:autoSpaceDN w:val="0"/>
        <w:spacing w:line="360" w:lineRule="auto"/>
        <w:ind w:firstLine="480" w:firstLineChars="200"/>
        <w:jc w:val="left"/>
        <w:rPr>
          <w:rFonts w:hint="eastAsia" w:ascii="仿宋" w:hAnsi="仿宋" w:eastAsia="仿宋"/>
          <w:kern w:val="0"/>
          <w:sz w:val="24"/>
          <w:u w:val="single"/>
          <w:lang w:val="zh-CN"/>
        </w:rPr>
      </w:pPr>
      <w:r>
        <w:rPr>
          <w:rFonts w:hint="eastAsia" w:ascii="仿宋" w:hAnsi="仿宋" w:eastAsia="仿宋"/>
          <w:kern w:val="0"/>
          <w:sz w:val="24"/>
          <w:lang w:val="zh-CN"/>
        </w:rPr>
        <w:t>13.9 其他约定：</w:t>
      </w:r>
      <w:r>
        <w:rPr>
          <w:rFonts w:hint="eastAsia" w:ascii="仿宋" w:hAnsi="仿宋" w:eastAsia="仿宋"/>
          <w:kern w:val="0"/>
          <w:sz w:val="24"/>
          <w:u w:val="single"/>
          <w:lang w:val="zh-CN"/>
        </w:rPr>
        <w:t xml:space="preserve">                                                    </w:t>
      </w:r>
    </w:p>
    <w:p>
      <w:pPr>
        <w:autoSpaceDE w:val="0"/>
        <w:autoSpaceDN w:val="0"/>
        <w:spacing w:line="360" w:lineRule="auto"/>
        <w:jc w:val="left"/>
        <w:rPr>
          <w:rFonts w:hint="eastAsia" w:ascii="仿宋" w:hAnsi="仿宋" w:eastAsia="仿宋"/>
          <w:b/>
          <w:kern w:val="0"/>
          <w:sz w:val="24"/>
          <w:lang w:val="zh-CN"/>
        </w:rPr>
      </w:pPr>
      <w:r>
        <w:rPr>
          <w:rFonts w:hint="eastAsia" w:ascii="仿宋" w:hAnsi="仿宋" w:eastAsia="仿宋"/>
          <w:b/>
          <w:kern w:val="0"/>
          <w:sz w:val="24"/>
          <w:lang w:val="zh-CN"/>
        </w:rPr>
        <w:t>14．项目质量</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14.1 乙方保证按ISO9000系列标准或相应的质量管理和质量保证体系，对项目实施、调试、检测等各个环节进行严格的质量和质量控制。</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14.2 乙方须严格按设计方案和国家现行项目实施验收规范有关规定，精心组织实施、记录、检测。</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14.3 项目的质量、技术标准如在招标文件和投标文件中无相应说明，则按中华人民共和国有关部门颁布的最新的国家或专业（部）标准或相应的国际标准执行。没有国家或专业（部）标准的，按企业标准执行。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14.4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spacing w:line="360" w:lineRule="auto"/>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14.5 项目实施过程中应严格做好安全防范措施，如乙方项目实施人员在实施中违反操作规定造成人员伤亡事故或实施现场防范措施设置不明造成人员伤害事故，一切责任均由乙方负责。</w:t>
      </w:r>
    </w:p>
    <w:p>
      <w:pPr>
        <w:autoSpaceDE w:val="0"/>
        <w:autoSpaceDN w:val="0"/>
        <w:spacing w:line="360" w:lineRule="auto"/>
        <w:jc w:val="left"/>
        <w:rPr>
          <w:rFonts w:hint="eastAsia" w:ascii="仿宋" w:hAnsi="仿宋" w:eastAsia="仿宋"/>
          <w:b/>
          <w:kern w:val="0"/>
          <w:sz w:val="24"/>
          <w:lang w:val="zh-CN"/>
        </w:rPr>
      </w:pPr>
      <w:r>
        <w:rPr>
          <w:rFonts w:hint="eastAsia" w:ascii="仿宋" w:hAnsi="仿宋" w:eastAsia="仿宋"/>
          <w:b/>
          <w:kern w:val="0"/>
          <w:sz w:val="24"/>
          <w:lang w:val="zh-CN"/>
        </w:rPr>
        <w:t>15. 争议处理</w:t>
      </w:r>
    </w:p>
    <w:p>
      <w:pPr>
        <w:spacing w:line="360" w:lineRule="auto"/>
        <w:rPr>
          <w:rFonts w:hint="eastAsia" w:ascii="仿宋" w:hAnsi="仿宋" w:eastAsia="仿宋" w:cs="仿宋_GB2312"/>
          <w:sz w:val="24"/>
        </w:rPr>
      </w:pPr>
      <w:r>
        <w:rPr>
          <w:rFonts w:hint="eastAsia" w:ascii="仿宋" w:hAnsi="仿宋" w:eastAsia="仿宋" w:cs="仿宋_GB2312"/>
          <w:sz w:val="24"/>
        </w:rPr>
        <w:t>（1）合同在履行过程中发生争议时，甲方与乙方及时协商解决。协商不成时，提请杭州仲裁委员会根据仲裁规则仲裁。</w:t>
      </w:r>
    </w:p>
    <w:p>
      <w:pPr>
        <w:spacing w:line="360" w:lineRule="auto"/>
        <w:rPr>
          <w:rFonts w:hint="eastAsia" w:ascii="仿宋" w:hAnsi="仿宋" w:eastAsia="仿宋" w:cs="仿宋_GB2312"/>
          <w:sz w:val="24"/>
        </w:rPr>
      </w:pPr>
      <w:r>
        <w:rPr>
          <w:rFonts w:hint="eastAsia" w:ascii="仿宋" w:hAnsi="仿宋" w:eastAsia="仿宋" w:cs="仿宋_GB2312"/>
          <w:sz w:val="24"/>
        </w:rPr>
        <w:t>（2）对于因违反或终止合同而引起的损失、损害的赔偿，由甲方与乙方友好协商解决，经协商仍未能达成一致的，提交杭州仲裁委员会仲裁。</w:t>
      </w:r>
    </w:p>
    <w:p>
      <w:pPr>
        <w:spacing w:line="360" w:lineRule="auto"/>
        <w:rPr>
          <w:rFonts w:hint="eastAsia" w:ascii="仿宋" w:hAnsi="仿宋" w:eastAsia="仿宋" w:cs="仿宋_GB2312"/>
          <w:sz w:val="24"/>
        </w:rPr>
      </w:pPr>
      <w:r>
        <w:rPr>
          <w:rFonts w:hint="eastAsia" w:ascii="仿宋" w:hAnsi="仿宋" w:eastAsia="仿宋" w:cs="仿宋_GB2312"/>
          <w:sz w:val="24"/>
        </w:rPr>
        <w:t>16</w:t>
      </w:r>
      <w:r>
        <w:rPr>
          <w:rFonts w:hint="eastAsia" w:ascii="仿宋" w:hAnsi="仿宋" w:eastAsia="仿宋"/>
          <w:b/>
          <w:kern w:val="0"/>
          <w:sz w:val="24"/>
        </w:rPr>
        <w:t>.</w:t>
      </w:r>
      <w:r>
        <w:rPr>
          <w:rFonts w:hint="eastAsia" w:ascii="仿宋" w:hAnsi="仿宋" w:eastAsia="仿宋" w:cs="仿宋_GB2312"/>
          <w:sz w:val="24"/>
        </w:rPr>
        <w:t>其他</w:t>
      </w:r>
    </w:p>
    <w:p>
      <w:pPr>
        <w:spacing w:line="360" w:lineRule="auto"/>
        <w:rPr>
          <w:rFonts w:hint="eastAsia" w:ascii="仿宋" w:hAnsi="仿宋" w:eastAsia="仿宋" w:cs="仿宋_GB2312"/>
          <w:sz w:val="24"/>
        </w:rPr>
      </w:pPr>
      <w:r>
        <w:rPr>
          <w:rFonts w:hint="eastAsia" w:ascii="仿宋" w:hAnsi="仿宋" w:eastAsia="仿宋" w:cs="仿宋_GB2312"/>
          <w:sz w:val="24"/>
        </w:rPr>
        <w:t>（1）本合同（□是  □否）为可融资合同，关于中小企业信用融资事项可登陆杭州市政府采购网（</w:t>
      </w:r>
      <w:r>
        <w:rPr>
          <w:rFonts w:hint="eastAsia" w:ascii="仿宋" w:hAnsi="仿宋" w:eastAsia="仿宋" w:cs="仿宋_GB2312"/>
        </w:rPr>
        <w:fldChar w:fldCharType="begin"/>
      </w:r>
      <w:r>
        <w:rPr>
          <w:rFonts w:hint="eastAsia" w:ascii="仿宋" w:hAnsi="仿宋" w:eastAsia="仿宋" w:cs="仿宋_GB2312"/>
        </w:rPr>
        <w:instrText xml:space="preserve">HYPERLINK "http://cg.hzft.gov.cn/"</w:instrText>
      </w:r>
      <w:r>
        <w:rPr>
          <w:rFonts w:hint="eastAsia" w:ascii="仿宋" w:hAnsi="仿宋" w:eastAsia="仿宋" w:cs="仿宋_GB2312"/>
        </w:rPr>
        <w:fldChar w:fldCharType="separate"/>
      </w:r>
      <w:r>
        <w:rPr>
          <w:rFonts w:hint="eastAsia" w:ascii="仿宋" w:hAnsi="仿宋" w:eastAsia="仿宋" w:cs="仿宋_GB2312"/>
          <w:sz w:val="24"/>
        </w:rPr>
        <w:t>http://cg.hzft.gov.cn</w:t>
      </w:r>
      <w:r>
        <w:rPr>
          <w:rFonts w:hint="eastAsia" w:ascii="仿宋" w:hAnsi="仿宋" w:eastAsia="仿宋" w:cs="仿宋_GB2312"/>
        </w:rPr>
        <w:fldChar w:fldCharType="end"/>
      </w:r>
      <w:r>
        <w:rPr>
          <w:rFonts w:hint="eastAsia" w:ascii="仿宋" w:hAnsi="仿宋" w:eastAsia="仿宋" w:cs="仿宋_GB2312"/>
          <w:sz w:val="24"/>
        </w:rPr>
        <w:t>）“中小企业信用融资”专栏进行查询。</w:t>
      </w:r>
    </w:p>
    <w:p>
      <w:pPr>
        <w:spacing w:line="360" w:lineRule="auto"/>
        <w:rPr>
          <w:rFonts w:hint="eastAsia" w:ascii="仿宋" w:hAnsi="仿宋" w:eastAsia="仿宋" w:cs="仿宋_GB2312"/>
          <w:sz w:val="24"/>
        </w:rPr>
      </w:pPr>
      <w:r>
        <w:rPr>
          <w:rFonts w:hint="eastAsia" w:ascii="仿宋" w:hAnsi="仿宋" w:eastAsia="仿宋" w:cs="仿宋_GB2312"/>
          <w:sz w:val="24"/>
        </w:rPr>
        <w:t>（2）未经过甲方的书面同意，乙方不得转让其应履行的合同项下的义务，和将部分合同项下的义务分包给其他单位完成。</w:t>
      </w:r>
    </w:p>
    <w:p>
      <w:pPr>
        <w:spacing w:line="360" w:lineRule="auto"/>
        <w:rPr>
          <w:rFonts w:hint="eastAsia" w:ascii="仿宋" w:hAnsi="仿宋" w:eastAsia="仿宋" w:cs="仿宋_GB2312"/>
          <w:sz w:val="24"/>
        </w:rPr>
      </w:pPr>
      <w:r>
        <w:rPr>
          <w:rFonts w:hint="eastAsia" w:ascii="仿宋" w:hAnsi="仿宋" w:eastAsia="仿宋" w:cs="仿宋_GB2312"/>
          <w:sz w:val="24"/>
        </w:rPr>
        <w:t>（3）乙方不得参与可能与合同规定的与甲方的利益相冲突的任何活动。</w:t>
      </w:r>
    </w:p>
    <w:p>
      <w:pPr>
        <w:spacing w:line="360" w:lineRule="auto"/>
        <w:rPr>
          <w:rFonts w:hint="eastAsia" w:ascii="仿宋" w:hAnsi="仿宋" w:eastAsia="仿宋" w:cs="仿宋_GB2312"/>
          <w:sz w:val="24"/>
        </w:rPr>
      </w:pPr>
      <w:r>
        <w:rPr>
          <w:rFonts w:hint="eastAsia" w:ascii="仿宋" w:hAnsi="仿宋" w:eastAsia="仿宋" w:cs="仿宋_GB2312"/>
          <w:sz w:val="24"/>
        </w:rPr>
        <w:t>（4）乙方人员在甲方场地工作时，应遵守甲方相关规章、制度。</w:t>
      </w:r>
    </w:p>
    <w:p>
      <w:pPr>
        <w:spacing w:line="360" w:lineRule="auto"/>
        <w:rPr>
          <w:rFonts w:hint="eastAsia" w:ascii="仿宋" w:hAnsi="仿宋" w:eastAsia="仿宋" w:cs="仿宋_GB2312"/>
          <w:sz w:val="24"/>
        </w:rPr>
      </w:pPr>
      <w:r>
        <w:rPr>
          <w:rFonts w:hint="eastAsia" w:ascii="仿宋" w:hAnsi="仿宋" w:eastAsia="仿宋" w:cs="仿宋_GB2312"/>
          <w:sz w:val="24"/>
        </w:rPr>
        <w:t>（5）本合同任何一方给另一方的通知，都应以书面或电传/传真/电报的形式发送，而另一方应以书面形式确认并发送到对方明确的地址。</w:t>
      </w:r>
    </w:p>
    <w:p>
      <w:pPr>
        <w:spacing w:line="360" w:lineRule="auto"/>
        <w:rPr>
          <w:rFonts w:hint="eastAsia" w:ascii="仿宋" w:hAnsi="仿宋" w:eastAsia="仿宋" w:cs="仿宋_GB2312"/>
          <w:sz w:val="24"/>
        </w:rPr>
      </w:pPr>
      <w:r>
        <w:rPr>
          <w:rFonts w:hint="eastAsia" w:ascii="仿宋" w:hAnsi="仿宋" w:eastAsia="仿宋" w:cs="仿宋_GB2312"/>
          <w:sz w:val="24"/>
        </w:rPr>
        <w:t>（6）合同履行期内甲乙双方均不得随意变更或解除合同。合同若有未尽事宜，需经双方共同协商，订立补充协议，补充协议与本合同有同等法律效力。</w:t>
      </w:r>
    </w:p>
    <w:p>
      <w:pPr>
        <w:spacing w:line="360" w:lineRule="auto"/>
        <w:rPr>
          <w:rFonts w:hint="eastAsia" w:ascii="仿宋" w:hAnsi="仿宋" w:eastAsia="仿宋" w:cs="仿宋_GB2312"/>
          <w:sz w:val="24"/>
        </w:rPr>
      </w:pPr>
      <w:r>
        <w:rPr>
          <w:rFonts w:hint="eastAsia" w:ascii="仿宋" w:hAnsi="仿宋" w:eastAsia="仿宋" w:cs="仿宋_GB2312"/>
          <w:sz w:val="24"/>
        </w:rPr>
        <w:t>（7） 招标文件【编号：</w:t>
      </w:r>
      <w:r>
        <w:rPr>
          <w:rFonts w:hint="eastAsia" w:ascii="仿宋" w:hAnsi="仿宋" w:eastAsia="仿宋" w:cs="仿宋_GB2312"/>
          <w:b/>
          <w:snapToGrid w:val="0"/>
          <w:color w:val="000000"/>
          <w:kern w:val="0"/>
          <w:sz w:val="24"/>
        </w:rPr>
        <w:t>ZJZN-19216</w:t>
      </w:r>
      <w:r>
        <w:rPr>
          <w:rFonts w:hint="eastAsia" w:ascii="仿宋" w:hAnsi="仿宋" w:eastAsia="仿宋" w:cs="仿宋_GB2312"/>
          <w:sz w:val="24"/>
        </w:rPr>
        <w:t>】、投标文件及评标过程中形成的文字资料、询标纪要均作为本合同的组成部分，具有同等效力。</w:t>
      </w:r>
    </w:p>
    <w:p>
      <w:pPr>
        <w:spacing w:line="360" w:lineRule="auto"/>
        <w:rPr>
          <w:rFonts w:hint="eastAsia" w:ascii="仿宋" w:hAnsi="仿宋" w:eastAsia="仿宋" w:cs="仿宋_GB2312"/>
          <w:sz w:val="24"/>
        </w:rPr>
      </w:pPr>
      <w:r>
        <w:rPr>
          <w:rFonts w:hint="eastAsia" w:ascii="仿宋" w:hAnsi="仿宋" w:eastAsia="仿宋" w:cs="仿宋_GB2312"/>
          <w:sz w:val="24"/>
        </w:rPr>
        <w:t>（8） 本合同经甲乙双方法定代表人或其委托人签字盖章并在财政指定媒体公示无异议后生效。</w:t>
      </w:r>
    </w:p>
    <w:p>
      <w:pPr>
        <w:spacing w:line="360" w:lineRule="auto"/>
        <w:rPr>
          <w:rFonts w:hint="eastAsia" w:ascii="仿宋" w:hAnsi="仿宋" w:eastAsia="仿宋" w:cs="仿宋_GB2312"/>
          <w:sz w:val="24"/>
        </w:rPr>
      </w:pPr>
      <w:r>
        <w:rPr>
          <w:rFonts w:hint="eastAsia" w:ascii="仿宋" w:hAnsi="仿宋" w:eastAsia="仿宋" w:cs="仿宋_GB2312"/>
          <w:sz w:val="24"/>
        </w:rPr>
        <w:t>（9） 本合同一式    份，甲方、乙方各执   份。</w:t>
      </w:r>
    </w:p>
    <w:p>
      <w:pPr>
        <w:spacing w:line="360" w:lineRule="auto"/>
        <w:rPr>
          <w:rFonts w:hint="eastAsia" w:ascii="仿宋" w:hAnsi="仿宋" w:eastAsia="仿宋" w:cs="仿宋_GB2312"/>
          <w:sz w:val="24"/>
        </w:rPr>
      </w:pPr>
      <w:r>
        <w:rPr>
          <w:rFonts w:hint="eastAsia" w:ascii="仿宋" w:hAnsi="仿宋" w:eastAsia="仿宋" w:cs="仿宋_GB2312"/>
          <w:sz w:val="24"/>
        </w:rPr>
        <w:t>（10）适用法律：本合同应按照中华人民共和国的法律进行解释。</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甲方（盖章）：                             乙方（盖章）：        </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法定代表人：                              法定代表人：                   </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或受委托人（签字）：                       或受委托人（签字）：                  </w:t>
      </w:r>
    </w:p>
    <w:p>
      <w:pPr>
        <w:spacing w:line="360" w:lineRule="auto"/>
        <w:rPr>
          <w:rFonts w:hint="eastAsia" w:ascii="仿宋" w:hAnsi="仿宋" w:eastAsia="仿宋" w:cs="仿宋_GB2312"/>
          <w:sz w:val="24"/>
        </w:rPr>
      </w:pPr>
      <w:r>
        <w:rPr>
          <w:rFonts w:hint="eastAsia" w:ascii="仿宋" w:hAnsi="仿宋" w:eastAsia="仿宋" w:cs="仿宋_GB2312"/>
          <w:sz w:val="24"/>
        </w:rPr>
        <w:t>联系人：                                  联系人：</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地址：                                    地址： </w:t>
      </w:r>
    </w:p>
    <w:p>
      <w:pPr>
        <w:spacing w:line="360" w:lineRule="auto"/>
        <w:rPr>
          <w:rFonts w:hint="eastAsia" w:ascii="仿宋" w:hAnsi="仿宋" w:eastAsia="仿宋" w:cs="仿宋_GB2312"/>
          <w:sz w:val="24"/>
        </w:rPr>
      </w:pPr>
      <w:r>
        <w:rPr>
          <w:rFonts w:hint="eastAsia" w:ascii="仿宋" w:hAnsi="仿宋" w:eastAsia="仿宋" w:cs="仿宋_GB2312"/>
          <w:sz w:val="24"/>
        </w:rPr>
        <w:t>电话：                                    电话：</w:t>
      </w:r>
    </w:p>
    <w:p>
      <w:pPr>
        <w:spacing w:line="360" w:lineRule="auto"/>
        <w:rPr>
          <w:rFonts w:hint="eastAsia" w:ascii="仿宋" w:hAnsi="仿宋" w:eastAsia="仿宋" w:cs="仿宋_GB2312"/>
          <w:sz w:val="24"/>
        </w:rPr>
      </w:pPr>
      <w:r>
        <w:rPr>
          <w:rFonts w:hint="eastAsia" w:ascii="仿宋" w:hAnsi="仿宋" w:eastAsia="仿宋" w:cs="仿宋_GB2312"/>
          <w:sz w:val="24"/>
        </w:rPr>
        <w:t>传真：                                    传真：</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开户银行：                                开户银行： </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帐号：                                    帐号：                                          </w:t>
      </w:r>
    </w:p>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签约地点：</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                                                 签约日期：    年   月    日</w:t>
      </w:r>
    </w:p>
    <w:p>
      <w:pPr>
        <w:snapToGrid w:val="0"/>
        <w:spacing w:line="360" w:lineRule="auto"/>
        <w:rPr>
          <w:rFonts w:hint="eastAsia" w:ascii="仿宋_GB2312" w:hAnsi="仿宋_GB2312" w:eastAsia="仿宋_GB2312" w:cs="仿宋_GB2312"/>
          <w:b/>
          <w:sz w:val="24"/>
        </w:rPr>
      </w:pPr>
    </w:p>
    <w:p>
      <w:pPr>
        <w:snapToGrid w:val="0"/>
        <w:spacing w:line="360" w:lineRule="auto"/>
        <w:jc w:val="center"/>
        <w:rPr>
          <w:rFonts w:hint="eastAsia" w:ascii="仿宋" w:hAnsi="仿宋" w:eastAsia="仿宋" w:cs="仿宋_GB2312"/>
          <w:b/>
          <w:sz w:val="36"/>
          <w:szCs w:val="20"/>
        </w:rPr>
      </w:pPr>
      <w:r>
        <w:rPr>
          <w:rFonts w:hint="eastAsia" w:ascii="仿宋_GB2312" w:hAnsi="仿宋_GB2312" w:eastAsia="仿宋_GB2312" w:cs="仿宋_GB2312"/>
          <w:b/>
          <w:sz w:val="36"/>
          <w:szCs w:val="20"/>
        </w:rPr>
        <w:br w:type="page"/>
      </w:r>
      <w:r>
        <w:rPr>
          <w:rFonts w:hint="eastAsia" w:ascii="仿宋" w:hAnsi="仿宋" w:eastAsia="仿宋" w:cs="仿宋_GB2312"/>
          <w:b/>
          <w:sz w:val="36"/>
          <w:szCs w:val="20"/>
        </w:rPr>
        <w:t>第六部分</w:t>
      </w:r>
      <w:bookmarkEnd w:id="496"/>
      <w:r>
        <w:rPr>
          <w:rFonts w:hint="eastAsia" w:ascii="仿宋" w:hAnsi="仿宋" w:eastAsia="仿宋" w:cs="仿宋_GB2312"/>
          <w:b/>
          <w:sz w:val="36"/>
          <w:szCs w:val="20"/>
        </w:rPr>
        <w:t xml:space="preserve"> </w:t>
      </w:r>
      <w:bookmarkEnd w:id="497"/>
      <w:r>
        <w:rPr>
          <w:rFonts w:hint="eastAsia" w:ascii="仿宋" w:hAnsi="仿宋" w:eastAsia="仿宋" w:cs="仿宋_GB2312"/>
          <w:b/>
          <w:sz w:val="36"/>
          <w:szCs w:val="20"/>
        </w:rPr>
        <w:t>应提交的有关格式范例</w:t>
      </w:r>
    </w:p>
    <w:p>
      <w:pPr>
        <w:spacing w:line="360" w:lineRule="auto"/>
        <w:ind w:firstLine="480" w:firstLineChars="200"/>
        <w:outlineLvl w:val="0"/>
        <w:rPr>
          <w:rFonts w:hint="eastAsia" w:ascii="仿宋" w:hAnsi="仿宋" w:eastAsia="仿宋" w:cs="仿宋_GB2312"/>
          <w:sz w:val="24"/>
        </w:rPr>
      </w:pPr>
      <w:r>
        <w:rPr>
          <w:rFonts w:hint="eastAsia" w:ascii="仿宋" w:hAnsi="仿宋" w:eastAsia="仿宋" w:cs="仿宋_GB2312"/>
          <w:sz w:val="24"/>
        </w:rPr>
        <w:t>投标人按照以下格式编制投标文件，并将资格文件、报价文件、商务技术文件分别装订成册。</w:t>
      </w:r>
    </w:p>
    <w:p>
      <w:pPr>
        <w:spacing w:line="360" w:lineRule="auto"/>
        <w:jc w:val="center"/>
        <w:outlineLvl w:val="0"/>
        <w:rPr>
          <w:rFonts w:hint="eastAsia" w:ascii="仿宋" w:hAnsi="仿宋" w:eastAsia="仿宋" w:cs="仿宋_GB2312"/>
          <w:sz w:val="36"/>
          <w:szCs w:val="36"/>
          <w:lang w:val="zh-CN"/>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资格文件部分</w:t>
      </w: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hint="eastAsia" w:ascii="仿宋" w:hAnsi="仿宋" w:eastAsia="仿宋" w:cs="仿宋_GB2312"/>
          <w:b/>
          <w:kern w:val="0"/>
          <w:sz w:val="36"/>
          <w:szCs w:val="36"/>
        </w:rPr>
      </w:pPr>
    </w:p>
    <w:p>
      <w:pPr>
        <w:snapToGrid w:val="0"/>
        <w:spacing w:line="360" w:lineRule="auto"/>
        <w:rPr>
          <w:rFonts w:hint="eastAsia" w:ascii="仿宋" w:hAnsi="仿宋" w:eastAsia="仿宋" w:cs="仿宋_GB2312"/>
          <w:sz w:val="24"/>
        </w:rPr>
      </w:pPr>
      <w:r>
        <w:rPr>
          <w:rFonts w:hint="eastAsia" w:ascii="仿宋" w:hAnsi="仿宋" w:eastAsia="仿宋" w:cs="仿宋_GB2312"/>
          <w:kern w:val="0"/>
          <w:sz w:val="24"/>
        </w:rPr>
        <w:t>（1）</w:t>
      </w:r>
      <w:r>
        <w:rPr>
          <w:rFonts w:hint="eastAsia" w:ascii="仿宋" w:hAnsi="仿宋" w:eastAsia="仿宋" w:cs="仿宋_GB2312"/>
          <w:sz w:val="24"/>
        </w:rPr>
        <w:t>营业执照(或事业法人登记证或其他工商等登记证明材料)复印件（投标人为自然人的，须提供</w:t>
      </w:r>
      <w:r>
        <w:rPr>
          <w:rFonts w:hint="eastAsia" w:ascii="仿宋" w:hAnsi="仿宋" w:eastAsia="仿宋" w:cs="仿宋_GB2312"/>
          <w:kern w:val="0"/>
          <w:sz w:val="24"/>
        </w:rPr>
        <w:t>自然人的身份证明</w:t>
      </w:r>
      <w:r>
        <w:rPr>
          <w:rFonts w:hint="eastAsia" w:ascii="仿宋" w:hAnsi="仿宋" w:eastAsia="仿宋" w:cs="仿宋_GB2312"/>
          <w:sz w:val="24"/>
        </w:rPr>
        <w:t>）、税务登记证(或其它缴纳证明材料)复印件、社保登记证（或其它缴纳证明材料）复印件</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sz w:val="24"/>
        </w:rPr>
      </w:pPr>
      <w:r>
        <w:rPr>
          <w:rFonts w:hint="eastAsia" w:ascii="仿宋" w:hAnsi="仿宋" w:eastAsia="仿宋" w:cs="仿宋_GB2312"/>
          <w:kern w:val="0"/>
          <w:sz w:val="24"/>
        </w:rPr>
        <w:t>（2）</w:t>
      </w:r>
      <w:r>
        <w:rPr>
          <w:rFonts w:hint="eastAsia" w:ascii="仿宋" w:hAnsi="仿宋" w:eastAsia="仿宋" w:cs="仿宋_GB2312"/>
          <w:sz w:val="24"/>
        </w:rPr>
        <w:t>2018年度资产负债表等财务报表资料文件(新成立的公司，提供情况说明)</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rPr>
        <w:t>（3）具有履行合同所必需的设备和专业技术能力的承诺函………………………（页码）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（4）参加政府采购活动前三年内，在经营活动中没有重大违法记录的声明</w:t>
      </w:r>
      <w:r>
        <w:rPr>
          <w:rFonts w:hint="eastAsia" w:ascii="仿宋" w:hAnsi="仿宋" w:eastAsia="仿宋" w:cs="仿宋_GB2312"/>
          <w:kern w:val="0"/>
          <w:sz w:val="24"/>
        </w:rPr>
        <w:t xml:space="preserve"> …（页码）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（5）具有良好商业信誉</w:t>
      </w:r>
      <w:r>
        <w:rPr>
          <w:rFonts w:hint="eastAsia" w:ascii="仿宋" w:hAnsi="仿宋" w:eastAsia="仿宋" w:cs="仿宋_GB2312"/>
          <w:sz w:val="24"/>
          <w:szCs w:val="20"/>
        </w:rPr>
        <w:t>特别声明</w:t>
      </w:r>
      <w:r>
        <w:rPr>
          <w:rFonts w:hint="eastAsia" w:ascii="仿宋" w:hAnsi="仿宋" w:eastAsia="仿宋" w:cs="仿宋_GB2312"/>
          <w:kern w:val="0"/>
          <w:sz w:val="24"/>
        </w:rPr>
        <w:t>……………………………………………………（页码）</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rPr>
        <w:t>（6）</w:t>
      </w:r>
      <w:r>
        <w:rPr>
          <w:rFonts w:hint="eastAsia" w:ascii="仿宋" w:hAnsi="仿宋" w:eastAsia="仿宋" w:cs="仿宋_GB2312"/>
          <w:sz w:val="24"/>
        </w:rPr>
        <w:t>符合特定资格条件（如果项目要求）的有关证明材料（复印件）</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sz w:val="24"/>
        </w:rPr>
      </w:pP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附：法定代表人授权书（如法定代表人直接参加投标并对相应文件签字的，只需提供其身份证复印件正反面；如以联合体形式参加政府采购活动的，按招标文件有关格式范例提供联合体投标授权书）</w:t>
      </w:r>
      <w:r>
        <w:rPr>
          <w:rFonts w:hint="eastAsia" w:ascii="仿宋" w:hAnsi="仿宋" w:eastAsia="仿宋" w:cs="仿宋_GB2312"/>
          <w:kern w:val="0"/>
          <w:sz w:val="24"/>
        </w:rPr>
        <w:t>………………………………………………………………（页码）</w:t>
      </w:r>
    </w:p>
    <w:p>
      <w:pPr>
        <w:snapToGrid w:val="0"/>
        <w:spacing w:line="360" w:lineRule="auto"/>
        <w:jc w:val="center"/>
        <w:rPr>
          <w:rFonts w:hint="eastAsia" w:ascii="仿宋" w:hAnsi="仿宋" w:eastAsia="仿宋" w:cs="仿宋_GB2312"/>
          <w:b/>
          <w:sz w:val="32"/>
          <w:szCs w:val="32"/>
        </w:rPr>
      </w:pPr>
      <w:r>
        <w:rPr>
          <w:rFonts w:hint="eastAsia" w:ascii="仿宋" w:hAnsi="仿宋" w:eastAsia="仿宋" w:cs="仿宋_GB2312"/>
          <w:sz w:val="36"/>
          <w:szCs w:val="36"/>
        </w:rPr>
        <w:br w:type="page"/>
      </w:r>
      <w:r>
        <w:rPr>
          <w:rFonts w:hint="eastAsia" w:ascii="仿宋" w:hAnsi="仿宋" w:eastAsia="仿宋" w:cs="仿宋_GB2312"/>
          <w:b/>
          <w:kern w:val="0"/>
          <w:sz w:val="32"/>
          <w:szCs w:val="32"/>
          <w:lang w:val="zh-CN"/>
        </w:rPr>
        <w:t>一、</w:t>
      </w:r>
      <w:r>
        <w:rPr>
          <w:rFonts w:hint="eastAsia" w:ascii="仿宋" w:hAnsi="仿宋" w:eastAsia="仿宋" w:cs="仿宋_GB2312"/>
          <w:b/>
          <w:sz w:val="32"/>
          <w:szCs w:val="32"/>
        </w:rPr>
        <w:t>营业执照或事业法人登记证证明材料（复印件）、税务缴纳证明文件（复印件）、社保缴纳证明文件（复印件）</w:t>
      </w: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二、2018年度资产负债表等财务报表资料文件（复印件）</w:t>
      </w:r>
    </w:p>
    <w:p>
      <w:pPr>
        <w:spacing w:line="360" w:lineRule="auto"/>
        <w:rPr>
          <w:rFonts w:hint="eastAsia" w:ascii="仿宋" w:hAnsi="仿宋" w:eastAsia="仿宋" w:cs="仿宋_GB2312"/>
          <w:b/>
          <w:sz w:val="32"/>
          <w:szCs w:val="32"/>
        </w:rPr>
      </w:pPr>
    </w:p>
    <w:p>
      <w:pPr>
        <w:snapToGrid w:val="0"/>
        <w:spacing w:line="360" w:lineRule="auto"/>
        <w:ind w:right="480"/>
        <w:jc w:val="center"/>
        <w:rPr>
          <w:rFonts w:hint="eastAsia" w:ascii="仿宋" w:hAnsi="仿宋" w:eastAsia="仿宋" w:cs="仿宋_GB2312"/>
          <w:b/>
          <w:kern w:val="0"/>
          <w:sz w:val="32"/>
          <w:szCs w:val="32"/>
          <w:lang w:val="zh-CN"/>
        </w:rPr>
      </w:pPr>
    </w:p>
    <w:p>
      <w:pPr>
        <w:snapToGrid w:val="0"/>
        <w:spacing w:line="360" w:lineRule="auto"/>
        <w:ind w:right="480"/>
        <w:jc w:val="center"/>
        <w:rPr>
          <w:rFonts w:hint="eastAsia" w:ascii="仿宋" w:hAnsi="仿宋" w:eastAsia="仿宋" w:cs="仿宋_GB2312"/>
          <w:b/>
          <w:kern w:val="0"/>
          <w:sz w:val="32"/>
          <w:szCs w:val="32"/>
        </w:rPr>
      </w:pPr>
      <w:r>
        <w:rPr>
          <w:rFonts w:hint="eastAsia" w:ascii="仿宋" w:hAnsi="仿宋" w:eastAsia="仿宋" w:cs="仿宋_GB2312"/>
          <w:b/>
          <w:kern w:val="0"/>
          <w:sz w:val="32"/>
          <w:szCs w:val="32"/>
        </w:rPr>
        <w:t>三、具有履行合同所必需的设备和专业技术能力的承诺函</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杭州市公安局西湖风景名胜区分局、浙江中诺招标代理有限公司：</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我方郑重承诺，我方具有履行杭州市公安局西湖风景名胜区分局景区人员综合管控提升项目（招标编号：ZJZN-19216）合同所必需的设备和专业技术能力。如中标，我方将保证合同顺利履行。</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法定代表人或其授权代表(签字)：</w:t>
      </w:r>
    </w:p>
    <w:p>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ind w:firstLine="480" w:firstLineChars="200"/>
        <w:rPr>
          <w:rFonts w:hint="eastAsia" w:ascii="仿宋" w:hAnsi="仿宋" w:eastAsia="仿宋" w:cs="仿宋_GB2312"/>
          <w:kern w:val="0"/>
          <w:sz w:val="24"/>
          <w:lang w:val="zh-CN"/>
        </w:rPr>
      </w:pPr>
    </w:p>
    <w:p>
      <w:pPr>
        <w:spacing w:line="360" w:lineRule="auto"/>
        <w:jc w:val="center"/>
        <w:rPr>
          <w:rFonts w:hint="eastAsia" w:ascii="仿宋" w:hAnsi="仿宋" w:eastAsia="仿宋" w:cs="仿宋_GB2312"/>
          <w:b/>
          <w:kern w:val="0"/>
          <w:sz w:val="32"/>
          <w:szCs w:val="32"/>
        </w:rPr>
      </w:pPr>
    </w:p>
    <w:p>
      <w:pPr>
        <w:spacing w:line="360" w:lineRule="auto"/>
        <w:jc w:val="center"/>
        <w:rPr>
          <w:rFonts w:hint="eastAsia" w:ascii="仿宋" w:hAnsi="仿宋" w:eastAsia="仿宋" w:cs="仿宋_GB2312"/>
          <w:b/>
          <w:kern w:val="0"/>
          <w:sz w:val="32"/>
          <w:szCs w:val="32"/>
        </w:rPr>
      </w:pPr>
    </w:p>
    <w:p>
      <w:pPr>
        <w:spacing w:line="360" w:lineRule="auto"/>
        <w:jc w:val="center"/>
        <w:rPr>
          <w:rFonts w:hint="eastAsia" w:ascii="仿宋" w:hAnsi="仿宋" w:eastAsia="仿宋" w:cs="仿宋_GB2312"/>
          <w:b/>
          <w:kern w:val="0"/>
          <w:sz w:val="32"/>
          <w:szCs w:val="32"/>
        </w:rPr>
      </w:pPr>
      <w:r>
        <w:rPr>
          <w:rFonts w:hint="eastAsia" w:ascii="仿宋" w:hAnsi="仿宋" w:eastAsia="仿宋" w:cs="仿宋_GB2312"/>
          <w:b/>
          <w:kern w:val="0"/>
          <w:sz w:val="32"/>
          <w:szCs w:val="32"/>
        </w:rPr>
        <w:t>四、参加政府采购活动前三年内，在经营活动中</w:t>
      </w: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rPr>
        <w:t>没有重大违法记录的声明</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杭州市公安局西湖风景名胜区分局、浙江中诺招标代理有限公司</w:t>
      </w:r>
      <w:r>
        <w:rPr>
          <w:rFonts w:hint="eastAsia" w:ascii="仿宋" w:hAnsi="仿宋" w:eastAsia="仿宋" w:cs="仿宋_GB2312"/>
          <w:kern w:val="0"/>
          <w:sz w:val="24"/>
          <w:lang w:val="zh-CN"/>
        </w:rPr>
        <w:t>：</w:t>
      </w:r>
    </w:p>
    <w:p>
      <w:pPr>
        <w:spacing w:line="360" w:lineRule="auto"/>
        <w:ind w:firstLine="480" w:firstLineChars="200"/>
        <w:rPr>
          <w:rFonts w:hint="eastAsia" w:ascii="仿宋" w:hAnsi="仿宋" w:eastAsia="仿宋" w:cs="仿宋_GB2312"/>
          <w:sz w:val="24"/>
          <w:szCs w:val="20"/>
        </w:rPr>
      </w:pPr>
      <w:r>
        <w:rPr>
          <w:rFonts w:hint="eastAsia" w:ascii="仿宋" w:hAnsi="仿宋" w:eastAsia="仿宋" w:cs="仿宋_GB2312"/>
          <w:kern w:val="0"/>
          <w:sz w:val="24"/>
          <w:lang w:val="zh-CN"/>
        </w:rPr>
        <w:t>我方</w:t>
      </w:r>
      <w:r>
        <w:rPr>
          <w:rFonts w:hint="eastAsia" w:ascii="仿宋" w:hAnsi="仿宋" w:eastAsia="仿宋" w:cs="仿宋_GB2312"/>
          <w:sz w:val="24"/>
        </w:rPr>
        <w:t>声明投标截止时间前三年，在</w:t>
      </w:r>
      <w:r>
        <w:rPr>
          <w:rFonts w:hint="eastAsia" w:ascii="仿宋" w:hAnsi="仿宋" w:eastAsia="仿宋" w:cs="仿宋_GB2312"/>
          <w:kern w:val="0"/>
          <w:sz w:val="24"/>
        </w:rPr>
        <w:t>经营活动中</w:t>
      </w:r>
      <w:r>
        <w:rPr>
          <w:rFonts w:hint="eastAsia" w:ascii="仿宋" w:hAnsi="仿宋" w:eastAsia="仿宋" w:cs="仿宋_GB2312"/>
          <w:sz w:val="24"/>
        </w:rPr>
        <w:t>没有重大违法记录</w:t>
      </w:r>
      <w:r>
        <w:rPr>
          <w:rFonts w:hint="eastAsia" w:ascii="仿宋" w:hAnsi="仿宋" w:eastAsia="仿宋" w:cs="仿宋_GB2312"/>
          <w:sz w:val="24"/>
          <w:szCs w:val="20"/>
        </w:rPr>
        <w:t xml:space="preserve">。 </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法定代表人或其授权代表(签字)：</w:t>
      </w:r>
    </w:p>
    <w:p>
      <w:pPr>
        <w:snapToGrid w:val="0"/>
        <w:spacing w:line="360" w:lineRule="auto"/>
        <w:ind w:firstLine="5160" w:firstLineChars="2150"/>
        <w:rPr>
          <w:rFonts w:hint="eastAsia"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pPr>
        <w:snapToGrid w:val="0"/>
        <w:spacing w:line="360" w:lineRule="auto"/>
        <w:jc w:val="center"/>
        <w:rPr>
          <w:rFonts w:hint="eastAsia" w:ascii="仿宋" w:hAnsi="仿宋" w:eastAsia="仿宋" w:cs="仿宋_GB2312"/>
          <w:b/>
          <w:kern w:val="0"/>
          <w:sz w:val="32"/>
          <w:szCs w:val="32"/>
        </w:rPr>
      </w:pPr>
      <w:r>
        <w:rPr>
          <w:rFonts w:hint="eastAsia" w:ascii="仿宋" w:hAnsi="仿宋" w:eastAsia="仿宋" w:cs="仿宋_GB2312"/>
          <w:b/>
          <w:kern w:val="0"/>
          <w:sz w:val="32"/>
          <w:szCs w:val="32"/>
        </w:rPr>
        <w:t>五、具有良好商业信誉特别声明</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杭州市公安局西湖风景名胜区分局、浙江中诺招标代理有限公司</w:t>
      </w:r>
      <w:r>
        <w:rPr>
          <w:rFonts w:hint="eastAsia" w:ascii="仿宋" w:hAnsi="仿宋" w:eastAsia="仿宋" w:cs="仿宋_GB2312"/>
          <w:kern w:val="0"/>
          <w:sz w:val="24"/>
          <w:lang w:val="zh-CN"/>
        </w:rPr>
        <w:t>：</w:t>
      </w:r>
    </w:p>
    <w:p>
      <w:pPr>
        <w:snapToGrid w:val="0"/>
        <w:spacing w:line="360" w:lineRule="auto"/>
        <w:ind w:firstLine="480"/>
        <w:rPr>
          <w:rFonts w:hint="eastAsia" w:ascii="仿宋" w:hAnsi="仿宋" w:eastAsia="仿宋" w:cs="仿宋_GB2312"/>
          <w:kern w:val="0"/>
          <w:sz w:val="24"/>
          <w:lang w:val="zh-CN"/>
        </w:rPr>
      </w:pPr>
      <w:r>
        <w:rPr>
          <w:rFonts w:hint="eastAsia" w:ascii="仿宋" w:hAnsi="仿宋" w:eastAsia="仿宋" w:cs="仿宋_GB2312"/>
          <w:sz w:val="24"/>
        </w:rPr>
        <w:t>截至投标截止时间，我方具有良好的商业信誉，不存在下列情形（包括但不限于）。否则，我方将承担在资格审查时不被通过的后果。</w:t>
      </w:r>
    </w:p>
    <w:p>
      <w:pPr>
        <w:pStyle w:val="142"/>
        <w:spacing w:before="0"/>
        <w:ind w:firstLine="495" w:firstLineChars="0"/>
        <w:rPr>
          <w:rFonts w:hint="eastAsia" w:ascii="仿宋" w:hAnsi="仿宋" w:eastAsia="仿宋" w:cs="仿宋_GB2312"/>
        </w:rPr>
      </w:pPr>
      <w:r>
        <w:rPr>
          <w:rFonts w:hint="eastAsia" w:ascii="仿宋" w:hAnsi="仿宋" w:eastAsia="仿宋" w:cs="仿宋_GB2312"/>
        </w:rPr>
        <w:t>1</w:t>
      </w:r>
      <w:r>
        <w:rPr>
          <w:rFonts w:hint="eastAsia" w:ascii="仿宋" w:hAnsi="仿宋" w:eastAsia="仿宋" w:cs="仿宋_GB2312"/>
          <w:b/>
        </w:rPr>
        <w:t>、</w:t>
      </w:r>
      <w:r>
        <w:rPr>
          <w:rFonts w:hint="eastAsia" w:ascii="仿宋" w:hAnsi="仿宋" w:eastAsia="仿宋" w:cs="仿宋_GB2312"/>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hint="eastAsia" w:ascii="仿宋" w:hAnsi="仿宋" w:eastAsia="仿宋" w:cs="仿宋_GB2312"/>
          <w:sz w:val="24"/>
          <w:szCs w:val="20"/>
        </w:rPr>
      </w:pPr>
      <w:r>
        <w:rPr>
          <w:rFonts w:hint="eastAsia" w:ascii="仿宋" w:hAnsi="仿宋" w:eastAsia="仿宋" w:cs="仿宋_GB2312"/>
          <w:sz w:val="24"/>
          <w:szCs w:val="20"/>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hint="eastAsia" w:ascii="仿宋" w:hAnsi="仿宋" w:eastAsia="仿宋" w:cs="仿宋_GB2312"/>
          <w:sz w:val="24"/>
        </w:rPr>
      </w:pPr>
    </w:p>
    <w:p>
      <w:pPr>
        <w:snapToGrid w:val="0"/>
        <w:spacing w:line="360" w:lineRule="auto"/>
        <w:ind w:firstLine="5160" w:firstLineChars="2150"/>
        <w:rPr>
          <w:rFonts w:hint="eastAsia" w:ascii="仿宋" w:hAnsi="仿宋" w:eastAsia="仿宋" w:cs="仿宋_GB2312"/>
          <w:kern w:val="0"/>
          <w:sz w:val="24"/>
        </w:rPr>
      </w:pPr>
    </w:p>
    <w:p>
      <w:pPr>
        <w:spacing w:line="360" w:lineRule="auto"/>
        <w:jc w:val="center"/>
        <w:rPr>
          <w:rFonts w:hint="eastAsia" w:ascii="仿宋" w:hAnsi="仿宋" w:eastAsia="仿宋" w:cs="仿宋_GB2312"/>
          <w:b/>
          <w:sz w:val="30"/>
          <w:szCs w:val="30"/>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p>
    <w:p>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六、特定资格条件要求的资质文件（复印件）</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hint="eastAsia" w:ascii="仿宋" w:hAnsi="仿宋" w:eastAsia="仿宋" w:cs="仿宋_GB2312"/>
          <w:sz w:val="24"/>
        </w:rPr>
      </w:pPr>
    </w:p>
    <w:p>
      <w:pPr>
        <w:spacing w:line="360" w:lineRule="auto"/>
        <w:ind w:firstLine="480" w:firstLineChars="200"/>
        <w:rPr>
          <w:rFonts w:hint="eastAsia" w:ascii="仿宋" w:hAnsi="仿宋" w:eastAsia="仿宋" w:cs="仿宋_GB2312"/>
          <w:sz w:val="24"/>
        </w:rPr>
      </w:pPr>
    </w:p>
    <w:p>
      <w:pPr>
        <w:spacing w:line="360" w:lineRule="auto"/>
        <w:jc w:val="left"/>
        <w:rPr>
          <w:rFonts w:hint="eastAsia" w:ascii="仿宋" w:hAnsi="仿宋" w:eastAsia="仿宋" w:cs="仿宋_GB2312"/>
          <w:b/>
          <w:sz w:val="32"/>
          <w:szCs w:val="32"/>
        </w:rPr>
      </w:pPr>
      <w:r>
        <w:rPr>
          <w:rFonts w:hint="eastAsia" w:ascii="仿宋" w:hAnsi="仿宋" w:eastAsia="仿宋" w:cs="仿宋_GB2312"/>
          <w:b/>
          <w:sz w:val="32"/>
          <w:szCs w:val="32"/>
        </w:rPr>
        <w:t>附：法定代表人授权书（如法定代表人直接参加投标并对相应文件签字的，只需提供其身份证复印件正反面；如以联合体形式参加政府采购活动的，按招标文件有关格式范例提供联合体投标授权书）</w:t>
      </w:r>
    </w:p>
    <w:p>
      <w:pPr>
        <w:widowControl/>
        <w:spacing w:line="360" w:lineRule="auto"/>
        <w:ind w:firstLine="643" w:firstLineChars="200"/>
        <w:jc w:val="left"/>
        <w:rPr>
          <w:rFonts w:hint="eastAsia" w:ascii="仿宋" w:hAnsi="仿宋" w:eastAsia="仿宋" w:cs="仿宋_GB2312"/>
          <w:b/>
          <w:bCs/>
          <w:sz w:val="32"/>
          <w:szCs w:val="32"/>
        </w:rPr>
      </w:pPr>
    </w:p>
    <w:p>
      <w:pPr>
        <w:snapToGrid w:val="0"/>
        <w:spacing w:line="360" w:lineRule="auto"/>
        <w:jc w:val="center"/>
        <w:rPr>
          <w:rFonts w:hint="eastAsia" w:ascii="仿宋" w:hAnsi="仿宋" w:eastAsia="仿宋" w:cs="仿宋_GB2312"/>
          <w:b/>
          <w:kern w:val="0"/>
          <w:sz w:val="36"/>
          <w:szCs w:val="36"/>
        </w:rPr>
      </w:pPr>
      <w:r>
        <w:rPr>
          <w:rFonts w:hint="eastAsia" w:ascii="仿宋" w:hAnsi="仿宋" w:eastAsia="仿宋" w:cs="仿宋_GB2312"/>
          <w:b/>
          <w:bCs/>
          <w:sz w:val="32"/>
          <w:szCs w:val="32"/>
        </w:rPr>
        <w:br w:type="page"/>
      </w:r>
      <w:r>
        <w:rPr>
          <w:rFonts w:hint="eastAsia" w:ascii="仿宋" w:hAnsi="仿宋" w:eastAsia="仿宋" w:cs="仿宋_GB2312"/>
          <w:sz w:val="36"/>
          <w:szCs w:val="36"/>
          <w:lang w:val="zh-CN"/>
        </w:rPr>
        <w:t>▲</w:t>
      </w:r>
      <w:r>
        <w:rPr>
          <w:rFonts w:hint="eastAsia" w:ascii="仿宋" w:hAnsi="仿宋" w:eastAsia="仿宋" w:cs="仿宋_GB2312"/>
          <w:b/>
          <w:kern w:val="0"/>
          <w:sz w:val="36"/>
          <w:szCs w:val="36"/>
        </w:rPr>
        <w:t>报价文件部分</w:t>
      </w:r>
    </w:p>
    <w:p>
      <w:pPr>
        <w:spacing w:line="360" w:lineRule="auto"/>
        <w:jc w:val="center"/>
        <w:outlineLvl w:val="0"/>
        <w:rPr>
          <w:rFonts w:hint="eastAsia" w:ascii="仿宋" w:hAnsi="仿宋" w:eastAsia="仿宋" w:cs="仿宋_GB2312"/>
          <w:b/>
          <w:kern w:val="0"/>
          <w:sz w:val="24"/>
        </w:r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（1）投标响应函……………………………………………………（页码）</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（2）投标（开标）一览表…………………………………………（页码）</w:t>
      </w:r>
    </w:p>
    <w:p>
      <w:pPr>
        <w:spacing w:line="360" w:lineRule="auto"/>
        <w:outlineLvl w:val="0"/>
        <w:rPr>
          <w:rFonts w:hint="eastAsia" w:ascii="仿宋" w:hAnsi="仿宋" w:eastAsia="仿宋" w:cs="仿宋_GB2312"/>
          <w:kern w:val="0"/>
          <w:sz w:val="24"/>
        </w:rPr>
      </w:pPr>
      <w:r>
        <w:rPr>
          <w:rFonts w:hint="eastAsia" w:ascii="仿宋" w:hAnsi="仿宋" w:eastAsia="仿宋" w:cs="仿宋_GB2312"/>
          <w:kern w:val="0"/>
          <w:sz w:val="24"/>
        </w:rPr>
        <w:t>（3）中小企业声明函………………………………………………（页码）</w:t>
      </w: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pacing w:line="360" w:lineRule="auto"/>
        <w:ind w:left="2" w:firstLine="480" w:firstLineChars="200"/>
        <w:rPr>
          <w:rFonts w:hint="eastAsia" w:ascii="仿宋" w:hAnsi="仿宋" w:eastAsia="仿宋" w:cs="仿宋_GB2312"/>
          <w:sz w:val="24"/>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kern w:val="0"/>
          <w:sz w:val="32"/>
          <w:szCs w:val="32"/>
        </w:rPr>
      </w:pPr>
    </w:p>
    <w:p>
      <w:pPr>
        <w:snapToGrid w:val="0"/>
        <w:spacing w:line="360" w:lineRule="auto"/>
        <w:jc w:val="center"/>
        <w:outlineLvl w:val="0"/>
        <w:rPr>
          <w:rFonts w:hint="eastAsia" w:ascii="仿宋" w:hAnsi="仿宋" w:eastAsia="仿宋" w:cs="仿宋_GB2312"/>
          <w:b/>
          <w:sz w:val="32"/>
          <w:szCs w:val="32"/>
        </w:rPr>
      </w:pPr>
      <w:r>
        <w:rPr>
          <w:rFonts w:hint="eastAsia" w:ascii="仿宋" w:hAnsi="仿宋" w:eastAsia="仿宋" w:cs="仿宋_GB2312"/>
          <w:b/>
          <w:kern w:val="0"/>
          <w:sz w:val="32"/>
          <w:szCs w:val="32"/>
        </w:rPr>
        <w:br w:type="page"/>
      </w:r>
      <w:r>
        <w:rPr>
          <w:rFonts w:hint="eastAsia" w:ascii="仿宋" w:hAnsi="仿宋" w:eastAsia="仿宋" w:cs="仿宋_GB2312"/>
          <w:b/>
          <w:kern w:val="0"/>
          <w:sz w:val="32"/>
          <w:szCs w:val="32"/>
        </w:rPr>
        <w:t>一、投标响应</w:t>
      </w:r>
      <w:r>
        <w:rPr>
          <w:rFonts w:hint="eastAsia" w:ascii="仿宋" w:hAnsi="仿宋" w:eastAsia="仿宋" w:cs="仿宋_GB2312"/>
          <w:b/>
          <w:sz w:val="32"/>
          <w:szCs w:val="32"/>
        </w:rPr>
        <w:t>函</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杭州市公安局西湖风景名胜区分局、浙江中诺招标代理有限公司：</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(投标人全称)授权</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(全权代表姓名)</w:t>
      </w:r>
      <w:r>
        <w:rPr>
          <w:rFonts w:hint="eastAsia" w:ascii="仿宋" w:hAnsi="仿宋" w:eastAsia="仿宋" w:cs="仿宋_GB2312"/>
          <w:kern w:val="0"/>
          <w:sz w:val="24"/>
          <w:u w:val="single"/>
          <w:lang w:val="zh-CN"/>
        </w:rPr>
        <w:t xml:space="preserve">              </w:t>
      </w:r>
      <w:r>
        <w:rPr>
          <w:rFonts w:hint="eastAsia" w:ascii="仿宋" w:hAnsi="仿宋" w:eastAsia="仿宋" w:cs="仿宋_GB2312"/>
          <w:sz w:val="24"/>
        </w:rPr>
        <w:t>(职务、职称)为全权代表，参加贵方组织的杭州市公安局西湖风景名胜区分局景区人员综合管控提升项目【招标编号：ZJZN-19216】招标的有关活动，并对此项目进行投标。为此：</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1、我方同意在投标人</w:t>
      </w:r>
      <w:r>
        <w:rPr>
          <w:rFonts w:hint="eastAsia" w:ascii="仿宋" w:hAnsi="仿宋" w:eastAsia="仿宋" w:cs="仿宋_GB2312"/>
          <w:kern w:val="44"/>
          <w:sz w:val="24"/>
        </w:rPr>
        <w:t>投标人须知</w:t>
      </w:r>
      <w:r>
        <w:rPr>
          <w:rFonts w:hint="eastAsia" w:ascii="仿宋" w:hAnsi="仿宋" w:eastAsia="仿宋" w:cs="仿宋_GB2312"/>
          <w:sz w:val="24"/>
        </w:rPr>
        <w:t>规定的开标日期起遵守本投标文件中的承诺且在投标有效期满之前均具有约束力。</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(1)具有独立承担民事责任的能力；</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(2)遵守国家法律、行政法规，具有良好的信誉和商业道德；</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(3)具有履行合同的能力和良好的履行合同记录；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(4)良好的资金、财务状况；</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(5)产品及生产所需装备符合中国政府规定的相应技术标准和环保标准；</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(6)没有违反政府采购法规、政策的记录；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(7)没有发生重大经济纠纷和走私犯罪记录。</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3、我方中标后拟在中标后将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pPr>
        <w:pStyle w:val="43"/>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4、提供</w:t>
      </w:r>
      <w:r>
        <w:rPr>
          <w:rFonts w:hint="eastAsia" w:ascii="仿宋" w:hAnsi="仿宋" w:eastAsia="仿宋" w:cs="仿宋_GB2312"/>
          <w:kern w:val="44"/>
          <w:sz w:val="24"/>
        </w:rPr>
        <w:t>投标人须知</w:t>
      </w:r>
      <w:r>
        <w:rPr>
          <w:rFonts w:hint="eastAsia" w:ascii="仿宋" w:hAnsi="仿宋" w:eastAsia="仿宋" w:cs="仿宋_GB2312"/>
          <w:sz w:val="24"/>
        </w:rPr>
        <w:t>规定的全部投标文件，包括</w:t>
      </w:r>
      <w:r>
        <w:rPr>
          <w:rFonts w:hint="eastAsia" w:ascii="仿宋" w:hAnsi="仿宋" w:eastAsia="仿宋" w:cs="仿宋_GB2312"/>
          <w:b/>
          <w:sz w:val="24"/>
          <w:szCs w:val="24"/>
        </w:rPr>
        <w:t>资格文件正本1份，副本</w:t>
      </w:r>
      <w:r>
        <w:rPr>
          <w:rFonts w:hint="eastAsia" w:ascii="仿宋" w:hAnsi="仿宋" w:eastAsia="仿宋" w:cs="仿宋_GB2312"/>
          <w:kern w:val="0"/>
          <w:sz w:val="24"/>
          <w:u w:val="single"/>
          <w:lang w:val="zh-CN"/>
        </w:rPr>
        <w:t xml:space="preserve">     </w:t>
      </w:r>
      <w:r>
        <w:rPr>
          <w:rFonts w:hint="eastAsia" w:ascii="仿宋" w:hAnsi="仿宋" w:eastAsia="仿宋" w:cs="仿宋_GB2312"/>
          <w:b/>
          <w:sz w:val="24"/>
          <w:szCs w:val="24"/>
        </w:rPr>
        <w:t>份；报价文件正本1份，副本</w:t>
      </w:r>
      <w:r>
        <w:rPr>
          <w:rFonts w:hint="eastAsia" w:ascii="仿宋" w:hAnsi="仿宋" w:eastAsia="仿宋" w:cs="仿宋_GB2312"/>
          <w:kern w:val="0"/>
          <w:sz w:val="24"/>
          <w:u w:val="single"/>
          <w:lang w:val="zh-CN"/>
        </w:rPr>
        <w:t xml:space="preserve">     </w:t>
      </w:r>
      <w:r>
        <w:rPr>
          <w:rFonts w:hint="eastAsia" w:ascii="仿宋" w:hAnsi="仿宋" w:eastAsia="仿宋" w:cs="仿宋_GB2312"/>
          <w:b/>
          <w:sz w:val="24"/>
          <w:szCs w:val="24"/>
        </w:rPr>
        <w:t>份；商务技术文件正本1份，副本</w:t>
      </w:r>
      <w:r>
        <w:rPr>
          <w:rFonts w:hint="eastAsia" w:ascii="仿宋" w:hAnsi="仿宋" w:eastAsia="仿宋" w:cs="仿宋_GB2312"/>
          <w:kern w:val="0"/>
          <w:sz w:val="24"/>
          <w:u w:val="single"/>
          <w:lang w:val="zh-CN"/>
        </w:rPr>
        <w:t xml:space="preserve">     </w:t>
      </w:r>
      <w:r>
        <w:rPr>
          <w:rFonts w:hint="eastAsia" w:ascii="仿宋" w:hAnsi="仿宋" w:eastAsia="仿宋" w:cs="仿宋_GB2312"/>
          <w:b/>
          <w:sz w:val="24"/>
          <w:szCs w:val="24"/>
        </w:rPr>
        <w:t>份</w:t>
      </w:r>
      <w:r>
        <w:rPr>
          <w:rFonts w:hint="eastAsia" w:ascii="仿宋" w:hAnsi="仿宋" w:eastAsia="仿宋" w:cs="仿宋_GB2312"/>
          <w:kern w:val="44"/>
          <w:sz w:val="24"/>
        </w:rPr>
        <w:t>（见投标须知前附表所述）。</w:t>
      </w:r>
      <w:r>
        <w:rPr>
          <w:rFonts w:hint="eastAsia" w:ascii="仿宋" w:hAnsi="仿宋" w:eastAsia="仿宋" w:cs="仿宋_GB2312"/>
          <w:sz w:val="24"/>
        </w:rPr>
        <w:t>具体内容为：</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(1)投标(开标)一览表；</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(2)投标</w:t>
      </w:r>
      <w:r>
        <w:rPr>
          <w:rFonts w:hint="eastAsia" w:ascii="仿宋" w:hAnsi="仿宋" w:eastAsia="仿宋" w:cs="仿宋_GB2312"/>
          <w:kern w:val="0"/>
          <w:sz w:val="24"/>
          <w:lang w:val="zh-CN"/>
        </w:rPr>
        <w:t>技术文件和</w:t>
      </w:r>
      <w:r>
        <w:rPr>
          <w:rFonts w:hint="eastAsia" w:ascii="仿宋" w:hAnsi="仿宋" w:eastAsia="仿宋" w:cs="仿宋_GB2312"/>
          <w:sz w:val="24"/>
          <w:lang w:val="zh-CN"/>
        </w:rPr>
        <w:t>商务文件</w:t>
      </w:r>
      <w:r>
        <w:rPr>
          <w:rFonts w:hint="eastAsia" w:ascii="仿宋" w:hAnsi="仿宋" w:eastAsia="仿宋" w:cs="仿宋_GB2312"/>
          <w:sz w:val="24"/>
        </w:rPr>
        <w:t>；</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kern w:val="44"/>
          <w:sz w:val="24"/>
        </w:rPr>
        <w:t>投标人须知</w:t>
      </w:r>
      <w:r>
        <w:rPr>
          <w:rFonts w:hint="eastAsia" w:ascii="仿宋" w:hAnsi="仿宋" w:eastAsia="仿宋" w:cs="仿宋_GB2312"/>
          <w:sz w:val="24"/>
        </w:rPr>
        <w:t>要求投标人提交的全部文件；</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(4)按招标文件要求提供和交付的货物和服务的投标报价详见投标(开标)一览表；</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(5)保证忠实地执行双方所签订的合同，并承担合同规定的责任和义务；</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(6)保证遵守招标文件中的其他有关规定。</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5、我方承诺投标有效期从提交投标文件的截止之日起</w:t>
      </w:r>
      <w:r>
        <w:rPr>
          <w:rFonts w:hint="eastAsia" w:ascii="仿宋" w:hAnsi="仿宋" w:eastAsia="仿宋" w:cs="仿宋_GB2312"/>
          <w:sz w:val="24"/>
          <w:u w:val="single"/>
        </w:rPr>
        <w:t xml:space="preserve">     </w:t>
      </w:r>
      <w:r>
        <w:rPr>
          <w:rFonts w:hint="eastAsia" w:ascii="仿宋" w:hAnsi="仿宋" w:eastAsia="仿宋" w:cs="仿宋_GB2312"/>
          <w:sz w:val="24"/>
        </w:rPr>
        <w:t>天，不少于招标文件中载明的投标有效期（从提交投标文件的截止之日起90天）。</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6、我方完全理解贵方不一定要接受最低价的投标。</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8、我方已详细审核全部招标文件，包括招标文件修改书(如果有)、参考资料及有关附件，确认无误。</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a)提供虚假材料谋取中标、成交的；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b)采取不正当手段诋毁、排挤其他供应商的；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c)与采购人、其它供应商或者采购代理机构恶意串通的；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d)向采购人、采购代理机构行贿或者提供其他不正当利益的；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e)在招标采购过程中与采购人进行协商谈判的；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f)拒绝有关部门监督检查或提供虚假情况的。</w:t>
      </w:r>
    </w:p>
    <w:p>
      <w:pPr>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供应商有前款第a)至e)项情形之一的，中标、成交无效。</w:t>
      </w:r>
    </w:p>
    <w:p>
      <w:pPr>
        <w:spacing w:line="360" w:lineRule="auto"/>
        <w:ind w:firstLine="3600" w:firstLineChars="1500"/>
        <w:rPr>
          <w:rFonts w:hint="eastAsia" w:ascii="仿宋" w:hAnsi="仿宋" w:eastAsia="仿宋" w:cs="仿宋_GB2312"/>
          <w:sz w:val="24"/>
        </w:rPr>
      </w:pPr>
      <w:r>
        <w:rPr>
          <w:rFonts w:hint="eastAsia" w:ascii="仿宋" w:hAnsi="仿宋" w:eastAsia="仿宋" w:cs="仿宋_GB2312"/>
          <w:sz w:val="24"/>
        </w:rPr>
        <w:t>投标人名称（公章）：</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                          法定代表人或其授权代表（签字或盖章）：</w:t>
      </w:r>
    </w:p>
    <w:p>
      <w:pPr>
        <w:spacing w:line="360" w:lineRule="auto"/>
        <w:jc w:val="center"/>
        <w:rPr>
          <w:rFonts w:hint="eastAsia" w:ascii="仿宋" w:hAnsi="仿宋" w:eastAsia="仿宋" w:cs="仿宋_GB2312"/>
          <w:sz w:val="24"/>
        </w:rPr>
      </w:pPr>
      <w:r>
        <w:rPr>
          <w:rFonts w:hint="eastAsia" w:ascii="仿宋" w:hAnsi="仿宋" w:eastAsia="仿宋" w:cs="仿宋_GB2312"/>
          <w:sz w:val="24"/>
        </w:rPr>
        <w:t xml:space="preserve">     日期：  年   月   日</w:t>
      </w:r>
    </w:p>
    <w:p>
      <w:pPr>
        <w:snapToGrid w:val="0"/>
        <w:spacing w:line="360" w:lineRule="auto"/>
        <w:ind w:left="420" w:leftChars="200" w:firstLine="4200" w:firstLineChars="1750"/>
        <w:rPr>
          <w:rFonts w:hint="eastAsia" w:ascii="仿宋" w:hAnsi="仿宋" w:eastAsia="仿宋" w:cs="仿宋_GB2312"/>
          <w:kern w:val="0"/>
          <w:sz w:val="24"/>
          <w:u w:val="single"/>
          <w:lang w:val="zh-CN"/>
        </w:rPr>
      </w:pP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联系电话： </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p>
    <w:p>
      <w:pPr>
        <w:snapToGrid w:val="0"/>
        <w:spacing w:line="360" w:lineRule="auto"/>
        <w:ind w:left="420" w:leftChars="200"/>
        <w:rPr>
          <w:rFonts w:hint="eastAsia" w:ascii="仿宋" w:hAnsi="仿宋" w:eastAsia="仿宋" w:cs="仿宋_GB2312"/>
          <w:kern w:val="0"/>
          <w:sz w:val="24"/>
        </w:rPr>
      </w:pP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p>
    <w:p>
      <w:pPr>
        <w:snapToGrid w:val="0"/>
        <w:spacing w:line="360" w:lineRule="auto"/>
        <w:rPr>
          <w:rFonts w:hint="eastAsia" w:ascii="仿宋" w:hAnsi="仿宋" w:eastAsia="仿宋" w:cs="仿宋_GB2312"/>
          <w:sz w:val="24"/>
        </w:rPr>
      </w:pPr>
      <w:r>
        <w:rPr>
          <w:rFonts w:hint="eastAsia" w:ascii="仿宋" w:hAnsi="仿宋" w:eastAsia="仿宋" w:cs="仿宋_GB2312"/>
          <w:b/>
          <w:kern w:val="0"/>
          <w:sz w:val="24"/>
          <w:lang w:val="zh-CN"/>
        </w:rPr>
        <w:t>注：未按照本投标响应函要求填报的将被视为非实质性响应投标，从而可能导致该投标被拒绝。</w:t>
      </w:r>
    </w:p>
    <w:p>
      <w:pPr>
        <w:pStyle w:val="499"/>
        <w:keepNext w:val="0"/>
        <w:pageBreakBefore w:val="0"/>
        <w:tabs>
          <w:tab w:val="clear" w:pos="720"/>
        </w:tabs>
        <w:snapToGrid w:val="0"/>
        <w:ind w:firstLine="640"/>
        <w:outlineLvl w:val="9"/>
        <w:rPr>
          <w:rFonts w:hint="eastAsia" w:ascii="仿宋" w:hAnsi="仿宋" w:eastAsia="仿宋" w:cs="仿宋_GB2312"/>
          <w:kern w:val="2"/>
          <w:sz w:val="32"/>
          <w:szCs w:val="32"/>
        </w:rPr>
        <w:sectPr>
          <w:footerReference r:id="rId14" w:type="first"/>
          <w:footerReference r:id="rId12" w:type="default"/>
          <w:headerReference r:id="rId11" w:type="even"/>
          <w:footerReference r:id="rId13" w:type="even"/>
          <w:pgSz w:w="11906" w:h="16838"/>
          <w:pgMar w:top="1247" w:right="1418" w:bottom="1276" w:left="1418" w:header="851" w:footer="992" w:gutter="0"/>
          <w:cols w:space="720" w:num="1"/>
          <w:titlePg/>
          <w:docGrid w:linePitch="312" w:charSpace="0"/>
        </w:sectPr>
      </w:pPr>
    </w:p>
    <w:p>
      <w:pPr>
        <w:pStyle w:val="499"/>
        <w:keepNext w:val="0"/>
        <w:pageBreakBefore w:val="0"/>
        <w:tabs>
          <w:tab w:val="clear" w:pos="720"/>
        </w:tabs>
        <w:snapToGrid w:val="0"/>
        <w:ind w:firstLine="6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二、投标(开标)一览表</w:t>
      </w:r>
    </w:p>
    <w:p>
      <w:pPr>
        <w:snapToGrid w:val="0"/>
        <w:spacing w:line="360" w:lineRule="auto"/>
        <w:rPr>
          <w:rFonts w:hint="eastAsia" w:ascii="仿宋" w:hAnsi="仿宋" w:eastAsia="仿宋" w:cs="仿宋_GB2312"/>
          <w:kern w:val="0"/>
          <w:sz w:val="24"/>
        </w:rPr>
      </w:pPr>
      <w:bookmarkStart w:id="498" w:name="_Toc86217005"/>
      <w:r>
        <w:rPr>
          <w:rFonts w:hint="eastAsia" w:ascii="仿宋" w:hAnsi="仿宋" w:eastAsia="仿宋" w:cs="仿宋_GB2312"/>
          <w:sz w:val="24"/>
        </w:rPr>
        <w:t>杭州市公安局西湖风景名胜区分局、浙江中诺招标代理有限公司</w:t>
      </w:r>
      <w:r>
        <w:rPr>
          <w:rFonts w:hint="eastAsia" w:ascii="仿宋" w:hAnsi="仿宋" w:eastAsia="仿宋" w:cs="仿宋_GB2312"/>
          <w:kern w:val="0"/>
          <w:sz w:val="24"/>
          <w:lang w:val="zh-CN"/>
        </w:rPr>
        <w:t>：</w:t>
      </w:r>
    </w:p>
    <w:p>
      <w:pPr>
        <w:snapToGrid w:val="0"/>
        <w:spacing w:line="360" w:lineRule="auto"/>
        <w:ind w:firstLine="482"/>
        <w:rPr>
          <w:rFonts w:hint="eastAsia"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杭州市公安局西湖风景名胜区分局景区人员综合管控提升项目</w:t>
      </w:r>
      <w:r>
        <w:rPr>
          <w:rFonts w:hint="eastAsia" w:ascii="仿宋" w:hAnsi="仿宋" w:eastAsia="仿宋" w:cs="仿宋_GB2312"/>
          <w:kern w:val="0"/>
          <w:sz w:val="24"/>
          <w:lang w:val="zh-CN"/>
        </w:rPr>
        <w:t>【招标文件编号：</w:t>
      </w:r>
      <w:r>
        <w:rPr>
          <w:rFonts w:hint="eastAsia" w:ascii="仿宋" w:hAnsi="仿宋" w:eastAsia="仿宋" w:cs="仿宋_GB2312"/>
          <w:sz w:val="24"/>
        </w:rPr>
        <w:t>ZJZN-19216】的实施</w:t>
      </w:r>
      <w:r>
        <w:rPr>
          <w:rFonts w:hint="eastAsia" w:ascii="仿宋" w:hAnsi="仿宋" w:eastAsia="仿宋" w:cs="仿宋_GB2312"/>
          <w:kern w:val="0"/>
          <w:sz w:val="24"/>
          <w:lang w:val="zh-CN"/>
        </w:rPr>
        <w:t>。</w:t>
      </w:r>
    </w:p>
    <w:p>
      <w:pPr>
        <w:spacing w:line="360" w:lineRule="auto"/>
        <w:jc w:val="center"/>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投标(开标)一览表(单位均为人民币元)</w:t>
      </w:r>
    </w:p>
    <w:tbl>
      <w:tblPr>
        <w:tblStyle w:val="85"/>
        <w:tblW w:w="0" w:type="auto"/>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417"/>
        <w:gridCol w:w="1843"/>
        <w:gridCol w:w="567"/>
        <w:gridCol w:w="2771"/>
        <w:gridCol w:w="1843"/>
        <w:gridCol w:w="85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9" w:hRule="atLeast"/>
        </w:trPr>
        <w:tc>
          <w:tcPr>
            <w:tcW w:w="392"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eastAsia="仿宋_GB2312"/>
                <w:b/>
                <w:sz w:val="24"/>
              </w:rPr>
              <w:t>序号</w:t>
            </w:r>
          </w:p>
        </w:tc>
        <w:tc>
          <w:tcPr>
            <w:tcW w:w="709"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eastAsia="仿宋_GB2312"/>
                <w:b/>
                <w:sz w:val="24"/>
              </w:rPr>
              <w:t>名称</w:t>
            </w:r>
          </w:p>
        </w:tc>
        <w:tc>
          <w:tcPr>
            <w:tcW w:w="1417" w:type="dxa"/>
            <w:noWrap w:val="0"/>
            <w:vAlign w:val="center"/>
          </w:tcPr>
          <w:p>
            <w:pPr>
              <w:spacing w:line="360" w:lineRule="auto"/>
              <w:jc w:val="center"/>
              <w:rPr>
                <w:rFonts w:hint="eastAsia" w:ascii="仿宋_GB2312" w:eastAsia="仿宋_GB2312"/>
                <w:b/>
                <w:sz w:val="24"/>
              </w:rPr>
            </w:pPr>
            <w:r>
              <w:rPr>
                <w:rFonts w:hint="eastAsia" w:ascii="仿宋_GB2312" w:eastAsia="仿宋_GB2312"/>
                <w:b/>
                <w:sz w:val="24"/>
              </w:rPr>
              <w:t>品牌</w:t>
            </w:r>
          </w:p>
          <w:p>
            <w:pPr>
              <w:spacing w:line="360" w:lineRule="auto"/>
              <w:jc w:val="center"/>
              <w:rPr>
                <w:rFonts w:hint="eastAsia" w:ascii="仿宋_GB2312" w:hAnsi="仿宋_GB2312" w:eastAsia="仿宋_GB2312" w:cs="仿宋_GB2312"/>
                <w:b/>
                <w:sz w:val="24"/>
              </w:rPr>
            </w:pPr>
            <w:r>
              <w:rPr>
                <w:rFonts w:hint="eastAsia" w:ascii="仿宋_GB2312" w:eastAsia="仿宋_GB2312"/>
                <w:b/>
                <w:sz w:val="24"/>
              </w:rPr>
              <w:t>（如果有）</w:t>
            </w:r>
          </w:p>
        </w:tc>
        <w:tc>
          <w:tcPr>
            <w:tcW w:w="1843" w:type="dxa"/>
            <w:noWrap w:val="0"/>
            <w:vAlign w:val="center"/>
          </w:tcPr>
          <w:p>
            <w:pPr>
              <w:spacing w:line="360" w:lineRule="auto"/>
              <w:jc w:val="center"/>
              <w:rPr>
                <w:rFonts w:hint="eastAsia" w:ascii="仿宋_GB2312" w:eastAsia="仿宋_GB2312"/>
                <w:b/>
                <w:sz w:val="24"/>
              </w:rPr>
            </w:pPr>
            <w:r>
              <w:rPr>
                <w:rFonts w:hint="eastAsia" w:ascii="仿宋_GB2312" w:eastAsia="仿宋_GB2312"/>
                <w:b/>
                <w:sz w:val="24"/>
              </w:rPr>
              <w:t>规格型号</w:t>
            </w:r>
          </w:p>
          <w:p>
            <w:pPr>
              <w:spacing w:line="360" w:lineRule="auto"/>
              <w:jc w:val="center"/>
              <w:rPr>
                <w:rFonts w:hint="eastAsia" w:ascii="仿宋_GB2312" w:hAnsi="仿宋_GB2312" w:eastAsia="仿宋_GB2312" w:cs="仿宋_GB2312"/>
                <w:b/>
                <w:sz w:val="24"/>
              </w:rPr>
            </w:pPr>
            <w:r>
              <w:rPr>
                <w:rFonts w:hint="eastAsia" w:ascii="仿宋_GB2312" w:eastAsia="仿宋_GB2312"/>
                <w:b/>
                <w:sz w:val="24"/>
              </w:rPr>
              <w:t>（或具体服务）</w:t>
            </w:r>
          </w:p>
        </w:tc>
        <w:tc>
          <w:tcPr>
            <w:tcW w:w="567"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eastAsia="仿宋_GB2312"/>
                <w:b/>
                <w:sz w:val="24"/>
              </w:rPr>
              <w:t>数量</w:t>
            </w:r>
          </w:p>
        </w:tc>
        <w:tc>
          <w:tcPr>
            <w:tcW w:w="2771"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eastAsia="仿宋_GB2312"/>
                <w:b/>
                <w:sz w:val="24"/>
              </w:rPr>
              <w:t>单价</w:t>
            </w:r>
          </w:p>
        </w:tc>
        <w:tc>
          <w:tcPr>
            <w:tcW w:w="1843"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eastAsia="仿宋_GB2312"/>
                <w:b/>
                <w:sz w:val="24"/>
              </w:rPr>
              <w:t>总价</w:t>
            </w:r>
          </w:p>
        </w:tc>
        <w:tc>
          <w:tcPr>
            <w:tcW w:w="850" w:type="dxa"/>
            <w:noWrap w:val="0"/>
            <w:vAlign w:val="center"/>
          </w:tcPr>
          <w:p>
            <w:pPr>
              <w:spacing w:line="360" w:lineRule="auto"/>
              <w:jc w:val="center"/>
              <w:rPr>
                <w:rFonts w:hint="eastAsia" w:ascii="仿宋_GB2312" w:hAnsi="仿宋_GB2312" w:eastAsia="仿宋_GB2312" w:cs="仿宋_GB2312"/>
                <w:b/>
                <w:sz w:val="24"/>
              </w:rPr>
            </w:pPr>
            <w:r>
              <w:rPr>
                <w:rFonts w:hint="eastAsia" w:ascii="仿宋_GB2312" w:eastAsia="仿宋_GB2312"/>
                <w:b/>
                <w:sz w:val="24"/>
              </w:rPr>
              <w:t>服务要求（年限）</w:t>
            </w:r>
          </w:p>
        </w:tc>
        <w:tc>
          <w:tcPr>
            <w:tcW w:w="2410" w:type="dxa"/>
            <w:noWrap w:val="0"/>
            <w:vAlign w:val="top"/>
          </w:tcPr>
          <w:p>
            <w:pPr>
              <w:spacing w:line="360" w:lineRule="auto"/>
              <w:jc w:val="center"/>
              <w:rPr>
                <w:rFonts w:hint="eastAsia" w:ascii="仿宋_GB2312" w:eastAsia="仿宋_GB2312"/>
                <w:b/>
                <w:sz w:val="24"/>
              </w:rPr>
            </w:pPr>
            <w:r>
              <w:rPr>
                <w:rFonts w:hint="eastAsia" w:ascii="仿宋_GB2312" w:eastAsia="仿宋_GB2312"/>
                <w:b/>
                <w:sz w:val="24"/>
              </w:rPr>
              <w:t>货物的制造商或服务的提供商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1" w:hRule="atLeast"/>
        </w:trPr>
        <w:tc>
          <w:tcPr>
            <w:tcW w:w="392"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709" w:type="dxa"/>
            <w:noWrap w:val="0"/>
            <w:vAlign w:val="center"/>
          </w:tcPr>
          <w:p>
            <w:pPr>
              <w:snapToGrid w:val="0"/>
              <w:spacing w:line="360" w:lineRule="auto"/>
              <w:jc w:val="center"/>
              <w:rPr>
                <w:rFonts w:hint="eastAsia" w:ascii="仿宋_GB2312" w:hAnsi="仿宋_GB2312" w:eastAsia="仿宋_GB2312" w:cs="仿宋_GB2312"/>
                <w:sz w:val="24"/>
              </w:rPr>
            </w:pPr>
          </w:p>
        </w:tc>
        <w:tc>
          <w:tcPr>
            <w:tcW w:w="1417" w:type="dxa"/>
            <w:noWrap w:val="0"/>
            <w:vAlign w:val="center"/>
          </w:tcPr>
          <w:p>
            <w:pPr>
              <w:snapToGrid w:val="0"/>
              <w:spacing w:line="360" w:lineRule="auto"/>
              <w:jc w:val="center"/>
              <w:rPr>
                <w:rFonts w:hint="eastAsia" w:ascii="仿宋_GB2312" w:hAnsi="仿宋_GB2312" w:eastAsia="仿宋_GB2312" w:cs="仿宋_GB2312"/>
                <w:sz w:val="24"/>
              </w:rPr>
            </w:pPr>
          </w:p>
        </w:tc>
        <w:tc>
          <w:tcPr>
            <w:tcW w:w="1843" w:type="dxa"/>
            <w:noWrap w:val="0"/>
            <w:vAlign w:val="center"/>
          </w:tcPr>
          <w:p>
            <w:pPr>
              <w:snapToGrid w:val="0"/>
              <w:spacing w:line="360" w:lineRule="auto"/>
              <w:jc w:val="center"/>
              <w:rPr>
                <w:rFonts w:hint="eastAsia" w:ascii="仿宋_GB2312" w:hAnsi="仿宋_GB2312" w:eastAsia="仿宋_GB2312" w:cs="仿宋_GB2312"/>
                <w:sz w:val="24"/>
              </w:rPr>
            </w:pPr>
          </w:p>
        </w:tc>
        <w:tc>
          <w:tcPr>
            <w:tcW w:w="567" w:type="dxa"/>
            <w:noWrap w:val="0"/>
            <w:vAlign w:val="center"/>
          </w:tcPr>
          <w:p>
            <w:pPr>
              <w:snapToGrid w:val="0"/>
              <w:spacing w:line="360" w:lineRule="auto"/>
              <w:jc w:val="center"/>
              <w:rPr>
                <w:rFonts w:hint="eastAsia" w:ascii="仿宋_GB2312" w:hAnsi="仿宋_GB2312" w:eastAsia="仿宋_GB2312" w:cs="仿宋_GB2312"/>
                <w:sz w:val="24"/>
              </w:rPr>
            </w:pPr>
          </w:p>
        </w:tc>
        <w:tc>
          <w:tcPr>
            <w:tcW w:w="2771" w:type="dxa"/>
            <w:noWrap w:val="0"/>
            <w:vAlign w:val="center"/>
          </w:tcPr>
          <w:p>
            <w:pPr>
              <w:spacing w:line="360" w:lineRule="auto"/>
              <w:jc w:val="center"/>
              <w:rPr>
                <w:rFonts w:hint="eastAsia" w:ascii="仿宋_GB2312" w:hAnsi="仿宋_GB2312" w:eastAsia="仿宋_GB2312" w:cs="仿宋_GB2312"/>
                <w:sz w:val="24"/>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850" w:type="dxa"/>
            <w:noWrap w:val="0"/>
            <w:vAlign w:val="center"/>
          </w:tcPr>
          <w:p>
            <w:pPr>
              <w:spacing w:line="360" w:lineRule="auto"/>
              <w:jc w:val="center"/>
              <w:rPr>
                <w:rFonts w:hint="eastAsia" w:ascii="仿宋_GB2312" w:hAnsi="仿宋_GB2312" w:eastAsia="仿宋_GB2312" w:cs="仿宋_GB2312"/>
                <w:sz w:val="24"/>
              </w:rPr>
            </w:pPr>
          </w:p>
        </w:tc>
        <w:tc>
          <w:tcPr>
            <w:tcW w:w="2410" w:type="dxa"/>
            <w:noWrap w:val="0"/>
            <w:vAlign w:val="top"/>
          </w:tcPr>
          <w:p>
            <w:pPr>
              <w:spacing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392"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709" w:type="dxa"/>
            <w:noWrap w:val="0"/>
            <w:vAlign w:val="center"/>
          </w:tcPr>
          <w:p>
            <w:pPr>
              <w:snapToGrid w:val="0"/>
              <w:spacing w:line="360" w:lineRule="auto"/>
              <w:jc w:val="center"/>
              <w:rPr>
                <w:rFonts w:hint="eastAsia" w:ascii="仿宋_GB2312" w:hAnsi="仿宋_GB2312" w:eastAsia="仿宋_GB2312" w:cs="仿宋_GB2312"/>
                <w:sz w:val="24"/>
              </w:rPr>
            </w:pPr>
          </w:p>
        </w:tc>
        <w:tc>
          <w:tcPr>
            <w:tcW w:w="1417" w:type="dxa"/>
            <w:noWrap w:val="0"/>
            <w:vAlign w:val="center"/>
          </w:tcPr>
          <w:p>
            <w:pPr>
              <w:snapToGrid w:val="0"/>
              <w:spacing w:line="360" w:lineRule="auto"/>
              <w:jc w:val="center"/>
              <w:rPr>
                <w:rFonts w:hint="eastAsia" w:ascii="仿宋_GB2312" w:hAnsi="仿宋_GB2312" w:eastAsia="仿宋_GB2312" w:cs="仿宋_GB2312"/>
                <w:sz w:val="24"/>
              </w:rPr>
            </w:pPr>
          </w:p>
        </w:tc>
        <w:tc>
          <w:tcPr>
            <w:tcW w:w="1843" w:type="dxa"/>
            <w:noWrap w:val="0"/>
            <w:vAlign w:val="center"/>
          </w:tcPr>
          <w:p>
            <w:pPr>
              <w:snapToGrid w:val="0"/>
              <w:spacing w:line="360" w:lineRule="auto"/>
              <w:jc w:val="center"/>
              <w:rPr>
                <w:rFonts w:hint="eastAsia" w:ascii="仿宋_GB2312" w:hAnsi="仿宋_GB2312" w:eastAsia="仿宋_GB2312" w:cs="仿宋_GB2312"/>
                <w:sz w:val="24"/>
              </w:rPr>
            </w:pPr>
          </w:p>
        </w:tc>
        <w:tc>
          <w:tcPr>
            <w:tcW w:w="567" w:type="dxa"/>
            <w:noWrap w:val="0"/>
            <w:vAlign w:val="center"/>
          </w:tcPr>
          <w:p>
            <w:pPr>
              <w:snapToGrid w:val="0"/>
              <w:spacing w:line="360" w:lineRule="auto"/>
              <w:jc w:val="center"/>
              <w:rPr>
                <w:rFonts w:hint="eastAsia" w:ascii="仿宋_GB2312" w:hAnsi="仿宋_GB2312" w:eastAsia="仿宋_GB2312" w:cs="仿宋_GB2312"/>
                <w:sz w:val="24"/>
              </w:rPr>
            </w:pPr>
          </w:p>
        </w:tc>
        <w:tc>
          <w:tcPr>
            <w:tcW w:w="2771" w:type="dxa"/>
            <w:noWrap w:val="0"/>
            <w:vAlign w:val="center"/>
          </w:tcPr>
          <w:p>
            <w:pPr>
              <w:spacing w:line="360" w:lineRule="auto"/>
              <w:jc w:val="center"/>
              <w:rPr>
                <w:rFonts w:hint="eastAsia" w:ascii="仿宋_GB2312" w:hAnsi="仿宋_GB2312" w:eastAsia="仿宋_GB2312" w:cs="仿宋_GB2312"/>
                <w:sz w:val="24"/>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850" w:type="dxa"/>
            <w:noWrap w:val="0"/>
            <w:vAlign w:val="center"/>
          </w:tcPr>
          <w:p>
            <w:pPr>
              <w:spacing w:line="360" w:lineRule="auto"/>
              <w:jc w:val="center"/>
              <w:rPr>
                <w:rFonts w:hint="eastAsia" w:ascii="仿宋_GB2312" w:hAnsi="仿宋_GB2312" w:eastAsia="仿宋_GB2312" w:cs="仿宋_GB2312"/>
                <w:sz w:val="24"/>
              </w:rPr>
            </w:pPr>
          </w:p>
        </w:tc>
        <w:tc>
          <w:tcPr>
            <w:tcW w:w="2410" w:type="dxa"/>
            <w:noWrap w:val="0"/>
            <w:vAlign w:val="top"/>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392"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709" w:type="dxa"/>
            <w:noWrap w:val="0"/>
            <w:vAlign w:val="center"/>
          </w:tcPr>
          <w:p>
            <w:pPr>
              <w:snapToGrid w:val="0"/>
              <w:spacing w:line="360" w:lineRule="auto"/>
              <w:jc w:val="center"/>
              <w:rPr>
                <w:rFonts w:hint="eastAsia" w:ascii="仿宋_GB2312" w:hAnsi="仿宋_GB2312" w:eastAsia="仿宋_GB2312" w:cs="仿宋_GB2312"/>
                <w:sz w:val="24"/>
              </w:rPr>
            </w:pPr>
          </w:p>
        </w:tc>
        <w:tc>
          <w:tcPr>
            <w:tcW w:w="1417" w:type="dxa"/>
            <w:noWrap w:val="0"/>
            <w:vAlign w:val="center"/>
          </w:tcPr>
          <w:p>
            <w:pPr>
              <w:snapToGrid w:val="0"/>
              <w:spacing w:line="360" w:lineRule="auto"/>
              <w:jc w:val="center"/>
              <w:rPr>
                <w:rFonts w:hint="eastAsia" w:ascii="仿宋_GB2312" w:hAnsi="仿宋_GB2312" w:eastAsia="仿宋_GB2312" w:cs="仿宋_GB2312"/>
                <w:sz w:val="24"/>
              </w:rPr>
            </w:pPr>
          </w:p>
        </w:tc>
        <w:tc>
          <w:tcPr>
            <w:tcW w:w="1843" w:type="dxa"/>
            <w:noWrap w:val="0"/>
            <w:vAlign w:val="center"/>
          </w:tcPr>
          <w:p>
            <w:pPr>
              <w:snapToGrid w:val="0"/>
              <w:spacing w:line="360" w:lineRule="auto"/>
              <w:jc w:val="center"/>
              <w:rPr>
                <w:rFonts w:hint="eastAsia" w:ascii="仿宋_GB2312" w:hAnsi="仿宋_GB2312" w:eastAsia="仿宋_GB2312" w:cs="仿宋_GB2312"/>
                <w:sz w:val="24"/>
              </w:rPr>
            </w:pPr>
          </w:p>
        </w:tc>
        <w:tc>
          <w:tcPr>
            <w:tcW w:w="567" w:type="dxa"/>
            <w:noWrap w:val="0"/>
            <w:vAlign w:val="center"/>
          </w:tcPr>
          <w:p>
            <w:pPr>
              <w:snapToGrid w:val="0"/>
              <w:spacing w:line="360" w:lineRule="auto"/>
              <w:jc w:val="center"/>
              <w:rPr>
                <w:rFonts w:hint="eastAsia" w:ascii="仿宋_GB2312" w:hAnsi="仿宋_GB2312" w:eastAsia="仿宋_GB2312" w:cs="仿宋_GB2312"/>
                <w:sz w:val="24"/>
              </w:rPr>
            </w:pPr>
          </w:p>
        </w:tc>
        <w:tc>
          <w:tcPr>
            <w:tcW w:w="2771" w:type="dxa"/>
            <w:noWrap w:val="0"/>
            <w:vAlign w:val="center"/>
          </w:tcPr>
          <w:p>
            <w:pPr>
              <w:spacing w:line="360" w:lineRule="auto"/>
              <w:jc w:val="center"/>
              <w:rPr>
                <w:rFonts w:hint="eastAsia" w:ascii="仿宋_GB2312" w:hAnsi="仿宋_GB2312" w:eastAsia="仿宋_GB2312" w:cs="仿宋_GB2312"/>
                <w:sz w:val="24"/>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850" w:type="dxa"/>
            <w:noWrap w:val="0"/>
            <w:vAlign w:val="center"/>
          </w:tcPr>
          <w:p>
            <w:pPr>
              <w:spacing w:line="360" w:lineRule="auto"/>
              <w:jc w:val="center"/>
              <w:rPr>
                <w:rFonts w:hint="eastAsia" w:ascii="仿宋_GB2312" w:hAnsi="仿宋_GB2312" w:eastAsia="仿宋_GB2312" w:cs="仿宋_GB2312"/>
                <w:sz w:val="24"/>
              </w:rPr>
            </w:pPr>
          </w:p>
        </w:tc>
        <w:tc>
          <w:tcPr>
            <w:tcW w:w="2410" w:type="dxa"/>
            <w:noWrap w:val="0"/>
            <w:vAlign w:val="top"/>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392"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709" w:type="dxa"/>
            <w:noWrap w:val="0"/>
            <w:vAlign w:val="center"/>
          </w:tcPr>
          <w:p>
            <w:pPr>
              <w:snapToGrid w:val="0"/>
              <w:spacing w:line="360" w:lineRule="auto"/>
              <w:jc w:val="center"/>
              <w:rPr>
                <w:rFonts w:hint="eastAsia" w:ascii="仿宋_GB2312" w:hAnsi="仿宋_GB2312" w:eastAsia="仿宋_GB2312" w:cs="仿宋_GB2312"/>
                <w:sz w:val="24"/>
              </w:rPr>
            </w:pPr>
          </w:p>
        </w:tc>
        <w:tc>
          <w:tcPr>
            <w:tcW w:w="1417" w:type="dxa"/>
            <w:noWrap w:val="0"/>
            <w:vAlign w:val="center"/>
          </w:tcPr>
          <w:p>
            <w:pPr>
              <w:snapToGrid w:val="0"/>
              <w:spacing w:line="360" w:lineRule="auto"/>
              <w:jc w:val="center"/>
              <w:rPr>
                <w:rFonts w:hint="eastAsia" w:ascii="仿宋_GB2312" w:hAnsi="仿宋_GB2312" w:eastAsia="仿宋_GB2312" w:cs="仿宋_GB2312"/>
                <w:sz w:val="24"/>
              </w:rPr>
            </w:pPr>
          </w:p>
        </w:tc>
        <w:tc>
          <w:tcPr>
            <w:tcW w:w="1843" w:type="dxa"/>
            <w:noWrap w:val="0"/>
            <w:vAlign w:val="center"/>
          </w:tcPr>
          <w:p>
            <w:pPr>
              <w:snapToGrid w:val="0"/>
              <w:spacing w:line="360" w:lineRule="auto"/>
              <w:jc w:val="center"/>
              <w:rPr>
                <w:rFonts w:hint="eastAsia" w:ascii="仿宋_GB2312" w:hAnsi="仿宋_GB2312" w:eastAsia="仿宋_GB2312" w:cs="仿宋_GB2312"/>
                <w:sz w:val="24"/>
              </w:rPr>
            </w:pPr>
          </w:p>
        </w:tc>
        <w:tc>
          <w:tcPr>
            <w:tcW w:w="567" w:type="dxa"/>
            <w:noWrap w:val="0"/>
            <w:vAlign w:val="center"/>
          </w:tcPr>
          <w:p>
            <w:pPr>
              <w:snapToGrid w:val="0"/>
              <w:spacing w:line="360" w:lineRule="auto"/>
              <w:jc w:val="center"/>
              <w:rPr>
                <w:rFonts w:hint="eastAsia" w:ascii="仿宋_GB2312" w:hAnsi="仿宋_GB2312" w:eastAsia="仿宋_GB2312" w:cs="仿宋_GB2312"/>
                <w:sz w:val="24"/>
              </w:rPr>
            </w:pPr>
          </w:p>
        </w:tc>
        <w:tc>
          <w:tcPr>
            <w:tcW w:w="2771" w:type="dxa"/>
            <w:noWrap w:val="0"/>
            <w:vAlign w:val="center"/>
          </w:tcPr>
          <w:p>
            <w:pPr>
              <w:spacing w:line="360" w:lineRule="auto"/>
              <w:jc w:val="center"/>
              <w:rPr>
                <w:rFonts w:hint="eastAsia" w:ascii="仿宋_GB2312" w:hAnsi="仿宋_GB2312" w:eastAsia="仿宋_GB2312" w:cs="仿宋_GB2312"/>
                <w:sz w:val="24"/>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850" w:type="dxa"/>
            <w:noWrap w:val="0"/>
            <w:vAlign w:val="center"/>
          </w:tcPr>
          <w:p>
            <w:pPr>
              <w:spacing w:line="360" w:lineRule="auto"/>
              <w:jc w:val="center"/>
              <w:rPr>
                <w:rFonts w:hint="eastAsia" w:ascii="仿宋_GB2312" w:hAnsi="仿宋_GB2312" w:eastAsia="仿宋_GB2312" w:cs="仿宋_GB2312"/>
                <w:sz w:val="24"/>
              </w:rPr>
            </w:pPr>
          </w:p>
        </w:tc>
        <w:tc>
          <w:tcPr>
            <w:tcW w:w="2410" w:type="dxa"/>
            <w:noWrap w:val="0"/>
            <w:vAlign w:val="top"/>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392"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709" w:type="dxa"/>
            <w:noWrap w:val="0"/>
            <w:vAlign w:val="center"/>
          </w:tcPr>
          <w:p>
            <w:pPr>
              <w:snapToGrid w:val="0"/>
              <w:spacing w:line="360" w:lineRule="auto"/>
              <w:jc w:val="center"/>
              <w:rPr>
                <w:rFonts w:hint="eastAsia" w:ascii="仿宋_GB2312" w:hAnsi="仿宋_GB2312" w:eastAsia="仿宋_GB2312" w:cs="仿宋_GB2312"/>
                <w:sz w:val="24"/>
              </w:rPr>
            </w:pPr>
          </w:p>
        </w:tc>
        <w:tc>
          <w:tcPr>
            <w:tcW w:w="1417" w:type="dxa"/>
            <w:noWrap w:val="0"/>
            <w:vAlign w:val="center"/>
          </w:tcPr>
          <w:p>
            <w:pPr>
              <w:snapToGrid w:val="0"/>
              <w:spacing w:line="360" w:lineRule="auto"/>
              <w:jc w:val="center"/>
              <w:rPr>
                <w:rFonts w:hint="eastAsia" w:ascii="仿宋_GB2312" w:hAnsi="仿宋_GB2312" w:eastAsia="仿宋_GB2312" w:cs="仿宋_GB2312"/>
                <w:sz w:val="24"/>
              </w:rPr>
            </w:pPr>
          </w:p>
        </w:tc>
        <w:tc>
          <w:tcPr>
            <w:tcW w:w="1843" w:type="dxa"/>
            <w:noWrap w:val="0"/>
            <w:vAlign w:val="center"/>
          </w:tcPr>
          <w:p>
            <w:pPr>
              <w:snapToGrid w:val="0"/>
              <w:spacing w:line="360" w:lineRule="auto"/>
              <w:jc w:val="center"/>
              <w:rPr>
                <w:rFonts w:hint="eastAsia" w:ascii="仿宋_GB2312" w:hAnsi="仿宋_GB2312" w:eastAsia="仿宋_GB2312" w:cs="仿宋_GB2312"/>
                <w:sz w:val="24"/>
              </w:rPr>
            </w:pPr>
          </w:p>
        </w:tc>
        <w:tc>
          <w:tcPr>
            <w:tcW w:w="567" w:type="dxa"/>
            <w:noWrap w:val="0"/>
            <w:vAlign w:val="center"/>
          </w:tcPr>
          <w:p>
            <w:pPr>
              <w:snapToGrid w:val="0"/>
              <w:spacing w:line="360" w:lineRule="auto"/>
              <w:jc w:val="center"/>
              <w:rPr>
                <w:rFonts w:hint="eastAsia" w:ascii="仿宋_GB2312" w:hAnsi="仿宋_GB2312" w:eastAsia="仿宋_GB2312" w:cs="仿宋_GB2312"/>
                <w:sz w:val="24"/>
              </w:rPr>
            </w:pPr>
          </w:p>
        </w:tc>
        <w:tc>
          <w:tcPr>
            <w:tcW w:w="2771" w:type="dxa"/>
            <w:noWrap w:val="0"/>
            <w:vAlign w:val="center"/>
          </w:tcPr>
          <w:p>
            <w:pPr>
              <w:spacing w:line="360" w:lineRule="auto"/>
              <w:jc w:val="center"/>
              <w:rPr>
                <w:rFonts w:hint="eastAsia" w:ascii="仿宋_GB2312" w:hAnsi="仿宋_GB2312" w:eastAsia="仿宋_GB2312" w:cs="仿宋_GB2312"/>
                <w:sz w:val="24"/>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850" w:type="dxa"/>
            <w:noWrap w:val="0"/>
            <w:vAlign w:val="center"/>
          </w:tcPr>
          <w:p>
            <w:pPr>
              <w:spacing w:line="360" w:lineRule="auto"/>
              <w:jc w:val="center"/>
              <w:rPr>
                <w:rFonts w:hint="eastAsia" w:ascii="仿宋_GB2312" w:hAnsi="仿宋_GB2312" w:eastAsia="仿宋_GB2312" w:cs="仿宋_GB2312"/>
                <w:sz w:val="24"/>
              </w:rPr>
            </w:pPr>
          </w:p>
        </w:tc>
        <w:tc>
          <w:tcPr>
            <w:tcW w:w="2410" w:type="dxa"/>
            <w:noWrap w:val="0"/>
            <w:vAlign w:val="top"/>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392"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709" w:type="dxa"/>
            <w:noWrap w:val="0"/>
            <w:vAlign w:val="center"/>
          </w:tcPr>
          <w:p>
            <w:pPr>
              <w:widowControl/>
              <w:spacing w:line="360" w:lineRule="auto"/>
              <w:rPr>
                <w:rFonts w:hint="eastAsia" w:ascii="仿宋_GB2312" w:hAnsi="仿宋_GB2312" w:eastAsia="仿宋_GB2312" w:cs="仿宋_GB2312"/>
                <w:kern w:val="0"/>
                <w:sz w:val="24"/>
                <w:lang w:bidi="hi-IN"/>
              </w:rPr>
            </w:pPr>
          </w:p>
        </w:tc>
        <w:tc>
          <w:tcPr>
            <w:tcW w:w="1417" w:type="dxa"/>
            <w:noWrap w:val="0"/>
            <w:vAlign w:val="center"/>
          </w:tcPr>
          <w:p>
            <w:pPr>
              <w:widowControl/>
              <w:spacing w:line="360" w:lineRule="auto"/>
              <w:rPr>
                <w:rFonts w:hint="eastAsia" w:ascii="仿宋_GB2312" w:hAnsi="仿宋_GB2312" w:eastAsia="仿宋_GB2312" w:cs="仿宋_GB2312"/>
                <w:kern w:val="0"/>
                <w:sz w:val="24"/>
                <w:lang w:bidi="hi-IN"/>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567" w:type="dxa"/>
            <w:noWrap w:val="0"/>
            <w:vAlign w:val="center"/>
          </w:tcPr>
          <w:p>
            <w:pPr>
              <w:spacing w:line="360" w:lineRule="auto"/>
              <w:jc w:val="center"/>
              <w:rPr>
                <w:rFonts w:hint="eastAsia" w:ascii="仿宋_GB2312" w:hAnsi="仿宋_GB2312" w:eastAsia="仿宋_GB2312" w:cs="仿宋_GB2312"/>
                <w:sz w:val="24"/>
              </w:rPr>
            </w:pPr>
          </w:p>
        </w:tc>
        <w:tc>
          <w:tcPr>
            <w:tcW w:w="2771" w:type="dxa"/>
            <w:noWrap w:val="0"/>
            <w:vAlign w:val="center"/>
          </w:tcPr>
          <w:p>
            <w:pPr>
              <w:spacing w:line="360" w:lineRule="auto"/>
              <w:jc w:val="center"/>
              <w:rPr>
                <w:rFonts w:hint="eastAsia" w:ascii="仿宋_GB2312" w:hAnsi="仿宋_GB2312" w:eastAsia="仿宋_GB2312" w:cs="仿宋_GB2312"/>
                <w:sz w:val="24"/>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850" w:type="dxa"/>
            <w:noWrap w:val="0"/>
            <w:vAlign w:val="center"/>
          </w:tcPr>
          <w:p>
            <w:pPr>
              <w:spacing w:line="360" w:lineRule="auto"/>
              <w:jc w:val="center"/>
              <w:rPr>
                <w:rFonts w:hint="eastAsia" w:ascii="仿宋_GB2312" w:hAnsi="仿宋_GB2312" w:eastAsia="仿宋_GB2312" w:cs="仿宋_GB2312"/>
                <w:sz w:val="24"/>
              </w:rPr>
            </w:pPr>
          </w:p>
        </w:tc>
        <w:tc>
          <w:tcPr>
            <w:tcW w:w="2410" w:type="dxa"/>
            <w:noWrap w:val="0"/>
            <w:vAlign w:val="top"/>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392"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709" w:type="dxa"/>
            <w:noWrap w:val="0"/>
            <w:vAlign w:val="center"/>
          </w:tcPr>
          <w:p>
            <w:pPr>
              <w:widowControl/>
              <w:spacing w:line="360" w:lineRule="auto"/>
              <w:rPr>
                <w:rFonts w:hint="eastAsia" w:ascii="仿宋_GB2312" w:hAnsi="仿宋_GB2312" w:eastAsia="仿宋_GB2312" w:cs="仿宋_GB2312"/>
                <w:kern w:val="0"/>
                <w:sz w:val="24"/>
                <w:lang w:bidi="hi-IN"/>
              </w:rPr>
            </w:pPr>
          </w:p>
        </w:tc>
        <w:tc>
          <w:tcPr>
            <w:tcW w:w="1417" w:type="dxa"/>
            <w:noWrap w:val="0"/>
            <w:vAlign w:val="center"/>
          </w:tcPr>
          <w:p>
            <w:pPr>
              <w:widowControl/>
              <w:spacing w:line="360" w:lineRule="auto"/>
              <w:rPr>
                <w:rFonts w:hint="eastAsia" w:ascii="仿宋_GB2312" w:hAnsi="仿宋_GB2312" w:eastAsia="仿宋_GB2312" w:cs="仿宋_GB2312"/>
                <w:kern w:val="0"/>
                <w:sz w:val="24"/>
                <w:lang w:bidi="hi-IN"/>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567" w:type="dxa"/>
            <w:noWrap w:val="0"/>
            <w:vAlign w:val="center"/>
          </w:tcPr>
          <w:p>
            <w:pPr>
              <w:spacing w:line="360" w:lineRule="auto"/>
              <w:jc w:val="center"/>
              <w:rPr>
                <w:rFonts w:hint="eastAsia" w:ascii="仿宋_GB2312" w:hAnsi="仿宋_GB2312" w:eastAsia="仿宋_GB2312" w:cs="仿宋_GB2312"/>
                <w:sz w:val="24"/>
              </w:rPr>
            </w:pPr>
          </w:p>
        </w:tc>
        <w:tc>
          <w:tcPr>
            <w:tcW w:w="2771" w:type="dxa"/>
            <w:noWrap w:val="0"/>
            <w:vAlign w:val="center"/>
          </w:tcPr>
          <w:p>
            <w:pPr>
              <w:spacing w:line="360" w:lineRule="auto"/>
              <w:jc w:val="center"/>
              <w:rPr>
                <w:rFonts w:hint="eastAsia" w:ascii="仿宋_GB2312" w:hAnsi="仿宋_GB2312" w:eastAsia="仿宋_GB2312" w:cs="仿宋_GB2312"/>
                <w:sz w:val="24"/>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850" w:type="dxa"/>
            <w:noWrap w:val="0"/>
            <w:vAlign w:val="center"/>
          </w:tcPr>
          <w:p>
            <w:pPr>
              <w:spacing w:line="360" w:lineRule="auto"/>
              <w:jc w:val="center"/>
              <w:rPr>
                <w:rFonts w:hint="eastAsia" w:ascii="仿宋_GB2312" w:hAnsi="仿宋_GB2312" w:eastAsia="仿宋_GB2312" w:cs="仿宋_GB2312"/>
                <w:sz w:val="24"/>
              </w:rPr>
            </w:pPr>
          </w:p>
        </w:tc>
        <w:tc>
          <w:tcPr>
            <w:tcW w:w="2410" w:type="dxa"/>
            <w:noWrap w:val="0"/>
            <w:vAlign w:val="top"/>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trPr>
        <w:tc>
          <w:tcPr>
            <w:tcW w:w="392"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709" w:type="dxa"/>
            <w:noWrap w:val="0"/>
            <w:vAlign w:val="center"/>
          </w:tcPr>
          <w:p>
            <w:pPr>
              <w:widowControl/>
              <w:spacing w:line="360" w:lineRule="auto"/>
              <w:rPr>
                <w:rFonts w:hint="eastAsia" w:ascii="仿宋_GB2312" w:hAnsi="仿宋_GB2312" w:eastAsia="仿宋_GB2312" w:cs="仿宋_GB2312"/>
                <w:kern w:val="0"/>
                <w:sz w:val="24"/>
                <w:lang w:bidi="hi-IN"/>
              </w:rPr>
            </w:pPr>
          </w:p>
        </w:tc>
        <w:tc>
          <w:tcPr>
            <w:tcW w:w="1417" w:type="dxa"/>
            <w:noWrap w:val="0"/>
            <w:vAlign w:val="center"/>
          </w:tcPr>
          <w:p>
            <w:pPr>
              <w:widowControl/>
              <w:spacing w:line="360" w:lineRule="auto"/>
              <w:rPr>
                <w:rFonts w:hint="eastAsia" w:ascii="仿宋_GB2312" w:hAnsi="仿宋_GB2312" w:eastAsia="仿宋_GB2312" w:cs="仿宋_GB2312"/>
                <w:kern w:val="0"/>
                <w:sz w:val="24"/>
                <w:lang w:bidi="hi-IN"/>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567" w:type="dxa"/>
            <w:noWrap w:val="0"/>
            <w:vAlign w:val="center"/>
          </w:tcPr>
          <w:p>
            <w:pPr>
              <w:spacing w:line="360" w:lineRule="auto"/>
              <w:jc w:val="center"/>
              <w:rPr>
                <w:rFonts w:hint="eastAsia" w:ascii="仿宋_GB2312" w:hAnsi="仿宋_GB2312" w:eastAsia="仿宋_GB2312" w:cs="仿宋_GB2312"/>
                <w:sz w:val="24"/>
              </w:rPr>
            </w:pPr>
          </w:p>
        </w:tc>
        <w:tc>
          <w:tcPr>
            <w:tcW w:w="2771" w:type="dxa"/>
            <w:noWrap w:val="0"/>
            <w:vAlign w:val="center"/>
          </w:tcPr>
          <w:p>
            <w:pPr>
              <w:spacing w:line="360" w:lineRule="auto"/>
              <w:jc w:val="center"/>
              <w:rPr>
                <w:rFonts w:hint="eastAsia" w:ascii="仿宋_GB2312" w:hAnsi="仿宋_GB2312" w:eastAsia="仿宋_GB2312" w:cs="仿宋_GB2312"/>
                <w:sz w:val="24"/>
              </w:rPr>
            </w:pPr>
          </w:p>
        </w:tc>
        <w:tc>
          <w:tcPr>
            <w:tcW w:w="1843" w:type="dxa"/>
            <w:noWrap w:val="0"/>
            <w:vAlign w:val="center"/>
          </w:tcPr>
          <w:p>
            <w:pPr>
              <w:spacing w:line="360" w:lineRule="auto"/>
              <w:jc w:val="center"/>
              <w:rPr>
                <w:rFonts w:hint="eastAsia" w:ascii="仿宋_GB2312" w:hAnsi="仿宋_GB2312" w:eastAsia="仿宋_GB2312" w:cs="仿宋_GB2312"/>
                <w:sz w:val="24"/>
              </w:rPr>
            </w:pPr>
          </w:p>
        </w:tc>
        <w:tc>
          <w:tcPr>
            <w:tcW w:w="850" w:type="dxa"/>
            <w:noWrap w:val="0"/>
            <w:vAlign w:val="center"/>
          </w:tcPr>
          <w:p>
            <w:pPr>
              <w:spacing w:line="360" w:lineRule="auto"/>
              <w:jc w:val="center"/>
              <w:rPr>
                <w:rFonts w:hint="eastAsia" w:ascii="仿宋_GB2312" w:hAnsi="仿宋_GB2312" w:eastAsia="仿宋_GB2312" w:cs="仿宋_GB2312"/>
                <w:sz w:val="24"/>
              </w:rPr>
            </w:pPr>
          </w:p>
        </w:tc>
        <w:tc>
          <w:tcPr>
            <w:tcW w:w="2410" w:type="dxa"/>
            <w:noWrap w:val="0"/>
            <w:vAlign w:val="top"/>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9" w:hRule="atLeast"/>
        </w:trPr>
        <w:tc>
          <w:tcPr>
            <w:tcW w:w="4361" w:type="dxa"/>
            <w:gridSpan w:val="4"/>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投标报价（小写）</w:t>
            </w:r>
          </w:p>
        </w:tc>
        <w:tc>
          <w:tcPr>
            <w:tcW w:w="8441" w:type="dxa"/>
            <w:gridSpan w:val="5"/>
            <w:noWrap w:val="0"/>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7" w:hRule="atLeast"/>
        </w:trPr>
        <w:tc>
          <w:tcPr>
            <w:tcW w:w="4361" w:type="dxa"/>
            <w:gridSpan w:val="4"/>
            <w:noWrap w:val="0"/>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投标报价（大写）</w:t>
            </w:r>
          </w:p>
        </w:tc>
        <w:tc>
          <w:tcPr>
            <w:tcW w:w="8441" w:type="dxa"/>
            <w:gridSpan w:val="5"/>
            <w:noWrap w:val="0"/>
            <w:vAlign w:val="center"/>
          </w:tcPr>
          <w:p>
            <w:pPr>
              <w:spacing w:line="360" w:lineRule="auto"/>
              <w:jc w:val="center"/>
              <w:rPr>
                <w:rFonts w:hint="eastAsia" w:ascii="仿宋_GB2312" w:hAnsi="仿宋_GB2312" w:eastAsia="仿宋_GB2312" w:cs="仿宋_GB2312"/>
                <w:sz w:val="24"/>
              </w:rPr>
            </w:pPr>
          </w:p>
        </w:tc>
      </w:tr>
    </w:tbl>
    <w:p>
      <w:pPr>
        <w:snapToGrid w:val="0"/>
        <w:spacing w:line="360" w:lineRule="auto"/>
        <w:ind w:left="480"/>
        <w:rPr>
          <w:rFonts w:hint="eastAsia" w:ascii="仿宋" w:hAnsi="仿宋" w:eastAsia="仿宋" w:cs="仿宋_GB2312"/>
          <w:b/>
          <w:kern w:val="0"/>
          <w:sz w:val="24"/>
          <w:lang w:val="zh-CN"/>
        </w:rPr>
      </w:pPr>
    </w:p>
    <w:p>
      <w:pPr>
        <w:snapToGrid w:val="0"/>
        <w:spacing w:line="360" w:lineRule="auto"/>
        <w:ind w:left="480"/>
        <w:rPr>
          <w:rFonts w:hint="eastAsia" w:ascii="仿宋" w:hAnsi="仿宋" w:eastAsia="仿宋" w:cs="仿宋_GB2312"/>
          <w:b/>
          <w:kern w:val="0"/>
          <w:sz w:val="24"/>
          <w:lang w:val="zh-CN"/>
        </w:rPr>
      </w:pPr>
      <w:r>
        <w:rPr>
          <w:rFonts w:hint="eastAsia" w:ascii="仿宋" w:hAnsi="仿宋" w:eastAsia="仿宋" w:cs="仿宋_GB2312"/>
          <w:b/>
          <w:kern w:val="0"/>
          <w:sz w:val="24"/>
          <w:lang w:val="zh-CN"/>
        </w:rPr>
        <w:t>注：</w:t>
      </w:r>
    </w:p>
    <w:p>
      <w:pPr>
        <w:adjustRightInd/>
        <w:spacing w:line="560" w:lineRule="exact"/>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1、投标人需按本表格式填写，不得自行更改。</w:t>
      </w:r>
    </w:p>
    <w:p>
      <w:pPr>
        <w:adjustRightInd/>
        <w:spacing w:line="560" w:lineRule="exact"/>
        <w:ind w:left="480"/>
        <w:rPr>
          <w:rFonts w:hint="eastAsia" w:ascii="仿宋" w:hAnsi="仿宋" w:eastAsia="仿宋" w:cs="仿宋_GB2312"/>
          <w:kern w:val="0"/>
          <w:sz w:val="24"/>
          <w:lang w:val="zh-CN"/>
        </w:rPr>
      </w:pPr>
      <w:r>
        <w:rPr>
          <w:rFonts w:hint="eastAsia" w:ascii="仿宋" w:hAnsi="仿宋" w:eastAsia="仿宋" w:cs="仿宋_GB2312"/>
          <w:kern w:val="0"/>
          <w:sz w:val="24"/>
          <w:lang w:val="zh-CN"/>
        </w:rPr>
        <w:t>2、有关本项目实施所涉及的一切费用（详见前附表）均计入报价。</w:t>
      </w:r>
    </w:p>
    <w:p>
      <w:pPr>
        <w:adjustRightInd/>
        <w:spacing w:line="560" w:lineRule="exact"/>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3、以上表格要求细分项目及报价，在“规格型号（或具体服务）”一栏中，货物类项目填写规格型号，服务类项目填写具体服务。</w:t>
      </w:r>
    </w:p>
    <w:p>
      <w:pPr>
        <w:adjustRightInd/>
        <w:spacing w:line="560" w:lineRule="exact"/>
        <w:ind w:firstLine="480" w:firstLineChars="200"/>
        <w:jc w:val="left"/>
        <w:rPr>
          <w:rFonts w:hint="eastAsia" w:ascii="仿宋" w:hAnsi="仿宋" w:eastAsia="仿宋" w:cs="仿宋_GB2312"/>
          <w:kern w:val="0"/>
          <w:sz w:val="24"/>
          <w:lang w:val="zh-CN"/>
        </w:rPr>
      </w:pPr>
      <w:r>
        <w:rPr>
          <w:rFonts w:hint="eastAsia" w:ascii="仿宋" w:hAnsi="仿宋" w:eastAsia="仿宋" w:cs="仿宋_GB2312"/>
          <w:kern w:val="0"/>
          <w:sz w:val="24"/>
          <w:lang w:val="zh-CN"/>
        </w:rPr>
        <w:t>4、特别提示：采购代理机构将对项目名称和项目编号，中标供应商名称、地址和中标金额，主要中标标的的名称、规格型号、数量、单价、服务要求等予以公示。</w:t>
      </w:r>
    </w:p>
    <w:p>
      <w:pPr>
        <w:adjustRightInd/>
        <w:spacing w:line="560" w:lineRule="exact"/>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5、是否可享受价格扣除：根据招标文件3.3小型、微型企业价格扣除的政策规定，给予满足条件的投标人用扣除后的价格参与评审的支持。 </w:t>
      </w:r>
      <w:r>
        <w:rPr>
          <w:rFonts w:hint="eastAsia" w:ascii="仿宋" w:hAnsi="仿宋" w:eastAsia="仿宋" w:cs="仿宋_GB2312"/>
          <w:b/>
          <w:sz w:val="24"/>
        </w:rPr>
        <w:t>▲投标人应如实填写是否可享受价格扣除，否则视为投标人提供虚假材料投标，投标无效</w:t>
      </w:r>
    </w:p>
    <w:p>
      <w:pPr>
        <w:spacing w:line="360" w:lineRule="auto"/>
        <w:ind w:firstLine="3600" w:firstLineChars="1500"/>
        <w:jc w:val="center"/>
        <w:rPr>
          <w:rFonts w:hint="eastAsia" w:ascii="仿宋" w:hAnsi="仿宋" w:eastAsia="仿宋" w:cs="仿宋_GB2312"/>
          <w:sz w:val="24"/>
        </w:rPr>
      </w:pPr>
      <w:r>
        <w:rPr>
          <w:rFonts w:hint="eastAsia" w:ascii="仿宋" w:hAnsi="仿宋" w:eastAsia="仿宋" w:cs="仿宋_GB2312"/>
          <w:sz w:val="24"/>
        </w:rPr>
        <w:t xml:space="preserve">                                              </w:t>
      </w:r>
    </w:p>
    <w:p>
      <w:pPr>
        <w:spacing w:line="360" w:lineRule="auto"/>
        <w:ind w:firstLine="3600" w:firstLineChars="1500"/>
        <w:jc w:val="center"/>
        <w:rPr>
          <w:rFonts w:hint="eastAsia" w:ascii="仿宋" w:hAnsi="仿宋" w:eastAsia="仿宋" w:cs="仿宋_GB2312"/>
          <w:sz w:val="24"/>
        </w:rPr>
      </w:pPr>
    </w:p>
    <w:p>
      <w:pPr>
        <w:spacing w:line="360" w:lineRule="auto"/>
        <w:ind w:firstLine="10560" w:firstLineChars="4400"/>
        <w:rPr>
          <w:rFonts w:hint="eastAsia" w:ascii="仿宋" w:hAnsi="仿宋" w:eastAsia="仿宋" w:cs="仿宋_GB2312"/>
          <w:sz w:val="24"/>
        </w:rPr>
      </w:pPr>
      <w:r>
        <w:rPr>
          <w:rFonts w:hint="eastAsia" w:ascii="仿宋" w:hAnsi="仿宋" w:eastAsia="仿宋" w:cs="仿宋_GB2312"/>
          <w:sz w:val="24"/>
        </w:rPr>
        <w:t>投标人名称（公章）：</w:t>
      </w:r>
    </w:p>
    <w:p>
      <w:pPr>
        <w:spacing w:line="360" w:lineRule="auto"/>
        <w:ind w:firstLine="480" w:firstLineChars="200"/>
        <w:jc w:val="right"/>
        <w:rPr>
          <w:rFonts w:hint="eastAsia" w:ascii="仿宋" w:hAnsi="仿宋" w:eastAsia="仿宋" w:cs="仿宋_GB2312"/>
          <w:sz w:val="24"/>
        </w:rPr>
      </w:pPr>
      <w:r>
        <w:rPr>
          <w:rFonts w:hint="eastAsia" w:ascii="仿宋" w:hAnsi="仿宋" w:eastAsia="仿宋" w:cs="仿宋_GB2312"/>
          <w:sz w:val="24"/>
        </w:rPr>
        <w:t xml:space="preserve">                          法定代表人或其授权代表（签字）：</w:t>
      </w:r>
    </w:p>
    <w:p>
      <w:pPr>
        <w:spacing w:line="360" w:lineRule="auto"/>
        <w:jc w:val="center"/>
        <w:rPr>
          <w:rFonts w:hint="eastAsia" w:ascii="仿宋" w:hAnsi="仿宋" w:eastAsia="仿宋" w:cs="仿宋_GB2312"/>
          <w:sz w:val="36"/>
          <w:szCs w:val="36"/>
          <w:lang w:val="zh-CN"/>
        </w:rPr>
      </w:pPr>
      <w:r>
        <w:rPr>
          <w:rFonts w:hint="eastAsia" w:ascii="仿宋" w:hAnsi="仿宋" w:eastAsia="仿宋" w:cs="仿宋_GB2312"/>
          <w:sz w:val="24"/>
        </w:rPr>
        <w:t xml:space="preserve">                                                                              日期：  年   月   日</w:t>
      </w:r>
      <w:bookmarkEnd w:id="498"/>
    </w:p>
    <w:p>
      <w:pPr>
        <w:spacing w:line="360" w:lineRule="auto"/>
        <w:jc w:val="center"/>
        <w:outlineLvl w:val="0"/>
        <w:rPr>
          <w:rFonts w:hint="eastAsia" w:ascii="仿宋" w:hAnsi="仿宋" w:eastAsia="仿宋" w:cs="仿宋_GB2312"/>
          <w:sz w:val="36"/>
          <w:szCs w:val="36"/>
          <w:lang w:val="zh-CN"/>
        </w:rPr>
        <w:sectPr>
          <w:pgSz w:w="16838" w:h="11906" w:orient="landscape"/>
          <w:pgMar w:top="1418" w:right="1276" w:bottom="1418" w:left="1247" w:header="851" w:footer="992" w:gutter="0"/>
          <w:cols w:space="720" w:num="1"/>
          <w:titlePg/>
          <w:docGrid w:linePitch="312" w:charSpace="0"/>
        </w:sectPr>
      </w:pPr>
    </w:p>
    <w:p>
      <w:pPr>
        <w:pStyle w:val="499"/>
        <w:keepNext w:val="0"/>
        <w:pageBreakBefore w:val="0"/>
        <w:tabs>
          <w:tab w:val="clear" w:pos="720"/>
        </w:tabs>
        <w:snapToGrid w:val="0"/>
        <w:ind w:firstLine="6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三、中小企业声明函</w:t>
      </w:r>
    </w:p>
    <w:p>
      <w:pPr>
        <w:spacing w:line="360" w:lineRule="auto"/>
        <w:rPr>
          <w:rFonts w:hint="eastAsia" w:ascii="仿宋" w:hAnsi="仿宋" w:eastAsia="仿宋" w:cs="仿宋_GB2312"/>
        </w:rPr>
      </w:pP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本公司郑重声明，根据《政府采购促进中小企业发展暂行办法》（财库[2011]181号）的规定，本公司为</w:t>
      </w:r>
      <w:r>
        <w:rPr>
          <w:rFonts w:hint="eastAsia" w:ascii="仿宋" w:hAnsi="仿宋" w:eastAsia="仿宋" w:cs="仿宋_GB2312"/>
          <w:sz w:val="24"/>
          <w:u w:val="single"/>
        </w:rPr>
        <w:t xml:space="preserve">      </w:t>
      </w:r>
      <w:r>
        <w:rPr>
          <w:rFonts w:hint="eastAsia" w:ascii="仿宋" w:hAnsi="仿宋" w:eastAsia="仿宋" w:cs="仿宋_GB2312"/>
          <w:sz w:val="24"/>
        </w:rPr>
        <w:t>（请填写：中型、小型、微型）企业。即，本公司同时满足以下条件：</w:t>
      </w:r>
    </w:p>
    <w:p>
      <w:pPr>
        <w:pStyle w:val="783"/>
        <w:widowControl/>
        <w:numPr>
          <w:ilvl w:val="0"/>
          <w:numId w:val="13"/>
        </w:numPr>
        <w:ind w:firstLineChars="0"/>
        <w:rPr>
          <w:rFonts w:hint="eastAsia" w:ascii="仿宋" w:hAnsi="仿宋" w:eastAsia="仿宋" w:cs="仿宋_GB2312"/>
          <w:szCs w:val="24"/>
        </w:rPr>
      </w:pPr>
      <w:r>
        <w:rPr>
          <w:rFonts w:hint="eastAsia" w:ascii="仿宋" w:hAnsi="仿宋" w:eastAsia="仿宋" w:cs="仿宋_GB2312"/>
          <w:szCs w:val="24"/>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_GB2312"/>
          <w:szCs w:val="24"/>
          <w:u w:val="single"/>
        </w:rPr>
        <w:t xml:space="preserve">   </w:t>
      </w:r>
      <w:r>
        <w:rPr>
          <w:rFonts w:hint="eastAsia" w:ascii="仿宋" w:hAnsi="仿宋" w:eastAsia="仿宋" w:cs="仿宋_GB2312"/>
          <w:szCs w:val="24"/>
        </w:rPr>
        <w:t>（请填写：中型、小型、微型）企业。</w:t>
      </w:r>
    </w:p>
    <w:p>
      <w:pPr>
        <w:pStyle w:val="783"/>
        <w:widowControl/>
        <w:numPr>
          <w:ilvl w:val="0"/>
          <w:numId w:val="13"/>
        </w:numPr>
        <w:ind w:firstLineChars="0"/>
        <w:rPr>
          <w:rFonts w:hint="eastAsia" w:ascii="仿宋" w:hAnsi="仿宋" w:eastAsia="仿宋" w:cs="仿宋_GB2312"/>
          <w:szCs w:val="24"/>
        </w:rPr>
      </w:pPr>
      <w:r>
        <w:rPr>
          <w:rFonts w:hint="eastAsia" w:ascii="仿宋" w:hAnsi="仿宋" w:eastAsia="仿宋" w:cs="仿宋_GB2312"/>
          <w:szCs w:val="24"/>
        </w:rPr>
        <w:t>本公司参加</w:t>
      </w:r>
      <w:r>
        <w:rPr>
          <w:rFonts w:hint="eastAsia" w:ascii="仿宋" w:hAnsi="仿宋" w:eastAsia="仿宋" w:cs="仿宋_GB2312"/>
          <w:szCs w:val="24"/>
          <w:u w:val="single"/>
        </w:rPr>
        <w:t xml:space="preserve">         </w:t>
      </w:r>
      <w:r>
        <w:rPr>
          <w:rFonts w:hint="eastAsia" w:ascii="仿宋" w:hAnsi="仿宋" w:eastAsia="仿宋" w:cs="仿宋_GB2312"/>
          <w:szCs w:val="24"/>
        </w:rPr>
        <w:t>单位的</w:t>
      </w:r>
      <w:r>
        <w:rPr>
          <w:rFonts w:hint="eastAsia" w:ascii="仿宋" w:hAnsi="仿宋" w:eastAsia="仿宋" w:cs="仿宋_GB2312"/>
          <w:szCs w:val="24"/>
          <w:u w:val="single"/>
        </w:rPr>
        <w:t xml:space="preserve">       </w:t>
      </w:r>
      <w:r>
        <w:rPr>
          <w:rFonts w:hint="eastAsia" w:ascii="仿宋" w:hAnsi="仿宋" w:eastAsia="仿宋" w:cs="仿宋_GB2312"/>
          <w:szCs w:val="24"/>
        </w:rPr>
        <w:t xml:space="preserve">项目采购活动提供本企业制造的货物，由本企业承担工程、提供服务，或者提供其他 </w:t>
      </w:r>
      <w:r>
        <w:rPr>
          <w:rFonts w:hint="eastAsia" w:ascii="仿宋" w:hAnsi="仿宋" w:eastAsia="仿宋" w:cs="仿宋_GB2312"/>
          <w:szCs w:val="24"/>
          <w:u w:val="single"/>
        </w:rPr>
        <w:t xml:space="preserve">        </w:t>
      </w:r>
      <w:r>
        <w:rPr>
          <w:rFonts w:hint="eastAsia" w:ascii="仿宋" w:hAnsi="仿宋" w:eastAsia="仿宋" w:cs="仿宋_GB2312"/>
          <w:szCs w:val="24"/>
        </w:rPr>
        <w:t>（请填写：中型、小型、微型）企业制造的货物。本条所称货物不包括使用大型企业注册商标的货物。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本公司对上述声明的真实性负责。如有虚假，将依法承担相应责任。</w:t>
      </w:r>
    </w:p>
    <w:p>
      <w:pPr>
        <w:spacing w:line="360" w:lineRule="auto"/>
        <w:jc w:val="right"/>
        <w:rPr>
          <w:rFonts w:hint="eastAsia" w:ascii="仿宋" w:hAnsi="仿宋" w:eastAsia="仿宋" w:cs="仿宋_GB2312"/>
          <w:sz w:val="24"/>
        </w:rPr>
      </w:pPr>
    </w:p>
    <w:p>
      <w:pPr>
        <w:spacing w:line="360" w:lineRule="auto"/>
        <w:jc w:val="center"/>
        <w:outlineLvl w:val="0"/>
        <w:rPr>
          <w:rFonts w:hint="eastAsia" w:ascii="仿宋" w:hAnsi="仿宋" w:eastAsia="仿宋" w:cs="仿宋_GB2312"/>
          <w:sz w:val="36"/>
          <w:szCs w:val="36"/>
          <w:lang w:val="zh-CN"/>
        </w:rPr>
      </w:pPr>
      <w:r>
        <w:rPr>
          <w:rFonts w:hint="eastAsia" w:ascii="仿宋" w:hAnsi="仿宋" w:eastAsia="仿宋" w:cs="仿宋_GB2312"/>
          <w:sz w:val="24"/>
        </w:rPr>
        <w:t xml:space="preserve">企业名称（盖章）：               </w:t>
      </w:r>
    </w:p>
    <w:p>
      <w:pPr>
        <w:spacing w:line="360" w:lineRule="auto"/>
        <w:jc w:val="center"/>
        <w:outlineLvl w:val="0"/>
        <w:rPr>
          <w:rFonts w:hint="eastAsia" w:ascii="仿宋" w:hAnsi="仿宋" w:eastAsia="仿宋" w:cs="仿宋_GB2312"/>
          <w:sz w:val="36"/>
          <w:szCs w:val="36"/>
          <w:lang w:val="zh-CN"/>
        </w:rPr>
      </w:pPr>
    </w:p>
    <w:p>
      <w:pPr>
        <w:spacing w:line="360" w:lineRule="auto"/>
        <w:ind w:right="420"/>
        <w:rPr>
          <w:rFonts w:hint="eastAsia" w:ascii="仿宋" w:hAnsi="仿宋" w:eastAsia="仿宋" w:cs="仿宋_GB2312"/>
          <w:sz w:val="24"/>
        </w:rPr>
      </w:pPr>
      <w:r>
        <w:rPr>
          <w:rFonts w:hint="eastAsia" w:ascii="仿宋" w:hAnsi="仿宋" w:eastAsia="仿宋" w:cs="仿宋_GB2312"/>
          <w:sz w:val="24"/>
        </w:rPr>
        <w:t>注：</w:t>
      </w:r>
      <w:r>
        <w:rPr>
          <w:rFonts w:hint="eastAsia" w:ascii="仿宋" w:hAnsi="仿宋" w:eastAsia="仿宋" w:cs="仿宋_GB2312"/>
          <w:b/>
          <w:sz w:val="24"/>
        </w:rPr>
        <w:t>▲投标人提供的中小企业声明函与实际情况不符的，视为投标人提供虚假材料投标的，投标无效。</w:t>
      </w:r>
      <w:r>
        <w:rPr>
          <w:rFonts w:hint="eastAsia" w:ascii="仿宋" w:hAnsi="仿宋" w:eastAsia="仿宋"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outlineLvl w:val="0"/>
        <w:rPr>
          <w:rFonts w:hint="eastAsia" w:ascii="仿宋" w:hAnsi="仿宋" w:eastAsia="仿宋" w:cs="仿宋_GB2312"/>
          <w:sz w:val="36"/>
          <w:szCs w:val="36"/>
        </w:rPr>
        <w:sectPr>
          <w:pgSz w:w="11906" w:h="16838"/>
          <w:pgMar w:top="1247" w:right="1418" w:bottom="1276" w:left="1418" w:header="851" w:footer="992" w:gutter="0"/>
          <w:cols w:space="720" w:num="1"/>
          <w:titlePg/>
          <w:docGrid w:linePitch="312" w:charSpace="0"/>
        </w:sectPr>
      </w:pPr>
    </w:p>
    <w:p>
      <w:pPr>
        <w:spacing w:line="360" w:lineRule="auto"/>
        <w:jc w:val="center"/>
        <w:outlineLvl w:val="0"/>
        <w:rPr>
          <w:rFonts w:hint="eastAsia"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商务技术文件部分</w:t>
      </w:r>
    </w:p>
    <w:p>
      <w:pPr>
        <w:spacing w:line="360" w:lineRule="auto"/>
        <w:jc w:val="center"/>
        <w:outlineLvl w:val="0"/>
        <w:rPr>
          <w:rFonts w:hint="eastAsia" w:ascii="仿宋" w:hAnsi="仿宋" w:eastAsia="仿宋" w:cs="仿宋_GB2312"/>
          <w:b/>
          <w:kern w:val="0"/>
          <w:sz w:val="24"/>
        </w:rPr>
      </w:pPr>
    </w:p>
    <w:p>
      <w:pPr>
        <w:spacing w:line="360" w:lineRule="auto"/>
        <w:jc w:val="center"/>
        <w:outlineLvl w:val="0"/>
        <w:rPr>
          <w:rFonts w:hint="eastAsia" w:ascii="仿宋" w:hAnsi="仿宋" w:eastAsia="仿宋" w:cs="仿宋_GB2312"/>
          <w:b/>
          <w:kern w:val="0"/>
          <w:sz w:val="32"/>
          <w:szCs w:val="32"/>
        </w:rPr>
      </w:pPr>
      <w:r>
        <w:rPr>
          <w:rFonts w:hint="eastAsia" w:ascii="仿宋" w:hAnsi="仿宋" w:eastAsia="仿宋" w:cs="仿宋_GB2312"/>
          <w:b/>
          <w:kern w:val="0"/>
          <w:sz w:val="32"/>
          <w:szCs w:val="32"/>
        </w:rPr>
        <w:t>目录</w:t>
      </w:r>
    </w:p>
    <w:p>
      <w:pPr>
        <w:pStyle w:val="405"/>
        <w:spacing w:line="360" w:lineRule="auto"/>
        <w:rPr>
          <w:rFonts w:hint="eastAsia" w:ascii="仿宋" w:eastAsia="仿宋" w:cs="仿宋_GB2312"/>
        </w:rPr>
      </w:pPr>
      <w:r>
        <w:rPr>
          <w:rFonts w:hint="eastAsia" w:ascii="仿宋" w:eastAsia="仿宋" w:cs="仿宋_GB2312"/>
        </w:rPr>
        <w:t>（1）营业执照(或事业法人登记证或其他工商等登记证明材料)复印件（投标人为 然人的，提供自然人的身份证明）………………………………………（页码）</w:t>
      </w:r>
    </w:p>
    <w:p>
      <w:pPr>
        <w:pStyle w:val="405"/>
        <w:spacing w:line="360" w:lineRule="auto"/>
        <w:rPr>
          <w:rFonts w:hint="eastAsia" w:ascii="仿宋" w:eastAsia="仿宋" w:cs="仿宋_GB2312"/>
        </w:rPr>
      </w:pPr>
      <w:r>
        <w:rPr>
          <w:rFonts w:hint="eastAsia" w:ascii="仿宋" w:eastAsia="仿宋" w:cs="仿宋_GB2312"/>
        </w:rPr>
        <w:t>（2）法定代表人授权书 ………………………………………………（页码）</w:t>
      </w:r>
    </w:p>
    <w:p>
      <w:pPr>
        <w:pStyle w:val="405"/>
        <w:spacing w:line="360" w:lineRule="auto"/>
        <w:rPr>
          <w:rFonts w:hint="eastAsia" w:ascii="仿宋" w:eastAsia="仿宋" w:cs="仿宋_GB2312"/>
        </w:rPr>
      </w:pPr>
      <w:r>
        <w:rPr>
          <w:rFonts w:hint="eastAsia" w:ascii="仿宋" w:eastAsia="仿宋" w:cs="仿宋_GB2312"/>
        </w:rPr>
        <w:t>（3）法定代表人及其授权代表的身份证（复印件）…………………（页码）</w:t>
      </w:r>
    </w:p>
    <w:p>
      <w:pPr>
        <w:pStyle w:val="405"/>
        <w:spacing w:line="360" w:lineRule="auto"/>
        <w:rPr>
          <w:rFonts w:hint="eastAsia" w:ascii="仿宋" w:eastAsia="仿宋" w:cs="仿宋_GB2312"/>
        </w:rPr>
      </w:pPr>
      <w:r>
        <w:rPr>
          <w:rFonts w:hint="eastAsia" w:ascii="仿宋" w:eastAsia="仿宋" w:cs="仿宋_GB2312"/>
        </w:rPr>
        <w:t>（4）联合体协议</w:t>
      </w:r>
      <w:r>
        <w:rPr>
          <w:rFonts w:hint="eastAsia" w:ascii="仿宋" w:eastAsia="仿宋" w:cs="仿宋_GB2312"/>
          <w:lang w:val="zh-CN"/>
        </w:rPr>
        <w:t>… ……………………………………………………</w:t>
      </w:r>
      <w:r>
        <w:rPr>
          <w:rFonts w:hint="eastAsia" w:ascii="仿宋" w:eastAsia="仿宋" w:cs="仿宋_GB2312"/>
        </w:rPr>
        <w:t>（页码）</w:t>
      </w:r>
    </w:p>
    <w:p>
      <w:pPr>
        <w:pStyle w:val="405"/>
        <w:spacing w:line="360" w:lineRule="auto"/>
        <w:rPr>
          <w:rFonts w:hint="eastAsia" w:ascii="仿宋" w:eastAsia="仿宋" w:cs="仿宋_GB2312"/>
        </w:rPr>
      </w:pPr>
      <w:r>
        <w:rPr>
          <w:rFonts w:hint="eastAsia" w:ascii="仿宋" w:eastAsia="仿宋" w:cs="仿宋_GB2312"/>
        </w:rPr>
        <w:t>（5）资信文件复印件（如果要求提供）……………………………（页码）</w:t>
      </w:r>
    </w:p>
    <w:p>
      <w:pPr>
        <w:pStyle w:val="405"/>
        <w:spacing w:line="360" w:lineRule="auto"/>
        <w:rPr>
          <w:rFonts w:hint="eastAsia" w:ascii="仿宋" w:eastAsia="仿宋" w:cs="仿宋_GB2312"/>
        </w:rPr>
      </w:pPr>
      <w:r>
        <w:rPr>
          <w:rFonts w:hint="eastAsia" w:ascii="仿宋" w:eastAsia="仿宋" w:cs="仿宋_GB2312"/>
        </w:rPr>
        <w:t>（6）</w:t>
      </w:r>
      <w:r>
        <w:rPr>
          <w:rFonts w:hint="eastAsia" w:ascii="仿宋" w:eastAsia="仿宋" w:cs="仿宋_GB2312"/>
          <w:lang w:val="zh-CN"/>
        </w:rPr>
        <w:t>主要业绩证明… …………………………………………………</w:t>
      </w:r>
      <w:r>
        <w:rPr>
          <w:rFonts w:hint="eastAsia" w:ascii="仿宋" w:eastAsia="仿宋" w:cs="仿宋_GB2312"/>
        </w:rPr>
        <w:t>（页码）</w:t>
      </w:r>
    </w:p>
    <w:p>
      <w:pPr>
        <w:pStyle w:val="405"/>
        <w:spacing w:line="360" w:lineRule="auto"/>
        <w:rPr>
          <w:rFonts w:hint="eastAsia" w:ascii="仿宋" w:eastAsia="仿宋" w:cs="仿宋_GB2312"/>
        </w:rPr>
      </w:pPr>
      <w:bookmarkStart w:id="499" w:name="OLE_LINK6"/>
      <w:bookmarkStart w:id="500" w:name="OLE_LINK7"/>
      <w:bookmarkStart w:id="501" w:name="OLE_LINK5"/>
      <w:r>
        <w:rPr>
          <w:rFonts w:hint="eastAsia" w:ascii="仿宋" w:eastAsia="仿宋" w:cs="仿宋_GB2312"/>
        </w:rPr>
        <w:t>（7）其他商务文件或说明</w:t>
      </w:r>
      <w:r>
        <w:rPr>
          <w:rFonts w:hint="eastAsia" w:ascii="仿宋" w:eastAsia="仿宋" w:cs="仿宋_GB2312"/>
          <w:lang w:val="zh-CN"/>
        </w:rPr>
        <w:t>………………………………………………</w:t>
      </w:r>
      <w:r>
        <w:rPr>
          <w:rFonts w:hint="eastAsia" w:ascii="仿宋" w:eastAsia="仿宋" w:cs="仿宋_GB2312"/>
        </w:rPr>
        <w:t>（页码）</w:t>
      </w:r>
      <w:bookmarkEnd w:id="499"/>
      <w:bookmarkEnd w:id="500"/>
    </w:p>
    <w:bookmarkEnd w:id="501"/>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（8）技术解决方案……………………………………………………（页码）</w:t>
      </w:r>
    </w:p>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（9）技术偏离说明表…………………………………………………（页码）</w:t>
      </w:r>
    </w:p>
    <w:p>
      <w:pPr>
        <w:spacing w:line="360" w:lineRule="auto"/>
        <w:ind w:firstLine="480" w:firstLineChars="200"/>
        <w:outlineLvl w:val="0"/>
        <w:rPr>
          <w:rFonts w:hint="eastAsia" w:ascii="仿宋" w:hAnsi="仿宋" w:eastAsia="仿宋" w:cs="仿宋_GB2312"/>
          <w:kern w:val="0"/>
          <w:sz w:val="24"/>
        </w:rPr>
      </w:pPr>
      <w:r>
        <w:rPr>
          <w:rFonts w:hint="eastAsia" w:ascii="仿宋" w:hAnsi="仿宋" w:eastAsia="仿宋" w:cs="仿宋_GB2312"/>
          <w:kern w:val="0"/>
          <w:sz w:val="24"/>
        </w:rPr>
        <w:t>（10）组织实施方案……………………………………………………（页码）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（11）售后服务方案……………………………………………………（页码）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（12）项目小组人员名单………………………………………………（页码）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（13）</w:t>
      </w:r>
      <w:r>
        <w:rPr>
          <w:rFonts w:hint="eastAsia" w:ascii="仿宋" w:hAnsi="仿宋" w:eastAsia="仿宋" w:cs="仿宋_GB2312"/>
          <w:kern w:val="0"/>
          <w:sz w:val="24"/>
          <w:lang w:val="zh-CN"/>
        </w:rPr>
        <w:t>优惠条件及特殊承诺……………………………………………</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（14）</w:t>
      </w:r>
      <w:r>
        <w:rPr>
          <w:rFonts w:hint="eastAsia" w:ascii="仿宋" w:hAnsi="仿宋" w:eastAsia="仿宋" w:cs="仿宋_GB2312"/>
          <w:kern w:val="0"/>
          <w:sz w:val="24"/>
          <w:lang w:val="zh-CN"/>
        </w:rPr>
        <w:t>备品备件及供选择的配套零部件清单…………………………</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kern w:val="0"/>
          <w:sz w:val="24"/>
        </w:rPr>
        <w:t>（15）</w:t>
      </w:r>
      <w:r>
        <w:rPr>
          <w:rFonts w:hint="eastAsia" w:ascii="仿宋" w:hAnsi="仿宋" w:eastAsia="仿宋" w:cs="仿宋_GB2312"/>
          <w:kern w:val="0"/>
          <w:sz w:val="24"/>
          <w:lang w:val="zh-CN"/>
        </w:rPr>
        <w:t>培训计划…………………………………………………………</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b/>
          <w:bCs/>
          <w:sz w:val="24"/>
        </w:rPr>
      </w:pPr>
      <w:r>
        <w:rPr>
          <w:rFonts w:hint="eastAsia" w:ascii="仿宋" w:hAnsi="仿宋" w:eastAsia="仿宋" w:cs="仿宋_GB2312"/>
          <w:kern w:val="0"/>
          <w:sz w:val="24"/>
        </w:rPr>
        <w:t>（16）</w:t>
      </w:r>
      <w:r>
        <w:rPr>
          <w:rFonts w:hint="eastAsia" w:ascii="仿宋" w:hAnsi="仿宋" w:eastAsia="仿宋" w:cs="仿宋_GB2312"/>
          <w:kern w:val="0"/>
          <w:sz w:val="24"/>
          <w:lang w:val="zh-CN"/>
        </w:rPr>
        <w:t>认为需要的其他技术文件或说明………………………………</w:t>
      </w:r>
      <w:r>
        <w:rPr>
          <w:rFonts w:hint="eastAsia" w:ascii="仿宋" w:hAnsi="仿宋" w:eastAsia="仿宋" w:cs="仿宋_GB2312"/>
          <w:kern w:val="0"/>
          <w:sz w:val="24"/>
        </w:rPr>
        <w:t>（页码）</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rPr>
        <w:t>（17）</w:t>
      </w:r>
      <w:r>
        <w:rPr>
          <w:rFonts w:hint="eastAsia" w:ascii="仿宋" w:hAnsi="仿宋" w:eastAsia="仿宋" w:cs="仿宋_GB2312"/>
          <w:kern w:val="0"/>
          <w:sz w:val="24"/>
          <w:lang w:val="zh-CN"/>
        </w:rPr>
        <w:t>关于对招标文件中商务、合同有关条款的拒绝声明……………</w:t>
      </w:r>
      <w:r>
        <w:rPr>
          <w:rFonts w:hint="eastAsia" w:ascii="仿宋" w:hAnsi="仿宋" w:eastAsia="仿宋" w:cs="仿宋_GB2312"/>
          <w:kern w:val="0"/>
          <w:sz w:val="24"/>
        </w:rPr>
        <w:t>（页码）</w:t>
      </w:r>
    </w:p>
    <w:p>
      <w:pPr>
        <w:spacing w:line="360" w:lineRule="auto"/>
        <w:rPr>
          <w:rFonts w:hint="eastAsia"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hint="eastAsia" w:ascii="仿宋" w:hAnsi="仿宋" w:eastAsia="仿宋" w:cs="仿宋_GB2312"/>
          <w:b/>
          <w:kern w:val="0"/>
          <w:sz w:val="32"/>
          <w:szCs w:val="32"/>
          <w:lang w:val="zh-CN"/>
        </w:rPr>
      </w:pPr>
    </w:p>
    <w:p>
      <w:pPr>
        <w:spacing w:line="360" w:lineRule="auto"/>
        <w:jc w:val="center"/>
        <w:rPr>
          <w:rFonts w:hint="eastAsia" w:ascii="仿宋" w:hAnsi="仿宋" w:eastAsia="仿宋" w:cs="仿宋_GB2312"/>
          <w:b/>
          <w:sz w:val="30"/>
          <w:szCs w:val="30"/>
        </w:rPr>
      </w:pPr>
      <w:r>
        <w:rPr>
          <w:rFonts w:hint="eastAsia" w:ascii="仿宋" w:hAnsi="仿宋" w:eastAsia="仿宋" w:cs="仿宋_GB2312"/>
          <w:b/>
          <w:kern w:val="0"/>
          <w:sz w:val="32"/>
          <w:szCs w:val="32"/>
          <w:lang w:val="zh-CN"/>
        </w:rPr>
        <w:br w:type="page"/>
      </w:r>
      <w:r>
        <w:rPr>
          <w:rFonts w:hint="eastAsia" w:ascii="仿宋" w:hAnsi="仿宋" w:eastAsia="仿宋" w:cs="仿宋_GB2312"/>
          <w:b/>
          <w:kern w:val="0"/>
          <w:sz w:val="32"/>
          <w:szCs w:val="32"/>
          <w:lang w:val="zh-CN"/>
        </w:rPr>
        <w:t>一、</w:t>
      </w:r>
      <w:r>
        <w:rPr>
          <w:rFonts w:hint="eastAsia" w:ascii="仿宋" w:hAnsi="仿宋" w:eastAsia="仿宋" w:cs="仿宋_GB2312"/>
          <w:b/>
          <w:sz w:val="32"/>
          <w:szCs w:val="32"/>
        </w:rPr>
        <w:t>营业执照(或事业法人登记证或其他工商等登记证明材料)复印件（投标人为自然人的，提供自然人的身份证明）</w:t>
      </w: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1928" w:firstLineChars="600"/>
        <w:rPr>
          <w:rFonts w:hint="eastAsia" w:ascii="仿宋" w:hAnsi="仿宋" w:eastAsia="仿宋" w:cs="仿宋_GB2312"/>
          <w:b/>
          <w:kern w:val="0"/>
          <w:sz w:val="32"/>
          <w:szCs w:val="32"/>
          <w:lang w:val="zh-CN"/>
        </w:rPr>
      </w:pPr>
    </w:p>
    <w:p>
      <w:pPr>
        <w:snapToGrid w:val="0"/>
        <w:spacing w:line="360" w:lineRule="auto"/>
        <w:ind w:firstLine="2570" w:firstLineChars="800"/>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二、法定代表人授权书</w:t>
      </w:r>
    </w:p>
    <w:p>
      <w:pPr>
        <w:snapToGrid w:val="0"/>
        <w:spacing w:line="360" w:lineRule="auto"/>
        <w:rPr>
          <w:rFonts w:hint="eastAsia" w:ascii="仿宋" w:hAnsi="仿宋" w:eastAsia="仿宋" w:cs="仿宋_GB2312"/>
          <w:kern w:val="0"/>
          <w:sz w:val="24"/>
        </w:rPr>
      </w:pPr>
      <w:r>
        <w:rPr>
          <w:rFonts w:hint="eastAsia" w:ascii="仿宋" w:hAnsi="仿宋" w:eastAsia="仿宋" w:cs="仿宋_GB2312"/>
          <w:sz w:val="24"/>
        </w:rPr>
        <w:t>杭州市公安局西湖风景名胜区分局、浙江中诺招标代理有限公司</w:t>
      </w:r>
      <w:r>
        <w:rPr>
          <w:rFonts w:hint="eastAsia" w:ascii="仿宋" w:hAnsi="仿宋" w:eastAsia="仿宋" w:cs="仿宋_GB2312"/>
          <w:kern w:val="0"/>
          <w:sz w:val="24"/>
          <w:lang w:val="zh-CN"/>
        </w:rPr>
        <w:t>：</w:t>
      </w:r>
    </w:p>
    <w:p>
      <w:pPr>
        <w:snapToGrid w:val="0"/>
        <w:spacing w:line="360" w:lineRule="auto"/>
        <w:ind w:firstLine="576"/>
        <w:rPr>
          <w:rFonts w:hint="eastAsia" w:ascii="仿宋" w:hAnsi="仿宋" w:eastAsia="仿宋" w:cs="仿宋_GB2312"/>
          <w:kern w:val="0"/>
          <w:sz w:val="24"/>
        </w:rPr>
      </w:pPr>
      <w:r>
        <w:rPr>
          <w:rFonts w:hint="eastAsia" w:ascii="仿宋" w:hAnsi="仿宋" w:eastAsia="仿宋" w:cs="仿宋_GB2312"/>
          <w:kern w:val="0"/>
          <w:sz w:val="24"/>
          <w:lang w:val="zh-CN"/>
        </w:rPr>
        <w:t>兹委派我公司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先生/女士(其在本公司的职务是：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)，代表我公司全权处理</w:t>
      </w:r>
      <w:r>
        <w:rPr>
          <w:rFonts w:hint="eastAsia" w:ascii="仿宋" w:hAnsi="仿宋" w:eastAsia="仿宋" w:cs="仿宋_GB2312"/>
          <w:sz w:val="24"/>
        </w:rPr>
        <w:t>杭州市公安局西湖风景名胜区分局景区人员综合管控提升项目</w:t>
      </w:r>
      <w:r>
        <w:rPr>
          <w:rFonts w:hint="eastAsia" w:ascii="仿宋" w:hAnsi="仿宋" w:eastAsia="仿宋" w:cs="仿宋_GB2312"/>
          <w:kern w:val="0"/>
          <w:sz w:val="24"/>
          <w:lang w:val="zh-CN"/>
        </w:rPr>
        <w:t>【编号：ZJZN-19216】政府采购投标的一切事项，若中标则全权代表本公司签订相关合同，并负责处理合同履行等事宜。</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投标人名称(公章)：</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法定代表人(签字或盖章)：</w:t>
      </w:r>
    </w:p>
    <w:p>
      <w:pPr>
        <w:wordWrap w:val="0"/>
        <w:snapToGrid w:val="0"/>
        <w:spacing w:line="360" w:lineRule="auto"/>
        <w:ind w:right="240"/>
        <w:jc w:val="right"/>
        <w:rPr>
          <w:rFonts w:hint="eastAsia" w:ascii="仿宋" w:hAnsi="仿宋" w:eastAsia="仿宋" w:cs="仿宋_GB2312"/>
          <w:kern w:val="0"/>
          <w:sz w:val="24"/>
          <w:lang w:val="zh-CN"/>
        </w:rPr>
      </w:pPr>
      <w:r>
        <w:rPr>
          <w:rFonts w:hint="eastAsia" w:ascii="仿宋" w:hAnsi="仿宋" w:eastAsia="仿宋" w:cs="仿宋_GB2312"/>
          <w:kern w:val="0"/>
          <w:sz w:val="24"/>
          <w:lang w:val="zh-CN"/>
        </w:rPr>
        <w:t>签发日期：  年  月   日</w:t>
      </w:r>
    </w:p>
    <w:p>
      <w:pPr>
        <w:snapToGrid w:val="0"/>
        <w:spacing w:line="360" w:lineRule="auto"/>
        <w:jc w:val="center"/>
        <w:rPr>
          <w:rFonts w:hint="eastAsia" w:ascii="仿宋" w:hAnsi="仿宋" w:eastAsia="仿宋" w:cs="仿宋_GB2312"/>
          <w:b/>
          <w:kern w:val="0"/>
          <w:sz w:val="32"/>
          <w:szCs w:val="32"/>
          <w:lang w:val="zh-CN"/>
        </w:rPr>
      </w:pPr>
    </w:p>
    <w:p>
      <w:pPr>
        <w:snapToGrid w:val="0"/>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联合体投标授权书（适用联合体投标）</w:t>
      </w:r>
    </w:p>
    <w:p>
      <w:pPr>
        <w:snapToGrid w:val="0"/>
        <w:spacing w:line="360" w:lineRule="auto"/>
        <w:ind w:firstLine="576"/>
        <w:rPr>
          <w:rFonts w:hint="eastAsia" w:ascii="仿宋" w:hAnsi="仿宋" w:eastAsia="仿宋" w:cs="仿宋_GB2312"/>
          <w:kern w:val="0"/>
          <w:sz w:val="24"/>
        </w:rPr>
      </w:pPr>
      <w:r>
        <w:rPr>
          <w:rFonts w:hint="eastAsia" w:ascii="仿宋" w:hAnsi="仿宋" w:eastAsia="仿宋" w:cs="仿宋_GB2312"/>
          <w:kern w:val="0"/>
          <w:sz w:val="24"/>
          <w:lang w:val="zh-CN"/>
        </w:rPr>
        <w:t>兹委派</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公司</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先生/女士(其在该公司的职务是：</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)，代表本联合体全权处理</w:t>
      </w:r>
      <w:r>
        <w:rPr>
          <w:rFonts w:hint="eastAsia" w:ascii="仿宋" w:hAnsi="仿宋" w:eastAsia="仿宋" w:cs="仿宋_GB2312"/>
          <w:sz w:val="24"/>
        </w:rPr>
        <w:t>杭州市公安局西湖风景名胜区分局景区人员综合管控提升项目</w:t>
      </w:r>
      <w:r>
        <w:rPr>
          <w:rFonts w:hint="eastAsia" w:ascii="仿宋" w:hAnsi="仿宋" w:eastAsia="仿宋" w:cs="仿宋_GB2312"/>
          <w:kern w:val="0"/>
          <w:sz w:val="24"/>
          <w:lang w:val="zh-CN"/>
        </w:rPr>
        <w:t>【编号：ZJZN-19216】政府采购投标的一切事项，若中标则全权代表本联合体签订相关合同，并负责处理合同履行等事宜。</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本授权书有效期：自   年 月  日起至  年  月  日止。</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特此告知。</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单位：            （公章）         单位：          （公章）</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法定代表人：（签字或盖章）         法定代表人：（签字或盖章）</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日期：    年   月   日             日期：    年   月   日</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w:t>
      </w:r>
    </w:p>
    <w:p>
      <w:pPr>
        <w:autoSpaceDE w:val="0"/>
        <w:autoSpaceDN w:val="0"/>
        <w:spacing w:line="360" w:lineRule="auto"/>
        <w:jc w:val="center"/>
        <w:rPr>
          <w:rFonts w:hint="eastAsia" w:ascii="仿宋" w:hAnsi="仿宋" w:eastAsia="仿宋" w:cs="仿宋_GB2312"/>
          <w:b/>
          <w:bCs/>
          <w:sz w:val="32"/>
          <w:szCs w:val="32"/>
        </w:rPr>
      </w:pPr>
    </w:p>
    <w:p>
      <w:pPr>
        <w:autoSpaceDE w:val="0"/>
        <w:autoSpaceDN w:val="0"/>
        <w:spacing w:line="360" w:lineRule="auto"/>
        <w:jc w:val="center"/>
        <w:rPr>
          <w:rFonts w:hint="eastAsia" w:ascii="仿宋" w:hAnsi="仿宋" w:eastAsia="仿宋" w:cs="仿宋_GB2312"/>
          <w:b/>
          <w:bCs/>
          <w:sz w:val="32"/>
          <w:szCs w:val="32"/>
        </w:rPr>
      </w:pPr>
    </w:p>
    <w:p>
      <w:pPr>
        <w:autoSpaceDE w:val="0"/>
        <w:autoSpaceDN w:val="0"/>
        <w:spacing w:line="360" w:lineRule="auto"/>
        <w:jc w:val="center"/>
        <w:rPr>
          <w:rFonts w:hint="eastAsia" w:ascii="仿宋" w:hAnsi="仿宋" w:eastAsia="仿宋" w:cs="仿宋_GB2312"/>
          <w:sz w:val="32"/>
          <w:szCs w:val="32"/>
        </w:rPr>
      </w:pPr>
      <w:r>
        <w:rPr>
          <w:rFonts w:hint="eastAsia" w:ascii="仿宋" w:hAnsi="仿宋" w:eastAsia="仿宋" w:cs="仿宋_GB2312"/>
          <w:b/>
          <w:bCs/>
          <w:sz w:val="32"/>
          <w:szCs w:val="32"/>
        </w:rPr>
        <w:t>三、</w:t>
      </w:r>
      <w:r>
        <w:rPr>
          <w:rFonts w:hint="eastAsia" w:ascii="仿宋" w:hAnsi="仿宋" w:eastAsia="仿宋" w:cs="仿宋_GB2312"/>
          <w:b/>
          <w:sz w:val="32"/>
          <w:szCs w:val="32"/>
        </w:rPr>
        <w:t>法定代表人及其授权代表的身份证（复印件）</w:t>
      </w:r>
    </w:p>
    <w:p>
      <w:pPr>
        <w:pStyle w:val="287"/>
        <w:spacing w:line="360" w:lineRule="auto"/>
        <w:rPr>
          <w:rFonts w:hint="eastAsia" w:ascii="仿宋" w:hAnsi="仿宋" w:eastAsia="仿宋" w:cs="仿宋_GB2312"/>
          <w:bCs/>
          <w:sz w:val="24"/>
        </w:rPr>
      </w:pPr>
      <w:r>
        <w:rPr>
          <w:rFonts w:hint="eastAsia" w:ascii="仿宋" w:hAnsi="仿宋" w:eastAsia="仿宋" w:cs="仿宋_GB2312"/>
          <w:bCs/>
          <w:sz w:val="24"/>
          <w:lang w:eastAsia="zh-CN"/>
        </w:rPr>
        <w:t>法定代表</w:t>
      </w:r>
      <w:r>
        <w:rPr>
          <w:rFonts w:hint="eastAsia" w:ascii="仿宋" w:hAnsi="仿宋" w:eastAsia="仿宋" w:cs="仿宋_GB2312"/>
          <w:bCs/>
          <w:sz w:val="24"/>
        </w:rPr>
        <w:t>人身份证件扫描件：</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0"/>
            <w:vAlign w:val="top"/>
          </w:tcPr>
          <w:p>
            <w:pPr>
              <w:pStyle w:val="287"/>
              <w:spacing w:line="360" w:lineRule="auto"/>
              <w:rPr>
                <w:rFonts w:hint="eastAsia" w:ascii="仿宋" w:hAnsi="仿宋" w:eastAsia="仿宋" w:cs="仿宋_GB2312"/>
                <w:bCs/>
                <w:sz w:val="24"/>
                <w:lang w:eastAsia="zh-CN"/>
              </w:rPr>
            </w:pPr>
            <w:r>
              <w:rPr>
                <w:rFonts w:hint="eastAsia" w:ascii="仿宋" w:hAnsi="仿宋" w:eastAsia="仿宋" w:cs="仿宋_GB2312"/>
                <w:bCs/>
                <w:sz w:val="24"/>
                <w:lang w:eastAsia="zh-CN"/>
              </w:rPr>
              <w:t>正面：                                 反面：</w:t>
            </w:r>
          </w:p>
          <w:p>
            <w:pPr>
              <w:pStyle w:val="287"/>
              <w:spacing w:line="360" w:lineRule="auto"/>
              <w:rPr>
                <w:rFonts w:hint="eastAsia" w:ascii="仿宋" w:hAnsi="仿宋" w:eastAsia="仿宋" w:cs="仿宋_GB2312"/>
                <w:bCs/>
                <w:sz w:val="24"/>
                <w:lang w:eastAsia="zh-CN"/>
              </w:rPr>
            </w:pPr>
          </w:p>
        </w:tc>
      </w:tr>
    </w:tbl>
    <w:p>
      <w:pPr>
        <w:pStyle w:val="287"/>
        <w:spacing w:line="360" w:lineRule="auto"/>
        <w:rPr>
          <w:rFonts w:hint="eastAsia" w:ascii="仿宋" w:hAnsi="仿宋" w:eastAsia="仿宋" w:cs="仿宋_GB2312"/>
          <w:bCs/>
          <w:sz w:val="24"/>
        </w:rPr>
      </w:pPr>
      <w:r>
        <w:rPr>
          <w:rFonts w:hint="eastAsia" w:ascii="仿宋" w:hAnsi="仿宋" w:eastAsia="仿宋" w:cs="仿宋_GB2312"/>
          <w:bCs/>
          <w:sz w:val="24"/>
        </w:rPr>
        <w:t>授权代表身份证件扫描件：</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12" w:hRule="atLeast"/>
          <w:jc w:val="center"/>
        </w:trPr>
        <w:tc>
          <w:tcPr>
            <w:tcW w:w="9207" w:type="dxa"/>
            <w:noWrap w:val="0"/>
            <w:vAlign w:val="top"/>
          </w:tcPr>
          <w:p>
            <w:pPr>
              <w:pStyle w:val="287"/>
              <w:spacing w:line="360" w:lineRule="auto"/>
              <w:rPr>
                <w:rFonts w:hint="eastAsia" w:ascii="仿宋" w:hAnsi="仿宋" w:eastAsia="仿宋" w:cs="仿宋_GB2312"/>
                <w:bCs/>
                <w:sz w:val="24"/>
                <w:lang w:eastAsia="zh-CN"/>
              </w:rPr>
            </w:pPr>
            <w:r>
              <w:rPr>
                <w:rFonts w:hint="eastAsia" w:ascii="仿宋" w:hAnsi="仿宋" w:eastAsia="仿宋" w:cs="仿宋_GB2312"/>
                <w:bCs/>
                <w:sz w:val="24"/>
                <w:lang w:eastAsia="zh-CN"/>
              </w:rPr>
              <w:t>正面：                                 反面：</w:t>
            </w:r>
          </w:p>
          <w:p>
            <w:pPr>
              <w:pStyle w:val="287"/>
              <w:spacing w:line="360" w:lineRule="auto"/>
              <w:rPr>
                <w:rFonts w:hint="eastAsia" w:ascii="仿宋" w:hAnsi="仿宋" w:eastAsia="仿宋" w:cs="仿宋_GB2312"/>
                <w:bCs/>
                <w:sz w:val="24"/>
                <w:lang w:eastAsia="zh-CN"/>
              </w:rPr>
            </w:pPr>
          </w:p>
        </w:tc>
      </w:tr>
    </w:tbl>
    <w:p>
      <w:pPr>
        <w:snapToGrid w:val="0"/>
        <w:spacing w:line="360" w:lineRule="auto"/>
        <w:ind w:firstLine="576"/>
        <w:jc w:val="right"/>
        <w:rPr>
          <w:rFonts w:hint="eastAsia" w:ascii="仿宋" w:hAnsi="仿宋" w:eastAsia="仿宋" w:cs="仿宋_GB2312"/>
          <w:kern w:val="0"/>
          <w:sz w:val="24"/>
          <w:lang w:val="zh-CN"/>
        </w:rPr>
      </w:pPr>
    </w:p>
    <w:p>
      <w:pPr>
        <w:snapToGrid w:val="0"/>
        <w:spacing w:line="360" w:lineRule="auto"/>
        <w:ind w:firstLine="576"/>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投标人名称(公章)：</w:t>
      </w:r>
    </w:p>
    <w:p>
      <w:pPr>
        <w:snapToGrid w:val="0"/>
        <w:spacing w:line="360" w:lineRule="auto"/>
        <w:ind w:firstLine="576"/>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w:t>
      </w:r>
    </w:p>
    <w:p>
      <w:pPr>
        <w:snapToGrid w:val="0"/>
        <w:spacing w:line="360" w:lineRule="auto"/>
        <w:ind w:firstLine="576"/>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日期：  年  月</w:t>
      </w:r>
    </w:p>
    <w:p>
      <w:pPr>
        <w:snapToGrid w:val="0"/>
        <w:spacing w:line="360" w:lineRule="auto"/>
        <w:ind w:firstLine="576"/>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br w:type="page"/>
      </w:r>
    </w:p>
    <w:p>
      <w:pPr>
        <w:snapToGrid w:val="0"/>
        <w:spacing w:before="50" w:after="50" w:line="360" w:lineRule="auto"/>
        <w:jc w:val="center"/>
        <w:rPr>
          <w:rFonts w:hint="eastAsia" w:ascii="仿宋" w:hAnsi="仿宋" w:eastAsia="仿宋" w:cs="仿宋_GB2312"/>
          <w:b/>
          <w:sz w:val="30"/>
          <w:szCs w:val="30"/>
        </w:rPr>
      </w:pPr>
      <w:r>
        <w:rPr>
          <w:rFonts w:hint="eastAsia" w:ascii="仿宋" w:hAnsi="仿宋" w:eastAsia="仿宋" w:cs="仿宋_GB2312"/>
          <w:b/>
          <w:sz w:val="32"/>
          <w:szCs w:val="32"/>
        </w:rPr>
        <w:t>四、联合体协议</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各方经协商一致，决定组成一个联合体，以一个投标人的身份就浙江中诺招标代理有限公司组织实施的</w:t>
      </w:r>
      <w:r>
        <w:rPr>
          <w:rFonts w:hint="eastAsia" w:ascii="仿宋" w:hAnsi="仿宋" w:eastAsia="仿宋" w:cs="仿宋_GB2312"/>
          <w:sz w:val="24"/>
        </w:rPr>
        <w:t>杭州市公安局西湖风景名胜区分局景区人员综合管控提升项目</w:t>
      </w:r>
      <w:r>
        <w:rPr>
          <w:rFonts w:hint="eastAsia" w:ascii="仿宋" w:hAnsi="仿宋" w:eastAsia="仿宋" w:cs="仿宋_GB2312"/>
          <w:kern w:val="0"/>
          <w:sz w:val="24"/>
          <w:lang w:val="zh-CN"/>
        </w:rPr>
        <w:t>（ZJZN-19216）共同投标。</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sz w:val="24"/>
        </w:rPr>
        <w:t>指定</w:t>
      </w:r>
      <w:r>
        <w:rPr>
          <w:rFonts w:hint="eastAsia" w:ascii="仿宋" w:hAnsi="仿宋" w:eastAsia="仿宋" w:cs="仿宋_GB2312"/>
          <w:u w:val="single"/>
        </w:rPr>
        <w:t xml:space="preserve">   </w:t>
      </w:r>
      <w:r>
        <w:rPr>
          <w:rFonts w:hint="eastAsia" w:ascii="仿宋" w:hAnsi="仿宋" w:eastAsia="仿宋" w:cs="仿宋_GB2312"/>
          <w:sz w:val="24"/>
        </w:rPr>
        <w:t>方牵头人，代表所有联合体成员负责投标和合同实施阶段的主办、协调工作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仿宋_GB2312"/>
          <w:sz w:val="24"/>
        </w:rPr>
        <w:t>所有联合体成员各方法定代表人签署授权书，授权书载明的</w:t>
      </w:r>
      <w:r>
        <w:rPr>
          <w:rFonts w:hint="eastAsia" w:ascii="仿宋" w:hAnsi="仿宋" w:eastAsia="仿宋"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三、本次联合投标中，分工如下：甲方承担的工作和义务为：</w:t>
      </w:r>
      <w:r>
        <w:rPr>
          <w:rFonts w:hint="eastAsia" w:ascii="仿宋" w:hAnsi="仿宋" w:eastAsia="仿宋" w:cs="仿宋_GB2312"/>
          <w:u w:val="single"/>
        </w:rPr>
        <w:t xml:space="preserve">             </w:t>
      </w:r>
      <w:r>
        <w:rPr>
          <w:rFonts w:hint="eastAsia" w:ascii="仿宋" w:hAnsi="仿宋" w:eastAsia="仿宋" w:cs="仿宋_GB2312"/>
          <w:kern w:val="0"/>
          <w:sz w:val="24"/>
          <w:lang w:val="zh-CN"/>
        </w:rPr>
        <w:t>；乙方承担的工作和义务为：</w:t>
      </w:r>
      <w:r>
        <w:rPr>
          <w:rFonts w:hint="eastAsia" w:ascii="仿宋" w:hAnsi="仿宋" w:eastAsia="仿宋" w:cs="仿宋_GB2312"/>
          <w:u w:val="single"/>
        </w:rPr>
        <w:t xml:space="preserve">            </w:t>
      </w:r>
      <w:r>
        <w:rPr>
          <w:rFonts w:hint="eastAsia" w:ascii="仿宋" w:hAnsi="仿宋" w:eastAsia="仿宋" w:cs="仿宋_GB2312"/>
          <w:kern w:val="0"/>
          <w:sz w:val="24"/>
          <w:lang w:val="zh-CN"/>
        </w:rPr>
        <w:t xml:space="preserve"> ；……</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四、如果中标，</w:t>
      </w:r>
      <w:r>
        <w:rPr>
          <w:rFonts w:hint="eastAsia" w:ascii="仿宋" w:hAnsi="仿宋" w:eastAsia="仿宋" w:cs="仿宋_GB2312"/>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五、有关本次联合投标的其他事宜：</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rPr>
        <w:t>1</w:t>
      </w:r>
      <w:r>
        <w:rPr>
          <w:rFonts w:hint="eastAsia" w:ascii="仿宋" w:hAnsi="仿宋" w:eastAsia="仿宋" w:cs="仿宋_GB2312"/>
          <w:kern w:val="0"/>
          <w:sz w:val="24"/>
          <w:lang w:val="zh-CN"/>
        </w:rPr>
        <w:t>、联合体各方不再单独参加或者与其他供应商另外组成联合体参加同一合同项下的政府采购活动。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rPr>
        <w:t>2</w:t>
      </w:r>
      <w:r>
        <w:rPr>
          <w:rFonts w:hint="eastAsia" w:ascii="仿宋" w:hAnsi="仿宋" w:eastAsia="仿宋" w:cs="仿宋_GB2312"/>
          <w:kern w:val="0"/>
          <w:sz w:val="24"/>
          <w:lang w:val="zh-CN"/>
        </w:rPr>
        <w:t>、联合体中有同类资质的各方按照联合体分工承担相同工作的，按照资质等级较低的供应商确定资质等级。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rPr>
        <w:t>3</w:t>
      </w:r>
      <w:r>
        <w:rPr>
          <w:rFonts w:hint="eastAsia" w:ascii="仿宋" w:hAnsi="仿宋" w:eastAsia="仿宋" w:cs="仿宋_GB2312"/>
          <w:kern w:val="0"/>
          <w:sz w:val="24"/>
          <w:lang w:val="zh-CN"/>
        </w:rPr>
        <w:t>、本协议提交采购人、采购代理机构后，联合体各方不得以任何形式对上述内容进行修改或撤销。</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甲方单位：            （公章）          乙方单位：          （公章）</w:t>
      </w:r>
    </w:p>
    <w:p>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法定代表人：（签章）                    法定代表人：（签章）</w:t>
      </w:r>
    </w:p>
    <w:p>
      <w:pPr>
        <w:snapToGrid w:val="0"/>
        <w:spacing w:line="360" w:lineRule="auto"/>
        <w:ind w:firstLine="576"/>
        <w:rPr>
          <w:rFonts w:hint="eastAsia" w:ascii="仿宋" w:hAnsi="仿宋" w:eastAsia="仿宋" w:cs="仿宋_GB2312"/>
          <w:b/>
          <w:kern w:val="0"/>
          <w:sz w:val="32"/>
          <w:szCs w:val="32"/>
          <w:lang w:val="zh-CN"/>
        </w:rPr>
      </w:pPr>
      <w:r>
        <w:rPr>
          <w:rFonts w:hint="eastAsia" w:ascii="仿宋" w:hAnsi="仿宋" w:eastAsia="仿宋" w:cs="仿宋_GB2312"/>
          <w:kern w:val="0"/>
          <w:sz w:val="24"/>
          <w:lang w:val="zh-CN"/>
        </w:rPr>
        <w:t>日期：    年   月   日                 日期：    年   月   日</w:t>
      </w:r>
    </w:p>
    <w:p>
      <w:pPr>
        <w:snapToGrid w:val="0"/>
        <w:spacing w:line="360" w:lineRule="auto"/>
        <w:ind w:right="480"/>
        <w:jc w:val="center"/>
        <w:rPr>
          <w:rFonts w:hint="eastAsia" w:ascii="仿宋" w:hAnsi="仿宋" w:eastAsia="仿宋" w:cs="仿宋_GB2312"/>
          <w:b/>
          <w:kern w:val="0"/>
          <w:sz w:val="32"/>
          <w:szCs w:val="32"/>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五、资信文件复印件（如果要求提供）</w:t>
      </w:r>
    </w:p>
    <w:p>
      <w:pPr>
        <w:spacing w:line="360" w:lineRule="auto"/>
        <w:jc w:val="center"/>
        <w:rPr>
          <w:rFonts w:hint="eastAsia" w:ascii="仿宋" w:hAnsi="仿宋" w:eastAsia="仿宋" w:cs="仿宋_GB2312"/>
          <w:b/>
          <w:bCs/>
          <w:sz w:val="32"/>
          <w:szCs w:val="32"/>
        </w:rPr>
      </w:pPr>
      <w:r>
        <w:rPr>
          <w:rFonts w:hint="eastAsia" w:ascii="仿宋" w:hAnsi="仿宋" w:eastAsia="仿宋" w:cs="仿宋_GB2312"/>
          <w:sz w:val="24"/>
        </w:rPr>
        <w:t>（由投标人根据采购需求及招标文件要求编制）</w:t>
      </w: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六、</w:t>
      </w:r>
      <w:r>
        <w:rPr>
          <w:rFonts w:hint="eastAsia" w:ascii="仿宋" w:hAnsi="仿宋" w:eastAsia="仿宋" w:cs="仿宋_GB2312"/>
          <w:b/>
          <w:kern w:val="0"/>
          <w:sz w:val="32"/>
          <w:szCs w:val="32"/>
          <w:lang w:val="zh-CN"/>
        </w:rPr>
        <w:t>主要业绩证明</w:t>
      </w:r>
    </w:p>
    <w:p>
      <w:pPr>
        <w:autoSpaceDE w:val="0"/>
        <w:autoSpaceDN w:val="0"/>
        <w:spacing w:line="360" w:lineRule="auto"/>
        <w:ind w:firstLine="120"/>
        <w:rPr>
          <w:rFonts w:hint="eastAsia" w:ascii="仿宋" w:hAnsi="仿宋" w:eastAsia="仿宋" w:cs="仿宋_GB2312"/>
          <w:b/>
          <w:sz w:val="24"/>
        </w:rPr>
      </w:pPr>
      <w:r>
        <w:rPr>
          <w:rFonts w:hint="eastAsia" w:ascii="仿宋" w:hAnsi="仿宋" w:eastAsia="仿宋" w:cs="仿宋_GB2312"/>
          <w:b/>
          <w:sz w:val="24"/>
        </w:rPr>
        <w:t>附表 :相关项目建设业绩一览表</w:t>
      </w:r>
    </w:p>
    <w:tbl>
      <w:tblPr>
        <w:tblStyle w:val="85"/>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wBefore w:w="0" w:type="dxa"/>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投资</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所在页码</w:t>
            </w:r>
          </w:p>
        </w:tc>
      </w:tr>
      <w:tr>
        <w:tblPrEx>
          <w:tblCellMar>
            <w:top w:w="0" w:type="dxa"/>
            <w:left w:w="108" w:type="dxa"/>
            <w:bottom w:w="0" w:type="dxa"/>
            <w:right w:w="108" w:type="dxa"/>
          </w:tblCellMar>
        </w:tblPrEx>
        <w:trPr>
          <w:wBefore w:w="0" w:type="dxa"/>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sz w:val="24"/>
        </w:rPr>
      </w:pPr>
      <w:r>
        <w:rPr>
          <w:rFonts w:hint="eastAsia" w:ascii="仿宋" w:hAnsi="仿宋" w:eastAsia="仿宋" w:cs="仿宋_GB2312"/>
          <w:b/>
          <w:sz w:val="24"/>
        </w:rPr>
        <w:t>注：投标人可按上述的格式自行编制，须随表提交相应的合同复印件和用户单位验收证明并注明所在投标人商务文件页码。</w:t>
      </w: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                   </w:t>
      </w:r>
    </w:p>
    <w:p>
      <w:pPr>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br w:type="page"/>
      </w:r>
      <w:r>
        <w:rPr>
          <w:rFonts w:hint="eastAsia" w:ascii="仿宋" w:hAnsi="仿宋" w:eastAsia="仿宋" w:cs="仿宋_GB2312"/>
          <w:b/>
          <w:bCs/>
          <w:sz w:val="32"/>
          <w:szCs w:val="32"/>
        </w:rPr>
        <w:t>七、</w:t>
      </w:r>
      <w:bookmarkStart w:id="502" w:name="OLE_LINK16"/>
      <w:bookmarkStart w:id="503" w:name="OLE_LINK17"/>
      <w:r>
        <w:rPr>
          <w:rFonts w:hint="eastAsia" w:ascii="仿宋" w:hAnsi="仿宋" w:eastAsia="仿宋" w:cs="仿宋_GB2312"/>
          <w:b/>
          <w:bCs/>
          <w:sz w:val="32"/>
          <w:szCs w:val="32"/>
        </w:rPr>
        <w:t>其他商务文件或说明</w:t>
      </w:r>
    </w:p>
    <w:p>
      <w:pPr>
        <w:spacing w:line="360" w:lineRule="auto"/>
        <w:jc w:val="center"/>
        <w:rPr>
          <w:rFonts w:hint="eastAsia" w:ascii="仿宋" w:hAnsi="仿宋" w:eastAsia="仿宋" w:cs="仿宋_GB2312"/>
          <w:sz w:val="24"/>
        </w:rPr>
      </w:pPr>
      <w:r>
        <w:rPr>
          <w:rFonts w:hint="eastAsia" w:ascii="仿宋" w:hAnsi="仿宋" w:eastAsia="仿宋" w:cs="仿宋_GB2312"/>
          <w:sz w:val="24"/>
        </w:rPr>
        <w:t>（</w:t>
      </w:r>
      <w:bookmarkStart w:id="504" w:name="OLE_LINK10"/>
      <w:bookmarkStart w:id="505" w:name="OLE_LINK11"/>
      <w:r>
        <w:rPr>
          <w:rFonts w:hint="eastAsia" w:ascii="仿宋" w:hAnsi="仿宋" w:eastAsia="仿宋" w:cs="仿宋_GB2312"/>
          <w:sz w:val="24"/>
        </w:rPr>
        <w:t>其他商务文件或说明由投标人根据采购需求自行编制</w:t>
      </w:r>
      <w:bookmarkEnd w:id="504"/>
      <w:bookmarkEnd w:id="505"/>
      <w:r>
        <w:rPr>
          <w:rFonts w:hint="eastAsia" w:ascii="仿宋" w:hAnsi="仿宋" w:eastAsia="仿宋" w:cs="仿宋_GB2312"/>
          <w:sz w:val="24"/>
        </w:rPr>
        <w:t>）</w:t>
      </w:r>
    </w:p>
    <w:bookmarkEnd w:id="502"/>
    <w:bookmarkEnd w:id="503"/>
    <w:p>
      <w:pPr>
        <w:spacing w:line="360" w:lineRule="auto"/>
        <w:jc w:val="center"/>
        <w:rPr>
          <w:rFonts w:hint="eastAsia" w:ascii="仿宋" w:hAnsi="仿宋" w:eastAsia="仿宋" w:cs="仿宋_GB2312"/>
          <w:sz w:val="24"/>
        </w:rPr>
      </w:pPr>
    </w:p>
    <w:p>
      <w:pPr>
        <w:autoSpaceDE w:val="0"/>
        <w:autoSpaceDN w:val="0"/>
        <w:spacing w:line="360" w:lineRule="auto"/>
        <w:ind w:firstLine="4800" w:firstLineChars="2000"/>
        <w:rPr>
          <w:rFonts w:hint="eastAsia"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 </w:t>
      </w:r>
    </w:p>
    <w:p>
      <w:pPr>
        <w:spacing w:line="360" w:lineRule="auto"/>
        <w:ind w:firstLine="1070" w:firstLineChars="446"/>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spacing w:line="360" w:lineRule="auto"/>
        <w:rPr>
          <w:rFonts w:hint="eastAsia" w:ascii="仿宋" w:hAnsi="仿宋" w:eastAsia="仿宋" w:cs="仿宋_GB2312"/>
          <w:b/>
          <w:bCs/>
          <w:kern w:val="0"/>
          <w:sz w:val="24"/>
        </w:rPr>
      </w:pPr>
    </w:p>
    <w:p>
      <w:pPr>
        <w:spacing w:line="360" w:lineRule="auto"/>
        <w:jc w:val="center"/>
        <w:rPr>
          <w:rFonts w:hint="eastAsia" w:ascii="仿宋" w:hAnsi="仿宋" w:eastAsia="仿宋" w:cs="仿宋_GB2312"/>
          <w:b/>
          <w:bCs/>
          <w:sz w:val="32"/>
          <w:szCs w:val="32"/>
        </w:rPr>
        <w:sectPr>
          <w:pgSz w:w="11906" w:h="16838"/>
          <w:pgMar w:top="1247" w:right="1418" w:bottom="1276" w:left="1418" w:header="851" w:footer="992" w:gutter="0"/>
          <w:cols w:space="720" w:num="1"/>
          <w:titlePg/>
          <w:docGrid w:linePitch="312" w:charSpace="0"/>
        </w:sect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sz w:val="32"/>
          <w:szCs w:val="32"/>
        </w:rPr>
        <w:t>八</w:t>
      </w:r>
      <w:r>
        <w:rPr>
          <w:rFonts w:hint="eastAsia" w:ascii="仿宋" w:hAnsi="仿宋" w:eastAsia="仿宋" w:cs="仿宋_GB2312"/>
          <w:b/>
          <w:bCs/>
          <w:sz w:val="32"/>
          <w:szCs w:val="32"/>
        </w:rPr>
        <w:t>、技术解决方案</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spacing w:line="360" w:lineRule="auto"/>
        <w:jc w:val="center"/>
        <w:rPr>
          <w:rFonts w:hint="eastAsia" w:ascii="仿宋" w:hAnsi="仿宋" w:eastAsia="仿宋" w:cs="仿宋_GB2312"/>
          <w:sz w:val="24"/>
        </w:rPr>
      </w:pPr>
    </w:p>
    <w:p>
      <w:pPr>
        <w:autoSpaceDE w:val="0"/>
        <w:autoSpaceDN w:val="0"/>
        <w:spacing w:line="360" w:lineRule="auto"/>
        <w:rPr>
          <w:rFonts w:hint="eastAsia" w:ascii="仿宋" w:hAnsi="仿宋" w:eastAsia="仿宋" w:cs="仿宋_GB2312"/>
          <w:b/>
          <w:kern w:val="0"/>
          <w:sz w:val="28"/>
          <w:szCs w:val="28"/>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jc w:val="center"/>
        <w:rPr>
          <w:rFonts w:hint="eastAsia" w:ascii="仿宋" w:hAnsi="仿宋" w:eastAsia="仿宋" w:cs="仿宋_GB2312"/>
          <w:b/>
          <w:bCs/>
          <w:kern w:val="0"/>
          <w:sz w:val="24"/>
          <w:lang w:val="zh-CN"/>
        </w:rPr>
      </w:pPr>
      <w:r>
        <w:rPr>
          <w:rFonts w:hint="eastAsia" w:ascii="仿宋" w:hAnsi="仿宋" w:eastAsia="仿宋" w:cs="仿宋_GB2312"/>
          <w:kern w:val="0"/>
          <w:sz w:val="24"/>
        </w:rPr>
        <w:t xml:space="preserve">                     日期：  年  月   日</w:t>
      </w:r>
    </w:p>
    <w:p>
      <w:pPr>
        <w:tabs>
          <w:tab w:val="left" w:pos="2790"/>
          <w:tab w:val="center" w:pos="3835"/>
          <w:tab w:val="left" w:pos="4230"/>
          <w:tab w:val="left" w:pos="4695"/>
        </w:tabs>
        <w:autoSpaceDE w:val="0"/>
        <w:autoSpaceDN w:val="0"/>
        <w:spacing w:line="360" w:lineRule="auto"/>
        <w:ind w:right="1400"/>
        <w:jc w:val="left"/>
        <w:outlineLvl w:val="1"/>
        <w:rPr>
          <w:rFonts w:hint="eastAsia" w:ascii="仿宋" w:hAnsi="仿宋" w:eastAsia="仿宋" w:cs="仿宋_GB2312"/>
          <w:b/>
          <w:bCs/>
          <w:kern w:val="0"/>
          <w:sz w:val="24"/>
          <w:lang w:val="zh-CN"/>
        </w:rPr>
      </w:pPr>
      <w:r>
        <w:rPr>
          <w:rFonts w:hint="eastAsia" w:ascii="仿宋" w:hAnsi="仿宋" w:eastAsia="仿宋" w:cs="仿宋_GB2312"/>
          <w:b/>
          <w:bCs/>
          <w:kern w:val="0"/>
          <w:sz w:val="24"/>
          <w:lang w:val="zh-CN"/>
        </w:rPr>
        <w:tab/>
      </w:r>
      <w:r>
        <w:rPr>
          <w:rFonts w:hint="eastAsia" w:ascii="仿宋" w:hAnsi="仿宋" w:eastAsia="仿宋" w:cs="仿宋_GB2312"/>
          <w:b/>
          <w:bCs/>
          <w:kern w:val="0"/>
          <w:sz w:val="24"/>
          <w:lang w:val="zh-CN"/>
        </w:rPr>
        <w:tab/>
      </w:r>
      <w:r>
        <w:rPr>
          <w:rFonts w:hint="eastAsia" w:ascii="仿宋" w:hAnsi="仿宋" w:eastAsia="仿宋" w:cs="仿宋_GB2312"/>
          <w:b/>
          <w:bCs/>
          <w:kern w:val="0"/>
          <w:sz w:val="24"/>
          <w:lang w:val="zh-CN"/>
        </w:rPr>
        <w:t xml:space="preserve">                        </w:t>
      </w: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九、技术偏离说明表</w:t>
      </w:r>
    </w:p>
    <w:p>
      <w:pPr>
        <w:spacing w:line="360" w:lineRule="auto"/>
        <w:jc w:val="center"/>
        <w:rPr>
          <w:rFonts w:hint="eastAsia" w:ascii="仿宋" w:hAnsi="仿宋" w:eastAsia="仿宋" w:cs="仿宋_GB2312"/>
          <w:b/>
          <w:bCs/>
          <w:sz w:val="18"/>
          <w:szCs w:val="18"/>
        </w:rPr>
      </w:pPr>
    </w:p>
    <w:tbl>
      <w:tblPr>
        <w:tblStyle w:val="8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偏离</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16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c>
          <w:tcPr>
            <w:tcW w:w="20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 w:hAnsi="仿宋" w:eastAsia="仿宋" w:cs="仿宋_GB2312"/>
                <w:sz w:val="24"/>
              </w:rPr>
            </w:pPr>
          </w:p>
        </w:tc>
      </w:tr>
    </w:tbl>
    <w:p>
      <w:pPr>
        <w:autoSpaceDE w:val="0"/>
        <w:autoSpaceDN w:val="0"/>
        <w:spacing w:line="360" w:lineRule="auto"/>
        <w:ind w:firstLine="5040" w:firstLineChars="2100"/>
        <w:rPr>
          <w:rFonts w:hint="eastAsia" w:ascii="仿宋" w:hAnsi="仿宋" w:eastAsia="仿宋" w:cs="仿宋_GB2312"/>
          <w:kern w:val="0"/>
          <w:sz w:val="24"/>
          <w:lang w:val="zh-CN"/>
        </w:rPr>
      </w:pPr>
    </w:p>
    <w:p>
      <w:pPr>
        <w:autoSpaceDE w:val="0"/>
        <w:autoSpaceDN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 </w:t>
      </w:r>
    </w:p>
    <w:p>
      <w:pPr>
        <w:spacing w:line="360" w:lineRule="auto"/>
        <w:jc w:val="center"/>
        <w:rPr>
          <w:rFonts w:hint="eastAsia" w:ascii="仿宋" w:hAnsi="仿宋" w:eastAsia="仿宋" w:cs="仿宋_GB2312"/>
          <w:b/>
          <w:sz w:val="24"/>
        </w:rPr>
      </w:pPr>
      <w:r>
        <w:rPr>
          <w:rFonts w:hint="eastAsia" w:ascii="仿宋" w:hAnsi="仿宋" w:eastAsia="仿宋" w:cs="仿宋_GB2312"/>
          <w:kern w:val="0"/>
          <w:sz w:val="24"/>
          <w:lang w:val="zh-CN"/>
        </w:rPr>
        <w:t xml:space="preserve">                            日期：  年  月   日</w:t>
      </w: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kern w:val="0"/>
          <w:sz w:val="36"/>
          <w:szCs w:val="36"/>
          <w:lang w:val="zh-CN"/>
        </w:rPr>
      </w:pPr>
      <w:r>
        <w:rPr>
          <w:rFonts w:hint="eastAsia" w:ascii="仿宋" w:hAnsi="仿宋" w:eastAsia="仿宋" w:cs="仿宋_GB2312"/>
          <w:b/>
          <w:bCs/>
          <w:kern w:val="0"/>
          <w:sz w:val="36"/>
          <w:szCs w:val="36"/>
          <w:lang w:val="zh-CN"/>
        </w:rPr>
        <w:t xml:space="preserve"> </w:t>
      </w: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kern w:val="0"/>
          <w:sz w:val="32"/>
          <w:szCs w:val="32"/>
          <w:lang w:val="zh-CN"/>
        </w:rPr>
      </w:pPr>
      <w:r>
        <w:rPr>
          <w:rFonts w:hint="eastAsia" w:ascii="仿宋" w:hAnsi="仿宋" w:eastAsia="仿宋" w:cs="仿宋_GB2312"/>
          <w:b/>
          <w:bCs/>
          <w:kern w:val="0"/>
          <w:sz w:val="32"/>
          <w:szCs w:val="32"/>
          <w:lang w:val="zh-CN"/>
        </w:rPr>
        <w:br w:type="page"/>
      </w:r>
      <w:r>
        <w:rPr>
          <w:rFonts w:hint="eastAsia" w:ascii="仿宋" w:hAnsi="仿宋" w:eastAsia="仿宋" w:cs="仿宋_GB2312"/>
          <w:b/>
          <w:bCs/>
          <w:kern w:val="0"/>
          <w:sz w:val="32"/>
          <w:szCs w:val="32"/>
          <w:lang w:val="zh-CN"/>
        </w:rPr>
        <w:t>十、组织实施方案</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tabs>
          <w:tab w:val="left" w:pos="2790"/>
          <w:tab w:val="left" w:pos="4230"/>
        </w:tabs>
        <w:autoSpaceDE w:val="0"/>
        <w:autoSpaceDN w:val="0"/>
        <w:spacing w:line="360" w:lineRule="auto"/>
        <w:ind w:right="1400"/>
        <w:outlineLvl w:val="1"/>
        <w:rPr>
          <w:rFonts w:hint="eastAsia" w:ascii="仿宋" w:hAnsi="仿宋" w:eastAsia="仿宋" w:cs="仿宋_GB2312"/>
          <w:b/>
          <w:bCs/>
          <w:kern w:val="0"/>
          <w:sz w:val="24"/>
          <w:lang w:val="zh-CN"/>
        </w:rPr>
      </w:pPr>
    </w:p>
    <w:p>
      <w:pPr>
        <w:tabs>
          <w:tab w:val="left" w:pos="2790"/>
          <w:tab w:val="left" w:pos="4230"/>
        </w:tabs>
        <w:autoSpaceDE w:val="0"/>
        <w:autoSpaceDN w:val="0"/>
        <w:spacing w:line="360" w:lineRule="auto"/>
        <w:ind w:right="1400"/>
        <w:outlineLvl w:val="1"/>
        <w:rPr>
          <w:rFonts w:hint="eastAsia" w:ascii="仿宋" w:hAnsi="仿宋" w:eastAsia="仿宋" w:cs="仿宋_GB2312"/>
          <w:b/>
          <w:bCs/>
          <w:kern w:val="0"/>
          <w:sz w:val="24"/>
          <w:lang w:val="zh-CN"/>
        </w:rPr>
      </w:pPr>
      <w:r>
        <w:rPr>
          <w:rFonts w:hint="eastAsia" w:ascii="仿宋" w:hAnsi="仿宋" w:eastAsia="仿宋" w:cs="仿宋_GB2312"/>
          <w:b/>
          <w:bCs/>
          <w:kern w:val="0"/>
          <w:sz w:val="24"/>
          <w:lang w:val="zh-CN"/>
        </w:rPr>
        <w:t>附表:项目实施进度计划表</w:t>
      </w:r>
      <w:r>
        <w:rPr>
          <w:rFonts w:hint="eastAsia" w:ascii="仿宋" w:hAnsi="仿宋" w:eastAsia="仿宋" w:cs="仿宋_GB2312"/>
          <w:b/>
          <w:sz w:val="24"/>
        </w:rPr>
        <w:t xml:space="preserve">(以生效日算起) </w:t>
      </w:r>
    </w:p>
    <w:tbl>
      <w:tblPr>
        <w:tblStyle w:val="8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9" w:hRule="atLeast"/>
        </w:trPr>
        <w:tc>
          <w:tcPr>
            <w:tcW w:w="1188"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lang/>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组合 2"/>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__TH_L2"/>
                              <wps:cNvSp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pPr>
                                      <w:snapToGrid w:val="0"/>
                                    </w:pPr>
                                    <w:r>
                                      <w:rPr>
                                        <w:rFonts w:hint="eastAsia"/>
                                      </w:rPr>
                                      <w:t>工</w:t>
                                    </w:r>
                                  </w:p>
                                </w:txbxContent>
                              </wps:txbx>
                              <wps:bodyPr wrap="square" lIns="0" tIns="0" rIns="0" bIns="0" upright="1"/>
                            </wps:wsp>
                            <wps:wsp>
                              <wps:cNvPr id="3" name="__TH_B124"/>
                              <wps:cNvSpPr txBox="1"/>
                              <wps:spPr>
                                <a:xfrm>
                                  <a:off x="643" y="419"/>
                                  <a:ext cx="253" cy="263"/>
                                </a:xfrm>
                                <a:prstGeom prst="rect">
                                  <a:avLst/>
                                </a:prstGeom>
                                <a:noFill/>
                                <a:ln>
                                  <a:noFill/>
                                </a:ln>
                              </wps:spPr>
                              <wps:txbx>
                                <w:txbxContent>
                                  <w:p>
                                    <w:pPr>
                                      <w:snapToGrid w:val="0"/>
                                    </w:pPr>
                                    <w:r>
                                      <w:rPr>
                                        <w:rFonts w:hint="eastAsia"/>
                                      </w:rPr>
                                      <w:t>作</w:t>
                                    </w:r>
                                  </w:p>
                                </w:txbxContent>
                              </wps:txbx>
                              <wps:bodyPr wrap="square" lIns="0" tIns="0" rIns="0" bIns="0" upright="1"/>
                            </wps:wsp>
                            <wps:wsp>
                              <wps:cNvPr id="4" name="__TH_B135"/>
                              <wps:cNvSpPr txBox="1"/>
                              <wps:spPr>
                                <a:xfrm>
                                  <a:off x="831" y="717"/>
                                  <a:ext cx="253" cy="262"/>
                                </a:xfrm>
                                <a:prstGeom prst="rect">
                                  <a:avLst/>
                                </a:prstGeom>
                                <a:noFill/>
                                <a:ln>
                                  <a:noFill/>
                                </a:ln>
                              </wps:spPr>
                              <wps:txbx>
                                <w:txbxContent>
                                  <w:p>
                                    <w:pPr>
                                      <w:snapToGrid w:val="0"/>
                                    </w:pPr>
                                    <w:r>
                                      <w:rPr>
                                        <w:rFonts w:hint="eastAsia"/>
                                      </w:rPr>
                                      <w:t>日</w:t>
                                    </w:r>
                                  </w:p>
                                </w:txbxContent>
                              </wps:txbx>
                              <wps:bodyPr wrap="square" lIns="0" tIns="0" rIns="0" bIns="0" upright="1"/>
                            </wps:wsp>
                          </wpg:wgp>
                        </a:graphicData>
                      </a:graphic>
                    </wp:anchor>
                  </w:drawing>
                </mc:Choice>
                <mc:Fallback>
                  <w:pict>
                    <v:group id="组合 2" o:spid="_x0000_s1026" o:spt="203" style="position:absolute;left:0pt;margin-left:-5.15pt;margin-top:0pt;height:93pt;width:58.9pt;z-index:251659264;mso-width-relative:page;mso-height-relative:page;" coordsize="1178,1860" o:gfxdata="UEsDBAoAAAAAAIdO4kAAAAAAAAAAAAAAAAAEAAAAZHJzL1BLAwQUAAAACACHTuJA9ctcntgAAAAI AQAADwAAAGRycy9kb3ducmV2LnhtbE2PwWrDMBBE74X+g9hCb4mkhqTBtRxKaHsKhSaF0tvG2tgm lmQsxU7+vptTc9thhtk3+ersWjFQH5vgDeipAkG+DLbxlYHv3ftkCSIm9Bbb4MnAhSKsivu7HDMb Rv9FwzZVgkt8zNBAnVKXSRnLmhzGaejIs3cIvcPEsq+k7XHkctfKJ6UW0mHj+UONHa1rKo/bkzPw MeL4OtNvw+Z4WF9+d/PPn40mYx4ftHoBkeic/sNwxWd0KJhpH07eRtEamGg146gBXnS11fMcxJ6P 5UKBLHJ5O6D4A1BLAwQUAAAACACHTuJAsMp95vECAADbCQAADgAAAGRycy9lMm9Eb2MueG1s7VbJ btswEL0X6D8QvDcy5bVC5ACpk7RA0AZIeg5oiVoAimRJ2rLvPfSY/+n3FP2NDqkljbPATYEWKOqD POIynHnvzVCHR5uKozXTppQixuRggBETiUxLkcf449XpqxlGxlKRUi4Fi/GWGXw0f/nisFYRC2Uh eco0AifCRLWKcWGtioLAJAWrqDmQigmYzKSuqIVXnQeppjV4r3gQDgaToJY6VVomzBgYXTSTuPWo 93Eos6xM2EImq4oJ23jVjFMLKZmiVAbPfbRZxhL7IcsMs4jHGDK1/gmHgL10z2B+SKNcU1WUSRsC 3SeEnZwqWgo4tHe1oJailS7vuarKREsjM3uQyCpoEvGIQBZksIPNmZYr5XPJozpXPehA1A7qz3ab vF9faFSmMR5jJGgFhH//+vnbzRcUOmxqlUew5EyrS3Wh24G8eXPpbjJduX9IBG08qtseVbaxKIHB 6Wg2GALeCUwRMiNk0MKeFMDNvW1JcdJuJGQKWvTbZhO/J+hODFxgfRy1AimaW3zM7+FzWVDFPOzG Jd/iQzp8rq+v3l6ft/D4FT02JjIA077APJEfjZQ29ozJCjkjxrwULiQa0fW5sUAEQNEtccNcoDrG k+HYAU2hLDMoBzArBdQakfu9RvIyPS05dzuMzpdvuEZr6krD/xzj4PfOMnfIgpqiWeenmqIpGE1P RIrsVoFoBPQK7EKoWIoRZ9BanAUOaWRpyfdZCUdzARE4OhscnbWU6RYoWCld5gUgQXyULeVOoX+A +/AO98eEDF0Q7mjQh2Mf2c2xBK374Nz4IzoYjaHMXB2EXj806ookHA8bqYcT77tX+i3NrRI09LSn lCCkY9gD79CkUT/wML52s9y0ybRQ19AOQTSfVlQDp/ydgHpyvbMzdGcsO+OvkgPANY3LF+YxCUfP JGcyAldAzoi8boT7n5xfuKwe7pqjHXKG42eSMxtCAwZypmT6KDm+pv6NyvEXHNz5viG33yfuo+Ln d98qb7/J5j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YgUAAFtDb250ZW50X1R5cGVzXS54bWxQSwECFAAKAAAAAACHTuJAAAAAAAAAAAAAAAAA BgAAAAAAAAAAABAAAABEBAAAX3JlbHMvUEsBAhQAFAAAAAgAh07iQIoUZjzRAAAAlAEAAAsAAAAA AAAAAQAgAAAAaAQAAF9yZWxzLy5yZWxzUEsBAhQACgAAAAAAh07iQAAAAAAAAAAAAAAAAAQAAAAA AAAAAAAQAAAAAAAAAGRycy9QSwECFAAUAAAACACHTuJA9ctcntgAAAAIAQAADwAAAAAAAAABACAA AAAiAAAAZHJzL2Rvd25yZXYueG1sUEsBAhQAFAAAAAgAh07iQLDKfebxAgAA2wkAAA4AAAAAAAAA AQAgAAAAJwEAAGRycy9lMm9Eb2MueG1sUEsFBgAAAAAGAAYAWQEAAIoGAAAAAA== ">
                      <o:lock v:ext="edit" grouping="f" rotation="f" text="f" aspectratio="f"/>
                      <v:line id="__TH_L2" o:spid="_x0000_s1026" o:spt="20" style="position:absolute;left:0;top:0;height:1860;width:1178;" filled="f" stroked="t" coordsize="21600,21600" o:gfxdata="UEsDBAoAAAAAAIdO4kAAAAAAAAAAAAAAAAAEAAAAZHJzL1BLAwQUAAAACACHTuJA2wcIfbgAAADa AAAADwAAAGRycy9kb3ducmV2LnhtbEVPTUsDMRC9C/0PYQrebLLCiqxNexC29OLBKp6Hzbi7uJks yXRT/fWmIHgaHu9ztvuLn9RCMY2BLVQbA4q4C27k3sL7W3v3CCoJssMpMFn4pgT73epmi40LmV9p OUmvSginBi0MInOjdeoG8pg2YSYu3GeIHqXA2GsXMZdwP+l7Yx60x5FLw4AzPQ/UfZ3O3gJX8jHl LHmJP/Whrur2aF5aa2/XlXkCJXSRf/Gf++jKfLi+cr169wt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2wcIfbgAAADaAAAA DwAAAAAAAAABACAAAAAiAAAAZHJzL2Rvd25yZXYueG1sUEsBAhQAFAAAAAgAh07iQDMvBZ47AAAA OQAAABAAAAAAAAAAAQAgAAAABwEAAGRycy9zaGFwZXhtbC54bWxQSwUGAAAAAAYABgBbAQAAsQMA AAAA ">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 AAAADwAAAGRycy9kb3ducmV2LnhtbEWPT2sCMRTE7wW/Q3iCt26iB9GtUUpREARx3R56fN08d4Ob l3UT//TbN4WCx2FmfsMsVg/Xihv1wXrWMM4UCOLKG8u1hs9y8zoDESKywdYzafihAKvl4GWBufF3 Luh2jLVIEA45amhi7HIpQ9WQw5D5jjh5J987jEn2tTQ93hPctXKi1FQ6tJwWGuzoo6HqfLw6De9f XKztZf99KE6FLcu54t30rPVoOFZvICI94jP8394aDRP4u5JugFz+Al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RpV0I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un4k70AAADa AAAADwAAAGRycy9kb3ducmV2LnhtbEWPQWsCMRSE70L/Q3gFb5pYQX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6fiT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cQBg570AAADa AAAADwAAAGRycy9kb3ducmV2LnhtbEWPQWsCMRSE70L/Q3gFb5pYRHRrXEqxUChI1+2hx9fNczfs 5mXdpGr/vSkIHoeZ+YZZ5xfXiRMNwXrWMJsqEMSVN5ZrDV/l22QJIkRkg51n0vBHAfLNw2iNmfFn Lui0j7VIEA4Zamhi7DMpQ9WQwzD1PXHyDn5wGJMcamkGPCe46+STUgvp0HJaaLCn14aqdv/rNLx8 c7G1x93PZ3EobFmuFH8sWq3HjzP1DCLSJd7Dt/a70TCH/yvpBsjNF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BxAGDnvQAA ANoAAAAPAAAAAAAAAAEAIAAAACIAAABkcnMvZG93bnJldi54bWxQSwECFAAUAAAACACHTuJAMy8F njsAAAA5AAAAEAAAAAAAAAABACAAAAAMAQAAZHJzL3NoYXBleG1sLnhtbFBLBQYAAAAABgAGAFsB AAC2AwAAAAA= ">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p>
          <w:p>
            <w:pPr>
              <w:spacing w:line="360" w:lineRule="auto"/>
              <w:rPr>
                <w:rFonts w:hint="eastAsia" w:ascii="仿宋" w:hAnsi="仿宋" w:eastAsia="仿宋" w:cs="仿宋_GB2312"/>
                <w:sz w:val="24"/>
              </w:rPr>
            </w:pPr>
            <w:r>
              <w:rPr>
                <w:rFonts w:hint="eastAsia" w:ascii="仿宋" w:hAnsi="仿宋" w:eastAsia="仿宋" w:cs="仿宋_GB2312"/>
                <w:sz w:val="24"/>
              </w:rPr>
              <w:t>内容</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2</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3</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4</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5</w:t>
            </w:r>
          </w:p>
        </w:tc>
        <w:tc>
          <w:tcPr>
            <w:tcW w:w="552"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6</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7</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8</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9</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10</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11</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12</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13</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14</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15</w:t>
            </w:r>
          </w:p>
        </w:tc>
        <w:tc>
          <w:tcPr>
            <w:tcW w:w="553" w:type="dxa"/>
            <w:noWrap w:val="0"/>
            <w:vAlign w:val="center"/>
          </w:tcPr>
          <w:p>
            <w:pPr>
              <w:spacing w:line="360" w:lineRule="auto"/>
              <w:rPr>
                <w:rFonts w:hint="eastAsia" w:ascii="仿宋" w:hAnsi="仿宋" w:eastAsia="仿宋" w:cs="仿宋_GB2312"/>
                <w:sz w:val="24"/>
              </w:rPr>
            </w:pP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2"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c>
          <w:tcPr>
            <w:tcW w:w="553" w:type="dxa"/>
            <w:noWrap w:val="0"/>
            <w:vAlign w:val="top"/>
          </w:tcPr>
          <w:p>
            <w:pPr>
              <w:spacing w:line="360" w:lineRule="auto"/>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b/>
          <w:sz w:val="24"/>
        </w:rPr>
        <w:t>注：投标人可按上述时间表的格式自行编制切合实际的具体时间表。</w:t>
      </w:r>
    </w:p>
    <w:p>
      <w:pPr>
        <w:autoSpaceDE w:val="0"/>
        <w:autoSpaceDN w:val="0"/>
        <w:spacing w:line="360" w:lineRule="auto"/>
        <w:ind w:firstLine="4440" w:firstLineChars="185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十一、售后服务方案</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（由投标人根据采购需求及招标文件要求编制）</w:t>
      </w:r>
    </w:p>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附表A:售后服务机构情况表</w:t>
      </w:r>
      <w:r>
        <w:rPr>
          <w:rFonts w:hint="eastAsia" w:ascii="仿宋" w:hAnsi="仿宋" w:eastAsia="仿宋" w:cs="仿宋_GB2312"/>
          <w:sz w:val="24"/>
        </w:rPr>
        <w:t>（按此格式自制）</w:t>
      </w: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43"/>
        <w:gridCol w:w="1292"/>
        <w:gridCol w:w="1245"/>
        <w:gridCol w:w="226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9" w:hRule="atLeast"/>
        </w:trPr>
        <w:tc>
          <w:tcPr>
            <w:tcW w:w="828"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序号</w:t>
            </w:r>
          </w:p>
        </w:tc>
        <w:tc>
          <w:tcPr>
            <w:tcW w:w="2143"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机构名称</w:t>
            </w:r>
          </w:p>
        </w:tc>
        <w:tc>
          <w:tcPr>
            <w:tcW w:w="1292"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机构性质</w:t>
            </w:r>
          </w:p>
        </w:tc>
        <w:tc>
          <w:tcPr>
            <w:tcW w:w="1245"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注册地址</w:t>
            </w:r>
          </w:p>
        </w:tc>
        <w:tc>
          <w:tcPr>
            <w:tcW w:w="2263"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服务技术人员数量</w:t>
            </w:r>
          </w:p>
        </w:tc>
        <w:tc>
          <w:tcPr>
            <w:tcW w:w="1440" w:type="dxa"/>
            <w:noWrap w:val="0"/>
            <w:vAlign w:val="top"/>
          </w:tcPr>
          <w:p>
            <w:pPr>
              <w:autoSpaceDE w:val="0"/>
              <w:autoSpaceDN w:val="0"/>
              <w:spacing w:line="360" w:lineRule="auto"/>
              <w:jc w:val="center"/>
              <w:rPr>
                <w:rFonts w:hint="eastAsia" w:ascii="仿宋" w:hAnsi="仿宋" w:eastAsia="仿宋" w:cs="仿宋_GB2312"/>
                <w:b/>
                <w:sz w:val="24"/>
              </w:rPr>
            </w:pPr>
            <w:r>
              <w:rPr>
                <w:rFonts w:hint="eastAsia" w:ascii="仿宋" w:hAnsi="仿宋" w:eastAsia="仿宋"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sz w:val="24"/>
              </w:rPr>
            </w:pPr>
          </w:p>
        </w:tc>
        <w:tc>
          <w:tcPr>
            <w:tcW w:w="2143" w:type="dxa"/>
            <w:noWrap w:val="0"/>
            <w:vAlign w:val="top"/>
          </w:tcPr>
          <w:p>
            <w:pPr>
              <w:autoSpaceDE w:val="0"/>
              <w:autoSpaceDN w:val="0"/>
              <w:spacing w:line="360" w:lineRule="auto"/>
              <w:jc w:val="center"/>
              <w:rPr>
                <w:rFonts w:hint="eastAsia" w:ascii="仿宋" w:hAnsi="仿宋" w:eastAsia="仿宋" w:cs="仿宋_GB2312"/>
                <w:sz w:val="24"/>
              </w:rPr>
            </w:pPr>
          </w:p>
        </w:tc>
        <w:tc>
          <w:tcPr>
            <w:tcW w:w="1292" w:type="dxa"/>
            <w:noWrap w:val="0"/>
            <w:vAlign w:val="top"/>
          </w:tcPr>
          <w:p>
            <w:pPr>
              <w:autoSpaceDE w:val="0"/>
              <w:autoSpaceDN w:val="0"/>
              <w:spacing w:line="360" w:lineRule="auto"/>
              <w:jc w:val="center"/>
              <w:rPr>
                <w:rFonts w:hint="eastAsia" w:ascii="仿宋" w:hAnsi="仿宋" w:eastAsia="仿宋" w:cs="仿宋_GB2312"/>
                <w:sz w:val="24"/>
              </w:rPr>
            </w:pPr>
          </w:p>
        </w:tc>
        <w:tc>
          <w:tcPr>
            <w:tcW w:w="1245" w:type="dxa"/>
            <w:noWrap w:val="0"/>
            <w:vAlign w:val="top"/>
          </w:tcPr>
          <w:p>
            <w:pPr>
              <w:autoSpaceDE w:val="0"/>
              <w:autoSpaceDN w:val="0"/>
              <w:spacing w:line="360" w:lineRule="auto"/>
              <w:jc w:val="center"/>
              <w:rPr>
                <w:rFonts w:hint="eastAsia" w:ascii="仿宋" w:hAnsi="仿宋" w:eastAsia="仿宋" w:cs="仿宋_GB2312"/>
                <w:sz w:val="24"/>
              </w:rPr>
            </w:pPr>
          </w:p>
        </w:tc>
        <w:tc>
          <w:tcPr>
            <w:tcW w:w="2263" w:type="dxa"/>
            <w:noWrap w:val="0"/>
            <w:vAlign w:val="top"/>
          </w:tcPr>
          <w:p>
            <w:pPr>
              <w:autoSpaceDE w:val="0"/>
              <w:autoSpaceDN w:val="0"/>
              <w:spacing w:line="360" w:lineRule="auto"/>
              <w:jc w:val="center"/>
              <w:rPr>
                <w:rFonts w:hint="eastAsia" w:ascii="仿宋" w:hAnsi="仿宋" w:eastAsia="仿宋" w:cs="仿宋_GB2312"/>
                <w:sz w:val="24"/>
              </w:rPr>
            </w:pPr>
          </w:p>
        </w:tc>
        <w:tc>
          <w:tcPr>
            <w:tcW w:w="1440" w:type="dxa"/>
            <w:noWrap w:val="0"/>
            <w:vAlign w:val="top"/>
          </w:tcPr>
          <w:p>
            <w:pPr>
              <w:autoSpaceDE w:val="0"/>
              <w:autoSpaceDN w:val="0"/>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sz w:val="24"/>
              </w:rPr>
            </w:pPr>
          </w:p>
        </w:tc>
        <w:tc>
          <w:tcPr>
            <w:tcW w:w="2143" w:type="dxa"/>
            <w:noWrap w:val="0"/>
            <w:vAlign w:val="top"/>
          </w:tcPr>
          <w:p>
            <w:pPr>
              <w:autoSpaceDE w:val="0"/>
              <w:autoSpaceDN w:val="0"/>
              <w:spacing w:line="360" w:lineRule="auto"/>
              <w:jc w:val="center"/>
              <w:rPr>
                <w:rFonts w:hint="eastAsia" w:ascii="仿宋" w:hAnsi="仿宋" w:eastAsia="仿宋" w:cs="仿宋_GB2312"/>
                <w:sz w:val="24"/>
              </w:rPr>
            </w:pPr>
          </w:p>
        </w:tc>
        <w:tc>
          <w:tcPr>
            <w:tcW w:w="1292" w:type="dxa"/>
            <w:noWrap w:val="0"/>
            <w:vAlign w:val="top"/>
          </w:tcPr>
          <w:p>
            <w:pPr>
              <w:autoSpaceDE w:val="0"/>
              <w:autoSpaceDN w:val="0"/>
              <w:spacing w:line="360" w:lineRule="auto"/>
              <w:jc w:val="center"/>
              <w:rPr>
                <w:rFonts w:hint="eastAsia" w:ascii="仿宋" w:hAnsi="仿宋" w:eastAsia="仿宋" w:cs="仿宋_GB2312"/>
                <w:sz w:val="24"/>
              </w:rPr>
            </w:pPr>
          </w:p>
        </w:tc>
        <w:tc>
          <w:tcPr>
            <w:tcW w:w="1245" w:type="dxa"/>
            <w:noWrap w:val="0"/>
            <w:vAlign w:val="top"/>
          </w:tcPr>
          <w:p>
            <w:pPr>
              <w:autoSpaceDE w:val="0"/>
              <w:autoSpaceDN w:val="0"/>
              <w:spacing w:line="360" w:lineRule="auto"/>
              <w:jc w:val="center"/>
              <w:rPr>
                <w:rFonts w:hint="eastAsia" w:ascii="仿宋" w:hAnsi="仿宋" w:eastAsia="仿宋" w:cs="仿宋_GB2312"/>
                <w:sz w:val="24"/>
              </w:rPr>
            </w:pPr>
          </w:p>
        </w:tc>
        <w:tc>
          <w:tcPr>
            <w:tcW w:w="2263" w:type="dxa"/>
            <w:noWrap w:val="0"/>
            <w:vAlign w:val="top"/>
          </w:tcPr>
          <w:p>
            <w:pPr>
              <w:autoSpaceDE w:val="0"/>
              <w:autoSpaceDN w:val="0"/>
              <w:spacing w:line="360" w:lineRule="auto"/>
              <w:jc w:val="center"/>
              <w:rPr>
                <w:rFonts w:hint="eastAsia" w:ascii="仿宋" w:hAnsi="仿宋" w:eastAsia="仿宋" w:cs="仿宋_GB2312"/>
                <w:sz w:val="24"/>
              </w:rPr>
            </w:pPr>
          </w:p>
        </w:tc>
        <w:tc>
          <w:tcPr>
            <w:tcW w:w="1440" w:type="dxa"/>
            <w:noWrap w:val="0"/>
            <w:vAlign w:val="top"/>
          </w:tcPr>
          <w:p>
            <w:pPr>
              <w:autoSpaceDE w:val="0"/>
              <w:autoSpaceDN w:val="0"/>
              <w:spacing w:line="360" w:lineRule="auto"/>
              <w:jc w:val="center"/>
              <w:rPr>
                <w:rFonts w:hint="eastAsia"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28" w:type="dxa"/>
            <w:noWrap w:val="0"/>
            <w:vAlign w:val="top"/>
          </w:tcPr>
          <w:p>
            <w:pPr>
              <w:autoSpaceDE w:val="0"/>
              <w:autoSpaceDN w:val="0"/>
              <w:spacing w:line="360" w:lineRule="auto"/>
              <w:jc w:val="center"/>
              <w:rPr>
                <w:rFonts w:hint="eastAsia" w:ascii="仿宋" w:hAnsi="仿宋" w:eastAsia="仿宋" w:cs="仿宋_GB2312"/>
                <w:sz w:val="24"/>
              </w:rPr>
            </w:pPr>
          </w:p>
        </w:tc>
        <w:tc>
          <w:tcPr>
            <w:tcW w:w="2143" w:type="dxa"/>
            <w:noWrap w:val="0"/>
            <w:vAlign w:val="top"/>
          </w:tcPr>
          <w:p>
            <w:pPr>
              <w:autoSpaceDE w:val="0"/>
              <w:autoSpaceDN w:val="0"/>
              <w:spacing w:line="360" w:lineRule="auto"/>
              <w:jc w:val="center"/>
              <w:rPr>
                <w:rFonts w:hint="eastAsia" w:ascii="仿宋" w:hAnsi="仿宋" w:eastAsia="仿宋" w:cs="仿宋_GB2312"/>
                <w:sz w:val="24"/>
              </w:rPr>
            </w:pPr>
          </w:p>
        </w:tc>
        <w:tc>
          <w:tcPr>
            <w:tcW w:w="1292" w:type="dxa"/>
            <w:noWrap w:val="0"/>
            <w:vAlign w:val="top"/>
          </w:tcPr>
          <w:p>
            <w:pPr>
              <w:autoSpaceDE w:val="0"/>
              <w:autoSpaceDN w:val="0"/>
              <w:spacing w:line="360" w:lineRule="auto"/>
              <w:jc w:val="center"/>
              <w:rPr>
                <w:rFonts w:hint="eastAsia" w:ascii="仿宋" w:hAnsi="仿宋" w:eastAsia="仿宋" w:cs="仿宋_GB2312"/>
                <w:sz w:val="24"/>
              </w:rPr>
            </w:pPr>
          </w:p>
        </w:tc>
        <w:tc>
          <w:tcPr>
            <w:tcW w:w="1245" w:type="dxa"/>
            <w:noWrap w:val="0"/>
            <w:vAlign w:val="top"/>
          </w:tcPr>
          <w:p>
            <w:pPr>
              <w:autoSpaceDE w:val="0"/>
              <w:autoSpaceDN w:val="0"/>
              <w:spacing w:line="360" w:lineRule="auto"/>
              <w:jc w:val="center"/>
              <w:rPr>
                <w:rFonts w:hint="eastAsia" w:ascii="仿宋" w:hAnsi="仿宋" w:eastAsia="仿宋" w:cs="仿宋_GB2312"/>
                <w:sz w:val="24"/>
              </w:rPr>
            </w:pPr>
          </w:p>
        </w:tc>
        <w:tc>
          <w:tcPr>
            <w:tcW w:w="2263" w:type="dxa"/>
            <w:noWrap w:val="0"/>
            <w:vAlign w:val="top"/>
          </w:tcPr>
          <w:p>
            <w:pPr>
              <w:autoSpaceDE w:val="0"/>
              <w:autoSpaceDN w:val="0"/>
              <w:spacing w:line="360" w:lineRule="auto"/>
              <w:jc w:val="center"/>
              <w:rPr>
                <w:rFonts w:hint="eastAsia" w:ascii="仿宋" w:hAnsi="仿宋" w:eastAsia="仿宋" w:cs="仿宋_GB2312"/>
                <w:sz w:val="24"/>
              </w:rPr>
            </w:pPr>
          </w:p>
        </w:tc>
        <w:tc>
          <w:tcPr>
            <w:tcW w:w="1440" w:type="dxa"/>
            <w:noWrap w:val="0"/>
            <w:vAlign w:val="top"/>
          </w:tcPr>
          <w:p>
            <w:pPr>
              <w:autoSpaceDE w:val="0"/>
              <w:autoSpaceDN w:val="0"/>
              <w:spacing w:line="360" w:lineRule="auto"/>
              <w:jc w:val="center"/>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注：关于项目涉及的所有售后服务机构均在本表注明，包括投标人本单位和符合条件的第三方服务机构；</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b/>
          <w:kern w:val="0"/>
          <w:sz w:val="24"/>
        </w:rPr>
        <w:t>附表B：售后服务人员情况表</w:t>
      </w:r>
      <w:r>
        <w:rPr>
          <w:rFonts w:hint="eastAsia" w:ascii="仿宋" w:hAnsi="仿宋" w:eastAsia="仿宋" w:cs="仿宋_GB2312"/>
          <w:sz w:val="24"/>
        </w:rPr>
        <w:t>（按此格式自制）</w:t>
      </w:r>
    </w:p>
    <w:tbl>
      <w:tblPr>
        <w:tblStyle w:val="85"/>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wBefore w:w="0" w:type="dxa"/>
          <w:trHeight w:val="1881"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序号</w:t>
            </w:r>
          </w:p>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到达现场时间</w:t>
            </w:r>
          </w:p>
        </w:tc>
      </w:tr>
      <w:tr>
        <w:tblPrEx>
          <w:tblCellMar>
            <w:top w:w="0" w:type="dxa"/>
            <w:left w:w="108" w:type="dxa"/>
            <w:bottom w:w="0" w:type="dxa"/>
            <w:right w:w="108" w:type="dxa"/>
          </w:tblCellMar>
        </w:tblPrEx>
        <w:trPr>
          <w:wBefore w:w="0" w:type="dxa"/>
          <w:trHeight w:val="1881"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1881"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1881"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1881"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bl>
    <w:p>
      <w:pPr>
        <w:autoSpaceDE w:val="0"/>
        <w:autoSpaceDN w:val="0"/>
        <w:spacing w:line="360" w:lineRule="auto"/>
        <w:ind w:firstLine="4440" w:firstLineChars="185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rPr>
          <w:rFonts w:hint="eastAsia" w:ascii="仿宋" w:hAnsi="仿宋" w:eastAsia="仿宋" w:cs="仿宋_GB2312"/>
          <w:b/>
          <w:bCs/>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24"/>
        </w:rPr>
      </w:pPr>
      <w:r>
        <w:rPr>
          <w:rFonts w:hint="eastAsia" w:ascii="仿宋" w:hAnsi="仿宋" w:eastAsia="仿宋" w:cs="仿宋_GB2312"/>
          <w:b/>
          <w:bCs/>
          <w:sz w:val="24"/>
        </w:rPr>
        <w:br w:type="page"/>
      </w: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十二、项目小组人员名单</w:t>
      </w:r>
    </w:p>
    <w:p>
      <w:pPr>
        <w:spacing w:line="360" w:lineRule="auto"/>
        <w:jc w:val="center"/>
        <w:rPr>
          <w:rFonts w:hint="eastAsia" w:ascii="仿宋" w:hAnsi="仿宋" w:eastAsia="仿宋" w:cs="仿宋_GB2312"/>
          <w:b/>
          <w:bCs/>
          <w:sz w:val="24"/>
        </w:rPr>
      </w:pPr>
      <w:r>
        <w:rPr>
          <w:rFonts w:hint="eastAsia" w:ascii="仿宋" w:hAnsi="仿宋" w:eastAsia="仿宋" w:cs="仿宋_GB2312"/>
          <w:sz w:val="24"/>
        </w:rPr>
        <w:t>（由投标人根据采购需求及招标文件要求编制）</w:t>
      </w:r>
    </w:p>
    <w:p>
      <w:pPr>
        <w:keepNext/>
        <w:autoSpaceDE w:val="0"/>
        <w:autoSpaceDN w:val="0"/>
        <w:spacing w:line="360" w:lineRule="auto"/>
        <w:ind w:firstLine="477"/>
        <w:rPr>
          <w:rFonts w:hint="eastAsia" w:ascii="仿宋" w:hAnsi="仿宋" w:eastAsia="仿宋" w:cs="仿宋_GB2312"/>
          <w:b/>
          <w:sz w:val="24"/>
        </w:rPr>
      </w:pPr>
      <w:r>
        <w:rPr>
          <w:rFonts w:hint="eastAsia" w:ascii="仿宋" w:hAnsi="仿宋" w:eastAsia="仿宋" w:cs="仿宋_GB2312"/>
          <w:b/>
          <w:sz w:val="24"/>
        </w:rPr>
        <w:t>附表A:本项目的项目经理情况表</w:t>
      </w:r>
    </w:p>
    <w:tbl>
      <w:tblPr>
        <w:tblStyle w:val="85"/>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wBefore w:w="0" w:type="dxa"/>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 w:hAnsi="仿宋" w:eastAsia="仿宋"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 w:hAnsi="仿宋" w:eastAsia="仿宋"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p>
        </w:tc>
      </w:tr>
    </w:tbl>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注：须随表提交相应的证书复印件并注明所在投标技术文件页码。</w:t>
      </w:r>
    </w:p>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附表B:本项目的项目小组人员情况表</w:t>
      </w:r>
      <w:r>
        <w:rPr>
          <w:rFonts w:hint="eastAsia" w:ascii="仿宋" w:hAnsi="仿宋" w:eastAsia="仿宋" w:cs="仿宋_GB2312"/>
          <w:sz w:val="24"/>
        </w:rPr>
        <w:t>（按此格式自制）</w:t>
      </w:r>
    </w:p>
    <w:tbl>
      <w:tblPr>
        <w:tblStyle w:val="85"/>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rPr>
          <w:wBefore w:w="0" w:type="dxa"/>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学历</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专业</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职称</w:t>
            </w:r>
          </w:p>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参与本项目的到位情况</w:t>
            </w:r>
          </w:p>
        </w:tc>
      </w:tr>
      <w:tr>
        <w:tblPrEx>
          <w:tblCellMar>
            <w:top w:w="0" w:type="dxa"/>
            <w:left w:w="108" w:type="dxa"/>
            <w:bottom w:w="0" w:type="dxa"/>
            <w:right w:w="108" w:type="dxa"/>
          </w:tblCellMar>
        </w:tblPrEx>
        <w:trPr>
          <w:wBefore w:w="0" w:type="dxa"/>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sz w:val="24"/>
              </w:rPr>
            </w:pPr>
          </w:p>
        </w:tc>
      </w:tr>
    </w:tbl>
    <w:p>
      <w:pPr>
        <w:spacing w:line="360" w:lineRule="auto"/>
        <w:rPr>
          <w:rFonts w:hint="eastAsia" w:ascii="仿宋" w:hAnsi="仿宋" w:eastAsia="仿宋" w:cs="仿宋_GB2312"/>
          <w:b/>
          <w:bCs/>
          <w:sz w:val="24"/>
        </w:rPr>
      </w:pPr>
      <w:r>
        <w:rPr>
          <w:rFonts w:hint="eastAsia" w:ascii="仿宋" w:hAnsi="仿宋" w:eastAsia="仿宋" w:cs="仿宋_GB2312"/>
          <w:b/>
          <w:sz w:val="24"/>
        </w:rPr>
        <w:t>注：投标人可按上述的格式自行编制，须随表提交相应的证书复印件并注明所在投标技术文件页码。</w:t>
      </w:r>
    </w:p>
    <w:p>
      <w:pPr>
        <w:spacing w:line="360" w:lineRule="auto"/>
        <w:rPr>
          <w:rFonts w:hint="eastAsia" w:ascii="仿宋" w:hAnsi="仿宋" w:eastAsia="仿宋" w:cs="仿宋_GB2312"/>
          <w:b/>
          <w:bCs/>
          <w:sz w:val="24"/>
        </w:rPr>
      </w:pPr>
      <w:r>
        <w:rPr>
          <w:rFonts w:hint="eastAsia" w:ascii="仿宋" w:hAnsi="仿宋" w:eastAsia="仿宋" w:cs="仿宋_GB2312"/>
          <w:b/>
          <w:sz w:val="24"/>
        </w:rPr>
        <w:t>附表C:本项目的项目经理和小组人员近3个月交纳社保记录情况表</w:t>
      </w:r>
      <w:r>
        <w:rPr>
          <w:rFonts w:hint="eastAsia" w:ascii="仿宋" w:hAnsi="仿宋" w:eastAsia="仿宋" w:cs="仿宋_GB2312"/>
          <w:sz w:val="24"/>
        </w:rPr>
        <w:t>（以社保局缴纳凭证作附件）</w:t>
      </w:r>
    </w:p>
    <w:p>
      <w:pPr>
        <w:autoSpaceDE w:val="0"/>
        <w:autoSpaceDN w:val="0"/>
        <w:spacing w:line="360" w:lineRule="auto"/>
        <w:ind w:firstLine="4440" w:firstLineChars="185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十三、</w:t>
      </w:r>
      <w:r>
        <w:rPr>
          <w:rFonts w:hint="eastAsia" w:ascii="仿宋" w:hAnsi="仿宋" w:eastAsia="仿宋" w:cs="仿宋_GB2312"/>
          <w:b/>
          <w:kern w:val="0"/>
          <w:sz w:val="32"/>
          <w:szCs w:val="32"/>
          <w:lang w:val="zh-CN"/>
        </w:rPr>
        <w:t>优惠条件及特殊承诺</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jc w:val="center"/>
        <w:rPr>
          <w:rFonts w:hint="eastAsia" w:ascii="仿宋" w:hAnsi="仿宋" w:eastAsia="仿宋" w:cs="仿宋_GB2312"/>
          <w:sz w:val="18"/>
          <w:szCs w:val="18"/>
        </w:rPr>
      </w:pPr>
    </w:p>
    <w:p>
      <w:pPr>
        <w:autoSpaceDE w:val="0"/>
        <w:autoSpaceDN w:val="0"/>
        <w:spacing w:line="360" w:lineRule="auto"/>
        <w:ind w:firstLine="4440" w:firstLineChars="1850"/>
        <w:rPr>
          <w:rFonts w:hint="eastAsia" w:ascii="仿宋" w:hAnsi="仿宋" w:eastAsia="仿宋" w:cs="仿宋_GB2312"/>
          <w:kern w:val="0"/>
          <w:sz w:val="24"/>
        </w:rPr>
      </w:pPr>
      <w:r>
        <w:rPr>
          <w:rFonts w:hint="eastAsia" w:ascii="仿宋" w:hAnsi="仿宋" w:eastAsia="仿宋" w:cs="仿宋_GB2312"/>
          <w:kern w:val="0"/>
          <w:sz w:val="24"/>
        </w:rPr>
        <w:t>投标人名称（公章）：</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w:t>
      </w:r>
    </w:p>
    <w:p>
      <w:pPr>
        <w:spacing w:line="360" w:lineRule="auto"/>
        <w:jc w:val="center"/>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18"/>
          <w:szCs w:val="18"/>
        </w:rPr>
      </w:pP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十四、</w:t>
      </w:r>
      <w:r>
        <w:rPr>
          <w:rFonts w:hint="eastAsia" w:ascii="仿宋" w:hAnsi="仿宋" w:eastAsia="仿宋" w:cs="仿宋_GB2312"/>
          <w:b/>
          <w:kern w:val="0"/>
          <w:sz w:val="32"/>
          <w:szCs w:val="32"/>
          <w:lang w:val="zh-CN"/>
        </w:rPr>
        <w:t>备品备件清单</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jc w:val="center"/>
        <w:rPr>
          <w:rFonts w:hint="eastAsia" w:ascii="仿宋" w:hAnsi="仿宋" w:eastAsia="仿宋" w:cs="仿宋_GB2312"/>
          <w:b/>
          <w:bCs/>
          <w:sz w:val="32"/>
          <w:szCs w:val="32"/>
        </w:rPr>
      </w:pP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十五、</w:t>
      </w:r>
      <w:r>
        <w:rPr>
          <w:rFonts w:hint="eastAsia" w:ascii="仿宋" w:hAnsi="仿宋" w:eastAsia="仿宋" w:cs="仿宋_GB2312"/>
          <w:b/>
          <w:kern w:val="0"/>
          <w:sz w:val="32"/>
          <w:szCs w:val="32"/>
          <w:lang w:val="zh-CN"/>
        </w:rPr>
        <w:t>培训计划（如果有）</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keepNext/>
        <w:autoSpaceDE w:val="0"/>
        <w:autoSpaceDN w:val="0"/>
        <w:spacing w:line="360" w:lineRule="auto"/>
        <w:ind w:firstLine="477"/>
        <w:jc w:val="left"/>
        <w:rPr>
          <w:rFonts w:hint="eastAsia" w:ascii="仿宋" w:hAnsi="仿宋" w:eastAsia="仿宋" w:cs="仿宋_GB2312"/>
          <w:b/>
          <w:sz w:val="24"/>
        </w:rPr>
      </w:pPr>
      <w:r>
        <w:rPr>
          <w:rFonts w:hint="eastAsia" w:ascii="仿宋" w:hAnsi="仿宋" w:eastAsia="仿宋" w:cs="仿宋_GB2312"/>
          <w:b/>
          <w:sz w:val="24"/>
        </w:rPr>
        <w:t>附表: 培训日程及费用</w:t>
      </w:r>
    </w:p>
    <w:tbl>
      <w:tblPr>
        <w:tblStyle w:val="85"/>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wBefore w:w="0" w:type="dxa"/>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pPr>
              <w:tabs>
                <w:tab w:val="center" w:pos="1690"/>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提供的资料</w:t>
            </w:r>
          </w:p>
        </w:tc>
        <w:tc>
          <w:tcPr>
            <w:tcW w:w="930"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持续时间</w:t>
            </w:r>
          </w:p>
        </w:tc>
        <w:tc>
          <w:tcPr>
            <w:tcW w:w="953" w:type="dxa"/>
            <w:tcBorders>
              <w:top w:val="single" w:color="auto" w:sz="6" w:space="0"/>
              <w:left w:val="single" w:color="auto" w:sz="6" w:space="0"/>
              <w:bottom w:val="nil"/>
              <w:right w:val="nil"/>
            </w:tcBorders>
            <w:shd w:val="pct10" w:color="auto" w:fill="auto"/>
            <w:noWrap w:val="0"/>
            <w:vAlign w:val="center"/>
          </w:tcPr>
          <w:p>
            <w:pPr>
              <w:tabs>
                <w:tab w:val="center" w:pos="1028"/>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授课教师</w:t>
            </w:r>
          </w:p>
        </w:tc>
        <w:tc>
          <w:tcPr>
            <w:tcW w:w="997" w:type="dxa"/>
            <w:tcBorders>
              <w:top w:val="single" w:color="auto" w:sz="6" w:space="0"/>
              <w:left w:val="single" w:color="auto" w:sz="6" w:space="0"/>
              <w:bottom w:val="nil"/>
              <w:right w:val="nil"/>
            </w:tcBorders>
            <w:shd w:val="pct10" w:color="auto" w:fill="auto"/>
            <w:noWrap w:val="0"/>
            <w:vAlign w:val="center"/>
          </w:tcPr>
          <w:p>
            <w:pPr>
              <w:tabs>
                <w:tab w:val="center" w:pos="595"/>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培训对象</w:t>
            </w:r>
          </w:p>
        </w:tc>
        <w:tc>
          <w:tcPr>
            <w:tcW w:w="1440" w:type="dxa"/>
            <w:tcBorders>
              <w:top w:val="single" w:color="auto" w:sz="6" w:space="0"/>
              <w:left w:val="single" w:color="auto" w:sz="6" w:space="0"/>
              <w:bottom w:val="nil"/>
              <w:right w:val="nil"/>
            </w:tcBorders>
            <w:shd w:val="pct10" w:color="auto" w:fill="auto"/>
            <w:noWrap w:val="0"/>
            <w:vAlign w:val="center"/>
          </w:tcPr>
          <w:p>
            <w:pPr>
              <w:tabs>
                <w:tab w:val="center" w:pos="520"/>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pPr>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课程费用</w:t>
            </w:r>
          </w:p>
        </w:tc>
      </w:tr>
      <w:tr>
        <w:trPr>
          <w:wBefore w:w="0" w:type="dxa"/>
          <w:trHeight w:val="281"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 w:hAnsi="仿宋" w:eastAsia="仿宋" w:cs="仿宋_GB2312"/>
                <w:sz w:val="24"/>
              </w:rPr>
            </w:pPr>
          </w:p>
        </w:tc>
      </w:tr>
      <w:tr>
        <w:tblPrEx>
          <w:tblCellMar>
            <w:top w:w="0" w:type="dxa"/>
            <w:left w:w="120" w:type="dxa"/>
            <w:bottom w:w="0" w:type="dxa"/>
            <w:right w:w="120" w:type="dxa"/>
          </w:tblCellMar>
        </w:tblPrEx>
        <w:trPr>
          <w:wBefore w:w="0" w:type="dxa"/>
          <w:trHeight w:val="273" w:hRule="atLeast"/>
        </w:trPr>
        <w:tc>
          <w:tcPr>
            <w:tcW w:w="1806" w:type="dxa"/>
            <w:tcBorders>
              <w:top w:val="single" w:color="auto" w:sz="6" w:space="0"/>
              <w:left w:val="single" w:color="auto" w:sz="6" w:space="0"/>
              <w:bottom w:val="nil"/>
              <w:right w:val="nil"/>
            </w:tcBorders>
            <w:noWrap w:val="0"/>
            <w:vAlign w:val="top"/>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hint="eastAsia" w:ascii="仿宋" w:hAnsi="仿宋" w:eastAsia="仿宋" w:cs="仿宋_GB2312"/>
                <w:sz w:val="24"/>
              </w:rPr>
            </w:pPr>
          </w:p>
        </w:tc>
        <w:tc>
          <w:tcPr>
            <w:tcW w:w="1254" w:type="dxa"/>
            <w:tcBorders>
              <w:top w:val="single" w:color="auto" w:sz="6" w:space="0"/>
              <w:left w:val="single" w:color="auto" w:sz="6" w:space="0"/>
              <w:bottom w:val="nil"/>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nil"/>
              <w:right w:val="nil"/>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nil"/>
              <w:right w:val="nil"/>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nil"/>
              <w:right w:val="nil"/>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nil"/>
              <w:right w:val="nil"/>
            </w:tcBorders>
            <w:noWrap w:val="0"/>
            <w:vAlign w:val="top"/>
          </w:tcPr>
          <w:p>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nil"/>
              <w:right w:val="single" w:color="auto" w:sz="6" w:space="0"/>
            </w:tcBorders>
            <w:noWrap w:val="0"/>
            <w:vAlign w:val="top"/>
          </w:tcPr>
          <w:p>
            <w:pPr>
              <w:suppressAutoHyphens/>
              <w:autoSpaceDE w:val="0"/>
              <w:autoSpaceDN w:val="0"/>
              <w:spacing w:line="360" w:lineRule="auto"/>
              <w:rPr>
                <w:rFonts w:hint="eastAsia" w:ascii="仿宋" w:hAnsi="仿宋" w:eastAsia="仿宋" w:cs="仿宋_GB2312"/>
                <w:sz w:val="24"/>
              </w:rPr>
            </w:pPr>
          </w:p>
        </w:tc>
      </w:tr>
      <w:tr>
        <w:tblPrEx>
          <w:tblCellMar>
            <w:top w:w="0" w:type="dxa"/>
            <w:left w:w="120" w:type="dxa"/>
            <w:bottom w:w="0" w:type="dxa"/>
            <w:right w:w="120" w:type="dxa"/>
          </w:tblCellMar>
        </w:tblPrEx>
        <w:trPr>
          <w:wBefore w:w="0" w:type="dxa"/>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hint="eastAsia" w:ascii="仿宋" w:hAnsi="仿宋" w:eastAsia="仿宋" w:cs="仿宋_GB2312"/>
                <w:sz w:val="24"/>
              </w:rPr>
            </w:pPr>
            <w:r>
              <w:rPr>
                <w:rFonts w:hint="eastAsia" w:ascii="仿宋" w:hAnsi="仿宋" w:eastAsia="仿宋"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30" w:type="dxa"/>
            <w:tcBorders>
              <w:top w:val="single" w:color="auto" w:sz="6" w:space="0"/>
              <w:left w:val="single" w:color="auto" w:sz="6" w:space="0"/>
              <w:bottom w:val="single" w:color="auto" w:sz="6" w:space="0"/>
              <w:right w:val="single" w:color="auto" w:sz="6" w:space="0"/>
            </w:tcBorders>
            <w:noWrap w:val="0"/>
            <w:vAlign w:val="top"/>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hint="eastAsia" w:ascii="仿宋" w:hAnsi="仿宋" w:eastAsia="仿宋" w:cs="仿宋_GB2312"/>
                <w:sz w:val="24"/>
              </w:rPr>
            </w:pPr>
          </w:p>
        </w:tc>
        <w:tc>
          <w:tcPr>
            <w:tcW w:w="953" w:type="dxa"/>
            <w:tcBorders>
              <w:top w:val="single" w:color="auto" w:sz="6" w:space="0"/>
              <w:left w:val="single" w:color="auto" w:sz="6" w:space="0"/>
              <w:bottom w:val="single" w:color="auto" w:sz="6" w:space="0"/>
              <w:right w:val="single" w:color="auto" w:sz="6" w:space="0"/>
            </w:tcBorders>
            <w:noWrap w:val="0"/>
            <w:vAlign w:val="top"/>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hint="eastAsia" w:ascii="仿宋" w:hAnsi="仿宋" w:eastAsia="仿宋" w:cs="仿宋_GB2312"/>
                <w:sz w:val="24"/>
              </w:rPr>
            </w:pPr>
          </w:p>
        </w:tc>
        <w:tc>
          <w:tcPr>
            <w:tcW w:w="997" w:type="dxa"/>
            <w:tcBorders>
              <w:top w:val="single" w:color="auto" w:sz="6" w:space="0"/>
              <w:left w:val="single" w:color="auto" w:sz="6" w:space="0"/>
              <w:bottom w:val="single" w:color="auto" w:sz="6" w:space="0"/>
              <w:right w:val="single" w:color="auto" w:sz="6" w:space="0"/>
            </w:tcBorders>
            <w:noWrap w:val="0"/>
            <w:vAlign w:val="top"/>
          </w:tcPr>
          <w:p>
            <w:pPr>
              <w:tabs>
                <w:tab w:val="left" w:pos="440"/>
                <w:tab w:val="left" w:pos="1154"/>
                <w:tab w:val="left" w:pos="1936"/>
                <w:tab w:val="left" w:pos="2368"/>
              </w:tabs>
              <w:suppressAutoHyphens/>
              <w:autoSpaceDE w:val="0"/>
              <w:autoSpaceDN w:val="0"/>
              <w:spacing w:line="360" w:lineRule="auto"/>
              <w:rPr>
                <w:rFonts w:hint="eastAsia" w:ascii="仿宋" w:hAnsi="仿宋" w:eastAsia="仿宋" w:cs="仿宋_GB2312"/>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7"/>
              </w:tabs>
              <w:suppressAutoHyphens/>
              <w:autoSpaceDE w:val="0"/>
              <w:autoSpaceDN w:val="0"/>
              <w:spacing w:line="360" w:lineRule="auto"/>
              <w:rPr>
                <w:rFonts w:hint="eastAsia" w:ascii="仿宋" w:hAnsi="仿宋" w:eastAsia="仿宋" w:cs="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suppressAutoHyphens/>
              <w:autoSpaceDE w:val="0"/>
              <w:autoSpaceDN w:val="0"/>
              <w:spacing w:line="360" w:lineRule="auto"/>
              <w:rPr>
                <w:rFonts w:hint="eastAsia" w:ascii="仿宋" w:hAnsi="仿宋" w:eastAsia="仿宋"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注解:A</w:t>
      </w:r>
      <w:r>
        <w:rPr>
          <w:rFonts w:hint="eastAsia" w:ascii="仿宋" w:hAnsi="仿宋" w:eastAsia="仿宋" w:cs="仿宋_GB2312"/>
          <w:sz w:val="24"/>
        </w:rPr>
        <w:tab/>
      </w:r>
      <w:r>
        <w:rPr>
          <w:rFonts w:hint="eastAsia" w:ascii="仿宋" w:hAnsi="仿宋" w:eastAsia="仿宋" w:cs="仿宋_GB2312"/>
          <w:sz w:val="24"/>
        </w:rPr>
        <w:t>课程清单按时间顺序排列，并提供以下详细资料：</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课程概要</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课程目的</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教学方式</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先决条件</w:t>
      </w:r>
    </w:p>
    <w:p>
      <w:pPr>
        <w:numPr>
          <w:ilvl w:val="0"/>
          <w:numId w:val="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hint="eastAsia" w:ascii="仿宋" w:hAnsi="仿宋" w:eastAsia="仿宋" w:cs="仿宋_GB2312"/>
          <w:sz w:val="24"/>
        </w:rPr>
      </w:pPr>
      <w:r>
        <w:rPr>
          <w:rFonts w:hint="eastAsia" w:ascii="仿宋" w:hAnsi="仿宋" w:eastAsia="仿宋" w:cs="仿宋_GB2312"/>
          <w:sz w:val="24"/>
        </w:rPr>
        <w:t>教材目录</w:t>
      </w:r>
    </w:p>
    <w:p>
      <w:pPr>
        <w:autoSpaceDE w:val="0"/>
        <w:autoSpaceDN w:val="0"/>
        <w:spacing w:line="360" w:lineRule="auto"/>
        <w:rPr>
          <w:rFonts w:hint="eastAsia" w:ascii="仿宋" w:hAnsi="仿宋" w:eastAsia="仿宋" w:cs="仿宋_GB2312"/>
          <w:sz w:val="24"/>
        </w:rPr>
      </w:pPr>
      <w:r>
        <w:rPr>
          <w:rFonts w:hint="eastAsia" w:ascii="仿宋" w:hAnsi="仿宋" w:eastAsia="仿宋" w:cs="仿宋_GB2312"/>
          <w:sz w:val="24"/>
        </w:rPr>
        <w:t>B  按照附表A提供授课教师的简历</w:t>
      </w:r>
    </w:p>
    <w:p>
      <w:pPr>
        <w:autoSpaceDE w:val="0"/>
        <w:autoSpaceDN w:val="0"/>
        <w:spacing w:line="360" w:lineRule="auto"/>
        <w:rPr>
          <w:rFonts w:hint="eastAsia" w:ascii="仿宋" w:hAnsi="仿宋" w:eastAsia="仿宋" w:cs="仿宋_GB2312"/>
          <w:b/>
          <w:sz w:val="24"/>
        </w:rPr>
      </w:pPr>
      <w:r>
        <w:rPr>
          <w:rFonts w:hint="eastAsia" w:ascii="仿宋" w:hAnsi="仿宋" w:eastAsia="仿宋" w:cs="仿宋_GB2312"/>
          <w:b/>
          <w:sz w:val="24"/>
        </w:rPr>
        <w:t>注：须随表提交相应的证书复印件并注明所在投标技术文件页码。</w:t>
      </w:r>
    </w:p>
    <w:p>
      <w:pPr>
        <w:autoSpaceDE w:val="0"/>
        <w:autoSpaceDN w:val="0"/>
        <w:spacing w:line="360" w:lineRule="auto"/>
        <w:ind w:firstLine="4800" w:firstLineChars="2000"/>
        <w:rPr>
          <w:rFonts w:hint="eastAsia" w:ascii="仿宋" w:hAnsi="仿宋" w:eastAsia="仿宋" w:cs="仿宋_GB2312"/>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                   </w:t>
      </w:r>
    </w:p>
    <w:p>
      <w:pPr>
        <w:autoSpaceDE w:val="0"/>
        <w:autoSpaceDN w:val="0"/>
        <w:spacing w:line="360" w:lineRule="auto"/>
        <w:ind w:firstLine="120"/>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autoSpaceDE w:val="0"/>
        <w:autoSpaceDN w:val="0"/>
        <w:spacing w:line="360" w:lineRule="auto"/>
        <w:ind w:firstLine="120"/>
        <w:rPr>
          <w:rFonts w:hint="eastAsia" w:ascii="仿宋" w:hAnsi="仿宋" w:eastAsia="仿宋" w:cs="仿宋_GB2312"/>
          <w:sz w:val="24"/>
        </w:rPr>
      </w:pPr>
    </w:p>
    <w:p>
      <w:pPr>
        <w:spacing w:line="360" w:lineRule="auto"/>
        <w:jc w:val="center"/>
        <w:rPr>
          <w:rFonts w:hint="eastAsia" w:ascii="仿宋" w:hAnsi="仿宋" w:eastAsia="仿宋" w:cs="仿宋_GB2312"/>
          <w:b/>
          <w:bCs/>
          <w:sz w:val="32"/>
          <w:szCs w:val="32"/>
        </w:rPr>
      </w:pPr>
      <w:r>
        <w:rPr>
          <w:rFonts w:hint="eastAsia" w:ascii="仿宋" w:hAnsi="仿宋" w:eastAsia="仿宋" w:cs="仿宋_GB2312"/>
          <w:b/>
          <w:bCs/>
          <w:sz w:val="32"/>
          <w:szCs w:val="32"/>
        </w:rPr>
        <w:t>十六、认为需要的其他技术文件或说明</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jc w:val="center"/>
        <w:rPr>
          <w:rFonts w:hint="eastAsia" w:ascii="仿宋" w:hAnsi="仿宋" w:eastAsia="仿宋" w:cs="仿宋_GB2312"/>
          <w:sz w:val="24"/>
        </w:rPr>
      </w:pPr>
    </w:p>
    <w:p>
      <w:pPr>
        <w:autoSpaceDE w:val="0"/>
        <w:autoSpaceDN w:val="0"/>
        <w:spacing w:line="360" w:lineRule="auto"/>
        <w:ind w:firstLine="4800" w:firstLineChars="2000"/>
        <w:rPr>
          <w:rFonts w:hint="eastAsia" w:ascii="仿宋" w:hAnsi="仿宋" w:eastAsia="仿宋" w:cs="仿宋_GB2312"/>
          <w:sz w:val="24"/>
        </w:rPr>
      </w:pPr>
      <w:r>
        <w:rPr>
          <w:rFonts w:hint="eastAsia" w:ascii="仿宋" w:hAnsi="仿宋" w:eastAsia="仿宋" w:cs="仿宋_GB2312"/>
          <w:kern w:val="0"/>
          <w:sz w:val="24"/>
        </w:rPr>
        <w:t xml:space="preserve">投标人名称（公章）：                       </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法定代表人或其授权代表（签字）：                   </w:t>
      </w:r>
    </w:p>
    <w:p>
      <w:pPr>
        <w:spacing w:line="360" w:lineRule="auto"/>
        <w:jc w:val="center"/>
        <w:rPr>
          <w:rFonts w:hint="eastAsia" w:ascii="仿宋" w:hAnsi="仿宋" w:eastAsia="仿宋" w:cs="仿宋_GB2312"/>
          <w:kern w:val="0"/>
          <w:sz w:val="24"/>
        </w:rPr>
      </w:pPr>
      <w:r>
        <w:rPr>
          <w:rFonts w:hint="eastAsia" w:ascii="仿宋" w:hAnsi="仿宋" w:eastAsia="仿宋" w:cs="仿宋_GB2312"/>
          <w:kern w:val="0"/>
          <w:sz w:val="24"/>
        </w:rPr>
        <w:t xml:space="preserve">                          日期：   年  月   日</w:t>
      </w:r>
    </w:p>
    <w:p>
      <w:pPr>
        <w:spacing w:line="360" w:lineRule="auto"/>
        <w:jc w:val="center"/>
        <w:rPr>
          <w:rFonts w:hint="eastAsia" w:ascii="仿宋" w:hAnsi="仿宋" w:eastAsia="仿宋" w:cs="仿宋_GB2312"/>
          <w:b/>
          <w:bCs/>
          <w:sz w:val="30"/>
          <w:szCs w:val="30"/>
        </w:rPr>
      </w:pPr>
    </w:p>
    <w:p>
      <w:pPr>
        <w:spacing w:line="360" w:lineRule="auto"/>
        <w:jc w:val="center"/>
        <w:rPr>
          <w:rFonts w:hint="eastAsia" w:ascii="仿宋" w:hAnsi="仿宋" w:eastAsia="仿宋" w:cs="仿宋_GB2312"/>
          <w:b/>
          <w:bCs/>
          <w:sz w:val="30"/>
          <w:szCs w:val="30"/>
        </w:rPr>
      </w:pPr>
    </w:p>
    <w:p>
      <w:pPr>
        <w:spacing w:line="360" w:lineRule="auto"/>
        <w:jc w:val="center"/>
        <w:rPr>
          <w:rFonts w:hint="eastAsia" w:ascii="仿宋" w:hAnsi="仿宋" w:eastAsia="仿宋" w:cs="仿宋_GB2312"/>
          <w:b/>
          <w:kern w:val="0"/>
          <w:sz w:val="32"/>
          <w:szCs w:val="32"/>
          <w:lang w:val="zh-CN"/>
        </w:rPr>
      </w:pPr>
      <w:r>
        <w:rPr>
          <w:rFonts w:hint="eastAsia" w:ascii="仿宋" w:hAnsi="仿宋" w:eastAsia="仿宋" w:cs="仿宋_GB2312"/>
          <w:b/>
          <w:bCs/>
          <w:sz w:val="32"/>
          <w:szCs w:val="32"/>
        </w:rPr>
        <w:t>十七、关于</w:t>
      </w:r>
      <w:r>
        <w:rPr>
          <w:rFonts w:hint="eastAsia" w:ascii="仿宋" w:hAnsi="仿宋" w:eastAsia="仿宋" w:cs="仿宋_GB2312"/>
          <w:b/>
          <w:kern w:val="0"/>
          <w:sz w:val="32"/>
          <w:szCs w:val="32"/>
          <w:lang w:val="zh-CN"/>
        </w:rPr>
        <w:t>对招标文件中有关商务、合同条款的拒绝声明</w:t>
      </w:r>
    </w:p>
    <w:p>
      <w:pPr>
        <w:spacing w:line="360" w:lineRule="auto"/>
        <w:jc w:val="center"/>
        <w:rPr>
          <w:rFonts w:hint="eastAsia" w:ascii="仿宋" w:hAnsi="仿宋" w:eastAsia="仿宋" w:cs="仿宋_GB2312"/>
          <w:sz w:val="24"/>
        </w:rPr>
      </w:pPr>
      <w:r>
        <w:rPr>
          <w:rFonts w:hint="eastAsia" w:ascii="仿宋" w:hAnsi="仿宋" w:eastAsia="仿宋" w:cs="仿宋_GB2312"/>
          <w:sz w:val="24"/>
        </w:rPr>
        <w:t>（由投标人根据采购需求自行编制）</w:t>
      </w:r>
    </w:p>
    <w:p>
      <w:pPr>
        <w:spacing w:line="360" w:lineRule="auto"/>
        <w:rPr>
          <w:rFonts w:hint="eastAsia" w:ascii="仿宋" w:hAnsi="仿宋" w:eastAsia="仿宋" w:cs="仿宋_GB2312"/>
          <w:sz w:val="24"/>
        </w:rPr>
      </w:pPr>
    </w:p>
    <w:p>
      <w:pPr>
        <w:autoSpaceDE w:val="0"/>
        <w:autoSpaceDN w:val="0"/>
        <w:spacing w:line="360" w:lineRule="auto"/>
        <w:ind w:firstLine="5040" w:firstLineChars="2100"/>
        <w:rPr>
          <w:rFonts w:hint="eastAsia" w:ascii="仿宋" w:hAnsi="仿宋" w:eastAsia="仿宋" w:cs="仿宋_GB2312"/>
          <w:kern w:val="0"/>
          <w:sz w:val="24"/>
        </w:rPr>
      </w:pPr>
      <w:r>
        <w:rPr>
          <w:rFonts w:hint="eastAsia" w:ascii="仿宋" w:hAnsi="仿宋" w:eastAsia="仿宋" w:cs="仿宋_GB2312"/>
          <w:kern w:val="0"/>
          <w:sz w:val="24"/>
          <w:lang w:val="zh-CN"/>
        </w:rPr>
        <w:t xml:space="preserve">投标人名称（公章）：      </w:t>
      </w:r>
    </w:p>
    <w:p>
      <w:pPr>
        <w:autoSpaceDE w:val="0"/>
        <w:autoSpaceDN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法定代表人或其授权代表（签字）： </w:t>
      </w:r>
    </w:p>
    <w:p>
      <w:pPr>
        <w:spacing w:line="360" w:lineRule="auto"/>
        <w:jc w:val="center"/>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日期：   年  月   日</w:t>
      </w:r>
    </w:p>
    <w:p>
      <w:pPr>
        <w:spacing w:line="360" w:lineRule="auto"/>
        <w:jc w:val="center"/>
        <w:rPr>
          <w:rFonts w:hint="eastAsia" w:ascii="仿宋" w:hAnsi="仿宋" w:eastAsia="仿宋" w:cs="仿宋_GB2312"/>
          <w:b/>
          <w:bCs/>
          <w:sz w:val="24"/>
        </w:rPr>
      </w:pPr>
    </w:p>
    <w:p>
      <w:pPr>
        <w:spacing w:line="360" w:lineRule="auto"/>
        <w:jc w:val="center"/>
        <w:rPr>
          <w:rFonts w:hint="eastAsia" w:ascii="仿宋" w:hAnsi="仿宋" w:eastAsia="仿宋" w:cs="仿宋_GB2312"/>
          <w:b/>
          <w:bCs/>
          <w:sz w:val="24"/>
        </w:rPr>
      </w:pPr>
    </w:p>
    <w:p>
      <w:pPr>
        <w:spacing w:line="360" w:lineRule="auto"/>
        <w:jc w:val="center"/>
        <w:rPr>
          <w:rFonts w:hint="eastAsia" w:ascii="仿宋" w:hAnsi="仿宋" w:eastAsia="仿宋" w:cs="仿宋_GB2312"/>
          <w:b/>
          <w:bCs/>
          <w:sz w:val="24"/>
        </w:rPr>
        <w:sectPr>
          <w:pgSz w:w="11906" w:h="16838"/>
          <w:pgMar w:top="1247" w:right="1418" w:bottom="1276" w:left="1418" w:header="851" w:footer="992" w:gutter="0"/>
          <w:cols w:space="720" w:num="1"/>
          <w:titlePg/>
          <w:docGrid w:linePitch="312" w:charSpace="0"/>
        </w:sectPr>
      </w:pPr>
    </w:p>
    <w:p>
      <w:pPr>
        <w:tabs>
          <w:tab w:val="left" w:pos="8085"/>
        </w:tabs>
        <w:spacing w:line="360" w:lineRule="auto"/>
        <w:jc w:val="left"/>
        <w:rPr>
          <w:rFonts w:hint="eastAsia" w:ascii="仿宋" w:hAnsi="仿宋" w:eastAsia="仿宋" w:cs="仿宋_GB2312"/>
          <w:b/>
          <w:sz w:val="32"/>
          <w:szCs w:val="32"/>
        </w:rPr>
      </w:pPr>
      <w:r>
        <w:rPr>
          <w:rFonts w:hint="eastAsia" w:ascii="仿宋" w:hAnsi="仿宋" w:eastAsia="仿宋" w:cs="仿宋_GB2312"/>
          <w:b/>
          <w:sz w:val="32"/>
          <w:szCs w:val="32"/>
        </w:rPr>
        <w:tab/>
      </w:r>
    </w:p>
    <w:p>
      <w:pPr>
        <w:spacing w:line="360" w:lineRule="auto"/>
        <w:jc w:val="center"/>
        <w:rPr>
          <w:rFonts w:hint="eastAsia"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jc w:val="center"/>
        <w:rPr>
          <w:rFonts w:hint="eastAsia" w:ascii="仿宋" w:hAnsi="仿宋" w:eastAsia="仿宋" w:cs="仿宋_GB2312"/>
          <w:b/>
          <w:sz w:val="32"/>
          <w:szCs w:val="32"/>
        </w:rPr>
      </w:pP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一、适用对象</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在杭州市政府采购网上注册入库，并取得杭州市政府采购合同的杭州市内中小企业供应商。</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二、相关信息获取方式</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请登陆杭州市政府采购网（</w:t>
      </w:r>
      <w:r>
        <w:rPr>
          <w:rFonts w:hint="eastAsia" w:ascii="仿宋" w:hAnsi="仿宋" w:eastAsia="仿宋" w:cs="仿宋_GB2312"/>
          <w:sz w:val="24"/>
        </w:rPr>
        <w:fldChar w:fldCharType="begin"/>
      </w:r>
      <w:r>
        <w:rPr>
          <w:rFonts w:hint="eastAsia" w:ascii="仿宋" w:hAnsi="仿宋" w:eastAsia="仿宋" w:cs="仿宋_GB2312"/>
          <w:sz w:val="24"/>
        </w:rPr>
        <w:instrText xml:space="preserve"> HYPERLINK "http://cg.hzft.gov.cn" </w:instrText>
      </w:r>
      <w:r>
        <w:rPr>
          <w:rFonts w:hint="eastAsia" w:ascii="仿宋" w:hAnsi="仿宋" w:eastAsia="仿宋" w:cs="仿宋_GB2312"/>
          <w:sz w:val="24"/>
        </w:rPr>
        <w:fldChar w:fldCharType="separate"/>
      </w:r>
      <w:r>
        <w:rPr>
          <w:rStyle w:val="97"/>
          <w:rFonts w:hint="eastAsia" w:ascii="仿宋" w:hAnsi="仿宋" w:eastAsia="仿宋" w:cs="仿宋_GB2312"/>
          <w:color w:val="auto"/>
          <w:sz w:val="24"/>
        </w:rPr>
        <w:t>http://cg.hzft.gov.cn</w:t>
      </w:r>
      <w:r>
        <w:rPr>
          <w:rFonts w:hint="eastAsia" w:ascii="仿宋" w:hAnsi="仿宋" w:eastAsia="仿宋" w:cs="仿宋_GB2312"/>
          <w:sz w:val="24"/>
        </w:rPr>
        <w:fldChar w:fldCharType="end"/>
      </w:r>
      <w:r>
        <w:rPr>
          <w:rFonts w:hint="eastAsia" w:ascii="仿宋" w:hAnsi="仿宋" w:eastAsia="仿宋" w:cs="仿宋_GB2312"/>
          <w:sz w:val="24"/>
        </w:rPr>
        <w:t>）“中小企业信用融资”专栏，可查看信用融资政策文件及各相关银行服务方案。</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三、申请方式和步骤</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1、供应商若有融资意向，需先与六家合作银行对接，办理相关融资前期手续；</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2、中标后，供应商应与采购单位或者采购代理机构及时联系，告知融资需求；</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3、采购单位或者采购代理机构在政府采购信息系统录入中标合同信息时，须在合同备案页“是否为可融资合同”前打勾，并选择相应的信用融资合作银行，录入账号信息；</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4、相关信息录入后，相关合作银行将在政府采购信息系统查询到合同备案信息，经审核，与供应商联系并办理相关融资事宜。</w:t>
      </w:r>
    </w:p>
    <w:p>
      <w:pPr>
        <w:spacing w:line="360" w:lineRule="auto"/>
        <w:ind w:firstLine="482" w:firstLineChars="200"/>
        <w:rPr>
          <w:rFonts w:hint="eastAsia" w:ascii="仿宋" w:hAnsi="仿宋" w:eastAsia="仿宋" w:cs="仿宋_GB2312"/>
          <w:b/>
          <w:sz w:val="24"/>
        </w:rPr>
      </w:pPr>
      <w:r>
        <w:rPr>
          <w:rFonts w:hint="eastAsia" w:ascii="仿宋" w:hAnsi="仿宋" w:eastAsia="仿宋" w:cs="仿宋_GB2312"/>
          <w:b/>
          <w:sz w:val="24"/>
        </w:rPr>
        <w:t>四、注意事项</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请各采购单位和采购代理机构积极支持和配合政府采购信用融资工作，在合同备案环节务必请仔细核对收款银行、账号信息等内容，一旦录入将无法修改。</w:t>
      </w:r>
    </w:p>
    <w:p>
      <w:pPr>
        <w:pStyle w:val="2"/>
        <w:keepNext w:val="0"/>
        <w:keepLines w:val="0"/>
        <w:pageBreakBefore/>
        <w:widowControl/>
        <w:numPr>
          <w:ilvl w:val="0"/>
          <w:numId w:val="0"/>
        </w:numPr>
        <w:adjustRightInd/>
        <w:spacing w:before="100" w:beforeAutospacing="1" w:after="100" w:afterAutospacing="1" w:line="360" w:lineRule="auto"/>
        <w:ind w:left="1290" w:firstLine="3092" w:firstLineChars="700"/>
        <w:rPr>
          <w:rFonts w:hint="eastAsia" w:ascii="仿宋" w:hAnsi="仿宋" w:eastAsia="仿宋" w:cs="仿宋_GB2312"/>
          <w:kern w:val="2"/>
          <w:sz w:val="32"/>
          <w:szCs w:val="32"/>
        </w:rPr>
      </w:pPr>
      <w:bookmarkStart w:id="506" w:name="_Toc465665161"/>
      <w:r>
        <w:rPr>
          <w:rFonts w:hint="eastAsia" w:ascii="仿宋" w:hAnsi="仿宋" w:eastAsia="仿宋" w:cs="仿宋_GB2312"/>
        </w:rPr>
        <w:t>附件</w:t>
      </w:r>
      <w:bookmarkEnd w:id="506"/>
    </w:p>
    <w:p>
      <w:pPr>
        <w:spacing w:line="360" w:lineRule="auto"/>
        <w:rPr>
          <w:rFonts w:hint="eastAsia" w:ascii="仿宋" w:hAnsi="仿宋" w:eastAsia="仿宋" w:cs="仿宋_GB2312"/>
          <w:b/>
          <w:spacing w:val="6"/>
          <w:sz w:val="32"/>
          <w:szCs w:val="32"/>
        </w:rPr>
      </w:pPr>
      <w:bookmarkStart w:id="507" w:name="OLE_LINK14"/>
      <w:bookmarkStart w:id="508" w:name="OLE_LINK13"/>
      <w:r>
        <w:rPr>
          <w:rFonts w:hint="eastAsia" w:ascii="仿宋" w:hAnsi="仿宋" w:eastAsia="仿宋" w:cs="仿宋_GB2312"/>
          <w:b/>
          <w:spacing w:val="6"/>
          <w:sz w:val="32"/>
          <w:szCs w:val="32"/>
        </w:rPr>
        <w:t>附件1：</w:t>
      </w:r>
    </w:p>
    <w:p>
      <w:pPr>
        <w:spacing w:line="360" w:lineRule="auto"/>
        <w:jc w:val="center"/>
        <w:rPr>
          <w:rFonts w:hint="eastAsia" w:ascii="仿宋" w:hAnsi="仿宋" w:eastAsia="仿宋" w:cs="仿宋_GB2312"/>
          <w:b/>
          <w:spacing w:val="6"/>
          <w:sz w:val="32"/>
          <w:szCs w:val="32"/>
        </w:rPr>
      </w:pPr>
      <w:r>
        <w:rPr>
          <w:rFonts w:hint="eastAsia" w:ascii="仿宋" w:hAnsi="仿宋" w:eastAsia="仿宋" w:cs="仿宋_GB2312"/>
          <w:b/>
          <w:spacing w:val="6"/>
          <w:sz w:val="32"/>
          <w:szCs w:val="32"/>
        </w:rPr>
        <w:t>残疾人福利性单位声明函</w:t>
      </w:r>
    </w:p>
    <w:bookmarkEnd w:id="507"/>
    <w:bookmarkEnd w:id="508"/>
    <w:p>
      <w:pPr>
        <w:spacing w:line="360" w:lineRule="auto"/>
        <w:rPr>
          <w:rFonts w:hint="eastAsia" w:ascii="仿宋" w:hAnsi="仿宋" w:eastAsia="仿宋" w:cs="仿宋_GB2312"/>
          <w:b/>
          <w:spacing w:val="6"/>
          <w:sz w:val="30"/>
          <w:szCs w:val="30"/>
        </w:rPr>
      </w:pP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hint="eastAsia" w:ascii="仿宋" w:hAnsi="仿宋" w:eastAsia="仿宋" w:cs="仿宋_GB2312"/>
          <w:sz w:val="24"/>
        </w:rPr>
      </w:pPr>
    </w:p>
    <w:p>
      <w:pPr>
        <w:spacing w:line="360" w:lineRule="auto"/>
        <w:ind w:firstLine="480" w:firstLineChars="200"/>
        <w:rPr>
          <w:rFonts w:hint="eastAsia" w:ascii="仿宋" w:hAnsi="仿宋" w:eastAsia="仿宋" w:cs="仿宋_GB2312"/>
          <w:sz w:val="24"/>
        </w:rPr>
      </w:pP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单位名称（盖章）：</w:t>
      </w:r>
    </w:p>
    <w:p>
      <w:pPr>
        <w:tabs>
          <w:tab w:val="left" w:pos="4860"/>
        </w:tabs>
        <w:spacing w:line="360" w:lineRule="auto"/>
        <w:ind w:right="1560" w:firstLine="480" w:firstLineChars="200"/>
        <w:jc w:val="center"/>
        <w:rPr>
          <w:rFonts w:hint="eastAsia"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hint="eastAsia" w:ascii="仿宋" w:hAnsi="仿宋" w:eastAsia="仿宋" w:cs="仿宋_GB2312"/>
          <w:b/>
          <w:sz w:val="24"/>
        </w:rPr>
      </w:pPr>
      <w:r>
        <w:rPr>
          <w:rFonts w:hint="eastAsia" w:ascii="仿宋" w:hAnsi="仿宋" w:eastAsia="仿宋" w:cs="仿宋_GB2312"/>
          <w:sz w:val="24"/>
        </w:rPr>
        <w:br w:type="page"/>
      </w:r>
    </w:p>
    <w:p>
      <w:pPr>
        <w:spacing w:line="360" w:lineRule="auto"/>
        <w:rPr>
          <w:rFonts w:hint="eastAsia" w:ascii="仿宋" w:hAnsi="仿宋" w:eastAsia="仿宋" w:cs="仿宋_GB2312"/>
          <w:b/>
          <w:spacing w:val="6"/>
          <w:sz w:val="32"/>
          <w:szCs w:val="32"/>
        </w:rPr>
      </w:pPr>
      <w:r>
        <w:rPr>
          <w:rFonts w:hint="eastAsia" w:ascii="仿宋" w:hAnsi="仿宋" w:eastAsia="仿宋" w:cs="仿宋_GB2312"/>
          <w:b/>
          <w:spacing w:val="6"/>
          <w:sz w:val="32"/>
          <w:szCs w:val="32"/>
        </w:rPr>
        <w:t>附件2：质疑函范本及制作说明</w:t>
      </w:r>
    </w:p>
    <w:p>
      <w:pPr>
        <w:spacing w:line="360" w:lineRule="auto"/>
        <w:jc w:val="center"/>
        <w:rPr>
          <w:rFonts w:hint="eastAsia" w:ascii="仿宋" w:hAnsi="仿宋" w:eastAsia="仿宋" w:cs="仿宋_GB2312"/>
          <w:b/>
          <w:spacing w:val="6"/>
          <w:sz w:val="32"/>
          <w:szCs w:val="32"/>
        </w:rPr>
      </w:pPr>
      <w:r>
        <w:rPr>
          <w:rFonts w:hint="eastAsia" w:ascii="仿宋" w:hAnsi="仿宋" w:eastAsia="仿宋" w:cs="仿宋_GB2312"/>
          <w:b/>
          <w:spacing w:val="6"/>
          <w:sz w:val="32"/>
          <w:szCs w:val="32"/>
        </w:rPr>
        <w:t>质疑函范本</w:t>
      </w:r>
    </w:p>
    <w:p>
      <w:pPr>
        <w:snapToGrid w:val="0"/>
        <w:spacing w:before="240" w:beforeLines="100" w:line="360" w:lineRule="auto"/>
        <w:rPr>
          <w:rFonts w:hint="eastAsia" w:ascii="仿宋" w:hAnsi="仿宋" w:eastAsia="仿宋" w:cs="仿宋_GB2312"/>
          <w:bCs/>
          <w:sz w:val="24"/>
        </w:rPr>
      </w:pPr>
      <w:r>
        <w:rPr>
          <w:rFonts w:hint="eastAsia" w:ascii="仿宋" w:hAnsi="仿宋" w:eastAsia="仿宋" w:cs="仿宋_GB2312"/>
          <w:bCs/>
          <w:sz w:val="24"/>
        </w:rPr>
        <w:t>一、质疑供应商基本信息</w:t>
      </w:r>
    </w:p>
    <w:p>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质疑供应商：</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地址：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联系人：</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授权代表：</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联系电话：</w:t>
      </w: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 xml:space="preserve">地址： </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二、质疑项目基本情况</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质疑项目的名称：</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质疑项目的编号：</w:t>
      </w:r>
      <w:r>
        <w:rPr>
          <w:rFonts w:hint="eastAsia" w:ascii="仿宋" w:hAnsi="仿宋" w:eastAsia="仿宋" w:cs="仿宋_GB2312"/>
          <w:sz w:val="24"/>
          <w:u w:val="dotted"/>
        </w:rPr>
        <w:t xml:space="preserve">               </w:t>
      </w:r>
      <w:r>
        <w:rPr>
          <w:rFonts w:hint="eastAsia" w:ascii="仿宋" w:hAnsi="仿宋" w:eastAsia="仿宋" w:cs="仿宋_GB2312"/>
          <w:sz w:val="24"/>
        </w:rPr>
        <w:t>包号：</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采购人名称：</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采购文件获取日期：</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三、质疑事项具体内容</w:t>
      </w:r>
    </w:p>
    <w:p>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质疑事项1：</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事实依据：</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rPr>
      </w:pP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法律依据：</w:t>
      </w: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p>
    <w:p>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质疑事项2</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w:t>
      </w:r>
    </w:p>
    <w:p>
      <w:pPr>
        <w:snapToGrid w:val="0"/>
        <w:spacing w:line="360" w:lineRule="auto"/>
        <w:rPr>
          <w:rFonts w:hint="eastAsia" w:ascii="仿宋" w:hAnsi="仿宋" w:eastAsia="仿宋" w:cs="仿宋_GB2312"/>
          <w:bCs/>
          <w:sz w:val="24"/>
        </w:rPr>
      </w:pPr>
      <w:r>
        <w:rPr>
          <w:rFonts w:hint="eastAsia" w:ascii="仿宋" w:hAnsi="仿宋" w:eastAsia="仿宋" w:cs="仿宋_GB2312"/>
          <w:bCs/>
          <w:sz w:val="24"/>
        </w:rPr>
        <w:t>四、与质疑事项相关的质疑请求</w:t>
      </w:r>
    </w:p>
    <w:p>
      <w:pPr>
        <w:snapToGrid w:val="0"/>
        <w:spacing w:line="360" w:lineRule="auto"/>
        <w:rPr>
          <w:rFonts w:hint="eastAsia" w:ascii="仿宋" w:hAnsi="仿宋" w:eastAsia="仿宋" w:cs="仿宋_GB2312"/>
          <w:sz w:val="24"/>
          <w:u w:val="dotted"/>
        </w:rPr>
      </w:pPr>
      <w:r>
        <w:rPr>
          <w:rFonts w:hint="eastAsia" w:ascii="仿宋" w:hAnsi="仿宋" w:eastAsia="仿宋" w:cs="仿宋_GB2312"/>
          <w:sz w:val="24"/>
        </w:rPr>
        <w:t>请求：</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签字(签章)：                   公章：                      </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日期：    </w:t>
      </w:r>
    </w:p>
    <w:p>
      <w:pPr>
        <w:spacing w:line="360" w:lineRule="auto"/>
        <w:jc w:val="center"/>
        <w:rPr>
          <w:rFonts w:hint="eastAsia" w:ascii="仿宋" w:hAnsi="仿宋" w:eastAsia="仿宋" w:cs="仿宋_GB2312"/>
          <w:b/>
          <w:bCs/>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r>
        <w:rPr>
          <w:rFonts w:hint="eastAsia" w:ascii="仿宋" w:hAnsi="仿宋" w:eastAsia="仿宋" w:cs="仿宋_GB2312"/>
          <w:b/>
          <w:sz w:val="24"/>
        </w:rPr>
        <w:t>质疑函制作说明：</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1.供应商提出质疑时，应提交质疑函和必要的证明材料。</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2.质疑供应商若委托代理人进行质疑的，质疑函应按要求列明“授权代表”的有关内容，并在附件中提交由质疑</w:t>
      </w:r>
      <w:r>
        <w:rPr>
          <w:rFonts w:hint="eastAsia" w:ascii="仿宋" w:hAnsi="仿宋" w:eastAsia="仿宋"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5.质疑函的质疑请求应与质疑事项相关。</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_GB2312"/>
          <w:sz w:val="30"/>
          <w:szCs w:val="30"/>
        </w:rPr>
      </w:pPr>
    </w:p>
    <w:p>
      <w:pPr>
        <w:spacing w:line="360" w:lineRule="auto"/>
        <w:jc w:val="center"/>
        <w:rPr>
          <w:rFonts w:hint="eastAsia" w:ascii="仿宋" w:hAnsi="仿宋" w:eastAsia="仿宋" w:cs="仿宋_GB2312"/>
          <w:b/>
          <w:spacing w:val="6"/>
          <w:sz w:val="32"/>
          <w:szCs w:val="32"/>
        </w:rPr>
      </w:pPr>
    </w:p>
    <w:p>
      <w:pPr>
        <w:spacing w:line="360" w:lineRule="auto"/>
        <w:jc w:val="center"/>
        <w:rPr>
          <w:rFonts w:hint="eastAsia" w:ascii="仿宋" w:hAnsi="仿宋" w:eastAsia="仿宋" w:cs="仿宋_GB2312"/>
          <w:b/>
          <w:spacing w:val="6"/>
          <w:sz w:val="32"/>
          <w:szCs w:val="32"/>
        </w:rPr>
      </w:pPr>
    </w:p>
    <w:p>
      <w:pPr>
        <w:spacing w:line="360" w:lineRule="auto"/>
        <w:jc w:val="left"/>
        <w:rPr>
          <w:rFonts w:hint="eastAsia" w:ascii="仿宋" w:hAnsi="仿宋" w:eastAsia="仿宋" w:cs="仿宋_GB2312"/>
          <w:b/>
          <w:spacing w:val="6"/>
          <w:sz w:val="32"/>
          <w:szCs w:val="32"/>
        </w:rPr>
      </w:pPr>
    </w:p>
    <w:p>
      <w:pPr>
        <w:spacing w:line="360" w:lineRule="auto"/>
        <w:rPr>
          <w:rFonts w:hint="eastAsia" w:ascii="仿宋" w:hAnsi="仿宋" w:eastAsia="仿宋" w:cs="仿宋_GB2312"/>
          <w:b/>
          <w:spacing w:val="6"/>
          <w:sz w:val="32"/>
          <w:szCs w:val="32"/>
        </w:rPr>
      </w:pPr>
      <w:r>
        <w:rPr>
          <w:rFonts w:hint="eastAsia" w:ascii="仿宋" w:hAnsi="仿宋" w:eastAsia="仿宋" w:cs="仿宋_GB2312"/>
          <w:b/>
          <w:spacing w:val="6"/>
          <w:sz w:val="32"/>
          <w:szCs w:val="32"/>
        </w:rPr>
        <w:t>附件3：投诉书范本及制作说明</w:t>
      </w:r>
    </w:p>
    <w:p>
      <w:pPr>
        <w:spacing w:line="360" w:lineRule="auto"/>
        <w:jc w:val="center"/>
        <w:rPr>
          <w:rFonts w:hint="eastAsia" w:ascii="仿宋" w:hAnsi="仿宋" w:eastAsia="仿宋" w:cs="仿宋_GB2312"/>
          <w:b/>
          <w:sz w:val="24"/>
        </w:rPr>
      </w:pPr>
    </w:p>
    <w:p>
      <w:pPr>
        <w:spacing w:line="360" w:lineRule="auto"/>
        <w:jc w:val="center"/>
        <w:rPr>
          <w:rFonts w:hint="eastAsia" w:ascii="仿宋" w:hAnsi="仿宋" w:eastAsia="仿宋" w:cs="仿宋_GB2312"/>
          <w:b/>
          <w:spacing w:val="6"/>
          <w:sz w:val="32"/>
          <w:szCs w:val="32"/>
        </w:rPr>
      </w:pPr>
      <w:r>
        <w:rPr>
          <w:rFonts w:hint="eastAsia" w:ascii="仿宋" w:hAnsi="仿宋" w:eastAsia="仿宋" w:cs="仿宋_GB2312"/>
          <w:b/>
          <w:spacing w:val="6"/>
          <w:sz w:val="32"/>
          <w:szCs w:val="32"/>
        </w:rPr>
        <w:t>投诉书范本</w:t>
      </w:r>
    </w:p>
    <w:p>
      <w:pPr>
        <w:spacing w:line="360" w:lineRule="auto"/>
        <w:rPr>
          <w:rFonts w:hint="eastAsia" w:ascii="仿宋" w:hAnsi="仿宋" w:eastAsia="仿宋" w:cs="仿宋_GB2312"/>
          <w:sz w:val="24"/>
        </w:rPr>
      </w:pPr>
      <w:r>
        <w:rPr>
          <w:rFonts w:hint="eastAsia" w:ascii="仿宋" w:hAnsi="仿宋" w:eastAsia="仿宋" w:cs="仿宋_GB2312"/>
          <w:sz w:val="24"/>
        </w:rPr>
        <w:t>一、投诉相关主体基本情况</w:t>
      </w:r>
    </w:p>
    <w:p>
      <w:pPr>
        <w:spacing w:line="360" w:lineRule="auto"/>
        <w:rPr>
          <w:rFonts w:hint="eastAsia" w:ascii="仿宋" w:hAnsi="仿宋" w:eastAsia="仿宋" w:cs="仿宋_GB2312"/>
          <w:sz w:val="24"/>
          <w:u w:val="dotted"/>
        </w:rPr>
      </w:pPr>
      <w:r>
        <w:rPr>
          <w:rFonts w:hint="eastAsia" w:ascii="仿宋" w:hAnsi="仿宋" w:eastAsia="仿宋" w:cs="仿宋_GB2312"/>
          <w:sz w:val="24"/>
        </w:rPr>
        <w:t>投诉人：</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pPr>
        <w:tabs>
          <w:tab w:val="left" w:pos="6510"/>
        </w:tabs>
        <w:spacing w:line="360" w:lineRule="auto"/>
        <w:jc w:val="left"/>
        <w:rPr>
          <w:rFonts w:hint="eastAsia" w:ascii="仿宋" w:hAnsi="仿宋" w:eastAsia="仿宋" w:cs="仿宋_GB2312"/>
          <w:sz w:val="24"/>
        </w:rPr>
      </w:pPr>
      <w:r>
        <w:rPr>
          <w:rFonts w:hint="eastAsia" w:ascii="仿宋" w:hAnsi="仿宋" w:eastAsia="仿宋" w:cs="仿宋_GB2312"/>
          <w:sz w:val="24"/>
        </w:rPr>
        <w:t>法定代表人/主要负责人：</w:t>
      </w: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pPr>
        <w:tabs>
          <w:tab w:val="left" w:pos="6510"/>
        </w:tabs>
        <w:spacing w:line="360" w:lineRule="auto"/>
        <w:rPr>
          <w:rFonts w:hint="eastAsia" w:ascii="仿宋" w:hAnsi="仿宋" w:eastAsia="仿宋" w:cs="仿宋_GB2312"/>
          <w:sz w:val="24"/>
          <w:u w:val="dotted"/>
        </w:rPr>
      </w:pPr>
      <w:r>
        <w:rPr>
          <w:rFonts w:hint="eastAsia" w:ascii="仿宋" w:hAnsi="仿宋" w:eastAsia="仿宋" w:cs="仿宋_GB2312"/>
          <w:sz w:val="24"/>
        </w:rPr>
        <w:t>联系电话：</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dotted"/>
        </w:rPr>
      </w:pPr>
      <w:r>
        <w:rPr>
          <w:rFonts w:hint="eastAsia" w:ascii="仿宋" w:hAnsi="仿宋" w:eastAsia="仿宋" w:cs="仿宋_GB2312"/>
          <w:sz w:val="24"/>
        </w:rPr>
        <w:t>授权代表：</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dotted"/>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被投诉人1：</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联系人：</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pPr>
        <w:spacing w:line="360" w:lineRule="auto"/>
        <w:rPr>
          <w:rFonts w:hint="eastAsia" w:ascii="仿宋" w:hAnsi="仿宋" w:eastAsia="仿宋" w:cs="仿宋_GB2312"/>
          <w:sz w:val="24"/>
        </w:rPr>
      </w:pPr>
      <w:r>
        <w:rPr>
          <w:rFonts w:hint="eastAsia" w:ascii="仿宋" w:hAnsi="仿宋" w:eastAsia="仿宋" w:cs="仿宋_GB2312"/>
          <w:sz w:val="24"/>
        </w:rPr>
        <w:t>被投诉人2</w:t>
      </w:r>
    </w:p>
    <w:p>
      <w:pPr>
        <w:spacing w:line="360" w:lineRule="auto"/>
        <w:rPr>
          <w:rFonts w:hint="eastAsia" w:ascii="仿宋" w:hAnsi="仿宋" w:eastAsia="仿宋" w:cs="仿宋_GB2312"/>
          <w:sz w:val="24"/>
          <w:u w:val="dotted"/>
        </w:rPr>
      </w:pPr>
      <w:r>
        <w:rPr>
          <w:rFonts w:hint="eastAsia" w:ascii="仿宋" w:hAnsi="仿宋" w:eastAsia="仿宋" w:cs="仿宋_GB2312"/>
          <w:sz w:val="24"/>
        </w:rPr>
        <w:t>……</w:t>
      </w:r>
    </w:p>
    <w:p>
      <w:pPr>
        <w:spacing w:line="360" w:lineRule="auto"/>
        <w:rPr>
          <w:rFonts w:hint="eastAsia" w:ascii="仿宋" w:hAnsi="仿宋" w:eastAsia="仿宋" w:cs="仿宋_GB2312"/>
          <w:sz w:val="24"/>
          <w:u w:val="single"/>
        </w:rPr>
      </w:pPr>
      <w:r>
        <w:rPr>
          <w:rFonts w:hint="eastAsia" w:ascii="仿宋" w:hAnsi="仿宋" w:eastAsia="仿宋" w:cs="仿宋_GB2312"/>
          <w:sz w:val="24"/>
        </w:rPr>
        <w:t>相关供应商：</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地     址：</w:t>
      </w:r>
      <w:r>
        <w:rPr>
          <w:rFonts w:hint="eastAsia" w:ascii="仿宋" w:hAnsi="仿宋" w:eastAsia="仿宋" w:cs="仿宋_GB2312"/>
          <w:sz w:val="24"/>
          <w:u w:val="dotted"/>
        </w:rPr>
        <w:t xml:space="preserve">                             </w:t>
      </w:r>
      <w:r>
        <w:rPr>
          <w:rFonts w:hint="eastAsia" w:ascii="仿宋" w:hAnsi="仿宋" w:eastAsia="仿宋" w:cs="仿宋_GB2312"/>
          <w:sz w:val="24"/>
        </w:rPr>
        <w:t>邮编：</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联系人：</w:t>
      </w:r>
      <w:r>
        <w:rPr>
          <w:rFonts w:hint="eastAsia" w:ascii="仿宋" w:hAnsi="仿宋" w:eastAsia="仿宋" w:cs="仿宋_GB2312"/>
          <w:sz w:val="24"/>
          <w:u w:val="dotted"/>
        </w:rPr>
        <w:t xml:space="preserve">               </w:t>
      </w:r>
      <w:r>
        <w:rPr>
          <w:rFonts w:hint="eastAsia" w:ascii="仿宋" w:hAnsi="仿宋" w:eastAsia="仿宋" w:cs="仿宋_GB2312"/>
          <w:sz w:val="24"/>
        </w:rPr>
        <w:t>联系电话：</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pPr>
        <w:spacing w:line="360" w:lineRule="auto"/>
        <w:rPr>
          <w:rFonts w:hint="eastAsia" w:ascii="仿宋" w:hAnsi="仿宋" w:eastAsia="仿宋" w:cs="仿宋_GB2312"/>
          <w:sz w:val="24"/>
        </w:rPr>
      </w:pPr>
      <w:r>
        <w:rPr>
          <w:rFonts w:hint="eastAsia" w:ascii="仿宋" w:hAnsi="仿宋" w:eastAsia="仿宋" w:cs="仿宋_GB2312"/>
          <w:sz w:val="24"/>
        </w:rPr>
        <w:t>二、投诉项目基本情况</w:t>
      </w:r>
    </w:p>
    <w:p>
      <w:pPr>
        <w:spacing w:line="360" w:lineRule="auto"/>
        <w:rPr>
          <w:rFonts w:hint="eastAsia" w:ascii="仿宋" w:hAnsi="仿宋" w:eastAsia="仿宋" w:cs="仿宋_GB2312"/>
          <w:sz w:val="24"/>
          <w:u w:val="dotted"/>
        </w:rPr>
      </w:pPr>
      <w:r>
        <w:rPr>
          <w:rFonts w:hint="eastAsia" w:ascii="仿宋" w:hAnsi="仿宋" w:eastAsia="仿宋" w:cs="仿宋_GB2312"/>
          <w:sz w:val="24"/>
        </w:rPr>
        <w:t>采购项目名称：</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采购项目编号：</w:t>
      </w:r>
      <w:r>
        <w:rPr>
          <w:rFonts w:hint="eastAsia" w:ascii="仿宋" w:hAnsi="仿宋" w:eastAsia="仿宋" w:cs="仿宋_GB2312"/>
          <w:sz w:val="24"/>
          <w:u w:val="dotted"/>
        </w:rPr>
        <w:t xml:space="preserve">                 </w:t>
      </w:r>
      <w:r>
        <w:rPr>
          <w:rFonts w:hint="eastAsia" w:ascii="仿宋" w:hAnsi="仿宋" w:eastAsia="仿宋" w:cs="仿宋_GB2312"/>
          <w:sz w:val="24"/>
        </w:rPr>
        <w:t>包号：</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sz w:val="24"/>
          <w:u w:val="dotted"/>
        </w:rPr>
        <w:t xml:space="preserve">                                           </w:t>
      </w:r>
      <w:r>
        <w:rPr>
          <w:rFonts w:hint="eastAsia" w:ascii="仿宋" w:hAnsi="仿宋" w:eastAsia="仿宋" w:cs="仿宋_GB2312"/>
          <w:sz w:val="24"/>
          <w:u w:val="single"/>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代理机构名称：</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dotted"/>
        </w:rPr>
      </w:pPr>
      <w:r>
        <w:rPr>
          <w:rFonts w:hint="eastAsia" w:ascii="仿宋" w:hAnsi="仿宋" w:eastAsia="仿宋" w:cs="仿宋_GB2312"/>
          <w:sz w:val="24"/>
        </w:rPr>
        <w:t>采购文件公告:</w:t>
      </w:r>
      <w:r>
        <w:rPr>
          <w:rFonts w:hint="eastAsia" w:ascii="仿宋" w:hAnsi="仿宋" w:eastAsia="仿宋" w:cs="仿宋_GB2312"/>
          <w:sz w:val="24"/>
          <w:u w:val="dotted"/>
        </w:rPr>
        <w:t xml:space="preserve">是/否 </w:t>
      </w:r>
      <w:r>
        <w:rPr>
          <w:rFonts w:hint="eastAsia" w:ascii="仿宋" w:hAnsi="仿宋" w:eastAsia="仿宋" w:cs="仿宋_GB2312"/>
          <w:sz w:val="24"/>
        </w:rPr>
        <w:t>公告期限：</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采购结果公告:</w:t>
      </w:r>
      <w:r>
        <w:rPr>
          <w:rFonts w:hint="eastAsia" w:ascii="仿宋" w:hAnsi="仿宋" w:eastAsia="仿宋" w:cs="仿宋_GB2312"/>
          <w:sz w:val="24"/>
          <w:u w:val="dotted"/>
        </w:rPr>
        <w:t xml:space="preserve">是/否 </w:t>
      </w:r>
      <w:r>
        <w:rPr>
          <w:rFonts w:hint="eastAsia" w:ascii="仿宋" w:hAnsi="仿宋" w:eastAsia="仿宋" w:cs="仿宋_GB2312"/>
          <w:sz w:val="24"/>
        </w:rPr>
        <w:t>公告期限：</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rPr>
      </w:pPr>
      <w:r>
        <w:rPr>
          <w:rFonts w:hint="eastAsia" w:ascii="仿宋" w:hAnsi="仿宋" w:eastAsia="仿宋" w:cs="仿宋_GB2312"/>
          <w:sz w:val="24"/>
        </w:rPr>
        <w:t>三、质疑基本情况</w:t>
      </w:r>
    </w:p>
    <w:p>
      <w:pPr>
        <w:spacing w:line="360" w:lineRule="auto"/>
        <w:ind w:firstLine="480" w:firstLineChars="200"/>
        <w:rPr>
          <w:rFonts w:hint="eastAsia" w:ascii="仿宋" w:hAnsi="仿宋" w:eastAsia="仿宋" w:cs="仿宋_GB2312"/>
          <w:sz w:val="24"/>
          <w:u w:val="dotted"/>
        </w:rPr>
      </w:pPr>
      <w:r>
        <w:rPr>
          <w:rFonts w:hint="eastAsia" w:ascii="仿宋" w:hAnsi="仿宋" w:eastAsia="仿宋" w:cs="仿宋_GB2312"/>
          <w:sz w:val="24"/>
        </w:rPr>
        <w:t>投诉人于</w:t>
      </w:r>
      <w:r>
        <w:rPr>
          <w:rFonts w:hint="eastAsia" w:ascii="仿宋" w:hAnsi="仿宋" w:eastAsia="仿宋" w:cs="仿宋_GB2312"/>
          <w:sz w:val="24"/>
          <w:u w:val="dotted"/>
        </w:rPr>
        <w:t xml:space="preserve">   </w:t>
      </w:r>
      <w:r>
        <w:rPr>
          <w:rFonts w:hint="eastAsia" w:ascii="仿宋" w:hAnsi="仿宋" w:eastAsia="仿宋" w:cs="仿宋_GB2312"/>
          <w:sz w:val="24"/>
        </w:rPr>
        <w:t>年</w:t>
      </w:r>
      <w:r>
        <w:rPr>
          <w:rFonts w:hint="eastAsia" w:ascii="仿宋" w:hAnsi="仿宋" w:eastAsia="仿宋" w:cs="仿宋_GB2312"/>
          <w:sz w:val="24"/>
          <w:u w:val="dotted"/>
        </w:rPr>
        <w:t xml:space="preserve">   </w:t>
      </w:r>
      <w:r>
        <w:rPr>
          <w:rFonts w:hint="eastAsia" w:ascii="仿宋" w:hAnsi="仿宋" w:eastAsia="仿宋" w:cs="仿宋_GB2312"/>
          <w:sz w:val="24"/>
        </w:rPr>
        <w:t>月</w:t>
      </w:r>
      <w:r>
        <w:rPr>
          <w:rFonts w:hint="eastAsia" w:ascii="仿宋" w:hAnsi="仿宋" w:eastAsia="仿宋" w:cs="仿宋_GB2312"/>
          <w:sz w:val="24"/>
          <w:u w:val="dotted"/>
        </w:rPr>
        <w:t xml:space="preserve">  </w:t>
      </w:r>
      <w:r>
        <w:rPr>
          <w:rFonts w:hint="eastAsia" w:ascii="仿宋" w:hAnsi="仿宋" w:eastAsia="仿宋" w:cs="仿宋_GB2312"/>
          <w:sz w:val="24"/>
        </w:rPr>
        <w:t>日,向</w:t>
      </w:r>
      <w:r>
        <w:rPr>
          <w:rFonts w:hint="eastAsia" w:ascii="仿宋" w:hAnsi="仿宋" w:eastAsia="仿宋" w:cs="仿宋_GB2312"/>
          <w:sz w:val="24"/>
          <w:u w:val="dotted"/>
        </w:rPr>
        <w:t xml:space="preserve">                   </w:t>
      </w:r>
      <w:r>
        <w:rPr>
          <w:rFonts w:hint="eastAsia" w:ascii="仿宋" w:hAnsi="仿宋" w:eastAsia="仿宋" w:cs="仿宋_GB2312"/>
          <w:sz w:val="24"/>
        </w:rPr>
        <w:t>提出质疑，质疑事项为：</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pPr>
        <w:spacing w:line="360" w:lineRule="auto"/>
        <w:ind w:firstLine="360" w:firstLineChars="150"/>
        <w:rPr>
          <w:rFonts w:hint="eastAsia" w:ascii="仿宋" w:hAnsi="仿宋" w:eastAsia="仿宋" w:cs="仿宋_GB2312"/>
          <w:sz w:val="24"/>
        </w:rPr>
      </w:pPr>
      <w:r>
        <w:rPr>
          <w:rFonts w:hint="eastAsia" w:ascii="仿宋" w:hAnsi="仿宋" w:eastAsia="仿宋" w:cs="仿宋_GB2312"/>
          <w:sz w:val="24"/>
          <w:u w:val="dotted"/>
        </w:rPr>
        <w:t>采购人/代理机构</w:t>
      </w:r>
      <w:r>
        <w:rPr>
          <w:rFonts w:hint="eastAsia" w:ascii="仿宋" w:hAnsi="仿宋" w:eastAsia="仿宋" w:cs="仿宋_GB2312"/>
          <w:sz w:val="24"/>
        </w:rPr>
        <w:t>于</w:t>
      </w:r>
      <w:r>
        <w:rPr>
          <w:rFonts w:hint="eastAsia" w:ascii="仿宋" w:hAnsi="仿宋" w:eastAsia="仿宋" w:cs="仿宋_GB2312"/>
          <w:sz w:val="24"/>
          <w:u w:val="dotted"/>
        </w:rPr>
        <w:t xml:space="preserve">   </w:t>
      </w:r>
      <w:r>
        <w:rPr>
          <w:rFonts w:hint="eastAsia" w:ascii="仿宋" w:hAnsi="仿宋" w:eastAsia="仿宋" w:cs="仿宋_GB2312"/>
          <w:sz w:val="24"/>
        </w:rPr>
        <w:t>年</w:t>
      </w:r>
      <w:r>
        <w:rPr>
          <w:rFonts w:hint="eastAsia" w:ascii="仿宋" w:hAnsi="仿宋" w:eastAsia="仿宋" w:cs="仿宋_GB2312"/>
          <w:sz w:val="24"/>
          <w:u w:val="dotted"/>
        </w:rPr>
        <w:t xml:space="preserve">   </w:t>
      </w:r>
      <w:r>
        <w:rPr>
          <w:rFonts w:hint="eastAsia" w:ascii="仿宋" w:hAnsi="仿宋" w:eastAsia="仿宋" w:cs="仿宋_GB2312"/>
          <w:sz w:val="24"/>
        </w:rPr>
        <w:t>月</w:t>
      </w:r>
      <w:r>
        <w:rPr>
          <w:rFonts w:hint="eastAsia" w:ascii="仿宋" w:hAnsi="仿宋" w:eastAsia="仿宋" w:cs="仿宋_GB2312"/>
          <w:sz w:val="24"/>
          <w:u w:val="dotted"/>
        </w:rPr>
        <w:t xml:space="preserve">   </w:t>
      </w:r>
      <w:r>
        <w:rPr>
          <w:rFonts w:hint="eastAsia" w:ascii="仿宋" w:hAnsi="仿宋" w:eastAsia="仿宋" w:cs="仿宋_GB2312"/>
          <w:sz w:val="24"/>
        </w:rPr>
        <w:t>日,就质疑事项作出了答复/没有在法定期限内作出答复。</w:t>
      </w:r>
    </w:p>
    <w:p>
      <w:pPr>
        <w:spacing w:line="360" w:lineRule="auto"/>
        <w:rPr>
          <w:rFonts w:hint="eastAsia" w:ascii="仿宋" w:hAnsi="仿宋" w:eastAsia="仿宋" w:cs="仿宋_GB2312"/>
          <w:sz w:val="24"/>
        </w:rPr>
      </w:pPr>
      <w:r>
        <w:rPr>
          <w:rFonts w:hint="eastAsia" w:ascii="仿宋" w:hAnsi="仿宋" w:eastAsia="仿宋" w:cs="仿宋_GB2312"/>
          <w:sz w:val="24"/>
        </w:rPr>
        <w:t>四、投诉事项具体内容</w:t>
      </w:r>
    </w:p>
    <w:p>
      <w:pPr>
        <w:spacing w:line="360" w:lineRule="auto"/>
        <w:rPr>
          <w:rFonts w:hint="eastAsia" w:ascii="仿宋" w:hAnsi="仿宋" w:eastAsia="仿宋" w:cs="仿宋_GB2312"/>
          <w:sz w:val="24"/>
          <w:u w:val="single"/>
        </w:rPr>
      </w:pPr>
      <w:r>
        <w:rPr>
          <w:rFonts w:hint="eastAsia" w:ascii="仿宋" w:hAnsi="仿宋" w:eastAsia="仿宋" w:cs="仿宋_GB2312"/>
          <w:sz w:val="24"/>
        </w:rPr>
        <w:t>投诉事项 1：</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rPr>
      </w:pPr>
      <w:r>
        <w:rPr>
          <w:rFonts w:hint="eastAsia" w:ascii="仿宋" w:hAnsi="仿宋" w:eastAsia="仿宋" w:cs="仿宋_GB2312"/>
          <w:sz w:val="24"/>
        </w:rPr>
        <w:t>事实依据：</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法律依据：</w:t>
      </w: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u w:val="dotted"/>
        </w:rPr>
      </w:pPr>
      <w:r>
        <w:rPr>
          <w:rFonts w:hint="eastAsia" w:ascii="仿宋" w:hAnsi="仿宋" w:eastAsia="仿宋" w:cs="仿宋_GB2312"/>
          <w:sz w:val="24"/>
          <w:u w:val="dotted"/>
        </w:rPr>
        <w:t xml:space="preserve">                                                      </w:t>
      </w:r>
    </w:p>
    <w:p>
      <w:pPr>
        <w:spacing w:line="360" w:lineRule="auto"/>
        <w:rPr>
          <w:rFonts w:hint="eastAsia" w:ascii="仿宋" w:hAnsi="仿宋" w:eastAsia="仿宋" w:cs="仿宋_GB2312"/>
          <w:sz w:val="24"/>
        </w:rPr>
      </w:pPr>
      <w:r>
        <w:rPr>
          <w:rFonts w:hint="eastAsia" w:ascii="仿宋" w:hAnsi="仿宋" w:eastAsia="仿宋" w:cs="仿宋_GB2312"/>
          <w:sz w:val="24"/>
        </w:rPr>
        <w:t>投诉事项2</w:t>
      </w:r>
    </w:p>
    <w:p>
      <w:pPr>
        <w:spacing w:line="360" w:lineRule="auto"/>
        <w:rPr>
          <w:rFonts w:hint="eastAsia" w:ascii="仿宋" w:hAnsi="仿宋" w:eastAsia="仿宋" w:cs="仿宋_GB2312"/>
          <w:sz w:val="24"/>
          <w:u w:val="dotted"/>
        </w:rPr>
      </w:pPr>
      <w:r>
        <w:rPr>
          <w:rFonts w:hint="eastAsia" w:ascii="仿宋" w:hAnsi="仿宋" w:eastAsia="仿宋" w:cs="仿宋_GB2312"/>
          <w:sz w:val="24"/>
        </w:rPr>
        <w:t>……</w:t>
      </w:r>
    </w:p>
    <w:p>
      <w:pPr>
        <w:spacing w:line="360" w:lineRule="auto"/>
        <w:rPr>
          <w:rFonts w:hint="eastAsia" w:ascii="仿宋" w:hAnsi="仿宋" w:eastAsia="仿宋" w:cs="仿宋_GB2312"/>
          <w:sz w:val="24"/>
        </w:rPr>
      </w:pPr>
      <w:r>
        <w:rPr>
          <w:rFonts w:hint="eastAsia" w:ascii="仿宋" w:hAnsi="仿宋" w:eastAsia="仿宋" w:cs="仿宋_GB2312"/>
          <w:sz w:val="24"/>
        </w:rPr>
        <w:t>五、与投诉事项相关的投诉请求</w:t>
      </w:r>
    </w:p>
    <w:p>
      <w:pPr>
        <w:spacing w:line="360" w:lineRule="auto"/>
        <w:rPr>
          <w:rFonts w:hint="eastAsia" w:ascii="仿宋" w:hAnsi="仿宋" w:eastAsia="仿宋" w:cs="仿宋_GB2312"/>
          <w:sz w:val="24"/>
        </w:rPr>
      </w:pPr>
      <w:r>
        <w:rPr>
          <w:rFonts w:hint="eastAsia" w:ascii="仿宋" w:hAnsi="仿宋" w:eastAsia="仿宋" w:cs="仿宋_GB2312"/>
          <w:sz w:val="24"/>
        </w:rPr>
        <w:t>请求：</w:t>
      </w:r>
      <w:r>
        <w:rPr>
          <w:rFonts w:hint="eastAsia" w:ascii="仿宋" w:hAnsi="仿宋" w:eastAsia="仿宋" w:cs="仿宋_GB2312"/>
          <w:sz w:val="24"/>
          <w:u w:val="dotted"/>
        </w:rPr>
        <w:t xml:space="preserve">                                              </w:t>
      </w:r>
      <w:r>
        <w:rPr>
          <w:rFonts w:hint="eastAsia" w:ascii="仿宋" w:hAnsi="仿宋" w:eastAsia="仿宋" w:cs="仿宋_GB2312"/>
          <w:sz w:val="24"/>
        </w:rPr>
        <w:t xml:space="preserve"> </w:t>
      </w:r>
    </w:p>
    <w:p>
      <w:pPr>
        <w:spacing w:line="360" w:lineRule="auto"/>
        <w:rPr>
          <w:rFonts w:hint="eastAsia" w:ascii="仿宋" w:hAnsi="仿宋" w:eastAsia="仿宋" w:cs="仿宋_GB2312"/>
          <w:sz w:val="24"/>
          <w:u w:val="single"/>
        </w:rPr>
      </w:pPr>
      <w:r>
        <w:rPr>
          <w:rFonts w:hint="eastAsia" w:ascii="仿宋" w:hAnsi="仿宋" w:eastAsia="仿宋" w:cs="仿宋_GB2312"/>
          <w:sz w:val="24"/>
        </w:rPr>
        <w:t xml:space="preserve">                                                                                                    </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签字(签章)：                   公章：                      </w:t>
      </w:r>
    </w:p>
    <w:p>
      <w:pPr>
        <w:spacing w:line="360" w:lineRule="auto"/>
        <w:rPr>
          <w:rFonts w:hint="eastAsia" w:ascii="仿宋" w:hAnsi="仿宋" w:eastAsia="仿宋" w:cs="仿宋_GB2312"/>
          <w:sz w:val="24"/>
        </w:rPr>
      </w:pPr>
      <w:r>
        <w:rPr>
          <w:rFonts w:hint="eastAsia" w:ascii="仿宋" w:hAnsi="仿宋" w:eastAsia="仿宋" w:cs="仿宋_GB2312"/>
          <w:sz w:val="24"/>
        </w:rPr>
        <w:t xml:space="preserve">日期：    </w:t>
      </w: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r>
        <w:rPr>
          <w:rFonts w:hint="eastAsia" w:ascii="仿宋" w:hAnsi="仿宋" w:eastAsia="仿宋" w:cs="仿宋_GB2312"/>
          <w:b/>
          <w:sz w:val="24"/>
        </w:rPr>
        <w:t>投诉书制作说明：</w:t>
      </w:r>
    </w:p>
    <w:p>
      <w:pPr>
        <w:widowControl/>
        <w:spacing w:line="360" w:lineRule="auto"/>
        <w:ind w:firstLine="480" w:firstLineChars="200"/>
        <w:rPr>
          <w:rFonts w:hint="eastAsia" w:ascii="仿宋" w:hAnsi="仿宋" w:eastAsia="仿宋" w:cs="仿宋_GB2312"/>
          <w:kern w:val="0"/>
          <w:sz w:val="24"/>
        </w:rPr>
      </w:pPr>
      <w:r>
        <w:rPr>
          <w:rFonts w:hint="eastAsia" w:ascii="仿宋" w:hAnsi="仿宋" w:eastAsia="仿宋"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sz w:val="24"/>
        </w:rPr>
        <w:t>2.投诉人若委托代理人进行投诉的，投诉书应按照要求列明“授权代表”的有关内容，并在附件中提交由</w:t>
      </w:r>
      <w:r>
        <w:rPr>
          <w:rFonts w:hint="eastAsia" w:ascii="仿宋" w:hAnsi="仿宋" w:eastAsia="仿宋"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_GB2312"/>
          <w:sz w:val="24"/>
        </w:rPr>
      </w:pPr>
      <w:r>
        <w:rPr>
          <w:rFonts w:hint="eastAsia" w:ascii="仿宋" w:hAnsi="仿宋" w:eastAsia="仿宋" w:cs="仿宋_GB2312"/>
          <w:sz w:val="24"/>
        </w:rPr>
        <w:t>6.投诉书的投诉请求应与投诉事项相关。</w:t>
      </w:r>
    </w:p>
    <w:p>
      <w:pPr>
        <w:widowControl/>
        <w:spacing w:line="360" w:lineRule="auto"/>
        <w:ind w:firstLine="480" w:firstLineChars="200"/>
        <w:jc w:val="left"/>
        <w:rPr>
          <w:rFonts w:hint="eastAsia" w:ascii="仿宋" w:hAnsi="仿宋" w:eastAsia="仿宋" w:cs="仿宋_GB2312"/>
          <w:kern w:val="0"/>
          <w:sz w:val="24"/>
        </w:rPr>
      </w:pPr>
      <w:r>
        <w:rPr>
          <w:rFonts w:hint="eastAsia" w:ascii="仿宋" w:hAnsi="仿宋" w:eastAsia="仿宋" w:cs="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z w:val="24"/>
        </w:rPr>
      </w:pPr>
    </w:p>
    <w:p>
      <w:pPr>
        <w:spacing w:line="360" w:lineRule="auto"/>
        <w:rPr>
          <w:rFonts w:hint="eastAsia" w:ascii="仿宋" w:hAnsi="仿宋" w:eastAsia="仿宋" w:cs="仿宋_GB2312"/>
          <w:b/>
          <w:spacing w:val="6"/>
          <w:sz w:val="32"/>
          <w:szCs w:val="32"/>
        </w:rPr>
      </w:pPr>
      <w:r>
        <w:rPr>
          <w:rFonts w:hint="eastAsia" w:ascii="仿宋" w:hAnsi="仿宋" w:eastAsia="仿宋" w:cs="仿宋_GB2312"/>
          <w:b/>
          <w:spacing w:val="6"/>
          <w:sz w:val="32"/>
          <w:szCs w:val="32"/>
        </w:rPr>
        <w:t>附件4：政府采购节能产品页码表（复印件加盖公章）</w:t>
      </w:r>
    </w:p>
    <w:tbl>
      <w:tblPr>
        <w:tblStyle w:val="85"/>
        <w:tblW w:w="0" w:type="auto"/>
        <w:tblInd w:w="-942" w:type="dxa"/>
        <w:tblLayout w:type="fixed"/>
        <w:tblCellMar>
          <w:top w:w="0" w:type="dxa"/>
          <w:left w:w="108" w:type="dxa"/>
          <w:bottom w:w="0" w:type="dxa"/>
          <w:right w:w="108" w:type="dxa"/>
        </w:tblCellMar>
      </w:tblPr>
      <w:tblGrid>
        <w:gridCol w:w="735"/>
        <w:gridCol w:w="1204"/>
        <w:gridCol w:w="2471"/>
        <w:gridCol w:w="1995"/>
        <w:gridCol w:w="4620"/>
      </w:tblGrid>
      <w:tr>
        <w:tblPrEx>
          <w:tblCellMar>
            <w:top w:w="0" w:type="dxa"/>
            <w:left w:w="108" w:type="dxa"/>
            <w:bottom w:w="0" w:type="dxa"/>
            <w:right w:w="108" w:type="dxa"/>
          </w:tblCellMar>
        </w:tblPrEx>
        <w:trPr>
          <w:wBefore w:w="0" w:type="dxa"/>
          <w:trHeight w:val="714" w:hRule="atLeast"/>
        </w:trPr>
        <w:tc>
          <w:tcPr>
            <w:tcW w:w="735"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序号</w:t>
            </w:r>
          </w:p>
        </w:tc>
        <w:tc>
          <w:tcPr>
            <w:tcW w:w="1204"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产品型号</w:t>
            </w:r>
          </w:p>
        </w:tc>
        <w:tc>
          <w:tcPr>
            <w:tcW w:w="2471"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节能产品认证证书号</w:t>
            </w:r>
          </w:p>
        </w:tc>
        <w:tc>
          <w:tcPr>
            <w:tcW w:w="1995"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节能产品认证证书有效截止日期</w:t>
            </w:r>
          </w:p>
        </w:tc>
        <w:tc>
          <w:tcPr>
            <w:tcW w:w="4620"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节能产品在《清单》（第 期）中的页码</w:t>
            </w:r>
          </w:p>
        </w:tc>
      </w:tr>
      <w:tr>
        <w:tblPrEx>
          <w:tblCellMar>
            <w:top w:w="0" w:type="dxa"/>
            <w:left w:w="108" w:type="dxa"/>
            <w:bottom w:w="0" w:type="dxa"/>
            <w:right w:w="108" w:type="dxa"/>
          </w:tblCellMar>
        </w:tblPrEx>
        <w:trPr>
          <w:wBefore w:w="0" w:type="dxa"/>
          <w:trHeight w:val="579" w:hRule="atLeast"/>
        </w:trPr>
        <w:tc>
          <w:tcPr>
            <w:tcW w:w="735"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462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615" w:hRule="atLeast"/>
        </w:trPr>
        <w:tc>
          <w:tcPr>
            <w:tcW w:w="735"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462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615" w:hRule="atLeast"/>
        </w:trPr>
        <w:tc>
          <w:tcPr>
            <w:tcW w:w="735"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1204"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2471"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199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4620"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rFonts w:hint="eastAsia" w:ascii="仿宋" w:hAnsi="仿宋" w:eastAsia="仿宋" w:cs="仿宋_GB2312"/>
                <w:sz w:val="24"/>
              </w:rPr>
            </w:pPr>
          </w:p>
        </w:tc>
      </w:tr>
    </w:tbl>
    <w:p>
      <w:pPr>
        <w:spacing w:line="360" w:lineRule="auto"/>
        <w:rPr>
          <w:rFonts w:hint="eastAsia" w:ascii="仿宋" w:hAnsi="仿宋" w:eastAsia="仿宋" w:cs="仿宋_GB2312"/>
          <w:b/>
          <w:spacing w:val="6"/>
          <w:sz w:val="32"/>
          <w:szCs w:val="32"/>
        </w:rPr>
      </w:pPr>
    </w:p>
    <w:p>
      <w:pPr>
        <w:spacing w:line="360" w:lineRule="auto"/>
        <w:rPr>
          <w:rFonts w:hint="eastAsia" w:ascii="仿宋" w:hAnsi="仿宋" w:eastAsia="仿宋" w:cs="仿宋_GB2312"/>
          <w:b/>
          <w:spacing w:val="6"/>
          <w:sz w:val="32"/>
          <w:szCs w:val="32"/>
        </w:rPr>
      </w:pPr>
      <w:r>
        <w:rPr>
          <w:rFonts w:hint="eastAsia" w:ascii="仿宋" w:hAnsi="仿宋" w:eastAsia="仿宋" w:cs="仿宋_GB2312"/>
          <w:b/>
          <w:spacing w:val="6"/>
          <w:sz w:val="32"/>
          <w:szCs w:val="32"/>
        </w:rPr>
        <w:t>附表5：政府采购环境标志产品页码表（复印件加盖公章）（如果有）</w:t>
      </w:r>
    </w:p>
    <w:tbl>
      <w:tblPr>
        <w:tblStyle w:val="85"/>
        <w:tblW w:w="0" w:type="auto"/>
        <w:tblInd w:w="-837" w:type="dxa"/>
        <w:tblLayout w:type="fixed"/>
        <w:tblCellMar>
          <w:top w:w="0" w:type="dxa"/>
          <w:left w:w="108" w:type="dxa"/>
          <w:bottom w:w="0" w:type="dxa"/>
          <w:right w:w="108" w:type="dxa"/>
        </w:tblCellMar>
      </w:tblPr>
      <w:tblGrid>
        <w:gridCol w:w="714"/>
        <w:gridCol w:w="1218"/>
        <w:gridCol w:w="2457"/>
        <w:gridCol w:w="2100"/>
        <w:gridCol w:w="4410"/>
      </w:tblGrid>
      <w:tr>
        <w:tblPrEx>
          <w:tblCellMar>
            <w:top w:w="0" w:type="dxa"/>
            <w:left w:w="108" w:type="dxa"/>
            <w:bottom w:w="0" w:type="dxa"/>
            <w:right w:w="108" w:type="dxa"/>
          </w:tblCellMar>
        </w:tblPrEx>
        <w:trPr>
          <w:wBefore w:w="0" w:type="dxa"/>
          <w:trHeight w:val="714" w:hRule="atLeast"/>
        </w:trPr>
        <w:tc>
          <w:tcPr>
            <w:tcW w:w="71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序号</w:t>
            </w:r>
          </w:p>
        </w:tc>
        <w:tc>
          <w:tcPr>
            <w:tcW w:w="121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产品型号</w:t>
            </w:r>
          </w:p>
        </w:tc>
        <w:tc>
          <w:tcPr>
            <w:tcW w:w="2457"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环境标志产品认证证书号</w:t>
            </w:r>
          </w:p>
        </w:tc>
        <w:tc>
          <w:tcPr>
            <w:tcW w:w="2100"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环境标志产品认证证书有效截止日期</w:t>
            </w:r>
          </w:p>
        </w:tc>
        <w:tc>
          <w:tcPr>
            <w:tcW w:w="4410"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 w:hAnsi="仿宋" w:eastAsia="仿宋" w:cs="仿宋_GB2312"/>
                <w:sz w:val="24"/>
              </w:rPr>
            </w:pPr>
            <w:r>
              <w:rPr>
                <w:rFonts w:hint="eastAsia" w:ascii="仿宋" w:hAnsi="仿宋" w:eastAsia="仿宋" w:cs="仿宋_GB2312"/>
                <w:sz w:val="24"/>
              </w:rPr>
              <w:t>环境标志产品在《清单》（第  期）中的页码</w:t>
            </w:r>
          </w:p>
        </w:tc>
      </w:tr>
      <w:tr>
        <w:tblPrEx>
          <w:tblCellMar>
            <w:top w:w="0" w:type="dxa"/>
            <w:left w:w="108" w:type="dxa"/>
            <w:bottom w:w="0" w:type="dxa"/>
            <w:right w:w="108" w:type="dxa"/>
          </w:tblCellMar>
        </w:tblPrEx>
        <w:trPr>
          <w:wBefore w:w="0" w:type="dxa"/>
          <w:trHeight w:val="637" w:hRule="atLeast"/>
        </w:trPr>
        <w:tc>
          <w:tcPr>
            <w:tcW w:w="71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441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617" w:hRule="atLeast"/>
        </w:trPr>
        <w:tc>
          <w:tcPr>
            <w:tcW w:w="71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4410"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 w:hAnsi="仿宋" w:eastAsia="仿宋" w:cs="仿宋_GB2312"/>
                <w:sz w:val="24"/>
              </w:rPr>
            </w:pPr>
          </w:p>
        </w:tc>
      </w:tr>
      <w:tr>
        <w:tblPrEx>
          <w:tblCellMar>
            <w:top w:w="0" w:type="dxa"/>
            <w:left w:w="108" w:type="dxa"/>
            <w:bottom w:w="0" w:type="dxa"/>
            <w:right w:w="108" w:type="dxa"/>
          </w:tblCellMar>
        </w:tblPrEx>
        <w:trPr>
          <w:wBefore w:w="0" w:type="dxa"/>
          <w:trHeight w:val="617" w:hRule="atLeast"/>
        </w:trPr>
        <w:tc>
          <w:tcPr>
            <w:tcW w:w="714"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1218"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245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2100" w:type="dxa"/>
            <w:tcBorders>
              <w:top w:val="single" w:color="auto" w:sz="4" w:space="0"/>
              <w:left w:val="single" w:color="auto" w:sz="4" w:space="0"/>
              <w:bottom w:val="single" w:color="auto" w:sz="12" w:space="0"/>
              <w:right w:val="single" w:color="auto" w:sz="4" w:space="0"/>
            </w:tcBorders>
            <w:noWrap w:val="0"/>
            <w:vAlign w:val="center"/>
          </w:tcPr>
          <w:p>
            <w:pPr>
              <w:spacing w:line="360" w:lineRule="auto"/>
              <w:jc w:val="center"/>
              <w:rPr>
                <w:rFonts w:hint="eastAsia" w:ascii="仿宋" w:hAnsi="仿宋" w:eastAsia="仿宋" w:cs="仿宋_GB2312"/>
                <w:sz w:val="24"/>
              </w:rPr>
            </w:pPr>
          </w:p>
        </w:tc>
        <w:tc>
          <w:tcPr>
            <w:tcW w:w="4410"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jc w:val="center"/>
              <w:rPr>
                <w:rFonts w:hint="eastAsia" w:ascii="仿宋" w:hAnsi="仿宋" w:eastAsia="仿宋" w:cs="仿宋_GB2312"/>
                <w:sz w:val="24"/>
              </w:rPr>
            </w:pPr>
          </w:p>
        </w:tc>
      </w:tr>
    </w:tbl>
    <w:p>
      <w:pPr>
        <w:autoSpaceDE w:val="0"/>
        <w:autoSpaceDN w:val="0"/>
        <w:spacing w:line="360" w:lineRule="auto"/>
        <w:ind w:firstLine="4560" w:firstLineChars="1900"/>
        <w:rPr>
          <w:rFonts w:hint="eastAsia" w:ascii="仿宋" w:hAnsi="仿宋" w:eastAsia="仿宋" w:cs="仿宋_GB2312"/>
          <w:kern w:val="0"/>
          <w:sz w:val="24"/>
        </w:rPr>
      </w:pPr>
    </w:p>
    <w:p>
      <w:pPr>
        <w:autoSpaceDE w:val="0"/>
        <w:autoSpaceDN w:val="0"/>
        <w:spacing w:line="360" w:lineRule="auto"/>
        <w:ind w:firstLine="4560" w:firstLineChars="1900"/>
        <w:rPr>
          <w:rFonts w:hint="eastAsia" w:ascii="仿宋" w:hAnsi="仿宋" w:eastAsia="仿宋" w:cs="仿宋_GB2312"/>
          <w:kern w:val="0"/>
          <w:sz w:val="24"/>
        </w:rPr>
      </w:pPr>
    </w:p>
    <w:p>
      <w:pPr>
        <w:autoSpaceDE w:val="0"/>
        <w:autoSpaceDN w:val="0"/>
        <w:spacing w:line="360" w:lineRule="auto"/>
        <w:ind w:firstLine="4560" w:firstLineChars="1900"/>
        <w:rPr>
          <w:rFonts w:hint="eastAsia" w:ascii="仿宋" w:hAnsi="仿宋" w:eastAsia="仿宋" w:cs="仿宋_GB2312"/>
          <w:kern w:val="0"/>
          <w:sz w:val="24"/>
        </w:rPr>
      </w:pPr>
      <w:r>
        <w:rPr>
          <w:rFonts w:hint="eastAsia" w:ascii="仿宋" w:hAnsi="仿宋" w:eastAsia="仿宋" w:cs="仿宋_GB2312"/>
          <w:kern w:val="0"/>
          <w:sz w:val="24"/>
        </w:rPr>
        <w:t xml:space="preserve">供应商名称（公章）：                       </w:t>
      </w:r>
    </w:p>
    <w:p>
      <w:pPr>
        <w:autoSpaceDE w:val="0"/>
        <w:autoSpaceDN w:val="0"/>
        <w:spacing w:line="360" w:lineRule="auto"/>
        <w:rPr>
          <w:rFonts w:hint="eastAsia" w:ascii="仿宋" w:hAnsi="仿宋" w:eastAsia="仿宋" w:cs="仿宋_GB2312"/>
          <w:kern w:val="0"/>
          <w:sz w:val="24"/>
        </w:rPr>
      </w:pPr>
      <w:r>
        <w:rPr>
          <w:rFonts w:hint="eastAsia" w:ascii="仿宋" w:hAnsi="仿宋" w:eastAsia="仿宋" w:cs="仿宋_GB2312"/>
          <w:kern w:val="0"/>
          <w:sz w:val="24"/>
        </w:rPr>
        <w:t xml:space="preserve">                                      法定代表人或授权委托人（签字）：                   </w:t>
      </w:r>
    </w:p>
    <w:p>
      <w:pPr>
        <w:spacing w:line="360" w:lineRule="auto"/>
        <w:rPr>
          <w:rFonts w:hint="eastAsia" w:ascii="仿宋" w:hAnsi="仿宋" w:eastAsia="仿宋" w:cs="仿宋_GB2312"/>
          <w:bCs/>
          <w:sz w:val="24"/>
        </w:rPr>
      </w:pPr>
      <w:r>
        <w:rPr>
          <w:rFonts w:hint="eastAsia" w:ascii="仿宋" w:hAnsi="仿宋" w:eastAsia="仿宋" w:cs="仿宋_GB2312"/>
          <w:kern w:val="0"/>
          <w:sz w:val="24"/>
        </w:rPr>
        <w:t xml:space="preserve">                                      日期：   年  月   日</w:t>
      </w:r>
    </w:p>
    <w:p>
      <w:pPr>
        <w:spacing w:line="360" w:lineRule="auto"/>
        <w:rPr>
          <w:rFonts w:hint="eastAsia" w:ascii="仿宋" w:hAnsi="仿宋" w:eastAsia="仿宋" w:cs="仿宋_GB2312"/>
          <w:b/>
          <w:sz w:val="24"/>
        </w:rPr>
      </w:pPr>
    </w:p>
    <w:sectPr>
      <w:footerReference r:id="rId17" w:type="firs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Bk">
    <w:altName w:val="Trebuchet MS"/>
    <w:panose1 w:val="00000000000000000000"/>
    <w:charset w:val="00"/>
    <w:family w:val="swiss"/>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FHLHE E+ Futura Bk">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00000003"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Futura Hv">
    <w:altName w:val="Arial"/>
    <w:panose1 w:val="00000000000000000000"/>
    <w:charset w:val="00"/>
    <w:family w:val="auto"/>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40000" w:usb1="00000000" w:usb2="00000000" w:usb3="00000000" w:csb0="00000000" w:csb1="00000000"/>
  </w:font>
  <w:font w:name="Vrinda">
    <w:altName w:val="微软雅黑"/>
    <w:panose1 w:val="00000400000000000000"/>
    <w:charset w:val="01"/>
    <w:family w:val="roman"/>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111</w:t>
                          </w:r>
                          <w:r>
                            <w:rPr>
                              <w:rFonts w:hint="eastAsia" w:ascii="仿宋_GB2312" w:eastAsia="仿宋_GB2312"/>
                              <w:kern w:val="0"/>
                              <w:szCs w:val="21"/>
                            </w:rPr>
                            <w:fldChar w:fldCharType="end"/>
                          </w:r>
                          <w:r>
                            <w:rPr>
                              <w:rFonts w:hint="eastAsia" w:ascii="仿宋_GB2312" w:eastAsia="仿宋_GB2312"/>
                              <w:kern w:val="0"/>
                              <w:szCs w:val="21"/>
                            </w:rPr>
                            <w:t xml:space="preserve"> 页 共 68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hdbO/SAQAApAMAAA4AAABkcnMvZTJvRG9jLnhtbK1TS27bMBDd F8gdCO5jyQbSCILloIWRIEDRFkh7AJoiLQL8gUNb8gXaG3TVTfc9l8/RISU5RbrJohtqhjN8M+/N aH03GE2OIoBytqHLRUmJsNy1yu4b+vXL/XVFCURmW6adFQ09CaB3m6s3697XYuU6p1sRCIJYqHvf 0C5GXxcF8E4YBgvnhcWgdMGwiG7YF21gPaIbXazK8m3Ru9D64LgAwNvtGKQTYngNoJNScbF1/GCE jSNqEJpFpASd8kA3uVspBY+fpAQRiW4oMo35xCJo79JZbNas3gfmO8WnFthrWnjByTBlsegFassi I4eg/oEyigcHTsYFd6YYiWRFkMWyfKHNU8e8yFxQavAX0eH/wfKPx8+BqBY3YUmJZQYnfv7x/fzz 9/nXN3Kb9Ok91Jj25DExDu/dgLnzPeBloj3IYNIXCRGMo7qni7piiISnR9WqqkoMcYzNDuIXz899 gPggnCHJaGjA8WVV2fEDxDF1TknVrLtXWucRakt6RL2pbm/yi0sI0bXFIonF2G2y4rAbJmo7156Q WY870FCLK0+JfrQocVqX2QizsZuNgw9q3+V9Sq2Af3eI2E7uMlUYYafCOLzMc1q0tB1/+znr+efa /A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eF1s79IBAACkAwAADgAAAAAAAAABACAAAAAi AQAAZHJzL2Uyb0RvYy54bWxQSwUGAAAAAAYABgBZAQAAZgUAAAAA ">
              <v:fill on="f" focussize="0,0"/>
              <v:stroke on="f" weight="1.25pt"/>
              <v:imagedata o:title=""/>
              <o:lock v:ext="edit" aspectratio="f"/>
              <v:textbox inset="0mm,0mm,0mm,0mm" style="mso-fit-shape-to-text:t;">
                <w:txbxContent>
                  <w:p>
                    <w:pPr>
                      <w:pStyle w:val="5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111</w:t>
                    </w:r>
                    <w:r>
                      <w:rPr>
                        <w:rFonts w:hint="eastAsia" w:ascii="仿宋_GB2312" w:eastAsia="仿宋_GB2312"/>
                        <w:kern w:val="0"/>
                        <w:szCs w:val="21"/>
                      </w:rPr>
                      <w:fldChar w:fldCharType="end"/>
                    </w:r>
                    <w:r>
                      <w:rPr>
                        <w:rFonts w:hint="eastAsia" w:ascii="仿宋_GB2312" w:eastAsia="仿宋_GB2312"/>
                        <w:kern w:val="0"/>
                        <w:szCs w:val="21"/>
                      </w:rPr>
                      <w:t xml:space="preserve"> 页 共 68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89"/>
      </w:rPr>
    </w:pPr>
    <w:r>
      <w:fldChar w:fldCharType="begin"/>
    </w:r>
    <w:r>
      <w:rPr>
        <w:rStyle w:val="89"/>
      </w:rPr>
      <w:instrText xml:space="preserve">PAGE  </w:instrText>
    </w:r>
    <w:r>
      <w:fldChar w:fldCharType="separate"/>
    </w:r>
    <w:r>
      <w:fldChar w:fldCharType="end"/>
    </w:r>
  </w:p>
  <w:p>
    <w:pPr>
      <w:pStyle w:val="5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107</w:t>
                          </w:r>
                          <w:r>
                            <w:rPr>
                              <w:rFonts w:hint="eastAsia" w:ascii="仿宋_GB2312" w:eastAsia="仿宋_GB2312"/>
                              <w:kern w:val="0"/>
                              <w:szCs w:val="21"/>
                            </w:rPr>
                            <w:fldChar w:fldCharType="end"/>
                          </w:r>
                          <w:bookmarkStart w:id="509" w:name="_Toc91899912"/>
                          <w:bookmarkStart w:id="510" w:name="_Toc131845147"/>
                          <w:bookmarkStart w:id="511" w:name="_Toc164085800"/>
                          <w:bookmarkStart w:id="512" w:name="_Toc36110187"/>
                          <w:r>
                            <w:rPr>
                              <w:rFonts w:hint="eastAsia" w:ascii="仿宋_GB2312" w:eastAsia="仿宋_GB2312"/>
                              <w:kern w:val="0"/>
                              <w:szCs w:val="21"/>
                            </w:rPr>
                            <w:t xml:space="preserve"> 页</w:t>
                          </w:r>
                          <w:bookmarkEnd w:id="509"/>
                          <w:bookmarkEnd w:id="510"/>
                          <w:bookmarkEnd w:id="511"/>
                          <w:bookmarkEnd w:id="512"/>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XXaJzSAQAApAMAAA4AAABkcnMvZTJvRG9jLnhtbK1TS27bMBDd F+gdCO5rKQbSCILlIIWRokCRFkhzAJoiLQL8gUNb8gXaG3TVTfc9l8/RISU5QbLJIhtqhjN8M+/N aHU9GE0OIoBytqEXi5ISYblrld019OHH7YeKEojMtkw7Kxp6FECv1+/frXpfi6XrnG5FIAhioe59 Q7sYfV0UwDthGCycFxaD0gXDIrphV7SB9YhudLEsy49F70Lrg+MCAG83Y5BOiOE1gE5KxcXG8b0R No6oQWgWkRJ0ygNd526lFDx+kxJEJLqhyDTmE4ugvU1nsV6xeheY7xSfWmCvaeEZJ8OUxaJnqA2L jOyDegFlFA8OnIwL7kwxEsmKIIuL8pk29x3zInNBqcGfRYe3g+V3h++BqBY3YUmJZQYnfvr96/Tn 3+nvT1IlfXoPNabde0yMwyc3YO58D3iZaA8ymPRFQgTjqO7xrK4YIuHpUbWsqhJDHGOzg/jF43Mf IH4WzpBkNDTg+LKq7PAV4pg6p6Rq1t0qrfMItSU9ol5WV5f5xTmE6NpikcRi7DZZcdgOE7Wta4/I rMcdaKjFladEf7EocVqX2QizsZ2NvQ9q1+V9Sq2Av9lHbCd3mSqMsFNhHF7mOS1a2o6nfs56/LnW /w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JddonNIBAACkAwAADgAAAAAAAAABACAAAAAi AQAAZHJzL2Uyb0RvYy54bWxQSwUGAAAAAAYABgBZAQAAZgUAAAAA ">
              <v:fill on="f" focussize="0,0"/>
              <v:stroke on="f" weight="1.25pt"/>
              <v:imagedata o:title=""/>
              <o:lock v:ext="edit" aspectratio="f"/>
              <v:textbox inset="0mm,0mm,0mm,0mm" style="mso-fit-shape-to-text:t;">
                <w:txbxContent>
                  <w:p>
                    <w:pPr>
                      <w:pStyle w:val="5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105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107</w:t>
                    </w:r>
                    <w:r>
                      <w:rPr>
                        <w:rFonts w:hint="eastAsia" w:ascii="仿宋_GB2312" w:eastAsia="仿宋_GB2312"/>
                        <w:kern w:val="0"/>
                        <w:szCs w:val="21"/>
                      </w:rPr>
                      <w:fldChar w:fldCharType="end"/>
                    </w:r>
                    <w:bookmarkStart w:id="509" w:name="_Toc91899912"/>
                    <w:bookmarkStart w:id="510" w:name="_Toc131845147"/>
                    <w:bookmarkStart w:id="511" w:name="_Toc164085800"/>
                    <w:bookmarkStart w:id="512" w:name="_Toc36110187"/>
                    <w:r>
                      <w:rPr>
                        <w:rFonts w:hint="eastAsia" w:ascii="仿宋_GB2312" w:eastAsia="仿宋_GB2312"/>
                        <w:kern w:val="0"/>
                        <w:szCs w:val="21"/>
                      </w:rPr>
                      <w:t xml:space="preserve"> 页</w:t>
                    </w:r>
                    <w:bookmarkEnd w:id="509"/>
                    <w:bookmarkEnd w:id="510"/>
                    <w:bookmarkEnd w:id="511"/>
                    <w:bookmarkEnd w:id="512"/>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hint="eastAsia"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hint="eastAsia"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08710" cy="17907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108710" cy="179070"/>
                      </a:xfrm>
                      <a:prstGeom prst="rect">
                        <a:avLst/>
                      </a:prstGeom>
                      <a:noFill/>
                      <a:ln w="15875">
                        <a:noFill/>
                      </a:ln>
                    </wps:spPr>
                    <wps:txbx>
                      <w:txbxContent>
                        <w:p>
                          <w:pPr>
                            <w:pStyle w:val="5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w:t>
                          </w:r>
                          <w:r>
                            <w:rPr>
                              <w:rFonts w:hint="eastAsia" w:ascii="仿宋_GB2312" w:eastAsia="仿宋_GB2312"/>
                              <w:kern w:val="0"/>
                            </w:rPr>
                            <w:fldChar w:fldCharType="end"/>
                          </w:r>
                          <w:r>
                            <w:rPr>
                              <w:rFonts w:hint="eastAsia" w:ascii="仿宋_GB2312" w:eastAsia="仿宋_GB2312"/>
                              <w:kern w:val="0"/>
                            </w:rPr>
                            <w:t xml:space="preserve"> 页 共 68页</w:t>
                          </w:r>
                        </w:p>
                      </w:txbxContent>
                    </wps:txbx>
                    <wps:bodyPr wrap="square" lIns="0" tIns="0" rIns="0" bIns="0" upright="0"/>
                  </wps:wsp>
                </a:graphicData>
              </a:graphic>
            </wp:anchor>
          </w:drawing>
        </mc:Choice>
        <mc:Fallback>
          <w:pict>
            <v:shape id="文本框 2" o:spid="_x0000_s1026" o:spt="202" type="#_x0000_t202" style="position:absolute;left:0pt;margin-top:0pt;height:14.1pt;width:87.3pt;mso-position-horizontal:center;mso-position-horizontal-relative:margin;z-index:251659264;mso-width-relative:page;mso-height-relative:page;" filled="f" stroked="f" coordsize="21600,21600" o:gfxdata="UEsDBAoAAAAAAIdO4kAAAAAAAAAAAAAAAAAEAAAAZHJzL1BLAwQUAAAACACHTuJA9DOtC9UAAAAE AQAADwAAAGRycy9kb3ducmV2LnhtbE2PUUvDMBSF34X9h3AFX2RLV7UbtekYAxH2pNUfkDbXptjc hCTrNn+92V705cLhHM75brU5mZFN6MNgScBykQFD6qwaqBfw+fEyXwMLUZKSoyUUcMYAm3p2U8lS 2SO949TEnqUSCqUUoGN0Jeeh02hkWFiHlLwv642MSfqeKy+PqdyMPM+yghs5UFrQ0uFOY/fdHIyA Zh8f/O71yelp6+7V20/bFWcvxN3tMnsGFvEU/8JwwU/oUCem1h5IBTYKSI/E6714q8cCWCsgX+fA 64r/h69/AVBLAwQUAAAACACHTuJAL4+5hMwBAACKAwAADgAAAGRycy9lMm9Eb2MueG1srVPNjtMw EL4j8Q6W7zRJpd2WqOlKqFqEhABp4QFcx2ks+Y8Zt0lfAN6AExfuPFefg7HbdNFy2QMXZ+yZ+Wa+ byaru9EadlCA2ruGV7OSM+Wkb7XbNfzL5/tXS84wCtcK451q+FEhv1u/fLEaQq3mvvemVcAIxGE9 hIb3MYa6KFD2ygqc+aAcOTsPVkS6wq5oQQyEbk0xL8vbYvDQBvBSIdLr5uzkF0R4DqDvOi3Vxsu9 VS6eUUEZEYkS9jogX+duu07J+LHrUEVmGk5MYz6pCNnbdBbrlah3IEKv5aUF8ZwWnnCyQjsqeoXa iCjYHvQ/UFZL8Oi7OJPeFmciWRFiUZVPtHnoRVCZC0mN4So6/j9Y+eHwCZhuG37LmROWBn768f30 8/fp1zc2T/IMAWuKeggUF8c3fqSlmd6RHhPrsQObvsSHkZ/EPV7FVWNkMiVV5XJRkUuSr1q8LhdZ /eIxOwDGt8pbloyGAw0vayoO7zFSJxQ6haRizt9rY/IAjWMDgd4sFzc54+qiFOMoM5E4N5usOG7H C7Otb49EbKANaDh+3QtQnJl3jiRO6zIZMBnbydgH0Ls+71NqLcHSiHKTl3VKO/D3PUc9/kLrP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AAA AABkcnMvUEsBAhQAFAAAAAgAh07iQPQzrQvVAAAABAEAAA8AAAAAAAAAAQAgAAAAIgAAAGRycy9k b3ducmV2LnhtbFBLAQIUABQAAAAIAIdO4kAvj7mEzAEAAIoDAAAOAAAAAAAAAAEAIAAAACQBAABk cnMvZTJvRG9jLnhtbFBLBQYAAAAABgAGAFkBAABiBQAAAAA= ">
              <v:fill on="f" focussize="0,0"/>
              <v:stroke on="f" weight="1.25pt"/>
              <v:imagedata o:title=""/>
              <o:lock v:ext="edit" aspectratio="f"/>
              <v:textbox inset="0mm,0mm,0mm,0mm">
                <w:txbxContent>
                  <w:p>
                    <w:pPr>
                      <w:pStyle w:val="5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w:t>
                    </w:r>
                    <w:r>
                      <w:rPr>
                        <w:rFonts w:hint="eastAsia" w:ascii="仿宋_GB2312" w:eastAsia="仿宋_GB2312"/>
                        <w:kern w:val="0"/>
                      </w:rPr>
                      <w:fldChar w:fldCharType="end"/>
                    </w:r>
                    <w:r>
                      <w:rPr>
                        <w:rFonts w:hint="eastAsia" w:ascii="仿宋_GB2312" w:eastAsia="仿宋_GB2312"/>
                        <w:kern w:val="0"/>
                      </w:rPr>
                      <w:t xml:space="preserve"> 页 共 68页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120" w:after="120"/>
      <w:ind w:firstLine="480"/>
      <w:jc w:val="center"/>
      <w:rPr>
        <w:rFonts w:hint="eastAsia"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spacing w:before="120" w:after="120"/>
                            <w:ind w:firstLine="480"/>
                            <w:jc w:val="center"/>
                          </w:pPr>
                          <w:r>
                            <w:rPr>
                              <w:rFonts w:hint="eastAsia" w:ascii="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64</w:t>
                          </w:r>
                          <w:r>
                            <w:rPr>
                              <w:rFonts w:hint="eastAsia" w:ascii="仿宋_GB2312" w:eastAsia="仿宋_GB2312"/>
                              <w:kern w:val="0"/>
                            </w:rPr>
                            <w:fldChar w:fldCharType="end"/>
                          </w:r>
                          <w:r>
                            <w:rPr>
                              <w:rFonts w:hint="eastAsia" w:ascii="仿宋_GB2312"/>
                              <w:kern w:val="0"/>
                            </w:rPr>
                            <w:t xml:space="preserve"> 页 共 </w:t>
                          </w:r>
                          <w:r>
                            <w:rPr>
                              <w:rFonts w:hint="eastAsia" w:ascii="仿宋_GB2312" w:eastAsia="仿宋_GB2312"/>
                              <w:kern w:val="0"/>
                            </w:rPr>
                            <w:t>68</w:t>
                          </w:r>
                          <w:r>
                            <w:rPr>
                              <w:rFonts w:hint="eastAsia" w:ascii="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KVIQzSAQAAowMAAA4AAABkcnMvZTJvRG9jLnhtbK1TS27bMBDd F8gdCO5jKQ7SCILloIWRoEDRFkh6AJoiLQL8gUNb8gXaG3TVTfc9l8/RISU5RbrJohtqhjN8M+/N aHU3GE0OIoBytqFXi5ISYblrld019OvT/WVFCURmW6adFQ09CqB364s3q97XYuk6p1sRCIJYqHvf 0C5GXxcF8E4YBgvnhcWgdMGwiG7YFW1gPaIbXSzL8m3Ru9D64LgAwNvNGKQTYngNoJNScbFxfG+E jSNqEJpFpASd8kDXuVspBY+fpQQRiW4oMo35xCJob9NZrFes3gXmO8WnFthrWnjByTBlsegZasMi I/ug/oEyigcHTsYFd6YYiWRFkMVV+UKbx455kbmg1ODPosP/g+WfDl8CUW1DbymxzODATz++n37+ Pv36Rq6TPL2HGrMePebF4b0bcGnme8DLxHqQwaQv8iEYR3GPZ3HFEAlPj6plVZUY4hibHcQvnp/7 APFBOEOS0dCA08uissNHiGPqnJKqWXevtM4T1Jb0iHpT3d7kF+cQomuLRRKLsdtkxWE7TNS2rj0i sx5XoKEWN54S/cGiwmlbZiPMxnY29j6oXZfXKbUC/t0+Yju5y1RhhJ0K4+wyz2nP0nL87ees539r /Q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ApUhDNIBAACjAwAADgAAAAAAAAABACAAAAAi AQAAZHJzL2Uyb0RvYy54bWxQSwUGAAAAAAYABgBZAQAAZgUAAAAA ">
              <v:fill on="f" focussize="0,0"/>
              <v:stroke on="f" weight="1.25pt"/>
              <v:imagedata o:title=""/>
              <o:lock v:ext="edit" aspectratio="f"/>
              <v:textbox inset="0mm,0mm,0mm,0mm" style="mso-fit-shape-to-text:t;">
                <w:txbxContent>
                  <w:p>
                    <w:pPr>
                      <w:pStyle w:val="52"/>
                      <w:spacing w:before="120" w:after="120"/>
                      <w:ind w:firstLine="480"/>
                      <w:jc w:val="center"/>
                    </w:pPr>
                    <w:r>
                      <w:rPr>
                        <w:rFonts w:hint="eastAsia" w:ascii="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64</w:t>
                    </w:r>
                    <w:r>
                      <w:rPr>
                        <w:rFonts w:hint="eastAsia" w:ascii="仿宋_GB2312" w:eastAsia="仿宋_GB2312"/>
                        <w:kern w:val="0"/>
                      </w:rPr>
                      <w:fldChar w:fldCharType="end"/>
                    </w:r>
                    <w:r>
                      <w:rPr>
                        <w:rFonts w:hint="eastAsia" w:ascii="仿宋_GB2312"/>
                        <w:kern w:val="0"/>
                      </w:rPr>
                      <w:t xml:space="preserve"> 页 共 </w:t>
                    </w:r>
                    <w:r>
                      <w:rPr>
                        <w:rFonts w:hint="eastAsia" w:ascii="仿宋_GB2312" w:eastAsia="仿宋_GB2312"/>
                        <w:kern w:val="0"/>
                      </w:rPr>
                      <w:t>68</w:t>
                    </w:r>
                    <w:r>
                      <w:rPr>
                        <w:rFonts w:hint="eastAsia" w:ascii="仿宋_GB2312"/>
                        <w:kern w:val="0"/>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spacing w:before="120" w:after="120"/>
      <w:ind w:firstLine="480"/>
      <w:rPr>
        <w:rStyle w:val="89"/>
      </w:rPr>
    </w:pPr>
    <w:r>
      <w:fldChar w:fldCharType="begin"/>
    </w:r>
    <w:r>
      <w:rPr>
        <w:rStyle w:val="89"/>
      </w:rPr>
      <w:instrText xml:space="preserve">PAGE  </w:instrText>
    </w:r>
    <w:r>
      <w:fldChar w:fldCharType="separate"/>
    </w:r>
    <w:r>
      <w:fldChar w:fldCharType="end"/>
    </w:r>
  </w:p>
  <w:p>
    <w:pPr>
      <w:pStyle w:val="52"/>
      <w:spacing w:before="120" w:after="120"/>
      <w:ind w:right="360"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120" w:after="120"/>
      <w:ind w:firstLine="480"/>
      <w:jc w:val="center"/>
      <w:rPr>
        <w:rFonts w:hint="eastAsia"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spacing w:before="120" w:after="120"/>
                            <w:ind w:firstLine="480"/>
                            <w:jc w:val="center"/>
                          </w:pPr>
                          <w:r>
                            <w:rPr>
                              <w:rFonts w:hint="eastAsia" w:ascii="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18</w:t>
                          </w:r>
                          <w:r>
                            <w:rPr>
                              <w:rFonts w:hint="eastAsia" w:ascii="仿宋_GB2312" w:eastAsia="仿宋_GB2312"/>
                              <w:kern w:val="0"/>
                            </w:rPr>
                            <w:fldChar w:fldCharType="end"/>
                          </w:r>
                          <w:r>
                            <w:rPr>
                              <w:rFonts w:hint="eastAsia" w:ascii="仿宋_GB2312"/>
                              <w:kern w:val="0"/>
                            </w:rPr>
                            <w:t xml:space="preserve"> 页 共 </w:t>
                          </w:r>
                          <w:r>
                            <w:rPr>
                              <w:rFonts w:hint="eastAsia" w:ascii="仿宋_GB2312" w:eastAsia="仿宋_GB2312"/>
                              <w:kern w:val="0"/>
                            </w:rPr>
                            <w:t>68</w:t>
                          </w:r>
                          <w:r>
                            <w:rPr>
                              <w:rFonts w:hint="eastAsia" w:ascii="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gMtyTSAQAAowMAAA4AAABkcnMvZTJvRG9jLnhtbK1TS27bMBDd F8gdCO5jKUbTCoLlIIWRIEDRFkh7AJoiLQL8gUNb8gXaG3TVTfc9l8/RISU5RbrJIhtqhjN8M+/N aHUzGE0OIoBytqFXi5ISYblrld019NvXu8uKEojMtkw7Kxp6FEBv1hdvVr2vxdJ1TrciEASxUPe+ oV2Mvi4K4J0wDBbOC4tB6YJhEd2wK9rAekQ3uliW5buid6H1wXEBgLebMUgnxPASQCel4mLj+N4I G0fUIDSLSAk65YGuc7dSCh4/SwkiEt1QZBrziUXQ3qazWK9YvQvMd4pPLbCXtPCMk2HKYtEz1IZF RvZB/QdlFA8OnIwL7kwxEsmKIIur8pk2jx3zInNBqcGfRYfXg+WfDl8CUW1DceyWGRz46eeP068/ p9/fydskT++hxqxHj3lx+OAGXJr5HvAysR5kMOmLfAjGUdzjWVwxRMLTo2pZVSWGOMZmB/GLp+c+ QLwXzpBkNDTg9LKo7PAR4pg6p6Rq1t0prfMEtSU9ol5X76/zi3MI0bXFIonF2G2y4rAdJmpb1x6R WY8r0FCLG0+JfrCocNqW2QizsZ2NvQ9q1+V1Sq2Av91HbCd3mSqMsFNhnF3mOe1ZWo5//Zz19G+t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Ay3JNIBAACjAwAADgAAAAAAAAABACAAAAAi AQAAZHJzL2Uyb0RvYy54bWxQSwUGAAAAAAYABgBZAQAAZgUAAAAA ">
              <v:fill on="f" focussize="0,0"/>
              <v:stroke on="f" weight="1.25pt"/>
              <v:imagedata o:title=""/>
              <o:lock v:ext="edit" aspectratio="f"/>
              <v:textbox inset="0mm,0mm,0mm,0mm" style="mso-fit-shape-to-text:t;">
                <w:txbxContent>
                  <w:p>
                    <w:pPr>
                      <w:pStyle w:val="52"/>
                      <w:spacing w:before="120" w:after="120"/>
                      <w:ind w:firstLine="480"/>
                      <w:jc w:val="center"/>
                    </w:pPr>
                    <w:r>
                      <w:rPr>
                        <w:rFonts w:hint="eastAsia" w:ascii="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18</w:t>
                    </w:r>
                    <w:r>
                      <w:rPr>
                        <w:rFonts w:hint="eastAsia" w:ascii="仿宋_GB2312" w:eastAsia="仿宋_GB2312"/>
                        <w:kern w:val="0"/>
                      </w:rPr>
                      <w:fldChar w:fldCharType="end"/>
                    </w:r>
                    <w:r>
                      <w:rPr>
                        <w:rFonts w:hint="eastAsia" w:ascii="仿宋_GB2312"/>
                        <w:kern w:val="0"/>
                      </w:rPr>
                      <w:t xml:space="preserve"> 页 共 </w:t>
                    </w:r>
                    <w:r>
                      <w:rPr>
                        <w:rFonts w:hint="eastAsia" w:ascii="仿宋_GB2312" w:eastAsia="仿宋_GB2312"/>
                        <w:kern w:val="0"/>
                      </w:rPr>
                      <w:t>68</w:t>
                    </w:r>
                    <w:r>
                      <w:rPr>
                        <w:rFonts w:hint="eastAsia" w:ascii="仿宋_GB2312"/>
                        <w:kern w:val="0"/>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104</w:t>
                          </w:r>
                          <w:r>
                            <w:rPr>
                              <w:rFonts w:hint="eastAsia" w:ascii="仿宋_GB2312" w:eastAsia="仿宋_GB2312"/>
                              <w:kern w:val="0"/>
                            </w:rPr>
                            <w:fldChar w:fldCharType="end"/>
                          </w:r>
                          <w:r>
                            <w:rPr>
                              <w:rFonts w:hint="eastAsia" w:ascii="仿宋_GB2312" w:eastAsia="仿宋_GB2312"/>
                              <w:kern w:val="0"/>
                            </w:rPr>
                            <w:t xml:space="preserve"> 页 共 68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08darSAQAAowMAAA4AAABkcnMvZTJvRG9jLnhtbK1TzY7TMBC+ I+07WL5vk61UCFHTFatqV0gIkBYewHXsxpL/5HGb9AXgDThx4c5z9TkYO0kXLZc9cHFmPONv5vtm sr4djCZHEUA529CbRUmJsNy1yu4b+vXL/XVFCURmW6adFQ09CaC3m6tX697XYuk6p1sRCIJYqHvf 0C5GXxcF8E4YBgvnhcWgdMGwiG7YF21gPaIbXSzL8nXRu9D64LgAwNvtGKQTYngJoJNScbF1/GCE jSNqEJpFpASd8kA3uVspBY+fpAQRiW4oMo35xCJo79JZbNas3gfmO8WnFthLWnjGyTBlsegFassi I4eg/oEyigcHTsYFd6YYiWRFkMVN+Uybx455kbmg1OAvosP/g+Ufj58DUW1D31JimcGBn398P//8 ff71jaySPL2HGrMePebF4c4NuDTzPeBlYj3IYNIX+RCMo7ini7hiiISnR9WyqkoMcYzNDuIXT899 gPggnCHJaGjA6WVR2fEDxDF1TknVrLtXWucJakt6RF1Vb1b5xSWE6NpikcRi7DZZcdgNE7Wda0/I rMcVaKjFjadEv7eocNqW2QizsZuNgw9q3+V1Sq2Af3eI2E7uMlUYYafCOLvMc9qztBx/+znr6d/a /A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LTx1qtIBAACjAwAADgAAAAAAAAABACAAAAAi AQAAZHJzL2Uyb0RvYy54bWxQSwUGAAAAAAYABgBZAQAAZgUAAAAA ">
              <v:fill on="f" focussize="0,0"/>
              <v:stroke on="f" weight="1.25pt"/>
              <v:imagedata o:title=""/>
              <o:lock v:ext="edit" aspectratio="f"/>
              <v:textbox inset="0mm,0mm,0mm,0mm" style="mso-fit-shape-to-text:t;">
                <w:txbxContent>
                  <w:p>
                    <w:pPr>
                      <w:pStyle w:val="5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104</w:t>
                    </w:r>
                    <w:r>
                      <w:rPr>
                        <w:rFonts w:hint="eastAsia" w:ascii="仿宋_GB2312" w:eastAsia="仿宋_GB2312"/>
                        <w:kern w:val="0"/>
                      </w:rPr>
                      <w:fldChar w:fldCharType="end"/>
                    </w:r>
                    <w:r>
                      <w:rPr>
                        <w:rFonts w:hint="eastAsia" w:ascii="仿宋_GB2312" w:eastAsia="仿宋_GB2312"/>
                        <w:kern w:val="0"/>
                      </w:rPr>
                      <w:t xml:space="preserve"> 页 共 68 页</w:t>
                    </w:r>
                  </w:p>
                </w:txbxContent>
              </v:textbox>
            </v:shape>
          </w:pict>
        </mc:Fallback>
      </mc:AlternateContent>
    </w:r>
  </w:p>
  <w:p>
    <w:pPr>
      <w:rPr>
        <w:rFonts w:hint="eastAsia"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right" w:y="1"/>
      <w:rPr>
        <w:rStyle w:val="89"/>
      </w:rPr>
    </w:pPr>
    <w:r>
      <w:fldChar w:fldCharType="begin"/>
    </w:r>
    <w:r>
      <w:rPr>
        <w:rStyle w:val="89"/>
      </w:rPr>
      <w:instrText xml:space="preserve">PAGE  </w:instrText>
    </w:r>
    <w:r>
      <w:fldChar w:fldCharType="separate"/>
    </w:r>
    <w:r>
      <w:fldChar w:fldCharType="end"/>
    </w:r>
  </w:p>
  <w:p>
    <w:pPr>
      <w:pStyle w:val="52"/>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rPr>
        <w:rFonts w:hint="eastAsia"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98</w:t>
                          </w:r>
                          <w:r>
                            <w:rPr>
                              <w:rFonts w:hint="eastAsia" w:ascii="仿宋_GB2312" w:eastAsia="仿宋_GB2312"/>
                              <w:kern w:val="0"/>
                            </w:rPr>
                            <w:fldChar w:fldCharType="end"/>
                          </w:r>
                          <w:r>
                            <w:rPr>
                              <w:rFonts w:hint="eastAsia" w:ascii="仿宋_GB2312" w:eastAsia="仿宋_GB2312"/>
                              <w:kern w:val="0"/>
                            </w:rPr>
                            <w:t xml:space="preserve"> 页 共 68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1trmHRAQAApAMAAA4AAABkcnMvZTJvRG9jLnhtbK1TS27bMBDd F8gdCO5jKQaSCILlIIGRokCRFkh7AJoiLQL8gUNb8gXaG3TVTfc9l8/RISU5RbrJohtqyBm+ee9x tLobjCYHEUA529CrRUmJsNy1yu4a+vXL42VFCURmW6adFQ09CqB364t3q97XYuk6p1sRCIJYqHvf 0C5GXxcF8E4YBgvnhcWkdMGwiNuwK9rAekQ3uliW5U3Ru9D64LgAwNPNmKQTYngLoJNScbFxfG+E jSNqEJpFlASd8kDXma2UgsdPUoKIRDcUlca8YhOMt2kt1itW7wLzneITBfYWCq80GaYsNj1DbVhk ZB/UP1BG8eDAybjgzhSjkOwIqrgqX3nz3DEvsha0GvzZdPh/sPzp8DkQ1eIkoCWWGXzx04/vp5+/ T7++kZvkT++hxrJnj4VxeHAD1s7ngIdJ9iCDSV8URDCPUMezu2KIhKdL1bKqSkxxzM0bxC9ervsA 8b1whqSgoQGfL7vKDh8hjqVzSepm3aPSOj+htqRH1Ovq9jrfOKcQXVtsklSMbFMUh+0wSdu69ojK epyBhloceUr0B4sWI9M4B2EOtnOw90HtujxPiQr4+31EOpll6jDCTo3x8bLOadDSdPy9z1UvP9f6 D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Ctba5h0QEAAKQDAAAOAAAAAAAAAAEAIAAAACIB AABkcnMvZTJvRG9jLnhtbFBLBQYAAAAABgAGAFkBAABlBQAAAAA= ">
              <v:fill on="f" focussize="0,0"/>
              <v:stroke on="f" weight="1.25pt"/>
              <v:imagedata o:title=""/>
              <o:lock v:ext="edit" aspectratio="f"/>
              <v:textbox inset="0mm,0mm,0mm,0mm" style="mso-fit-shape-to-text:t;">
                <w:txbxContent>
                  <w:p>
                    <w:pPr>
                      <w:pStyle w:val="5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98</w:t>
                    </w:r>
                    <w:r>
                      <w:rPr>
                        <w:rFonts w:hint="eastAsia" w:ascii="仿宋_GB2312" w:eastAsia="仿宋_GB2312"/>
                        <w:kern w:val="0"/>
                      </w:rPr>
                      <w:fldChar w:fldCharType="end"/>
                    </w:r>
                    <w:r>
                      <w:rPr>
                        <w:rFonts w:hint="eastAsia" w:ascii="仿宋_GB2312" w:eastAsia="仿宋_GB2312"/>
                        <w:kern w:val="0"/>
                      </w:rPr>
                      <w:t xml:space="preserve"> 页 共 68 页</w:t>
                    </w:r>
                  </w:p>
                </w:txbxContent>
              </v:textbox>
            </v:shape>
          </w:pict>
        </mc:Fallback>
      </mc:AlternateContent>
    </w:r>
  </w:p>
  <w:p>
    <w:pPr>
      <w:rPr>
        <w:rFonts w:hint="eastAsia"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ind w:firstLine="180" w:firstLineChars="100"/>
      <w:jc w:val="right"/>
      <w:rPr>
        <w:rFonts w:hint="eastAsia"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B"/>
    <w:multiLevelType w:val="multilevel"/>
    <w:tmpl w:val="0000000B"/>
    <w:lvl w:ilvl="0" w:tentative="0">
      <w:start w:val="1"/>
      <w:numFmt w:val="bullet"/>
      <w:pStyle w:val="45"/>
      <w:lvlText w:val=""/>
      <w:lvlJc w:val="left"/>
      <w:pPr>
        <w:tabs>
          <w:tab w:val="left" w:pos="840"/>
        </w:tabs>
        <w:ind w:left="840" w:hanging="420"/>
      </w:pPr>
      <w:rPr>
        <w:rFonts w:hint="default" w:ascii="Wingdings" w:hAnsi="Wingdings"/>
      </w:rPr>
    </w:lvl>
    <w:lvl w:ilvl="1" w:tentative="0">
      <w:start w:val="1"/>
      <w:numFmt w:val="bullet"/>
      <w:pStyle w:val="715"/>
      <w:lvlText w:val=""/>
      <w:lvlJc w:val="left"/>
      <w:pPr>
        <w:tabs>
          <w:tab w:val="left" w:pos="1260"/>
        </w:tabs>
        <w:ind w:left="1260" w:hanging="420"/>
      </w:pPr>
      <w:rPr>
        <w:rFonts w:hint="default" w:ascii="Wingdings" w:hAnsi="Wingdings"/>
      </w:rPr>
    </w:lvl>
    <w:lvl w:ilvl="2" w:tentative="0">
      <w:start w:val="1"/>
      <w:numFmt w:val="bullet"/>
      <w:pStyle w:val="450"/>
      <w:lvlText w:val=""/>
      <w:lvlJc w:val="left"/>
      <w:pPr>
        <w:tabs>
          <w:tab w:val="left" w:pos="1680"/>
        </w:tabs>
        <w:ind w:left="1680" w:hanging="420"/>
      </w:pPr>
      <w:rPr>
        <w:rFonts w:hint="default" w:ascii="Wingdings" w:hAnsi="Wingdings"/>
      </w:rPr>
    </w:lvl>
    <w:lvl w:ilvl="3" w:tentative="0">
      <w:start w:val="1"/>
      <w:numFmt w:val="bullet"/>
      <w:pStyle w:val="401"/>
      <w:lvlText w:val=""/>
      <w:lvlJc w:val="left"/>
      <w:pPr>
        <w:tabs>
          <w:tab w:val="left" w:pos="2100"/>
        </w:tabs>
        <w:ind w:left="2100" w:hanging="420"/>
      </w:pPr>
      <w:rPr>
        <w:rFonts w:hint="default" w:ascii="Wingdings" w:hAnsi="Wingdings"/>
      </w:rPr>
    </w:lvl>
    <w:lvl w:ilvl="4" w:tentative="0">
      <w:start w:val="1"/>
      <w:numFmt w:val="bullet"/>
      <w:pStyle w:val="755"/>
      <w:lvlText w:val=""/>
      <w:lvlJc w:val="left"/>
      <w:pPr>
        <w:tabs>
          <w:tab w:val="left" w:pos="2520"/>
        </w:tabs>
        <w:ind w:left="2520" w:hanging="420"/>
      </w:pPr>
      <w:rPr>
        <w:rFonts w:hint="default" w:ascii="Wingdings" w:hAnsi="Wingdings"/>
      </w:rPr>
    </w:lvl>
    <w:lvl w:ilvl="5" w:tentative="0">
      <w:start w:val="1"/>
      <w:numFmt w:val="bullet"/>
      <w:pStyle w:val="507"/>
      <w:lvlText w:val=""/>
      <w:lvlJc w:val="left"/>
      <w:pPr>
        <w:tabs>
          <w:tab w:val="left" w:pos="2940"/>
        </w:tabs>
        <w:ind w:left="2940" w:hanging="420"/>
      </w:pPr>
      <w:rPr>
        <w:rFonts w:hint="default" w:ascii="Wingdings" w:hAnsi="Wingdings"/>
      </w:rPr>
    </w:lvl>
    <w:lvl w:ilvl="6" w:tentative="0">
      <w:start w:val="1"/>
      <w:numFmt w:val="bullet"/>
      <w:pStyle w:val="647"/>
      <w:lvlText w:val=""/>
      <w:lvlJc w:val="left"/>
      <w:pPr>
        <w:tabs>
          <w:tab w:val="left" w:pos="3360"/>
        </w:tabs>
        <w:ind w:left="3360" w:hanging="420"/>
      </w:pPr>
      <w:rPr>
        <w:rFonts w:hint="default" w:ascii="Wingdings" w:hAnsi="Wingdings"/>
      </w:rPr>
    </w:lvl>
    <w:lvl w:ilvl="7" w:tentative="0">
      <w:start w:val="1"/>
      <w:numFmt w:val="bullet"/>
      <w:pStyle w:val="528"/>
      <w:lvlText w:val=""/>
      <w:lvlJc w:val="left"/>
      <w:pPr>
        <w:tabs>
          <w:tab w:val="left" w:pos="3780"/>
        </w:tabs>
        <w:ind w:left="3780" w:hanging="420"/>
      </w:pPr>
      <w:rPr>
        <w:rFonts w:hint="default" w:ascii="Wingdings" w:hAnsi="Wingdings"/>
      </w:rPr>
    </w:lvl>
    <w:lvl w:ilvl="8" w:tentative="0">
      <w:start w:val="1"/>
      <w:numFmt w:val="bullet"/>
      <w:pStyle w:val="576"/>
      <w:lvlText w:val=""/>
      <w:lvlJc w:val="left"/>
      <w:pPr>
        <w:tabs>
          <w:tab w:val="left" w:pos="4200"/>
        </w:tabs>
        <w:ind w:left="4200" w:hanging="420"/>
      </w:pPr>
      <w:rPr>
        <w:rFonts w:hint="default" w:ascii="Wingdings" w:hAnsi="Wingdings"/>
      </w:rPr>
    </w:lvl>
  </w:abstractNum>
  <w:abstractNum w:abstractNumId="2">
    <w:nsid w:val="0000000C"/>
    <w:multiLevelType w:val="multilevel"/>
    <w:tmpl w:val="0000000C"/>
    <w:lvl w:ilvl="0" w:tentative="0">
      <w:start w:val="1"/>
      <w:numFmt w:val="decimal"/>
      <w:suff w:val="nothing"/>
      <w:lvlText w:val="%1  "/>
      <w:lvlJc w:val="left"/>
      <w:pPr>
        <w:ind w:left="0" w:firstLine="0"/>
      </w:pPr>
      <w:rPr>
        <w:rFonts w:hint="default" w:ascii="Arial" w:hAnsi="Arial" w:eastAsia="宋体" w:cs="Arial"/>
        <w:b/>
        <w:bCs/>
        <w:i w:val="0"/>
        <w:iCs w:val="0"/>
        <w:caps w:val="0"/>
        <w:vanish w:val="0"/>
        <w:color w:val="800000"/>
        <w:sz w:val="36"/>
        <w:szCs w:val="48"/>
        <w:vertAlign w:val="baseline"/>
      </w:rPr>
    </w:lvl>
    <w:lvl w:ilvl="1" w:tentative="0">
      <w:start w:val="1"/>
      <w:numFmt w:val="decimal"/>
      <w:suff w:val="nothing"/>
      <w:lvlText w:val="%1.%2  "/>
      <w:lvlJc w:val="left"/>
      <w:pPr>
        <w:ind w:left="0" w:firstLine="0"/>
      </w:pPr>
      <w:rPr>
        <w:rFonts w:hint="default" w:ascii="Arial" w:hAnsi="Arial" w:eastAsia="黑体" w:cs="Arial"/>
        <w:b w:val="0"/>
        <w:bCs/>
        <w:i w:val="0"/>
        <w:iCs w:val="0"/>
        <w:caps w:val="0"/>
        <w:vanish w:val="0"/>
        <w:color w:val="800000"/>
        <w:sz w:val="30"/>
        <w:szCs w:val="30"/>
        <w:vertAlign w:val="baseline"/>
      </w:rPr>
    </w:lvl>
    <w:lvl w:ilvl="2" w:tentative="0">
      <w:start w:val="1"/>
      <w:numFmt w:val="decimal"/>
      <w:suff w:val="nothing"/>
      <w:lvlText w:val="%1.%2.%3  "/>
      <w:lvlJc w:val="left"/>
      <w:pPr>
        <w:ind w:left="0" w:firstLine="0"/>
      </w:pPr>
      <w:rPr>
        <w:rFonts w:hint="default" w:ascii="Arial" w:hAnsi="Arial" w:eastAsia="黑体" w:cs="Arial"/>
        <w:b w:val="0"/>
        <w:bCs/>
        <w:i w:val="0"/>
        <w:iCs w:val="0"/>
        <w:caps w:val="0"/>
        <w:vanish w:val="0"/>
        <w:color w:val="800000"/>
        <w:sz w:val="24"/>
        <w:szCs w:val="24"/>
        <w:vertAlign w:val="baseline"/>
      </w:rPr>
    </w:lvl>
    <w:lvl w:ilvl="3" w:tentative="0">
      <w:start w:val="1"/>
      <w:numFmt w:val="decimal"/>
      <w:suff w:val="nothing"/>
      <w:lvlText w:val="%4. "/>
      <w:lvlJc w:val="left"/>
      <w:pPr>
        <w:ind w:left="0" w:firstLine="624"/>
      </w:pPr>
      <w:rPr>
        <w:rFonts w:hint="default" w:ascii="Arial" w:hAnsi="Arial" w:eastAsia="黑体" w:cs="Arial"/>
        <w:b w:val="0"/>
        <w:bCs/>
        <w:i w:val="0"/>
        <w:iCs w:val="0"/>
        <w:caps w:val="0"/>
        <w:vanish w:val="0"/>
        <w:color w:val="800000"/>
        <w:sz w:val="21"/>
        <w:szCs w:val="21"/>
        <w:vertAlign w:val="baseline"/>
      </w:rPr>
    </w:lvl>
    <w:lvl w:ilvl="4" w:tentative="0">
      <w:start w:val="1"/>
      <w:numFmt w:val="decimal"/>
      <w:lvlText w:val="(%5)"/>
      <w:lvlJc w:val="left"/>
      <w:pPr>
        <w:tabs>
          <w:tab w:val="left" w:pos="1134"/>
        </w:tabs>
        <w:ind w:left="1134" w:hanging="510"/>
      </w:pPr>
      <w:rPr>
        <w:rFonts w:hint="default" w:ascii="Arial" w:hAnsi="Arial" w:eastAsia="宋体"/>
        <w:b w:val="0"/>
        <w:bCs w:val="0"/>
        <w:i w:val="0"/>
        <w:iCs w:val="0"/>
        <w:color w:val="auto"/>
        <w:sz w:val="21"/>
        <w:szCs w:val="20"/>
        <w:u w:val="none"/>
      </w:rPr>
    </w:lvl>
    <w:lvl w:ilvl="5" w:tentative="0">
      <w:start w:val="1"/>
      <w:numFmt w:val="decimal"/>
      <w:pStyle w:val="125"/>
      <w:suff w:val="space"/>
      <w:lvlText w:val="图%6"/>
      <w:lvlJc w:val="left"/>
      <w:pPr>
        <w:ind w:left="0" w:firstLine="624"/>
      </w:pPr>
      <w:rPr>
        <w:rFonts w:hint="default" w:ascii="Arial" w:hAnsi="Arial" w:eastAsia="黑体" w:cs="Arial Narrow"/>
        <w:b w:val="0"/>
        <w:bCs/>
        <w:i w:val="0"/>
        <w:iCs w:val="0"/>
        <w:color w:val="auto"/>
        <w:sz w:val="21"/>
        <w:szCs w:val="20"/>
        <w:u w:val="none"/>
      </w:rPr>
    </w:lvl>
    <w:lvl w:ilvl="6" w:tentative="0">
      <w:start w:val="1"/>
      <w:numFmt w:val="decimal"/>
      <w:suff w:val="space"/>
      <w:lvlText w:val="表%7"/>
      <w:lvlJc w:val="left"/>
      <w:pPr>
        <w:ind w:left="1134" w:hanging="510"/>
      </w:pPr>
      <w:rPr>
        <w:rFonts w:hint="default" w:ascii="Arial" w:hAnsi="Arial" w:eastAsia="黑体"/>
        <w:b w:val="0"/>
        <w:bCs/>
        <w:i w:val="0"/>
        <w:iCs w:val="0"/>
        <w:caps w:val="0"/>
        <w:vanish w:val="0"/>
        <w:color w:val="auto"/>
        <w:spacing w:val="0"/>
        <w:w w:val="100"/>
        <w:kern w:val="0"/>
        <w:position w:val="0"/>
        <w:sz w:val="21"/>
        <w:szCs w:val="18"/>
        <w:vertAlign w:val="baseline"/>
      </w:rPr>
    </w:lvl>
    <w:lvl w:ilvl="7" w:tentative="0">
      <w:start w:val="1"/>
      <w:numFmt w:val="lowerLetter"/>
      <w:lvlText w:val="%8."/>
      <w:lvlJc w:val="left"/>
      <w:pPr>
        <w:tabs>
          <w:tab w:val="left" w:pos="1418"/>
        </w:tabs>
        <w:ind w:left="1418" w:hanging="284"/>
      </w:pPr>
      <w:rPr>
        <w:rFonts w:hint="default" w:ascii="Arial" w:hAnsi="Arial" w:eastAsia="宋体"/>
        <w:color w:val="auto"/>
        <w:sz w:val="21"/>
        <w:szCs w:val="18"/>
      </w:rPr>
    </w:lvl>
    <w:lvl w:ilvl="8" w:tentative="0">
      <w:start w:val="1"/>
      <w:numFmt w:val="decimal"/>
      <w:lvlText w:val="步骤%9"/>
      <w:lvlJc w:val="left"/>
      <w:pPr>
        <w:tabs>
          <w:tab w:val="left" w:pos="737"/>
        </w:tabs>
        <w:ind w:left="737" w:hanging="737"/>
      </w:pPr>
      <w:rPr>
        <w:rFonts w:hint="default" w:ascii="Arial" w:hAnsi="Arial" w:eastAsia="宋体" w:cs="Arial"/>
        <w:b/>
        <w:bCs w:val="0"/>
        <w:i w:val="0"/>
        <w:iCs w:val="0"/>
        <w:caps w:val="0"/>
        <w:vanish w:val="0"/>
        <w:color w:val="auto"/>
        <w:sz w:val="21"/>
        <w:szCs w:val="18"/>
        <w:vertAlign w:val="baseline"/>
        <w:lang w:val="en-US"/>
      </w:rPr>
    </w:lvl>
  </w:abstractNum>
  <w:abstractNum w:abstractNumId="3">
    <w:nsid w:val="0000000D"/>
    <w:multiLevelType w:val="multilevel"/>
    <w:tmpl w:val="0000000D"/>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F"/>
    <w:multiLevelType w:val="multilevel"/>
    <w:tmpl w:val="0000000F"/>
    <w:lvl w:ilvl="0" w:tentative="0">
      <w:start w:val="1"/>
      <w:numFmt w:val="chineseCountingThousand"/>
      <w:pStyle w:val="396"/>
      <w:lvlText w:val="第%1章"/>
      <w:lvlJc w:val="left"/>
      <w:pPr>
        <w:ind w:left="5245" w:hanging="425"/>
      </w:pPr>
      <w:rPr>
        <w:rFonts w:hint="eastAsia"/>
      </w:rPr>
    </w:lvl>
    <w:lvl w:ilvl="1" w:tentative="0">
      <w:start w:val="1"/>
      <w:numFmt w:val="decimal"/>
      <w:pStyle w:val="459"/>
      <w:isLgl/>
      <w:lvlText w:val="%1.%2"/>
      <w:lvlJc w:val="left"/>
      <w:pPr>
        <w:ind w:left="425" w:hanging="425"/>
      </w:pPr>
      <w:rPr>
        <w:rFonts w:hint="eastAsia"/>
      </w:rPr>
    </w:lvl>
    <w:lvl w:ilvl="2" w:tentative="0">
      <w:start w:val="1"/>
      <w:numFmt w:val="decimal"/>
      <w:pStyle w:val="688"/>
      <w:isLgl/>
      <w:lvlText w:val="%1.%2.%3"/>
      <w:lvlJc w:val="left"/>
      <w:pPr>
        <w:ind w:left="425" w:hanging="425"/>
      </w:pPr>
      <w:rPr>
        <w:rFonts w:hint="eastAsia"/>
      </w:rPr>
    </w:lvl>
    <w:lvl w:ilvl="3" w:tentative="0">
      <w:start w:val="1"/>
      <w:numFmt w:val="decimal"/>
      <w:pStyle w:val="693"/>
      <w:isLgl/>
      <w:lvlText w:val="%1.%2.%3.%4"/>
      <w:lvlJc w:val="left"/>
      <w:pPr>
        <w:ind w:left="425" w:hanging="425"/>
      </w:pPr>
      <w:rPr>
        <w:rFonts w:hint="eastAsia"/>
      </w:rPr>
    </w:lvl>
    <w:lvl w:ilvl="4" w:tentative="0">
      <w:start w:val="1"/>
      <w:numFmt w:val="decimal"/>
      <w:pStyle w:val="692"/>
      <w:isLgl/>
      <w:lvlText w:val="%1.%2.%3.%4.%5"/>
      <w:lvlJc w:val="left"/>
      <w:pPr>
        <w:ind w:left="425" w:hanging="425"/>
      </w:pPr>
      <w:rPr>
        <w:rFonts w:hint="eastAsia"/>
      </w:rPr>
    </w:lvl>
    <w:lvl w:ilvl="5" w:tentative="0">
      <w:start w:val="1"/>
      <w:numFmt w:val="decimal"/>
      <w:isLgl/>
      <w:lvlText w:val="%1.%2.%3.%4.%5.%6"/>
      <w:lvlJc w:val="left"/>
      <w:pPr>
        <w:ind w:left="425" w:hanging="425"/>
      </w:pPr>
      <w:rPr>
        <w:rFonts w:hint="eastAsia"/>
      </w:rPr>
    </w:lvl>
    <w:lvl w:ilvl="6" w:tentative="0">
      <w:start w:val="1"/>
      <w:numFmt w:val="decimal"/>
      <w:isLgl/>
      <w:lvlText w:val="%1.%2.%3.%4.%5.%6.%7"/>
      <w:lvlJc w:val="left"/>
      <w:pPr>
        <w:ind w:left="425" w:hanging="425"/>
      </w:pPr>
      <w:rPr>
        <w:rFonts w:hint="eastAsia"/>
      </w:rPr>
    </w:lvl>
    <w:lvl w:ilvl="7" w:tentative="0">
      <w:start w:val="1"/>
      <w:numFmt w:val="decimal"/>
      <w:isLgl/>
      <w:lvlText w:val="%1.%2.%3.%4.%5.%6.%7.%8"/>
      <w:lvlJc w:val="left"/>
      <w:pPr>
        <w:ind w:left="425" w:hanging="425"/>
      </w:pPr>
      <w:rPr>
        <w:rFonts w:hint="eastAsia"/>
      </w:rPr>
    </w:lvl>
    <w:lvl w:ilvl="8" w:tentative="0">
      <w:start w:val="1"/>
      <w:numFmt w:val="decimal"/>
      <w:isLgl/>
      <w:lvlText w:val="%1.%2.%3.%4.%5.%6.%7.%8.%9"/>
      <w:lvlJc w:val="left"/>
      <w:pPr>
        <w:ind w:left="425" w:hanging="425"/>
      </w:pPr>
      <w:rPr>
        <w:rFonts w:hint="eastAsia"/>
      </w:rPr>
    </w:lvl>
  </w:abstractNum>
  <w:abstractNum w:abstractNumId="5">
    <w:nsid w:val="00000010"/>
    <w:multiLevelType w:val="multilevel"/>
    <w:tmpl w:val="00000010"/>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14"/>
    <w:multiLevelType w:val="multilevel"/>
    <w:tmpl w:val="00000014"/>
    <w:lvl w:ilvl="0" w:tentative="0">
      <w:start w:val="1"/>
      <w:numFmt w:val="lowerLetter"/>
      <w:pStyle w:val="526"/>
      <w:lvlText w:val="%1) "/>
      <w:lvlJc w:val="left"/>
      <w:pPr>
        <w:tabs>
          <w:tab w:val="left" w:pos="907"/>
        </w:tabs>
        <w:ind w:left="907" w:hanging="425"/>
      </w:pPr>
      <w:rPr>
        <w:rFonts w:hint="default" w:ascii="Times New Roman" w:hAnsi="Times New Roman" w:eastAsia="宋体"/>
        <w:sz w:val="28"/>
        <w:szCs w:val="28"/>
      </w:rPr>
    </w:lvl>
    <w:lvl w:ilvl="1" w:tentative="0">
      <w:start w:val="1"/>
      <w:numFmt w:val="decimal"/>
      <w:pStyle w:val="493"/>
      <w:lvlText w:val="%2) "/>
      <w:lvlJc w:val="left"/>
      <w:pPr>
        <w:tabs>
          <w:tab w:val="left" w:pos="1588"/>
        </w:tabs>
        <w:ind w:left="1588" w:hanging="681"/>
      </w:pPr>
      <w:rPr>
        <w:rFonts w:hint="eastAsia"/>
      </w:rPr>
    </w:lvl>
    <w:lvl w:ilvl="2" w:tentative="0">
      <w:start w:val="1"/>
      <w:numFmt w:val="decimal"/>
      <w:lvlText w:val="%3)"/>
      <w:lvlJc w:val="left"/>
      <w:pPr>
        <w:tabs>
          <w:tab w:val="left" w:pos="1320"/>
        </w:tabs>
        <w:ind w:left="1320" w:hanging="48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5"/>
    <w:multiLevelType w:val="multilevel"/>
    <w:tmpl w:val="00000015"/>
    <w:lvl w:ilvl="0" w:tentative="0">
      <w:start w:val="1"/>
      <w:numFmt w:val="decimal"/>
      <w:pStyle w:val="28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17"/>
    <w:multiLevelType w:val="multilevel"/>
    <w:tmpl w:val="00000017"/>
    <w:lvl w:ilvl="0" w:tentative="0">
      <w:start w:val="1"/>
      <w:numFmt w:val="decimal"/>
      <w:lvlText w:val="%1、"/>
      <w:lvlJc w:val="left"/>
      <w:pPr>
        <w:ind w:left="840" w:hanging="420"/>
      </w:pPr>
      <w:rPr>
        <w:rFonts w:ascii="Cambria" w:hAnsi="Cambria" w:eastAsia="微软雅黑"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1A"/>
    <w:multiLevelType w:val="singleLevel"/>
    <w:tmpl w:val="0000001A"/>
    <w:lvl w:ilvl="0" w:tentative="0">
      <w:start w:val="1"/>
      <w:numFmt w:val="decimal"/>
      <w:pStyle w:val="585"/>
      <w:lvlText w:val="%1."/>
      <w:lvlJc w:val="left"/>
      <w:pPr>
        <w:tabs>
          <w:tab w:val="left" w:pos="425"/>
        </w:tabs>
        <w:ind w:left="425" w:hanging="425"/>
      </w:pPr>
    </w:lvl>
  </w:abstractNum>
  <w:abstractNum w:abstractNumId="10">
    <w:nsid w:val="0000001B"/>
    <w:multiLevelType w:val="multilevel"/>
    <w:tmpl w:val="0000001B"/>
    <w:lvl w:ilvl="0" w:tentative="0">
      <w:start w:val="1"/>
      <w:numFmt w:val="decimal"/>
      <w:pStyle w:val="757"/>
      <w:lvlText w:val="%1"/>
      <w:lvlJc w:val="left"/>
      <w:pPr>
        <w:tabs>
          <w:tab w:val="left" w:pos="480"/>
        </w:tabs>
        <w:ind w:left="480" w:hanging="480"/>
      </w:pPr>
      <w:rPr>
        <w:rFonts w:hint="eastAsia"/>
        <w:sz w:val="44"/>
        <w:szCs w:val="44"/>
      </w:rPr>
    </w:lvl>
    <w:lvl w:ilvl="1" w:tentative="0">
      <w:start w:val="1"/>
      <w:numFmt w:val="decimal"/>
      <w:pStyle w:val="56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39"/>
      <w:lvlText w:val="%1.%2.%3.%4.%5"/>
      <w:lvlJc w:val="left"/>
      <w:pPr>
        <w:tabs>
          <w:tab w:val="left" w:pos="1080"/>
        </w:tabs>
        <w:ind w:left="1080" w:hanging="1080"/>
      </w:pPr>
      <w:rPr>
        <w:rFonts w:hint="default"/>
      </w:rPr>
    </w:lvl>
    <w:lvl w:ilvl="5" w:tentative="0">
      <w:start w:val="1"/>
      <w:numFmt w:val="decimal"/>
      <w:pStyle w:val="551"/>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0000001E"/>
    <w:multiLevelType w:val="multilevel"/>
    <w:tmpl w:val="0000001E"/>
    <w:lvl w:ilvl="0" w:tentative="0">
      <w:start w:val="1"/>
      <w:numFmt w:val="bullet"/>
      <w:pStyle w:val="56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0000001F"/>
    <w:multiLevelType w:val="multilevel"/>
    <w:tmpl w:val="0000001F"/>
    <w:lvl w:ilvl="0" w:tentative="0">
      <w:start w:val="1"/>
      <w:numFmt w:val="bullet"/>
      <w:pStyle w:val="523"/>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num>
  <w:num w:numId="2">
    <w:abstractNumId w:val="3"/>
  </w:num>
  <w:num w:numId="3">
    <w:abstractNumId w:val="0"/>
  </w:num>
  <w:num w:numId="4">
    <w:abstractNumId w:val="1"/>
  </w:num>
  <w:num w:numId="5">
    <w:abstractNumId w:val="2"/>
  </w:num>
  <w:num w:numId="6">
    <w:abstractNumId w:val="7"/>
  </w:num>
  <w:num w:numId="7">
    <w:abstractNumId w:val="4"/>
  </w:num>
  <w:num w:numId="8">
    <w:abstractNumId w:val="10"/>
  </w:num>
  <w:num w:numId="9">
    <w:abstractNumId w:val="6"/>
  </w:num>
  <w:num w:numId="10">
    <w:abstractNumId w:val="12"/>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35A4"/>
    <w:rsid w:val="000571AF"/>
    <w:rsid w:val="000740FA"/>
    <w:rsid w:val="00082899"/>
    <w:rsid w:val="00091461"/>
    <w:rsid w:val="00095429"/>
    <w:rsid w:val="000B38CA"/>
    <w:rsid w:val="000B4B43"/>
    <w:rsid w:val="000B74CB"/>
    <w:rsid w:val="000C4EE7"/>
    <w:rsid w:val="000F2022"/>
    <w:rsid w:val="000F5C62"/>
    <w:rsid w:val="00101CA5"/>
    <w:rsid w:val="00103D80"/>
    <w:rsid w:val="0011349C"/>
    <w:rsid w:val="00117961"/>
    <w:rsid w:val="00145EB1"/>
    <w:rsid w:val="00151BD6"/>
    <w:rsid w:val="00175942"/>
    <w:rsid w:val="00181718"/>
    <w:rsid w:val="001866D1"/>
    <w:rsid w:val="00187C3C"/>
    <w:rsid w:val="001D6A84"/>
    <w:rsid w:val="00202CF6"/>
    <w:rsid w:val="00230827"/>
    <w:rsid w:val="00235DA8"/>
    <w:rsid w:val="002700F6"/>
    <w:rsid w:val="002A39DF"/>
    <w:rsid w:val="002B2891"/>
    <w:rsid w:val="002B3242"/>
    <w:rsid w:val="002D4CF6"/>
    <w:rsid w:val="002E2B9A"/>
    <w:rsid w:val="002F7017"/>
    <w:rsid w:val="00311B6F"/>
    <w:rsid w:val="00321DE9"/>
    <w:rsid w:val="00323155"/>
    <w:rsid w:val="00342EA4"/>
    <w:rsid w:val="003477BD"/>
    <w:rsid w:val="00363EA0"/>
    <w:rsid w:val="00370853"/>
    <w:rsid w:val="0037467D"/>
    <w:rsid w:val="00380688"/>
    <w:rsid w:val="00382F17"/>
    <w:rsid w:val="00386392"/>
    <w:rsid w:val="0039256A"/>
    <w:rsid w:val="003942E0"/>
    <w:rsid w:val="003C35A2"/>
    <w:rsid w:val="003E3B11"/>
    <w:rsid w:val="003F5929"/>
    <w:rsid w:val="0041199C"/>
    <w:rsid w:val="004154A1"/>
    <w:rsid w:val="00421157"/>
    <w:rsid w:val="00423915"/>
    <w:rsid w:val="00452D6C"/>
    <w:rsid w:val="00472DFF"/>
    <w:rsid w:val="00475015"/>
    <w:rsid w:val="00481892"/>
    <w:rsid w:val="004B4D1B"/>
    <w:rsid w:val="004B533C"/>
    <w:rsid w:val="004C2580"/>
    <w:rsid w:val="004C681C"/>
    <w:rsid w:val="00516D13"/>
    <w:rsid w:val="00541BE3"/>
    <w:rsid w:val="005529AC"/>
    <w:rsid w:val="00566764"/>
    <w:rsid w:val="0058665F"/>
    <w:rsid w:val="00595D46"/>
    <w:rsid w:val="005A309F"/>
    <w:rsid w:val="005A7593"/>
    <w:rsid w:val="005A7A8D"/>
    <w:rsid w:val="005D304B"/>
    <w:rsid w:val="005D5F53"/>
    <w:rsid w:val="0060607C"/>
    <w:rsid w:val="00607DE2"/>
    <w:rsid w:val="00631B8B"/>
    <w:rsid w:val="00640B54"/>
    <w:rsid w:val="0067156E"/>
    <w:rsid w:val="006740C6"/>
    <w:rsid w:val="006945DD"/>
    <w:rsid w:val="0069540C"/>
    <w:rsid w:val="00695CF0"/>
    <w:rsid w:val="006A1A72"/>
    <w:rsid w:val="00707120"/>
    <w:rsid w:val="007203C8"/>
    <w:rsid w:val="0073121F"/>
    <w:rsid w:val="00733E8B"/>
    <w:rsid w:val="00753097"/>
    <w:rsid w:val="00753111"/>
    <w:rsid w:val="00757ABC"/>
    <w:rsid w:val="00762CAB"/>
    <w:rsid w:val="00774128"/>
    <w:rsid w:val="007819B9"/>
    <w:rsid w:val="00784B27"/>
    <w:rsid w:val="007A3F99"/>
    <w:rsid w:val="007A5ABB"/>
    <w:rsid w:val="007D5769"/>
    <w:rsid w:val="007D7DD3"/>
    <w:rsid w:val="007E534D"/>
    <w:rsid w:val="007E5C55"/>
    <w:rsid w:val="008013FF"/>
    <w:rsid w:val="00822062"/>
    <w:rsid w:val="00842668"/>
    <w:rsid w:val="00842CAA"/>
    <w:rsid w:val="008510B6"/>
    <w:rsid w:val="008617D5"/>
    <w:rsid w:val="0086479C"/>
    <w:rsid w:val="008B2B94"/>
    <w:rsid w:val="008D0483"/>
    <w:rsid w:val="008E7210"/>
    <w:rsid w:val="008F1A6B"/>
    <w:rsid w:val="00907E96"/>
    <w:rsid w:val="00913D2D"/>
    <w:rsid w:val="00941C6B"/>
    <w:rsid w:val="009533E4"/>
    <w:rsid w:val="00975E7F"/>
    <w:rsid w:val="00985334"/>
    <w:rsid w:val="00991AC3"/>
    <w:rsid w:val="009B56FA"/>
    <w:rsid w:val="009B6E5D"/>
    <w:rsid w:val="009C2823"/>
    <w:rsid w:val="009D5CB5"/>
    <w:rsid w:val="009E5285"/>
    <w:rsid w:val="009F1575"/>
    <w:rsid w:val="009F3F1A"/>
    <w:rsid w:val="00A129E2"/>
    <w:rsid w:val="00A168B7"/>
    <w:rsid w:val="00A31EED"/>
    <w:rsid w:val="00A33E85"/>
    <w:rsid w:val="00A6695E"/>
    <w:rsid w:val="00A72976"/>
    <w:rsid w:val="00AF1E4D"/>
    <w:rsid w:val="00AF2B0A"/>
    <w:rsid w:val="00B10D7E"/>
    <w:rsid w:val="00B16D5D"/>
    <w:rsid w:val="00B26C19"/>
    <w:rsid w:val="00B97E1D"/>
    <w:rsid w:val="00BD15D0"/>
    <w:rsid w:val="00C05538"/>
    <w:rsid w:val="00C061DE"/>
    <w:rsid w:val="00C14A99"/>
    <w:rsid w:val="00C21A58"/>
    <w:rsid w:val="00C542EC"/>
    <w:rsid w:val="00C64E64"/>
    <w:rsid w:val="00C7747C"/>
    <w:rsid w:val="00C92890"/>
    <w:rsid w:val="00CD7A1C"/>
    <w:rsid w:val="00D23508"/>
    <w:rsid w:val="00D240D1"/>
    <w:rsid w:val="00D27653"/>
    <w:rsid w:val="00D4297C"/>
    <w:rsid w:val="00D54913"/>
    <w:rsid w:val="00D82BF6"/>
    <w:rsid w:val="00DB7525"/>
    <w:rsid w:val="00DC38A1"/>
    <w:rsid w:val="00DF2BD1"/>
    <w:rsid w:val="00E01DE7"/>
    <w:rsid w:val="00E224B7"/>
    <w:rsid w:val="00E340A8"/>
    <w:rsid w:val="00E74C66"/>
    <w:rsid w:val="00E839C9"/>
    <w:rsid w:val="00E87E55"/>
    <w:rsid w:val="00E91DAA"/>
    <w:rsid w:val="00E95435"/>
    <w:rsid w:val="00EB4E9F"/>
    <w:rsid w:val="00ED3F22"/>
    <w:rsid w:val="00EE3629"/>
    <w:rsid w:val="00EE3A7A"/>
    <w:rsid w:val="00EE6779"/>
    <w:rsid w:val="00EF0645"/>
    <w:rsid w:val="00EF0D17"/>
    <w:rsid w:val="00F056F2"/>
    <w:rsid w:val="00F25A99"/>
    <w:rsid w:val="00F27C8E"/>
    <w:rsid w:val="00F37790"/>
    <w:rsid w:val="00F41D38"/>
    <w:rsid w:val="00F50260"/>
    <w:rsid w:val="00F745D2"/>
    <w:rsid w:val="00F85522"/>
    <w:rsid w:val="00FB612D"/>
    <w:rsid w:val="00FB7551"/>
    <w:rsid w:val="00FE30F5"/>
    <w:rsid w:val="02935CB8"/>
    <w:rsid w:val="02C4177D"/>
    <w:rsid w:val="040B6146"/>
    <w:rsid w:val="04822803"/>
    <w:rsid w:val="049556C1"/>
    <w:rsid w:val="05520814"/>
    <w:rsid w:val="055971B7"/>
    <w:rsid w:val="08F365C6"/>
    <w:rsid w:val="098C2089"/>
    <w:rsid w:val="09B437E1"/>
    <w:rsid w:val="0C78635A"/>
    <w:rsid w:val="0D53398F"/>
    <w:rsid w:val="0D696395"/>
    <w:rsid w:val="0E7308AD"/>
    <w:rsid w:val="0F047C1C"/>
    <w:rsid w:val="0F405F94"/>
    <w:rsid w:val="0F715E18"/>
    <w:rsid w:val="0F727178"/>
    <w:rsid w:val="0F861B1F"/>
    <w:rsid w:val="108B06CB"/>
    <w:rsid w:val="112725DC"/>
    <w:rsid w:val="12030496"/>
    <w:rsid w:val="12A55833"/>
    <w:rsid w:val="14F716D6"/>
    <w:rsid w:val="15AC4841"/>
    <w:rsid w:val="16807377"/>
    <w:rsid w:val="16C8153A"/>
    <w:rsid w:val="16E7357A"/>
    <w:rsid w:val="16EA5867"/>
    <w:rsid w:val="186C76BB"/>
    <w:rsid w:val="188C69A4"/>
    <w:rsid w:val="1B3C485E"/>
    <w:rsid w:val="1C5302E4"/>
    <w:rsid w:val="1C80220E"/>
    <w:rsid w:val="1E587ABA"/>
    <w:rsid w:val="23A16E9C"/>
    <w:rsid w:val="23A71259"/>
    <w:rsid w:val="243A7A70"/>
    <w:rsid w:val="24697325"/>
    <w:rsid w:val="248E43FE"/>
    <w:rsid w:val="2626460F"/>
    <w:rsid w:val="26C00620"/>
    <w:rsid w:val="26D46030"/>
    <w:rsid w:val="28225DDC"/>
    <w:rsid w:val="285E0C65"/>
    <w:rsid w:val="29525E4E"/>
    <w:rsid w:val="2AE902C9"/>
    <w:rsid w:val="2B1B7ED3"/>
    <w:rsid w:val="2BE3504A"/>
    <w:rsid w:val="2BE949CC"/>
    <w:rsid w:val="2C5242A5"/>
    <w:rsid w:val="2C5276EE"/>
    <w:rsid w:val="2E2C0ADE"/>
    <w:rsid w:val="30A36F1B"/>
    <w:rsid w:val="32415DFF"/>
    <w:rsid w:val="32CA1ACC"/>
    <w:rsid w:val="3386528F"/>
    <w:rsid w:val="36A75892"/>
    <w:rsid w:val="36E720EE"/>
    <w:rsid w:val="370B2E16"/>
    <w:rsid w:val="37C76327"/>
    <w:rsid w:val="37DE6411"/>
    <w:rsid w:val="38AB7014"/>
    <w:rsid w:val="392C207E"/>
    <w:rsid w:val="396D2760"/>
    <w:rsid w:val="39BC07B8"/>
    <w:rsid w:val="39BD02BF"/>
    <w:rsid w:val="39E73472"/>
    <w:rsid w:val="3C9C060C"/>
    <w:rsid w:val="3CAF5310"/>
    <w:rsid w:val="3D5109D1"/>
    <w:rsid w:val="40A91520"/>
    <w:rsid w:val="410D6922"/>
    <w:rsid w:val="415869FC"/>
    <w:rsid w:val="415D4300"/>
    <w:rsid w:val="4165108B"/>
    <w:rsid w:val="44265814"/>
    <w:rsid w:val="46A55A54"/>
    <w:rsid w:val="46A922F8"/>
    <w:rsid w:val="48BB5CF7"/>
    <w:rsid w:val="49E67BAB"/>
    <w:rsid w:val="4A6444A2"/>
    <w:rsid w:val="4AA77A1E"/>
    <w:rsid w:val="4C61143C"/>
    <w:rsid w:val="4C81681E"/>
    <w:rsid w:val="514D1122"/>
    <w:rsid w:val="51AC4186"/>
    <w:rsid w:val="51E36113"/>
    <w:rsid w:val="520A4277"/>
    <w:rsid w:val="52970667"/>
    <w:rsid w:val="5397529C"/>
    <w:rsid w:val="553A26F3"/>
    <w:rsid w:val="555D2F57"/>
    <w:rsid w:val="580561BD"/>
    <w:rsid w:val="58195A1C"/>
    <w:rsid w:val="5BA326D4"/>
    <w:rsid w:val="5C982FF5"/>
    <w:rsid w:val="609B4244"/>
    <w:rsid w:val="60D35F0E"/>
    <w:rsid w:val="621510CA"/>
    <w:rsid w:val="62F66F35"/>
    <w:rsid w:val="63713382"/>
    <w:rsid w:val="63F8124D"/>
    <w:rsid w:val="648D0A1A"/>
    <w:rsid w:val="65D44819"/>
    <w:rsid w:val="65F57504"/>
    <w:rsid w:val="68CF712D"/>
    <w:rsid w:val="68D407CD"/>
    <w:rsid w:val="692B2259"/>
    <w:rsid w:val="696C2CE0"/>
    <w:rsid w:val="699341A0"/>
    <w:rsid w:val="69F5459F"/>
    <w:rsid w:val="6A9D266B"/>
    <w:rsid w:val="6AB74834"/>
    <w:rsid w:val="6AE359F2"/>
    <w:rsid w:val="6B8C5A25"/>
    <w:rsid w:val="6C4122B3"/>
    <w:rsid w:val="6C9D6D8B"/>
    <w:rsid w:val="6D6676A5"/>
    <w:rsid w:val="6DFA1169"/>
    <w:rsid w:val="6F843912"/>
    <w:rsid w:val="6FBB381D"/>
    <w:rsid w:val="73755145"/>
    <w:rsid w:val="74300768"/>
    <w:rsid w:val="749D19E0"/>
    <w:rsid w:val="758A39AD"/>
    <w:rsid w:val="76266245"/>
    <w:rsid w:val="76767043"/>
    <w:rsid w:val="76AD4E54"/>
    <w:rsid w:val="78A46D6A"/>
    <w:rsid w:val="79DB542E"/>
    <w:rsid w:val="7AA605DC"/>
    <w:rsid w:val="7C694BE9"/>
    <w:rsid w:val="7DC468F2"/>
    <w:rsid w:val="7E4B4720"/>
    <w:rsid w:val="7F326194"/>
    <w:rsid w:val="7F3E2549"/>
    <w:rsid w:val="7F412003"/>
    <w:rsid w:val="7F654FFE"/>
    <w:rsid w:val="7FDE3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kern w:val="2"/>
      <w:sz w:val="21"/>
      <w:szCs w:val="24"/>
      <w:lang w:val="en-US" w:eastAsia="zh-CN" w:bidi="ar-SA"/>
    </w:rPr>
  </w:style>
  <w:style w:type="paragraph" w:styleId="2">
    <w:name w:val="heading 1"/>
    <w:basedOn w:val="1"/>
    <w:next w:val="1"/>
    <w:link w:val="326"/>
    <w:qFormat/>
    <w:uiPriority w:val="0"/>
    <w:pPr>
      <w:keepNext/>
      <w:keepLines/>
      <w:numPr>
        <w:ilvl w:val="0"/>
        <w:numId w:val="1"/>
      </w:numPr>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beforeLines="0" w:after="260" w:afterLines="0" w:line="415" w:lineRule="auto"/>
      <w:outlineLvl w:val="2"/>
    </w:pPr>
    <w:rPr>
      <w:b/>
      <w:bCs/>
      <w:sz w:val="32"/>
      <w:szCs w:val="32"/>
    </w:rPr>
  </w:style>
  <w:style w:type="paragraph" w:styleId="5">
    <w:name w:val="heading 4"/>
    <w:basedOn w:val="1"/>
    <w:next w:val="1"/>
    <w:link w:val="140"/>
    <w:qFormat/>
    <w:uiPriority w:val="0"/>
    <w:pPr>
      <w:keepNext/>
      <w:keepLines/>
      <w:numPr>
        <w:ilvl w:val="3"/>
        <w:numId w:val="1"/>
      </w:numPr>
      <w:spacing w:before="280" w:beforeLines="0" w:after="290" w:afterLines="0" w:line="374" w:lineRule="auto"/>
      <w:outlineLvl w:val="3"/>
    </w:pPr>
    <w:rPr>
      <w:rFonts w:ascii="Arial" w:hAnsi="Arial" w:eastAsia="黑体"/>
      <w:b/>
      <w:bCs/>
      <w:sz w:val="28"/>
      <w:szCs w:val="28"/>
      <w:lang w:val="zh-CN"/>
    </w:rPr>
  </w:style>
  <w:style w:type="paragraph" w:styleId="6">
    <w:name w:val="heading 5"/>
    <w:basedOn w:val="1"/>
    <w:next w:val="1"/>
    <w:link w:val="208"/>
    <w:qFormat/>
    <w:uiPriority w:val="0"/>
    <w:pPr>
      <w:keepNext/>
      <w:keepLines/>
      <w:numPr>
        <w:ilvl w:val="4"/>
        <w:numId w:val="1"/>
      </w:numPr>
      <w:spacing w:before="280" w:beforeLines="0" w:after="290" w:afterLines="0" w:line="374" w:lineRule="auto"/>
      <w:outlineLvl w:val="4"/>
    </w:pPr>
    <w:rPr>
      <w:b/>
      <w:bCs/>
      <w:sz w:val="28"/>
      <w:szCs w:val="28"/>
    </w:rPr>
  </w:style>
  <w:style w:type="paragraph" w:styleId="7">
    <w:name w:val="heading 6"/>
    <w:basedOn w:val="1"/>
    <w:next w:val="1"/>
    <w:link w:val="271"/>
    <w:qFormat/>
    <w:uiPriority w:val="0"/>
    <w:pPr>
      <w:keepNext/>
      <w:keepLines/>
      <w:numPr>
        <w:ilvl w:val="5"/>
        <w:numId w:val="1"/>
      </w:numPr>
      <w:spacing w:before="240" w:beforeLines="0" w:after="64" w:afterLines="0" w:line="319" w:lineRule="auto"/>
      <w:outlineLvl w:val="5"/>
    </w:pPr>
    <w:rPr>
      <w:rFonts w:ascii="Arial" w:hAnsi="Arial" w:eastAsia="黑体"/>
      <w:b/>
      <w:bCs/>
      <w:sz w:val="24"/>
    </w:rPr>
  </w:style>
  <w:style w:type="paragraph" w:styleId="8">
    <w:name w:val="heading 7"/>
    <w:basedOn w:val="1"/>
    <w:next w:val="1"/>
    <w:link w:val="137"/>
    <w:qFormat/>
    <w:uiPriority w:val="0"/>
    <w:pPr>
      <w:keepNext/>
      <w:keepLines/>
      <w:numPr>
        <w:ilvl w:val="6"/>
        <w:numId w:val="1"/>
      </w:numPr>
      <w:spacing w:before="240" w:beforeLines="0" w:after="64" w:afterLines="0" w:line="319" w:lineRule="auto"/>
      <w:outlineLvl w:val="6"/>
    </w:pPr>
    <w:rPr>
      <w:b/>
      <w:bCs/>
      <w:sz w:val="24"/>
    </w:rPr>
  </w:style>
  <w:style w:type="paragraph" w:styleId="9">
    <w:name w:val="heading 8"/>
    <w:basedOn w:val="1"/>
    <w:next w:val="1"/>
    <w:link w:val="280"/>
    <w:qFormat/>
    <w:uiPriority w:val="0"/>
    <w:pPr>
      <w:keepNext/>
      <w:keepLines/>
      <w:numPr>
        <w:ilvl w:val="7"/>
        <w:numId w:val="1"/>
      </w:numPr>
      <w:spacing w:before="240" w:beforeLines="0" w:after="64" w:afterLines="0" w:line="319" w:lineRule="auto"/>
      <w:outlineLvl w:val="7"/>
    </w:pPr>
    <w:rPr>
      <w:rFonts w:ascii="Arial" w:hAnsi="Arial" w:eastAsia="黑体"/>
      <w:sz w:val="24"/>
    </w:rPr>
  </w:style>
  <w:style w:type="paragraph" w:styleId="10">
    <w:name w:val="heading 9"/>
    <w:basedOn w:val="1"/>
    <w:next w:val="1"/>
    <w:link w:val="205"/>
    <w:qFormat/>
    <w:uiPriority w:val="0"/>
    <w:pPr>
      <w:keepNext/>
      <w:keepLines/>
      <w:numPr>
        <w:ilvl w:val="8"/>
        <w:numId w:val="1"/>
      </w:numPr>
      <w:spacing w:before="240" w:beforeLines="0" w:after="64" w:afterLines="0" w:line="319" w:lineRule="auto"/>
      <w:outlineLvl w:val="8"/>
    </w:pPr>
    <w:rPr>
      <w:rFonts w:ascii="Arial" w:hAnsi="Arial" w:eastAsia="黑体"/>
      <w:szCs w:val="21"/>
    </w:rPr>
  </w:style>
  <w:style w:type="character" w:default="1" w:styleId="87">
    <w:name w:val="Default Paragraph Font"/>
    <w:uiPriority w:val="0"/>
    <w:rPr>
      <w:rFonts w:ascii="Arial" w:hAnsi="Arial" w:eastAsia="黑体" w:cs="Arial"/>
      <w:snapToGrid w:val="0"/>
      <w:kern w:val="0"/>
      <w:szCs w:val="21"/>
    </w:rPr>
  </w:style>
  <w:style w:type="table" w:default="1" w:styleId="85">
    <w:name w:val="Normal Table"/>
    <w:unhideWhenUsed/>
    <w:uiPriority w:val="99"/>
    <w:pPr>
      <w:keepNext w:val="0"/>
      <w:keepLines w:val="0"/>
      <w:widowControl/>
      <w:suppressLineNumbers w:val="0"/>
      <w:spacing w:before="0" w:beforeAutospacing="0" w:after="0" w:afterAutospacing="0"/>
      <w:ind w:left="0" w:right="0"/>
    </w:pPr>
    <w:rPr>
      <w:rFonts w:ascii="Calibri" w:hAnsi="Calibri" w:cs="Times New Roman"/>
      <w:sz w:val="20"/>
      <w:szCs w:val="20"/>
    </w:rPr>
    <w:tblPr>
      <w:tblStyle w:val="85"/>
      <w:tblCellMar>
        <w:top w:w="0" w:type="dxa"/>
        <w:left w:w="108" w:type="dxa"/>
        <w:bottom w:w="0" w:type="dxa"/>
        <w:right w:w="108" w:type="dxa"/>
      </w:tblCellMar>
    </w:tblPr>
  </w:style>
  <w:style w:type="paragraph" w:styleId="11">
    <w:name w:val="List 3"/>
    <w:basedOn w:val="1"/>
    <w:uiPriority w:val="0"/>
    <w:pPr>
      <w:snapToGrid w:val="0"/>
      <w:spacing w:line="360" w:lineRule="auto"/>
      <w:ind w:left="100" w:leftChars="400" w:hanging="200" w:hangingChars="200"/>
      <w:textAlignment w:val="baseline"/>
    </w:pPr>
    <w:rPr>
      <w:rFonts w:eastAsia="仿宋_GB2312"/>
      <w:color w:val="000000"/>
      <w:kern w:val="0"/>
      <w:sz w:val="28"/>
      <w:szCs w:val="20"/>
    </w:rPr>
  </w:style>
  <w:style w:type="paragraph" w:styleId="12">
    <w:name w:val="toc 7"/>
    <w:basedOn w:val="1"/>
    <w:next w:val="1"/>
    <w:uiPriority w:val="0"/>
    <w:pPr>
      <w:ind w:left="2520" w:leftChars="1200"/>
    </w:pPr>
  </w:style>
  <w:style w:type="paragraph" w:styleId="13">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4">
    <w:name w:val="Note Heading"/>
    <w:basedOn w:val="1"/>
    <w:next w:val="1"/>
    <w:link w:val="209"/>
    <w:uiPriority w:val="0"/>
    <w:pPr>
      <w:snapToGrid w:val="0"/>
      <w:spacing w:line="360" w:lineRule="auto"/>
      <w:jc w:val="center"/>
      <w:textAlignment w:val="baseline"/>
    </w:pPr>
    <w:rPr>
      <w:rFonts w:ascii="Arial" w:hAnsi="Arial" w:eastAsia="黑体"/>
      <w:snapToGrid w:val="0"/>
      <w:color w:val="000000"/>
      <w:kern w:val="0"/>
      <w:sz w:val="24"/>
      <w:szCs w:val="21"/>
    </w:rPr>
  </w:style>
  <w:style w:type="paragraph" w:styleId="15">
    <w:name w:val="List Bullet 4"/>
    <w:basedOn w:val="1"/>
    <w:uiPriority w:val="0"/>
    <w:pPr>
      <w:widowControl/>
      <w:numPr>
        <w:ilvl w:val="0"/>
        <w:numId w:val="3"/>
      </w:numPr>
      <w:tabs>
        <w:tab w:val="left" w:pos="432"/>
        <w:tab w:val="clear" w:pos="1440"/>
      </w:tabs>
      <w:adjustRightInd/>
      <w:spacing w:before="40" w:beforeLines="0" w:after="160" w:afterLines="0"/>
      <w:ind w:left="432" w:hanging="432"/>
      <w:jc w:val="left"/>
    </w:pPr>
    <w:rPr>
      <w:rFonts w:ascii="Cambria" w:hAnsi="Cambria" w:eastAsia="微软雅黑" w:cs="Times New Roman"/>
      <w:color w:val="595959"/>
      <w:kern w:val="20"/>
      <w:szCs w:val="20"/>
      <w:lang w:val="zh-CN"/>
    </w:rPr>
  </w:style>
  <w:style w:type="paragraph" w:styleId="16">
    <w:name w:val="index 8"/>
    <w:basedOn w:val="1"/>
    <w:next w:val="1"/>
    <w:uiPriority w:val="0"/>
    <w:pPr>
      <w:adjustRightInd/>
      <w:snapToGrid w:val="0"/>
      <w:ind w:left="2940"/>
    </w:pPr>
    <w:rPr>
      <w:rFonts w:eastAsia="仿宋_GB2312"/>
      <w:color w:val="000000"/>
      <w:sz w:val="28"/>
      <w:szCs w:val="20"/>
    </w:rPr>
  </w:style>
  <w:style w:type="paragraph" w:styleId="17">
    <w:name w:val="E-mail Signature"/>
    <w:basedOn w:val="1"/>
    <w:link w:val="121"/>
    <w:uiPriority w:val="0"/>
    <w:pPr>
      <w:snapToGrid w:val="0"/>
      <w:spacing w:line="360" w:lineRule="auto"/>
      <w:textAlignment w:val="baseline"/>
    </w:pPr>
    <w:rPr>
      <w:rFonts w:ascii="Arial" w:hAnsi="Arial" w:eastAsia="黑体"/>
      <w:snapToGrid w:val="0"/>
      <w:color w:val="000000"/>
      <w:kern w:val="0"/>
      <w:sz w:val="24"/>
      <w:szCs w:val="21"/>
    </w:rPr>
  </w:style>
  <w:style w:type="paragraph" w:styleId="18">
    <w:name w:val="List Number"/>
    <w:basedOn w:val="1"/>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Normal Indent"/>
    <w:basedOn w:val="1"/>
    <w:link w:val="189"/>
    <w:uiPriority w:val="0"/>
    <w:pPr>
      <w:widowControl/>
      <w:adjustRightInd w:val="0"/>
      <w:snapToGrid w:val="0"/>
      <w:spacing w:line="480" w:lineRule="exact"/>
      <w:ind w:firstLine="567"/>
    </w:pPr>
    <w:rPr>
      <w:rFonts w:ascii="宋体"/>
      <w:snapToGrid w:val="0"/>
      <w:color w:val="000000"/>
      <w:kern w:val="28"/>
      <w:sz w:val="28"/>
      <w:szCs w:val="20"/>
    </w:rPr>
  </w:style>
  <w:style w:type="paragraph" w:styleId="20">
    <w:name w:val="caption"/>
    <w:basedOn w:val="1"/>
    <w:next w:val="1"/>
    <w:qFormat/>
    <w:uiPriority w:val="0"/>
    <w:rPr>
      <w:b/>
      <w:sz w:val="28"/>
      <w:szCs w:val="20"/>
    </w:rPr>
  </w:style>
  <w:style w:type="paragraph" w:styleId="21">
    <w:name w:val="index 5"/>
    <w:basedOn w:val="1"/>
    <w:next w:val="1"/>
    <w:uiPriority w:val="0"/>
    <w:pPr>
      <w:adjustRightInd/>
      <w:ind w:left="800" w:leftChars="800" w:firstLine="200" w:firstLineChars="200"/>
    </w:pPr>
  </w:style>
  <w:style w:type="paragraph" w:styleId="22">
    <w:name w:val="List Bullet"/>
    <w:basedOn w:val="1"/>
    <w:uiPriority w:val="0"/>
    <w:pPr>
      <w:tabs>
        <w:tab w:val="left" w:pos="360"/>
      </w:tabs>
      <w:snapToGrid w:val="0"/>
      <w:spacing w:line="360" w:lineRule="auto"/>
      <w:textAlignment w:val="baseline"/>
    </w:pPr>
    <w:rPr>
      <w:rFonts w:eastAsia="仿宋_GB2312"/>
      <w:color w:val="000000"/>
      <w:kern w:val="0"/>
      <w:sz w:val="28"/>
      <w:szCs w:val="20"/>
    </w:rPr>
  </w:style>
  <w:style w:type="paragraph" w:styleId="23">
    <w:name w:val="envelope address"/>
    <w:basedOn w:val="1"/>
    <w:uiPriority w:val="0"/>
    <w:pPr>
      <w:snapToGrid w:val="0"/>
      <w:spacing w:line="360" w:lineRule="auto"/>
      <w:ind w:left="100" w:leftChars="1400"/>
      <w:textAlignment w:val="baseline"/>
    </w:pPr>
    <w:rPr>
      <w:rFonts w:ascii="Arial" w:hAnsi="Arial" w:eastAsia="仿宋_GB2312" w:cs="Arial"/>
      <w:color w:val="000000"/>
      <w:kern w:val="0"/>
      <w:sz w:val="28"/>
    </w:rPr>
  </w:style>
  <w:style w:type="paragraph" w:styleId="24">
    <w:name w:val="Document Map"/>
    <w:basedOn w:val="1"/>
    <w:uiPriority w:val="0"/>
    <w:pPr>
      <w:shd w:val="clear" w:color="auto" w:fill="000080"/>
    </w:pPr>
  </w:style>
  <w:style w:type="paragraph" w:styleId="25">
    <w:name w:val="toa heading"/>
    <w:basedOn w:val="2"/>
    <w:next w:val="1"/>
    <w:uiPriority w:val="0"/>
    <w:pPr>
      <w:numPr>
        <w:ilvl w:val="0"/>
        <w:numId w:val="4"/>
      </w:numPr>
      <w:tabs>
        <w:tab w:val="clear" w:pos="432"/>
      </w:tabs>
      <w:snapToGrid w:val="0"/>
      <w:spacing w:before="120" w:beforeLines="0" w:after="120" w:afterLines="0" w:line="360" w:lineRule="auto"/>
      <w:ind w:left="1283"/>
      <w:jc w:val="left"/>
      <w:textAlignment w:val="baseline"/>
    </w:pPr>
    <w:rPr>
      <w:rFonts w:ascii="Cambria" w:hAnsi="Cambria"/>
      <w:b w:val="0"/>
      <w:bCs w:val="0"/>
      <w:color w:val="000000"/>
      <w:sz w:val="24"/>
      <w:szCs w:val="24"/>
    </w:rPr>
  </w:style>
  <w:style w:type="paragraph" w:styleId="26">
    <w:name w:val="annotation text"/>
    <w:basedOn w:val="1"/>
    <w:link w:val="163"/>
    <w:uiPriority w:val="0"/>
    <w:pPr>
      <w:jc w:val="left"/>
    </w:pPr>
  </w:style>
  <w:style w:type="paragraph" w:styleId="27">
    <w:name w:val="index 6"/>
    <w:basedOn w:val="1"/>
    <w:next w:val="1"/>
    <w:uiPriority w:val="0"/>
    <w:pPr>
      <w:adjustRightInd/>
      <w:snapToGrid w:val="0"/>
      <w:ind w:left="2100"/>
    </w:pPr>
    <w:rPr>
      <w:rFonts w:eastAsia="仿宋_GB2312"/>
      <w:color w:val="000000"/>
      <w:sz w:val="28"/>
      <w:szCs w:val="20"/>
    </w:rPr>
  </w:style>
  <w:style w:type="paragraph" w:styleId="28">
    <w:name w:val="Salutation"/>
    <w:basedOn w:val="1"/>
    <w:next w:val="1"/>
    <w:link w:val="294"/>
    <w:uiPriority w:val="0"/>
    <w:rPr>
      <w:rFonts w:ascii="仿宋_GB2312" w:eastAsia="仿宋_GB2312"/>
      <w:sz w:val="28"/>
      <w:szCs w:val="20"/>
    </w:rPr>
  </w:style>
  <w:style w:type="paragraph" w:styleId="29">
    <w:name w:val="Body Text 3"/>
    <w:basedOn w:val="1"/>
    <w:link w:val="118"/>
    <w:uiPriority w:val="0"/>
    <w:pPr>
      <w:jc w:val="center"/>
    </w:pPr>
    <w:rPr>
      <w:szCs w:val="20"/>
    </w:rPr>
  </w:style>
  <w:style w:type="paragraph" w:styleId="30">
    <w:name w:val="Closing"/>
    <w:basedOn w:val="1"/>
    <w:link w:val="218"/>
    <w:uiPriority w:val="0"/>
    <w:pPr>
      <w:snapToGrid w:val="0"/>
      <w:spacing w:line="360" w:lineRule="auto"/>
      <w:ind w:left="100" w:leftChars="2100"/>
      <w:textAlignment w:val="baseline"/>
    </w:pPr>
    <w:rPr>
      <w:rFonts w:ascii="Arial" w:hAnsi="Arial" w:eastAsia="黑体"/>
      <w:snapToGrid w:val="0"/>
      <w:color w:val="000000"/>
      <w:kern w:val="0"/>
      <w:sz w:val="24"/>
      <w:szCs w:val="21"/>
    </w:rPr>
  </w:style>
  <w:style w:type="paragraph" w:styleId="31">
    <w:name w:val="List Bullet 3"/>
    <w:basedOn w:val="1"/>
    <w:uiPriority w:val="0"/>
    <w:pPr>
      <w:tabs>
        <w:tab w:val="left" w:pos="1200"/>
      </w:tabs>
      <w:snapToGrid w:val="0"/>
      <w:spacing w:line="360" w:lineRule="auto"/>
      <w:ind w:left="1200" w:hanging="360"/>
      <w:textAlignment w:val="baseline"/>
    </w:pPr>
    <w:rPr>
      <w:rFonts w:eastAsia="仿宋_GB2312"/>
      <w:color w:val="000000"/>
      <w:kern w:val="0"/>
      <w:sz w:val="28"/>
      <w:szCs w:val="20"/>
    </w:rPr>
  </w:style>
  <w:style w:type="paragraph" w:styleId="32">
    <w:name w:val="Body Text"/>
    <w:basedOn w:val="1"/>
    <w:link w:val="323"/>
    <w:uiPriority w:val="0"/>
    <w:pPr>
      <w:autoSpaceDE w:val="0"/>
      <w:autoSpaceDN w:val="0"/>
      <w:adjustRightInd w:val="0"/>
      <w:spacing w:line="360" w:lineRule="auto"/>
    </w:pPr>
    <w:rPr>
      <w:rFonts w:ascii="宋体" w:hAnsi="Arial" w:cs="Arial"/>
      <w:snapToGrid w:val="0"/>
      <w:sz w:val="24"/>
      <w:szCs w:val="21"/>
      <w:lang w:val="zh-CN"/>
    </w:rPr>
  </w:style>
  <w:style w:type="paragraph" w:styleId="33">
    <w:name w:val="Body Text Indent"/>
    <w:basedOn w:val="1"/>
    <w:link w:val="200"/>
    <w:uiPriority w:val="0"/>
    <w:pPr>
      <w:spacing w:line="480" w:lineRule="exact"/>
      <w:ind w:firstLine="480" w:firstLineChars="200"/>
    </w:pPr>
    <w:rPr>
      <w:rFonts w:ascii="宋体" w:hAnsi="宋体"/>
      <w:sz w:val="24"/>
    </w:rPr>
  </w:style>
  <w:style w:type="paragraph" w:styleId="34">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35">
    <w:name w:val="List 2"/>
    <w:basedOn w:val="1"/>
    <w:uiPriority w:val="0"/>
    <w:pPr>
      <w:adjustRightInd/>
      <w:spacing w:line="360" w:lineRule="auto"/>
      <w:ind w:left="100" w:leftChars="200" w:hanging="200" w:hangingChars="200"/>
    </w:pPr>
    <w:rPr>
      <w:rFonts w:eastAsia="微软雅黑"/>
    </w:rPr>
  </w:style>
  <w:style w:type="paragraph" w:styleId="36">
    <w:name w:val="List Continue"/>
    <w:basedOn w:val="1"/>
    <w:uiPriority w:val="0"/>
    <w:pPr>
      <w:snapToGrid w:val="0"/>
      <w:spacing w:after="120" w:afterLines="0" w:line="360" w:lineRule="auto"/>
      <w:ind w:left="420" w:leftChars="200"/>
      <w:textAlignment w:val="baseline"/>
    </w:pPr>
    <w:rPr>
      <w:rFonts w:eastAsia="仿宋_GB2312"/>
      <w:color w:val="000000"/>
      <w:kern w:val="0"/>
      <w:sz w:val="28"/>
      <w:szCs w:val="20"/>
    </w:rPr>
  </w:style>
  <w:style w:type="paragraph" w:styleId="37">
    <w:name w:val="Block Text"/>
    <w:basedOn w:val="1"/>
    <w:uiPriority w:val="0"/>
    <w:pPr>
      <w:ind w:left="-359" w:leftChars="-171" w:rightChars="-244" w:firstLine="501" w:firstLineChars="239"/>
    </w:pPr>
    <w:rPr>
      <w:rFonts w:ascii="仿宋_GB2312" w:eastAsia="仿宋_GB2312"/>
      <w:sz w:val="30"/>
      <w:szCs w:val="20"/>
    </w:rPr>
  </w:style>
  <w:style w:type="paragraph" w:styleId="38">
    <w:name w:val="List Bullet 2"/>
    <w:basedOn w:val="1"/>
    <w:uiPriority w:val="0"/>
    <w:pPr>
      <w:autoSpaceDE w:val="0"/>
      <w:autoSpaceDN w:val="0"/>
      <w:ind w:left="420"/>
      <w:jc w:val="left"/>
    </w:pPr>
    <w:rPr>
      <w:rFonts w:ascii="宋体" w:hAnsi="宋体"/>
      <w:color w:val="000000"/>
      <w:kern w:val="0"/>
      <w:sz w:val="24"/>
      <w:szCs w:val="20"/>
    </w:rPr>
  </w:style>
  <w:style w:type="paragraph" w:styleId="39">
    <w:name w:val="HTML Address"/>
    <w:basedOn w:val="1"/>
    <w:link w:val="260"/>
    <w:uiPriority w:val="0"/>
    <w:pPr>
      <w:widowControl/>
      <w:adjustRightInd/>
      <w:ind w:firstLine="200" w:firstLineChars="200"/>
      <w:jc w:val="left"/>
    </w:pPr>
    <w:rPr>
      <w:rFonts w:ascii="宋体" w:hAnsi="宋体"/>
      <w:i/>
      <w:iCs/>
      <w:kern w:val="0"/>
      <w:sz w:val="24"/>
    </w:rPr>
  </w:style>
  <w:style w:type="paragraph" w:styleId="40">
    <w:name w:val="index 4"/>
    <w:basedOn w:val="1"/>
    <w:next w:val="1"/>
    <w:uiPriority w:val="0"/>
    <w:pPr>
      <w:adjustRightInd/>
      <w:snapToGrid w:val="0"/>
      <w:ind w:left="1260"/>
    </w:pPr>
    <w:rPr>
      <w:rFonts w:eastAsia="仿宋_GB2312"/>
      <w:color w:val="000000"/>
      <w:sz w:val="28"/>
      <w:szCs w:val="20"/>
    </w:rPr>
  </w:style>
  <w:style w:type="paragraph" w:styleId="41">
    <w:name w:val="toc 5"/>
    <w:basedOn w:val="1"/>
    <w:next w:val="1"/>
    <w:uiPriority w:val="0"/>
    <w:pPr>
      <w:ind w:left="1680" w:leftChars="800"/>
    </w:pPr>
  </w:style>
  <w:style w:type="paragraph" w:styleId="42">
    <w:name w:val="toc 3"/>
    <w:basedOn w:val="1"/>
    <w:next w:val="1"/>
    <w:uiPriority w:val="0"/>
    <w:pPr>
      <w:tabs>
        <w:tab w:val="right" w:leader="dot" w:pos="8268"/>
      </w:tabs>
      <w:spacing w:line="460" w:lineRule="exact"/>
      <w:ind w:left="840" w:leftChars="400" w:firstLine="482"/>
    </w:pPr>
    <w:rPr>
      <w:rFonts w:ascii="宋体" w:hAnsi="宋体"/>
      <w:lang/>
    </w:rPr>
  </w:style>
  <w:style w:type="paragraph" w:styleId="43">
    <w:name w:val="Plain Text"/>
    <w:basedOn w:val="1"/>
    <w:link w:val="290"/>
    <w:qFormat/>
    <w:uiPriority w:val="0"/>
    <w:rPr>
      <w:rFonts w:ascii="宋体" w:hAnsi="Courier New" w:cs="Arial"/>
      <w:snapToGrid w:val="0"/>
      <w:szCs w:val="21"/>
    </w:rPr>
  </w:style>
  <w:style w:type="paragraph" w:styleId="44">
    <w:name w:val="List Bullet 5"/>
    <w:basedOn w:val="1"/>
    <w:uiPriority w:val="0"/>
    <w:pPr>
      <w:tabs>
        <w:tab w:val="left" w:pos="360"/>
      </w:tabs>
      <w:snapToGrid w:val="0"/>
      <w:spacing w:line="360" w:lineRule="auto"/>
      <w:textAlignment w:val="baseline"/>
    </w:pPr>
    <w:rPr>
      <w:rFonts w:eastAsia="仿宋_GB2312"/>
      <w:color w:val="000000"/>
      <w:kern w:val="0"/>
      <w:sz w:val="28"/>
      <w:szCs w:val="20"/>
    </w:rPr>
  </w:style>
  <w:style w:type="paragraph" w:styleId="45">
    <w:name w:val="List Number 4"/>
    <w:basedOn w:val="1"/>
    <w:uiPriority w:val="0"/>
    <w:pPr>
      <w:numPr>
        <w:ilvl w:val="0"/>
        <w:numId w:val="4"/>
      </w:numPr>
      <w:autoSpaceDE w:val="0"/>
      <w:autoSpaceDN w:val="0"/>
      <w:spacing w:line="360" w:lineRule="atLeast"/>
      <w:ind w:left="840" w:hanging="420"/>
    </w:pPr>
    <w:rPr>
      <w:kern w:val="0"/>
      <w:sz w:val="24"/>
    </w:rPr>
  </w:style>
  <w:style w:type="paragraph" w:styleId="46">
    <w:name w:val="toc 8"/>
    <w:basedOn w:val="1"/>
    <w:next w:val="1"/>
    <w:uiPriority w:val="0"/>
    <w:pPr>
      <w:ind w:left="2940" w:leftChars="1400"/>
    </w:pPr>
  </w:style>
  <w:style w:type="paragraph" w:styleId="47">
    <w:name w:val="index 3"/>
    <w:basedOn w:val="1"/>
    <w:next w:val="1"/>
    <w:uiPriority w:val="0"/>
    <w:pPr>
      <w:adjustRightInd/>
      <w:snapToGrid w:val="0"/>
      <w:ind w:left="840"/>
    </w:pPr>
    <w:rPr>
      <w:rFonts w:eastAsia="仿宋_GB2312"/>
      <w:color w:val="000000"/>
      <w:sz w:val="28"/>
      <w:szCs w:val="20"/>
    </w:rPr>
  </w:style>
  <w:style w:type="paragraph" w:styleId="48">
    <w:name w:val="Date"/>
    <w:basedOn w:val="1"/>
    <w:next w:val="1"/>
    <w:link w:val="198"/>
    <w:uiPriority w:val="0"/>
    <w:pPr>
      <w:ind w:left="100" w:leftChars="2500"/>
    </w:pPr>
    <w:rPr>
      <w:rFonts w:ascii="宋体"/>
      <w:sz w:val="24"/>
      <w:szCs w:val="21"/>
      <w:lang w:val="zh-CN"/>
    </w:rPr>
  </w:style>
  <w:style w:type="paragraph" w:styleId="49">
    <w:name w:val="Body Text Indent 2"/>
    <w:basedOn w:val="1"/>
    <w:link w:val="304"/>
    <w:uiPriority w:val="0"/>
    <w:pPr>
      <w:adjustRightInd w:val="0"/>
      <w:spacing w:line="360" w:lineRule="auto"/>
      <w:ind w:firstLine="601"/>
      <w:textAlignment w:val="baseline"/>
    </w:pPr>
    <w:rPr>
      <w:rFonts w:ascii="宋体"/>
      <w:kern w:val="0"/>
      <w:sz w:val="28"/>
      <w:szCs w:val="20"/>
    </w:rPr>
  </w:style>
  <w:style w:type="paragraph" w:styleId="50">
    <w:name w:val="List Continue 5"/>
    <w:basedOn w:val="1"/>
    <w:uiPriority w:val="0"/>
    <w:pPr>
      <w:snapToGrid w:val="0"/>
      <w:spacing w:after="120" w:afterLines="0" w:line="360" w:lineRule="auto"/>
      <w:ind w:left="2100" w:leftChars="1000"/>
      <w:textAlignment w:val="baseline"/>
    </w:pPr>
    <w:rPr>
      <w:rFonts w:eastAsia="仿宋_GB2312"/>
      <w:color w:val="000000"/>
      <w:kern w:val="0"/>
      <w:sz w:val="28"/>
      <w:szCs w:val="20"/>
    </w:rPr>
  </w:style>
  <w:style w:type="paragraph" w:styleId="51">
    <w:name w:val="Balloon Text"/>
    <w:basedOn w:val="1"/>
    <w:link w:val="261"/>
    <w:uiPriority w:val="0"/>
    <w:rPr>
      <w:sz w:val="18"/>
      <w:szCs w:val="18"/>
    </w:rPr>
  </w:style>
  <w:style w:type="paragraph" w:styleId="52">
    <w:name w:val="footer"/>
    <w:basedOn w:val="1"/>
    <w:uiPriority w:val="0"/>
    <w:pPr>
      <w:tabs>
        <w:tab w:val="center" w:pos="4153"/>
        <w:tab w:val="right" w:pos="8306"/>
      </w:tabs>
      <w:snapToGrid w:val="0"/>
      <w:jc w:val="left"/>
    </w:pPr>
    <w:rPr>
      <w:sz w:val="18"/>
      <w:szCs w:val="18"/>
    </w:rPr>
  </w:style>
  <w:style w:type="paragraph" w:styleId="53">
    <w:name w:val="envelope return"/>
    <w:basedOn w:val="1"/>
    <w:uiPriority w:val="0"/>
    <w:pPr>
      <w:snapToGrid w:val="0"/>
      <w:spacing w:line="360" w:lineRule="auto"/>
      <w:textAlignment w:val="baseline"/>
    </w:pPr>
    <w:rPr>
      <w:rFonts w:ascii="Arial" w:hAnsi="Arial" w:eastAsia="仿宋_GB2312" w:cs="Arial"/>
      <w:color w:val="000000"/>
      <w:kern w:val="0"/>
      <w:sz w:val="28"/>
      <w:szCs w:val="20"/>
    </w:rPr>
  </w:style>
  <w:style w:type="paragraph" w:styleId="5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69"/>
    <w:uiPriority w:val="0"/>
    <w:pPr>
      <w:adjustRightInd w:val="0"/>
      <w:spacing w:after="600" w:afterLines="0" w:line="312" w:lineRule="atLeast"/>
      <w:jc w:val="center"/>
      <w:textAlignment w:val="baseline"/>
    </w:pPr>
    <w:rPr>
      <w:rFonts w:eastAsia="仿宋_GB2312"/>
      <w:kern w:val="0"/>
      <w:sz w:val="24"/>
      <w:szCs w:val="20"/>
    </w:rPr>
  </w:style>
  <w:style w:type="paragraph" w:styleId="56">
    <w:name w:val="toc 1"/>
    <w:basedOn w:val="1"/>
    <w:next w:val="1"/>
    <w:uiPriority w:val="0"/>
  </w:style>
  <w:style w:type="paragraph" w:styleId="57">
    <w:name w:val="List Continue 4"/>
    <w:basedOn w:val="1"/>
    <w:uiPriority w:val="0"/>
    <w:pPr>
      <w:snapToGrid w:val="0"/>
      <w:spacing w:after="120" w:afterLines="0" w:line="360" w:lineRule="auto"/>
      <w:ind w:left="1680" w:leftChars="800"/>
      <w:textAlignment w:val="baseline"/>
    </w:pPr>
    <w:rPr>
      <w:rFonts w:eastAsia="仿宋_GB2312"/>
      <w:color w:val="000000"/>
      <w:kern w:val="0"/>
      <w:sz w:val="28"/>
      <w:szCs w:val="20"/>
    </w:rPr>
  </w:style>
  <w:style w:type="paragraph" w:styleId="58">
    <w:name w:val="toc 4"/>
    <w:basedOn w:val="1"/>
    <w:next w:val="1"/>
    <w:uiPriority w:val="0"/>
    <w:pPr>
      <w:ind w:left="1260" w:leftChars="600"/>
    </w:pPr>
  </w:style>
  <w:style w:type="paragraph" w:styleId="59">
    <w:name w:val="index heading"/>
    <w:basedOn w:val="1"/>
    <w:next w:val="60"/>
    <w:uiPriority w:val="0"/>
    <w:pPr>
      <w:adjustRightInd/>
      <w:ind w:firstLine="200" w:firstLineChars="200"/>
    </w:pPr>
  </w:style>
  <w:style w:type="paragraph" w:styleId="60">
    <w:name w:val="index 1"/>
    <w:basedOn w:val="1"/>
    <w:next w:val="1"/>
    <w:uiPriority w:val="0"/>
    <w:pPr>
      <w:adjustRightInd/>
      <w:spacing w:line="360" w:lineRule="auto"/>
      <w:ind w:firstLine="200" w:firstLineChars="200"/>
      <w:jc w:val="center"/>
    </w:pPr>
    <w:rPr>
      <w:sz w:val="24"/>
      <w:szCs w:val="20"/>
    </w:rPr>
  </w:style>
  <w:style w:type="paragraph" w:styleId="61">
    <w:name w:val="Subtitle"/>
    <w:link w:val="227"/>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62">
    <w:name w:val="List Number 5"/>
    <w:basedOn w:val="1"/>
    <w:uiPriority w:val="0"/>
    <w:pPr>
      <w:tabs>
        <w:tab w:val="left" w:pos="902"/>
      </w:tabs>
      <w:adjustRightInd/>
      <w:spacing w:line="400" w:lineRule="exact"/>
      <w:ind w:left="902" w:hanging="420"/>
    </w:pPr>
    <w:rPr>
      <w:sz w:val="24"/>
      <w:szCs w:val="20"/>
    </w:rPr>
  </w:style>
  <w:style w:type="paragraph" w:styleId="63">
    <w:name w:val="List"/>
    <w:basedOn w:val="1"/>
    <w:uiPriority w:val="0"/>
    <w:pPr>
      <w:ind w:left="200" w:hanging="200" w:hangingChars="200"/>
    </w:pPr>
  </w:style>
  <w:style w:type="paragraph" w:styleId="64">
    <w:name w:val="footnote text"/>
    <w:basedOn w:val="19"/>
    <w:link w:val="119"/>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65">
    <w:name w:val="toc 6"/>
    <w:basedOn w:val="1"/>
    <w:next w:val="1"/>
    <w:uiPriority w:val="0"/>
    <w:pPr>
      <w:ind w:left="2100" w:leftChars="1000"/>
    </w:pPr>
  </w:style>
  <w:style w:type="paragraph" w:styleId="66">
    <w:name w:val="List 5"/>
    <w:basedOn w:val="1"/>
    <w:uiPriority w:val="0"/>
    <w:pPr>
      <w:adjustRightInd/>
      <w:ind w:left="100" w:leftChars="800" w:hanging="200" w:hangingChars="200"/>
    </w:pPr>
  </w:style>
  <w:style w:type="paragraph" w:styleId="67">
    <w:name w:val="Body Text Indent 3"/>
    <w:basedOn w:val="1"/>
    <w:link w:val="211"/>
    <w:uiPriority w:val="0"/>
    <w:pPr>
      <w:spacing w:line="360" w:lineRule="auto"/>
      <w:ind w:firstLine="420"/>
    </w:pPr>
    <w:rPr>
      <w:sz w:val="24"/>
      <w:szCs w:val="20"/>
    </w:rPr>
  </w:style>
  <w:style w:type="paragraph" w:styleId="68">
    <w:name w:val="index 7"/>
    <w:basedOn w:val="1"/>
    <w:next w:val="1"/>
    <w:uiPriority w:val="0"/>
    <w:pPr>
      <w:adjustRightInd/>
      <w:snapToGrid w:val="0"/>
      <w:ind w:left="2520"/>
    </w:pPr>
    <w:rPr>
      <w:rFonts w:eastAsia="仿宋_GB2312"/>
      <w:color w:val="000000"/>
      <w:sz w:val="28"/>
      <w:szCs w:val="20"/>
    </w:rPr>
  </w:style>
  <w:style w:type="paragraph" w:styleId="69">
    <w:name w:val="index 9"/>
    <w:basedOn w:val="1"/>
    <w:next w:val="1"/>
    <w:uiPriority w:val="0"/>
    <w:pPr>
      <w:adjustRightInd/>
      <w:snapToGrid w:val="0"/>
      <w:ind w:left="3360"/>
    </w:pPr>
    <w:rPr>
      <w:rFonts w:eastAsia="仿宋_GB2312"/>
      <w:color w:val="000000"/>
      <w:sz w:val="28"/>
      <w:szCs w:val="20"/>
    </w:rPr>
  </w:style>
  <w:style w:type="paragraph" w:styleId="70">
    <w:name w:val="table of figures"/>
    <w:basedOn w:val="1"/>
    <w:next w:val="1"/>
    <w:uiPriority w:val="0"/>
    <w:pPr>
      <w:adjustRightInd/>
      <w:snapToGrid w:val="0"/>
      <w:ind w:left="840" w:hanging="420"/>
    </w:pPr>
    <w:rPr>
      <w:rFonts w:eastAsia="仿宋_GB2312"/>
      <w:color w:val="000000"/>
      <w:sz w:val="28"/>
      <w:szCs w:val="20"/>
    </w:rPr>
  </w:style>
  <w:style w:type="paragraph" w:styleId="71">
    <w:name w:val="toc 2"/>
    <w:basedOn w:val="1"/>
    <w:next w:val="1"/>
    <w:uiPriority w:val="0"/>
    <w:pPr>
      <w:ind w:left="420" w:leftChars="200"/>
    </w:pPr>
  </w:style>
  <w:style w:type="paragraph" w:styleId="72">
    <w:name w:val="toc 9"/>
    <w:basedOn w:val="1"/>
    <w:next w:val="1"/>
    <w:uiPriority w:val="0"/>
    <w:pPr>
      <w:ind w:left="3360" w:leftChars="1600"/>
    </w:pPr>
  </w:style>
  <w:style w:type="paragraph" w:styleId="73">
    <w:name w:val="Body Text 2"/>
    <w:basedOn w:val="1"/>
    <w:uiPriority w:val="0"/>
    <w:pPr>
      <w:spacing w:after="120" w:afterLines="0" w:line="480" w:lineRule="auto"/>
    </w:pPr>
  </w:style>
  <w:style w:type="paragraph" w:styleId="74">
    <w:name w:val="List 4"/>
    <w:basedOn w:val="1"/>
    <w:uiPriority w:val="0"/>
    <w:pPr>
      <w:snapToGrid w:val="0"/>
      <w:spacing w:line="360" w:lineRule="auto"/>
      <w:ind w:left="100" w:leftChars="600" w:hanging="200" w:hangingChars="200"/>
      <w:textAlignment w:val="baseline"/>
    </w:pPr>
    <w:rPr>
      <w:rFonts w:eastAsia="仿宋_GB2312"/>
      <w:color w:val="000000"/>
      <w:kern w:val="0"/>
      <w:sz w:val="28"/>
      <w:szCs w:val="20"/>
    </w:rPr>
  </w:style>
  <w:style w:type="paragraph" w:styleId="75">
    <w:name w:val="List Continue 2"/>
    <w:basedOn w:val="1"/>
    <w:uiPriority w:val="0"/>
    <w:pPr>
      <w:snapToGrid w:val="0"/>
      <w:spacing w:after="120" w:afterLines="0" w:line="360" w:lineRule="auto"/>
      <w:ind w:left="840" w:leftChars="400"/>
      <w:textAlignment w:val="baseline"/>
    </w:pPr>
    <w:rPr>
      <w:rFonts w:eastAsia="仿宋_GB2312"/>
      <w:color w:val="000000"/>
      <w:kern w:val="0"/>
      <w:sz w:val="28"/>
      <w:szCs w:val="20"/>
    </w:rPr>
  </w:style>
  <w:style w:type="paragraph" w:styleId="76">
    <w:name w:val="Message Header"/>
    <w:basedOn w:val="1"/>
    <w:link w:val="150"/>
    <w:uiPriority w:val="0"/>
    <w:pPr>
      <w:pBdr>
        <w:top w:val="single" w:color="auto" w:sz="6" w:space="1"/>
        <w:left w:val="single" w:color="auto" w:sz="6" w:space="1"/>
        <w:bottom w:val="single" w:color="auto" w:sz="6" w:space="1"/>
        <w:right w:val="single" w:color="auto" w:sz="6" w:space="1"/>
      </w:pBdr>
      <w:shd w:val="pct20" w:color="auto" w:fill="auto"/>
      <w:snapToGrid w:val="0"/>
      <w:spacing w:line="360" w:lineRule="auto"/>
      <w:ind w:left="1080" w:leftChars="500" w:hanging="1080" w:hangingChars="500"/>
      <w:textAlignment w:val="baseline"/>
    </w:pPr>
    <w:rPr>
      <w:rFonts w:ascii="Arial" w:hAnsi="Arial" w:eastAsia="黑体"/>
      <w:snapToGrid w:val="0"/>
      <w:color w:val="000000"/>
      <w:kern w:val="0"/>
      <w:sz w:val="24"/>
      <w:shd w:val="pct20" w:color="auto" w:fill="auto"/>
    </w:rPr>
  </w:style>
  <w:style w:type="paragraph" w:styleId="77">
    <w:name w:val="HTML Preformatted"/>
    <w:basedOn w:val="1"/>
    <w:link w:val="34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78">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79">
    <w:name w:val="List Continue 3"/>
    <w:basedOn w:val="1"/>
    <w:uiPriority w:val="0"/>
    <w:pPr>
      <w:snapToGrid w:val="0"/>
      <w:spacing w:after="120" w:afterLines="0" w:line="360" w:lineRule="auto"/>
      <w:ind w:left="1260" w:leftChars="600"/>
      <w:textAlignment w:val="baseline"/>
    </w:pPr>
    <w:rPr>
      <w:rFonts w:eastAsia="仿宋_GB2312"/>
      <w:color w:val="000000"/>
      <w:kern w:val="0"/>
      <w:sz w:val="28"/>
      <w:szCs w:val="20"/>
    </w:rPr>
  </w:style>
  <w:style w:type="paragraph" w:styleId="80">
    <w:name w:val="index 2"/>
    <w:basedOn w:val="1"/>
    <w:next w:val="1"/>
    <w:uiPriority w:val="0"/>
    <w:pPr>
      <w:adjustRightInd/>
      <w:snapToGrid w:val="0"/>
      <w:ind w:left="420"/>
    </w:pPr>
    <w:rPr>
      <w:rFonts w:eastAsia="仿宋_GB2312"/>
      <w:color w:val="000000"/>
      <w:sz w:val="28"/>
      <w:szCs w:val="20"/>
    </w:rPr>
  </w:style>
  <w:style w:type="paragraph" w:styleId="81">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82">
    <w:name w:val="annotation subject"/>
    <w:basedOn w:val="26"/>
    <w:next w:val="26"/>
    <w:uiPriority w:val="0"/>
    <w:rPr>
      <w:b/>
      <w:bCs/>
    </w:rPr>
  </w:style>
  <w:style w:type="paragraph" w:styleId="83">
    <w:name w:val="Body Text First Indent"/>
    <w:basedOn w:val="32"/>
    <w:link w:val="185"/>
    <w:uiPriority w:val="0"/>
    <w:pPr>
      <w:ind w:firstLine="420"/>
    </w:pPr>
    <w:rPr>
      <w:rFonts w:hAnsi="Times New Roman" w:cs="Times New Roman"/>
      <w:snapToGrid/>
      <w:szCs w:val="20"/>
    </w:rPr>
  </w:style>
  <w:style w:type="paragraph" w:styleId="84">
    <w:name w:val="Body Text First Indent 2"/>
    <w:basedOn w:val="33"/>
    <w:link w:val="184"/>
    <w:uiPriority w:val="0"/>
    <w:pPr>
      <w:adjustRightInd/>
      <w:spacing w:after="120" w:afterLines="0" w:line="240" w:lineRule="auto"/>
      <w:ind w:left="420" w:leftChars="200" w:firstLine="210"/>
    </w:pPr>
    <w:rPr>
      <w:sz w:val="21"/>
    </w:rPr>
  </w:style>
  <w:style w:type="table" w:styleId="86">
    <w:name w:val="Table Grid"/>
    <w:basedOn w:val="85"/>
    <w:uiPriority w:val="59"/>
    <w:pPr>
      <w:widowControl w:val="0"/>
      <w:jc w:val="both"/>
    </w:pPr>
    <w:tblPr>
      <w:tblStyle w:val="8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8">
    <w:name w:val="Strong"/>
    <w:qFormat/>
    <w:uiPriority w:val="22"/>
    <w:rPr>
      <w:b/>
      <w:bCs/>
    </w:rPr>
  </w:style>
  <w:style w:type="character" w:styleId="89">
    <w:name w:val="page number"/>
    <w:basedOn w:val="87"/>
    <w:uiPriority w:val="0"/>
  </w:style>
  <w:style w:type="character" w:styleId="90">
    <w:name w:val="FollowedHyperlink"/>
    <w:uiPriority w:val="0"/>
    <w:rPr>
      <w:rFonts w:ascii="Arial" w:hAnsi="Arial" w:eastAsia="黑体" w:cs="Arial"/>
      <w:snapToGrid w:val="0"/>
      <w:color w:val="000000"/>
      <w:kern w:val="0"/>
      <w:sz w:val="18"/>
      <w:szCs w:val="18"/>
      <w:u w:val="none"/>
    </w:rPr>
  </w:style>
  <w:style w:type="character" w:styleId="91">
    <w:name w:val="Emphasis"/>
    <w:qFormat/>
    <w:uiPriority w:val="0"/>
    <w:rPr>
      <w:color w:val="CC0033"/>
    </w:rPr>
  </w:style>
  <w:style w:type="character" w:styleId="92">
    <w:name w:val="line number"/>
    <w:basedOn w:val="87"/>
    <w:uiPriority w:val="0"/>
  </w:style>
  <w:style w:type="character" w:styleId="93">
    <w:name w:val="HTML Definition"/>
    <w:uiPriority w:val="0"/>
    <w:rPr>
      <w:i/>
      <w:iCs/>
    </w:rPr>
  </w:style>
  <w:style w:type="character" w:styleId="94">
    <w:name w:val="HTML Typewriter"/>
    <w:uiPriority w:val="0"/>
    <w:rPr>
      <w:rFonts w:ascii="Courier New" w:hAnsi="Courier New" w:cs="Courier New"/>
      <w:sz w:val="20"/>
      <w:szCs w:val="20"/>
    </w:rPr>
  </w:style>
  <w:style w:type="character" w:styleId="95">
    <w:name w:val="HTML Acronym"/>
    <w:uiPriority w:val="0"/>
  </w:style>
  <w:style w:type="character" w:styleId="96">
    <w:name w:val="HTML Variable"/>
    <w:uiPriority w:val="0"/>
    <w:rPr>
      <w:i/>
      <w:iCs/>
    </w:rPr>
  </w:style>
  <w:style w:type="character" w:styleId="97">
    <w:name w:val="Hyperlink"/>
    <w:uiPriority w:val="0"/>
    <w:rPr>
      <w:rFonts w:ascii="Arial" w:hAnsi="Arial" w:eastAsia="黑体" w:cs="Arial"/>
      <w:snapToGrid w:val="0"/>
      <w:color w:val="000000"/>
      <w:kern w:val="0"/>
      <w:sz w:val="18"/>
      <w:szCs w:val="18"/>
      <w:u w:val="none"/>
    </w:rPr>
  </w:style>
  <w:style w:type="character" w:styleId="98">
    <w:name w:val="HTML Code"/>
    <w:uiPriority w:val="0"/>
    <w:rPr>
      <w:rFonts w:ascii="黑体" w:hAnsi="Courier New" w:eastAsia="黑体" w:cs="楷体_GB2312"/>
      <w:sz w:val="20"/>
      <w:szCs w:val="20"/>
    </w:rPr>
  </w:style>
  <w:style w:type="character" w:styleId="99">
    <w:name w:val="annotation reference"/>
    <w:uiPriority w:val="0"/>
    <w:rPr>
      <w:sz w:val="21"/>
      <w:szCs w:val="21"/>
    </w:rPr>
  </w:style>
  <w:style w:type="character" w:styleId="100">
    <w:name w:val="HTML Cite"/>
    <w:uiPriority w:val="0"/>
    <w:rPr>
      <w:i/>
      <w:iCs/>
    </w:rPr>
  </w:style>
  <w:style w:type="character" w:styleId="101">
    <w:name w:val="footnote reference"/>
    <w:uiPriority w:val="0"/>
    <w:rPr>
      <w:rFonts w:ascii="Arial" w:hAnsi="Arial" w:eastAsia="黑体" w:cs="Arial"/>
      <w:snapToGrid w:val="0"/>
      <w:kern w:val="0"/>
      <w:szCs w:val="21"/>
      <w:vertAlign w:val="superscript"/>
    </w:rPr>
  </w:style>
  <w:style w:type="character" w:styleId="102">
    <w:name w:val="HTML Keyboard"/>
    <w:uiPriority w:val="0"/>
    <w:rPr>
      <w:rFonts w:ascii="Courier New" w:hAnsi="Courier New" w:cs="Courier New"/>
      <w:sz w:val="20"/>
      <w:szCs w:val="20"/>
    </w:rPr>
  </w:style>
  <w:style w:type="character" w:styleId="103">
    <w:name w:val="HTML Sample"/>
    <w:uiPriority w:val="0"/>
    <w:rPr>
      <w:rFonts w:ascii="Courier New" w:hAnsi="Courier New" w:cs="Courier New"/>
    </w:rPr>
  </w:style>
  <w:style w:type="character" w:customStyle="1" w:styleId="104">
    <w:name w:val="样式 标题 4h4H4Fab-4T5Ref Heading 1rh1Heading sqlsect 1.2.3.... Char"/>
    <w:link w:val="105"/>
    <w:uiPriority w:val="0"/>
    <w:rPr>
      <w:rFonts w:ascii="微软雅黑" w:hAnsi="微软雅黑" w:eastAsia="微软雅黑"/>
      <w:b/>
      <w:bCs/>
      <w:kern w:val="2"/>
      <w:sz w:val="24"/>
      <w:szCs w:val="28"/>
    </w:rPr>
  </w:style>
  <w:style w:type="paragraph" w:customStyle="1" w:styleId="105">
    <w:name w:val="样式 标题 4h4H4Fab-4T5Ref Heading 1rh1Heading sqlsect 1.2.3...."/>
    <w:basedOn w:val="5"/>
    <w:link w:val="104"/>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6">
    <w:name w:val="f141"/>
    <w:uiPriority w:val="0"/>
    <w:rPr>
      <w:rFonts w:ascii="Tahoma" w:hAnsi="Tahoma" w:eastAsia="宋体"/>
      <w:b/>
      <w:kern w:val="2"/>
      <w:sz w:val="21"/>
      <w:szCs w:val="21"/>
      <w:lang w:val="en-US" w:eastAsia="zh-CN" w:bidi="ar-SA"/>
    </w:rPr>
  </w:style>
  <w:style w:type="character" w:customStyle="1" w:styleId="107">
    <w:name w:val="gray6"/>
    <w:basedOn w:val="87"/>
    <w:uiPriority w:val="0"/>
  </w:style>
  <w:style w:type="character" w:customStyle="1" w:styleId="108">
    <w:name w:val="Font Style82"/>
    <w:uiPriority w:val="0"/>
    <w:rPr>
      <w:rFonts w:ascii="宋体" w:eastAsia="宋体" w:cs="宋体"/>
      <w:color w:val="000000"/>
      <w:sz w:val="14"/>
      <w:szCs w:val="14"/>
    </w:rPr>
  </w:style>
  <w:style w:type="character" w:customStyle="1" w:styleId="109">
    <w:name w:val="hui3"/>
    <w:uiPriority w:val="0"/>
    <w:rPr>
      <w:color w:val="333333"/>
    </w:rPr>
  </w:style>
  <w:style w:type="character" w:customStyle="1" w:styleId="110">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11">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12">
    <w:name w:val="zbggmain style9"/>
    <w:uiPriority w:val="0"/>
  </w:style>
  <w:style w:type="character" w:customStyle="1" w:styleId="113">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114">
    <w:name w:val="Style 正文（首行缩进）2 + First line:  2 ch Char"/>
    <w:link w:val="115"/>
    <w:uiPriority w:val="0"/>
    <w:rPr>
      <w:rFonts w:ascii="Arial" w:hAnsi="Arial"/>
      <w:sz w:val="24"/>
    </w:rPr>
  </w:style>
  <w:style w:type="paragraph" w:customStyle="1" w:styleId="115">
    <w:name w:val="Style 正文（首行缩进）2 + First line:  2 ch"/>
    <w:basedOn w:val="1"/>
    <w:link w:val="114"/>
    <w:uiPriority w:val="0"/>
    <w:pPr>
      <w:widowControl/>
      <w:adjustRightInd/>
      <w:spacing w:before="100" w:beforeLines="0" w:beforeAutospacing="1" w:after="100" w:afterLines="0" w:afterAutospacing="1" w:line="300" w:lineRule="auto"/>
      <w:ind w:firstLine="480" w:firstLineChars="200"/>
      <w:jc w:val="left"/>
    </w:pPr>
    <w:rPr>
      <w:rFonts w:ascii="Arial" w:hAnsi="Arial"/>
      <w:kern w:val="0"/>
      <w:sz w:val="24"/>
      <w:szCs w:val="20"/>
    </w:rPr>
  </w:style>
  <w:style w:type="character" w:customStyle="1" w:styleId="116">
    <w:name w:val="正文2 Char"/>
    <w:qFormat/>
    <w:uiPriority w:val="99"/>
    <w:rPr>
      <w:rFonts w:eastAsia="宋体"/>
      <w:kern w:val="2"/>
      <w:sz w:val="24"/>
      <w:lang w:val="en-US" w:eastAsia="zh-CN" w:bidi="ar-SA"/>
    </w:rPr>
  </w:style>
  <w:style w:type="character" w:customStyle="1" w:styleId="117">
    <w:name w:val="文本正文 Char Char"/>
    <w:uiPriority w:val="0"/>
    <w:rPr>
      <w:sz w:val="24"/>
      <w:lang w:bidi="ar-SA"/>
    </w:rPr>
  </w:style>
  <w:style w:type="character" w:customStyle="1" w:styleId="118">
    <w:name w:val="正文文本 3 Char"/>
    <w:link w:val="29"/>
    <w:uiPriority w:val="0"/>
    <w:rPr>
      <w:kern w:val="2"/>
      <w:sz w:val="21"/>
    </w:rPr>
  </w:style>
  <w:style w:type="character" w:customStyle="1" w:styleId="119">
    <w:name w:val="脚注文本 Char"/>
    <w:link w:val="64"/>
    <w:uiPriority w:val="0"/>
    <w:rPr>
      <w:color w:val="0000FF"/>
      <w:sz w:val="21"/>
    </w:rPr>
  </w:style>
  <w:style w:type="character" w:customStyle="1" w:styleId="120">
    <w:name w:val=" Char Char10"/>
    <w:uiPriority w:val="0"/>
    <w:rPr>
      <w:rFonts w:ascii="宋体" w:hAnsi="宋体"/>
      <w:kern w:val="2"/>
      <w:sz w:val="21"/>
      <w:szCs w:val="24"/>
      <w:lang/>
    </w:rPr>
  </w:style>
  <w:style w:type="character" w:customStyle="1" w:styleId="121">
    <w:name w:val="电子邮件签名 Char"/>
    <w:link w:val="17"/>
    <w:uiPriority w:val="0"/>
    <w:rPr>
      <w:rFonts w:ascii="Arial" w:hAnsi="Arial" w:eastAsia="黑体" w:cs="Arial"/>
      <w:snapToGrid w:val="0"/>
      <w:color w:val="000000"/>
      <w:kern w:val="0"/>
      <w:sz w:val="24"/>
      <w:szCs w:val="21"/>
    </w:rPr>
  </w:style>
  <w:style w:type="character" w:customStyle="1" w:styleId="122">
    <w:name w:val="列出段落 Char1"/>
    <w:link w:val="123"/>
    <w:uiPriority w:val="0"/>
    <w:rPr>
      <w:rFonts w:eastAsia="楷体_GB2312" w:cs="Lucida Sans"/>
      <w:kern w:val="2"/>
      <w:sz w:val="24"/>
      <w:szCs w:val="24"/>
    </w:rPr>
  </w:style>
  <w:style w:type="paragraph" w:styleId="123">
    <w:name w:val="List Paragraph"/>
    <w:basedOn w:val="1"/>
    <w:link w:val="122"/>
    <w:qFormat/>
    <w:uiPriority w:val="0"/>
    <w:pPr>
      <w:spacing w:line="360" w:lineRule="auto"/>
      <w:ind w:firstLine="200" w:firstLineChars="200"/>
    </w:pPr>
    <w:rPr>
      <w:rFonts w:eastAsia="楷体_GB2312"/>
      <w:sz w:val="24"/>
    </w:rPr>
  </w:style>
  <w:style w:type="character" w:customStyle="1" w:styleId="124">
    <w:name w:val="Figure Description Char"/>
    <w:link w:val="125"/>
    <w:uiPriority w:val="0"/>
    <w:rPr>
      <w:rFonts w:ascii="Arial" w:hAnsi="Arial" w:eastAsia="黑体" w:cs="Arial Narrow"/>
      <w:sz w:val="21"/>
      <w:szCs w:val="21"/>
      <w:lang w:val="en-US" w:eastAsia="zh-CN" w:bidi="ar-SA"/>
    </w:rPr>
  </w:style>
  <w:style w:type="paragraph" w:customStyle="1" w:styleId="125">
    <w:name w:val="Figure Description"/>
    <w:next w:val="1"/>
    <w:link w:val="124"/>
    <w:uiPriority w:val="0"/>
    <w:pPr>
      <w:keepNext/>
      <w:keepLines/>
      <w:numPr>
        <w:ilvl w:val="5"/>
        <w:numId w:val="5"/>
      </w:numPr>
      <w:spacing w:before="80" w:after="80" w:line="360" w:lineRule="auto"/>
      <w:ind w:left="842" w:hanging="422"/>
      <w:jc w:val="center"/>
    </w:pPr>
    <w:rPr>
      <w:rFonts w:ascii="Arial" w:hAnsi="Arial" w:eastAsia="黑体" w:cs="Arial Narrow"/>
      <w:sz w:val="21"/>
      <w:szCs w:val="21"/>
      <w:lang w:val="en-US" w:eastAsia="zh-CN" w:bidi="ar-SA"/>
    </w:rPr>
  </w:style>
  <w:style w:type="character" w:customStyle="1" w:styleId="126">
    <w:name w:val="正文（首行缩进） Char"/>
    <w:link w:val="127"/>
    <w:uiPriority w:val="0"/>
    <w:rPr>
      <w:spacing w:val="10"/>
      <w:sz w:val="24"/>
    </w:rPr>
  </w:style>
  <w:style w:type="paragraph" w:customStyle="1" w:styleId="127">
    <w:name w:val="正文（首行缩进）"/>
    <w:basedOn w:val="33"/>
    <w:link w:val="126"/>
    <w:uiPriority w:val="0"/>
    <w:pPr>
      <w:widowControl/>
      <w:tabs>
        <w:tab w:val="left" w:pos="840"/>
      </w:tabs>
      <w:overflowPunct w:val="0"/>
      <w:autoSpaceDE w:val="0"/>
      <w:autoSpaceDN w:val="0"/>
      <w:spacing w:before="156" w:beforeLines="50" w:after="120" w:afterLines="0" w:line="400" w:lineRule="exact"/>
      <w:ind w:left="200" w:leftChars="200" w:firstLine="200"/>
      <w:jc w:val="left"/>
      <w:textAlignment w:val="baseline"/>
    </w:pPr>
    <w:rPr>
      <w:rFonts w:ascii="Times New Roman" w:hAnsi="Times New Roman"/>
      <w:spacing w:val="10"/>
      <w:kern w:val="0"/>
      <w:szCs w:val="20"/>
    </w:rPr>
  </w:style>
  <w:style w:type="character" w:customStyle="1" w:styleId="128">
    <w:name w:val="gf正文1 Char"/>
    <w:uiPriority w:val="0"/>
    <w:rPr>
      <w:rFonts w:ascii="宋体" w:hAnsi="宋体" w:eastAsia="宋体" w:cs="宋体"/>
      <w:kern w:val="2"/>
      <w:sz w:val="24"/>
      <w:szCs w:val="24"/>
      <w:lang w:val="en-US" w:eastAsia="zh-CN" w:bidi="ar-SA"/>
    </w:rPr>
  </w:style>
  <w:style w:type="character" w:customStyle="1" w:styleId="129">
    <w:name w:val="表格 Char Char"/>
    <w:uiPriority w:val="0"/>
    <w:rPr>
      <w:rFonts w:ascii="宋体" w:hAnsi="宋体" w:eastAsia="宋体"/>
      <w:lang w:bidi="ar-SA"/>
    </w:rPr>
  </w:style>
  <w:style w:type="character" w:customStyle="1" w:styleId="130">
    <w:name w:val=" Char Char5"/>
    <w:uiPriority w:val="0"/>
    <w:rPr>
      <w:rFonts w:ascii="宋体" w:hAnsi="Courier New" w:eastAsia="宋体"/>
      <w:kern w:val="2"/>
      <w:sz w:val="21"/>
      <w:lang w:val="en-US" w:eastAsia="zh-CN"/>
    </w:rPr>
  </w:style>
  <w:style w:type="character" w:customStyle="1" w:styleId="131">
    <w:name w:val="正文文本缩进 Char"/>
    <w:uiPriority w:val="0"/>
    <w:rPr>
      <w:rFonts w:ascii="宋体" w:hAnsi="宋体"/>
      <w:kern w:val="2"/>
      <w:sz w:val="24"/>
      <w:szCs w:val="24"/>
    </w:rPr>
  </w:style>
  <w:style w:type="character" w:customStyle="1" w:styleId="132">
    <w:name w:val="标题 3 字符"/>
    <w:uiPriority w:val="0"/>
    <w:rPr>
      <w:rFonts w:ascii="仿宋" w:hAnsi="仿宋" w:eastAsia="宋体"/>
      <w:color w:val="4472C4"/>
      <w:kern w:val="2"/>
      <w:sz w:val="28"/>
      <w:szCs w:val="24"/>
    </w:rPr>
  </w:style>
  <w:style w:type="character" w:customStyle="1" w:styleId="133">
    <w:name w:val="标题 1 Char1"/>
    <w:uiPriority w:val="0"/>
    <w:rPr>
      <w:b/>
      <w:bCs/>
      <w:color w:val="000000"/>
    </w:rPr>
  </w:style>
  <w:style w:type="character" w:customStyle="1" w:styleId="134">
    <w:name w:val="正文缩进 Char"/>
    <w:uiPriority w:val="0"/>
    <w:rPr>
      <w:rFonts w:eastAsia="宋体"/>
      <w:kern w:val="2"/>
      <w:sz w:val="21"/>
      <w:lang w:val="en-US" w:eastAsia="zh-CN"/>
    </w:rPr>
  </w:style>
  <w:style w:type="character" w:customStyle="1" w:styleId="135">
    <w:name w:val="正文缩进 Char3"/>
    <w:uiPriority w:val="0"/>
    <w:rPr>
      <w:rFonts w:ascii="宋体" w:eastAsia="宋体"/>
      <w:snapToGrid w:val="0"/>
      <w:color w:val="000000"/>
      <w:kern w:val="28"/>
      <w:sz w:val="28"/>
      <w:lang w:val="en-US" w:eastAsia="zh-CN" w:bidi="ar-SA"/>
    </w:rPr>
  </w:style>
  <w:style w:type="character" w:customStyle="1" w:styleId="136">
    <w:name w:val="正文缩进 Char1"/>
    <w:aliases w:val="正文对齐 Char"/>
    <w:uiPriority w:val="0"/>
    <w:rPr>
      <w:rFonts w:ascii="宋体" w:eastAsia="宋体"/>
      <w:snapToGrid w:val="0"/>
      <w:color w:val="000000"/>
      <w:kern w:val="28"/>
      <w:sz w:val="28"/>
      <w:lang w:val="en-US" w:eastAsia="zh-CN" w:bidi="ar-SA"/>
    </w:rPr>
  </w:style>
  <w:style w:type="character" w:customStyle="1" w:styleId="137">
    <w:name w:val="标题 7 Char"/>
    <w:link w:val="8"/>
    <w:uiPriority w:val="0"/>
    <w:rPr>
      <w:b/>
      <w:bCs/>
      <w:kern w:val="2"/>
      <w:sz w:val="24"/>
      <w:szCs w:val="24"/>
    </w:rPr>
  </w:style>
  <w:style w:type="character" w:customStyle="1" w:styleId="138">
    <w:name w:val="Heading 7 Char"/>
    <w:uiPriority w:val="0"/>
    <w:rPr>
      <w:rFonts w:ascii="宋体" w:hAnsi="宋体" w:eastAsia="宋体"/>
      <w:b/>
      <w:bCs/>
      <w:kern w:val="2"/>
      <w:sz w:val="24"/>
      <w:szCs w:val="24"/>
      <w:lang w:val="en-US" w:eastAsia="zh-CN" w:bidi="ar-SA"/>
    </w:rPr>
  </w:style>
  <w:style w:type="character" w:customStyle="1" w:styleId="139">
    <w:name w:val="bookmark-item"/>
    <w:basedOn w:val="87"/>
    <w:qFormat/>
    <w:uiPriority w:val="0"/>
  </w:style>
  <w:style w:type="character" w:customStyle="1" w:styleId="140">
    <w:name w:val="标题 4 Char"/>
    <w:link w:val="5"/>
    <w:uiPriority w:val="0"/>
    <w:rPr>
      <w:rFonts w:ascii="Arial" w:hAnsi="Arial" w:eastAsia="黑体"/>
      <w:b/>
      <w:bCs/>
      <w:kern w:val="2"/>
      <w:sz w:val="28"/>
      <w:szCs w:val="28"/>
      <w:lang w:val="zh-CN"/>
    </w:rPr>
  </w:style>
  <w:style w:type="character" w:customStyle="1" w:styleId="141">
    <w:name w:val="正文2 Char Char"/>
    <w:link w:val="142"/>
    <w:uiPriority w:val="0"/>
    <w:rPr>
      <w:rFonts w:eastAsia="宋体"/>
      <w:kern w:val="2"/>
      <w:sz w:val="24"/>
      <w:lang w:val="en-US" w:eastAsia="zh-CN" w:bidi="ar-SA"/>
    </w:rPr>
  </w:style>
  <w:style w:type="paragraph" w:customStyle="1" w:styleId="142">
    <w:name w:val="正文2"/>
    <w:basedOn w:val="1"/>
    <w:link w:val="141"/>
    <w:qFormat/>
    <w:uiPriority w:val="0"/>
    <w:pPr>
      <w:spacing w:before="156" w:beforeLines="0" w:line="360" w:lineRule="auto"/>
      <w:ind w:firstLine="510" w:firstLineChars="200"/>
    </w:pPr>
    <w:rPr>
      <w:sz w:val="24"/>
      <w:szCs w:val="20"/>
    </w:rPr>
  </w:style>
  <w:style w:type="character" w:customStyle="1" w:styleId="143">
    <w:name w:val="apple-converted-space"/>
    <w:uiPriority w:val="0"/>
  </w:style>
  <w:style w:type="character" w:customStyle="1" w:styleId="144">
    <w:name w:val="Char Char6"/>
    <w:uiPriority w:val="0"/>
    <w:rPr>
      <w:rFonts w:eastAsia="宋体"/>
      <w:kern w:val="2"/>
      <w:sz w:val="21"/>
      <w:szCs w:val="24"/>
      <w:lang w:val="en-US" w:eastAsia="zh-CN" w:bidi="ar-SA"/>
    </w:rPr>
  </w:style>
  <w:style w:type="character" w:customStyle="1" w:styleId="145">
    <w:name w:val="表格(五号) Char"/>
    <w:link w:val="146"/>
    <w:uiPriority w:val="0"/>
    <w:rPr>
      <w:kern w:val="2"/>
      <w:sz w:val="21"/>
      <w:szCs w:val="24"/>
    </w:rPr>
  </w:style>
  <w:style w:type="paragraph" w:customStyle="1" w:styleId="146">
    <w:name w:val="表格(五号)"/>
    <w:basedOn w:val="1"/>
    <w:link w:val="145"/>
    <w:uiPriority w:val="0"/>
    <w:pPr>
      <w:adjustRightInd/>
      <w:snapToGrid w:val="0"/>
      <w:spacing w:before="60" w:beforeLines="0" w:after="60" w:afterLines="0"/>
      <w:ind w:left="11"/>
      <w:jc w:val="center"/>
    </w:pPr>
  </w:style>
  <w:style w:type="character" w:customStyle="1" w:styleId="147">
    <w:name w:val="冯 Char"/>
    <w:link w:val="148"/>
    <w:uiPriority w:val="0"/>
    <w:rPr>
      <w:rFonts w:ascii="宋体" w:hAnsi="宋体"/>
      <w:color w:val="000000"/>
      <w:sz w:val="24"/>
      <w:szCs w:val="24"/>
    </w:rPr>
  </w:style>
  <w:style w:type="paragraph" w:customStyle="1" w:styleId="148">
    <w:name w:val="冯"/>
    <w:basedOn w:val="1"/>
    <w:link w:val="147"/>
    <w:uiPriority w:val="0"/>
    <w:pPr>
      <w:widowControl/>
      <w:adjustRightInd/>
      <w:spacing w:line="360" w:lineRule="auto"/>
      <w:ind w:firstLine="480" w:firstLineChars="200"/>
    </w:pPr>
    <w:rPr>
      <w:rFonts w:ascii="宋体" w:hAnsi="宋体"/>
      <w:color w:val="000000"/>
      <w:kern w:val="0"/>
      <w:sz w:val="24"/>
    </w:rPr>
  </w:style>
  <w:style w:type="character" w:customStyle="1" w:styleId="149">
    <w:name w:val="样式5 Char"/>
    <w:uiPriority w:val="0"/>
    <w:rPr>
      <w:rFonts w:ascii="仿宋_GB2312" w:hAnsi="仿宋" w:eastAsia="仿宋_GB2312"/>
      <w:kern w:val="2"/>
      <w:sz w:val="24"/>
      <w:szCs w:val="24"/>
    </w:rPr>
  </w:style>
  <w:style w:type="character" w:customStyle="1" w:styleId="150">
    <w:name w:val="信息标题 Char"/>
    <w:link w:val="76"/>
    <w:uiPriority w:val="0"/>
    <w:rPr>
      <w:rFonts w:ascii="Arial" w:hAnsi="Arial" w:eastAsia="黑体" w:cs="Arial"/>
      <w:snapToGrid w:val="0"/>
      <w:color w:val="000000"/>
      <w:kern w:val="0"/>
      <w:sz w:val="24"/>
      <w:szCs w:val="24"/>
      <w:shd w:val="pct20" w:color="auto" w:fill="auto"/>
    </w:rPr>
  </w:style>
  <w:style w:type="character" w:customStyle="1" w:styleId="151">
    <w:name w:val="dectext1"/>
    <w:uiPriority w:val="0"/>
    <w:rPr>
      <w:rFonts w:ascii="宋体" w:hAnsi="宋体" w:eastAsia="宋体"/>
      <w:color w:val="333333"/>
      <w:sz w:val="21"/>
      <w:szCs w:val="21"/>
      <w:u w:val="none"/>
    </w:rPr>
  </w:style>
  <w:style w:type="character" w:customStyle="1" w:styleId="152">
    <w:name w:val="_正文段落 Char"/>
    <w:link w:val="153"/>
    <w:uiPriority w:val="0"/>
    <w:rPr>
      <w:rFonts w:ascii="宋体" w:hAnsi="宋体"/>
      <w:kern w:val="2"/>
      <w:sz w:val="24"/>
      <w:szCs w:val="24"/>
    </w:rPr>
  </w:style>
  <w:style w:type="paragraph" w:customStyle="1" w:styleId="153">
    <w:name w:val="_正文段落"/>
    <w:basedOn w:val="1"/>
    <w:link w:val="152"/>
    <w:uiPriority w:val="0"/>
    <w:pPr>
      <w:adjustRightInd/>
      <w:spacing w:before="46" w:beforeLines="15" w:after="46" w:afterLines="15" w:line="360" w:lineRule="auto"/>
      <w:ind w:firstLine="480" w:firstLineChars="200"/>
    </w:pPr>
    <w:rPr>
      <w:rFonts w:ascii="宋体" w:hAnsi="宋体"/>
      <w:sz w:val="24"/>
    </w:rPr>
  </w:style>
  <w:style w:type="character" w:customStyle="1" w:styleId="154">
    <w:name w:val="样式 宋体"/>
    <w:uiPriority w:val="0"/>
    <w:rPr>
      <w:rFonts w:ascii="宋体" w:hAnsi="宋体"/>
      <w:sz w:val="24"/>
    </w:rPr>
  </w:style>
  <w:style w:type="character" w:customStyle="1" w:styleId="155">
    <w:name w:val="Item Step Char"/>
    <w:link w:val="156"/>
    <w:uiPriority w:val="0"/>
    <w:rPr>
      <w:rFonts w:ascii="Arial" w:hAnsi="Arial" w:eastAsia="黑体" w:cs="Arial"/>
      <w:snapToGrid w:val="0"/>
      <w:kern w:val="0"/>
      <w:sz w:val="21"/>
      <w:szCs w:val="24"/>
      <w:lang w:eastAsia="en-US"/>
    </w:rPr>
  </w:style>
  <w:style w:type="paragraph" w:customStyle="1" w:styleId="156">
    <w:name w:val="Item Step"/>
    <w:basedOn w:val="1"/>
    <w:link w:val="155"/>
    <w:uiPriority w:val="0"/>
    <w:pPr>
      <w:widowControl/>
      <w:tabs>
        <w:tab w:val="left" w:pos="1134"/>
      </w:tabs>
      <w:adjustRightInd/>
      <w:spacing w:before="40" w:beforeLines="0" w:after="80" w:afterLines="0"/>
      <w:ind w:left="1134" w:hanging="510"/>
    </w:pPr>
    <w:rPr>
      <w:rFonts w:ascii="Arial" w:hAnsi="Arial" w:eastAsia="黑体"/>
      <w:snapToGrid w:val="0"/>
      <w:kern w:val="0"/>
      <w:lang w:eastAsia="en-US"/>
    </w:rPr>
  </w:style>
  <w:style w:type="character" w:customStyle="1" w:styleId="157">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158">
    <w:name w:val="h Char Char1"/>
    <w:uiPriority w:val="0"/>
    <w:rPr>
      <w:rFonts w:eastAsia="宋体"/>
      <w:kern w:val="2"/>
      <w:sz w:val="18"/>
      <w:szCs w:val="18"/>
      <w:lang w:val="en-US" w:eastAsia="zh-CN" w:bidi="ar-SA"/>
    </w:rPr>
  </w:style>
  <w:style w:type="character" w:customStyle="1" w:styleId="159">
    <w:name w:val="样式6 Char"/>
    <w:uiPriority w:val="0"/>
    <w:rPr>
      <w:rFonts w:ascii="仿宋_GB2312" w:hAnsi="宋体" w:eastAsia="仿宋_GB2312"/>
      <w:b/>
      <w:bCs/>
      <w:kern w:val="2"/>
      <w:sz w:val="24"/>
      <w:szCs w:val="24"/>
      <w:lang w:val="en-US" w:eastAsia="zh-CN" w:bidi="ar-SA"/>
    </w:rPr>
  </w:style>
  <w:style w:type="character" w:customStyle="1" w:styleId="160">
    <w:name w:val="font12gray1"/>
    <w:uiPriority w:val="0"/>
    <w:rPr>
      <w:rFonts w:ascii="仿宋_GB2312" w:eastAsia="微软雅黑"/>
      <w:b/>
      <w:spacing w:val="300"/>
      <w:kern w:val="2"/>
      <w:sz w:val="18"/>
      <w:szCs w:val="18"/>
      <w:lang w:val="en-US" w:eastAsia="zh-CN" w:bidi="ar-SA"/>
    </w:rPr>
  </w:style>
  <w:style w:type="character" w:customStyle="1" w:styleId="161">
    <w:name w:val="tw4winJump"/>
    <w:uiPriority w:val="0"/>
    <w:rPr>
      <w:rFonts w:ascii="Courier New" w:hAnsi="Courier New" w:cs="Courier New"/>
      <w:color w:val="008080"/>
      <w:lang/>
    </w:rPr>
  </w:style>
  <w:style w:type="character" w:customStyle="1" w:styleId="162">
    <w:name w:val="t21"/>
    <w:uiPriority w:val="0"/>
    <w:rPr>
      <w:rFonts w:ascii="仿宋_GB2312" w:eastAsia="微软雅黑"/>
      <w:b/>
      <w:kern w:val="2"/>
      <w:sz w:val="23"/>
      <w:szCs w:val="23"/>
      <w:lang w:val="en-US" w:eastAsia="zh-CN" w:bidi="ar-SA"/>
    </w:rPr>
  </w:style>
  <w:style w:type="character" w:customStyle="1" w:styleId="163">
    <w:name w:val="批注文字 Char1"/>
    <w:link w:val="26"/>
    <w:uiPriority w:val="0"/>
    <w:rPr>
      <w:kern w:val="2"/>
      <w:sz w:val="21"/>
      <w:szCs w:val="24"/>
    </w:rPr>
  </w:style>
  <w:style w:type="character" w:customStyle="1" w:styleId="164">
    <w:name w:val="Char Char12"/>
    <w:uiPriority w:val="0"/>
    <w:rPr>
      <w:rFonts w:ascii="仿宋_GB2312" w:eastAsia="仿宋_GB2312"/>
      <w:b/>
      <w:bCs/>
      <w:kern w:val="2"/>
      <w:sz w:val="24"/>
      <w:szCs w:val="24"/>
      <w:lang w:val="zh-CN" w:eastAsia="zh-CN" w:bidi="ar-SA"/>
    </w:rPr>
  </w:style>
  <w:style w:type="character" w:customStyle="1" w:styleId="165">
    <w:name w:val="批注文字 Char"/>
    <w:uiPriority w:val="0"/>
    <w:rPr>
      <w:kern w:val="2"/>
      <w:sz w:val="21"/>
      <w:szCs w:val="24"/>
    </w:rPr>
  </w:style>
  <w:style w:type="character" w:customStyle="1" w:styleId="166">
    <w:name w:val=" Char Char12"/>
    <w:uiPriority w:val="0"/>
    <w:rPr>
      <w:rFonts w:ascii="仿宋_GB2312" w:eastAsia="仿宋_GB2312"/>
      <w:b/>
      <w:bCs/>
      <w:kern w:val="2"/>
      <w:sz w:val="24"/>
      <w:szCs w:val="24"/>
      <w:lang w:val="zh-CN" w:eastAsia="zh-CN" w:bidi="ar-SA"/>
    </w:rPr>
  </w:style>
  <w:style w:type="character" w:customStyle="1" w:styleId="167">
    <w:name w:val="tw4winTerm"/>
    <w:uiPriority w:val="0"/>
    <w:rPr>
      <w:color w:val="0000FF"/>
    </w:rPr>
  </w:style>
  <w:style w:type="character" w:customStyle="1" w:styleId="168">
    <w:name w:val="正文 项目 Char"/>
    <w:uiPriority w:val="0"/>
    <w:rPr>
      <w:rFonts w:ascii="仿宋_GB2312" w:hAnsi="仿宋_GB2312" w:eastAsia="仿宋_GB2312"/>
      <w:kern w:val="2"/>
      <w:sz w:val="24"/>
      <w:lang w:bidi="ar-SA"/>
    </w:rPr>
  </w:style>
  <w:style w:type="character" w:customStyle="1" w:styleId="169">
    <w:name w:val="big1"/>
    <w:uiPriority w:val="0"/>
    <w:rPr>
      <w:rFonts w:hint="eastAsia" w:ascii="宋体" w:hAnsi="宋体" w:eastAsia="宋体"/>
      <w:color w:val="333333"/>
      <w:sz w:val="22"/>
      <w:szCs w:val="22"/>
    </w:rPr>
  </w:style>
  <w:style w:type="character" w:customStyle="1" w:styleId="170">
    <w:name w:val="Bold"/>
    <w:aliases w:val="b"/>
    <w:uiPriority w:val="0"/>
    <w:rPr>
      <w:rFonts w:ascii="Arial" w:hAnsi="Arial" w:eastAsia="黑体" w:cs="Times New Roman"/>
      <w:b/>
      <w:kern w:val="2"/>
      <w:sz w:val="32"/>
      <w:szCs w:val="32"/>
      <w:lang w:val="en-US" w:eastAsia="zh-CN" w:bidi="ar-SA"/>
    </w:rPr>
  </w:style>
  <w:style w:type="character" w:customStyle="1" w:styleId="171">
    <w:name w:val="Char Char3"/>
    <w:uiPriority w:val="0"/>
    <w:rPr>
      <w:rFonts w:ascii="Times New Roman" w:hAnsi="Times New Roman" w:eastAsia="宋体" w:cs="Times New Roman"/>
      <w:b/>
      <w:kern w:val="2"/>
      <w:sz w:val="32"/>
      <w:szCs w:val="24"/>
      <w:lang w:val="en-US" w:eastAsia="zh-CN" w:bidi="ar-SA"/>
    </w:rPr>
  </w:style>
  <w:style w:type="character" w:customStyle="1" w:styleId="172">
    <w:name w:val="Body Text(ch) Char Char"/>
    <w:uiPriority w:val="0"/>
    <w:rPr>
      <w:rFonts w:ascii="宋体"/>
      <w:kern w:val="2"/>
      <w:sz w:val="24"/>
      <w:szCs w:val="21"/>
      <w:lang w:val="zh-CN"/>
    </w:rPr>
  </w:style>
  <w:style w:type="character" w:customStyle="1" w:styleId="173">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174">
    <w:name w:val="highlight1"/>
    <w:uiPriority w:val="0"/>
    <w:rPr>
      <w:rFonts w:ascii="仿宋_GB2312" w:eastAsia="微软雅黑"/>
      <w:b/>
      <w:kern w:val="2"/>
      <w:sz w:val="23"/>
      <w:szCs w:val="23"/>
      <w:lang w:val="en-US" w:eastAsia="zh-CN" w:bidi="ar-SA"/>
    </w:rPr>
  </w:style>
  <w:style w:type="character" w:customStyle="1" w:styleId="175">
    <w:name w:val="tw4winMark"/>
    <w:uiPriority w:val="0"/>
    <w:rPr>
      <w:rFonts w:ascii="Courier New" w:hAnsi="Courier New" w:cs="Courier New"/>
      <w:vanish/>
      <w:color w:val="800080"/>
      <w:sz w:val="24"/>
      <w:szCs w:val="24"/>
      <w:vertAlign w:val="subscript"/>
    </w:rPr>
  </w:style>
  <w:style w:type="character" w:customStyle="1" w:styleId="176">
    <w:name w:val="标准正文格式 Char"/>
    <w:uiPriority w:val="0"/>
    <w:rPr>
      <w:rFonts w:ascii="宋体" w:eastAsia="仿宋_GB2312" w:cs="宋体"/>
      <w:color w:val="000000"/>
      <w:sz w:val="24"/>
      <w:lang w:val="en-US" w:eastAsia="zh-CN" w:bidi="ar-SA"/>
    </w:rPr>
  </w:style>
  <w:style w:type="character" w:customStyle="1" w:styleId="177">
    <w:name w:val=" Char Char2"/>
    <w:uiPriority w:val="0"/>
    <w:rPr>
      <w:rFonts w:eastAsia="宋体"/>
      <w:b/>
      <w:bCs/>
      <w:kern w:val="2"/>
      <w:sz w:val="21"/>
      <w:szCs w:val="24"/>
      <w:lang w:val="en-US" w:eastAsia="zh-CN" w:bidi="ar-SA"/>
    </w:rPr>
  </w:style>
  <w:style w:type="character" w:customStyle="1" w:styleId="178">
    <w:name w:val="标书表格字体格式 Char"/>
    <w:uiPriority w:val="0"/>
    <w:rPr>
      <w:kern w:val="2"/>
      <w:sz w:val="21"/>
      <w:szCs w:val="24"/>
      <w:lang w:bidi="ar-SA"/>
    </w:rPr>
  </w:style>
  <w:style w:type="character" w:customStyle="1" w:styleId="179">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80">
    <w:name w:val="dandyren_title1"/>
    <w:uiPriority w:val="0"/>
    <w:rPr>
      <w:b/>
      <w:bCs/>
      <w:color w:val="FF6633"/>
      <w:sz w:val="18"/>
      <w:szCs w:val="18"/>
    </w:rPr>
  </w:style>
  <w:style w:type="character" w:customStyle="1" w:styleId="181">
    <w:name w:val="链接"/>
    <w:uiPriority w:val="0"/>
    <w:rPr>
      <w:color w:val="0000FF"/>
      <w:sz w:val="21"/>
      <w:szCs w:val="21"/>
      <w:u w:val="single"/>
    </w:rPr>
  </w:style>
  <w:style w:type="character" w:customStyle="1" w:styleId="182">
    <w:name w:val="Comment Text Char"/>
    <w:uiPriority w:val="0"/>
    <w:rPr>
      <w:rFonts w:ascii="宋体" w:hAnsi="宋体" w:eastAsia="宋体"/>
      <w:kern w:val="2"/>
      <w:sz w:val="24"/>
      <w:lang w:val="en-US" w:eastAsia="zh-CN" w:bidi="ar-SA"/>
    </w:rPr>
  </w:style>
  <w:style w:type="character" w:customStyle="1" w:styleId="183">
    <w:name w:val="标题 1 Char Char"/>
    <w:uiPriority w:val="0"/>
    <w:rPr>
      <w:rFonts w:hint="eastAsia" w:ascii="宋体" w:hAnsi="宋体" w:eastAsia="宋体"/>
      <w:b/>
      <w:spacing w:val="-2"/>
      <w:sz w:val="24"/>
      <w:lang w:val="en-US" w:eastAsia="zh-CN" w:bidi="ar-SA"/>
    </w:rPr>
  </w:style>
  <w:style w:type="character" w:customStyle="1" w:styleId="184">
    <w:name w:val="正文首行缩进 2 Char"/>
    <w:link w:val="84"/>
    <w:uiPriority w:val="0"/>
    <w:rPr>
      <w:rFonts w:ascii="宋体" w:hAnsi="宋体"/>
      <w:kern w:val="2"/>
      <w:sz w:val="21"/>
      <w:szCs w:val="24"/>
    </w:rPr>
  </w:style>
  <w:style w:type="character" w:customStyle="1" w:styleId="185">
    <w:name w:val="正文首行缩进 Char"/>
    <w:link w:val="83"/>
    <w:uiPriority w:val="0"/>
    <w:rPr>
      <w:rFonts w:ascii="宋体"/>
      <w:kern w:val="2"/>
      <w:sz w:val="24"/>
      <w:lang w:val="zh-CN"/>
    </w:rPr>
  </w:style>
  <w:style w:type="character" w:customStyle="1" w:styleId="186">
    <w:name w:val="style36"/>
    <w:basedOn w:val="87"/>
    <w:uiPriority w:val="0"/>
  </w:style>
  <w:style w:type="character" w:customStyle="1" w:styleId="187">
    <w:name w:val="页眉 Char"/>
    <w:aliases w:val="页眉2 Char,Ò³Ã¼ Char,header odd Char,居中页眉 Char"/>
    <w:uiPriority w:val="0"/>
    <w:rPr>
      <w:rFonts w:eastAsia="仿宋_GB2312"/>
      <w:kern w:val="2"/>
      <w:sz w:val="18"/>
      <w:lang w:val="en-US" w:eastAsia="zh-CN"/>
    </w:rPr>
  </w:style>
  <w:style w:type="character" w:customStyle="1" w:styleId="188">
    <w:name w:val="FA正文 Char Char"/>
    <w:uiPriority w:val="0"/>
    <w:rPr>
      <w:rFonts w:hAnsi="宋体"/>
      <w:kern w:val="2"/>
      <w:sz w:val="24"/>
      <w:lang w:bidi="ar-SA"/>
    </w:rPr>
  </w:style>
  <w:style w:type="character" w:customStyle="1" w:styleId="189">
    <w:name w:val="正文缩进 Char2"/>
    <w:link w:val="19"/>
    <w:uiPriority w:val="0"/>
    <w:rPr>
      <w:rFonts w:ascii="宋体" w:eastAsia="宋体"/>
      <w:snapToGrid w:val="0"/>
      <w:color w:val="000000"/>
      <w:kern w:val="28"/>
      <w:sz w:val="28"/>
      <w:lang w:val="en-US" w:eastAsia="zh-CN" w:bidi="ar-SA"/>
    </w:rPr>
  </w:style>
  <w:style w:type="character" w:customStyle="1" w:styleId="190">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91">
    <w:name w:val="Footer Char"/>
    <w:uiPriority w:val="0"/>
    <w:rPr>
      <w:rFonts w:eastAsia="宋体"/>
      <w:kern w:val="2"/>
      <w:sz w:val="18"/>
      <w:lang w:val="en-US" w:eastAsia="zh-CN" w:bidi="ar-SA"/>
    </w:rPr>
  </w:style>
  <w:style w:type="character" w:customStyle="1" w:styleId="192">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193">
    <w:name w:val="Char Char8"/>
    <w:uiPriority w:val="0"/>
    <w:rPr>
      <w:rFonts w:eastAsia="宋体"/>
      <w:b/>
      <w:sz w:val="24"/>
      <w:lang w:val="en-GB" w:eastAsia="zh-CN"/>
    </w:rPr>
  </w:style>
  <w:style w:type="character" w:customStyle="1" w:styleId="194">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95">
    <w:name w:val="Ò³Ã¼ Char Char"/>
    <w:uiPriority w:val="0"/>
    <w:rPr>
      <w:rFonts w:eastAsia="宋体"/>
      <w:kern w:val="2"/>
      <w:sz w:val="18"/>
      <w:lang w:val="en-US" w:eastAsia="zh-CN" w:bidi="ar-SA"/>
    </w:rPr>
  </w:style>
  <w:style w:type="character" w:customStyle="1" w:styleId="196">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197">
    <w:name w:val="unnamed11"/>
    <w:uiPriority w:val="0"/>
    <w:rPr>
      <w:sz w:val="20"/>
      <w:szCs w:val="20"/>
    </w:rPr>
  </w:style>
  <w:style w:type="character" w:customStyle="1" w:styleId="198">
    <w:name w:val="日期 Char"/>
    <w:link w:val="48"/>
    <w:uiPriority w:val="0"/>
    <w:rPr>
      <w:rFonts w:ascii="宋体"/>
      <w:kern w:val="2"/>
      <w:sz w:val="24"/>
      <w:szCs w:val="21"/>
      <w:lang w:val="zh-CN"/>
    </w:rPr>
  </w:style>
  <w:style w:type="character" w:customStyle="1" w:styleId="199">
    <w:name w:val="solutionfonts"/>
    <w:uiPriority w:val="0"/>
  </w:style>
  <w:style w:type="character" w:customStyle="1" w:styleId="200">
    <w:name w:val="正文文本缩进 Char1"/>
    <w:link w:val="33"/>
    <w:uiPriority w:val="0"/>
    <w:rPr>
      <w:rFonts w:ascii="宋体" w:hAnsi="宋体"/>
      <w:kern w:val="2"/>
      <w:sz w:val="24"/>
      <w:szCs w:val="24"/>
    </w:rPr>
  </w:style>
  <w:style w:type="character" w:customStyle="1" w:styleId="201">
    <w:name w:val="font31"/>
    <w:uiPriority w:val="0"/>
    <w:rPr>
      <w:rFonts w:hint="eastAsia" w:ascii="微软雅黑" w:hAnsi="微软雅黑" w:eastAsia="微软雅黑" w:cs="微软雅黑"/>
      <w:snapToGrid w:val="0"/>
      <w:color w:val="000000"/>
      <w:kern w:val="0"/>
      <w:sz w:val="22"/>
      <w:szCs w:val="22"/>
      <w:u w:val="none"/>
    </w:rPr>
  </w:style>
  <w:style w:type="character" w:customStyle="1" w:styleId="202">
    <w:name w:val="标题4-dyf Char"/>
    <w:link w:val="203"/>
    <w:uiPriority w:val="0"/>
    <w:rPr>
      <w:rFonts w:ascii="Cambria" w:hAnsi="Cambria"/>
      <w:b/>
      <w:bCs/>
      <w:color w:val="000000"/>
      <w:kern w:val="2"/>
      <w:sz w:val="21"/>
      <w:szCs w:val="21"/>
    </w:rPr>
  </w:style>
  <w:style w:type="paragraph" w:customStyle="1" w:styleId="203">
    <w:name w:val="标题4-dyf"/>
    <w:basedOn w:val="5"/>
    <w:link w:val="202"/>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04">
    <w:name w:val="标题 4 Char1"/>
    <w:uiPriority w:val="0"/>
    <w:rPr>
      <w:rFonts w:ascii="Cambria" w:hAnsi="Cambria" w:eastAsia="宋体" w:cs="Times New Roman"/>
      <w:b/>
      <w:bCs/>
      <w:kern w:val="2"/>
      <w:sz w:val="28"/>
      <w:szCs w:val="28"/>
    </w:rPr>
  </w:style>
  <w:style w:type="character" w:customStyle="1" w:styleId="205">
    <w:name w:val="标题 9 Char"/>
    <w:link w:val="10"/>
    <w:uiPriority w:val="0"/>
    <w:rPr>
      <w:rFonts w:ascii="Arial" w:hAnsi="Arial" w:eastAsia="黑体"/>
      <w:kern w:val="2"/>
      <w:sz w:val="21"/>
      <w:szCs w:val="21"/>
    </w:rPr>
  </w:style>
  <w:style w:type="character" w:customStyle="1" w:styleId="206">
    <w:name w:val="tw4winPopup"/>
    <w:uiPriority w:val="0"/>
    <w:rPr>
      <w:rFonts w:ascii="Courier New" w:hAnsi="Courier New" w:cs="Courier New"/>
      <w:color w:val="008000"/>
      <w:lang/>
    </w:rPr>
  </w:style>
  <w:style w:type="character" w:customStyle="1" w:styleId="207">
    <w:name w:val="页脚 Char1"/>
    <w:uiPriority w:val="0"/>
    <w:rPr>
      <w:rFonts w:eastAsia="宋体"/>
      <w:kern w:val="2"/>
      <w:sz w:val="18"/>
      <w:szCs w:val="18"/>
      <w:lang w:val="en-US" w:eastAsia="zh-CN" w:bidi="ar-SA"/>
    </w:rPr>
  </w:style>
  <w:style w:type="character" w:customStyle="1" w:styleId="208">
    <w:name w:val="标题 5 Char"/>
    <w:link w:val="6"/>
    <w:uiPriority w:val="0"/>
    <w:rPr>
      <w:b/>
      <w:bCs/>
      <w:kern w:val="2"/>
      <w:sz w:val="28"/>
      <w:szCs w:val="28"/>
    </w:rPr>
  </w:style>
  <w:style w:type="character" w:customStyle="1" w:styleId="209">
    <w:name w:val="注释标题 Char"/>
    <w:link w:val="14"/>
    <w:uiPriority w:val="0"/>
    <w:rPr>
      <w:rFonts w:ascii="Arial" w:hAnsi="Arial" w:eastAsia="黑体" w:cs="Arial"/>
      <w:snapToGrid w:val="0"/>
      <w:color w:val="000000"/>
      <w:kern w:val="0"/>
      <w:sz w:val="24"/>
      <w:szCs w:val="21"/>
    </w:rPr>
  </w:style>
  <w:style w:type="character" w:customStyle="1" w:styleId="210">
    <w:name w:val="正文文本 2 Char"/>
    <w:uiPriority w:val="0"/>
    <w:rPr>
      <w:rFonts w:eastAsia="宋体"/>
      <w:kern w:val="2"/>
      <w:sz w:val="21"/>
      <w:szCs w:val="24"/>
      <w:lang w:val="en-US" w:eastAsia="zh-CN" w:bidi="ar-SA"/>
    </w:rPr>
  </w:style>
  <w:style w:type="character" w:customStyle="1" w:styleId="211">
    <w:name w:val="正文文本缩进 3 Char"/>
    <w:link w:val="67"/>
    <w:uiPriority w:val="0"/>
    <w:rPr>
      <w:kern w:val="2"/>
      <w:sz w:val="24"/>
    </w:rPr>
  </w:style>
  <w:style w:type="character" w:customStyle="1" w:styleId="212">
    <w:name w:val="px14"/>
    <w:uiPriority w:val="0"/>
    <w:rPr>
      <w:rFonts w:ascii="仿宋_GB2312" w:eastAsia="微软雅黑" w:cs="Times New Roman"/>
      <w:b/>
      <w:kern w:val="2"/>
      <w:sz w:val="32"/>
      <w:szCs w:val="32"/>
      <w:lang w:val="en-US" w:eastAsia="zh-CN" w:bidi="ar-SA"/>
    </w:rPr>
  </w:style>
  <w:style w:type="character" w:customStyle="1" w:styleId="213">
    <w:name w:val="哈哈正文 Char"/>
    <w:link w:val="214"/>
    <w:uiPriority w:val="0"/>
    <w:rPr>
      <w:rFonts w:ascii="宋体" w:hAnsi="宋体" w:eastAsia="宋体"/>
      <w:kern w:val="2"/>
      <w:sz w:val="24"/>
      <w:lang w:bidi="ar-SA"/>
    </w:rPr>
  </w:style>
  <w:style w:type="paragraph" w:customStyle="1" w:styleId="214">
    <w:name w:val="哈哈正文"/>
    <w:basedOn w:val="1"/>
    <w:link w:val="213"/>
    <w:uiPriority w:val="0"/>
    <w:pPr>
      <w:adjustRightInd/>
      <w:spacing w:line="360" w:lineRule="auto"/>
      <w:ind w:firstLine="200" w:firstLineChars="200"/>
    </w:pPr>
    <w:rPr>
      <w:rFonts w:ascii="宋体" w:hAnsi="宋体"/>
      <w:sz w:val="24"/>
      <w:szCs w:val="20"/>
    </w:rPr>
  </w:style>
  <w:style w:type="character" w:customStyle="1" w:styleId="215">
    <w:name w:val="Item List Char Char"/>
    <w:uiPriority w:val="0"/>
    <w:rPr>
      <w:rFonts w:ascii="Arial" w:hAnsi="Arial" w:eastAsia="黑体" w:cs="Arial"/>
      <w:bCs/>
      <w:snapToGrid w:val="0"/>
      <w:kern w:val="0"/>
      <w:sz w:val="21"/>
      <w:szCs w:val="21"/>
    </w:rPr>
  </w:style>
  <w:style w:type="character" w:customStyle="1" w:styleId="216">
    <w:name w:val="Char Char4"/>
    <w:uiPriority w:val="0"/>
    <w:rPr>
      <w:rFonts w:eastAsia="宋体"/>
      <w:b/>
      <w:sz w:val="24"/>
      <w:lang w:val="en-GB" w:eastAsia="zh-CN" w:bidi="ar-SA"/>
    </w:rPr>
  </w:style>
  <w:style w:type="character" w:customStyle="1" w:styleId="217">
    <w:name w:val=" Char Char7"/>
    <w:uiPriority w:val="0"/>
    <w:rPr>
      <w:rFonts w:eastAsia="宋体"/>
      <w:kern w:val="2"/>
      <w:sz w:val="21"/>
      <w:szCs w:val="24"/>
      <w:lang w:val="en-US" w:eastAsia="zh-CN" w:bidi="ar-SA"/>
    </w:rPr>
  </w:style>
  <w:style w:type="character" w:customStyle="1" w:styleId="218">
    <w:name w:val="结束语 Char"/>
    <w:link w:val="30"/>
    <w:uiPriority w:val="0"/>
    <w:rPr>
      <w:rFonts w:ascii="Arial" w:hAnsi="Arial" w:eastAsia="黑体" w:cs="Arial"/>
      <w:snapToGrid w:val="0"/>
      <w:color w:val="000000"/>
      <w:kern w:val="0"/>
      <w:sz w:val="24"/>
      <w:szCs w:val="21"/>
    </w:rPr>
  </w:style>
  <w:style w:type="character" w:customStyle="1" w:styleId="219">
    <w:name w:val="标题 Char"/>
    <w:uiPriority w:val="0"/>
    <w:rPr>
      <w:rFonts w:eastAsia="宋体"/>
      <w:b/>
      <w:sz w:val="24"/>
      <w:lang w:val="en-GB" w:eastAsia="zh-CN" w:bidi="ar-SA"/>
    </w:rPr>
  </w:style>
  <w:style w:type="character" w:customStyle="1" w:styleId="220">
    <w:name w:val="message1"/>
    <w:uiPriority w:val="0"/>
    <w:rPr>
      <w:rFonts w:hint="default" w:ascii="Tahoma" w:hAnsi="Tahoma" w:cs="Tahoma"/>
      <w:sz w:val="18"/>
      <w:szCs w:val="18"/>
    </w:rPr>
  </w:style>
  <w:style w:type="character" w:customStyle="1" w:styleId="221">
    <w:name w:val="正文 项目2 Char"/>
    <w:basedOn w:val="168"/>
    <w:uiPriority w:val="0"/>
  </w:style>
  <w:style w:type="character" w:customStyle="1" w:styleId="222">
    <w:name w:val="样式2 Char"/>
    <w:uiPriority w:val="0"/>
    <w:rPr>
      <w:rFonts w:ascii="仿宋_GB2312" w:hAnsi="仿宋" w:eastAsia="仿宋_GB2312" w:cs="仿宋_GB2312"/>
      <w:b/>
      <w:bCs/>
      <w:sz w:val="32"/>
      <w:szCs w:val="30"/>
      <w:lang w:val="zh-CN"/>
    </w:rPr>
  </w:style>
  <w:style w:type="character" w:customStyle="1" w:styleId="223">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24">
    <w:name w:val=" Char Char8"/>
    <w:uiPriority w:val="0"/>
    <w:rPr>
      <w:rFonts w:eastAsia="宋体"/>
      <w:b/>
      <w:sz w:val="24"/>
      <w:lang w:val="en-GB" w:eastAsia="zh-CN"/>
    </w:rPr>
  </w:style>
  <w:style w:type="character" w:customStyle="1" w:styleId="225">
    <w:name w:val="文档正文 Char Char Char"/>
    <w:uiPriority w:val="0"/>
    <w:rPr>
      <w:rFonts w:eastAsia="宋体"/>
      <w:sz w:val="24"/>
      <w:szCs w:val="28"/>
      <w:lang w:val="en-US" w:eastAsia="zh-CN" w:bidi="ar-SA"/>
    </w:rPr>
  </w:style>
  <w:style w:type="character" w:customStyle="1" w:styleId="226">
    <w:name w:val="样式8 Char"/>
    <w:uiPriority w:val="0"/>
    <w:rPr>
      <w:rFonts w:ascii="仿宋_GB2312" w:hAnsi="宋体" w:eastAsia="仿宋_GB2312"/>
      <w:b/>
      <w:bCs/>
      <w:kern w:val="2"/>
      <w:sz w:val="24"/>
      <w:szCs w:val="24"/>
    </w:rPr>
  </w:style>
  <w:style w:type="character" w:customStyle="1" w:styleId="227">
    <w:name w:val="副标题 Char"/>
    <w:link w:val="61"/>
    <w:uiPriority w:val="0"/>
    <w:rPr>
      <w:rFonts w:ascii="Arial" w:hAnsi="Arial" w:eastAsia="隶书"/>
      <w:b/>
      <w:bCs/>
      <w:kern w:val="28"/>
      <w:sz w:val="44"/>
      <w:szCs w:val="32"/>
      <w:lang w:val="en-US" w:eastAsia="zh-CN" w:bidi="ar-SA"/>
    </w:rPr>
  </w:style>
  <w:style w:type="character" w:customStyle="1" w:styleId="228">
    <w:name w:val="Ò³Ã¼ Char Char1"/>
    <w:uiPriority w:val="0"/>
    <w:rPr>
      <w:rFonts w:eastAsia="宋体"/>
      <w:kern w:val="2"/>
      <w:sz w:val="18"/>
      <w:szCs w:val="18"/>
      <w:lang w:val="en-US" w:eastAsia="zh-CN" w:bidi="ar-SA"/>
    </w:rPr>
  </w:style>
  <w:style w:type="character" w:customStyle="1" w:styleId="229">
    <w:name w:val="b11_01b Char"/>
    <w:link w:val="230"/>
    <w:uiPriority w:val="0"/>
    <w:rPr>
      <w:rFonts w:ascii="Verdana" w:hAnsi="Verdana"/>
      <w:b/>
      <w:bCs/>
      <w:color w:val="4A82CA"/>
      <w:sz w:val="17"/>
      <w:szCs w:val="17"/>
    </w:rPr>
  </w:style>
  <w:style w:type="paragraph" w:customStyle="1" w:styleId="230">
    <w:name w:val="b11_01b"/>
    <w:basedOn w:val="1"/>
    <w:next w:val="1"/>
    <w:link w:val="229"/>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231">
    <w:name w:val=" Char Char6"/>
    <w:uiPriority w:val="0"/>
    <w:rPr>
      <w:rFonts w:eastAsia="宋体"/>
      <w:kern w:val="2"/>
      <w:sz w:val="21"/>
      <w:szCs w:val="24"/>
      <w:lang w:val="en-US" w:eastAsia="zh-CN" w:bidi="ar-SA"/>
    </w:rPr>
  </w:style>
  <w:style w:type="character" w:customStyle="1" w:styleId="232">
    <w:name w:val="表格标题(居中) Char"/>
    <w:link w:val="233"/>
    <w:uiPriority w:val="0"/>
    <w:rPr>
      <w:rFonts w:eastAsia="黑体"/>
      <w:kern w:val="2"/>
      <w:sz w:val="24"/>
      <w:szCs w:val="24"/>
    </w:rPr>
  </w:style>
  <w:style w:type="paragraph" w:customStyle="1" w:styleId="233">
    <w:name w:val="表格标题(居中)"/>
    <w:basedOn w:val="1"/>
    <w:link w:val="232"/>
    <w:uiPriority w:val="0"/>
    <w:pPr>
      <w:adjustRightInd/>
      <w:snapToGrid w:val="0"/>
      <w:jc w:val="center"/>
    </w:pPr>
    <w:rPr>
      <w:rFonts w:eastAsia="黑体"/>
      <w:sz w:val="24"/>
    </w:rPr>
  </w:style>
  <w:style w:type="character" w:customStyle="1" w:styleId="234">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235">
    <w:name w:val="表格非标题文字 Char"/>
    <w:link w:val="236"/>
    <w:uiPriority w:val="0"/>
    <w:rPr>
      <w:rFonts w:ascii="Futura Bk" w:hAnsi="Futura Bk"/>
      <w:kern w:val="2"/>
      <w:sz w:val="18"/>
      <w:szCs w:val="21"/>
      <w:lang w:val="en-US" w:eastAsia="zh-CN" w:bidi="ar-SA"/>
    </w:rPr>
  </w:style>
  <w:style w:type="paragraph" w:customStyle="1" w:styleId="236">
    <w:name w:val="表格非标题文字"/>
    <w:link w:val="235"/>
    <w:uiPriority w:val="0"/>
    <w:pPr>
      <w:snapToGrid w:val="0"/>
      <w:spacing w:before="80" w:after="40"/>
    </w:pPr>
    <w:rPr>
      <w:rFonts w:ascii="Futura Bk" w:hAnsi="Futura Bk"/>
      <w:kern w:val="2"/>
      <w:sz w:val="18"/>
      <w:szCs w:val="21"/>
      <w:lang w:val="en-US" w:eastAsia="zh-CN" w:bidi="ar-SA"/>
    </w:rPr>
  </w:style>
  <w:style w:type="character" w:customStyle="1" w:styleId="237">
    <w:name w:val=" Char Char4"/>
    <w:uiPriority w:val="0"/>
    <w:rPr>
      <w:rFonts w:eastAsia="宋体"/>
      <w:b/>
      <w:sz w:val="24"/>
      <w:lang w:val="en-GB" w:eastAsia="zh-CN" w:bidi="ar-SA"/>
    </w:rPr>
  </w:style>
  <w:style w:type="character" w:customStyle="1" w:styleId="238">
    <w:name w:val="mdeck"/>
    <w:uiPriority w:val="0"/>
    <w:rPr>
      <w:rFonts w:ascii="仿宋_GB2312" w:eastAsia="微软雅黑"/>
      <w:b/>
      <w:kern w:val="2"/>
      <w:sz w:val="32"/>
      <w:szCs w:val="32"/>
      <w:lang w:val="en-US" w:eastAsia="zh-CN" w:bidi="ar-SA"/>
    </w:rPr>
  </w:style>
  <w:style w:type="character" w:customStyle="1" w:styleId="239">
    <w:name w:val="tw4winError"/>
    <w:uiPriority w:val="0"/>
    <w:rPr>
      <w:rFonts w:ascii="Courier New" w:hAnsi="Courier New" w:cs="Courier New"/>
      <w:color w:val="00FF00"/>
      <w:sz w:val="40"/>
      <w:szCs w:val="40"/>
    </w:rPr>
  </w:style>
  <w:style w:type="character" w:customStyle="1" w:styleId="240">
    <w:name w:val="公文正文 Char"/>
    <w:uiPriority w:val="0"/>
    <w:rPr>
      <w:rFonts w:ascii="仿宋_GB2312" w:eastAsia="仿宋_GB2312"/>
      <w:kern w:val="2"/>
      <w:sz w:val="24"/>
      <w:szCs w:val="24"/>
      <w:lang w:val="en-US" w:eastAsia="zh-CN" w:bidi="ar-SA"/>
    </w:rPr>
  </w:style>
  <w:style w:type="character" w:customStyle="1" w:styleId="241">
    <w:name w:val="pt141"/>
    <w:uiPriority w:val="0"/>
    <w:rPr>
      <w:color w:val="330066"/>
      <w:sz w:val="22"/>
      <w:szCs w:val="22"/>
    </w:rPr>
  </w:style>
  <w:style w:type="character" w:customStyle="1" w:styleId="242">
    <w:name w:val="unnamed31"/>
    <w:uiPriority w:val="0"/>
    <w:rPr>
      <w:rFonts w:ascii="Tahoma" w:hAnsi="Tahoma" w:eastAsia="宋体"/>
      <w:b/>
      <w:kern w:val="2"/>
      <w:sz w:val="24"/>
      <w:szCs w:val="32"/>
      <w:u w:val="none"/>
      <w:lang w:val="en-US" w:eastAsia="zh-CN" w:bidi="ar-SA"/>
    </w:rPr>
  </w:style>
  <w:style w:type="character" w:customStyle="1" w:styleId="243">
    <w:name w:val="纯文本 Char1"/>
    <w:link w:val="244"/>
    <w:qFormat/>
    <w:uiPriority w:val="0"/>
    <w:rPr>
      <w:rFonts w:ascii="宋体" w:hAnsi="Courier New"/>
    </w:rPr>
  </w:style>
  <w:style w:type="paragraph" w:customStyle="1" w:styleId="244">
    <w:name w:val="纯文本1"/>
    <w:basedOn w:val="1"/>
    <w:link w:val="243"/>
    <w:uiPriority w:val="0"/>
    <w:pPr>
      <w:adjustRightInd/>
    </w:pPr>
    <w:rPr>
      <w:rFonts w:ascii="宋体" w:hAnsi="Courier New"/>
      <w:kern w:val="0"/>
      <w:sz w:val="20"/>
      <w:szCs w:val="20"/>
    </w:rPr>
  </w:style>
  <w:style w:type="character" w:customStyle="1" w:styleId="245">
    <w:name w:val="Footer-Even Char1"/>
    <w:aliases w:val="FtrF Char Char1"/>
    <w:uiPriority w:val="0"/>
    <w:rPr>
      <w:rFonts w:eastAsia="宋体"/>
      <w:kern w:val="2"/>
      <w:sz w:val="18"/>
      <w:szCs w:val="18"/>
      <w:lang w:val="en-US" w:eastAsia="zh-CN" w:bidi="ar-SA"/>
    </w:rPr>
  </w:style>
  <w:style w:type="character" w:customStyle="1" w:styleId="246">
    <w:name w:val=" Char Char"/>
    <w:uiPriority w:val="0"/>
    <w:rPr>
      <w:rFonts w:ascii="宋体" w:hAnsi="Courier New" w:eastAsia="宋体"/>
      <w:kern w:val="2"/>
      <w:sz w:val="21"/>
      <w:lang w:val="en-US" w:eastAsia="zh-CN" w:bidi="ar-SA"/>
    </w:rPr>
  </w:style>
  <w:style w:type="character" w:customStyle="1" w:styleId="247">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248">
    <w:name w:val="Balloon Text Char"/>
    <w:uiPriority w:val="0"/>
    <w:rPr>
      <w:rFonts w:eastAsia="宋体"/>
      <w:kern w:val="2"/>
      <w:sz w:val="18"/>
      <w:szCs w:val="18"/>
      <w:lang w:val="en-US" w:eastAsia="zh-CN" w:bidi="ar-SA"/>
    </w:rPr>
  </w:style>
  <w:style w:type="character" w:customStyle="1" w:styleId="249">
    <w:name w:val="h Char Char"/>
    <w:uiPriority w:val="0"/>
    <w:rPr>
      <w:rFonts w:eastAsia="宋体"/>
      <w:kern w:val="2"/>
      <w:sz w:val="18"/>
      <w:lang w:val="en-US" w:eastAsia="zh-CN" w:bidi="ar-SA"/>
    </w:rPr>
  </w:style>
  <w:style w:type="character" w:customStyle="1" w:styleId="250">
    <w:name w:val="Char Char11"/>
    <w:uiPriority w:val="0"/>
    <w:rPr>
      <w:rFonts w:ascii="宋体" w:hAnsi="宋体" w:eastAsia="宋体"/>
      <w:b/>
      <w:kern w:val="2"/>
      <w:sz w:val="24"/>
      <w:szCs w:val="24"/>
      <w:lang w:val="en-US" w:eastAsia="zh-CN" w:bidi="ar-SA"/>
    </w:rPr>
  </w:style>
  <w:style w:type="character" w:customStyle="1" w:styleId="251">
    <w:name w:val="普通文字 Char1 Char"/>
    <w:uiPriority w:val="0"/>
    <w:rPr>
      <w:rFonts w:ascii="宋体" w:hAnsi="Courier New" w:eastAsia="宋体"/>
      <w:kern w:val="2"/>
      <w:sz w:val="21"/>
      <w:szCs w:val="24"/>
      <w:lang w:val="en-US" w:eastAsia="zh-CN" w:bidi="ar-SA"/>
    </w:rPr>
  </w:style>
  <w:style w:type="character" w:customStyle="1" w:styleId="252">
    <w:name w:val="正文1 Char1"/>
    <w:uiPriority w:val="0"/>
    <w:rPr>
      <w:rFonts w:ascii="仿宋_GB2312" w:hAnsi="Courier New" w:eastAsia="仿宋_GB2312"/>
      <w:kern w:val="28"/>
      <w:sz w:val="24"/>
      <w:szCs w:val="24"/>
      <w:lang/>
    </w:rPr>
  </w:style>
  <w:style w:type="character" w:customStyle="1" w:styleId="253">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254">
    <w:name w:val="font21"/>
    <w:uiPriority w:val="0"/>
    <w:rPr>
      <w:rFonts w:hint="eastAsia" w:ascii="宋体" w:hAnsi="宋体" w:eastAsia="宋体"/>
      <w:kern w:val="2"/>
      <w:sz w:val="28"/>
      <w:szCs w:val="28"/>
      <w:lang w:val="en-US" w:eastAsia="zh-CN" w:bidi="ar-SA"/>
    </w:rPr>
  </w:style>
  <w:style w:type="character" w:customStyle="1" w:styleId="255">
    <w:name w:val="Table Text Char1"/>
    <w:uiPriority w:val="0"/>
    <w:rPr>
      <w:rFonts w:eastAsia="宋体"/>
      <w:sz w:val="24"/>
      <w:szCs w:val="24"/>
      <w:lang w:val="en-US" w:eastAsia="zh-CN" w:bidi="ar-SA"/>
    </w:rPr>
  </w:style>
  <w:style w:type="character" w:customStyle="1" w:styleId="256">
    <w:name w:val="正文首行缩进两字 Char"/>
    <w:uiPriority w:val="0"/>
    <w:rPr>
      <w:sz w:val="24"/>
      <w:szCs w:val="24"/>
      <w:lang w:val="en-US" w:eastAsia="zh-CN" w:bidi="ar-SA"/>
    </w:rPr>
  </w:style>
  <w:style w:type="character" w:customStyle="1" w:styleId="257">
    <w:name w:val="Figure Char"/>
    <w:link w:val="258"/>
    <w:uiPriority w:val="0"/>
    <w:rPr>
      <w:rFonts w:ascii="Arial" w:hAnsi="Arial" w:eastAsia="黑体" w:cs="Arial"/>
      <w:kern w:val="2"/>
      <w:sz w:val="21"/>
      <w:szCs w:val="21"/>
      <w:lang w:val="en-US" w:eastAsia="zh-CN" w:bidi="ar-SA"/>
    </w:rPr>
  </w:style>
  <w:style w:type="paragraph" w:customStyle="1" w:styleId="258">
    <w:name w:val="Figure"/>
    <w:next w:val="1"/>
    <w:link w:val="257"/>
    <w:uiPriority w:val="0"/>
    <w:pPr>
      <w:keepNext/>
      <w:spacing w:before="40" w:after="40"/>
      <w:ind w:left="624"/>
      <w:jc w:val="center"/>
    </w:pPr>
    <w:rPr>
      <w:rFonts w:ascii="Arial" w:hAnsi="Arial" w:eastAsia="黑体" w:cs="Arial"/>
      <w:kern w:val="2"/>
      <w:sz w:val="21"/>
      <w:szCs w:val="21"/>
      <w:lang w:val="en-US" w:eastAsia="zh-CN" w:bidi="ar-SA"/>
    </w:rPr>
  </w:style>
  <w:style w:type="character" w:customStyle="1" w:styleId="259">
    <w:name w:val="二级标题 Char Char"/>
    <w:uiPriority w:val="0"/>
    <w:rPr>
      <w:rFonts w:ascii="宋体" w:hAnsi="宋体" w:eastAsia="宋体"/>
      <w:b/>
      <w:snapToGrid w:val="0"/>
      <w:kern w:val="2"/>
      <w:sz w:val="24"/>
      <w:szCs w:val="24"/>
      <w:lang w:val="en-US" w:eastAsia="zh-CN" w:bidi="ar-SA"/>
    </w:rPr>
  </w:style>
  <w:style w:type="character" w:customStyle="1" w:styleId="260">
    <w:name w:val="HTML 地址 Char"/>
    <w:link w:val="39"/>
    <w:uiPriority w:val="0"/>
    <w:rPr>
      <w:rFonts w:ascii="宋体" w:hAnsi="宋体"/>
      <w:i/>
      <w:iCs/>
      <w:sz w:val="24"/>
      <w:szCs w:val="24"/>
    </w:rPr>
  </w:style>
  <w:style w:type="character" w:customStyle="1" w:styleId="261">
    <w:name w:val="批注框文本 Char"/>
    <w:link w:val="51"/>
    <w:uiPriority w:val="0"/>
    <w:rPr>
      <w:kern w:val="2"/>
      <w:sz w:val="18"/>
      <w:szCs w:val="18"/>
    </w:rPr>
  </w:style>
  <w:style w:type="character" w:customStyle="1" w:styleId="262">
    <w:name w:val="Item List Char"/>
    <w:link w:val="263"/>
    <w:uiPriority w:val="0"/>
    <w:rPr>
      <w:rFonts w:ascii="Arial"/>
      <w:bCs/>
      <w:sz w:val="21"/>
      <w:szCs w:val="21"/>
      <w:lang w:val="en-US" w:eastAsia="zh-CN" w:bidi="ar-SA"/>
    </w:rPr>
  </w:style>
  <w:style w:type="paragraph" w:customStyle="1" w:styleId="263">
    <w:name w:val="Item List"/>
    <w:link w:val="262"/>
    <w:uiPriority w:val="0"/>
    <w:pPr>
      <w:spacing w:after="156" w:line="360" w:lineRule="auto"/>
      <w:ind w:firstLine="424" w:firstLineChars="202"/>
      <w:jc w:val="both"/>
    </w:pPr>
    <w:rPr>
      <w:rFonts w:ascii="Arial"/>
      <w:bCs/>
      <w:sz w:val="21"/>
      <w:szCs w:val="21"/>
      <w:lang w:val="en-US" w:eastAsia="zh-CN" w:bidi="ar-SA"/>
    </w:rPr>
  </w:style>
  <w:style w:type="character" w:customStyle="1" w:styleId="264">
    <w:name w:val="正文（缩进2汉字） Char"/>
    <w:link w:val="265"/>
    <w:uiPriority w:val="0"/>
    <w:rPr>
      <w:rFonts w:ascii="宋体"/>
    </w:rPr>
  </w:style>
  <w:style w:type="paragraph" w:customStyle="1" w:styleId="265">
    <w:name w:val="正文（缩进2汉字）"/>
    <w:basedOn w:val="1"/>
    <w:link w:val="264"/>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266">
    <w:name w:val="样式7 Char"/>
    <w:uiPriority w:val="0"/>
    <w:rPr>
      <w:rFonts w:ascii="仿宋_GB2312" w:hAnsi="仿宋" w:eastAsia="仿宋_GB2312"/>
      <w:b/>
      <w:kern w:val="2"/>
      <w:sz w:val="24"/>
      <w:szCs w:val="24"/>
    </w:rPr>
  </w:style>
  <w:style w:type="character" w:customStyle="1" w:styleId="267">
    <w:name w:val=" Char Char9"/>
    <w:uiPriority w:val="0"/>
    <w:rPr>
      <w:rFonts w:eastAsia="宋体"/>
      <w:kern w:val="2"/>
      <w:sz w:val="18"/>
      <w:szCs w:val="18"/>
      <w:lang w:val="en-US" w:eastAsia="zh-CN" w:bidi="ar-SA"/>
    </w:rPr>
  </w:style>
  <w:style w:type="character" w:customStyle="1" w:styleId="268">
    <w:name w:val="正文 Char"/>
    <w:uiPriority w:val="0"/>
    <w:rPr>
      <w:rFonts w:eastAsia="宋体"/>
      <w:color w:val="000000"/>
      <w:sz w:val="24"/>
      <w:lang w:val="en-US" w:eastAsia="zh-CN" w:bidi="ar-SA"/>
    </w:rPr>
  </w:style>
  <w:style w:type="character" w:customStyle="1" w:styleId="269">
    <w:name w:val="签名 Char"/>
    <w:link w:val="55"/>
    <w:uiPriority w:val="0"/>
    <w:rPr>
      <w:rFonts w:eastAsia="仿宋_GB2312"/>
      <w:sz w:val="24"/>
    </w:rPr>
  </w:style>
  <w:style w:type="character" w:customStyle="1" w:styleId="270">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71">
    <w:name w:val="标题 6 Char"/>
    <w:link w:val="7"/>
    <w:uiPriority w:val="0"/>
    <w:rPr>
      <w:rFonts w:ascii="Arial" w:hAnsi="Arial" w:eastAsia="黑体"/>
      <w:b/>
      <w:bCs/>
      <w:kern w:val="2"/>
      <w:sz w:val="24"/>
      <w:szCs w:val="24"/>
    </w:rPr>
  </w:style>
  <w:style w:type="character" w:customStyle="1" w:styleId="272">
    <w:name w:val="tw4winExternal"/>
    <w:uiPriority w:val="0"/>
    <w:rPr>
      <w:rFonts w:ascii="Courier New" w:hAnsi="Courier New" w:cs="Courier New"/>
      <w:color w:val="808080"/>
      <w:lang/>
    </w:rPr>
  </w:style>
  <w:style w:type="character" w:customStyle="1" w:styleId="273">
    <w:name w:val="font51"/>
    <w:uiPriority w:val="0"/>
    <w:rPr>
      <w:rFonts w:hint="eastAsia" w:ascii="微软雅黑" w:hAnsi="微软雅黑" w:eastAsia="微软雅黑" w:cs="微软雅黑"/>
      <w:b/>
      <w:color w:val="FF0000"/>
      <w:sz w:val="24"/>
      <w:szCs w:val="24"/>
      <w:u w:val="none"/>
    </w:rPr>
  </w:style>
  <w:style w:type="character" w:customStyle="1" w:styleId="274">
    <w:name w:val="副标题 Char1"/>
    <w:uiPriority w:val="0"/>
    <w:rPr>
      <w:rFonts w:ascii="Cambria" w:hAnsi="Cambria" w:eastAsia="宋体" w:cs="Times New Roman"/>
      <w:b/>
      <w:bCs/>
      <w:snapToGrid w:val="0"/>
      <w:kern w:val="28"/>
      <w:sz w:val="32"/>
      <w:szCs w:val="32"/>
    </w:rPr>
  </w:style>
  <w:style w:type="character" w:customStyle="1" w:styleId="275">
    <w:name w:val="hei16b1"/>
    <w:uiPriority w:val="0"/>
    <w:rPr>
      <w:rFonts w:hint="default" w:ascii="Arial" w:hAnsi="Arial" w:cs="Arial"/>
      <w:b/>
      <w:bCs/>
      <w:color w:val="000000"/>
      <w:sz w:val="24"/>
      <w:szCs w:val="24"/>
    </w:rPr>
  </w:style>
  <w:style w:type="character" w:customStyle="1" w:styleId="276">
    <w:name w:val="content1"/>
    <w:uiPriority w:val="0"/>
    <w:rPr>
      <w:sz w:val="18"/>
      <w:szCs w:val="18"/>
    </w:rPr>
  </w:style>
  <w:style w:type="character" w:customStyle="1" w:styleId="277">
    <w:name w:val=" Char Char3"/>
    <w:uiPriority w:val="0"/>
    <w:rPr>
      <w:rFonts w:eastAsia="宋体"/>
      <w:kern w:val="2"/>
      <w:sz w:val="21"/>
      <w:szCs w:val="24"/>
      <w:lang w:val="en-US" w:eastAsia="zh-CN" w:bidi="ar-SA"/>
    </w:rPr>
  </w:style>
  <w:style w:type="character" w:customStyle="1" w:styleId="278">
    <w:name w:val="Footer-Even Char"/>
    <w:aliases w:val="FtrF Char Char"/>
    <w:uiPriority w:val="0"/>
    <w:rPr>
      <w:rFonts w:eastAsia="宋体"/>
      <w:kern w:val="2"/>
      <w:sz w:val="18"/>
      <w:lang w:val="en-US" w:eastAsia="zh-CN" w:bidi="ar-SA"/>
    </w:rPr>
  </w:style>
  <w:style w:type="character" w:customStyle="1" w:styleId="279">
    <w:name w:val="Char Char2"/>
    <w:uiPriority w:val="0"/>
    <w:rPr>
      <w:rFonts w:eastAsia="宋体"/>
      <w:b/>
      <w:bCs/>
      <w:kern w:val="2"/>
      <w:sz w:val="21"/>
      <w:szCs w:val="24"/>
      <w:lang w:val="en-US" w:eastAsia="zh-CN" w:bidi="ar-SA"/>
    </w:rPr>
  </w:style>
  <w:style w:type="character" w:customStyle="1" w:styleId="280">
    <w:name w:val="标题 8 Char"/>
    <w:link w:val="9"/>
    <w:uiPriority w:val="0"/>
    <w:rPr>
      <w:rFonts w:ascii="Arial" w:hAnsi="Arial" w:eastAsia="黑体"/>
      <w:kern w:val="2"/>
      <w:sz w:val="24"/>
      <w:szCs w:val="24"/>
    </w:rPr>
  </w:style>
  <w:style w:type="character" w:customStyle="1" w:styleId="281">
    <w:name w:val="正文首行缩进 Char Char Char Char Char Char"/>
    <w:uiPriority w:val="0"/>
    <w:rPr>
      <w:rFonts w:ascii="宋体" w:eastAsia="宋体"/>
      <w:kern w:val="2"/>
      <w:sz w:val="24"/>
      <w:lang w:val="zh-CN" w:bidi="ar-SA"/>
    </w:rPr>
  </w:style>
  <w:style w:type="character" w:customStyle="1" w:styleId="282">
    <w:name w:val="Item List in Table Char Char"/>
    <w:link w:val="283"/>
    <w:uiPriority w:val="0"/>
    <w:rPr>
      <w:rFonts w:ascii="Arial" w:hAnsi="Arial"/>
      <w:sz w:val="18"/>
      <w:szCs w:val="18"/>
      <w:lang w:val="en-US" w:eastAsia="zh-CN" w:bidi="ar-SA"/>
    </w:rPr>
  </w:style>
  <w:style w:type="paragraph" w:customStyle="1" w:styleId="283">
    <w:name w:val="Item List in Table"/>
    <w:link w:val="282"/>
    <w:uiPriority w:val="0"/>
    <w:pPr>
      <w:numPr>
        <w:ilvl w:val="0"/>
        <w:numId w:val="6"/>
      </w:numPr>
      <w:spacing w:before="40" w:after="40"/>
      <w:jc w:val="both"/>
    </w:pPr>
    <w:rPr>
      <w:rFonts w:ascii="Arial" w:hAnsi="Arial"/>
      <w:sz w:val="18"/>
      <w:szCs w:val="18"/>
      <w:lang w:val="en-US" w:eastAsia="zh-CN" w:bidi="ar-SA"/>
    </w:rPr>
  </w:style>
  <w:style w:type="character" w:customStyle="1" w:styleId="284">
    <w:name w:val="myp1111"/>
    <w:uiPriority w:val="0"/>
    <w:rPr>
      <w:rFonts w:hint="default" w:ascii="ˎ̥" w:hAnsi="ˎ̥"/>
      <w:color w:val="000000"/>
      <w:sz w:val="20"/>
      <w:szCs w:val="20"/>
      <w:u w:val="none"/>
    </w:rPr>
  </w:style>
  <w:style w:type="character" w:customStyle="1" w:styleId="285">
    <w:name w:val="myp11"/>
    <w:uiPriority w:val="0"/>
    <w:rPr>
      <w:rFonts w:ascii="仿宋_GB2312" w:eastAsia="微软雅黑"/>
      <w:b/>
      <w:kern w:val="2"/>
      <w:sz w:val="32"/>
      <w:szCs w:val="32"/>
      <w:lang w:val="en-US" w:eastAsia="zh-CN" w:bidi="ar-SA"/>
    </w:rPr>
  </w:style>
  <w:style w:type="character" w:customStyle="1" w:styleId="286">
    <w:name w:val="纯文本 Char_0"/>
    <w:link w:val="287"/>
    <w:uiPriority w:val="0"/>
    <w:rPr>
      <w:rFonts w:ascii="宋体" w:hAnsi="Courier New"/>
      <w:kern w:val="2"/>
      <w:sz w:val="21"/>
      <w:szCs w:val="21"/>
      <w:lang/>
    </w:rPr>
  </w:style>
  <w:style w:type="paragraph" w:customStyle="1" w:styleId="287">
    <w:name w:val="纯文本_0_0"/>
    <w:basedOn w:val="288"/>
    <w:link w:val="286"/>
    <w:uiPriority w:val="0"/>
    <w:rPr>
      <w:rFonts w:ascii="宋体" w:hAnsi="Courier New"/>
      <w:szCs w:val="21"/>
      <w:lang/>
    </w:rPr>
  </w:style>
  <w:style w:type="paragraph" w:customStyle="1" w:styleId="288">
    <w:name w:val="正文_1_0"/>
    <w:uiPriority w:val="0"/>
    <w:pPr>
      <w:widowControl w:val="0"/>
      <w:jc w:val="both"/>
    </w:pPr>
    <w:rPr>
      <w:kern w:val="2"/>
      <w:sz w:val="21"/>
      <w:szCs w:val="24"/>
      <w:lang w:val="en-US" w:eastAsia="zh-CN" w:bidi="ar-SA"/>
    </w:rPr>
  </w:style>
  <w:style w:type="character" w:customStyle="1" w:styleId="289">
    <w:name w:val="pt9"/>
    <w:uiPriority w:val="0"/>
    <w:rPr>
      <w:rFonts w:ascii="仿宋_GB2312" w:eastAsia="微软雅黑"/>
      <w:b/>
      <w:kern w:val="2"/>
      <w:sz w:val="32"/>
      <w:szCs w:val="32"/>
      <w:lang w:val="en-US" w:eastAsia="zh-CN" w:bidi="ar-SA"/>
    </w:rPr>
  </w:style>
  <w:style w:type="character" w:customStyle="1" w:styleId="290">
    <w:name w:val="纯文本 Char"/>
    <w:link w:val="43"/>
    <w:uiPriority w:val="0"/>
    <w:rPr>
      <w:rFonts w:ascii="宋体" w:hAnsi="Courier New" w:eastAsia="宋体" w:cs="Arial"/>
      <w:snapToGrid w:val="0"/>
      <w:kern w:val="2"/>
      <w:sz w:val="21"/>
      <w:szCs w:val="21"/>
      <w:lang w:val="en-US" w:eastAsia="zh-CN" w:bidi="ar-SA"/>
    </w:rPr>
  </w:style>
  <w:style w:type="character" w:customStyle="1" w:styleId="291">
    <w:name w:val="Char Char5"/>
    <w:uiPriority w:val="0"/>
    <w:rPr>
      <w:rFonts w:ascii="宋体" w:hAnsi="Courier New" w:eastAsia="宋体"/>
      <w:kern w:val="2"/>
      <w:sz w:val="21"/>
      <w:lang w:val="en-US" w:eastAsia="zh-CN"/>
    </w:rPr>
  </w:style>
  <w:style w:type="character" w:customStyle="1" w:styleId="292">
    <w:name w:val="DO_NOT_TRANSLATE"/>
    <w:uiPriority w:val="0"/>
    <w:rPr>
      <w:rFonts w:ascii="Courier New" w:hAnsi="Courier New" w:cs="Courier New"/>
      <w:color w:val="800000"/>
      <w:lang/>
    </w:rPr>
  </w:style>
  <w:style w:type="character" w:customStyle="1" w:styleId="293">
    <w:name w:val="md"/>
    <w:basedOn w:val="87"/>
    <w:uiPriority w:val="0"/>
  </w:style>
  <w:style w:type="character" w:customStyle="1" w:styleId="294">
    <w:name w:val="称呼 Char"/>
    <w:link w:val="28"/>
    <w:uiPriority w:val="0"/>
    <w:rPr>
      <w:rFonts w:ascii="仿宋_GB2312" w:eastAsia="仿宋_GB2312"/>
      <w:kern w:val="2"/>
      <w:sz w:val="28"/>
    </w:rPr>
  </w:style>
  <w:style w:type="character" w:customStyle="1" w:styleId="295">
    <w:name w:val="shadow11"/>
    <w:uiPriority w:val="0"/>
    <w:rPr>
      <w:color w:val="000000"/>
      <w:sz w:val="21"/>
    </w:rPr>
  </w:style>
  <w:style w:type="character" w:customStyle="1" w:styleId="296">
    <w:name w:val="style91"/>
    <w:uiPriority w:val="0"/>
    <w:rPr>
      <w:color w:val="333333"/>
    </w:rPr>
  </w:style>
  <w:style w:type="character" w:customStyle="1" w:styleId="297">
    <w:name w:val="txt"/>
    <w:uiPriority w:val="0"/>
    <w:rPr>
      <w:rFonts w:ascii="仿宋_GB2312" w:eastAsia="微软雅黑"/>
      <w:b/>
      <w:kern w:val="2"/>
      <w:sz w:val="32"/>
      <w:szCs w:val="32"/>
      <w:lang w:val="en-US" w:eastAsia="zh-CN" w:bidi="ar-SA"/>
    </w:rPr>
  </w:style>
  <w:style w:type="character" w:customStyle="1" w:styleId="298">
    <w:name w:val="标题 3 Char2"/>
    <w:aliases w:val="标题3 Char"/>
    <w:uiPriority w:val="0"/>
    <w:rPr>
      <w:rFonts w:eastAsia="宋体"/>
      <w:b/>
      <w:bCs/>
      <w:kern w:val="2"/>
      <w:sz w:val="32"/>
      <w:szCs w:val="32"/>
      <w:lang w:val="en-US" w:eastAsia="zh-CN" w:bidi="ar-SA"/>
    </w:rPr>
  </w:style>
  <w:style w:type="character" w:customStyle="1" w:styleId="299">
    <w:name w:val="标书正文格式 Char"/>
    <w:uiPriority w:val="0"/>
    <w:rPr>
      <w:rFonts w:eastAsia="楷体_GB2312"/>
      <w:kern w:val="2"/>
      <w:sz w:val="24"/>
      <w:szCs w:val="24"/>
      <w:lang w:bidi="ar-SA"/>
    </w:rPr>
  </w:style>
  <w:style w:type="character" w:customStyle="1" w:styleId="300">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301">
    <w:name w:val="tw4winInternal"/>
    <w:uiPriority w:val="0"/>
    <w:rPr>
      <w:rFonts w:ascii="Courier New" w:hAnsi="Courier New" w:cs="Courier New"/>
      <w:color w:val="FF0000"/>
      <w:lang/>
    </w:rPr>
  </w:style>
  <w:style w:type="character" w:customStyle="1" w:styleId="302">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303">
    <w:name w:val="首行缩进 Char"/>
    <w:uiPriority w:val="0"/>
    <w:rPr>
      <w:rFonts w:ascii="宋体" w:eastAsia="宋体"/>
      <w:kern w:val="2"/>
      <w:sz w:val="24"/>
      <w:lang w:val="en-US" w:eastAsia="zh-CN" w:bidi="ar-SA"/>
    </w:rPr>
  </w:style>
  <w:style w:type="character" w:customStyle="1" w:styleId="304">
    <w:name w:val="正文文本缩进 2 Char"/>
    <w:link w:val="49"/>
    <w:uiPriority w:val="0"/>
    <w:rPr>
      <w:rFonts w:ascii="宋体"/>
      <w:sz w:val="28"/>
    </w:rPr>
  </w:style>
  <w:style w:type="character" w:customStyle="1" w:styleId="305">
    <w:name w:val="冯广丽 Char"/>
    <w:link w:val="306"/>
    <w:uiPriority w:val="0"/>
    <w:rPr>
      <w:rFonts w:ascii="宋体" w:hAnsi="宋体"/>
      <w:kern w:val="2"/>
      <w:sz w:val="24"/>
      <w:szCs w:val="22"/>
    </w:rPr>
  </w:style>
  <w:style w:type="paragraph" w:customStyle="1" w:styleId="306">
    <w:name w:val="冯广丽"/>
    <w:basedOn w:val="1"/>
    <w:link w:val="305"/>
    <w:uiPriority w:val="0"/>
    <w:pPr>
      <w:adjustRightInd/>
      <w:spacing w:line="360" w:lineRule="auto"/>
      <w:ind w:firstLine="480" w:firstLineChars="200"/>
    </w:pPr>
    <w:rPr>
      <w:rFonts w:ascii="宋体" w:hAnsi="宋体"/>
      <w:sz w:val="24"/>
      <w:szCs w:val="22"/>
    </w:rPr>
  </w:style>
  <w:style w:type="character" w:customStyle="1" w:styleId="307">
    <w:name w:val="ca-131"/>
    <w:uiPriority w:val="0"/>
    <w:rPr>
      <w:rFonts w:hint="eastAsia" w:ascii="仿宋_GB2312" w:eastAsia="仿宋_GB2312"/>
      <w:b/>
      <w:bCs/>
      <w:color w:val="000000"/>
      <w:spacing w:val="-20"/>
      <w:sz w:val="24"/>
      <w:szCs w:val="24"/>
    </w:rPr>
  </w:style>
  <w:style w:type="character" w:customStyle="1" w:styleId="308">
    <w:name w:val="hui"/>
    <w:basedOn w:val="87"/>
    <w:uiPriority w:val="0"/>
  </w:style>
  <w:style w:type="character" w:customStyle="1" w:styleId="309">
    <w:name w:val="正文 编号 Char"/>
    <w:uiPriority w:val="0"/>
    <w:rPr>
      <w:rFonts w:ascii="仿宋_GB2312" w:hAnsi="仿宋_GB2312" w:eastAsia="仿宋_GB2312"/>
      <w:kern w:val="2"/>
      <w:sz w:val="24"/>
      <w:lang w:bidi="ar-SA"/>
    </w:rPr>
  </w:style>
  <w:style w:type="character" w:customStyle="1" w:styleId="310">
    <w:name w:val="页眉 Char1"/>
    <w:aliases w:val="h Char"/>
    <w:uiPriority w:val="0"/>
    <w:rPr>
      <w:rFonts w:eastAsia="宋体"/>
      <w:kern w:val="2"/>
      <w:sz w:val="18"/>
      <w:szCs w:val="18"/>
      <w:lang w:val="en-US" w:eastAsia="zh-CN" w:bidi="ar-SA"/>
    </w:rPr>
  </w:style>
  <w:style w:type="character" w:customStyle="1" w:styleId="311">
    <w:name w:val="javascript"/>
    <w:uiPriority w:val="0"/>
  </w:style>
  <w:style w:type="character" w:customStyle="1" w:styleId="312">
    <w:name w:val="方案正文 Char"/>
    <w:uiPriority w:val="0"/>
    <w:rPr>
      <w:rFonts w:ascii="仿宋_GB2312" w:eastAsia="仿宋_GB2312"/>
      <w:b/>
      <w:color w:val="000000"/>
      <w:kern w:val="2"/>
      <w:sz w:val="24"/>
      <w:lang w:val="en-US" w:eastAsia="zh-CN" w:bidi="ar-SA"/>
    </w:rPr>
  </w:style>
  <w:style w:type="character" w:customStyle="1" w:styleId="313">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314">
    <w:name w:val="Char Char9"/>
    <w:uiPriority w:val="0"/>
    <w:rPr>
      <w:rFonts w:ascii="Times New Roman" w:hAnsi="Times New Roman" w:eastAsia="宋体" w:cs="Times New Roman"/>
      <w:b/>
      <w:bCs/>
      <w:kern w:val="2"/>
      <w:sz w:val="32"/>
      <w:szCs w:val="32"/>
      <w:lang w:val="en-US" w:eastAsia="zh-CN" w:bidi="ar-SA"/>
    </w:rPr>
  </w:style>
  <w:style w:type="character" w:customStyle="1" w:styleId="315">
    <w:name w:val="样式4 Char"/>
    <w:uiPriority w:val="0"/>
    <w:rPr>
      <w:rFonts w:ascii="仿宋_GB2312" w:hAnsi="仿宋" w:eastAsia="仿宋_GB2312"/>
      <w:b/>
      <w:kern w:val="2"/>
      <w:sz w:val="32"/>
      <w:szCs w:val="32"/>
      <w:lang w:bidi="ar-SA"/>
    </w:rPr>
  </w:style>
  <w:style w:type="character" w:customStyle="1" w:styleId="316">
    <w:name w:val="headline-content3"/>
    <w:uiPriority w:val="0"/>
  </w:style>
  <w:style w:type="character" w:customStyle="1" w:styleId="317">
    <w:name w:val="c7 style3"/>
    <w:uiPriority w:val="0"/>
  </w:style>
  <w:style w:type="character" w:customStyle="1" w:styleId="318">
    <w:name w:val="文档结构图 Char"/>
    <w:uiPriority w:val="0"/>
    <w:rPr>
      <w:rFonts w:eastAsia="宋体"/>
      <w:kern w:val="2"/>
      <w:sz w:val="21"/>
      <w:szCs w:val="24"/>
      <w:lang w:val="en-US" w:eastAsia="zh-CN" w:bidi="ar-SA"/>
    </w:rPr>
  </w:style>
  <w:style w:type="character" w:customStyle="1" w:styleId="319">
    <w:name w:val="带编号样式 Char"/>
    <w:uiPriority w:val="0"/>
    <w:rPr>
      <w:rFonts w:ascii="仿宋_GB2312" w:eastAsia="仿宋_GB2312"/>
      <w:color w:val="000000"/>
      <w:sz w:val="24"/>
      <w:lang w:bidi="ar-SA"/>
    </w:rPr>
  </w:style>
  <w:style w:type="character" w:customStyle="1" w:styleId="320">
    <w:name w:val="Used by Word for text of Help footnotes Char Char"/>
    <w:uiPriority w:val="0"/>
    <w:rPr>
      <w:rFonts w:ascii="Times New Roman" w:hAnsi="Times New Roman" w:eastAsia="宋体" w:cs="Times New Roman"/>
      <w:sz w:val="20"/>
      <w:szCs w:val="20"/>
    </w:rPr>
  </w:style>
  <w:style w:type="character" w:customStyle="1" w:styleId="321">
    <w:name w:val="标题 2 字符"/>
    <w:uiPriority w:val="0"/>
    <w:rPr>
      <w:rFonts w:ascii="仿宋" w:hAnsi="仿宋"/>
      <w:color w:val="4472C4"/>
      <w:kern w:val="2"/>
      <w:sz w:val="28"/>
      <w:szCs w:val="24"/>
    </w:rPr>
  </w:style>
  <w:style w:type="character" w:customStyle="1" w:styleId="322">
    <w:name w:val="content"/>
    <w:uiPriority w:val="0"/>
  </w:style>
  <w:style w:type="character" w:customStyle="1" w:styleId="323">
    <w:name w:val="正文文本 Char1"/>
    <w:link w:val="32"/>
    <w:uiPriority w:val="0"/>
    <w:rPr>
      <w:rFonts w:ascii="宋体" w:hAnsi="Arial" w:eastAsia="宋体" w:cs="Arial"/>
      <w:snapToGrid w:val="0"/>
      <w:kern w:val="2"/>
      <w:sz w:val="24"/>
      <w:szCs w:val="21"/>
      <w:lang w:val="zh-CN" w:eastAsia="zh-CN" w:bidi="ar-SA"/>
    </w:rPr>
  </w:style>
  <w:style w:type="character" w:customStyle="1" w:styleId="324">
    <w:name w:val="仿宋正文 Char"/>
    <w:link w:val="325"/>
    <w:uiPriority w:val="0"/>
    <w:rPr>
      <w:rFonts w:ascii="仿宋_GB2312" w:eastAsia="仿宋_GB2312"/>
      <w:kern w:val="2"/>
      <w:sz w:val="24"/>
      <w:lang w:val="en-US" w:eastAsia="zh-CN" w:bidi="ar-SA"/>
    </w:rPr>
  </w:style>
  <w:style w:type="paragraph" w:customStyle="1" w:styleId="325">
    <w:name w:val="仿宋正文"/>
    <w:basedOn w:val="1"/>
    <w:link w:val="324"/>
    <w:uiPriority w:val="0"/>
    <w:pPr>
      <w:adjustRightInd/>
      <w:spacing w:line="360" w:lineRule="auto"/>
      <w:ind w:firstLine="480" w:firstLineChars="200"/>
    </w:pPr>
    <w:rPr>
      <w:rFonts w:ascii="仿宋_GB2312" w:eastAsia="仿宋_GB2312"/>
      <w:sz w:val="24"/>
      <w:szCs w:val="20"/>
    </w:rPr>
  </w:style>
  <w:style w:type="character" w:customStyle="1" w:styleId="326">
    <w:name w:val="标题 1 Char"/>
    <w:link w:val="2"/>
    <w:uiPriority w:val="0"/>
    <w:rPr>
      <w:b/>
      <w:bCs/>
      <w:kern w:val="44"/>
      <w:sz w:val="44"/>
      <w:szCs w:val="44"/>
    </w:rPr>
  </w:style>
  <w:style w:type="character" w:customStyle="1" w:styleId="327">
    <w:name w:val="样式 样式 标题 4h4H4Fab-4T5Ref Heading 1rh1Heading sqlsect 1.2.3.... +... Char"/>
    <w:link w:val="328"/>
    <w:uiPriority w:val="0"/>
    <w:rPr>
      <w:rFonts w:ascii="微软雅黑" w:hAnsi="微软雅黑" w:eastAsia="微软雅黑"/>
      <w:b/>
      <w:bCs/>
      <w:kern w:val="2"/>
      <w:sz w:val="24"/>
      <w:szCs w:val="28"/>
    </w:rPr>
  </w:style>
  <w:style w:type="paragraph" w:customStyle="1" w:styleId="328">
    <w:name w:val="样式 样式 标题 4h4H4Fab-4T5Ref Heading 1rh1Heading sqlsect 1.2.3.... +..."/>
    <w:basedOn w:val="105"/>
    <w:link w:val="327"/>
    <w:uiPriority w:val="0"/>
  </w:style>
  <w:style w:type="character" w:customStyle="1" w:styleId="329">
    <w:name w:val="Header Char"/>
    <w:uiPriority w:val="0"/>
    <w:rPr>
      <w:rFonts w:eastAsia="宋体"/>
      <w:kern w:val="2"/>
      <w:sz w:val="18"/>
      <w:szCs w:val="18"/>
      <w:lang w:val="en-US" w:eastAsia="zh-CN" w:bidi="ar-SA"/>
    </w:rPr>
  </w:style>
  <w:style w:type="character" w:customStyle="1" w:styleId="330">
    <w:name w:val="blue1"/>
    <w:basedOn w:val="87"/>
    <w:uiPriority w:val="0"/>
  </w:style>
  <w:style w:type="character" w:customStyle="1" w:styleId="331">
    <w:name w:val="No Spacing Char"/>
    <w:link w:val="332"/>
    <w:uiPriority w:val="0"/>
    <w:rPr>
      <w:sz w:val="22"/>
      <w:szCs w:val="22"/>
      <w:lang w:val="en-US" w:eastAsia="zh-CN" w:bidi="ar-SA"/>
    </w:rPr>
  </w:style>
  <w:style w:type="paragraph" w:customStyle="1" w:styleId="332">
    <w:name w:val="无间隔1"/>
    <w:link w:val="331"/>
    <w:uiPriority w:val="0"/>
    <w:rPr>
      <w:sz w:val="22"/>
      <w:szCs w:val="22"/>
      <w:lang w:val="en-US" w:eastAsia="zh-CN" w:bidi="ar-SA"/>
    </w:rPr>
  </w:style>
  <w:style w:type="character" w:customStyle="1" w:styleId="333">
    <w:name w:val="此正文 Char"/>
    <w:link w:val="334"/>
    <w:uiPriority w:val="0"/>
    <w:rPr>
      <w:kern w:val="2"/>
      <w:sz w:val="24"/>
      <w:szCs w:val="24"/>
    </w:rPr>
  </w:style>
  <w:style w:type="paragraph" w:customStyle="1" w:styleId="334">
    <w:name w:val="此正文"/>
    <w:basedOn w:val="1"/>
    <w:link w:val="333"/>
    <w:uiPriority w:val="0"/>
    <w:pPr>
      <w:adjustRightInd/>
      <w:spacing w:line="360" w:lineRule="auto"/>
      <w:ind w:firstLine="200" w:firstLineChars="200"/>
    </w:pPr>
    <w:rPr>
      <w:sz w:val="24"/>
    </w:rPr>
  </w:style>
  <w:style w:type="character" w:customStyle="1" w:styleId="335">
    <w:name w:val="正文1 Char"/>
    <w:uiPriority w:val="0"/>
    <w:rPr>
      <w:rFonts w:ascii="宋体" w:eastAsia="宋体"/>
      <w:snapToGrid w:val="0"/>
      <w:color w:val="000000"/>
      <w:kern w:val="28"/>
      <w:sz w:val="28"/>
      <w:lang w:val="en-US" w:eastAsia="zh-CN" w:bidi="ar-SA"/>
    </w:rPr>
  </w:style>
  <w:style w:type="character" w:customStyle="1" w:styleId="336">
    <w:name w:val="插图说明 Char"/>
    <w:uiPriority w:val="0"/>
    <w:rPr>
      <w:rFonts w:eastAsia="黑体"/>
      <w:sz w:val="24"/>
      <w:lang w:val="en-US" w:eastAsia="zh-CN"/>
    </w:rPr>
  </w:style>
  <w:style w:type="character" w:customStyle="1" w:styleId="337">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338">
    <w:name w:val="列出段落 Char"/>
    <w:aliases w:val="List Char,List1 Char"/>
    <w:uiPriority w:val="0"/>
    <w:rPr>
      <w:rFonts w:eastAsia="楷体_GB2312" w:cs="Lucida Sans"/>
      <w:kern w:val="2"/>
      <w:sz w:val="24"/>
      <w:szCs w:val="24"/>
      <w:lang w:val="en-US" w:eastAsia="zh-CN" w:bidi="ar-SA"/>
    </w:rPr>
  </w:style>
  <w:style w:type="character" w:customStyle="1" w:styleId="339">
    <w:name w:val="Document Map Char"/>
    <w:uiPriority w:val="0"/>
    <w:rPr>
      <w:rFonts w:eastAsia="宋体"/>
      <w:kern w:val="2"/>
      <w:sz w:val="21"/>
      <w:szCs w:val="24"/>
      <w:lang w:val="en-US" w:eastAsia="zh-CN" w:bidi="ar-SA"/>
    </w:rPr>
  </w:style>
  <w:style w:type="character" w:customStyle="1" w:styleId="340">
    <w:name w:val="批注主题 Char"/>
    <w:uiPriority w:val="0"/>
    <w:rPr>
      <w:rFonts w:eastAsia="宋体"/>
      <w:b/>
      <w:bCs/>
      <w:kern w:val="2"/>
      <w:sz w:val="21"/>
      <w:szCs w:val="24"/>
      <w:lang w:val="en-US" w:eastAsia="zh-CN" w:bidi="ar-SA"/>
    </w:rPr>
  </w:style>
  <w:style w:type="character" w:customStyle="1" w:styleId="341">
    <w:name w:val="large1"/>
    <w:uiPriority w:val="0"/>
    <w:rPr>
      <w:rFonts w:hint="eastAsia" w:ascii="宋体" w:hAnsi="宋体" w:eastAsia="宋体"/>
      <w:sz w:val="21"/>
      <w:szCs w:val="21"/>
    </w:rPr>
  </w:style>
  <w:style w:type="character" w:customStyle="1" w:styleId="342">
    <w:name w:val="页脚 Char"/>
    <w:uiPriority w:val="0"/>
    <w:rPr>
      <w:rFonts w:eastAsia="仿宋_GB2312"/>
      <w:kern w:val="2"/>
      <w:sz w:val="18"/>
      <w:lang w:val="en-US" w:eastAsia="zh-CN"/>
    </w:rPr>
  </w:style>
  <w:style w:type="character" w:customStyle="1" w:styleId="343">
    <w:name w:val="HTML 预设格式 Char"/>
    <w:link w:val="77"/>
    <w:uiPriority w:val="0"/>
    <w:rPr>
      <w:rFonts w:ascii="黑体" w:hAnsi="Courier New" w:eastAsia="黑体"/>
    </w:rPr>
  </w:style>
  <w:style w:type="character" w:customStyle="1" w:styleId="344">
    <w:name w:val="样式3 Char"/>
    <w:basedOn w:val="222"/>
    <w:uiPriority w:val="0"/>
  </w:style>
  <w:style w:type="paragraph" w:customStyle="1" w:styleId="345">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46">
    <w:name w:val="CM14"/>
    <w:basedOn w:val="347"/>
    <w:next w:val="347"/>
    <w:uiPriority w:val="0"/>
    <w:pPr>
      <w:spacing w:after="68" w:afterLines="0"/>
    </w:pPr>
    <w:rPr>
      <w:rFonts w:ascii="FHLHE E+ Futura Bk" w:eastAsia="FHLHE E+ Futura Bk" w:cs="Times New Roman"/>
      <w:color w:val="auto"/>
    </w:rPr>
  </w:style>
  <w:style w:type="paragraph" w:customStyle="1" w:styleId="347">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48">
    <w:name w:val="xl68"/>
    <w:basedOn w:val="1"/>
    <w:uiPriority w:val="0"/>
    <w:pPr>
      <w:widowControl/>
      <w:pBdr>
        <w:top w:val="single" w:color="auto" w:sz="8" w:space="0"/>
        <w:left w:val="single" w:color="auto" w:sz="8"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349">
    <w:name w:val="reader-word-layer"/>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50">
    <w:name w:val="标题4_自定义"/>
    <w:basedOn w:val="5"/>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351">
    <w:name w:val="正文文字表格居中"/>
    <w:basedOn w:val="1"/>
    <w:next w:val="73"/>
    <w:uiPriority w:val="0"/>
    <w:pPr>
      <w:snapToGrid w:val="0"/>
      <w:spacing w:line="360" w:lineRule="auto"/>
    </w:pPr>
    <w:rPr>
      <w:rFonts w:ascii="宋体"/>
      <w:b/>
      <w:sz w:val="24"/>
      <w:szCs w:val="20"/>
    </w:rPr>
  </w:style>
  <w:style w:type="paragraph" w:customStyle="1" w:styleId="352">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353">
    <w:name w:val=" Char2"/>
    <w:basedOn w:val="1"/>
    <w:uiPriority w:val="0"/>
    <w:rPr>
      <w:rFonts w:ascii="仿宋_GB2312" w:eastAsia="仿宋_GB2312"/>
      <w:b/>
      <w:sz w:val="32"/>
      <w:szCs w:val="32"/>
    </w:rPr>
  </w:style>
  <w:style w:type="paragraph" w:customStyle="1" w:styleId="354">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55">
    <w:name w:val="样式6"/>
    <w:basedOn w:val="43"/>
    <w:uiPriority w:val="0"/>
    <w:pPr>
      <w:spacing w:line="460" w:lineRule="exact"/>
      <w:outlineLvl w:val="2"/>
    </w:pPr>
    <w:rPr>
      <w:rFonts w:ascii="仿宋_GB2312" w:hAnsi="宋体" w:eastAsia="仿宋_GB2312"/>
      <w:b/>
      <w:bCs/>
      <w:sz w:val="24"/>
      <w:szCs w:val="24"/>
    </w:rPr>
  </w:style>
  <w:style w:type="paragraph" w:customStyle="1" w:styleId="356">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57">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358">
    <w:name w:val="Char1 Char Char Char Char Char Char Char Char Char"/>
    <w:basedOn w:val="1"/>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359">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360">
    <w:name w:val="Char21"/>
    <w:basedOn w:val="1"/>
    <w:uiPriority w:val="0"/>
    <w:pPr>
      <w:adjustRightInd/>
      <w:ind w:firstLine="200" w:firstLineChars="200"/>
    </w:pPr>
    <w:rPr>
      <w:rFonts w:ascii="仿宋_GB2312" w:eastAsia="仿宋_GB2312"/>
      <w:b/>
      <w:sz w:val="32"/>
      <w:szCs w:val="32"/>
    </w:rPr>
  </w:style>
  <w:style w:type="paragraph" w:customStyle="1" w:styleId="361">
    <w:name w:val="封面"/>
    <w:basedOn w:val="1"/>
    <w:uiPriority w:val="0"/>
    <w:pPr>
      <w:spacing w:line="360" w:lineRule="atLeast"/>
      <w:jc w:val="right"/>
      <w:textAlignment w:val="baseline"/>
    </w:pPr>
    <w:rPr>
      <w:rFonts w:ascii="Symbol" w:hAnsi="Symbol"/>
      <w:kern w:val="0"/>
      <w:szCs w:val="20"/>
    </w:rPr>
  </w:style>
  <w:style w:type="paragraph" w:customStyle="1" w:styleId="362">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363">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64">
    <w:name w:val="xl104"/>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styleId="365">
    <w:name w:val=""/>
    <w:basedOn w:val="2"/>
    <w:next w:val="1"/>
    <w:qFormat/>
    <w:uiPriority w:val="0"/>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66">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367">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368">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369">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70">
    <w:name w:val="xl130"/>
    <w:basedOn w:val="1"/>
    <w:uiPriority w:val="0"/>
    <w:pPr>
      <w:widowControl/>
      <w:pBdr>
        <w:top w:val="single" w:color="auto" w:sz="8" w:space="0"/>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371">
    <w:name w:val="xl69"/>
    <w:basedOn w:val="1"/>
    <w:uiPriority w:val="0"/>
    <w:pPr>
      <w:widowControl/>
      <w:pBdr>
        <w:top w:val="single" w:color="auto" w:sz="8"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372">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373">
    <w:name w:val="样式3"/>
    <w:basedOn w:val="374"/>
    <w:uiPriority w:val="0"/>
    <w:pPr>
      <w:tabs>
        <w:tab w:val="left" w:pos="2790"/>
        <w:tab w:val="left" w:pos="4230"/>
      </w:tabs>
      <w:spacing w:before="312" w:beforeLines="100"/>
      <w:jc w:val="left"/>
    </w:pPr>
  </w:style>
  <w:style w:type="paragraph" w:customStyle="1" w:styleId="374">
    <w:name w:val="样式2"/>
    <w:basedOn w:val="1"/>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75">
    <w:name w:val="Char Char Char Char Char Char Char Char Char Char"/>
    <w:basedOn w:val="1"/>
    <w:uiPriority w:val="0"/>
    <w:rPr>
      <w:rFonts w:ascii="仿宋_GB2312" w:eastAsia="仿宋_GB2312"/>
      <w:b/>
      <w:sz w:val="32"/>
      <w:szCs w:val="32"/>
    </w:rPr>
  </w:style>
  <w:style w:type="paragraph" w:customStyle="1" w:styleId="376">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377">
    <w:name w:val="样式 小四 行距: 多倍行距 1.25 字行"/>
    <w:basedOn w:val="1"/>
    <w:uiPriority w:val="0"/>
    <w:pPr>
      <w:adjustRightInd/>
      <w:spacing w:line="300" w:lineRule="auto"/>
      <w:ind w:firstLine="540" w:firstLineChars="225"/>
    </w:pPr>
    <w:rPr>
      <w:rFonts w:cs="宋体"/>
      <w:sz w:val="24"/>
      <w:szCs w:val="20"/>
    </w:rPr>
  </w:style>
  <w:style w:type="paragraph" w:customStyle="1" w:styleId="378">
    <w:name w:val="标准有序列表（L1）"/>
    <w:basedOn w:val="19"/>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79">
    <w:name w:val="目录0"/>
    <w:basedOn w:val="56"/>
    <w:uiPriority w:val="0"/>
    <w:pPr>
      <w:tabs>
        <w:tab w:val="right" w:leader="dot" w:pos="9000"/>
      </w:tabs>
      <w:adjustRightInd/>
      <w:spacing w:before="120" w:beforeLines="0" w:after="120" w:afterLines="0"/>
      <w:jc w:val="center"/>
    </w:pPr>
    <w:rPr>
      <w:rFonts w:eastAsia="黑体"/>
      <w:bCs/>
      <w:caps/>
      <w:sz w:val="32"/>
    </w:rPr>
  </w:style>
  <w:style w:type="paragraph" w:customStyle="1" w:styleId="380">
    <w:name w:val="Char Char11 Char Char Char"/>
    <w:basedOn w:val="1"/>
    <w:uiPriority w:val="0"/>
    <w:pPr>
      <w:spacing w:line="360" w:lineRule="auto"/>
    </w:pPr>
    <w:rPr>
      <w:szCs w:val="20"/>
    </w:rPr>
  </w:style>
  <w:style w:type="paragraph" w:customStyle="1" w:styleId="381">
    <w:name w:val="样式 正文缩进 + 首行缩进:  2 字符"/>
    <w:basedOn w:val="19"/>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382">
    <w:name w:val="标题 41"/>
    <w:basedOn w:val="1"/>
    <w:next w:val="1"/>
    <w:uiPriority w:val="0"/>
    <w:pPr>
      <w:keepNext/>
      <w:keepLines/>
      <w:adjustRightInd/>
      <w:spacing w:before="280" w:beforeLines="0" w:after="290" w:afterLines="0" w:line="374" w:lineRule="auto"/>
      <w:outlineLvl w:val="3"/>
    </w:pPr>
    <w:rPr>
      <w:rFonts w:ascii="Cambria" w:hAnsi="Cambria"/>
      <w:b/>
      <w:bCs/>
      <w:sz w:val="28"/>
      <w:szCs w:val="28"/>
    </w:rPr>
  </w:style>
  <w:style w:type="paragraph" w:customStyle="1" w:styleId="383">
    <w:name w:val="样式 标题 3H3 + 两端对齐"/>
    <w:basedOn w:val="4"/>
    <w:uiPriority w:val="0"/>
    <w:pPr>
      <w:keepLines w:val="0"/>
      <w:numPr>
        <w:ilvl w:val="2"/>
        <w:numId w:val="0"/>
      </w:numPr>
      <w:spacing w:before="0" w:beforeLines="0" w:after="0" w:afterLines="0" w:line="240" w:lineRule="auto"/>
      <w:jc w:val="left"/>
    </w:pPr>
    <w:rPr>
      <w:rFonts w:cs="宋体"/>
      <w:sz w:val="21"/>
      <w:szCs w:val="20"/>
    </w:rPr>
  </w:style>
  <w:style w:type="paragraph" w:customStyle="1" w:styleId="384">
    <w:name w:val="xl105"/>
    <w:basedOn w:val="1"/>
    <w:uiPriority w:val="0"/>
    <w:pPr>
      <w:widowControl/>
      <w:pBdr>
        <w:left w:val="single" w:color="auto" w:sz="8" w:space="0"/>
        <w:bottom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385">
    <w:name w:val="二级条标题"/>
    <w:basedOn w:val="386"/>
    <w:next w:val="388"/>
    <w:uiPriority w:val="0"/>
    <w:pPr>
      <w:tabs>
        <w:tab w:val="left" w:pos="2100"/>
      </w:tabs>
      <w:ind w:left="0"/>
      <w:outlineLvl w:val="3"/>
    </w:pPr>
  </w:style>
  <w:style w:type="paragraph" w:customStyle="1" w:styleId="386">
    <w:name w:val="一级条标题"/>
    <w:basedOn w:val="387"/>
    <w:next w:val="388"/>
    <w:uiPriority w:val="0"/>
    <w:pPr>
      <w:tabs>
        <w:tab w:val="left" w:pos="1680"/>
      </w:tabs>
      <w:spacing w:before="0" w:beforeLines="0" w:after="0" w:afterLines="0"/>
      <w:ind w:left="1680"/>
      <w:outlineLvl w:val="2"/>
    </w:pPr>
  </w:style>
  <w:style w:type="paragraph" w:customStyle="1" w:styleId="387">
    <w:name w:val="章标题"/>
    <w:next w:val="388"/>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388">
    <w:name w:val="段"/>
    <w:uiPriority w:val="0"/>
    <w:pPr>
      <w:autoSpaceDE w:val="0"/>
      <w:autoSpaceDN w:val="0"/>
      <w:ind w:firstLine="200" w:firstLineChars="200"/>
      <w:jc w:val="both"/>
    </w:pPr>
    <w:rPr>
      <w:rFonts w:ascii="宋体"/>
      <w:sz w:val="21"/>
      <w:lang w:val="en-US" w:eastAsia="zh-CN" w:bidi="ar-SA"/>
    </w:rPr>
  </w:style>
  <w:style w:type="paragraph" w:customStyle="1" w:styleId="389">
    <w:name w:val="文档正文"/>
    <w:basedOn w:val="1"/>
    <w:uiPriority w:val="0"/>
    <w:pPr>
      <w:adjustRightInd w:val="0"/>
      <w:spacing w:line="480" w:lineRule="atLeast"/>
      <w:ind w:firstLine="567"/>
      <w:textAlignment w:val="baseline"/>
    </w:pPr>
    <w:rPr>
      <w:kern w:val="0"/>
      <w:sz w:val="24"/>
      <w:szCs w:val="20"/>
    </w:rPr>
  </w:style>
  <w:style w:type="paragraph" w:customStyle="1" w:styleId="390">
    <w:name w:val="Char Char1 Char Char Char Char Char Char"/>
    <w:basedOn w:val="1"/>
    <w:uiPriority w:val="0"/>
    <w:rPr>
      <w:rFonts w:ascii="仿宋_GB2312" w:eastAsia="仿宋_GB2312"/>
      <w:b/>
      <w:sz w:val="32"/>
      <w:szCs w:val="20"/>
    </w:rPr>
  </w:style>
  <w:style w:type="paragraph" w:customStyle="1" w:styleId="391">
    <w:name w:val="xl7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392">
    <w:name w:val="Test2"/>
    <w:basedOn w:val="3"/>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93">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394">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95">
    <w:name w:val=" Char"/>
    <w:basedOn w:val="1"/>
    <w:uiPriority w:val="0"/>
    <w:rPr>
      <w:rFonts w:ascii="仿宋_GB2312" w:eastAsia="仿宋_GB2312"/>
      <w:b/>
      <w:sz w:val="32"/>
      <w:szCs w:val="32"/>
    </w:rPr>
  </w:style>
  <w:style w:type="paragraph" w:customStyle="1" w:styleId="396">
    <w:name w:val="中铁-标题一"/>
    <w:basedOn w:val="1"/>
    <w:uiPriority w:val="0"/>
    <w:pPr>
      <w:numPr>
        <w:ilvl w:val="0"/>
        <w:numId w:val="7"/>
      </w:numPr>
      <w:adjustRightInd/>
      <w:spacing w:before="156" w:beforeLines="50" w:after="156" w:afterLines="50"/>
      <w:outlineLvl w:val="0"/>
    </w:pPr>
    <w:rPr>
      <w:rFonts w:ascii="Calibri" w:hAnsi="Calibri" w:eastAsia="华文中宋"/>
      <w:b/>
      <w:sz w:val="44"/>
      <w:szCs w:val="21"/>
    </w:rPr>
  </w:style>
  <w:style w:type="paragraph" w:customStyle="1" w:styleId="397">
    <w:name w:val="Char Char4 Char Char"/>
    <w:basedOn w:val="1"/>
    <w:uiPriority w:val="0"/>
    <w:pPr>
      <w:widowControl/>
      <w:adjustRightInd/>
      <w:spacing w:after="160" w:afterLines="0" w:line="240" w:lineRule="exact"/>
      <w:jc w:val="left"/>
    </w:pPr>
  </w:style>
  <w:style w:type="paragraph" w:customStyle="1" w:styleId="398">
    <w:name w:val="Normal0"/>
    <w:uiPriority w:val="0"/>
    <w:rPr>
      <w:lang w:val="en-US" w:eastAsia="en-US" w:bidi="ar-SA"/>
    </w:rPr>
  </w:style>
  <w:style w:type="paragraph" w:customStyle="1" w:styleId="399">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00">
    <w:name w:val="xl98"/>
    <w:basedOn w:val="1"/>
    <w:uiPriority w:val="0"/>
    <w:pPr>
      <w:widowControl/>
      <w:pBdr>
        <w:top w:val="single" w:color="auto" w:sz="8" w:space="0"/>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401">
    <w:name w:val="MM Topic 4"/>
    <w:basedOn w:val="5"/>
    <w:uiPriority w:val="0"/>
    <w:pPr>
      <w:numPr>
        <w:ilvl w:val="3"/>
        <w:numId w:val="4"/>
      </w:numPr>
      <w:tabs>
        <w:tab w:val="clear" w:pos="864"/>
      </w:tabs>
      <w:adjustRightInd/>
    </w:pPr>
    <w:rPr>
      <w:lang w:val="en-US"/>
    </w:rPr>
  </w:style>
  <w:style w:type="paragraph" w:customStyle="1" w:styleId="402">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03">
    <w:name w:val="U_正文2"/>
    <w:basedOn w:val="1"/>
    <w:uiPriority w:val="0"/>
    <w:pPr>
      <w:adjustRightInd/>
      <w:spacing w:before="31" w:beforeLines="10" w:after="31" w:afterLines="10" w:line="300" w:lineRule="auto"/>
    </w:pPr>
    <w:rPr>
      <w:rFonts w:eastAsia="仿宋_GB2312"/>
      <w:sz w:val="28"/>
      <w:szCs w:val="20"/>
    </w:rPr>
  </w:style>
  <w:style w:type="paragraph" w:customStyle="1" w:styleId="404">
    <w:name w:val="Char3 Char Char Char"/>
    <w:basedOn w:val="1"/>
    <w:uiPriority w:val="0"/>
    <w:pPr>
      <w:widowControl/>
      <w:adjustRightInd/>
      <w:spacing w:after="160" w:afterLines="0" w:line="240" w:lineRule="exact"/>
      <w:jc w:val="left"/>
    </w:pPr>
    <w:rPr>
      <w:szCs w:val="20"/>
    </w:rPr>
  </w:style>
  <w:style w:type="paragraph" w:customStyle="1" w:styleId="405">
    <w:name w:val="样式5"/>
    <w:basedOn w:val="1"/>
    <w:uiPriority w:val="0"/>
    <w:pPr>
      <w:spacing w:line="440" w:lineRule="exact"/>
      <w:ind w:left="2" w:firstLine="480" w:firstLineChars="200"/>
    </w:pPr>
    <w:rPr>
      <w:rFonts w:ascii="仿宋_GB2312" w:hAnsi="仿宋" w:eastAsia="仿宋_GB2312"/>
      <w:sz w:val="24"/>
    </w:rPr>
  </w:style>
  <w:style w:type="paragraph" w:customStyle="1" w:styleId="406">
    <w:name w:val="0"/>
    <w:basedOn w:val="1"/>
    <w:uiPriority w:val="0"/>
    <w:pPr>
      <w:widowControl/>
    </w:pPr>
    <w:rPr>
      <w:kern w:val="0"/>
      <w:sz w:val="24"/>
      <w:szCs w:val="20"/>
    </w:rPr>
  </w:style>
  <w:style w:type="paragraph" w:customStyle="1" w:styleId="407">
    <w:name w:val="_Style 2"/>
    <w:basedOn w:val="1"/>
    <w:qFormat/>
    <w:uiPriority w:val="0"/>
    <w:pPr>
      <w:spacing w:line="360" w:lineRule="auto"/>
      <w:ind w:firstLine="200" w:firstLineChars="200"/>
    </w:pPr>
    <w:rPr>
      <w:rFonts w:eastAsia="楷体_GB2312"/>
      <w:sz w:val="24"/>
    </w:rPr>
  </w:style>
  <w:style w:type="paragraph" w:customStyle="1" w:styleId="408">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09">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10">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411">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12">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3">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14">
    <w:name w:val="默认段落字体 Para Char Char Char Char Char Char Char Char Char Char Char Char Char Char Char Char2 Char"/>
    <w:next w:val="1"/>
    <w:uiPriority w:val="0"/>
    <w:pPr>
      <w:keepNext/>
      <w:keepLines/>
      <w:tabs>
        <w:tab w:val="left" w:pos="900"/>
      </w:tabs>
      <w:spacing w:before="240" w:after="240"/>
      <w:ind w:left="900" w:hanging="720"/>
      <w:outlineLvl w:val="7"/>
    </w:pPr>
    <w:rPr>
      <w:rFonts w:ascii="Arial" w:hAnsi="Arial" w:eastAsia="黑体" w:cs="Arial"/>
      <w:snapToGrid w:val="0"/>
      <w:sz w:val="21"/>
      <w:szCs w:val="21"/>
      <w:lang w:val="en-US" w:eastAsia="zh-CN" w:bidi="ar-SA"/>
    </w:rPr>
  </w:style>
  <w:style w:type="paragraph" w:customStyle="1" w:styleId="415">
    <w:name w:val="正文缩进1"/>
    <w:basedOn w:val="1"/>
    <w:next w:val="33"/>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416">
    <w:name w:val="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417">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18">
    <w:name w:val="标书表格字体格式"/>
    <w:next w:val="419"/>
    <w:uiPriority w:val="0"/>
    <w:rPr>
      <w:kern w:val="2"/>
      <w:sz w:val="21"/>
      <w:szCs w:val="24"/>
      <w:lang w:val="en-US" w:eastAsia="zh-CN" w:bidi="ar-SA"/>
    </w:rPr>
  </w:style>
  <w:style w:type="paragraph" w:customStyle="1" w:styleId="419">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20">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21">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422">
    <w:name w:val=" Char Char Char Char Char Char Char"/>
    <w:basedOn w:val="1"/>
    <w:uiPriority w:val="0"/>
    <w:rPr>
      <w:rFonts w:ascii="仿宋_GB2312" w:eastAsia="仿宋_GB2312"/>
      <w:b/>
      <w:sz w:val="32"/>
      <w:szCs w:val="32"/>
    </w:rPr>
  </w:style>
  <w:style w:type="paragraph" w:customStyle="1" w:styleId="423">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24">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425">
    <w:name w:val=" Char Char Char Char Char Char Char Char Char Char Char Char1 Char"/>
    <w:basedOn w:val="1"/>
    <w:uiPriority w:val="0"/>
    <w:rPr>
      <w:rFonts w:ascii="Tahoma" w:hAnsi="Tahoma" w:cs="仿宋_GB2312"/>
      <w:sz w:val="24"/>
      <w:szCs w:val="20"/>
    </w:rPr>
  </w:style>
  <w:style w:type="paragraph" w:customStyle="1" w:styleId="426">
    <w:name w:val="a0"/>
    <w:basedOn w:val="1"/>
    <w:uiPriority w:val="0"/>
    <w:pPr>
      <w:widowControl/>
      <w:adjustRightInd/>
      <w:snapToGrid w:val="0"/>
      <w:spacing w:before="60" w:beforeLines="0" w:after="60" w:afterLines="0"/>
      <w:ind w:left="11"/>
      <w:jc w:val="center"/>
    </w:pPr>
    <w:rPr>
      <w:rFonts w:ascii="宋体" w:hAnsi="宋体" w:eastAsia="仿宋_GB2312" w:cs="宋体"/>
      <w:kern w:val="0"/>
      <w:szCs w:val="21"/>
    </w:rPr>
  </w:style>
  <w:style w:type="paragraph" w:customStyle="1" w:styleId="427">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428">
    <w:name w:val="xl126"/>
    <w:basedOn w:val="1"/>
    <w:uiPriority w:val="0"/>
    <w:pPr>
      <w:widowControl/>
      <w:pBdr>
        <w:top w:val="single" w:color="auto" w:sz="8"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429">
    <w:name w:val="xl90"/>
    <w:basedOn w:val="1"/>
    <w:uiPriority w:val="0"/>
    <w:pPr>
      <w:widowControl/>
      <w:pBdr>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30">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431">
    <w:name w:val="List Paragraph"/>
    <w:basedOn w:val="1"/>
    <w:uiPriority w:val="0"/>
    <w:pPr>
      <w:adjustRightInd/>
      <w:spacing w:line="360" w:lineRule="auto"/>
      <w:ind w:firstLine="420" w:firstLineChars="200"/>
    </w:pPr>
    <w:rPr>
      <w:rFonts w:ascii="Calibri" w:hAnsi="Calibri"/>
      <w:sz w:val="24"/>
      <w:szCs w:val="22"/>
    </w:rPr>
  </w:style>
  <w:style w:type="paragraph" w:customStyle="1" w:styleId="432">
    <w:name w:val="插图说明"/>
    <w:basedOn w:val="1"/>
    <w:uiPriority w:val="0"/>
    <w:pPr>
      <w:spacing w:after="240" w:afterLines="0"/>
      <w:ind w:firstLineChars="200"/>
      <w:jc w:val="center"/>
      <w:textAlignment w:val="baseline"/>
    </w:pPr>
    <w:rPr>
      <w:rFonts w:eastAsia="黑体"/>
      <w:sz w:val="24"/>
      <w:szCs w:val="20"/>
    </w:rPr>
  </w:style>
  <w:style w:type="paragraph" w:customStyle="1" w:styleId="433">
    <w:name w:val="Char Char1 Char Char Char"/>
    <w:basedOn w:val="1"/>
    <w:uiPriority w:val="0"/>
    <w:rPr>
      <w:rFonts w:ascii="仿宋_GB2312" w:eastAsia="仿宋_GB2312"/>
      <w:b/>
      <w:sz w:val="32"/>
      <w:szCs w:val="20"/>
    </w:rPr>
  </w:style>
  <w:style w:type="paragraph" w:customStyle="1" w:styleId="434">
    <w:name w:val="char"/>
    <w:basedOn w:val="1"/>
    <w:uiPriority w:val="0"/>
    <w:pPr>
      <w:widowControl/>
      <w:adjustRightInd/>
      <w:snapToGrid w:val="0"/>
      <w:spacing w:line="360" w:lineRule="auto"/>
      <w:jc w:val="center"/>
    </w:pPr>
    <w:rPr>
      <w:rFonts w:eastAsia="仿宋_GB2312"/>
      <w:kern w:val="0"/>
      <w:sz w:val="28"/>
    </w:rPr>
  </w:style>
  <w:style w:type="paragraph" w:customStyle="1" w:styleId="435">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436">
    <w:name w:val="xl120"/>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kern w:val="0"/>
      <w:sz w:val="20"/>
      <w:szCs w:val="20"/>
    </w:rPr>
  </w:style>
  <w:style w:type="paragraph" w:customStyle="1" w:styleId="437">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438">
    <w:name w:val="xl129"/>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439">
    <w:name w:val="数字标题5"/>
    <w:basedOn w:val="6"/>
    <w:next w:val="1"/>
    <w:uiPriority w:val="0"/>
    <w:pPr>
      <w:numPr>
        <w:ilvl w:val="4"/>
        <w:numId w:val="8"/>
      </w:numPr>
      <w:tabs>
        <w:tab w:val="clear" w:pos="1008"/>
      </w:tabs>
    </w:pPr>
  </w:style>
  <w:style w:type="paragraph" w:customStyle="1" w:styleId="440">
    <w:name w:val="xl110"/>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441">
    <w:name w:val="Char1 Char Char Char3"/>
    <w:basedOn w:val="1"/>
    <w:uiPriority w:val="0"/>
    <w:pPr>
      <w:adjustRightInd/>
      <w:ind w:firstLine="200" w:firstLineChars="200"/>
    </w:pPr>
    <w:rPr>
      <w:rFonts w:ascii="Tahoma" w:hAnsi="Tahoma"/>
      <w:sz w:val="24"/>
      <w:szCs w:val="20"/>
    </w:rPr>
  </w:style>
  <w:style w:type="paragraph" w:customStyle="1" w:styleId="442">
    <w:name w:val="Char Char Char Char Char Char Char Char Char Char Char Char1 Char"/>
    <w:basedOn w:val="1"/>
    <w:uiPriority w:val="0"/>
    <w:rPr>
      <w:rFonts w:ascii="Tahoma" w:hAnsi="Tahoma" w:cs="仿宋_GB2312"/>
      <w:sz w:val="24"/>
      <w:szCs w:val="20"/>
    </w:rPr>
  </w:style>
  <w:style w:type="paragraph" w:customStyle="1" w:styleId="443">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44">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45">
    <w:name w:val=" Char Char11 Char Char Char"/>
    <w:basedOn w:val="1"/>
    <w:uiPriority w:val="0"/>
    <w:pPr>
      <w:spacing w:line="360" w:lineRule="auto"/>
    </w:pPr>
    <w:rPr>
      <w:szCs w:val="20"/>
    </w:rPr>
  </w:style>
  <w:style w:type="paragraph" w:customStyle="1" w:styleId="446">
    <w:name w:val="三级条标题"/>
    <w:basedOn w:val="385"/>
    <w:next w:val="388"/>
    <w:uiPriority w:val="0"/>
    <w:pPr>
      <w:numPr>
        <w:ilvl w:val="0"/>
        <w:numId w:val="0"/>
      </w:numPr>
      <w:tabs>
        <w:tab w:val="left" w:pos="2520"/>
        <w:tab w:val="clear" w:pos="2100"/>
      </w:tabs>
      <w:ind w:left="2520" w:hanging="420"/>
      <w:outlineLvl w:val="4"/>
    </w:pPr>
  </w:style>
  <w:style w:type="paragraph" w:customStyle="1" w:styleId="447">
    <w:name w:val=" Char2 Char Char Char"/>
    <w:basedOn w:val="1"/>
    <w:uiPriority w:val="0"/>
    <w:rPr>
      <w:rFonts w:ascii="仿宋_GB2312" w:eastAsia="仿宋_GB2312"/>
      <w:b/>
      <w:sz w:val="32"/>
      <w:szCs w:val="32"/>
    </w:rPr>
  </w:style>
  <w:style w:type="paragraph" w:customStyle="1" w:styleId="448">
    <w:name w:val="表格文字"/>
    <w:basedOn w:val="1"/>
    <w:next w:val="19"/>
    <w:uiPriority w:val="0"/>
    <w:pPr>
      <w:adjustRightInd/>
      <w:ind w:firstLine="200" w:firstLineChars="200"/>
    </w:pPr>
    <w:rPr>
      <w:rFonts w:ascii="Arial" w:hAnsi="Arial"/>
      <w:spacing w:val="-5"/>
      <w:kern w:val="0"/>
      <w:sz w:val="24"/>
      <w:szCs w:val="20"/>
    </w:rPr>
  </w:style>
  <w:style w:type="paragraph" w:customStyle="1" w:styleId="449">
    <w:name w:val="subhead"/>
    <w:uiPriority w:val="0"/>
    <w:pPr>
      <w:spacing w:after="120" w:line="300" w:lineRule="exact"/>
    </w:pPr>
    <w:rPr>
      <w:rFonts w:ascii="Arial" w:hAnsi="Arial"/>
      <w:b/>
      <w:sz w:val="26"/>
      <w:lang w:val="en-US" w:eastAsia="en-US" w:bidi="ar-SA"/>
    </w:rPr>
  </w:style>
  <w:style w:type="paragraph" w:customStyle="1" w:styleId="450">
    <w:name w:val="MM Topic 3"/>
    <w:basedOn w:val="4"/>
    <w:uiPriority w:val="0"/>
    <w:pPr>
      <w:numPr>
        <w:ilvl w:val="2"/>
        <w:numId w:val="4"/>
      </w:numPr>
      <w:tabs>
        <w:tab w:val="clear" w:pos="900"/>
      </w:tabs>
      <w:adjustRightInd/>
    </w:pPr>
    <w:rPr>
      <w:lang w:val="en-US" w:eastAsia="zh-CN"/>
    </w:rPr>
  </w:style>
  <w:style w:type="paragraph" w:customStyle="1" w:styleId="451">
    <w:name w:val="xl128"/>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452">
    <w:name w:val="xl138"/>
    <w:basedOn w:val="1"/>
    <w:uiPriority w:val="0"/>
    <w:pPr>
      <w:widowControl/>
      <w:pBdr>
        <w:right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453">
    <w:name w:val="bullet"/>
    <w:basedOn w:val="1"/>
    <w:uiPriority w:val="0"/>
    <w:pPr>
      <w:tabs>
        <w:tab w:val="left" w:pos="840"/>
      </w:tabs>
      <w:adjustRightInd/>
      <w:ind w:left="840" w:hanging="420"/>
    </w:pPr>
  </w:style>
  <w:style w:type="paragraph" w:customStyle="1" w:styleId="454">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55">
    <w:name w:val="_Style 12"/>
    <w:basedOn w:val="24"/>
    <w:uiPriority w:val="0"/>
    <w:pPr>
      <w:snapToGrid w:val="0"/>
      <w:spacing w:line="360" w:lineRule="auto"/>
    </w:pPr>
  </w:style>
  <w:style w:type="paragraph" w:customStyle="1" w:styleId="456">
    <w:name w:val="列出段落2"/>
    <w:basedOn w:val="1"/>
    <w:uiPriority w:val="0"/>
    <w:pPr>
      <w:adjustRightInd/>
      <w:ind w:firstLine="420" w:firstLineChars="200"/>
    </w:pPr>
    <w:rPr>
      <w:rFonts w:ascii="宋体" w:hAnsi="宋体"/>
      <w:sz w:val="24"/>
    </w:rPr>
  </w:style>
  <w:style w:type="paragraph" w:customStyle="1" w:styleId="457">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458">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59">
    <w:name w:val="中铁-标题二"/>
    <w:basedOn w:val="396"/>
    <w:uiPriority w:val="0"/>
    <w:pPr>
      <w:numPr>
        <w:ilvl w:val="1"/>
        <w:numId w:val="7"/>
      </w:numPr>
      <w:outlineLvl w:val="1"/>
    </w:pPr>
    <w:rPr>
      <w:sz w:val="36"/>
    </w:rPr>
  </w:style>
  <w:style w:type="paragraph" w:customStyle="1" w:styleId="460">
    <w:name w:val="xl114"/>
    <w:basedOn w:val="1"/>
    <w:uiPriority w:val="0"/>
    <w:pPr>
      <w:widowControl/>
      <w:pBdr>
        <w:top w:val="single" w:color="auto" w:sz="8"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461">
    <w:name w:val="xl82"/>
    <w:basedOn w:val="1"/>
    <w:uiPriority w:val="0"/>
    <w:pPr>
      <w:widowControl/>
      <w:pBdr>
        <w:top w:val="single" w:color="auto" w:sz="4" w:space="0"/>
        <w:left w:val="single" w:color="auto" w:sz="4" w:space="0"/>
        <w:bottom w:val="single" w:color="auto" w:sz="8"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62">
    <w:name w:val=" Char Char11"/>
    <w:basedOn w:val="1"/>
    <w:uiPriority w:val="0"/>
    <w:pPr>
      <w:spacing w:line="360" w:lineRule="auto"/>
    </w:pPr>
    <w:rPr>
      <w:szCs w:val="20"/>
    </w:rPr>
  </w:style>
  <w:style w:type="paragraph" w:customStyle="1" w:styleId="463">
    <w:name w:val="彩色列表 - 强调文字颜色 11"/>
    <w:basedOn w:val="1"/>
    <w:uiPriority w:val="0"/>
    <w:pPr>
      <w:adjustRightInd/>
      <w:ind w:firstLine="420" w:firstLineChars="200"/>
    </w:pPr>
    <w:rPr>
      <w:rFonts w:ascii="Calibri" w:hAnsi="Calibri"/>
      <w:szCs w:val="22"/>
    </w:rPr>
  </w:style>
  <w:style w:type="paragraph" w:customStyle="1" w:styleId="464">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465">
    <w:name w:val="单元格左对齐"/>
    <w:basedOn w:val="1"/>
    <w:uiPriority w:val="0"/>
    <w:pPr>
      <w:adjustRightInd/>
      <w:spacing w:line="360" w:lineRule="auto"/>
    </w:pPr>
    <w:rPr>
      <w:sz w:val="24"/>
    </w:rPr>
  </w:style>
  <w:style w:type="paragraph" w:customStyle="1" w:styleId="466">
    <w:name w:val="xl81"/>
    <w:basedOn w:val="1"/>
    <w:uiPriority w:val="0"/>
    <w:pPr>
      <w:widowControl/>
      <w:pBdr>
        <w:top w:val="single" w:color="auto" w:sz="4" w:space="0"/>
        <w:left w:val="single" w:color="auto" w:sz="4" w:space="0"/>
        <w:bottom w:val="single" w:color="auto" w:sz="8"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67">
    <w:name w:val="font14"/>
    <w:basedOn w:val="1"/>
    <w:uiPriority w:val="0"/>
    <w:pPr>
      <w:widowControl/>
      <w:adjustRightInd/>
      <w:spacing w:before="100" w:beforeLines="0" w:beforeAutospacing="1" w:after="100" w:afterLines="0" w:afterAutospacing="1"/>
      <w:jc w:val="left"/>
    </w:pPr>
    <w:rPr>
      <w:color w:val="FF0000"/>
      <w:kern w:val="0"/>
      <w:sz w:val="24"/>
    </w:rPr>
  </w:style>
  <w:style w:type="paragraph" w:customStyle="1" w:styleId="468">
    <w:name w:val="标书标题2"/>
    <w:basedOn w:val="3"/>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469">
    <w:name w:val="正文 项目"/>
    <w:basedOn w:val="1"/>
    <w:uiPriority w:val="0"/>
    <w:pPr>
      <w:widowControl/>
      <w:tabs>
        <w:tab w:val="left" w:pos="840"/>
      </w:tabs>
      <w:spacing w:after="120" w:afterLines="0" w:line="440" w:lineRule="exact"/>
      <w:ind w:left="840" w:hanging="420"/>
      <w:jc w:val="left"/>
    </w:pPr>
    <w:rPr>
      <w:rFonts w:ascii="仿宋_GB2312" w:hAnsi="仿宋_GB2312" w:eastAsia="仿宋_GB2312"/>
      <w:sz w:val="24"/>
      <w:szCs w:val="20"/>
    </w:rPr>
  </w:style>
  <w:style w:type="paragraph" w:customStyle="1" w:styleId="470">
    <w:name w:val="数字标题4"/>
    <w:basedOn w:val="5"/>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471">
    <w:name w:val="xl75"/>
    <w:basedOn w:val="1"/>
    <w:uiPriority w:val="0"/>
    <w:pPr>
      <w:widowControl/>
      <w:pBdr>
        <w:top w:val="single" w:color="auto" w:sz="4"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72">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473">
    <w:name w:val="xl100"/>
    <w:basedOn w:val="1"/>
    <w:uiPriority w:val="0"/>
    <w:pPr>
      <w:widowControl/>
      <w:pBdr>
        <w:left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474">
    <w:name w:val="xl134"/>
    <w:basedOn w:val="1"/>
    <w:uiPriority w:val="0"/>
    <w:pPr>
      <w:widowControl/>
      <w:pBdr>
        <w:left w:val="single" w:color="auto" w:sz="8" w:space="0"/>
        <w:bottom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475">
    <w:name w:val="_Style 423"/>
    <w:next w:val="1"/>
    <w:uiPriority w:val="0"/>
    <w:pPr>
      <w:widowControl w:val="0"/>
      <w:adjustRightInd w:val="0"/>
      <w:jc w:val="both"/>
    </w:pPr>
    <w:rPr>
      <w:kern w:val="2"/>
      <w:sz w:val="21"/>
      <w:szCs w:val="24"/>
      <w:lang w:val="en-US" w:eastAsia="zh-CN" w:bidi="ar-SA"/>
    </w:rPr>
  </w:style>
  <w:style w:type="paragraph" w:customStyle="1" w:styleId="476">
    <w:name w:val="样式8"/>
    <w:basedOn w:val="1"/>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77">
    <w:name w:val="金宏发行正文"/>
    <w:basedOn w:val="1"/>
    <w:uiPriority w:val="0"/>
    <w:pPr>
      <w:adjustRightInd/>
      <w:spacing w:line="500" w:lineRule="exact"/>
      <w:ind w:firstLine="560" w:firstLineChars="200"/>
    </w:pPr>
    <w:rPr>
      <w:rFonts w:eastAsia="仿宋_GB2312"/>
      <w:sz w:val="28"/>
      <w:szCs w:val="20"/>
    </w:rPr>
  </w:style>
  <w:style w:type="paragraph" w:customStyle="1" w:styleId="478">
    <w:name w:val="T 标题 6"/>
    <w:basedOn w:val="479"/>
    <w:uiPriority w:val="0"/>
    <w:pPr>
      <w:outlineLvl w:val="5"/>
    </w:pPr>
  </w:style>
  <w:style w:type="paragraph" w:customStyle="1" w:styleId="479">
    <w:name w:val="T 标题 5"/>
    <w:basedOn w:val="6"/>
    <w:uiPriority w:val="0"/>
    <w:pPr>
      <w:numPr>
        <w:ilvl w:val="0"/>
        <w:numId w:val="0"/>
      </w:numPr>
      <w:tabs>
        <w:tab w:val="clear" w:pos="1008"/>
      </w:tabs>
      <w:spacing w:before="156" w:beforeLines="50" w:after="156" w:afterLines="50" w:line="300" w:lineRule="auto"/>
      <w:ind w:firstLine="198"/>
      <w:textAlignment w:val="baseline"/>
    </w:pPr>
    <w:rPr>
      <w:b w:val="0"/>
      <w:kern w:val="0"/>
      <w:sz w:val="24"/>
      <w:szCs w:val="24"/>
      <w:lang w:val="zh-CN"/>
    </w:rPr>
  </w:style>
  <w:style w:type="paragraph" w:customStyle="1" w:styleId="480">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81">
    <w:name w:val="xl92"/>
    <w:basedOn w:val="1"/>
    <w:uiPriority w:val="0"/>
    <w:pPr>
      <w:widowControl/>
      <w:pBdr>
        <w:top w:val="single" w:color="auto" w:sz="4" w:space="0"/>
        <w:left w:val="single" w:color="auto" w:sz="8"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82">
    <w:name w:val="正文21"/>
    <w:basedOn w:val="1"/>
    <w:uiPriority w:val="0"/>
    <w:pPr>
      <w:adjustRightInd/>
      <w:spacing w:before="156" w:beforeLines="0" w:line="360" w:lineRule="auto"/>
      <w:ind w:firstLine="510" w:firstLineChars="200"/>
    </w:pPr>
    <w:rPr>
      <w:sz w:val="24"/>
      <w:szCs w:val="20"/>
    </w:rPr>
  </w:style>
  <w:style w:type="paragraph" w:customStyle="1" w:styleId="483">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84">
    <w:name w:val="xl115"/>
    <w:basedOn w:val="1"/>
    <w:uiPriority w:val="0"/>
    <w:pPr>
      <w:widowControl/>
      <w:pBdr>
        <w:top w:val="single" w:color="auto" w:sz="8" w:space="0"/>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485">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486">
    <w:name w:val="Char Char"/>
    <w:basedOn w:val="1"/>
    <w:uiPriority w:val="0"/>
    <w:pPr>
      <w:spacing w:line="360" w:lineRule="auto"/>
    </w:pPr>
    <w:rPr>
      <w:rFonts w:ascii="Tahoma" w:hAnsi="Tahoma"/>
      <w:sz w:val="24"/>
      <w:szCs w:val="20"/>
    </w:rPr>
  </w:style>
  <w:style w:type="paragraph" w:customStyle="1" w:styleId="487">
    <w:name w:val="FA正文"/>
    <w:basedOn w:val="1"/>
    <w:uiPriority w:val="0"/>
    <w:pPr>
      <w:spacing w:line="360" w:lineRule="auto"/>
      <w:ind w:firstLine="480" w:firstLineChars="200"/>
    </w:pPr>
    <w:rPr>
      <w:rFonts w:hAnsi="宋体"/>
      <w:sz w:val="24"/>
      <w:szCs w:val="20"/>
    </w:rPr>
  </w:style>
  <w:style w:type="paragraph" w:customStyle="1" w:styleId="488">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89">
    <w:name w:val="p0"/>
    <w:basedOn w:val="1"/>
    <w:uiPriority w:val="0"/>
    <w:pPr>
      <w:widowControl/>
      <w:adjustRightInd/>
    </w:pPr>
    <w:rPr>
      <w:kern w:val="0"/>
      <w:szCs w:val="21"/>
    </w:rPr>
  </w:style>
  <w:style w:type="paragraph" w:customStyle="1" w:styleId="490">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491">
    <w:name w:val=" Char Char1"/>
    <w:basedOn w:val="1"/>
    <w:uiPriority w:val="0"/>
    <w:pPr>
      <w:widowControl/>
      <w:spacing w:after="160" w:afterLines="0" w:line="240" w:lineRule="exact"/>
      <w:jc w:val="left"/>
    </w:pPr>
    <w:rPr>
      <w:rFonts w:eastAsia="仿宋_GB2312"/>
      <w:sz w:val="28"/>
    </w:rPr>
  </w:style>
  <w:style w:type="paragraph" w:customStyle="1" w:styleId="492">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93">
    <w:name w:val="序列1)2)3)"/>
    <w:basedOn w:val="1"/>
    <w:next w:val="1"/>
    <w:uiPriority w:val="0"/>
    <w:pPr>
      <w:widowControl/>
      <w:numPr>
        <w:ilvl w:val="1"/>
        <w:numId w:val="9"/>
      </w:numPr>
      <w:tabs>
        <w:tab w:val="left" w:pos="1366"/>
        <w:tab w:val="clear" w:pos="1588"/>
      </w:tabs>
      <w:snapToGrid w:val="0"/>
      <w:spacing w:line="400" w:lineRule="atLeast"/>
      <w:ind w:left="1366" w:hanging="500"/>
      <w:textAlignment w:val="baseline"/>
    </w:pPr>
    <w:rPr>
      <w:rFonts w:ascii="Calibri" w:hAnsi="Calibri"/>
      <w:sz w:val="24"/>
    </w:rPr>
  </w:style>
  <w:style w:type="paragraph" w:customStyle="1" w:styleId="494">
    <w:name w:val="单元格居中"/>
    <w:basedOn w:val="1"/>
    <w:uiPriority w:val="0"/>
    <w:pPr>
      <w:adjustRightInd/>
      <w:spacing w:line="360" w:lineRule="auto"/>
      <w:jc w:val="center"/>
    </w:pPr>
    <w:rPr>
      <w:sz w:val="24"/>
    </w:rPr>
  </w:style>
  <w:style w:type="paragraph" w:customStyle="1" w:styleId="495">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96">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97">
    <w:name w:val="xl70"/>
    <w:basedOn w:val="1"/>
    <w:uiPriority w:val="0"/>
    <w:pPr>
      <w:widowControl/>
      <w:pBdr>
        <w:top w:val="single" w:color="auto" w:sz="8" w:space="0"/>
        <w:left w:val="single" w:color="auto" w:sz="4"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498">
    <w:name w:val="样式 标题 1Level 1 HeadPIM 1Section Headh1l11Heading 0Datash..."/>
    <w:basedOn w:val="2"/>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499">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00">
    <w:name w:val="xl107"/>
    <w:basedOn w:val="1"/>
    <w:uiPriority w:val="0"/>
    <w:pPr>
      <w:widowControl/>
      <w:pBdr>
        <w:top w:val="single" w:color="auto" w:sz="8"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Cs w:val="21"/>
    </w:rPr>
  </w:style>
  <w:style w:type="paragraph" w:customStyle="1" w:styleId="501">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02">
    <w:name w:val="默认段落字体 Para Char Char Char Char Char Char Char Char Char Char Char Char Char Char Char Char"/>
    <w:basedOn w:val="24"/>
    <w:uiPriority w:val="0"/>
    <w:pPr>
      <w:adjustRightInd/>
    </w:pPr>
    <w:rPr>
      <w:rFonts w:ascii="Tahoma" w:hAnsi="Tahoma"/>
    </w:rPr>
  </w:style>
  <w:style w:type="paragraph" w:customStyle="1" w:styleId="503">
    <w:name w:val="xl7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04">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05">
    <w:name w:val=" Char Char Char Char Char Char Char Char"/>
    <w:basedOn w:val="1"/>
    <w:uiPriority w:val="0"/>
    <w:pPr>
      <w:tabs>
        <w:tab w:val="left" w:pos="360"/>
      </w:tabs>
    </w:pPr>
    <w:rPr>
      <w:sz w:val="24"/>
      <w:szCs w:val="20"/>
    </w:rPr>
  </w:style>
  <w:style w:type="paragraph" w:customStyle="1" w:styleId="506">
    <w:name w:val="xl113"/>
    <w:basedOn w:val="1"/>
    <w:uiPriority w:val="0"/>
    <w:pPr>
      <w:widowControl/>
      <w:pBdr>
        <w:top w:val="single" w:color="auto" w:sz="8" w:space="0"/>
        <w:left w:val="single" w:color="auto" w:sz="12"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507">
    <w:name w:val="四级条标题"/>
    <w:basedOn w:val="446"/>
    <w:next w:val="388"/>
    <w:uiPriority w:val="0"/>
    <w:pPr>
      <w:numPr>
        <w:ilvl w:val="5"/>
        <w:numId w:val="4"/>
      </w:numPr>
      <w:tabs>
        <w:tab w:val="clear" w:pos="2520"/>
      </w:tabs>
      <w:outlineLvl w:val="5"/>
    </w:pPr>
  </w:style>
  <w:style w:type="paragraph" w:customStyle="1" w:styleId="508">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509">
    <w:name w:val="浅色底纹 - 强调文字颜色 51"/>
    <w:uiPriority w:val="0"/>
    <w:rPr>
      <w:kern w:val="2"/>
      <w:sz w:val="21"/>
      <w:szCs w:val="24"/>
      <w:lang w:val="en-US" w:eastAsia="zh-CN" w:bidi="ar-SA"/>
    </w:rPr>
  </w:style>
  <w:style w:type="paragraph" w:customStyle="1" w:styleId="510">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511">
    <w:name w:val="subhead 2"/>
    <w:uiPriority w:val="0"/>
    <w:pPr>
      <w:spacing w:after="60" w:line="240" w:lineRule="exact"/>
    </w:pPr>
    <w:rPr>
      <w:rFonts w:ascii="Arial" w:hAnsi="Arial"/>
      <w:b/>
      <w:sz w:val="22"/>
      <w:lang w:val="en-US" w:eastAsia="en-US" w:bidi="ar-SA"/>
    </w:rPr>
  </w:style>
  <w:style w:type="paragraph" w:customStyle="1" w:styleId="512">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513">
    <w:name w:val="font13"/>
    <w:basedOn w:val="1"/>
    <w:uiPriority w:val="0"/>
    <w:pPr>
      <w:widowControl/>
      <w:adjustRightInd/>
      <w:spacing w:before="100" w:beforeLines="0" w:beforeAutospacing="1" w:after="100" w:afterLines="0" w:afterAutospacing="1"/>
      <w:jc w:val="left"/>
    </w:pPr>
    <w:rPr>
      <w:rFonts w:ascii="宋体" w:hAnsi="宋体" w:cs="宋体"/>
      <w:kern w:val="0"/>
      <w:sz w:val="18"/>
      <w:szCs w:val="18"/>
    </w:rPr>
  </w:style>
  <w:style w:type="paragraph" w:customStyle="1" w:styleId="514">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515">
    <w:name w:val="xl84"/>
    <w:basedOn w:val="1"/>
    <w:uiPriority w:val="0"/>
    <w:pPr>
      <w:widowControl/>
      <w:pBdr>
        <w:top w:val="single" w:color="auto" w:sz="4" w:space="0"/>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b/>
      <w:bCs/>
      <w:kern w:val="0"/>
      <w:sz w:val="20"/>
      <w:szCs w:val="20"/>
    </w:rPr>
  </w:style>
  <w:style w:type="paragraph" w:customStyle="1" w:styleId="516">
    <w:name w:val="样式7"/>
    <w:basedOn w:val="517"/>
    <w:next w:val="1"/>
    <w:uiPriority w:val="0"/>
    <w:pPr>
      <w:spacing w:after="156" w:afterLines="50"/>
      <w:jc w:val="left"/>
      <w:outlineLvl w:val="3"/>
    </w:pPr>
    <w:rPr>
      <w:sz w:val="24"/>
      <w:szCs w:val="24"/>
    </w:rPr>
  </w:style>
  <w:style w:type="paragraph" w:customStyle="1" w:styleId="517">
    <w:name w:val="样式4"/>
    <w:basedOn w:val="1"/>
    <w:uiPriority w:val="0"/>
    <w:pPr>
      <w:spacing w:line="360" w:lineRule="auto"/>
      <w:ind w:firstLine="420"/>
      <w:jc w:val="center"/>
      <w:outlineLvl w:val="2"/>
    </w:pPr>
    <w:rPr>
      <w:rFonts w:ascii="仿宋_GB2312" w:hAnsi="仿宋" w:eastAsia="仿宋_GB2312"/>
      <w:b/>
      <w:sz w:val="32"/>
      <w:szCs w:val="32"/>
    </w:rPr>
  </w:style>
  <w:style w:type="paragraph" w:customStyle="1" w:styleId="518">
    <w:name w:val="样式 正文文本缩进 2 + 仿宋_GB2312 黑色 行距: 1.5 倍行距"/>
    <w:basedOn w:val="49"/>
    <w:uiPriority w:val="0"/>
    <w:pPr>
      <w:adjustRightInd/>
      <w:ind w:firstLine="560" w:firstLineChars="200"/>
      <w:textAlignment w:val="auto"/>
    </w:pPr>
    <w:rPr>
      <w:rFonts w:hAnsi="宋体" w:cs="宋体"/>
      <w:color w:val="000000"/>
      <w:kern w:val="2"/>
      <w:sz w:val="24"/>
    </w:rPr>
  </w:style>
  <w:style w:type="paragraph" w:customStyle="1" w:styleId="519">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520">
    <w:name w:val="xl96"/>
    <w:basedOn w:val="1"/>
    <w:uiPriority w:val="0"/>
    <w:pPr>
      <w:widowControl/>
      <w:pBdr>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521">
    <w:name w:val="图中文字"/>
    <w:basedOn w:val="1"/>
    <w:uiPriority w:val="0"/>
    <w:pPr>
      <w:snapToGrid w:val="0"/>
      <w:spacing w:line="0" w:lineRule="atLeast"/>
      <w:ind w:firstLine="200" w:firstLineChars="200"/>
      <w:jc w:val="center"/>
    </w:pPr>
    <w:rPr>
      <w:sz w:val="24"/>
      <w:szCs w:val="20"/>
    </w:rPr>
  </w:style>
  <w:style w:type="paragraph" w:customStyle="1" w:styleId="522">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523">
    <w:name w:val="技术方案正文样式"/>
    <w:basedOn w:val="1"/>
    <w:uiPriority w:val="0"/>
    <w:pPr>
      <w:widowControl/>
      <w:numPr>
        <w:ilvl w:val="0"/>
        <w:numId w:val="10"/>
      </w:numPr>
      <w:tabs>
        <w:tab w:val="clear" w:pos="284"/>
      </w:tabs>
      <w:autoSpaceDE w:val="0"/>
      <w:autoSpaceDN w:val="0"/>
      <w:adjustRightInd/>
      <w:spacing w:line="400" w:lineRule="exact"/>
      <w:ind w:left="0" w:firstLine="0"/>
    </w:pPr>
    <w:rPr>
      <w:rFonts w:ascii="宋体" w:hAnsi="宋体" w:cs="宋体"/>
      <w:kern w:val="0"/>
      <w:sz w:val="24"/>
    </w:rPr>
  </w:style>
  <w:style w:type="paragraph" w:customStyle="1" w:styleId="524">
    <w:name w:val="xl139"/>
    <w:basedOn w:val="1"/>
    <w:uiPriority w:val="0"/>
    <w:pPr>
      <w:widowControl/>
      <w:pBdr>
        <w:top w:val="single" w:color="auto" w:sz="8" w:space="0"/>
        <w:left w:val="single" w:color="auto" w:sz="12" w:space="0"/>
        <w:bottom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525">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526">
    <w:name w:val="签署页"/>
    <w:basedOn w:val="1"/>
    <w:uiPriority w:val="0"/>
    <w:pPr>
      <w:widowControl/>
      <w:numPr>
        <w:ilvl w:val="0"/>
        <w:numId w:val="9"/>
      </w:numPr>
      <w:tabs>
        <w:tab w:val="clear" w:pos="907"/>
      </w:tabs>
      <w:snapToGrid w:val="0"/>
      <w:spacing w:line="480" w:lineRule="auto"/>
      <w:ind w:left="2438" w:hanging="1701"/>
      <w:textAlignment w:val="baseline"/>
    </w:pPr>
    <w:rPr>
      <w:rFonts w:ascii="宋体" w:hAnsi="Calibri"/>
      <w:spacing w:val="6"/>
      <w:sz w:val="32"/>
    </w:rPr>
  </w:style>
  <w:style w:type="paragraph" w:customStyle="1" w:styleId="527">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528">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529">
    <w:name w:val="xl117"/>
    <w:basedOn w:val="1"/>
    <w:uiPriority w:val="0"/>
    <w:pPr>
      <w:widowControl/>
      <w:pBdr>
        <w:left w:val="single" w:color="auto" w:sz="12" w:space="0"/>
        <w:bottom w:val="single" w:color="auto" w:sz="8" w:space="0"/>
        <w:right w:val="single" w:color="auto" w:sz="8" w:space="0"/>
      </w:pBdr>
      <w:adjustRightInd/>
      <w:spacing w:before="100" w:beforeLines="0" w:beforeAutospacing="1" w:after="100" w:afterLines="0" w:afterAutospacing="1"/>
      <w:jc w:val="left"/>
    </w:pPr>
    <w:rPr>
      <w:rFonts w:ascii="宋体" w:hAnsi="宋体" w:eastAsia="仿宋_GB2312" w:cs="宋体"/>
      <w:kern w:val="0"/>
      <w:sz w:val="20"/>
      <w:szCs w:val="20"/>
    </w:rPr>
  </w:style>
  <w:style w:type="paragraph" w:customStyle="1" w:styleId="530">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31">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532">
    <w:name w:val="List Paragraph1"/>
    <w:basedOn w:val="1"/>
    <w:uiPriority w:val="0"/>
    <w:pPr>
      <w:spacing w:line="360" w:lineRule="auto"/>
      <w:ind w:firstLine="200" w:firstLineChars="200"/>
    </w:pPr>
    <w:rPr>
      <w:rFonts w:eastAsia="楷体_GB2312" w:cs="Lucida Sans"/>
      <w:sz w:val="24"/>
    </w:rPr>
  </w:style>
  <w:style w:type="paragraph" w:customStyle="1" w:styleId="533">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34">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535">
    <w:name w:val="xl99"/>
    <w:basedOn w:val="1"/>
    <w:uiPriority w:val="0"/>
    <w:pPr>
      <w:widowControl/>
      <w:pBdr>
        <w:left w:val="single" w:color="auto" w:sz="12"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536">
    <w:name w:val="xl109"/>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b/>
      <w:bCs/>
      <w:kern w:val="0"/>
      <w:szCs w:val="21"/>
    </w:rPr>
  </w:style>
  <w:style w:type="paragraph" w:customStyle="1" w:styleId="537">
    <w:name w:val="Char Char1 Char Char1 Char Char1"/>
    <w:basedOn w:val="1"/>
    <w:uiPriority w:val="0"/>
    <w:pPr>
      <w:tabs>
        <w:tab w:val="left" w:pos="840"/>
      </w:tabs>
      <w:ind w:left="840" w:hanging="420"/>
    </w:pPr>
    <w:rPr>
      <w:rFonts w:ascii="Tahoma" w:hAnsi="Tahoma"/>
      <w:sz w:val="24"/>
    </w:rPr>
  </w:style>
  <w:style w:type="paragraph" w:customStyle="1" w:styleId="538">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styleId="539">
    <w:name w:val="No Spacing"/>
    <w:qFormat/>
    <w:uiPriority w:val="0"/>
    <w:pPr>
      <w:widowControl w:val="0"/>
      <w:jc w:val="both"/>
    </w:pPr>
    <w:rPr>
      <w:kern w:val="2"/>
      <w:sz w:val="21"/>
      <w:szCs w:val="22"/>
      <w:lang w:val="en-US" w:eastAsia="zh-CN" w:bidi="ar-SA"/>
    </w:rPr>
  </w:style>
  <w:style w:type="paragraph" w:customStyle="1" w:styleId="540">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41">
    <w:name w:val="彩色底纹 - 强调文字颜色 11"/>
    <w:uiPriority w:val="0"/>
    <w:rPr>
      <w:kern w:val="2"/>
      <w:sz w:val="21"/>
      <w:szCs w:val="24"/>
      <w:lang w:val="en-US" w:eastAsia="zh-CN" w:bidi="ar-SA"/>
    </w:rPr>
  </w:style>
  <w:style w:type="paragraph" w:customStyle="1" w:styleId="542">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43">
    <w:name w:val="正文（首行缩进2字符）"/>
    <w:basedOn w:val="1"/>
    <w:uiPriority w:val="0"/>
    <w:pPr>
      <w:adjustRightInd/>
      <w:spacing w:line="360" w:lineRule="auto"/>
      <w:ind w:firstLine="480" w:firstLineChars="200"/>
    </w:pPr>
    <w:rPr>
      <w:sz w:val="24"/>
      <w:szCs w:val="20"/>
    </w:rPr>
  </w:style>
  <w:style w:type="paragraph" w:customStyle="1" w:styleId="544">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45">
    <w:name w:val="样式 样式2 + 左侧:  1 字符 右侧:  1 字符"/>
    <w:basedOn w:val="374"/>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546">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47">
    <w:name w:val="正文表标题"/>
    <w:next w:val="388"/>
    <w:uiPriority w:val="0"/>
    <w:pPr>
      <w:tabs>
        <w:tab w:val="left" w:pos="840"/>
      </w:tabs>
      <w:ind w:left="840" w:hanging="420"/>
      <w:jc w:val="center"/>
    </w:pPr>
    <w:rPr>
      <w:rFonts w:ascii="黑体" w:eastAsia="黑体"/>
      <w:sz w:val="21"/>
      <w:lang w:val="en-US" w:eastAsia="zh-CN" w:bidi="ar-SA"/>
    </w:rPr>
  </w:style>
  <w:style w:type="paragraph" w:customStyle="1" w:styleId="548">
    <w:name w:val="xl111"/>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549">
    <w:name w:val="xl118"/>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b/>
      <w:bCs/>
      <w:kern w:val="0"/>
      <w:sz w:val="20"/>
      <w:szCs w:val="20"/>
    </w:rPr>
  </w:style>
  <w:style w:type="paragraph" w:customStyle="1" w:styleId="550">
    <w:name w:val="Char"/>
    <w:basedOn w:val="1"/>
    <w:uiPriority w:val="0"/>
    <w:rPr>
      <w:rFonts w:ascii="仿宋_GB2312" w:eastAsia="仿宋_GB2312"/>
      <w:b/>
      <w:sz w:val="32"/>
      <w:szCs w:val="32"/>
    </w:rPr>
  </w:style>
  <w:style w:type="paragraph" w:customStyle="1" w:styleId="551">
    <w:name w:val="数字标题6"/>
    <w:basedOn w:val="7"/>
    <w:next w:val="1"/>
    <w:uiPriority w:val="0"/>
    <w:pPr>
      <w:numPr>
        <w:ilvl w:val="5"/>
        <w:numId w:val="8"/>
      </w:numPr>
      <w:tabs>
        <w:tab w:val="clear" w:pos="1152"/>
      </w:tabs>
    </w:pPr>
    <w:rPr>
      <w:rFonts w:ascii="Times New Roman" w:hAnsi="Times New Roman" w:eastAsia="宋体"/>
      <w:i/>
    </w:rPr>
  </w:style>
  <w:style w:type="paragraph" w:customStyle="1" w:styleId="552">
    <w:name w:val="Char Char1 Char Char Char Char Char Char Char"/>
    <w:basedOn w:val="1"/>
    <w:uiPriority w:val="0"/>
    <w:pPr>
      <w:adjustRightInd/>
    </w:pPr>
    <w:rPr>
      <w:rFonts w:ascii="Tahoma" w:hAnsi="Tahoma" w:eastAsia="仿宋_GB2312"/>
      <w:sz w:val="28"/>
    </w:rPr>
  </w:style>
  <w:style w:type="paragraph" w:customStyle="1" w:styleId="553">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54">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555">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556">
    <w:name w:val="WW-正文文字缩进 2"/>
    <w:basedOn w:val="1"/>
    <w:uiPriority w:val="0"/>
    <w:pPr>
      <w:suppressAutoHyphens/>
      <w:adjustRightInd/>
      <w:ind w:firstLine="420"/>
    </w:pPr>
    <w:rPr>
      <w:kern w:val="1"/>
      <w:szCs w:val="20"/>
      <w:lang/>
    </w:rPr>
  </w:style>
  <w:style w:type="paragraph" w:customStyle="1" w:styleId="557">
    <w:name w:val="xl125"/>
    <w:basedOn w:val="1"/>
    <w:uiPriority w:val="0"/>
    <w:pPr>
      <w:widowControl/>
      <w:pBdr>
        <w:top w:val="single" w:color="auto" w:sz="8" w:space="0"/>
        <w:left w:val="single" w:color="auto" w:sz="12"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558">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559">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60">
    <w:name w:val="数字标题2"/>
    <w:basedOn w:val="3"/>
    <w:next w:val="1"/>
    <w:uiPriority w:val="0"/>
    <w:pPr>
      <w:numPr>
        <w:ilvl w:val="1"/>
        <w:numId w:val="8"/>
      </w:numPr>
      <w:tabs>
        <w:tab w:val="clear" w:pos="432"/>
      </w:tabs>
    </w:pPr>
    <w:rPr>
      <w:rFonts w:ascii="Times New Roman" w:eastAsia="宋体"/>
      <w:i/>
      <w:sz w:val="36"/>
      <w:szCs w:val="36"/>
      <w:lang w:val="en-US"/>
    </w:rPr>
  </w:style>
  <w:style w:type="paragraph" w:customStyle="1" w:styleId="561">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62">
    <w:name w:val="xl135"/>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563">
    <w:name w:val="Bulleted List"/>
    <w:basedOn w:val="1"/>
    <w:uiPriority w:val="0"/>
    <w:pPr>
      <w:tabs>
        <w:tab w:val="left" w:pos="1260"/>
      </w:tabs>
      <w:adjustRightInd/>
      <w:ind w:left="1260" w:hanging="420"/>
    </w:pPr>
  </w:style>
  <w:style w:type="paragraph" w:customStyle="1" w:styleId="564">
    <w:name w:val=" Char3"/>
    <w:basedOn w:val="1"/>
    <w:uiPriority w:val="0"/>
    <w:pPr>
      <w:adjustRightInd/>
    </w:pPr>
    <w:rPr>
      <w:rFonts w:ascii="仿宋_GB2312" w:eastAsia="仿宋_GB2312"/>
      <w:b/>
      <w:sz w:val="32"/>
      <w:szCs w:val="32"/>
    </w:rPr>
  </w:style>
  <w:style w:type="paragraph" w:customStyle="1" w:styleId="565">
    <w:name w:val=" Char Char11 Char Char Char Char Char Char Char Char Char"/>
    <w:basedOn w:val="1"/>
    <w:uiPriority w:val="0"/>
    <w:pPr>
      <w:spacing w:line="360" w:lineRule="auto"/>
    </w:pPr>
    <w:rPr>
      <w:szCs w:val="20"/>
    </w:rPr>
  </w:style>
  <w:style w:type="paragraph" w:customStyle="1" w:styleId="566">
    <w:name w:val="列表内容"/>
    <w:basedOn w:val="1"/>
    <w:next w:val="1"/>
    <w:uiPriority w:val="0"/>
    <w:pPr>
      <w:widowControl/>
      <w:tabs>
        <w:tab w:val="left" w:pos="840"/>
      </w:tabs>
      <w:ind w:left="840" w:hanging="420"/>
      <w:jc w:val="left"/>
    </w:pPr>
    <w:rPr>
      <w:kern w:val="0"/>
      <w:sz w:val="18"/>
    </w:rPr>
  </w:style>
  <w:style w:type="paragraph" w:customStyle="1" w:styleId="567">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568">
    <w:name w:val="正文 项目2"/>
    <w:basedOn w:val="469"/>
    <w:uiPriority w:val="0"/>
    <w:pPr>
      <w:numPr>
        <w:ilvl w:val="0"/>
        <w:numId w:val="11"/>
      </w:numPr>
      <w:tabs>
        <w:tab w:val="clear" w:pos="840"/>
      </w:tabs>
      <w:spacing w:after="0" w:afterLines="0"/>
    </w:pPr>
  </w:style>
  <w:style w:type="paragraph" w:customStyle="1" w:styleId="569">
    <w:name w:val="方案正文"/>
    <w:basedOn w:val="1"/>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570">
    <w:name w:val="xl123"/>
    <w:basedOn w:val="1"/>
    <w:uiPriority w:val="0"/>
    <w:pPr>
      <w:widowControl/>
      <w:pBdr>
        <w:bottom w:val="single" w:color="auto" w:sz="8" w:space="0"/>
        <w:right w:val="single" w:color="auto" w:sz="8"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571">
    <w:name w:val="Char2"/>
    <w:basedOn w:val="1"/>
    <w:uiPriority w:val="0"/>
    <w:rPr>
      <w:rFonts w:ascii="仿宋_GB2312" w:eastAsia="仿宋_GB2312"/>
      <w:b/>
      <w:sz w:val="32"/>
      <w:szCs w:val="32"/>
    </w:rPr>
  </w:style>
  <w:style w:type="paragraph" w:customStyle="1" w:styleId="572">
    <w:name w:val=" Char Char Char Char Char Char Char Char Char Char"/>
    <w:basedOn w:val="1"/>
    <w:uiPriority w:val="0"/>
    <w:rPr>
      <w:rFonts w:ascii="仿宋_GB2312" w:eastAsia="仿宋_GB2312"/>
      <w:b/>
      <w:sz w:val="32"/>
      <w:szCs w:val="32"/>
    </w:rPr>
  </w:style>
  <w:style w:type="paragraph" w:customStyle="1" w:styleId="573">
    <w:name w:val="xl71"/>
    <w:basedOn w:val="1"/>
    <w:uiPriority w:val="0"/>
    <w:pPr>
      <w:widowControl/>
      <w:pBdr>
        <w:top w:val="single" w:color="auto" w:sz="8"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74">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75">
    <w:name w:val="xl101"/>
    <w:basedOn w:val="1"/>
    <w:uiPriority w:val="0"/>
    <w:pPr>
      <w:widowControl/>
      <w:pBdr>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576">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577">
    <w:name w:val="Char Char Char Char Char Char Char Char Char"/>
    <w:basedOn w:val="1"/>
    <w:uiPriority w:val="0"/>
    <w:pPr>
      <w:adjustRightInd/>
      <w:ind w:firstLine="200" w:firstLineChars="200"/>
    </w:pPr>
    <w:rPr>
      <w:rFonts w:ascii="Tahoma" w:hAnsi="Tahoma"/>
      <w:sz w:val="24"/>
      <w:szCs w:val="20"/>
    </w:rPr>
  </w:style>
  <w:style w:type="paragraph" w:customStyle="1" w:styleId="578">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579">
    <w:name w:val="正文文字缩进2字"/>
    <w:basedOn w:val="32"/>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580">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581">
    <w:name w:val="正文1"/>
    <w:basedOn w:val="42"/>
    <w:uiPriority w:val="0"/>
    <w:pPr>
      <w:ind w:left="0" w:leftChars="0" w:firstLine="480" w:firstLineChars="200"/>
    </w:pPr>
    <w:rPr>
      <w:rFonts w:ascii="仿宋_GB2312" w:hAnsi="Courier New" w:eastAsia="仿宋_GB2312"/>
      <w:kern w:val="28"/>
      <w:sz w:val="24"/>
    </w:rPr>
  </w:style>
  <w:style w:type="paragraph" w:customStyle="1" w:styleId="582">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583">
    <w:name w:val="xl94"/>
    <w:basedOn w:val="1"/>
    <w:uiPriority w:val="0"/>
    <w:pPr>
      <w:widowControl/>
      <w:pBdr>
        <w:top w:val="single" w:color="auto" w:sz="8" w:space="0"/>
        <w:left w:val="single" w:color="auto" w:sz="12" w:space="0"/>
        <w:right w:val="single" w:color="auto" w:sz="8" w:space="0"/>
      </w:pBdr>
      <w:adjustRightInd/>
      <w:spacing w:before="100" w:beforeLines="0" w:beforeAutospacing="1" w:after="100" w:afterLines="0" w:afterAutospacing="1"/>
      <w:jc w:val="left"/>
    </w:pPr>
    <w:rPr>
      <w:rFonts w:ascii="宋体" w:hAnsi="宋体" w:eastAsia="仿宋_GB2312" w:cs="宋体"/>
      <w:kern w:val="0"/>
      <w:szCs w:val="21"/>
    </w:rPr>
  </w:style>
  <w:style w:type="paragraph" w:customStyle="1" w:styleId="584">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585">
    <w:name w:val="编号正文"/>
    <w:basedOn w:val="1"/>
    <w:uiPriority w:val="0"/>
    <w:pPr>
      <w:numPr>
        <w:ilvl w:val="0"/>
        <w:numId w:val="12"/>
      </w:numPr>
      <w:adjustRightInd/>
    </w:pPr>
    <w:rPr>
      <w:rFonts w:ascii="Tahoma" w:hAnsi="Tahoma"/>
      <w:sz w:val="24"/>
      <w:szCs w:val="20"/>
    </w:rPr>
  </w:style>
  <w:style w:type="paragraph" w:customStyle="1" w:styleId="586">
    <w:name w:val="xl86"/>
    <w:basedOn w:val="1"/>
    <w:uiPriority w:val="0"/>
    <w:pPr>
      <w:widowControl/>
      <w:pBdr>
        <w:top w:val="single" w:color="auto" w:sz="4" w:space="0"/>
        <w:lef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87">
    <w:name w:val="font11"/>
    <w:basedOn w:val="1"/>
    <w:uiPriority w:val="0"/>
    <w:pPr>
      <w:widowControl/>
      <w:adjustRightInd/>
      <w:spacing w:before="100" w:beforeLines="0" w:beforeAutospacing="1" w:after="100" w:afterLines="0" w:afterAutospacing="1"/>
      <w:jc w:val="left"/>
    </w:pPr>
    <w:rPr>
      <w:rFonts w:ascii="宋体" w:hAnsi="宋体" w:eastAsia="仿宋_GB2312" w:cs="宋体"/>
      <w:b/>
      <w:bCs/>
      <w:kern w:val="0"/>
      <w:sz w:val="22"/>
      <w:szCs w:val="22"/>
    </w:rPr>
  </w:style>
  <w:style w:type="paragraph" w:customStyle="1" w:styleId="588">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589">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590">
    <w:name w:val="Char Char Char1"/>
    <w:basedOn w:val="1"/>
    <w:uiPriority w:val="0"/>
    <w:pPr>
      <w:adjustRightInd/>
    </w:pPr>
    <w:rPr>
      <w:rFonts w:eastAsia="仿宋_GB2312"/>
      <w:szCs w:val="21"/>
    </w:rPr>
  </w:style>
  <w:style w:type="paragraph" w:customStyle="1" w:styleId="591">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92">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93">
    <w:name w:val="xl7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jc w:val="center"/>
    </w:pPr>
    <w:rPr>
      <w:rFonts w:ascii="微软雅黑" w:hAnsi="微软雅黑" w:eastAsia="微软雅黑" w:cs="宋体"/>
      <w:color w:val="000000"/>
      <w:kern w:val="0"/>
      <w:sz w:val="20"/>
      <w:szCs w:val="20"/>
    </w:rPr>
  </w:style>
  <w:style w:type="paragraph" w:customStyle="1" w:styleId="594">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95">
    <w:name w:val="trs_editor"/>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96">
    <w:name w:val="xl108"/>
    <w:basedOn w:val="1"/>
    <w:uiPriority w:val="0"/>
    <w:pPr>
      <w:widowControl/>
      <w:pBdr>
        <w:top w:val="single" w:color="auto" w:sz="8" w:space="0"/>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b/>
      <w:bCs/>
      <w:kern w:val="0"/>
      <w:szCs w:val="21"/>
    </w:rPr>
  </w:style>
  <w:style w:type="paragraph" w:customStyle="1" w:styleId="597">
    <w:name w:val="彩色列表 - 强调文字颜色 12"/>
    <w:basedOn w:val="1"/>
    <w:uiPriority w:val="0"/>
    <w:pPr>
      <w:adjustRightInd/>
      <w:ind w:firstLine="420" w:firstLineChars="200"/>
    </w:pPr>
    <w:rPr>
      <w:rFonts w:ascii="Calibri" w:hAnsi="Calibri"/>
      <w:szCs w:val="22"/>
    </w:rPr>
  </w:style>
  <w:style w:type="paragraph" w:customStyle="1" w:styleId="598">
    <w:name w:val="xl88"/>
    <w:basedOn w:val="1"/>
    <w:uiPriority w:val="0"/>
    <w:pPr>
      <w:widowControl/>
      <w:pBdr>
        <w:top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599">
    <w:name w:val="xl127"/>
    <w:basedOn w:val="1"/>
    <w:uiPriority w:val="0"/>
    <w:pPr>
      <w:widowControl/>
      <w:pBdr>
        <w:top w:val="single" w:color="auto" w:sz="8" w:space="0"/>
        <w:bottom w:val="single" w:color="auto" w:sz="8" w:space="0"/>
        <w:right w:val="single" w:color="auto" w:sz="12"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styleId="600">
    <w:name w:val=""/>
    <w:uiPriority w:val="0"/>
    <w:rPr>
      <w:kern w:val="2"/>
      <w:sz w:val="21"/>
      <w:lang w:val="en-US" w:eastAsia="zh-CN" w:bidi="ar-SA"/>
    </w:rPr>
  </w:style>
  <w:style w:type="paragraph" w:customStyle="1" w:styleId="601">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602">
    <w:name w:val="TOC 标题1"/>
    <w:basedOn w:val="2"/>
    <w:next w:val="1"/>
    <w:uiPriority w:val="0"/>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603">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604">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05">
    <w:name w:val=" Char Char1 Char Char Char Char Char Char"/>
    <w:basedOn w:val="1"/>
    <w:uiPriority w:val="0"/>
    <w:rPr>
      <w:rFonts w:ascii="仿宋_GB2312" w:eastAsia="仿宋_GB2312"/>
      <w:b/>
      <w:sz w:val="32"/>
      <w:szCs w:val="20"/>
    </w:rPr>
  </w:style>
  <w:style w:type="paragraph" w:customStyle="1" w:styleId="606">
    <w:name w:val="正文段"/>
    <w:basedOn w:val="1"/>
    <w:uiPriority w:val="99"/>
    <w:pPr>
      <w:widowControl/>
      <w:snapToGrid w:val="0"/>
      <w:spacing w:after="156" w:afterLines="50"/>
      <w:ind w:firstLine="200" w:firstLineChars="200"/>
    </w:pPr>
    <w:rPr>
      <w:kern w:val="0"/>
      <w:sz w:val="24"/>
      <w:szCs w:val="20"/>
    </w:rPr>
  </w:style>
  <w:style w:type="paragraph" w:customStyle="1" w:styleId="607">
    <w:name w:val="样式 标题 2H2h2Underrubrik1prop2l2Chapter Titlesect 1.2DO NO..."/>
    <w:basedOn w:val="3"/>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608">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609">
    <w:name w:val="a1"/>
    <w:basedOn w:val="1"/>
    <w:uiPriority w:val="0"/>
    <w:pPr>
      <w:widowControl/>
      <w:spacing w:line="300" w:lineRule="atLeast"/>
      <w:jc w:val="left"/>
    </w:pPr>
    <w:rPr>
      <w:rFonts w:ascii="宋体" w:hAnsi="宋体"/>
      <w:kern w:val="0"/>
      <w:sz w:val="18"/>
      <w:szCs w:val="20"/>
    </w:rPr>
  </w:style>
  <w:style w:type="paragraph" w:customStyle="1" w:styleId="610">
    <w:name w:val="xl122"/>
    <w:basedOn w:val="1"/>
    <w:uiPriority w:val="0"/>
    <w:pPr>
      <w:widowControl/>
      <w:pBdr>
        <w:top w:val="single" w:color="auto" w:sz="8" w:space="0"/>
        <w:bottom w:val="single" w:color="auto" w:sz="8" w:space="0"/>
        <w:right w:val="single" w:color="auto" w:sz="12" w:space="0"/>
      </w:pBdr>
      <w:adjustRightInd/>
      <w:spacing w:before="100" w:beforeLines="0" w:beforeAutospacing="1" w:after="100" w:afterLines="0" w:afterAutospacing="1"/>
      <w:jc w:val="center"/>
    </w:pPr>
    <w:rPr>
      <w:rFonts w:ascii="宋体" w:hAnsi="宋体" w:eastAsia="仿宋_GB2312" w:cs="宋体"/>
      <w:b/>
      <w:bCs/>
      <w:kern w:val="0"/>
      <w:sz w:val="22"/>
      <w:szCs w:val="22"/>
    </w:rPr>
  </w:style>
  <w:style w:type="paragraph" w:customStyle="1" w:styleId="611">
    <w:name w:val="Char3"/>
    <w:basedOn w:val="1"/>
    <w:uiPriority w:val="0"/>
    <w:pPr>
      <w:adjustRightInd/>
      <w:ind w:firstLine="200" w:firstLineChars="200"/>
    </w:pPr>
    <w:rPr>
      <w:rFonts w:ascii="Tahoma" w:hAnsi="Tahoma"/>
      <w:sz w:val="24"/>
      <w:szCs w:val="20"/>
    </w:rPr>
  </w:style>
  <w:style w:type="paragraph" w:customStyle="1" w:styleId="612">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13">
    <w:name w:val="正文文字缩进项目"/>
    <w:basedOn w:val="33"/>
    <w:uiPriority w:val="0"/>
    <w:pPr>
      <w:tabs>
        <w:tab w:val="left" w:pos="840"/>
      </w:tabs>
      <w:adjustRightInd/>
      <w:spacing w:after="120" w:afterLines="0" w:line="240" w:lineRule="auto"/>
      <w:ind w:hanging="420" w:firstLineChars="0"/>
    </w:pPr>
    <w:rPr>
      <w:rFonts w:ascii="Tahoma" w:hAnsi="Tahoma"/>
      <w:sz w:val="22"/>
      <w:szCs w:val="20"/>
    </w:rPr>
  </w:style>
  <w:style w:type="paragraph" w:customStyle="1" w:styleId="614">
    <w:name w:val="Char19"/>
    <w:basedOn w:val="1"/>
    <w:uiPriority w:val="0"/>
    <w:pPr>
      <w:adjustRightInd/>
    </w:pPr>
    <w:rPr>
      <w:szCs w:val="20"/>
    </w:rPr>
  </w:style>
  <w:style w:type="paragraph" w:customStyle="1" w:styleId="615">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616">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17">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618">
    <w:name w:val="xl91"/>
    <w:basedOn w:val="1"/>
    <w:uiPriority w:val="0"/>
    <w:pPr>
      <w:widowControl/>
      <w:pBdr>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19">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20">
    <w:name w:val="xl65"/>
    <w:basedOn w:val="1"/>
    <w:uiPriority w:val="0"/>
    <w:pPr>
      <w:widowControl/>
      <w:adjustRightInd/>
      <w:spacing w:before="100" w:beforeLines="0" w:beforeAutospacing="1" w:after="100" w:afterLines="0" w:afterAutospacing="1"/>
      <w:jc w:val="left"/>
    </w:pPr>
    <w:rPr>
      <w:rFonts w:ascii="宋体" w:hAnsi="宋体" w:eastAsia="仿宋_GB2312" w:cs="宋体"/>
      <w:kern w:val="0"/>
      <w:sz w:val="28"/>
    </w:rPr>
  </w:style>
  <w:style w:type="paragraph" w:customStyle="1" w:styleId="621">
    <w:name w:val="样式 标题 3h33rd level3Heading 3 - oldH3l3CTheading 3Headin..."/>
    <w:basedOn w:val="4"/>
    <w:uiPriority w:val="0"/>
    <w:pPr>
      <w:snapToGrid w:val="0"/>
      <w:ind w:left="0" w:firstLine="0"/>
      <w:jc w:val="left"/>
    </w:pPr>
    <w:rPr>
      <w:rFonts w:eastAsia="黑体" w:cs="宋体"/>
      <w:sz w:val="28"/>
      <w:szCs w:val="20"/>
    </w:rPr>
  </w:style>
  <w:style w:type="paragraph" w:customStyle="1" w:styleId="622">
    <w:name w:val="font10"/>
    <w:basedOn w:val="1"/>
    <w:uiPriority w:val="0"/>
    <w:pPr>
      <w:widowControl/>
      <w:adjustRightInd/>
      <w:spacing w:before="100" w:beforeLines="0" w:beforeAutospacing="1" w:after="100" w:afterLines="0" w:afterAutospacing="1"/>
      <w:jc w:val="left"/>
    </w:pPr>
    <w:rPr>
      <w:rFonts w:eastAsia="仿宋_GB2312"/>
      <w:b/>
      <w:bCs/>
      <w:kern w:val="0"/>
      <w:sz w:val="22"/>
      <w:szCs w:val="22"/>
    </w:rPr>
  </w:style>
  <w:style w:type="paragraph" w:customStyle="1" w:styleId="623">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624">
    <w:name w:val="数字标题3"/>
    <w:basedOn w:val="4"/>
    <w:next w:val="1"/>
    <w:uiPriority w:val="0"/>
    <w:pPr>
      <w:numPr>
        <w:ilvl w:val="2"/>
        <w:numId w:val="0"/>
      </w:numPr>
      <w:spacing w:line="240" w:lineRule="auto"/>
    </w:pPr>
    <w:rPr>
      <w:sz w:val="28"/>
      <w:szCs w:val="28"/>
    </w:rPr>
  </w:style>
  <w:style w:type="paragraph" w:customStyle="1" w:styleId="625">
    <w:name w:val=" Char1 Char Char Char"/>
    <w:basedOn w:val="1"/>
    <w:uiPriority w:val="0"/>
    <w:rPr>
      <w:rFonts w:ascii="Tahoma" w:hAnsi="Tahoma"/>
      <w:sz w:val="24"/>
      <w:szCs w:val="20"/>
    </w:rPr>
  </w:style>
  <w:style w:type="paragraph" w:customStyle="1" w:styleId="626">
    <w:name w:val=" Char3 Char Char Char"/>
    <w:basedOn w:val="1"/>
    <w:uiPriority w:val="0"/>
    <w:pPr>
      <w:widowControl/>
      <w:adjustRightInd/>
      <w:spacing w:after="160" w:afterLines="0" w:line="240" w:lineRule="exact"/>
      <w:jc w:val="left"/>
    </w:pPr>
    <w:rPr>
      <w:szCs w:val="20"/>
    </w:rPr>
  </w:style>
  <w:style w:type="paragraph" w:customStyle="1" w:styleId="627">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628">
    <w:name w:val="xl140"/>
    <w:basedOn w:val="1"/>
    <w:uiPriority w:val="0"/>
    <w:pPr>
      <w:widowControl/>
      <w:pBdr>
        <w:top w:val="single" w:color="auto" w:sz="8" w:space="0"/>
        <w:bottom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629">
    <w:name w:val="样式 标题 3标题 3 Char第二层条h33Bold Headbh章标题1小标题level_3PIM 3..."/>
    <w:basedOn w:val="4"/>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630">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631">
    <w:name w:val="小节"/>
    <w:basedOn w:val="4"/>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632">
    <w:name w:val="Char1 Char Char Char4"/>
    <w:basedOn w:val="1"/>
    <w:uiPriority w:val="0"/>
    <w:pPr>
      <w:adjustRightInd/>
      <w:ind w:firstLine="200" w:firstLineChars="200"/>
    </w:pPr>
    <w:rPr>
      <w:rFonts w:ascii="Tahoma" w:hAnsi="Tahoma"/>
      <w:sz w:val="24"/>
      <w:szCs w:val="20"/>
    </w:rPr>
  </w:style>
  <w:style w:type="paragraph" w:customStyle="1" w:styleId="633">
    <w:name w:val="xl121"/>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kern w:val="0"/>
      <w:sz w:val="20"/>
      <w:szCs w:val="20"/>
    </w:rPr>
  </w:style>
  <w:style w:type="paragraph" w:customStyle="1" w:styleId="634">
    <w:name w:val="表格"/>
    <w:basedOn w:val="1"/>
    <w:uiPriority w:val="0"/>
    <w:pPr>
      <w:snapToGrid w:val="0"/>
      <w:ind w:firstLine="42" w:firstLineChars="21"/>
    </w:pPr>
    <w:rPr>
      <w:rFonts w:ascii="宋体" w:hAnsi="宋体"/>
      <w:kern w:val="0"/>
      <w:sz w:val="20"/>
      <w:szCs w:val="20"/>
    </w:rPr>
  </w:style>
  <w:style w:type="paragraph" w:customStyle="1" w:styleId="635">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36">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37">
    <w:name w:val="Char1 Char Char Char1"/>
    <w:basedOn w:val="1"/>
    <w:uiPriority w:val="0"/>
    <w:pPr>
      <w:adjustRightInd/>
      <w:ind w:firstLine="200" w:firstLineChars="200"/>
    </w:pPr>
    <w:rPr>
      <w:rFonts w:ascii="Tahoma" w:hAnsi="Tahoma"/>
      <w:sz w:val="24"/>
      <w:szCs w:val="20"/>
    </w:rPr>
  </w:style>
  <w:style w:type="paragraph" w:customStyle="1" w:styleId="638">
    <w:name w:val="Char Char8 Char Char Char Char Char Char1"/>
    <w:basedOn w:val="1"/>
    <w:uiPriority w:val="0"/>
    <w:pPr>
      <w:adjustRightInd/>
      <w:spacing w:line="360" w:lineRule="auto"/>
    </w:pPr>
    <w:rPr>
      <w:rFonts w:ascii="宋体" w:hAnsi="宋体" w:eastAsia="仿宋_GB2312"/>
      <w:sz w:val="22"/>
    </w:rPr>
  </w:style>
  <w:style w:type="paragraph" w:customStyle="1" w:styleId="639">
    <w:name w:val="xl119"/>
    <w:basedOn w:val="1"/>
    <w:uiPriority w:val="0"/>
    <w:pPr>
      <w:widowControl/>
      <w:pBdr>
        <w:bottom w:val="single" w:color="auto" w:sz="8" w:space="0"/>
        <w:right w:val="single" w:color="auto" w:sz="8" w:space="0"/>
      </w:pBdr>
      <w:adjustRightInd/>
      <w:spacing w:before="100" w:beforeLines="0" w:beforeAutospacing="1" w:after="100" w:afterLines="0" w:afterAutospacing="1"/>
      <w:jc w:val="left"/>
    </w:pPr>
    <w:rPr>
      <w:rFonts w:eastAsia="仿宋_GB2312"/>
      <w:b/>
      <w:bCs/>
      <w:kern w:val="0"/>
      <w:sz w:val="20"/>
      <w:szCs w:val="20"/>
    </w:rPr>
  </w:style>
  <w:style w:type="paragraph" w:customStyle="1" w:styleId="640">
    <w:name w:val=" Char Char Char Char"/>
    <w:basedOn w:val="1"/>
    <w:uiPriority w:val="0"/>
    <w:rPr>
      <w:rFonts w:ascii="Tahoma" w:hAnsi="Tahoma"/>
      <w:sz w:val="24"/>
      <w:szCs w:val="20"/>
    </w:rPr>
  </w:style>
  <w:style w:type="paragraph" w:customStyle="1" w:styleId="641">
    <w:name w:val="样式 左侧:  0.85 厘米 首行缩进:  0.85 厘米"/>
    <w:basedOn w:val="1"/>
    <w:uiPriority w:val="0"/>
    <w:pPr>
      <w:adjustRightInd/>
      <w:spacing w:line="360" w:lineRule="auto"/>
      <w:ind w:firstLine="482"/>
    </w:pPr>
    <w:rPr>
      <w:rFonts w:cs="宋体"/>
      <w:sz w:val="24"/>
      <w:szCs w:val="20"/>
    </w:rPr>
  </w:style>
  <w:style w:type="paragraph" w:customStyle="1" w:styleId="642">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643">
    <w:name w:val="表格内文"/>
    <w:basedOn w:val="1"/>
    <w:uiPriority w:val="0"/>
    <w:pPr>
      <w:adjustRightInd/>
      <w:spacing w:line="360" w:lineRule="auto"/>
    </w:pPr>
    <w:rPr>
      <w:rFonts w:ascii="宋体" w:hAnsi="宋体" w:cs="宋体"/>
      <w:color w:val="000000"/>
      <w:szCs w:val="20"/>
    </w:rPr>
  </w:style>
  <w:style w:type="paragraph" w:customStyle="1" w:styleId="644">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45">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646">
    <w:name w:val="aspnumfaautoadjustrightr"/>
    <w:uiPriority w:val="0"/>
    <w:pPr>
      <w:widowControl w:val="0"/>
      <w:autoSpaceDE w:val="0"/>
      <w:autoSpaceDN w:val="0"/>
      <w:adjustRightInd w:val="0"/>
      <w:ind w:firstLine="720"/>
      <w:jc w:val="both"/>
    </w:pPr>
    <w:rPr>
      <w:lang w:val="en-US" w:eastAsia="zh-CN" w:bidi="ar-SA"/>
    </w:rPr>
  </w:style>
  <w:style w:type="paragraph" w:customStyle="1" w:styleId="647">
    <w:name w:val="五级条标题"/>
    <w:basedOn w:val="507"/>
    <w:next w:val="388"/>
    <w:uiPriority w:val="0"/>
    <w:pPr>
      <w:numPr>
        <w:ilvl w:val="6"/>
        <w:numId w:val="4"/>
      </w:numPr>
      <w:tabs>
        <w:tab w:val="clear" w:pos="2940"/>
      </w:tabs>
      <w:outlineLvl w:val="6"/>
    </w:pPr>
  </w:style>
  <w:style w:type="paragraph" w:customStyle="1" w:styleId="648">
    <w:name w:val="MM Title"/>
    <w:basedOn w:val="81"/>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649">
    <w:name w:val="xl112"/>
    <w:basedOn w:val="1"/>
    <w:uiPriority w:val="0"/>
    <w:pPr>
      <w:widowControl/>
      <w:pBdr>
        <w:bottom w:val="single" w:color="auto" w:sz="8" w:space="0"/>
        <w:right w:val="single" w:color="auto" w:sz="8" w:space="0"/>
      </w:pBdr>
      <w:adjustRightInd/>
      <w:spacing w:before="100" w:beforeLines="0" w:beforeAutospacing="1" w:after="100" w:afterLines="0" w:afterAutospacing="1"/>
      <w:jc w:val="left"/>
    </w:pPr>
    <w:rPr>
      <w:rFonts w:eastAsia="仿宋_GB2312"/>
      <w:kern w:val="0"/>
      <w:szCs w:val="21"/>
    </w:rPr>
  </w:style>
  <w:style w:type="paragraph" w:customStyle="1" w:styleId="650">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651">
    <w:name w:val="默认段落字体 Para Char Char Char Char"/>
    <w:basedOn w:val="1"/>
    <w:uiPriority w:val="0"/>
    <w:pPr>
      <w:spacing w:line="360" w:lineRule="auto"/>
    </w:pPr>
    <w:rPr>
      <w:szCs w:val="20"/>
    </w:rPr>
  </w:style>
  <w:style w:type="paragraph" w:customStyle="1" w:styleId="652">
    <w:name w:val="xl103"/>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653">
    <w:name w:val="默认段落字体 Para Char Char Char1 Char"/>
    <w:basedOn w:val="1"/>
    <w:uiPriority w:val="0"/>
    <w:pPr>
      <w:spacing w:line="240" w:lineRule="atLeast"/>
      <w:ind w:left="420" w:firstLine="420"/>
    </w:pPr>
    <w:rPr>
      <w:sz w:val="24"/>
    </w:rPr>
  </w:style>
  <w:style w:type="paragraph" w:customStyle="1" w:styleId="654">
    <w:name w:val="样式 标题 4PIM 4H4h4bulletblbbH41H42H43H44H45H46H47H48...1"/>
    <w:basedOn w:val="5"/>
    <w:uiPriority w:val="0"/>
    <w:pPr>
      <w:widowControl/>
      <w:jc w:val="left"/>
    </w:pPr>
    <w:rPr>
      <w:rFonts w:cs="宋体"/>
      <w:sz w:val="24"/>
      <w:szCs w:val="20"/>
    </w:rPr>
  </w:style>
  <w:style w:type="paragraph" w:customStyle="1" w:styleId="655">
    <w:name w:val="xl85"/>
    <w:basedOn w:val="1"/>
    <w:uiPriority w:val="0"/>
    <w:pPr>
      <w:widowControl/>
      <w:pBdr>
        <w:top w:val="single" w:color="auto" w:sz="4" w:space="0"/>
        <w:bottom w:val="single" w:color="auto" w:sz="4" w:space="0"/>
        <w:right w:val="single" w:color="auto" w:sz="8" w:space="0"/>
      </w:pBdr>
      <w:shd w:val="clear" w:color="000000" w:fill="FFFFFF"/>
      <w:adjustRightInd/>
      <w:spacing w:before="100" w:beforeLines="0" w:beforeAutospacing="1" w:after="100" w:afterLines="0" w:afterAutospacing="1"/>
      <w:jc w:val="center"/>
    </w:pPr>
    <w:rPr>
      <w:rFonts w:ascii="微软雅黑" w:hAnsi="微软雅黑" w:eastAsia="微软雅黑" w:cs="宋体"/>
      <w:b/>
      <w:bCs/>
      <w:kern w:val="0"/>
      <w:sz w:val="20"/>
      <w:szCs w:val="20"/>
    </w:rPr>
  </w:style>
  <w:style w:type="paragraph" w:customStyle="1" w:styleId="656">
    <w:name w:val="Char Char1 Char Char Char Char Char Char Char1"/>
    <w:basedOn w:val="1"/>
    <w:uiPriority w:val="0"/>
    <w:pPr>
      <w:adjustRightInd/>
    </w:pPr>
    <w:rPr>
      <w:rFonts w:ascii="Tahoma" w:hAnsi="Tahoma" w:eastAsia="仿宋_GB2312"/>
      <w:sz w:val="28"/>
    </w:rPr>
  </w:style>
  <w:style w:type="paragraph" w:customStyle="1" w:styleId="657">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658">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59">
    <w:name w:val="文本正文 Char"/>
    <w:basedOn w:val="1"/>
    <w:uiPriority w:val="0"/>
    <w:pPr>
      <w:spacing w:line="360" w:lineRule="auto"/>
      <w:ind w:firstLine="200" w:firstLineChars="200"/>
    </w:pPr>
    <w:rPr>
      <w:kern w:val="0"/>
      <w:sz w:val="24"/>
      <w:szCs w:val="20"/>
    </w:rPr>
  </w:style>
  <w:style w:type="paragraph" w:customStyle="1" w:styleId="660">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661">
    <w:name w:val="xl93"/>
    <w:basedOn w:val="1"/>
    <w:uiPriority w:val="0"/>
    <w:pPr>
      <w:widowControl/>
      <w:pBdr>
        <w:top w:val="single" w:color="auto" w:sz="4" w:space="0"/>
        <w:left w:val="single" w:color="auto" w:sz="8" w:space="0"/>
        <w:bottom w:val="single" w:color="auto" w:sz="8" w:space="0"/>
        <w:right w:val="single" w:color="auto" w:sz="4"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62">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663">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64">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665">
    <w:name w:val="标准书眉_奇数页"/>
    <w:next w:val="1"/>
    <w:uiPriority w:val="0"/>
    <w:pPr>
      <w:tabs>
        <w:tab w:val="center" w:pos="4154"/>
        <w:tab w:val="right" w:pos="8306"/>
      </w:tabs>
      <w:spacing w:after="120"/>
      <w:jc w:val="right"/>
    </w:pPr>
    <w:rPr>
      <w:sz w:val="21"/>
      <w:lang w:val="en-US" w:eastAsia="zh-CN" w:bidi="ar-SA"/>
    </w:rPr>
  </w:style>
  <w:style w:type="paragraph" w:customStyle="1" w:styleId="666">
    <w:name w:val="CSS1级正文 Char"/>
    <w:basedOn w:val="32"/>
    <w:uiPriority w:val="0"/>
    <w:pPr>
      <w:autoSpaceDE/>
      <w:autoSpaceDN/>
      <w:snapToGrid w:val="0"/>
      <w:ind w:firstLine="480" w:firstLineChars="200"/>
    </w:pPr>
    <w:rPr>
      <w:rFonts w:ascii="Times New Roman"/>
      <w:szCs w:val="24"/>
      <w:lang w:val="en-US" w:eastAsia="zh-CN"/>
    </w:rPr>
  </w:style>
  <w:style w:type="paragraph" w:customStyle="1" w:styleId="667">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668">
    <w:name w:val="Char2 Char Char Char"/>
    <w:basedOn w:val="1"/>
    <w:uiPriority w:val="0"/>
    <w:rPr>
      <w:rFonts w:ascii="仿宋_GB2312" w:eastAsia="仿宋_GB2312"/>
      <w:b/>
      <w:sz w:val="32"/>
      <w:szCs w:val="32"/>
    </w:rPr>
  </w:style>
  <w:style w:type="paragraph" w:customStyle="1" w:styleId="669">
    <w:name w:val="Thf"/>
    <w:basedOn w:val="670"/>
    <w:uiPriority w:val="0"/>
    <w:pPr>
      <w:ind w:left="0"/>
    </w:pPr>
  </w:style>
  <w:style w:type="paragraph" w:customStyle="1" w:styleId="670">
    <w:name w:val="Th"/>
    <w:uiPriority w:val="0"/>
    <w:pPr>
      <w:keepNext/>
      <w:keepLines/>
      <w:spacing w:before="20" w:after="60" w:line="220" w:lineRule="exact"/>
      <w:ind w:left="240"/>
    </w:pPr>
    <w:rPr>
      <w:b/>
      <w:sz w:val="19"/>
      <w:lang w:val="en-US" w:eastAsia="en-US" w:bidi="ar-SA"/>
    </w:rPr>
  </w:style>
  <w:style w:type="paragraph" w:customStyle="1" w:styleId="671">
    <w:name w:val="xl80"/>
    <w:basedOn w:val="1"/>
    <w:uiPriority w:val="0"/>
    <w:pPr>
      <w:widowControl/>
      <w:pBdr>
        <w:top w:val="single" w:color="auto" w:sz="4" w:space="0"/>
        <w:left w:val="single" w:color="auto" w:sz="8" w:space="0"/>
        <w:bottom w:val="single" w:color="auto" w:sz="4" w:space="0"/>
        <w:right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672">
    <w:name w:val=" Char Char Char"/>
    <w:basedOn w:val="1"/>
    <w:uiPriority w:val="0"/>
    <w:rPr>
      <w:rFonts w:ascii="Tahoma" w:hAnsi="Tahoma"/>
      <w:sz w:val="24"/>
      <w:szCs w:val="20"/>
    </w:rPr>
  </w:style>
  <w:style w:type="paragraph" w:customStyle="1" w:styleId="673">
    <w:name w:val="MM Topic 1"/>
    <w:basedOn w:val="2"/>
    <w:uiPriority w:val="0"/>
    <w:pPr>
      <w:numPr>
        <w:ilvl w:val="0"/>
        <w:numId w:val="0"/>
      </w:numPr>
      <w:tabs>
        <w:tab w:val="left" w:pos="840"/>
        <w:tab w:val="clear" w:pos="432"/>
      </w:tabs>
      <w:adjustRightInd/>
      <w:ind w:left="840" w:hanging="420"/>
    </w:pPr>
  </w:style>
  <w:style w:type="paragraph" w:customStyle="1" w:styleId="674">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675">
    <w:name w:val="xl66"/>
    <w:basedOn w:val="1"/>
    <w:uiPriority w:val="0"/>
    <w:pPr>
      <w:widowControl/>
      <w:shd w:val="clear" w:color="000000" w:fill="FFFF00"/>
      <w:adjustRightInd/>
      <w:spacing w:before="100" w:beforeLines="0" w:beforeAutospacing="1" w:after="100" w:afterLines="0" w:afterAutospacing="1"/>
      <w:jc w:val="left"/>
    </w:pPr>
    <w:rPr>
      <w:rFonts w:ascii="宋体" w:hAnsi="宋体" w:eastAsia="仿宋_GB2312" w:cs="宋体"/>
      <w:kern w:val="0"/>
      <w:sz w:val="28"/>
    </w:rPr>
  </w:style>
  <w:style w:type="paragraph" w:customStyle="1" w:styleId="676">
    <w:name w:val="注释"/>
    <w:basedOn w:val="1"/>
    <w:uiPriority w:val="0"/>
    <w:pPr>
      <w:adjustRightInd/>
      <w:spacing w:line="360" w:lineRule="auto"/>
      <w:ind w:firstLine="480"/>
    </w:pPr>
    <w:rPr>
      <w:sz w:val="24"/>
    </w:rPr>
  </w:style>
  <w:style w:type="paragraph" w:customStyle="1" w:styleId="677">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678">
    <w:name w:val="带编号样式"/>
    <w:basedOn w:val="659"/>
    <w:uiPriority w:val="0"/>
    <w:pPr>
      <w:tabs>
        <w:tab w:val="left" w:pos="840"/>
      </w:tabs>
      <w:snapToGrid w:val="0"/>
      <w:ind w:left="840" w:hanging="420" w:firstLineChars="0"/>
    </w:pPr>
    <w:rPr>
      <w:rFonts w:ascii="仿宋_GB2312" w:eastAsia="仿宋_GB2312"/>
      <w:color w:val="000000"/>
    </w:rPr>
  </w:style>
  <w:style w:type="paragraph" w:customStyle="1" w:styleId="679">
    <w:name w:val=" Char2 Char Char"/>
    <w:basedOn w:val="1"/>
    <w:uiPriority w:val="0"/>
    <w:pPr>
      <w:adjustRightInd/>
    </w:pPr>
    <w:rPr>
      <w:rFonts w:ascii="Tahoma" w:hAnsi="Tahoma"/>
      <w:sz w:val="24"/>
      <w:szCs w:val="20"/>
    </w:rPr>
  </w:style>
  <w:style w:type="paragraph" w:customStyle="1" w:styleId="680">
    <w:name w:val="表格项目符号 2"/>
    <w:basedOn w:val="38"/>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81">
    <w:name w:val="标书标题4"/>
    <w:basedOn w:val="5"/>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682">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683">
    <w:name w:val="正文 首行缩进:  2 字符 Char"/>
    <w:basedOn w:val="1"/>
    <w:uiPriority w:val="0"/>
    <w:pPr>
      <w:adjustRightInd/>
      <w:spacing w:line="360" w:lineRule="auto"/>
      <w:ind w:firstLine="480"/>
    </w:pPr>
    <w:rPr>
      <w:rFonts w:cs="宋体"/>
      <w:sz w:val="24"/>
      <w:szCs w:val="20"/>
    </w:rPr>
  </w:style>
  <w:style w:type="paragraph" w:customStyle="1" w:styleId="684">
    <w:name w:val="样式1 + (中宋体"/>
    <w:basedOn w:val="542"/>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85">
    <w:name w:val="xl77"/>
    <w:basedOn w:val="1"/>
    <w:uiPriority w:val="0"/>
    <w:pPr>
      <w:widowControl/>
      <w:pBdr>
        <w:top w:val="single" w:color="auto" w:sz="4"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color w:val="000000"/>
      <w:kern w:val="0"/>
      <w:sz w:val="20"/>
      <w:szCs w:val="20"/>
    </w:rPr>
  </w:style>
  <w:style w:type="paragraph" w:customStyle="1" w:styleId="686">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687">
    <w:name w:val="Table Text"/>
    <w:basedOn w:val="1"/>
    <w:uiPriority w:val="0"/>
    <w:pPr>
      <w:widowControl/>
      <w:spacing w:before="60" w:beforeLines="0" w:after="60" w:afterLines="0"/>
      <w:jc w:val="left"/>
    </w:pPr>
    <w:rPr>
      <w:kern w:val="0"/>
      <w:sz w:val="24"/>
    </w:rPr>
  </w:style>
  <w:style w:type="paragraph" w:customStyle="1" w:styleId="688">
    <w:name w:val="中铁-标题三"/>
    <w:basedOn w:val="459"/>
    <w:uiPriority w:val="0"/>
    <w:pPr>
      <w:numPr>
        <w:ilvl w:val="2"/>
        <w:numId w:val="7"/>
      </w:numPr>
      <w:outlineLvl w:val="2"/>
    </w:pPr>
    <w:rPr>
      <w:sz w:val="32"/>
    </w:rPr>
  </w:style>
  <w:style w:type="paragraph" w:customStyle="1" w:styleId="689">
    <w:name w:val="中等深浅网格 1 - 强调文字颜色 21"/>
    <w:basedOn w:val="1"/>
    <w:uiPriority w:val="0"/>
    <w:pPr>
      <w:spacing w:line="360" w:lineRule="auto"/>
      <w:ind w:firstLine="200" w:firstLineChars="200"/>
    </w:pPr>
    <w:rPr>
      <w:rFonts w:eastAsia="楷体_GB2312" w:cs="Lucida Sans"/>
      <w:sz w:val="24"/>
    </w:rPr>
  </w:style>
  <w:style w:type="paragraph" w:customStyle="1" w:styleId="690">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91">
    <w:name w:val="正文 编号"/>
    <w:basedOn w:val="1"/>
    <w:uiPriority w:val="0"/>
    <w:pPr>
      <w:widowControl/>
      <w:tabs>
        <w:tab w:val="left" w:pos="840"/>
      </w:tabs>
      <w:spacing w:after="120" w:afterLines="0" w:line="440" w:lineRule="exact"/>
      <w:ind w:left="840" w:hanging="420"/>
      <w:jc w:val="left"/>
    </w:pPr>
    <w:rPr>
      <w:rFonts w:ascii="仿宋_GB2312" w:hAnsi="仿宋_GB2312" w:eastAsia="仿宋_GB2312"/>
      <w:sz w:val="24"/>
      <w:szCs w:val="20"/>
    </w:rPr>
  </w:style>
  <w:style w:type="paragraph" w:customStyle="1" w:styleId="692">
    <w:name w:val="中铁-标题五"/>
    <w:basedOn w:val="693"/>
    <w:uiPriority w:val="0"/>
    <w:pPr>
      <w:numPr>
        <w:ilvl w:val="4"/>
        <w:numId w:val="7"/>
      </w:numPr>
      <w:outlineLvl w:val="4"/>
    </w:pPr>
    <w:rPr>
      <w:sz w:val="28"/>
    </w:rPr>
  </w:style>
  <w:style w:type="paragraph" w:customStyle="1" w:styleId="693">
    <w:name w:val="中铁-标题四"/>
    <w:basedOn w:val="688"/>
    <w:uiPriority w:val="0"/>
    <w:pPr>
      <w:numPr>
        <w:ilvl w:val="3"/>
        <w:numId w:val="7"/>
      </w:numPr>
      <w:outlineLvl w:val="3"/>
    </w:pPr>
    <w:rPr>
      <w:sz w:val="30"/>
    </w:rPr>
  </w:style>
  <w:style w:type="paragraph" w:customStyle="1" w:styleId="694">
    <w:name w:val="表格标题2"/>
    <w:basedOn w:val="643"/>
    <w:uiPriority w:val="0"/>
    <w:rPr>
      <w:b/>
    </w:rPr>
  </w:style>
  <w:style w:type="paragraph" w:customStyle="1" w:styleId="695">
    <w:name w:val="样式 标题 1 + 黑色 段前: 0.5 行 段后: 0.5 行1"/>
    <w:basedOn w:val="2"/>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696">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697">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698">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99">
    <w:name w:val=" Char1"/>
    <w:basedOn w:val="1"/>
    <w:uiPriority w:val="0"/>
    <w:rPr>
      <w:rFonts w:ascii="仿宋_GB2312" w:eastAsia="仿宋_GB2312"/>
      <w:b/>
      <w:sz w:val="32"/>
      <w:szCs w:val="32"/>
    </w:rPr>
  </w:style>
  <w:style w:type="paragraph" w:customStyle="1" w:styleId="700">
    <w:name w:val="默认段落字体 Para Char Char Char Char Char Char Char"/>
    <w:basedOn w:val="1"/>
    <w:uiPriority w:val="0"/>
    <w:rPr>
      <w:rFonts w:eastAsia="仿宋_GB2312"/>
      <w:sz w:val="28"/>
      <w:szCs w:val="20"/>
    </w:rPr>
  </w:style>
  <w:style w:type="paragraph" w:customStyle="1" w:styleId="701">
    <w:name w:val="MM Empty"/>
    <w:basedOn w:val="1"/>
    <w:uiPriority w:val="0"/>
    <w:pPr>
      <w:adjustRightInd/>
    </w:pPr>
  </w:style>
  <w:style w:type="paragraph" w:customStyle="1" w:styleId="702">
    <w:name w:val="索引 11"/>
    <w:basedOn w:val="1"/>
    <w:next w:val="1"/>
    <w:uiPriority w:val="0"/>
    <w:pPr>
      <w:adjustRightInd/>
      <w:spacing w:line="360" w:lineRule="auto"/>
    </w:pPr>
    <w:rPr>
      <w:rFonts w:ascii="仿宋_GB2312" w:eastAsia="仿宋_GB2312"/>
      <w:sz w:val="24"/>
      <w:szCs w:val="20"/>
    </w:rPr>
  </w:style>
  <w:style w:type="paragraph" w:customStyle="1" w:styleId="703">
    <w:name w:val="左对齐表格文字"/>
    <w:basedOn w:val="1"/>
    <w:uiPriority w:val="0"/>
    <w:pPr>
      <w:adjustRightInd/>
      <w:ind w:firstLine="200" w:firstLineChars="200"/>
      <w:jc w:val="right"/>
    </w:pPr>
  </w:style>
  <w:style w:type="paragraph" w:customStyle="1" w:styleId="704">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705">
    <w:name w:val="FUNO题注"/>
    <w:next w:val="1"/>
    <w:uiPriority w:val="0"/>
    <w:pPr>
      <w:jc w:val="center"/>
    </w:pPr>
    <w:rPr>
      <w:rFonts w:eastAsia="黑体"/>
      <w:kern w:val="2"/>
      <w:sz w:val="18"/>
      <w:szCs w:val="22"/>
      <w:lang w:val="en-US" w:eastAsia="zh-CN" w:bidi="ar-SA"/>
    </w:rPr>
  </w:style>
  <w:style w:type="paragraph" w:customStyle="1" w:styleId="706">
    <w:name w:val="Char1 Char Char Char5"/>
    <w:basedOn w:val="1"/>
    <w:uiPriority w:val="0"/>
    <w:pPr>
      <w:adjustRightInd/>
      <w:ind w:firstLine="200" w:firstLineChars="200"/>
    </w:pPr>
    <w:rPr>
      <w:rFonts w:ascii="Tahoma" w:hAnsi="Tahoma"/>
      <w:sz w:val="24"/>
      <w:szCs w:val="20"/>
    </w:rPr>
  </w:style>
  <w:style w:type="paragraph" w:customStyle="1" w:styleId="707">
    <w:name w:val="表格（小）"/>
    <w:basedOn w:val="1"/>
    <w:uiPriority w:val="0"/>
    <w:pPr>
      <w:adjustRightInd/>
      <w:snapToGrid w:val="0"/>
      <w:spacing w:line="300" w:lineRule="auto"/>
    </w:pPr>
    <w:rPr>
      <w:rFonts w:eastAsia="仿宋"/>
      <w:szCs w:val="21"/>
    </w:rPr>
  </w:style>
  <w:style w:type="paragraph" w:customStyle="1" w:styleId="708">
    <w:name w:val="样式 正文文本缩进 + 左侧:  2 字符 首行缩进:  2 字符"/>
    <w:basedOn w:val="33"/>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709">
    <w:name w:val="Char Char8 Char Char Char Char Char Char"/>
    <w:basedOn w:val="1"/>
    <w:uiPriority w:val="0"/>
    <w:pPr>
      <w:adjustRightInd/>
      <w:spacing w:line="360" w:lineRule="auto"/>
    </w:pPr>
    <w:rPr>
      <w:rFonts w:ascii="宋体" w:hAnsi="宋体" w:eastAsia="仿宋_GB2312"/>
      <w:sz w:val="22"/>
    </w:rPr>
  </w:style>
  <w:style w:type="paragraph" w:customStyle="1" w:styleId="710">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711">
    <w:name w:val="!大节"/>
    <w:basedOn w:val="3"/>
    <w:uiPriority w:val="0"/>
    <w:pPr>
      <w:numPr>
        <w:ilvl w:val="0"/>
        <w:numId w:val="0"/>
      </w:numPr>
      <w:spacing w:before="260" w:beforeLines="0" w:after="260" w:afterLines="0" w:line="413" w:lineRule="auto"/>
      <w:ind w:left="420" w:hanging="420"/>
      <w:jc w:val="left"/>
    </w:pPr>
    <w:rPr>
      <w:rFonts w:ascii="Arial" w:hAnsi="Arial" w:eastAsia="微软雅黑"/>
      <w:sz w:val="32"/>
      <w:szCs w:val="32"/>
      <w:lang w:val="en-US"/>
    </w:rPr>
  </w:style>
  <w:style w:type="paragraph" w:customStyle="1" w:styleId="712">
    <w:name w:val=" Char Char Char1 Char"/>
    <w:basedOn w:val="1"/>
    <w:uiPriority w:val="0"/>
    <w:rPr>
      <w:szCs w:val="20"/>
    </w:rPr>
  </w:style>
  <w:style w:type="paragraph" w:customStyle="1" w:styleId="713">
    <w:name w:val="xl133"/>
    <w:basedOn w:val="1"/>
    <w:uiPriority w:val="0"/>
    <w:pPr>
      <w:widowControl/>
      <w:pBdr>
        <w:left w:val="single" w:color="auto" w:sz="8" w:space="0"/>
        <w:bottom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714">
    <w:name w:val="xl102"/>
    <w:basedOn w:val="1"/>
    <w:uiPriority w:val="0"/>
    <w:pPr>
      <w:widowControl/>
      <w:pBdr>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715">
    <w:name w:val="MM Topic 2"/>
    <w:basedOn w:val="3"/>
    <w:uiPriority w:val="0"/>
    <w:pPr>
      <w:numPr>
        <w:ilvl w:val="1"/>
        <w:numId w:val="4"/>
      </w:numPr>
      <w:tabs>
        <w:tab w:val="clear" w:pos="432"/>
      </w:tabs>
    </w:pPr>
    <w:rPr>
      <w:rFonts w:ascii="Arial" w:hAnsi="Arial" w:eastAsia="黑体"/>
      <w:sz w:val="32"/>
      <w:szCs w:val="32"/>
      <w:lang w:val="en-US"/>
    </w:rPr>
  </w:style>
  <w:style w:type="paragraph" w:customStyle="1" w:styleId="716">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717">
    <w:name w:val="xl137"/>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b/>
      <w:bCs/>
      <w:kern w:val="0"/>
      <w:szCs w:val="21"/>
    </w:rPr>
  </w:style>
  <w:style w:type="paragraph" w:customStyle="1" w:styleId="718">
    <w:name w:val="正文－恩普"/>
    <w:basedOn w:val="19"/>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19">
    <w:name w:val="Char2 Char Char"/>
    <w:basedOn w:val="1"/>
    <w:uiPriority w:val="0"/>
    <w:pPr>
      <w:adjustRightInd/>
    </w:pPr>
    <w:rPr>
      <w:rFonts w:ascii="Tahoma" w:hAnsi="Tahoma"/>
      <w:sz w:val="24"/>
      <w:szCs w:val="20"/>
    </w:rPr>
  </w:style>
  <w:style w:type="paragraph" w:customStyle="1" w:styleId="720">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21">
    <w:name w:val="正文文字 2"/>
    <w:basedOn w:val="347"/>
    <w:next w:val="347"/>
    <w:uiPriority w:val="0"/>
    <w:rPr>
      <w:rFonts w:ascii="宋体" w:eastAsia="宋体" w:cs="Times New Roman"/>
      <w:color w:val="auto"/>
    </w:rPr>
  </w:style>
  <w:style w:type="paragraph" w:customStyle="1" w:styleId="722">
    <w:name w:val="xl95"/>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center"/>
    </w:pPr>
    <w:rPr>
      <w:rFonts w:ascii="宋体" w:hAnsi="宋体" w:eastAsia="仿宋_GB2312" w:cs="宋体"/>
      <w:kern w:val="0"/>
      <w:szCs w:val="21"/>
    </w:rPr>
  </w:style>
  <w:style w:type="paragraph" w:customStyle="1" w:styleId="723">
    <w:name w:val="trademark"/>
    <w:uiPriority w:val="0"/>
    <w:pPr>
      <w:spacing w:after="60"/>
    </w:pPr>
    <w:rPr>
      <w:rFonts w:ascii="Futura Bk" w:hAnsi="Futura Bk"/>
      <w:sz w:val="15"/>
      <w:lang w:val="en-US" w:eastAsia="en-US" w:bidi="ar-SA"/>
    </w:rPr>
  </w:style>
  <w:style w:type="paragraph" w:customStyle="1" w:styleId="724">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725">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726">
    <w:name w:val="Char1 Char Char Char2"/>
    <w:basedOn w:val="1"/>
    <w:uiPriority w:val="0"/>
    <w:pPr>
      <w:adjustRightInd/>
      <w:ind w:firstLine="200" w:firstLineChars="200"/>
    </w:pPr>
    <w:rPr>
      <w:rFonts w:ascii="Tahoma" w:hAnsi="Tahoma"/>
      <w:sz w:val="24"/>
      <w:szCs w:val="20"/>
    </w:rPr>
  </w:style>
  <w:style w:type="paragraph" w:customStyle="1" w:styleId="727">
    <w:name w:val="默认段落字体 Para Char"/>
    <w:basedOn w:val="1"/>
    <w:uiPriority w:val="0"/>
    <w:rPr>
      <w:rFonts w:ascii="Tahoma" w:hAnsi="Tahoma"/>
      <w:sz w:val="24"/>
      <w:szCs w:val="20"/>
    </w:rPr>
  </w:style>
  <w:style w:type="paragraph" w:customStyle="1" w:styleId="728">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729">
    <w:name w:val="正文文字格式"/>
    <w:basedOn w:val="1"/>
    <w:uiPriority w:val="0"/>
    <w:pPr>
      <w:adjustRightInd/>
      <w:spacing w:line="460" w:lineRule="exact"/>
      <w:ind w:firstLine="505"/>
      <w:jc w:val="left"/>
    </w:pPr>
    <w:rPr>
      <w:rFonts w:ascii="宋体"/>
      <w:kern w:val="24"/>
      <w:sz w:val="24"/>
      <w:szCs w:val="20"/>
    </w:rPr>
  </w:style>
  <w:style w:type="paragraph" w:customStyle="1" w:styleId="730">
    <w:name w:val="P1"/>
    <w:basedOn w:val="1"/>
    <w:uiPriority w:val="0"/>
    <w:pPr>
      <w:adjustRightInd/>
      <w:spacing w:line="288" w:lineRule="auto"/>
      <w:ind w:firstLine="425" w:firstLineChars="200"/>
    </w:pPr>
  </w:style>
  <w:style w:type="paragraph" w:customStyle="1" w:styleId="731">
    <w:name w:val="Char Char Char Char Char Char Char Char Char Char Char1 Char"/>
    <w:basedOn w:val="1"/>
    <w:uiPriority w:val="0"/>
    <w:pPr>
      <w:adjustRightInd/>
    </w:pPr>
    <w:rPr>
      <w:rFonts w:ascii="Tahoma" w:hAnsi="Tahoma"/>
      <w:sz w:val="24"/>
      <w:lang/>
    </w:rPr>
  </w:style>
  <w:style w:type="paragraph" w:customStyle="1" w:styleId="732">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733">
    <w:name w:val="有符号正文"/>
    <w:basedOn w:val="1"/>
    <w:uiPriority w:val="0"/>
    <w:pPr>
      <w:adjustRightInd/>
      <w:spacing w:line="400" w:lineRule="exact"/>
      <w:ind w:firstLine="200" w:firstLineChars="200"/>
    </w:pPr>
    <w:rPr>
      <w:rFonts w:ascii="Arial" w:hAnsi="Arial"/>
    </w:rPr>
  </w:style>
  <w:style w:type="paragraph" w:customStyle="1" w:styleId="734">
    <w:name w:val="UNI_正文"/>
    <w:basedOn w:val="1"/>
    <w:uiPriority w:val="0"/>
    <w:pPr>
      <w:adjustRightInd/>
      <w:spacing w:before="60" w:beforeLines="0" w:after="60" w:afterLines="0"/>
      <w:ind w:firstLine="200" w:firstLineChars="200"/>
    </w:pPr>
    <w:rPr>
      <w:rFonts w:eastAsia="仿宋_GB2312"/>
      <w:sz w:val="28"/>
      <w:szCs w:val="20"/>
    </w:rPr>
  </w:style>
  <w:style w:type="paragraph" w:customStyle="1" w:styleId="735">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Lines="0" w:beforeAutospacing="1" w:after="100" w:afterLines="0" w:afterAutospacing="1"/>
      <w:jc w:val="left"/>
    </w:pPr>
    <w:rPr>
      <w:rFonts w:ascii="微软雅黑" w:hAnsi="微软雅黑" w:eastAsia="微软雅黑" w:cs="宋体"/>
      <w:kern w:val="0"/>
      <w:sz w:val="20"/>
      <w:szCs w:val="20"/>
    </w:rPr>
  </w:style>
  <w:style w:type="paragraph" w:customStyle="1" w:styleId="736">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737">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738">
    <w:name w:val="xl136"/>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739">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740">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741">
    <w:name w:val="样式 标题 22h2L1 Heading 2H2sect 1.2H21sect 1.21H22sect 1.2..."/>
    <w:basedOn w:val="3"/>
    <w:next w:val="1"/>
    <w:uiPriority w:val="0"/>
    <w:pPr>
      <w:numPr>
        <w:ilvl w:val="0"/>
        <w:numId w:val="0"/>
      </w:numPr>
      <w:tabs>
        <w:tab w:val="left" w:pos="425"/>
        <w:tab w:val="clear" w:pos="432"/>
      </w:tabs>
      <w:spacing w:before="260" w:beforeLines="0" w:after="260" w:afterLines="0" w:line="413" w:lineRule="auto"/>
      <w:ind w:left="425" w:hanging="425"/>
    </w:pPr>
    <w:rPr>
      <w:rFonts w:ascii="微软雅黑" w:hAnsi="微软雅黑" w:eastAsia="微软雅黑"/>
      <w:sz w:val="32"/>
      <w:szCs w:val="32"/>
      <w:lang w:val="en-US"/>
    </w:rPr>
  </w:style>
  <w:style w:type="paragraph" w:customStyle="1" w:styleId="742">
    <w:name w:val="Char Char Char Char Char Char Char"/>
    <w:basedOn w:val="1"/>
    <w:uiPriority w:val="0"/>
    <w:rPr>
      <w:rFonts w:ascii="仿宋_GB2312" w:eastAsia="仿宋_GB2312"/>
      <w:b/>
      <w:sz w:val="32"/>
      <w:szCs w:val="32"/>
    </w:rPr>
  </w:style>
  <w:style w:type="paragraph" w:customStyle="1" w:styleId="743">
    <w:name w:val="标准小四"/>
    <w:basedOn w:val="1"/>
    <w:uiPriority w:val="0"/>
    <w:pPr>
      <w:spacing w:line="360" w:lineRule="auto"/>
      <w:ind w:firstLine="480" w:firstLineChars="200"/>
    </w:pPr>
    <w:rPr>
      <w:rFonts w:ascii="Arial" w:hAnsi="Arial"/>
      <w:sz w:val="24"/>
      <w:szCs w:val="21"/>
    </w:rPr>
  </w:style>
  <w:style w:type="paragraph" w:customStyle="1" w:styleId="744">
    <w:name w:val="默认段落样式"/>
    <w:basedOn w:val="142"/>
    <w:uiPriority w:val="0"/>
    <w:pPr>
      <w:spacing w:before="0" w:beforeLines="0"/>
      <w:ind w:firstLine="480"/>
      <w:outlineLvl w:val="2"/>
    </w:pPr>
    <w:rPr>
      <w:rFonts w:ascii="仿宋_GB2312" w:hAnsi="宋体" w:eastAsia="仿宋_GB2312"/>
      <w:color w:val="000000"/>
      <w:szCs w:val="24"/>
    </w:rPr>
  </w:style>
  <w:style w:type="paragraph" w:customStyle="1" w:styleId="745">
    <w:name w:val=" Char Char1 Char Char Char"/>
    <w:basedOn w:val="1"/>
    <w:uiPriority w:val="0"/>
    <w:rPr>
      <w:rFonts w:ascii="仿宋_GB2312" w:eastAsia="仿宋_GB2312"/>
      <w:b/>
      <w:sz w:val="32"/>
      <w:szCs w:val="32"/>
    </w:rPr>
  </w:style>
  <w:style w:type="paragraph" w:customStyle="1" w:styleId="746">
    <w:name w:val="Bulleting First Indent 1"/>
    <w:basedOn w:val="83"/>
    <w:uiPriority w:val="0"/>
    <w:pPr>
      <w:tabs>
        <w:tab w:val="left" w:pos="840"/>
      </w:tabs>
      <w:autoSpaceDE/>
      <w:autoSpaceDN/>
      <w:adjustRightInd/>
      <w:spacing w:before="20" w:beforeLines="0" w:after="20" w:afterLines="0" w:line="300" w:lineRule="auto"/>
      <w:ind w:left="840" w:hanging="420"/>
    </w:pPr>
    <w:rPr>
      <w:rFonts w:ascii="Tahoma" w:hAnsi="Tahoma"/>
      <w:kern w:val="0"/>
      <w:sz w:val="21"/>
      <w:szCs w:val="21"/>
      <w:lang w:val="en-US" w:eastAsia="zh-CN"/>
    </w:rPr>
  </w:style>
  <w:style w:type="paragraph" w:customStyle="1" w:styleId="747">
    <w:name w:val="Char Char11 Char Char Char Char Char Char Char Char Char"/>
    <w:basedOn w:val="1"/>
    <w:uiPriority w:val="0"/>
    <w:pPr>
      <w:spacing w:line="360" w:lineRule="auto"/>
    </w:pPr>
    <w:rPr>
      <w:szCs w:val="20"/>
    </w:rPr>
  </w:style>
  <w:style w:type="paragraph" w:customStyle="1" w:styleId="748">
    <w:name w:val="font15"/>
    <w:basedOn w:val="1"/>
    <w:uiPriority w:val="0"/>
    <w:pPr>
      <w:widowControl/>
      <w:adjustRightInd/>
      <w:spacing w:before="100" w:beforeLines="0" w:beforeAutospacing="1" w:after="100" w:afterLines="0" w:afterAutospacing="1"/>
      <w:jc w:val="left"/>
    </w:pPr>
    <w:rPr>
      <w:rFonts w:ascii="宋体" w:hAnsi="宋体" w:cs="宋体"/>
      <w:color w:val="FF0000"/>
      <w:kern w:val="0"/>
      <w:sz w:val="24"/>
    </w:rPr>
  </w:style>
  <w:style w:type="paragraph" w:customStyle="1" w:styleId="749">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750">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751">
    <w:name w:val="表文字"/>
    <w:uiPriority w:val="0"/>
    <w:rPr>
      <w:rFonts w:ascii="宋体"/>
      <w:kern w:val="2"/>
      <w:lang w:val="en-US" w:eastAsia="zh-CN" w:bidi="ar-SA"/>
    </w:rPr>
  </w:style>
  <w:style w:type="paragraph" w:customStyle="1" w:styleId="752">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753">
    <w:name w:val="xl83"/>
    <w:basedOn w:val="1"/>
    <w:uiPriority w:val="0"/>
    <w:pPr>
      <w:widowControl/>
      <w:pBdr>
        <w:top w:val="single" w:color="auto" w:sz="4" w:space="0"/>
        <w:left w:val="single" w:color="auto" w:sz="8" w:space="0"/>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b/>
      <w:bCs/>
      <w:kern w:val="0"/>
      <w:sz w:val="20"/>
      <w:szCs w:val="20"/>
    </w:rPr>
  </w:style>
  <w:style w:type="paragraph" w:customStyle="1" w:styleId="754">
    <w:name w:val="body text bold"/>
    <w:basedOn w:val="32"/>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755">
    <w:name w:val="MM Topic 5"/>
    <w:basedOn w:val="6"/>
    <w:uiPriority w:val="0"/>
    <w:pPr>
      <w:numPr>
        <w:ilvl w:val="4"/>
        <w:numId w:val="4"/>
      </w:numPr>
      <w:tabs>
        <w:tab w:val="clear" w:pos="1008"/>
      </w:tabs>
      <w:adjustRightInd/>
    </w:pPr>
  </w:style>
  <w:style w:type="paragraph" w:customStyle="1" w:styleId="756">
    <w:name w:val="正文首行缩进1"/>
    <w:basedOn w:val="32"/>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757">
    <w:name w:val="数字标题1"/>
    <w:basedOn w:val="2"/>
    <w:next w:val="1"/>
    <w:uiPriority w:val="0"/>
    <w:pPr>
      <w:numPr>
        <w:ilvl w:val="0"/>
        <w:numId w:val="8"/>
      </w:numPr>
      <w:tabs>
        <w:tab w:val="clear" w:pos="432"/>
      </w:tabs>
    </w:pPr>
  </w:style>
  <w:style w:type="paragraph" w:customStyle="1" w:styleId="758">
    <w:name w:val="font12"/>
    <w:basedOn w:val="1"/>
    <w:uiPriority w:val="0"/>
    <w:pPr>
      <w:widowControl/>
      <w:adjustRightInd/>
      <w:spacing w:before="100" w:beforeLines="0" w:beforeAutospacing="1" w:after="100" w:afterLines="0" w:afterAutospacing="1"/>
      <w:jc w:val="left"/>
    </w:pPr>
    <w:rPr>
      <w:rFonts w:ascii="宋体" w:hAnsi="宋体" w:eastAsia="仿宋_GB2312" w:cs="宋体"/>
      <w:b/>
      <w:bCs/>
      <w:kern w:val="0"/>
      <w:sz w:val="28"/>
    </w:rPr>
  </w:style>
  <w:style w:type="paragraph" w:customStyle="1" w:styleId="759">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760">
    <w:name w:val="Char Char1"/>
    <w:basedOn w:val="1"/>
    <w:uiPriority w:val="0"/>
    <w:pPr>
      <w:widowControl/>
      <w:spacing w:after="160" w:afterLines="0" w:line="240" w:lineRule="exact"/>
      <w:jc w:val="left"/>
    </w:pPr>
    <w:rPr>
      <w:rFonts w:eastAsia="仿宋_GB2312"/>
      <w:sz w:val="28"/>
    </w:rPr>
  </w:style>
  <w:style w:type="paragraph" w:customStyle="1" w:styleId="761">
    <w:name w:val="xl106"/>
    <w:basedOn w:val="1"/>
    <w:uiPriority w:val="0"/>
    <w:pPr>
      <w:widowControl/>
      <w:pBdr>
        <w:top w:val="single" w:color="auto" w:sz="8" w:space="0"/>
        <w:left w:val="single" w:color="auto" w:sz="12" w:space="0"/>
        <w:bottom w:val="single" w:color="auto" w:sz="8" w:space="0"/>
      </w:pBdr>
      <w:adjustRightInd/>
      <w:spacing w:before="100" w:beforeLines="0" w:beforeAutospacing="1" w:after="100" w:afterLines="0" w:afterAutospacing="1"/>
      <w:jc w:val="center"/>
    </w:pPr>
    <w:rPr>
      <w:rFonts w:ascii="宋体" w:hAnsi="宋体" w:eastAsia="仿宋_GB2312" w:cs="宋体"/>
      <w:b/>
      <w:bCs/>
      <w:kern w:val="0"/>
      <w:szCs w:val="21"/>
    </w:rPr>
  </w:style>
  <w:style w:type="paragraph" w:customStyle="1" w:styleId="762">
    <w:name w:val="Picture"/>
    <w:basedOn w:val="1"/>
    <w:next w:val="20"/>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63">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764">
    <w:name w:val="封面公司名"/>
    <w:uiPriority w:val="0"/>
    <w:pPr>
      <w:jc w:val="center"/>
    </w:pPr>
    <w:rPr>
      <w:rFonts w:ascii="Arial" w:hAnsi="Arial" w:eastAsia="楷体_GB2312" w:cs="宋体"/>
      <w:bCs/>
      <w:kern w:val="2"/>
      <w:sz w:val="28"/>
      <w:lang w:val="en-US" w:eastAsia="zh-CN" w:bidi="ar-SA"/>
    </w:rPr>
  </w:style>
  <w:style w:type="paragraph" w:customStyle="1" w:styleId="765">
    <w:name w:val="四号　首行缩进"/>
    <w:basedOn w:val="1"/>
    <w:uiPriority w:val="0"/>
    <w:pPr>
      <w:adjustRightInd/>
      <w:spacing w:line="360" w:lineRule="auto"/>
    </w:pPr>
    <w:rPr>
      <w:rFonts w:ascii="宋体" w:hAnsi="宋体"/>
      <w:szCs w:val="20"/>
    </w:rPr>
  </w:style>
  <w:style w:type="paragraph" w:customStyle="1" w:styleId="766">
    <w:name w:val="xl116"/>
    <w:basedOn w:val="1"/>
    <w:uiPriority w:val="0"/>
    <w:pPr>
      <w:widowControl/>
      <w:pBdr>
        <w:bottom w:val="single" w:color="auto" w:sz="8" w:space="0"/>
        <w:right w:val="single" w:color="auto" w:sz="12" w:space="0"/>
      </w:pBdr>
      <w:adjustRightInd/>
      <w:spacing w:before="100" w:beforeLines="0" w:beforeAutospacing="1" w:after="100" w:afterLines="0" w:afterAutospacing="1"/>
      <w:jc w:val="center"/>
    </w:pPr>
    <w:rPr>
      <w:rFonts w:eastAsia="仿宋_GB2312"/>
      <w:b/>
      <w:bCs/>
      <w:kern w:val="0"/>
      <w:sz w:val="22"/>
      <w:szCs w:val="22"/>
    </w:rPr>
  </w:style>
  <w:style w:type="paragraph" w:customStyle="1" w:styleId="767">
    <w:name w:val="xl97"/>
    <w:basedOn w:val="1"/>
    <w:uiPriority w:val="0"/>
    <w:pPr>
      <w:widowControl/>
      <w:pBdr>
        <w:top w:val="single" w:color="auto" w:sz="8" w:space="0"/>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768">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69">
    <w:name w:val="样式 正文文本缩进 + 段前: 2 字符"/>
    <w:basedOn w:val="1"/>
    <w:uiPriority w:val="0"/>
    <w:pPr>
      <w:adjustRightInd/>
      <w:ind w:left="420" w:leftChars="200"/>
      <w:jc w:val="left"/>
    </w:pPr>
    <w:rPr>
      <w:sz w:val="28"/>
      <w:szCs w:val="20"/>
      <w:lang w:eastAsia="zh-TW"/>
    </w:rPr>
  </w:style>
  <w:style w:type="paragraph" w:customStyle="1" w:styleId="770">
    <w:name w:val="文章标题"/>
    <w:next w:val="764"/>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1">
    <w:name w:val="默认段落字体 Para Char Char Char Char Char Char Char Char Char1 Char Char Char Char"/>
    <w:basedOn w:val="1"/>
    <w:uiPriority w:val="0"/>
    <w:pPr>
      <w:adjustRightInd/>
    </w:pPr>
    <w:rPr>
      <w:rFonts w:ascii="Tahoma" w:hAnsi="Tahoma"/>
      <w:sz w:val="24"/>
      <w:szCs w:val="20"/>
    </w:rPr>
  </w:style>
  <w:style w:type="paragraph" w:customStyle="1" w:styleId="772">
    <w:name w:val="xl89"/>
    <w:basedOn w:val="1"/>
    <w:uiPriority w:val="0"/>
    <w:pPr>
      <w:widowControl/>
      <w:pBdr>
        <w:left w:val="single" w:color="auto" w:sz="4" w:space="0"/>
        <w:bottom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73">
    <w:name w:val="xl131"/>
    <w:basedOn w:val="1"/>
    <w:uiPriority w:val="0"/>
    <w:pPr>
      <w:widowControl/>
      <w:pBdr>
        <w:left w:val="single" w:color="auto" w:sz="8" w:space="0"/>
        <w:right w:val="single" w:color="auto" w:sz="8" w:space="0"/>
      </w:pBdr>
      <w:adjustRightInd/>
      <w:spacing w:before="100" w:beforeLines="0" w:beforeAutospacing="1" w:after="100" w:afterLines="0" w:afterAutospacing="1"/>
      <w:jc w:val="center"/>
    </w:pPr>
    <w:rPr>
      <w:rFonts w:eastAsia="仿宋_GB2312"/>
      <w:kern w:val="0"/>
      <w:szCs w:val="21"/>
    </w:rPr>
  </w:style>
  <w:style w:type="paragraph" w:customStyle="1" w:styleId="774">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775">
    <w:name w:val=" Char Char1 Char"/>
    <w:basedOn w:val="1"/>
    <w:uiPriority w:val="0"/>
    <w:rPr>
      <w:rFonts w:ascii="仿宋_GB2312" w:eastAsia="仿宋_GB2312"/>
      <w:b/>
      <w:sz w:val="32"/>
      <w:szCs w:val="32"/>
    </w:rPr>
  </w:style>
  <w:style w:type="paragraph" w:customStyle="1" w:styleId="776">
    <w:name w:val="标书标题3"/>
    <w:basedOn w:val="4"/>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777">
    <w:name w:val="xl79"/>
    <w:basedOn w:val="1"/>
    <w:uiPriority w:val="0"/>
    <w:pPr>
      <w:widowControl/>
      <w:pBdr>
        <w:top w:val="single" w:color="auto" w:sz="4" w:space="0"/>
        <w:left w:val="single" w:color="auto" w:sz="4" w:space="0"/>
        <w:bottom w:val="single" w:color="auto" w:sz="4" w:space="0"/>
        <w:right w:val="single" w:color="auto" w:sz="8" w:space="0"/>
      </w:pBdr>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78">
    <w:name w:val="Char Char Char1 Char"/>
    <w:basedOn w:val="1"/>
    <w:uiPriority w:val="0"/>
    <w:rPr>
      <w:szCs w:val="20"/>
    </w:rPr>
  </w:style>
  <w:style w:type="paragraph" w:customStyle="1" w:styleId="779">
    <w:name w:val="Char Char Char Char Char Char Char Char"/>
    <w:basedOn w:val="1"/>
    <w:uiPriority w:val="0"/>
    <w:pPr>
      <w:tabs>
        <w:tab w:val="left" w:pos="360"/>
      </w:tabs>
    </w:pPr>
    <w:rPr>
      <w:sz w:val="24"/>
      <w:szCs w:val="20"/>
    </w:rPr>
  </w:style>
  <w:style w:type="paragraph" w:customStyle="1" w:styleId="780">
    <w:name w:val="xl67"/>
    <w:basedOn w:val="1"/>
    <w:uiPriority w:val="0"/>
    <w:pPr>
      <w:widowControl/>
      <w:shd w:val="clear" w:color="000000" w:fill="FFFFFF"/>
      <w:adjustRightInd/>
      <w:spacing w:before="100" w:beforeLines="0" w:beforeAutospacing="1" w:after="100" w:afterLines="0" w:afterAutospacing="1"/>
      <w:jc w:val="left"/>
    </w:pPr>
    <w:rPr>
      <w:rFonts w:ascii="宋体" w:hAnsi="宋体" w:eastAsia="仿宋_GB2312" w:cs="宋体"/>
      <w:kern w:val="0"/>
      <w:sz w:val="28"/>
    </w:rPr>
  </w:style>
  <w:style w:type="paragraph" w:customStyle="1" w:styleId="781">
    <w:name w:val="样式 标题 2标题2H2Heading 2 HiddenHeading 2 CCBSheading 22nd lev..."/>
    <w:basedOn w:val="3"/>
    <w:uiPriority w:val="0"/>
    <w:pPr>
      <w:widowControl/>
      <w:spacing w:before="260" w:beforeLines="0" w:after="260" w:afterLines="0" w:line="415" w:lineRule="auto"/>
      <w:ind w:left="0" w:firstLine="0"/>
    </w:pPr>
    <w:rPr>
      <w:rFonts w:ascii="Arial" w:hAnsi="Arial" w:eastAsia="黑体"/>
      <w:sz w:val="30"/>
      <w:szCs w:val="21"/>
    </w:rPr>
  </w:style>
  <w:style w:type="paragraph" w:customStyle="1" w:styleId="782">
    <w:name w:val="深色列表 - 强调文字颜色 51"/>
    <w:basedOn w:val="1"/>
    <w:uiPriority w:val="0"/>
    <w:pPr>
      <w:adjustRightInd/>
      <w:spacing w:line="360" w:lineRule="auto"/>
      <w:ind w:firstLine="200" w:firstLineChars="200"/>
    </w:pPr>
    <w:rPr>
      <w:rFonts w:eastAsia="楷体_GB2312" w:cs="Lucida Sans"/>
      <w:sz w:val="24"/>
    </w:rPr>
  </w:style>
  <w:style w:type="paragraph" w:customStyle="1" w:styleId="783">
    <w:name w:val="列出段落1"/>
    <w:basedOn w:val="1"/>
    <w:uiPriority w:val="0"/>
    <w:pPr>
      <w:adjustRightInd/>
      <w:spacing w:line="360" w:lineRule="auto"/>
      <w:ind w:firstLine="420" w:firstLineChars="200"/>
    </w:pPr>
    <w:rPr>
      <w:rFonts w:ascii="Calibri" w:hAnsi="Calibri"/>
      <w:sz w:val="24"/>
      <w:szCs w:val="22"/>
    </w:rPr>
  </w:style>
  <w:style w:type="paragraph" w:customStyle="1" w:styleId="784">
    <w:name w:val="首行缩进"/>
    <w:basedOn w:val="1"/>
    <w:uiPriority w:val="0"/>
    <w:pPr>
      <w:spacing w:line="360" w:lineRule="auto"/>
      <w:ind w:firstLine="480" w:firstLineChars="200"/>
    </w:pPr>
    <w:rPr>
      <w:rFonts w:ascii="宋体"/>
      <w:sz w:val="24"/>
      <w:szCs w:val="20"/>
    </w:rPr>
  </w:style>
  <w:style w:type="paragraph" w:customStyle="1" w:styleId="785">
    <w:name w:val="正文（标题三）"/>
    <w:basedOn w:val="1"/>
    <w:uiPriority w:val="0"/>
    <w:pPr>
      <w:spacing w:line="360" w:lineRule="auto"/>
      <w:ind w:firstLine="200" w:firstLineChars="200"/>
    </w:pPr>
    <w:rPr>
      <w:sz w:val="24"/>
    </w:rPr>
  </w:style>
  <w:style w:type="paragraph" w:customStyle="1" w:styleId="786">
    <w:name w:val="EB_表格"/>
    <w:basedOn w:val="1"/>
    <w:uiPriority w:val="0"/>
    <w:pPr>
      <w:adjustRightInd/>
      <w:spacing w:line="300" w:lineRule="auto"/>
      <w:jc w:val="center"/>
    </w:pPr>
  </w:style>
  <w:style w:type="paragraph" w:customStyle="1" w:styleId="787">
    <w:name w:val="xl87"/>
    <w:basedOn w:val="1"/>
    <w:uiPriority w:val="0"/>
    <w:pPr>
      <w:widowControl/>
      <w:pBdr>
        <w:top w:val="single" w:color="auto" w:sz="4" w:space="0"/>
      </w:pBdr>
      <w:shd w:val="clear" w:color="000000" w:fill="FFFFFF"/>
      <w:adjustRightInd/>
      <w:spacing w:before="100" w:beforeLines="0" w:beforeAutospacing="1" w:after="100" w:afterLines="0" w:afterAutospacing="1"/>
      <w:jc w:val="center"/>
    </w:pPr>
    <w:rPr>
      <w:rFonts w:ascii="微软雅黑" w:hAnsi="微软雅黑" w:eastAsia="微软雅黑" w:cs="宋体"/>
      <w:kern w:val="0"/>
      <w:sz w:val="20"/>
      <w:szCs w:val="20"/>
    </w:rPr>
  </w:style>
  <w:style w:type="paragraph" w:customStyle="1" w:styleId="788">
    <w:name w:val="Table Cell"/>
    <w:uiPriority w:val="0"/>
    <w:pPr>
      <w:adjustRightInd w:val="0"/>
      <w:snapToGrid w:val="0"/>
      <w:spacing w:before="20" w:after="20"/>
    </w:pPr>
    <w:rPr>
      <w:rFonts w:ascii="Courier New" w:hAnsi="Courier New"/>
      <w:sz w:val="24"/>
      <w:lang w:val="en-US" w:eastAsia="zh-CN" w:bidi="ar-SA"/>
    </w:rPr>
  </w:style>
  <w:style w:type="paragraph" w:customStyle="1" w:styleId="789">
    <w:name w:val="模板普通正文"/>
    <w:basedOn w:val="33"/>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790">
    <w:name w:val="样式 标题 1章节第一层h1H"/>
    <w:basedOn w:val="2"/>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791">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792">
    <w:name w:val="4"/>
    <w:basedOn w:val="1"/>
    <w:next w:val="49"/>
    <w:uiPriority w:val="0"/>
    <w:pPr>
      <w:spacing w:after="120" w:afterLines="0" w:line="480" w:lineRule="auto"/>
      <w:ind w:left="420" w:leftChars="200"/>
    </w:pPr>
    <w:rPr>
      <w:sz w:val="24"/>
      <w:szCs w:val="20"/>
    </w:rPr>
  </w:style>
  <w:style w:type="paragraph" w:customStyle="1" w:styleId="793">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94">
    <w:name w:val="标题五"/>
    <w:basedOn w:val="1"/>
    <w:uiPriority w:val="0"/>
    <w:pPr>
      <w:adjustRightInd/>
      <w:spacing w:before="156" w:beforeLines="50" w:line="360" w:lineRule="auto"/>
    </w:pPr>
    <w:rPr>
      <w:b/>
      <w:sz w:val="24"/>
    </w:rPr>
  </w:style>
  <w:style w:type="paragraph" w:customStyle="1" w:styleId="795">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96">
    <w:name w:val="xl124"/>
    <w:basedOn w:val="1"/>
    <w:uiPriority w:val="0"/>
    <w:pPr>
      <w:widowControl/>
      <w:pBdr>
        <w:bottom w:val="single" w:color="auto" w:sz="8" w:space="0"/>
        <w:right w:val="single" w:color="auto" w:sz="8" w:space="0"/>
      </w:pBdr>
      <w:adjustRightInd/>
      <w:spacing w:before="100" w:beforeLines="0" w:beforeAutospacing="1" w:after="100" w:afterLines="0" w:afterAutospacing="1"/>
      <w:jc w:val="left"/>
    </w:pPr>
    <w:rPr>
      <w:rFonts w:eastAsia="仿宋_GB2312"/>
      <w:b/>
      <w:bCs/>
      <w:kern w:val="0"/>
      <w:sz w:val="22"/>
      <w:szCs w:val="22"/>
    </w:rPr>
  </w:style>
  <w:style w:type="paragraph" w:customStyle="1" w:styleId="797">
    <w:name w:val="xl132"/>
    <w:basedOn w:val="1"/>
    <w:uiPriority w:val="0"/>
    <w:pPr>
      <w:widowControl/>
      <w:pBdr>
        <w:left w:val="single" w:color="auto" w:sz="8" w:space="0"/>
        <w:right w:val="single" w:color="auto" w:sz="12" w:space="0"/>
      </w:pBdr>
      <w:adjustRightInd/>
      <w:spacing w:before="100" w:beforeLines="0" w:beforeAutospacing="1" w:after="100" w:afterLines="0" w:afterAutospacing="1"/>
      <w:jc w:val="center"/>
    </w:pPr>
    <w:rPr>
      <w:rFonts w:eastAsia="仿宋_GB2312"/>
      <w:kern w:val="0"/>
      <w:szCs w:val="21"/>
    </w:rPr>
  </w:style>
  <w:style w:type="paragraph" w:customStyle="1" w:styleId="798">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799">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header3.xml" Type="http://schemas.openxmlformats.org/officeDocument/2006/relationships/head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Group</Company>
  <Pages>113</Pages>
  <Words>10646</Words>
  <Characters>60687</Characters>
  <Lines>505</Lines>
  <Paragraphs>142</Paragraphs>
  <TotalTime>0</TotalTime>
  <ScaleCrop>false</ScaleCrop>
  <LinksUpToDate>false</LinksUpToDate>
  <CharactersWithSpaces>71191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2019-05-29T06:44:00Z</dcterms:created>
  <dc:creator>玥</dc:creator>
  <cp:lastModifiedBy>WPS_1701756769</cp:lastModifiedBy>
  <cp:lastPrinted>2019-05-29T00:18:00Z</cp:lastPrinted>
  <dcterms:modified xsi:type="dcterms:W3CDTF">2024-02-22T07:38:19Z</dcterms:modified>
  <cp:revision>7</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48BC56927A1D4E0F9F6DD223455C353E_13</vt:lpwstr>
  </property>
</Properties>
</file>