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szCs w:val="2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杭州市中级人民法院证券虚假陈述责任  纠纷智能化审判项目</w:t>
      </w: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ascii="宋体" w:hAnsi="宋体" w:cs="宋体"/>
          <w:sz w:val="28"/>
          <w:szCs w:val="28"/>
          <w:highlight w:val="none"/>
        </w:rPr>
      </w:pPr>
      <w:r>
        <w:rPr>
          <w:rFonts w:hint="eastAsia" w:ascii="宋体" w:hAnsi="宋体" w:cs="宋体"/>
          <w:sz w:val="28"/>
          <w:szCs w:val="28"/>
          <w:highlight w:val="none"/>
        </w:rPr>
        <w:t>编号:DDZX2023-GK-125</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szCs w:val="24"/>
          <w:highlight w:val="none"/>
        </w:rPr>
      </w:pPr>
    </w:p>
    <w:p>
      <w:pPr>
        <w:spacing w:line="360" w:lineRule="auto"/>
        <w:jc w:val="center"/>
        <w:rPr>
          <w:rFonts w:ascii="宋体" w:hAnsi="宋体" w:cs="宋体"/>
          <w:sz w:val="24"/>
          <w:szCs w:val="24"/>
          <w:highlight w:val="none"/>
        </w:rPr>
      </w:pPr>
    </w:p>
    <w:p>
      <w:pPr>
        <w:spacing w:line="360" w:lineRule="auto"/>
        <w:rPr>
          <w:rFonts w:ascii="宋体" w:hAnsi="宋体" w:cs="宋体"/>
          <w:sz w:val="32"/>
          <w:szCs w:val="32"/>
          <w:highlight w:val="none"/>
        </w:rPr>
      </w:pPr>
    </w:p>
    <w:p>
      <w:pPr>
        <w:spacing w:line="360" w:lineRule="auto"/>
        <w:jc w:val="center"/>
        <w:rPr>
          <w:rFonts w:ascii="宋体" w:hAnsi="宋体" w:cs="宋体"/>
          <w:sz w:val="32"/>
          <w:szCs w:val="32"/>
          <w:highlight w:val="none"/>
        </w:rPr>
      </w:pPr>
      <w:r>
        <w:rPr>
          <w:rFonts w:hint="eastAsia" w:ascii="宋体" w:hAnsi="宋体" w:cs="宋体"/>
          <w:sz w:val="32"/>
          <w:szCs w:val="32"/>
          <w:highlight w:val="none"/>
        </w:rPr>
        <w:t>浙江省杭州市中级人民法院</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大地工程咨询有限公司</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二〇二三年八月</w:t>
      </w:r>
    </w:p>
    <w:p>
      <w:pPr>
        <w:spacing w:line="360" w:lineRule="auto"/>
        <w:jc w:val="center"/>
        <w:rPr>
          <w:rFonts w:ascii="宋体" w:hAnsi="宋体" w:cs="宋体"/>
          <w:sz w:val="24"/>
          <w:szCs w:val="24"/>
          <w:highlight w:val="none"/>
        </w:rPr>
      </w:pPr>
      <w:r>
        <w:rPr>
          <w:rFonts w:hint="eastAsia" w:ascii="宋体" w:hAnsi="宋体" w:cs="宋体"/>
          <w:sz w:val="24"/>
          <w:szCs w:val="24"/>
          <w:highlight w:val="none"/>
        </w:rPr>
        <w:br w:type="page"/>
      </w:r>
      <w:bookmarkStart w:id="0" w:name="_Hlt67893495"/>
      <w:bookmarkEnd w:id="0"/>
    </w:p>
    <w:p>
      <w:pPr>
        <w:pStyle w:val="635"/>
        <w:rPr>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szCs w:val="24"/>
          <w:highlight w:val="none"/>
        </w:rPr>
      </w:pPr>
      <w:bookmarkStart w:id="1" w:name="_Hlt91233176"/>
      <w:bookmarkEnd w:id="1"/>
      <w:bookmarkStart w:id="2" w:name="_Toc91899869"/>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ind w:firstLine="549" w:firstLineChars="229"/>
        <w:rPr>
          <w:rFonts w:ascii="宋体" w:hAnsi="宋体" w:cs="宋体"/>
          <w:sz w:val="24"/>
          <w:szCs w:val="24"/>
          <w:highlight w:val="none"/>
        </w:rPr>
      </w:pPr>
    </w:p>
    <w:p>
      <w:pPr>
        <w:spacing w:line="360" w:lineRule="auto"/>
        <w:rPr>
          <w:rFonts w:ascii="宋体" w:hAnsi="宋体" w:cs="宋体"/>
          <w:sz w:val="24"/>
          <w:szCs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杭州市中级人民法院证券虚假陈述责任纠纷智能化审判项目</w:t>
      </w:r>
      <w:r>
        <w:rPr>
          <w:rFonts w:hint="eastAsia" w:ascii="宋体" w:hAnsi="宋体" w:cs="宋体"/>
          <w:sz w:val="24"/>
          <w:szCs w:val="24"/>
          <w:highlight w:val="none"/>
        </w:rPr>
        <w:t>招标项目的潜在投标人应在政采云平台（</w:t>
      </w:r>
      <w:r>
        <w:rPr>
          <w:sz w:val="21"/>
          <w:szCs w:val="24"/>
          <w:highlight w:val="none"/>
        </w:rPr>
        <w:fldChar w:fldCharType="begin"/>
      </w:r>
      <w:r>
        <w:rPr>
          <w:sz w:val="21"/>
          <w:szCs w:val="24"/>
          <w:highlight w:val="none"/>
        </w:rPr>
        <w:instrText xml:space="preserve"> HYPERLINK "https://www.zcygov.cn/）获取（下载）招标文件，并于202%20年%20月%20日%20点%20分00秒" </w:instrText>
      </w:r>
      <w:r>
        <w:rPr>
          <w:sz w:val="21"/>
          <w:szCs w:val="24"/>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 2023年</w:t>
      </w:r>
      <w:r>
        <w:rPr>
          <w:rStyle w:val="77"/>
          <w:rFonts w:hint="eastAsia" w:ascii="宋体" w:hAnsi="宋体" w:eastAsia="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月</w:t>
      </w:r>
      <w:r>
        <w:rPr>
          <w:rStyle w:val="77"/>
          <w:rFonts w:hint="eastAsia" w:ascii="宋体" w:hAnsi="宋体" w:eastAsia="宋体" w:cs="宋体"/>
          <w:snapToGrid/>
          <w:color w:val="auto"/>
          <w:kern w:val="2"/>
          <w:sz w:val="24"/>
          <w:szCs w:val="24"/>
          <w:highlight w:val="none"/>
          <w:lang w:val="en-US" w:eastAsia="zh-CN"/>
        </w:rPr>
        <w:t>12</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 xml:space="preserve">分00秒 </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szCs w:val="24"/>
          <w:highlight w:val="none"/>
        </w:rPr>
        <w:t>（北京时间）前</w:t>
      </w:r>
      <w:r>
        <w:rPr>
          <w:rFonts w:hint="eastAsia" w:ascii="宋体" w:hAnsi="宋体" w:cs="宋体"/>
          <w:sz w:val="24"/>
          <w:szCs w:val="24"/>
          <w:highlight w:val="none"/>
        </w:rPr>
        <w:t>递交（上传）投标文件。</w:t>
      </w:r>
    </w:p>
    <w:p>
      <w:pPr>
        <w:spacing w:line="360" w:lineRule="auto"/>
        <w:rPr>
          <w:rFonts w:ascii="宋体" w:hAnsi="宋体" w:cs="宋体"/>
          <w:b/>
          <w:sz w:val="24"/>
          <w:szCs w:val="24"/>
          <w:highlight w:val="none"/>
        </w:rPr>
      </w:pPr>
      <w:r>
        <w:rPr>
          <w:rFonts w:hint="eastAsia" w:ascii="宋体" w:hAnsi="宋体" w:cs="宋体"/>
          <w:b/>
          <w:sz w:val="24"/>
          <w:szCs w:val="24"/>
          <w:highlight w:val="none"/>
        </w:rPr>
        <w:t xml:space="preserve">一、项目基本情况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
          <w:sz w:val="24"/>
          <w:szCs w:val="24"/>
          <w:highlight w:val="none"/>
        </w:rPr>
        <w:t>项目编号：</w:t>
      </w:r>
      <w:r>
        <w:rPr>
          <w:rFonts w:hint="eastAsia" w:ascii="宋体" w:hAnsi="宋体" w:cs="宋体"/>
          <w:sz w:val="24"/>
          <w:szCs w:val="24"/>
          <w:highlight w:val="none"/>
        </w:rPr>
        <w:t>DDZX2023-GK-125</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
          <w:sz w:val="24"/>
          <w:szCs w:val="24"/>
          <w:highlight w:val="none"/>
        </w:rPr>
        <w:t xml:space="preserve"> 项目名称：</w:t>
      </w:r>
      <w:r>
        <w:rPr>
          <w:rFonts w:hint="eastAsia" w:ascii="宋体" w:hAnsi="宋体" w:cs="宋体"/>
          <w:sz w:val="24"/>
          <w:szCs w:val="24"/>
          <w:highlight w:val="none"/>
        </w:rPr>
        <w:t>杭州市中级人民法院证券虚假陈述责任纠纷智能化审判项目</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
          <w:sz w:val="24"/>
          <w:szCs w:val="24"/>
          <w:highlight w:val="none"/>
        </w:rPr>
        <w:t xml:space="preserve"> 预算金额（元）：1170000</w:t>
      </w:r>
    </w:p>
    <w:p>
      <w:pPr>
        <w:spacing w:line="360" w:lineRule="auto"/>
        <w:ind w:firstLine="480"/>
        <w:rPr>
          <w:rFonts w:ascii="宋体" w:hAnsi="宋体" w:cs="宋体"/>
          <w:sz w:val="24"/>
          <w:szCs w:val="24"/>
          <w:highlight w:val="none"/>
        </w:rPr>
      </w:pPr>
      <w:r>
        <w:rPr>
          <w:rFonts w:hint="eastAsia" w:ascii="宋体" w:hAnsi="宋体" w:cs="宋体"/>
          <w:b/>
          <w:sz w:val="24"/>
          <w:szCs w:val="24"/>
          <w:highlight w:val="none"/>
        </w:rPr>
        <w:t>最高限价（元）：1170000</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szCs w:val="20"/>
          <w:highlight w:val="none"/>
        </w:rPr>
        <w:t>采购需求：</w:t>
      </w:r>
      <w:r>
        <w:rPr>
          <w:rFonts w:hint="eastAsia" w:hAnsi="宋体" w:cs="宋体"/>
          <w:bCs/>
          <w:snapToGrid/>
          <w:color w:val="auto"/>
          <w:kern w:val="2"/>
          <w:sz w:val="24"/>
          <w:szCs w:val="24"/>
          <w:highlight w:val="none"/>
        </w:rPr>
        <w:t>杭州市中级人民法院证券虚假陈述责任纠纷智能化审判项目主要内容： 涉证券虚假陈述责任纠纷案件的智能化审判。</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ascii="宋体" w:hAnsi="宋体" w:cs="宋体"/>
          <w:sz w:val="24"/>
          <w:szCs w:val="20"/>
          <w:highlight w:val="none"/>
        </w:rPr>
      </w:pPr>
      <w:r>
        <w:rPr>
          <w:rFonts w:hint="eastAsia" w:ascii="宋体" w:hAnsi="宋体" w:cs="宋体"/>
          <w:b/>
          <w:sz w:val="24"/>
          <w:szCs w:val="20"/>
          <w:highlight w:val="none"/>
        </w:rPr>
        <w:t>合同履约期限：</w:t>
      </w:r>
      <w:r>
        <w:rPr>
          <w:rFonts w:hint="eastAsia" w:ascii="宋体" w:hAnsi="宋体" w:cs="宋体"/>
          <w:bCs/>
          <w:sz w:val="24"/>
          <w:szCs w:val="20"/>
          <w:highlight w:val="none"/>
          <w:lang w:val="zh-CN"/>
        </w:rPr>
        <w:t>本项目建设周期为合同签订后</w:t>
      </w:r>
      <w:r>
        <w:rPr>
          <w:rFonts w:hint="eastAsia" w:ascii="宋体" w:hAnsi="宋体" w:cs="宋体"/>
          <w:bCs/>
          <w:sz w:val="24"/>
          <w:szCs w:val="20"/>
          <w:highlight w:val="none"/>
        </w:rPr>
        <w:t>4</w:t>
      </w:r>
      <w:r>
        <w:rPr>
          <w:rFonts w:hint="eastAsia" w:ascii="宋体" w:hAnsi="宋体" w:cs="宋体"/>
          <w:bCs/>
          <w:sz w:val="24"/>
          <w:szCs w:val="20"/>
          <w:highlight w:val="none"/>
          <w:lang w:val="zh-CN"/>
        </w:rPr>
        <w:t>个月</w:t>
      </w:r>
      <w:r>
        <w:rPr>
          <w:rFonts w:ascii="宋体" w:hAnsi="宋体" w:cs="宋体"/>
          <w:sz w:val="24"/>
          <w:szCs w:val="20"/>
          <w:highlight w:val="none"/>
        </w:rPr>
        <w:t xml:space="preserve"> </w:t>
      </w:r>
    </w:p>
    <w:p>
      <w:pPr>
        <w:pStyle w:val="6"/>
        <w:spacing w:line="360" w:lineRule="auto"/>
        <w:ind w:firstLine="480"/>
        <w:rPr>
          <w:rFonts w:hAnsi="宋体" w:cs="宋体"/>
          <w:b/>
          <w:color w:val="auto"/>
          <w:sz w:val="28"/>
          <w:szCs w:val="20"/>
          <w:highlight w:val="none"/>
        </w:rPr>
      </w:pPr>
      <w:r>
        <w:rPr>
          <w:rFonts w:hint="eastAsia" w:hAnsi="宋体" w:cs="宋体"/>
          <w:b/>
          <w:color w:val="auto"/>
          <w:sz w:val="24"/>
          <w:szCs w:val="20"/>
          <w:highlight w:val="none"/>
        </w:rPr>
        <w:t>本项目接受联合体投标：</w:t>
      </w:r>
      <w:r>
        <w:rPr>
          <w:rFonts w:hAnsi="宋体" w:cs="宋体"/>
          <w:color w:val="auto"/>
          <w:kern w:val="0"/>
          <w:sz w:val="24"/>
          <w:szCs w:val="20"/>
          <w:highlight w:val="none"/>
        </w:rPr>
        <w:t xml:space="preserve"> </w:t>
      </w:r>
      <w:sdt>
        <w:sdtPr>
          <w:rPr>
            <w:rFonts w:hAnsi="宋体" w:cs="宋体"/>
            <w:color w:val="auto"/>
            <w:kern w:val="0"/>
            <w:sz w:val="24"/>
            <w:szCs w:val="20"/>
            <w:highlight w:val="none"/>
          </w:rPr>
          <w:id w:val="-441836950"/>
        </w:sdtPr>
        <w:sdtEndPr>
          <w:rPr>
            <w:rFonts w:hAnsi="宋体" w:cs="宋体"/>
            <w:color w:val="auto"/>
            <w:kern w:val="0"/>
            <w:sz w:val="24"/>
            <w:szCs w:val="20"/>
            <w:highlight w:val="none"/>
          </w:rPr>
        </w:sdtEndPr>
        <w:sdtContent>
          <w:r>
            <w:rPr>
              <w:rFonts w:hAnsi="宋体" w:cs="宋体"/>
              <w:color w:val="auto"/>
              <w:kern w:val="0"/>
              <w:sz w:val="24"/>
              <w:szCs w:val="20"/>
              <w:highlight w:val="none"/>
            </w:rPr>
            <w:sym w:font="Wingdings" w:char="F0FE"/>
          </w:r>
        </w:sdtContent>
      </w:sdt>
      <w:r>
        <w:rPr>
          <w:rFonts w:hint="eastAsia" w:hAnsi="宋体" w:cs="宋体"/>
          <w:b/>
          <w:color w:val="auto"/>
          <w:sz w:val="24"/>
          <w:szCs w:val="20"/>
          <w:highlight w:val="none"/>
        </w:rPr>
        <w:t>是；</w:t>
      </w:r>
      <w:sdt>
        <w:sdtPr>
          <w:rPr>
            <w:rFonts w:hAnsi="宋体" w:cs="宋体"/>
            <w:color w:val="auto"/>
            <w:kern w:val="0"/>
            <w:sz w:val="24"/>
            <w:szCs w:val="20"/>
            <w:highlight w:val="none"/>
          </w:rPr>
          <w:id w:val="-1591624199"/>
        </w:sdtPr>
        <w:sdtEndPr>
          <w:rPr>
            <w:rFonts w:hAnsi="宋体" w:cs="宋体"/>
            <w:color w:val="auto"/>
            <w:kern w:val="0"/>
            <w:sz w:val="24"/>
            <w:szCs w:val="20"/>
            <w:highlight w:val="none"/>
          </w:rPr>
        </w:sdtEndPr>
        <w:sdtContent>
          <w:r>
            <w:rPr>
              <w:rFonts w:ascii="Segoe UI Symbol" w:hAnsi="Segoe UI Symbol" w:cs="Segoe UI Symbol"/>
              <w:color w:val="auto"/>
              <w:kern w:val="0"/>
              <w:sz w:val="24"/>
              <w:szCs w:val="20"/>
              <w:highlight w:val="none"/>
            </w:rPr>
            <w:t>☐</w:t>
          </w:r>
        </w:sdtContent>
      </w:sdt>
      <w:r>
        <w:rPr>
          <w:rFonts w:hint="eastAsia" w:hAnsi="宋体" w:cs="宋体"/>
          <w:b/>
          <w:color w:val="auto"/>
          <w:sz w:val="24"/>
          <w:szCs w:val="20"/>
          <w:highlight w:val="none"/>
        </w:rPr>
        <w:t>否</w:t>
      </w:r>
      <w:r>
        <w:rPr>
          <w:rFonts w:hint="eastAsia" w:hAnsi="宋体" w:cs="宋体"/>
          <w:color w:val="auto"/>
          <w:kern w:val="0"/>
          <w:sz w:val="24"/>
          <w:szCs w:val="20"/>
          <w:highlight w:val="none"/>
        </w:rPr>
        <w:t>。</w:t>
      </w:r>
    </w:p>
    <w:p>
      <w:pPr>
        <w:spacing w:line="360" w:lineRule="auto"/>
        <w:rPr>
          <w:rFonts w:ascii="宋体" w:hAnsi="宋体" w:cs="宋体"/>
          <w:b/>
          <w:sz w:val="24"/>
          <w:szCs w:val="24"/>
          <w:highlight w:val="none"/>
        </w:rPr>
      </w:pPr>
      <w:r>
        <w:rPr>
          <w:rFonts w:hint="eastAsia" w:ascii="宋体" w:hAnsi="宋体" w:cs="宋体"/>
          <w:b/>
          <w:sz w:val="24"/>
          <w:szCs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sz w:val="21"/>
          <w:szCs w:val="24"/>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szCs w:val="24"/>
          <w:highlight w:val="none"/>
        </w:rPr>
      </w:pPr>
      <w:sdt>
        <w:sdtPr>
          <w:rPr>
            <w:rFonts w:hint="eastAsia" w:ascii="宋体" w:hAnsi="宋体" w:cs="宋体"/>
            <w:kern w:val="0"/>
            <w:sz w:val="24"/>
            <w:szCs w:val="24"/>
            <w:highlight w:val="none"/>
          </w:rPr>
          <w:id w:val="1928616923"/>
        </w:sdtPr>
        <w:sdtEndPr>
          <w:rPr>
            <w:rFonts w:hint="eastAsia" w:ascii="宋体" w:hAnsi="宋体" w:cs="宋体"/>
            <w:kern w:val="0"/>
            <w:sz w:val="24"/>
            <w:szCs w:val="24"/>
            <w:highlight w:val="none"/>
          </w:rPr>
        </w:sdtEndPr>
        <w:sdtContent>
          <w:r>
            <w:rPr>
              <w:rFonts w:hint="eastAsia" w:ascii="MS Gothic" w:hAnsi="MS Gothic" w:eastAsia="MS Gothic" w:cs="宋体"/>
              <w:kern w:val="0"/>
              <w:sz w:val="24"/>
              <w:szCs w:val="24"/>
              <w:highlight w:val="none"/>
            </w:rPr>
            <w:t>☐</w:t>
          </w:r>
        </w:sdtContent>
      </w:sdt>
      <w:r>
        <w:rPr>
          <w:rFonts w:hint="eastAsia" w:ascii="宋体" w:hAnsi="宋体" w:cs="宋体"/>
          <w:sz w:val="24"/>
          <w:szCs w:val="24"/>
          <w:highlight w:val="none"/>
        </w:rPr>
        <w:t>无</w:t>
      </w:r>
      <w:r>
        <w:rPr>
          <w:rFonts w:hint="eastAsia" w:ascii="宋体" w:hAnsi="宋体" w:cs="宋体"/>
          <w:snapToGrid w:val="0"/>
          <w:kern w:val="28"/>
          <w:sz w:val="24"/>
          <w:szCs w:val="20"/>
          <w:highlight w:val="none"/>
        </w:rPr>
        <w:t>；</w:t>
      </w:r>
    </w:p>
    <w:p>
      <w:pPr>
        <w:spacing w:line="360" w:lineRule="auto"/>
        <w:ind w:firstLine="480" w:firstLineChars="200"/>
        <w:rPr>
          <w:rFonts w:ascii="宋体" w:hAnsi="宋体" w:cs="宋体"/>
          <w:sz w:val="24"/>
          <w:szCs w:val="24"/>
          <w:highlight w:val="none"/>
        </w:rPr>
      </w:pPr>
      <w:sdt>
        <w:sdtPr>
          <w:rPr>
            <w:rFonts w:hint="eastAsia" w:ascii="宋体" w:hAnsi="宋体" w:cs="宋体"/>
            <w:kern w:val="0"/>
            <w:sz w:val="24"/>
            <w:szCs w:val="24"/>
            <w:highlight w:val="none"/>
          </w:rPr>
          <w:id w:val="-1024704304"/>
        </w:sdtPr>
        <w:sdtEndPr>
          <w:rPr>
            <w:rFonts w:hint="eastAsia" w:ascii="宋体" w:hAnsi="宋体" w:cs="宋体"/>
            <w:kern w:val="0"/>
            <w:sz w:val="24"/>
            <w:szCs w:val="24"/>
            <w:highlight w:val="none"/>
          </w:rPr>
        </w:sdtEndPr>
        <w:sdtContent>
          <w:r>
            <w:rPr>
              <w:rFonts w:ascii="Wingdings" w:hAnsi="Wingdings" w:eastAsia="MS Gothic" w:cs="宋体"/>
              <w:kern w:val="0"/>
              <w:sz w:val="24"/>
              <w:szCs w:val="24"/>
              <w:highlight w:val="none"/>
            </w:rPr>
            <w:t></w:t>
          </w:r>
        </w:sdtContent>
      </w:sdt>
      <w:r>
        <w:rPr>
          <w:rFonts w:hint="eastAsia" w:ascii="宋体" w:hAnsi="宋体" w:cs="宋体"/>
          <w:kern w:val="0"/>
          <w:sz w:val="24"/>
          <w:szCs w:val="24"/>
          <w:highlight w:val="none"/>
        </w:rPr>
        <w:t>专</w:t>
      </w:r>
      <w:r>
        <w:rPr>
          <w:rFonts w:hint="eastAsia" w:ascii="宋体" w:hAnsi="宋体" w:cs="宋体"/>
          <w:sz w:val="24"/>
          <w:szCs w:val="24"/>
          <w:highlight w:val="none"/>
        </w:rPr>
        <w:t>门面向中小企业</w:t>
      </w:r>
    </w:p>
    <w:p>
      <w:pPr>
        <w:spacing w:line="360" w:lineRule="auto"/>
        <w:ind w:firstLine="897" w:firstLineChars="374"/>
        <w:rPr>
          <w:rFonts w:ascii="宋体" w:hAnsi="宋体" w:cs="宋体"/>
          <w:sz w:val="24"/>
          <w:szCs w:val="24"/>
          <w:highlight w:val="none"/>
        </w:rPr>
      </w:pPr>
      <w:sdt>
        <w:sdtPr>
          <w:rPr>
            <w:rFonts w:hint="eastAsia" w:ascii="宋体" w:hAnsi="宋体" w:cs="宋体"/>
            <w:kern w:val="0"/>
            <w:sz w:val="24"/>
            <w:szCs w:val="24"/>
            <w:highlight w:val="none"/>
          </w:rPr>
          <w:id w:val="-333685401"/>
        </w:sdtPr>
        <w:sdtEndPr>
          <w:rPr>
            <w:rFonts w:hint="eastAsia" w:ascii="宋体" w:hAnsi="宋体" w:cs="宋体"/>
            <w:kern w:val="0"/>
            <w:sz w:val="24"/>
            <w:szCs w:val="24"/>
            <w:highlight w:val="none"/>
          </w:rPr>
        </w:sdtEndPr>
        <w:sdtContent>
          <w:r>
            <w:rPr>
              <w:rFonts w:ascii="Wingdings" w:hAnsi="Wingdings" w:eastAsia="MS Gothic" w:cs="宋体"/>
              <w:kern w:val="0"/>
              <w:sz w:val="24"/>
              <w:szCs w:val="24"/>
              <w:highlight w:val="none"/>
            </w:rPr>
            <w:t></w:t>
          </w:r>
        </w:sdtContent>
      </w:sdt>
      <w:r>
        <w:rPr>
          <w:rFonts w:hint="eastAsia" w:ascii="宋体" w:hAnsi="宋体" w:cs="宋体"/>
          <w:sz w:val="24"/>
          <w:szCs w:val="24"/>
          <w:highlight w:val="none"/>
        </w:rPr>
        <w:t>服务全部由符合政策要求的中小企业承接，提供中小企业声明函；</w:t>
      </w:r>
    </w:p>
    <w:p>
      <w:pPr>
        <w:spacing w:line="360" w:lineRule="auto"/>
        <w:ind w:firstLine="897" w:firstLineChars="374"/>
        <w:rPr>
          <w:rFonts w:ascii="宋体" w:hAnsi="宋体" w:cs="宋体"/>
          <w:sz w:val="24"/>
          <w:szCs w:val="24"/>
          <w:highlight w:val="none"/>
        </w:rPr>
      </w:pPr>
      <w:sdt>
        <w:sdtPr>
          <w:rPr>
            <w:rFonts w:hint="eastAsia" w:ascii="宋体" w:hAnsi="宋体" w:cs="宋体"/>
            <w:kern w:val="0"/>
            <w:sz w:val="24"/>
            <w:szCs w:val="24"/>
            <w:highlight w:val="none"/>
          </w:rPr>
          <w:id w:val="-2141025358"/>
        </w:sdtPr>
        <w:sdtEndPr>
          <w:rPr>
            <w:rFonts w:hint="eastAsia" w:ascii="宋体" w:hAnsi="宋体" w:cs="宋体"/>
            <w:kern w:val="0"/>
            <w:sz w:val="24"/>
            <w:szCs w:val="24"/>
            <w:highlight w:val="none"/>
          </w:rPr>
        </w:sdtEndPr>
        <w:sdtContent>
          <w:r>
            <w:rPr>
              <w:rFonts w:hint="eastAsia" w:ascii="宋体" w:hAnsi="宋体" w:cs="宋体"/>
              <w:kern w:val="0"/>
              <w:sz w:val="24"/>
              <w:szCs w:val="24"/>
              <w:highlight w:val="none"/>
            </w:rPr>
            <w:t>☐</w:t>
          </w:r>
        </w:sdtContent>
      </w:sdt>
      <w:r>
        <w:rPr>
          <w:rFonts w:hint="eastAsia" w:ascii="宋体" w:hAnsi="宋体" w:cs="宋体"/>
          <w:sz w:val="24"/>
          <w:szCs w:val="24"/>
          <w:highlight w:val="none"/>
        </w:rPr>
        <w:t>服务全部由符合政策要求的小微企业承接，提供中小企业声明函；</w:t>
      </w:r>
    </w:p>
    <w:p>
      <w:pPr>
        <w:rPr>
          <w:rFonts w:ascii="宋体" w:hAnsi="宋体" w:cs="宋体"/>
          <w:sz w:val="21"/>
          <w:szCs w:val="24"/>
          <w:highlight w:val="none"/>
        </w:rPr>
      </w:pPr>
    </w:p>
    <w:p>
      <w:pPr>
        <w:spacing w:line="360" w:lineRule="auto"/>
        <w:ind w:firstLine="480" w:firstLineChars="200"/>
        <w:rPr>
          <w:rFonts w:ascii="宋体" w:hAnsi="宋体" w:cs="宋体"/>
          <w:sz w:val="24"/>
          <w:szCs w:val="24"/>
          <w:highlight w:val="none"/>
        </w:rPr>
      </w:pPr>
      <w:sdt>
        <w:sdtPr>
          <w:rPr>
            <w:rFonts w:hint="eastAsia" w:ascii="宋体" w:hAnsi="宋体" w:cs="宋体"/>
            <w:kern w:val="0"/>
            <w:sz w:val="24"/>
            <w:szCs w:val="24"/>
            <w:highlight w:val="none"/>
          </w:rPr>
          <w:id w:val="-1985607795"/>
        </w:sdtPr>
        <w:sdtEndPr>
          <w:rPr>
            <w:rFonts w:hint="eastAsia" w:ascii="宋体" w:hAnsi="宋体" w:cs="宋体"/>
            <w:kern w:val="0"/>
            <w:sz w:val="24"/>
            <w:szCs w:val="24"/>
            <w:highlight w:val="none"/>
          </w:rPr>
        </w:sdtEndPr>
        <w:sdtContent>
          <w:r>
            <w:rPr>
              <w:rFonts w:hint="eastAsia" w:ascii="宋体" w:hAnsi="宋体" w:cs="宋体"/>
              <w:kern w:val="0"/>
              <w:sz w:val="24"/>
              <w:szCs w:val="24"/>
              <w:highlight w:val="none"/>
            </w:rPr>
            <w:t>☐</w:t>
          </w:r>
        </w:sdtContent>
      </w:sdt>
      <w:r>
        <w:rPr>
          <w:rFonts w:hint="eastAsia" w:ascii="宋体" w:hAnsi="宋体" w:cs="宋体"/>
          <w:sz w:val="24"/>
          <w:szCs w:val="24"/>
          <w:highlight w:val="none"/>
        </w:rPr>
        <w:t>要求以联合体形式参加，提供联合协议和中小企业声明函，联合协议中中小企业合同金额应当达到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%，其中小微企业合同金额应当达到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sdt>
        <w:sdtPr>
          <w:rPr>
            <w:rFonts w:hint="eastAsia" w:ascii="宋体" w:hAnsi="宋体" w:cs="宋体"/>
            <w:kern w:val="0"/>
            <w:sz w:val="24"/>
            <w:szCs w:val="24"/>
            <w:highlight w:val="none"/>
          </w:rPr>
          <w:id w:val="34630645"/>
        </w:sdtPr>
        <w:sdtEndPr>
          <w:rPr>
            <w:rFonts w:hint="eastAsia" w:ascii="宋体" w:hAnsi="宋体" w:cs="宋体"/>
            <w:kern w:val="0"/>
            <w:sz w:val="24"/>
            <w:szCs w:val="24"/>
            <w:highlight w:val="none"/>
          </w:rPr>
        </w:sdtEndPr>
        <w:sdtContent>
          <w:r>
            <w:rPr>
              <w:rFonts w:hint="eastAsia" w:ascii="宋体" w:hAnsi="宋体" w:cs="宋体"/>
              <w:kern w:val="0"/>
              <w:sz w:val="24"/>
              <w:szCs w:val="24"/>
              <w:highlight w:val="none"/>
            </w:rPr>
            <w:t>☐</w:t>
          </w:r>
        </w:sdtContent>
      </w:sdt>
      <w:r>
        <w:rPr>
          <w:rFonts w:hint="eastAsia" w:ascii="宋体" w:hAnsi="宋体" w:cs="宋体"/>
          <w:sz w:val="24"/>
          <w:szCs w:val="24"/>
          <w:highlight w:val="none"/>
        </w:rPr>
        <w:t>要求合同分包，提供分包意向协议和中小企业声明函，分包意向协议中中小企业合同金额应当达到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 ，其中小微企业合同金额应当达到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 ;</w:t>
      </w:r>
      <w:r>
        <w:rPr>
          <w:rFonts w:hint="eastAsia" w:ascii="宋体" w:hAnsi="宋体" w:cs="宋体"/>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.本项目的特定资格要求：无；</w:t>
      </w:r>
    </w:p>
    <w:p>
      <w:pPr>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szCs w:val="24"/>
          <w:highlight w:val="none"/>
        </w:rPr>
      </w:pPr>
      <w:r>
        <w:rPr>
          <w:rFonts w:hint="eastAsia" w:ascii="宋体" w:hAnsi="宋体" w:cs="宋体"/>
          <w:b/>
          <w:sz w:val="24"/>
          <w:szCs w:val="24"/>
          <w:highlight w:val="none"/>
        </w:rPr>
        <w:t xml:space="preserve">三、获取招标文件 </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时间：</w:t>
      </w:r>
      <w:r>
        <w:rPr>
          <w:rFonts w:hint="eastAsia" w:ascii="宋体" w:hAnsi="宋体" w:cs="宋体"/>
          <w:sz w:val="24"/>
          <w:szCs w:val="24"/>
          <w:highlight w:val="none"/>
        </w:rPr>
        <w:t>/至</w:t>
      </w:r>
      <w:r>
        <w:rPr>
          <w:rFonts w:hint="eastAsia" w:ascii="宋体" w:hAnsi="宋体" w:cs="宋体"/>
          <w:sz w:val="24"/>
          <w:szCs w:val="24"/>
          <w:highlight w:val="none"/>
          <w:u w:val="single"/>
        </w:rPr>
        <w:t>2023年</w:t>
      </w:r>
      <w:r>
        <w:rPr>
          <w:rFonts w:hint="eastAsia" w:ascii="宋体" w:hAnsi="宋体" w:cs="宋体"/>
          <w:sz w:val="24"/>
          <w:szCs w:val="24"/>
          <w:highlight w:val="none"/>
          <w:u w:val="single"/>
          <w:lang w:val="en-US" w:eastAsia="zh-CN"/>
        </w:rPr>
        <w:t>09</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single"/>
        </w:rPr>
        <w:t>日</w:t>
      </w:r>
      <w:r>
        <w:rPr>
          <w:rFonts w:hint="eastAsia" w:ascii="宋体" w:hAnsi="宋体" w:cs="宋体"/>
          <w:sz w:val="24"/>
          <w:szCs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地点（网址）：</w:t>
      </w:r>
      <w:r>
        <w:rPr>
          <w:rFonts w:hint="eastAsia" w:ascii="宋体" w:hAnsi="宋体" w:cs="宋体"/>
          <w:sz w:val="24"/>
          <w:szCs w:val="24"/>
          <w:highlight w:val="none"/>
        </w:rPr>
        <w:t xml:space="preserve">政采云平台（https://www.zcygov.cn/） </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方式：</w:t>
      </w:r>
      <w:r>
        <w:rPr>
          <w:rFonts w:hint="eastAsia" w:ascii="宋体" w:hAnsi="宋体" w:cs="宋体"/>
          <w:sz w:val="24"/>
          <w:szCs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售价（元）：</w:t>
      </w:r>
      <w:r>
        <w:rPr>
          <w:rFonts w:hint="eastAsia" w:ascii="宋体" w:hAnsi="宋体" w:cs="宋体"/>
          <w:sz w:val="24"/>
          <w:szCs w:val="24"/>
          <w:highlight w:val="none"/>
        </w:rPr>
        <w:t xml:space="preserve">0 </w:t>
      </w:r>
      <w:r>
        <w:rPr>
          <w:rFonts w:hint="eastAsia" w:ascii="宋体" w:hAnsi="宋体" w:cs="宋体"/>
          <w:sz w:val="24"/>
          <w:szCs w:val="24"/>
          <w:highlight w:val="none"/>
        </w:rPr>
        <w:tab/>
      </w:r>
    </w:p>
    <w:p>
      <w:pPr>
        <w:spacing w:line="360" w:lineRule="auto"/>
        <w:rPr>
          <w:rFonts w:ascii="宋体" w:hAnsi="宋体" w:cs="宋体"/>
          <w:b/>
          <w:sz w:val="24"/>
          <w:szCs w:val="24"/>
          <w:highlight w:val="none"/>
        </w:rPr>
      </w:pPr>
      <w:r>
        <w:rPr>
          <w:rFonts w:hint="eastAsia" w:ascii="宋体" w:hAnsi="宋体" w:cs="宋体"/>
          <w:b/>
          <w:sz w:val="24"/>
          <w:szCs w:val="24"/>
          <w:highlight w:val="none"/>
        </w:rPr>
        <w:t>四、提交投标文件截止时间、开标时间和地点</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提交投标文件截止时间：</w:t>
      </w:r>
      <w:r>
        <w:rPr>
          <w:rFonts w:hint="eastAsia" w:ascii="宋体" w:hAnsi="宋体" w:cs="宋体"/>
          <w:sz w:val="24"/>
          <w:szCs w:val="24"/>
          <w:highlight w:val="none"/>
          <w:u w:val="single"/>
        </w:rPr>
        <w:t xml:space="preserve"> 2023年</w:t>
      </w:r>
      <w:r>
        <w:rPr>
          <w:rFonts w:hint="eastAsia" w:ascii="宋体" w:hAnsi="宋体" w:cs="宋体"/>
          <w:sz w:val="24"/>
          <w:szCs w:val="24"/>
          <w:highlight w:val="none"/>
          <w:u w:val="single"/>
          <w:lang w:val="en-US" w:eastAsia="zh-CN"/>
        </w:rPr>
        <w:t>09</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14</w:t>
      </w:r>
      <w:r>
        <w:rPr>
          <w:rFonts w:hint="eastAsia" w:ascii="宋体" w:hAnsi="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rPr>
        <w:t>分00秒</w:t>
      </w:r>
      <w:r>
        <w:rPr>
          <w:rFonts w:hint="eastAsia" w:ascii="宋体" w:hAnsi="宋体" w:cs="宋体"/>
          <w:bCs/>
          <w:sz w:val="24"/>
          <w:szCs w:val="24"/>
          <w:highlight w:val="none"/>
          <w:u w:val="single"/>
        </w:rPr>
        <w:t xml:space="preserve"> </w:t>
      </w:r>
      <w:r>
        <w:rPr>
          <w:rFonts w:hint="eastAsia" w:ascii="宋体" w:hAnsi="宋体" w:cs="宋体"/>
          <w:sz w:val="24"/>
          <w:szCs w:val="24"/>
          <w:highlight w:val="none"/>
        </w:rPr>
        <w:t>（北京时间）</w:t>
      </w:r>
    </w:p>
    <w:p>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投标地点（网址）：</w:t>
      </w:r>
      <w:r>
        <w:rPr>
          <w:rFonts w:hint="eastAsia" w:ascii="宋体" w:hAnsi="宋体" w:cs="宋体"/>
          <w:sz w:val="24"/>
          <w:szCs w:val="24"/>
          <w:highlight w:val="none"/>
        </w:rPr>
        <w:t xml:space="preserve">政采云平台（https://www.zcygov.cn/） </w:t>
      </w:r>
    </w:p>
    <w:p>
      <w:pPr>
        <w:spacing w:line="360" w:lineRule="auto"/>
        <w:ind w:firstLine="482" w:firstLineChars="200"/>
        <w:rPr>
          <w:rFonts w:ascii="宋体" w:hAnsi="宋体" w:cs="宋体"/>
          <w:bCs/>
          <w:sz w:val="24"/>
          <w:szCs w:val="24"/>
          <w:highlight w:val="none"/>
          <w:u w:val="single"/>
        </w:rPr>
      </w:pPr>
      <w:r>
        <w:rPr>
          <w:rFonts w:hint="eastAsia" w:ascii="宋体" w:hAnsi="宋体" w:cs="宋体"/>
          <w:b/>
          <w:sz w:val="24"/>
          <w:szCs w:val="24"/>
          <w:highlight w:val="none"/>
        </w:rPr>
        <w:t>开标时间：</w:t>
      </w:r>
      <w:r>
        <w:rPr>
          <w:rFonts w:hint="eastAsia" w:ascii="宋体" w:hAnsi="宋体" w:cs="宋体"/>
          <w:sz w:val="24"/>
          <w:szCs w:val="24"/>
          <w:highlight w:val="none"/>
          <w:u w:val="single"/>
        </w:rPr>
        <w:t xml:space="preserve"> 2023年</w:t>
      </w:r>
      <w:r>
        <w:rPr>
          <w:rFonts w:hint="eastAsia" w:ascii="宋体" w:hAnsi="宋体" w:cs="宋体"/>
          <w:sz w:val="24"/>
          <w:szCs w:val="24"/>
          <w:highlight w:val="none"/>
          <w:u w:val="single"/>
          <w:lang w:val="en-US" w:eastAsia="zh-CN"/>
        </w:rPr>
        <w:t>09</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14</w:t>
      </w:r>
      <w:r>
        <w:rPr>
          <w:rFonts w:hint="eastAsia" w:ascii="宋体" w:hAnsi="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rPr>
        <w:t>分00秒</w:t>
      </w:r>
      <w:r>
        <w:rPr>
          <w:rFonts w:hint="eastAsia" w:ascii="宋体" w:hAnsi="宋体" w:cs="宋体"/>
          <w:bCs/>
          <w:sz w:val="24"/>
          <w:szCs w:val="24"/>
          <w:highlight w:val="none"/>
          <w:u w:val="single"/>
        </w:rPr>
        <w:t xml:space="preserve"> </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开标地点（网址）：</w:t>
      </w:r>
      <w:r>
        <w:rPr>
          <w:rFonts w:hint="eastAsia" w:ascii="宋体" w:hAnsi="宋体" w:cs="宋体"/>
          <w:sz w:val="24"/>
          <w:szCs w:val="24"/>
          <w:highlight w:val="none"/>
        </w:rPr>
        <w:t>政采云平台（https://www.zcygov.cn/）</w:t>
      </w:r>
    </w:p>
    <w:p>
      <w:pPr>
        <w:pStyle w:val="2"/>
        <w:ind w:firstLine="0" w:firstLineChars="0"/>
        <w:rPr>
          <w:sz w:val="24"/>
          <w:szCs w:val="24"/>
          <w:highlight w:val="none"/>
        </w:rPr>
      </w:pPr>
      <w:r>
        <w:rPr>
          <w:rFonts w:hint="eastAsia" w:cs="宋体"/>
          <w:b/>
          <w:sz w:val="24"/>
          <w:szCs w:val="24"/>
          <w:highlight w:val="none"/>
        </w:rPr>
        <w:t>五、采购意向公开链接</w:t>
      </w:r>
    </w:p>
    <w:p>
      <w:pPr>
        <w:spacing w:line="360" w:lineRule="auto"/>
        <w:rPr>
          <w:rFonts w:ascii="宋体" w:hAnsi="宋体" w:cs="宋体"/>
          <w:b/>
          <w:sz w:val="21"/>
          <w:szCs w:val="21"/>
          <w:highlight w:val="none"/>
        </w:rPr>
      </w:pPr>
      <w:r>
        <w:rPr>
          <w:rFonts w:ascii="Malgun Gothic Semilight" w:hAnsi="Malgun Gothic Semilight" w:eastAsia="Malgun Gothic Semilight" w:cs="Malgun Gothic Semilight"/>
          <w:sz w:val="21"/>
          <w:szCs w:val="21"/>
          <w:highlight w:val="none"/>
        </w:rPr>
        <w:t>https://zfcg.czt.zj.gov.cn/luban/detail?parentId=600007&amp;articleId=hBrmipEGhL785H/SIdqnsg==</w:t>
      </w:r>
    </w:p>
    <w:p>
      <w:pPr>
        <w:spacing w:line="360" w:lineRule="auto"/>
        <w:rPr>
          <w:rFonts w:ascii="宋体" w:hAnsi="宋体" w:cs="宋体"/>
          <w:sz w:val="24"/>
          <w:szCs w:val="24"/>
          <w:highlight w:val="none"/>
        </w:rPr>
      </w:pPr>
      <w:r>
        <w:rPr>
          <w:rFonts w:hint="eastAsia" w:ascii="宋体" w:hAnsi="宋体" w:cs="宋体"/>
          <w:b/>
          <w:sz w:val="24"/>
          <w:szCs w:val="24"/>
          <w:highlight w:val="none"/>
        </w:rPr>
        <w:t xml:space="preserve">六、公告期限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自本公告发布之日起5个工作日。</w:t>
      </w:r>
    </w:p>
    <w:p>
      <w:pPr>
        <w:spacing w:line="360" w:lineRule="auto"/>
        <w:rPr>
          <w:rFonts w:ascii="宋体" w:hAnsi="宋体" w:cs="宋体"/>
          <w:b/>
          <w:sz w:val="24"/>
          <w:szCs w:val="24"/>
          <w:highlight w:val="none"/>
        </w:rPr>
      </w:pPr>
      <w:r>
        <w:rPr>
          <w:rFonts w:hint="eastAsia" w:ascii="宋体" w:hAnsi="宋体" w:cs="宋体"/>
          <w:b/>
          <w:sz w:val="24"/>
          <w:szCs w:val="24"/>
          <w:highlight w:val="none"/>
        </w:rPr>
        <w:t>七、其他补充事宜</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1.</w:t>
      </w:r>
      <w:r>
        <w:rPr>
          <w:rFonts w:ascii="宋体" w:hAnsi="宋体" w:cs="宋体"/>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szCs w:val="24"/>
          <w:highlight w:val="none"/>
        </w:rPr>
      </w:pPr>
      <w:r>
        <w:rPr>
          <w:rFonts w:hint="eastAsia" w:ascii="宋体" w:hAnsi="宋体" w:cs="宋体"/>
          <w:b/>
          <w:sz w:val="24"/>
          <w:szCs w:val="24"/>
          <w:highlight w:val="none"/>
        </w:rPr>
        <w:t>七、对本次采购提出询问、质疑、投诉，请按以下方式联系</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1.采购人信息</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名    称：浙江省杭州市中级人民法院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    址：浙江省杭州市上城区之江路768号       </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传    真： /</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项目联系人（询问）：汪先生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项目联系方式（询问）：0571-89585367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质疑联系人：方女士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质疑联系方式：0571-89585356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2.采购代理机构信息            </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名    称：大地工程咨询有限公司</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地    址：杭州市拱墅区上塘路988号宸融大厦19楼</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传    真：/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项目联系人（询问）：黄正宇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项目联系方式（询问）：13705716922</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质疑联系人：杨洋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质疑联系方式：18658165573</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3.同级政府采购监督管理部门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名    称：杭州市财政局政府采购监管处 /浙江省政府采购行政裁决服务中心（杭州）</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    址：杭州市上城区四季青街道新业路市民之家G03办公室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传    真：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联系人 ：朱女士、王女士</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监督投诉电话：电话：0571-85252453   </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政策咨询：陈先生、厉先生，0571-89580460、89580456</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CA问题联系电话（人工）：汇信CA 400-888-4636；天谷CA 400-087-8198。</w:t>
      </w:r>
    </w:p>
    <w:p>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3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事项</w:t>
            </w:r>
          </w:p>
        </w:tc>
        <w:tc>
          <w:tcPr>
            <w:tcW w:w="68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szCs w:val="24"/>
                <w:highlight w:val="none"/>
              </w:rPr>
            </w:pPr>
            <w:r>
              <w:rPr>
                <w:rFonts w:hint="eastAsia" w:ascii="宋体" w:hAnsi="宋体" w:cs="宋体"/>
                <w:b/>
                <w:sz w:val="24"/>
                <w:szCs w:val="24"/>
                <w:highlight w:val="none"/>
              </w:rPr>
              <w:t>项目属性</w:t>
            </w:r>
          </w:p>
        </w:tc>
        <w:tc>
          <w:tcPr>
            <w:tcW w:w="68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采购标的及其对应的中小企业划分标准所属行业</w:t>
            </w:r>
          </w:p>
        </w:tc>
        <w:tc>
          <w:tcPr>
            <w:tcW w:w="68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（1）标的：</w:t>
            </w:r>
            <w:r>
              <w:rPr>
                <w:rFonts w:hint="eastAsia" w:ascii="宋体" w:hAnsi="宋体" w:cs="宋体"/>
                <w:kern w:val="0"/>
                <w:sz w:val="24"/>
                <w:szCs w:val="24"/>
                <w:highlight w:val="none"/>
                <w:u w:val="single"/>
              </w:rPr>
              <w:t xml:space="preserve"> </w:t>
            </w:r>
            <w:r>
              <w:rPr>
                <w:rFonts w:ascii="Calibri" w:hAnsi="Calibri" w:cs="Calibri"/>
                <w:sz w:val="21"/>
                <w:szCs w:val="24"/>
                <w:highlight w:val="none"/>
                <w:u w:val="single"/>
              </w:rPr>
              <w:t>浙江省杭州市中级人民法院证券虚假陈述责任纠纷智能化审判项目</w:t>
            </w:r>
            <w:r>
              <w:rPr>
                <w:rFonts w:hint="eastAsia" w:ascii="宋体" w:hAnsi="宋体" w:cs="宋体"/>
                <w:kern w:val="0"/>
                <w:sz w:val="24"/>
                <w:szCs w:val="24"/>
                <w:highlight w:val="none"/>
              </w:rPr>
              <w:t>，属于</w:t>
            </w:r>
            <w:r>
              <w:rPr>
                <w:rFonts w:hint="eastAsia" w:ascii="宋体" w:hAnsi="宋体" w:cs="宋体"/>
                <w:kern w:val="0"/>
                <w:sz w:val="24"/>
                <w:szCs w:val="24"/>
                <w:highlight w:val="none"/>
                <w:u w:val="single"/>
              </w:rPr>
              <w:t xml:space="preserve"> 软件和信息技术服务业  </w:t>
            </w:r>
            <w:r>
              <w:rPr>
                <w:rFonts w:hint="eastAsia" w:ascii="宋体" w:hAnsi="宋体" w:cs="宋体"/>
                <w:kern w:val="0"/>
                <w:sz w:val="24"/>
                <w:szCs w:val="24"/>
                <w:highlight w:val="none"/>
              </w:rPr>
              <w:t>行业；</w:t>
            </w:r>
          </w:p>
          <w:p>
            <w:pPr>
              <w:pStyle w:val="4"/>
              <w:rPr>
                <w:rFonts w:ascii="宋体" w:hAnsi="宋体" w:eastAsia="宋体" w:cs="宋体"/>
                <w:sz w:val="32"/>
                <w:szCs w:val="32"/>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是否允许采购进口产品</w:t>
            </w:r>
          </w:p>
        </w:tc>
        <w:tc>
          <w:tcPr>
            <w:tcW w:w="68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szCs w:val="24"/>
                <w:highlight w:val="none"/>
              </w:rPr>
            </w:pPr>
            <w:sdt>
              <w:sdtPr>
                <w:rPr>
                  <w:rFonts w:hint="eastAsia" w:ascii="宋体" w:hAnsi="宋体" w:cs="宋体"/>
                  <w:kern w:val="0"/>
                  <w:sz w:val="24"/>
                  <w:szCs w:val="24"/>
                  <w:highlight w:val="none"/>
                </w:rPr>
                <w:id w:val="-1828425707"/>
              </w:sdtPr>
              <w:sdtEndPr>
                <w:rPr>
                  <w:rFonts w:hint="eastAsia" w:ascii="宋体" w:hAnsi="宋体" w:cs="宋体"/>
                  <w:kern w:val="0"/>
                  <w:sz w:val="24"/>
                  <w:szCs w:val="24"/>
                  <w:highlight w:val="none"/>
                </w:rPr>
              </w:sdtEndPr>
              <w:sdtContent>
                <w:r>
                  <w:rPr>
                    <w:rFonts w:hint="eastAsia" w:ascii="宋体" w:hAnsi="宋体" w:cs="宋体"/>
                    <w:kern w:val="0"/>
                    <w:sz w:val="24"/>
                    <w:szCs w:val="24"/>
                    <w:highlight w:val="none"/>
                  </w:rPr>
                  <w:sym w:font="Wingdings" w:char="F0FE"/>
                </w:r>
              </w:sdtContent>
            </w:sdt>
            <w:r>
              <w:rPr>
                <w:rFonts w:hint="eastAsia" w:ascii="宋体" w:hAnsi="宋体" w:cs="宋体"/>
                <w:kern w:val="0"/>
                <w:sz w:val="24"/>
                <w:szCs w:val="24"/>
                <w:highlight w:val="none"/>
              </w:rPr>
              <w:t>本项目不允许采购进口产品。</w:t>
            </w:r>
          </w:p>
          <w:p>
            <w:pPr>
              <w:spacing w:line="360" w:lineRule="auto"/>
              <w:rPr>
                <w:rFonts w:ascii="宋体" w:hAnsi="宋体" w:cs="宋体"/>
                <w:sz w:val="21"/>
                <w:szCs w:val="24"/>
                <w:highlight w:val="none"/>
              </w:rPr>
            </w:pPr>
            <w:sdt>
              <w:sdtPr>
                <w:rPr>
                  <w:rFonts w:hint="eastAsia" w:ascii="宋体" w:hAnsi="宋体" w:cs="宋体"/>
                  <w:kern w:val="0"/>
                  <w:sz w:val="24"/>
                  <w:szCs w:val="24"/>
                  <w:highlight w:val="none"/>
                </w:rPr>
                <w:id w:val="-52852824"/>
              </w:sdtPr>
              <w:sdtEndPr>
                <w:rPr>
                  <w:rFonts w:hint="eastAsia" w:ascii="宋体" w:hAnsi="宋体" w:cs="宋体"/>
                  <w:kern w:val="0"/>
                  <w:sz w:val="24"/>
                  <w:szCs w:val="24"/>
                  <w:highlight w:val="none"/>
                </w:rPr>
              </w:sdtEndPr>
              <w:sdtContent>
                <w:r>
                  <w:rPr>
                    <w:rFonts w:hint="eastAsia" w:ascii="宋体" w:hAnsi="宋体" w:cs="宋体"/>
                    <w:kern w:val="0"/>
                    <w:sz w:val="24"/>
                    <w:szCs w:val="24"/>
                    <w:highlight w:val="none"/>
                  </w:rPr>
                  <w:t>☐</w:t>
                </w:r>
              </w:sdtContent>
            </w:sdt>
            <w:r>
              <w:rPr>
                <w:rFonts w:hint="eastAsia" w:ascii="宋体" w:hAnsi="宋体" w:cs="宋体"/>
                <w:kern w:val="0"/>
                <w:sz w:val="24"/>
                <w:szCs w:val="24"/>
                <w:highlight w:val="none"/>
              </w:rPr>
              <w:t>可以就</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分包</w:t>
            </w:r>
          </w:p>
        </w:tc>
        <w:tc>
          <w:tcPr>
            <w:tcW w:w="68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4"/>
                <w:highlight w:val="none"/>
              </w:rPr>
            </w:pPr>
            <w:sdt>
              <w:sdtPr>
                <w:rPr>
                  <w:rFonts w:hint="eastAsia" w:ascii="宋体" w:hAnsi="宋体" w:cs="宋体"/>
                  <w:kern w:val="0"/>
                  <w:sz w:val="24"/>
                  <w:szCs w:val="24"/>
                  <w:highlight w:val="none"/>
                </w:rPr>
                <w:id w:val="-1477286927"/>
              </w:sdtPr>
              <w:sdtEndPr>
                <w:rPr>
                  <w:rFonts w:hint="eastAsia" w:ascii="宋体" w:hAnsi="宋体" w:cs="宋体"/>
                  <w:kern w:val="0"/>
                  <w:sz w:val="24"/>
                  <w:szCs w:val="24"/>
                  <w:highlight w:val="none"/>
                </w:rPr>
              </w:sdtEndPr>
              <w:sdtContent>
                <w:r>
                  <w:rPr>
                    <w:rFonts w:ascii="MS Gothic" w:hAnsi="MS Gothic" w:cs="宋体"/>
                    <w:kern w:val="0"/>
                    <w:sz w:val="24"/>
                    <w:szCs w:val="24"/>
                    <w:highlight w:val="none"/>
                  </w:rPr>
                  <w:t>☐</w:t>
                </w:r>
              </w:sdtContent>
            </w:sdt>
            <w:r>
              <w:rPr>
                <w:rFonts w:hint="eastAsia" w:ascii="宋体" w:hAnsi="宋体" w:cs="宋体"/>
                <w:kern w:val="0"/>
                <w:sz w:val="24"/>
                <w:szCs w:val="24"/>
                <w:highlight w:val="none"/>
              </w:rPr>
              <w:t xml:space="preserve"> A</w:t>
            </w:r>
            <w:r>
              <w:rPr>
                <w:rFonts w:hint="eastAsia" w:ascii="宋体" w:hAnsi="宋体" w:cs="宋体"/>
                <w:sz w:val="24"/>
                <w:szCs w:val="24"/>
                <w:highlight w:val="none"/>
              </w:rPr>
              <w:t>同意将非主体、非关键性的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工作分包。</w:t>
            </w:r>
          </w:p>
          <w:p>
            <w:pPr>
              <w:spacing w:line="360" w:lineRule="auto"/>
              <w:rPr>
                <w:rFonts w:ascii="宋体" w:hAnsi="宋体" w:cs="宋体"/>
                <w:sz w:val="24"/>
                <w:szCs w:val="24"/>
                <w:highlight w:val="none"/>
              </w:rPr>
            </w:pPr>
            <w:sdt>
              <w:sdtPr>
                <w:rPr>
                  <w:rFonts w:hint="eastAsia" w:ascii="宋体" w:hAnsi="宋体" w:cs="宋体"/>
                  <w:kern w:val="0"/>
                  <w:sz w:val="24"/>
                  <w:szCs w:val="24"/>
                  <w:highlight w:val="none"/>
                </w:rPr>
                <w:id w:val="-1276331357"/>
              </w:sdtPr>
              <w:sdtEndPr>
                <w:rPr>
                  <w:rFonts w:hint="eastAsia" w:ascii="宋体" w:hAnsi="宋体" w:cs="宋体"/>
                  <w:kern w:val="0"/>
                  <w:sz w:val="24"/>
                  <w:szCs w:val="24"/>
                  <w:highlight w:val="none"/>
                </w:rPr>
              </w:sdtEndPr>
              <w:sdtContent>
                <w:r>
                  <w:rPr>
                    <w:rFonts w:ascii="Wingdings" w:hAnsi="Wingdings" w:cs="宋体"/>
                    <w:kern w:val="0"/>
                    <w:sz w:val="24"/>
                    <w:szCs w:val="24"/>
                    <w:highlight w:val="none"/>
                  </w:rPr>
                  <w:t></w:t>
                </w:r>
              </w:sdtContent>
            </w:sdt>
            <w:r>
              <w:rPr>
                <w:rFonts w:hint="eastAsia" w:ascii="宋体" w:hAnsi="宋体" w:cs="宋体"/>
                <w:kern w:val="0"/>
                <w:sz w:val="24"/>
                <w:szCs w:val="24"/>
                <w:highlight w:val="none"/>
              </w:rPr>
              <w:t xml:space="preserve"> B</w:t>
            </w:r>
            <w:r>
              <w:rPr>
                <w:rFonts w:hint="eastAsia" w:ascii="宋体" w:hAnsi="宋体" w:cs="宋体"/>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开标前答疑会或现场考察</w:t>
            </w:r>
          </w:p>
        </w:tc>
        <w:tc>
          <w:tcPr>
            <w:tcW w:w="68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4"/>
                <w:highlight w:val="none"/>
              </w:rPr>
            </w:pPr>
            <w:sdt>
              <w:sdtPr>
                <w:rPr>
                  <w:rFonts w:hint="eastAsia" w:ascii="宋体" w:hAnsi="宋体" w:cs="宋体"/>
                  <w:kern w:val="0"/>
                  <w:sz w:val="24"/>
                  <w:szCs w:val="24"/>
                  <w:highlight w:val="none"/>
                </w:rPr>
                <w:id w:val="-212966419"/>
              </w:sdtPr>
              <w:sdtEndPr>
                <w:rPr>
                  <w:rFonts w:hint="eastAsia" w:ascii="宋体" w:hAnsi="宋体" w:cs="宋体"/>
                  <w:kern w:val="0"/>
                  <w:sz w:val="24"/>
                  <w:szCs w:val="24"/>
                  <w:highlight w:val="none"/>
                </w:rPr>
              </w:sdtEndPr>
              <w:sdtContent>
                <w:r>
                  <w:rPr>
                    <w:rFonts w:ascii="Wingdings" w:hAnsi="Wingdings" w:eastAsia="MS Gothic" w:cs="宋体"/>
                    <w:kern w:val="0"/>
                    <w:sz w:val="24"/>
                    <w:szCs w:val="24"/>
                    <w:highlight w:val="none"/>
                  </w:rPr>
                  <w:t></w:t>
                </w:r>
              </w:sdtContent>
            </w:sdt>
            <w:r>
              <w:rPr>
                <w:rFonts w:hint="eastAsia" w:ascii="宋体" w:hAnsi="宋体" w:cs="宋体"/>
                <w:kern w:val="0"/>
                <w:sz w:val="24"/>
                <w:szCs w:val="24"/>
                <w:highlight w:val="none"/>
              </w:rPr>
              <w:t>A</w:t>
            </w:r>
            <w:r>
              <w:rPr>
                <w:rFonts w:hint="eastAsia" w:ascii="宋体" w:hAnsi="宋体" w:cs="宋体"/>
                <w:sz w:val="24"/>
                <w:szCs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szCs w:val="24"/>
                  <w:highlight w:val="none"/>
                </w:rPr>
                <w:id w:val="-999802974"/>
              </w:sdtPr>
              <w:sdtEndPr>
                <w:rPr>
                  <w:rFonts w:hint="eastAsia" w:ascii="宋体" w:hAnsi="宋体" w:cs="宋体"/>
                  <w:kern w:val="0"/>
                  <w:sz w:val="24"/>
                  <w:szCs w:val="24"/>
                  <w:highlight w:val="none"/>
                </w:rPr>
              </w:sdtEndPr>
              <w:sdtContent>
                <w:r>
                  <w:rPr>
                    <w:rFonts w:hint="eastAsia" w:ascii="宋体" w:hAnsi="宋体" w:cs="宋体"/>
                    <w:kern w:val="0"/>
                    <w:sz w:val="24"/>
                    <w:szCs w:val="24"/>
                    <w:highlight w:val="none"/>
                  </w:rPr>
                  <w:t>☐</w:t>
                </w:r>
              </w:sdtContent>
            </w:sdt>
            <w:r>
              <w:rPr>
                <w:rFonts w:hint="eastAsia" w:ascii="宋体" w:hAnsi="宋体" w:cs="宋体"/>
                <w:kern w:val="0"/>
                <w:sz w:val="24"/>
                <w:szCs w:val="24"/>
                <w:highlight w:val="none"/>
              </w:rPr>
              <w:t>B组织，</w:t>
            </w:r>
            <w:r>
              <w:rPr>
                <w:rFonts w:hint="eastAsia" w:ascii="宋体" w:hAnsi="宋体" w:cs="宋体"/>
                <w:sz w:val="24"/>
                <w:szCs w:val="24"/>
                <w:highlight w:val="none"/>
              </w:rPr>
              <w:t>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,地点：</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，联系人：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，联系方式：</w:t>
            </w:r>
            <w:r>
              <w:rPr>
                <w:rFonts w:hint="eastAsia" w:ascii="宋体" w:hAnsi="宋体" w:cs="宋体"/>
                <w:sz w:val="24"/>
                <w:szCs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样品提供</w:t>
            </w:r>
          </w:p>
        </w:tc>
        <w:tc>
          <w:tcPr>
            <w:tcW w:w="68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4"/>
                <w:highlight w:val="none"/>
              </w:rPr>
            </w:pPr>
            <w:sdt>
              <w:sdtPr>
                <w:rPr>
                  <w:rFonts w:hint="eastAsia" w:ascii="宋体" w:hAnsi="宋体" w:cs="宋体"/>
                  <w:kern w:val="0"/>
                  <w:sz w:val="24"/>
                  <w:szCs w:val="24"/>
                  <w:highlight w:val="none"/>
                </w:rPr>
                <w:id w:val="-1639946486"/>
              </w:sdtPr>
              <w:sdtEndPr>
                <w:rPr>
                  <w:rFonts w:hint="eastAsia" w:ascii="宋体" w:hAnsi="宋体" w:cs="宋体"/>
                  <w:kern w:val="0"/>
                  <w:sz w:val="24"/>
                  <w:szCs w:val="24"/>
                  <w:highlight w:val="none"/>
                </w:rPr>
              </w:sdtEndPr>
              <w:sdtContent>
                <w:r>
                  <w:rPr>
                    <w:rFonts w:ascii="Wingdings" w:hAnsi="Wingdings" w:eastAsia="MS Gothic" w:cs="宋体"/>
                    <w:kern w:val="0"/>
                    <w:sz w:val="24"/>
                    <w:szCs w:val="24"/>
                    <w:highlight w:val="none"/>
                  </w:rPr>
                  <w:t></w:t>
                </w:r>
              </w:sdtContent>
            </w:sdt>
            <w:r>
              <w:rPr>
                <w:rFonts w:hint="eastAsia" w:ascii="宋体" w:hAnsi="宋体" w:cs="宋体"/>
                <w:kern w:val="0"/>
                <w:sz w:val="24"/>
                <w:szCs w:val="24"/>
                <w:highlight w:val="none"/>
              </w:rPr>
              <w:t>A</w:t>
            </w:r>
            <w:r>
              <w:rPr>
                <w:rFonts w:hint="eastAsia" w:ascii="宋体" w:hAnsi="宋体" w:cs="宋体"/>
                <w:sz w:val="24"/>
                <w:szCs w:val="24"/>
                <w:highlight w:val="none"/>
              </w:rPr>
              <w:t>不要求提供。</w:t>
            </w:r>
          </w:p>
          <w:p>
            <w:pPr>
              <w:spacing w:line="360" w:lineRule="auto"/>
              <w:rPr>
                <w:rFonts w:ascii="宋体" w:hAnsi="宋体" w:cs="宋体"/>
                <w:kern w:val="0"/>
                <w:sz w:val="24"/>
                <w:szCs w:val="24"/>
                <w:highlight w:val="none"/>
              </w:rPr>
            </w:pPr>
            <w:sdt>
              <w:sdtPr>
                <w:rPr>
                  <w:rFonts w:hint="eastAsia" w:ascii="宋体" w:hAnsi="宋体" w:cs="宋体"/>
                  <w:kern w:val="0"/>
                  <w:sz w:val="24"/>
                  <w:szCs w:val="24"/>
                  <w:highlight w:val="none"/>
                </w:rPr>
                <w:id w:val="1026831988"/>
              </w:sdtPr>
              <w:sdtEndPr>
                <w:rPr>
                  <w:rFonts w:hint="eastAsia" w:ascii="宋体" w:hAnsi="宋体" w:cs="宋体"/>
                  <w:kern w:val="0"/>
                  <w:sz w:val="24"/>
                  <w:szCs w:val="24"/>
                  <w:highlight w:val="none"/>
                </w:rPr>
              </w:sdtEndPr>
              <w:sdtContent>
                <w:r>
                  <w:rPr>
                    <w:rFonts w:hint="eastAsia" w:ascii="MS Gothic" w:hAnsi="MS Gothic" w:eastAsia="MS Gothic" w:cs="宋体"/>
                    <w:kern w:val="0"/>
                    <w:sz w:val="24"/>
                    <w:szCs w:val="24"/>
                    <w:highlight w:val="none"/>
                  </w:rPr>
                  <w:t>☐</w:t>
                </w:r>
              </w:sdtContent>
            </w:sdt>
            <w:r>
              <w:rPr>
                <w:rFonts w:hint="eastAsia" w:ascii="宋体" w:hAnsi="宋体" w:cs="宋体"/>
                <w:kern w:val="0"/>
                <w:sz w:val="24"/>
                <w:szCs w:val="24"/>
                <w:highlight w:val="none"/>
              </w:rPr>
              <w:t>B要求提供，</w:t>
            </w: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snapToGrid w:val="0"/>
                <w:kern w:val="28"/>
                <w:sz w:val="24"/>
                <w:szCs w:val="24"/>
                <w:highlight w:val="none"/>
              </w:rPr>
              <w:t>样品：</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w:t>
            </w: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snapToGrid w:val="0"/>
                <w:kern w:val="28"/>
                <w:sz w:val="24"/>
                <w:szCs w:val="24"/>
                <w:highlight w:val="none"/>
              </w:rPr>
              <w:t>样品制作的标准和要求：</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w:t>
            </w: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（3）样品的评审方法以及评审标准</w:t>
            </w:r>
            <w:r>
              <w:rPr>
                <w:rFonts w:hint="eastAsia" w:ascii="宋体" w:hAnsi="宋体" w:cs="宋体"/>
                <w:snapToGrid w:val="0"/>
                <w:kern w:val="28"/>
                <w:sz w:val="24"/>
                <w:szCs w:val="24"/>
                <w:highlight w:val="none"/>
              </w:rPr>
              <w:t>：详见</w:t>
            </w:r>
            <w:r>
              <w:rPr>
                <w:rFonts w:hint="eastAsia" w:ascii="宋体" w:hAnsi="宋体" w:cs="宋体"/>
                <w:sz w:val="24"/>
                <w:szCs w:val="24"/>
                <w:highlight w:val="none"/>
                <w:u w:val="single"/>
              </w:rPr>
              <w:t>评标办法</w:t>
            </w:r>
            <w:r>
              <w:rPr>
                <w:rFonts w:hint="eastAsia" w:ascii="宋体" w:hAnsi="宋体" w:cs="宋体"/>
                <w:kern w:val="0"/>
                <w:sz w:val="24"/>
                <w:szCs w:val="24"/>
                <w:highlight w:val="none"/>
              </w:rPr>
              <w:t>；</w:t>
            </w: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（4）是否需要随样品提交检测报告：</w:t>
            </w:r>
            <w:sdt>
              <w:sdtPr>
                <w:rPr>
                  <w:rFonts w:hint="eastAsia" w:ascii="宋体" w:hAnsi="宋体" w:cs="宋体"/>
                  <w:kern w:val="0"/>
                  <w:sz w:val="24"/>
                  <w:szCs w:val="24"/>
                  <w:highlight w:val="none"/>
                </w:rPr>
                <w:id w:val="1303421454"/>
              </w:sdtPr>
              <w:sdtEndPr>
                <w:rPr>
                  <w:rFonts w:hint="eastAsia" w:ascii="宋体" w:hAnsi="宋体" w:cs="宋体"/>
                  <w:kern w:val="0"/>
                  <w:sz w:val="24"/>
                  <w:szCs w:val="24"/>
                  <w:highlight w:val="none"/>
                </w:rPr>
              </w:sdtEndPr>
              <w:sdtContent>
                <w:r>
                  <w:rPr>
                    <w:rFonts w:hint="eastAsia" w:ascii="MS Gothic" w:hAnsi="MS Gothic" w:eastAsia="MS Gothic" w:cs="宋体"/>
                    <w:kern w:val="0"/>
                    <w:sz w:val="24"/>
                    <w:szCs w:val="24"/>
                    <w:highlight w:val="none"/>
                  </w:rPr>
                  <w:t>☐</w:t>
                </w:r>
              </w:sdtContent>
            </w:sdt>
            <w:r>
              <w:rPr>
                <w:rFonts w:hint="eastAsia" w:ascii="宋体" w:hAnsi="宋体" w:cs="宋体"/>
                <w:kern w:val="0"/>
                <w:sz w:val="24"/>
                <w:szCs w:val="24"/>
                <w:highlight w:val="none"/>
              </w:rPr>
              <w:t>否；</w:t>
            </w:r>
            <w:sdt>
              <w:sdtPr>
                <w:rPr>
                  <w:rFonts w:hint="eastAsia" w:ascii="宋体" w:hAnsi="宋体" w:cs="宋体"/>
                  <w:kern w:val="0"/>
                  <w:sz w:val="24"/>
                  <w:szCs w:val="24"/>
                  <w:highlight w:val="none"/>
                </w:rPr>
                <w:id w:val="1621728433"/>
              </w:sdtPr>
              <w:sdtEndPr>
                <w:rPr>
                  <w:rFonts w:hint="eastAsia" w:ascii="宋体" w:hAnsi="宋体" w:cs="宋体"/>
                  <w:kern w:val="0"/>
                  <w:sz w:val="24"/>
                  <w:szCs w:val="24"/>
                  <w:highlight w:val="none"/>
                </w:rPr>
              </w:sdtEndPr>
              <w:sdtContent>
                <w:r>
                  <w:rPr>
                    <w:rFonts w:hint="eastAsia" w:ascii="宋体" w:hAnsi="宋体" w:cs="宋体"/>
                    <w:kern w:val="0"/>
                    <w:sz w:val="24"/>
                    <w:szCs w:val="24"/>
                    <w:highlight w:val="none"/>
                  </w:rPr>
                  <w:t>☐</w:t>
                </w:r>
              </w:sdtContent>
            </w:sdt>
            <w:r>
              <w:rPr>
                <w:rFonts w:hint="eastAsia" w:ascii="宋体" w:hAnsi="宋体" w:cs="宋体"/>
                <w:kern w:val="0"/>
                <w:sz w:val="24"/>
                <w:szCs w:val="24"/>
                <w:highlight w:val="none"/>
              </w:rPr>
              <w:t>是，检测机构的要求</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；检测内容</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（5）提供样品的时间：</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；地点：</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；联系人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kern w:val="28"/>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szCs w:val="24"/>
                <w:highlight w:val="none"/>
              </w:rPr>
            </w:pPr>
            <w:r>
              <w:rPr>
                <w:rFonts w:hint="eastAsia" w:ascii="宋体" w:hAnsi="宋体" w:cs="宋体"/>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szCs w:val="24"/>
                <w:highlight w:val="none"/>
              </w:rPr>
            </w:pPr>
            <w:r>
              <w:rPr>
                <w:rFonts w:hint="eastAsia" w:ascii="宋体" w:hAnsi="宋体" w:cs="宋体"/>
                <w:b/>
                <w:sz w:val="24"/>
                <w:szCs w:val="24"/>
                <w:highlight w:val="none"/>
              </w:rPr>
              <w:t>方案讲解演示</w:t>
            </w:r>
          </w:p>
        </w:tc>
        <w:tc>
          <w:tcPr>
            <w:tcW w:w="68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4"/>
                <w:highlight w:val="none"/>
              </w:rPr>
            </w:pPr>
            <w:sdt>
              <w:sdtPr>
                <w:rPr>
                  <w:rFonts w:hint="eastAsia" w:ascii="宋体" w:hAnsi="宋体" w:cs="宋体"/>
                  <w:kern w:val="0"/>
                  <w:sz w:val="24"/>
                  <w:szCs w:val="24"/>
                  <w:highlight w:val="none"/>
                </w:rPr>
                <w:id w:val="-1859348549"/>
              </w:sdtPr>
              <w:sdtEndPr>
                <w:rPr>
                  <w:rFonts w:hint="eastAsia" w:ascii="宋体" w:hAnsi="宋体" w:cs="宋体"/>
                  <w:kern w:val="0"/>
                  <w:sz w:val="24"/>
                  <w:szCs w:val="24"/>
                  <w:highlight w:val="none"/>
                </w:rPr>
              </w:sdtEndPr>
              <w:sdtContent>
                <w:r>
                  <w:rPr>
                    <w:rFonts w:hint="eastAsia" w:ascii="MS Gothic" w:hAnsi="MS Gothic" w:eastAsia="MS Gothic" w:cs="宋体"/>
                    <w:kern w:val="0"/>
                    <w:sz w:val="24"/>
                    <w:szCs w:val="24"/>
                    <w:highlight w:val="none"/>
                  </w:rPr>
                  <w:t>☐</w:t>
                </w:r>
              </w:sdtContent>
            </w:sdt>
            <w:r>
              <w:rPr>
                <w:rFonts w:hint="eastAsia" w:ascii="宋体" w:hAnsi="宋体" w:cs="宋体"/>
                <w:kern w:val="0"/>
                <w:sz w:val="24"/>
                <w:szCs w:val="24"/>
                <w:highlight w:val="none"/>
              </w:rPr>
              <w:t>A</w:t>
            </w:r>
            <w:r>
              <w:rPr>
                <w:rFonts w:hint="eastAsia" w:ascii="宋体" w:hAnsi="宋体" w:cs="宋体"/>
                <w:sz w:val="24"/>
                <w:szCs w:val="24"/>
                <w:highlight w:val="none"/>
              </w:rPr>
              <w:t>不组织。</w:t>
            </w:r>
          </w:p>
          <w:p>
            <w:pPr>
              <w:spacing w:line="360" w:lineRule="auto"/>
              <w:rPr>
                <w:rFonts w:ascii="宋体" w:hAnsi="宋体" w:cs="宋体"/>
                <w:kern w:val="0"/>
                <w:sz w:val="24"/>
                <w:szCs w:val="24"/>
                <w:highlight w:val="none"/>
              </w:rPr>
            </w:pPr>
            <w:sdt>
              <w:sdtPr>
                <w:rPr>
                  <w:rFonts w:hint="eastAsia" w:ascii="宋体" w:hAnsi="宋体" w:cs="宋体"/>
                  <w:kern w:val="0"/>
                  <w:sz w:val="24"/>
                  <w:szCs w:val="24"/>
                  <w:highlight w:val="none"/>
                </w:rPr>
                <w:id w:val="1174071719"/>
              </w:sdtPr>
              <w:sdtEndPr>
                <w:rPr>
                  <w:rFonts w:hint="eastAsia" w:ascii="宋体" w:hAnsi="宋体" w:cs="宋体"/>
                  <w:kern w:val="0"/>
                  <w:sz w:val="24"/>
                  <w:szCs w:val="24"/>
                  <w:highlight w:val="none"/>
                </w:rPr>
              </w:sdtEndPr>
              <w:sdtContent>
                <w:r>
                  <w:rPr>
                    <w:rFonts w:ascii="Wingdings" w:hAnsi="Wingdings" w:cs="宋体"/>
                    <w:kern w:val="0"/>
                    <w:sz w:val="24"/>
                    <w:szCs w:val="24"/>
                    <w:highlight w:val="none"/>
                  </w:rPr>
                  <w:t></w:t>
                </w:r>
              </w:sdtContent>
            </w:sdt>
            <w:r>
              <w:rPr>
                <w:rFonts w:hint="eastAsia" w:ascii="宋体" w:hAnsi="宋体" w:cs="宋体"/>
                <w:kern w:val="0"/>
                <w:sz w:val="24"/>
                <w:szCs w:val="24"/>
                <w:highlight w:val="none"/>
              </w:rPr>
              <w:t>B组织。</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（1）在评标时安排每个投标人进行方案讲解演示。每个投标人时间不超过</w:t>
            </w:r>
            <w:r>
              <w:rPr>
                <w:rFonts w:hint="eastAsia" w:ascii="宋体" w:hAnsi="宋体" w:cs="宋体"/>
                <w:kern w:val="0"/>
                <w:sz w:val="24"/>
                <w:szCs w:val="24"/>
                <w:highlight w:val="none"/>
                <w:u w:val="single"/>
              </w:rPr>
              <w:t>10</w:t>
            </w:r>
            <w:r>
              <w:rPr>
                <w:rFonts w:hint="eastAsia" w:ascii="宋体" w:hAnsi="宋体" w:cs="宋体"/>
                <w:kern w:val="0"/>
                <w:sz w:val="24"/>
                <w:szCs w:val="24"/>
                <w:highlight w:val="none"/>
              </w:rPr>
              <w:t>分钟，讲解次序以投标文件解密时间先后次序为准，讲解演示人员不超过</w:t>
            </w:r>
            <w:r>
              <w:rPr>
                <w:rFonts w:hint="eastAsia" w:ascii="宋体" w:hAnsi="宋体" w:cs="宋体"/>
                <w:kern w:val="0"/>
                <w:sz w:val="24"/>
                <w:szCs w:val="24"/>
                <w:highlight w:val="none"/>
                <w:u w:val="single"/>
              </w:rPr>
              <w:t>2</w:t>
            </w:r>
            <w:r>
              <w:rPr>
                <w:rFonts w:hint="eastAsia" w:ascii="宋体" w:hAnsi="宋体" w:cs="宋体"/>
                <w:kern w:val="0"/>
                <w:sz w:val="24"/>
                <w:szCs w:val="24"/>
                <w:highlight w:val="none"/>
              </w:rPr>
              <w:t>人。讲解演示结束后按要求解答评标委员会提问。</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（2）方案讲解演示方式：</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开标现场讲解演示。现场讲解地点为</w:t>
            </w:r>
            <w:r>
              <w:rPr>
                <w:rFonts w:hint="eastAsia" w:ascii="宋体" w:hAnsi="宋体" w:cs="宋体"/>
                <w:kern w:val="0"/>
                <w:sz w:val="24"/>
                <w:szCs w:val="24"/>
                <w:highlight w:val="none"/>
                <w:u w:val="single"/>
              </w:rPr>
              <w:t xml:space="preserve"> 杭州市拱墅区上塘路988号宸融大厦19楼大地工程咨询有限公司会议室 </w:t>
            </w:r>
            <w:r>
              <w:rPr>
                <w:rFonts w:hint="eastAsia" w:ascii="宋体" w:hAnsi="宋体" w:cs="宋体"/>
                <w:kern w:val="0"/>
                <w:sz w:val="24"/>
                <w:szCs w:val="24"/>
                <w:highlight w:val="none"/>
              </w:rPr>
              <w:t>，讲解演示所用电脑设备由投标人自备。</w:t>
            </w:r>
          </w:p>
          <w:p>
            <w:pPr>
              <w:snapToGrid w:val="0"/>
              <w:spacing w:line="360" w:lineRule="auto"/>
              <w:rPr>
                <w:rFonts w:ascii="宋体" w:hAnsi="宋体" w:cs="宋体"/>
                <w:b/>
                <w:kern w:val="0"/>
                <w:sz w:val="24"/>
                <w:szCs w:val="24"/>
                <w:highlight w:val="none"/>
                <w:lang w:val="zh-CN"/>
              </w:rPr>
            </w:pPr>
            <w:r>
              <w:rPr>
                <w:rFonts w:hint="eastAsia" w:ascii="宋体" w:hAnsi="宋体" w:cs="宋体"/>
                <w:kern w:val="0"/>
                <w:sz w:val="24"/>
                <w:szCs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投标人应当提供的资格、资信证明文件</w:t>
            </w:r>
          </w:p>
        </w:tc>
        <w:tc>
          <w:tcPr>
            <w:tcW w:w="685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（1）资格证明文件：见招标文件第二部分11.1。</w:t>
            </w:r>
          </w:p>
          <w:p>
            <w:pPr>
              <w:spacing w:line="360" w:lineRule="auto"/>
              <w:rPr>
                <w:rFonts w:ascii="宋体" w:hAnsi="宋体" w:cs="宋体"/>
                <w:snapToGrid w:val="0"/>
                <w:kern w:val="0"/>
                <w:sz w:val="21"/>
                <w:szCs w:val="21"/>
                <w:highlight w:val="none"/>
              </w:rPr>
            </w:pPr>
            <w:r>
              <w:rPr>
                <w:rFonts w:hint="eastAsia" w:ascii="宋体" w:hAnsi="宋体" w:cs="宋体"/>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p>
        </w:tc>
        <w:tc>
          <w:tcPr>
            <w:tcW w:w="685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节能产品、环境标志产品</w:t>
            </w:r>
          </w:p>
        </w:tc>
        <w:tc>
          <w:tcPr>
            <w:tcW w:w="68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1"/>
                <w:szCs w:val="24"/>
                <w:highlight w:val="none"/>
              </w:rPr>
            </w:pPr>
            <w:r>
              <w:rPr>
                <w:rFonts w:hint="eastAsia" w:ascii="宋体" w:hAnsi="宋体" w:cs="宋体"/>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报价要求</w:t>
            </w:r>
          </w:p>
        </w:tc>
        <w:tc>
          <w:tcPr>
            <w:tcW w:w="68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szCs w:val="24"/>
                <w:highlight w:val="none"/>
                <w:lang w:val="zh-CN"/>
              </w:rPr>
            </w:pPr>
            <w:r>
              <w:rPr>
                <w:rFonts w:hint="eastAsia" w:ascii="宋体" w:hAnsi="宋体" w:cs="宋体"/>
                <w:kern w:val="0"/>
                <w:sz w:val="24"/>
                <w:szCs w:val="24"/>
                <w:highlight w:val="none"/>
                <w:lang w:val="zh-CN"/>
              </w:rPr>
              <w:t>有关本项目实施所需的所有费用（含税费）均计入报价。</w:t>
            </w:r>
            <w:r>
              <w:rPr>
                <w:rFonts w:hint="eastAsia" w:ascii="宋体" w:hAnsi="宋体" w:cs="宋体"/>
                <w:b/>
                <w:bCs/>
                <w:kern w:val="0"/>
                <w:sz w:val="24"/>
                <w:szCs w:val="24"/>
                <w:highlight w:val="none"/>
                <w:lang w:val="zh-CN"/>
              </w:rPr>
              <w:t>投标文件</w:t>
            </w:r>
            <w:r>
              <w:rPr>
                <w:rFonts w:hint="eastAsia" w:ascii="宋体" w:hAnsi="宋体" w:cs="宋体"/>
                <w:b/>
                <w:bCs/>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szCs w:val="24"/>
                <w:highlight w:val="none"/>
                <w:lang w:val="zh-CN"/>
              </w:rPr>
              <w:t>投标文件中价格全部采用人民币报价。招标文件未列明，而投标人认为必需的费用也需列入报价。</w:t>
            </w:r>
            <w:r>
              <w:rPr>
                <w:rFonts w:hint="eastAsia" w:ascii="宋体" w:hAnsi="宋体" w:cs="宋体"/>
                <w:b/>
                <w:kern w:val="0"/>
                <w:sz w:val="24"/>
                <w:szCs w:val="24"/>
                <w:highlight w:val="none"/>
                <w:lang w:val="zh-CN"/>
              </w:rPr>
              <w:t>提醒：验收时检测费用由采购人承担，不包含在投标总价中。</w:t>
            </w:r>
          </w:p>
          <w:p>
            <w:pPr>
              <w:snapToGrid w:val="0"/>
              <w:spacing w:line="360" w:lineRule="auto"/>
              <w:jc w:val="left"/>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（1）投标文件出现不是唯一的、有选择性投标报价的；</w:t>
            </w:r>
          </w:p>
          <w:p>
            <w:pPr>
              <w:snapToGrid w:val="0"/>
              <w:spacing w:line="360" w:lineRule="auto"/>
              <w:ind w:firstLine="241" w:firstLineChars="100"/>
              <w:jc w:val="left"/>
              <w:rPr>
                <w:rFonts w:ascii="宋体" w:hAnsi="宋体" w:cs="宋体"/>
                <w:kern w:val="0"/>
                <w:sz w:val="24"/>
                <w:szCs w:val="24"/>
                <w:highlight w:val="none"/>
                <w:lang w:val="zh-CN"/>
              </w:rPr>
            </w:pPr>
            <w:r>
              <w:rPr>
                <w:rFonts w:hint="eastAsia" w:ascii="宋体" w:hAnsi="宋体" w:cs="宋体"/>
                <w:b/>
                <w:kern w:val="0"/>
                <w:sz w:val="24"/>
                <w:szCs w:val="24"/>
                <w:highlight w:val="none"/>
                <w:lang w:val="zh-CN"/>
              </w:rPr>
              <w:t>（2）投标报价超过招标文件中规定的预算金额或者最高限价的;</w:t>
            </w:r>
          </w:p>
          <w:p>
            <w:pPr>
              <w:spacing w:line="360" w:lineRule="auto"/>
              <w:ind w:firstLine="241" w:firstLineChars="100"/>
              <w:rPr>
                <w:rFonts w:ascii="宋体" w:hAnsi="宋体" w:cs="宋体"/>
                <w:b/>
                <w:sz w:val="24"/>
                <w:szCs w:val="24"/>
                <w:highlight w:val="none"/>
              </w:rPr>
            </w:pPr>
            <w:r>
              <w:rPr>
                <w:rFonts w:hint="eastAsia" w:ascii="宋体" w:hAnsi="宋体" w:cs="宋体"/>
                <w:b/>
                <w:kern w:val="0"/>
                <w:sz w:val="24"/>
                <w:szCs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szCs w:val="24"/>
                <w:highlight w:val="none"/>
              </w:rPr>
            </w:pPr>
            <w:r>
              <w:rPr>
                <w:rFonts w:hint="eastAsia" w:ascii="宋体" w:hAnsi="宋体" w:cs="宋体"/>
                <w:b/>
                <w:kern w:val="0"/>
                <w:sz w:val="24"/>
                <w:szCs w:val="24"/>
                <w:highlight w:val="none"/>
              </w:rPr>
              <w:t>（4）投标人对根据修正原则修正后的报价不确认的</w:t>
            </w:r>
            <w:r>
              <w:rPr>
                <w:rFonts w:hint="eastAsia" w:ascii="宋体" w:hAnsi="宋体" w:cs="宋体"/>
                <w:b/>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中小企业信用融资</w:t>
            </w:r>
          </w:p>
        </w:tc>
        <w:tc>
          <w:tcPr>
            <w:tcW w:w="685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szCs w:val="24"/>
                <w:highlight w:val="none"/>
              </w:rPr>
            </w:pPr>
            <w:r>
              <w:rPr>
                <w:rFonts w:hint="eastAsia" w:ascii="宋体" w:hAnsi="宋体" w:cs="宋体"/>
                <w:snapToGrid w:val="0"/>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 xml:space="preserve">备份投标文件送达地点和签收人员 </w:t>
            </w:r>
          </w:p>
        </w:tc>
        <w:tc>
          <w:tcPr>
            <w:tcW w:w="685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szCs w:val="21"/>
                <w:highlight w:val="none"/>
              </w:rPr>
            </w:pPr>
            <w:r>
              <w:rPr>
                <w:rFonts w:hint="eastAsia" w:hAnsi="宋体" w:cs="宋体"/>
                <w:kern w:val="28"/>
                <w:sz w:val="24"/>
                <w:szCs w:val="24"/>
                <w:highlight w:val="none"/>
              </w:rPr>
              <w:t>备份投标文件送达地点：</w:t>
            </w:r>
            <w:r>
              <w:rPr>
                <w:rFonts w:hint="eastAsia" w:hAnsi="宋体" w:cs="宋体"/>
                <w:sz w:val="24"/>
                <w:szCs w:val="21"/>
                <w:highlight w:val="none"/>
                <w:u w:val="single"/>
              </w:rPr>
              <w:t xml:space="preserve">杭州市拱墅区上塘路988号宸融大厦19楼 黄工收 </w:t>
            </w:r>
            <w:r>
              <w:rPr>
                <w:rFonts w:hint="eastAsia" w:hAnsi="宋体" w:cs="宋体"/>
                <w:kern w:val="28"/>
                <w:sz w:val="24"/>
                <w:szCs w:val="24"/>
                <w:highlight w:val="none"/>
              </w:rPr>
              <w:t>；备份投标文件签收人员联系电话：</w:t>
            </w:r>
            <w:r>
              <w:rPr>
                <w:rFonts w:hint="eastAsia" w:hAnsi="宋体" w:cs="宋体"/>
                <w:sz w:val="24"/>
                <w:szCs w:val="21"/>
                <w:highlight w:val="none"/>
                <w:u w:val="single"/>
              </w:rPr>
              <w:t xml:space="preserve">  13705716922</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szCs w:val="24"/>
                <w:highlight w:val="none"/>
              </w:rPr>
            </w:pPr>
            <w:r>
              <w:rPr>
                <w:rFonts w:hint="eastAsia" w:cs="仿宋_GB2312" w:asciiTheme="minorEastAsia" w:hAnsiTheme="minorEastAsia" w:eastAsiaTheme="minorEastAsia"/>
                <w:b/>
                <w:sz w:val="24"/>
                <w:szCs w:val="24"/>
                <w:highlight w:val="none"/>
              </w:rPr>
              <w:t>特别说明</w:t>
            </w:r>
          </w:p>
        </w:tc>
        <w:tc>
          <w:tcPr>
            <w:tcW w:w="68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szCs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szCs w:val="24"/>
                <w:highlight w:val="none"/>
              </w:rPr>
            </w:pPr>
          </w:p>
        </w:tc>
        <w:tc>
          <w:tcPr>
            <w:tcW w:w="685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szCs w:val="24"/>
                <w:highlight w:val="none"/>
              </w:rPr>
            </w:pPr>
            <w:sdt>
              <w:sdtPr>
                <w:rPr>
                  <w:rFonts w:hint="eastAsia" w:cs="Arial" w:asciiTheme="minorEastAsia" w:hAnsiTheme="minorEastAsia" w:eastAsiaTheme="minorEastAsia"/>
                  <w:kern w:val="0"/>
                  <w:sz w:val="24"/>
                  <w:szCs w:val="24"/>
                  <w:highlight w:val="none"/>
                </w:rPr>
                <w:id w:val="-1816336663"/>
              </w:sdtPr>
              <w:sdtEndPr>
                <w:rPr>
                  <w:rFonts w:hint="eastAsia" w:cs="Arial" w:asciiTheme="minorEastAsia" w:hAnsiTheme="minorEastAsia" w:eastAsiaTheme="minorEastAsia"/>
                  <w:kern w:val="0"/>
                  <w:sz w:val="24"/>
                  <w:szCs w:val="24"/>
                  <w:highlight w:val="none"/>
                </w:rPr>
              </w:sdtEndPr>
              <w:sdtContent>
                <w:r>
                  <w:rPr>
                    <w:rFonts w:hint="eastAsia" w:ascii="MS Mincho" w:hAnsi="MS Mincho" w:eastAsia="MS Mincho" w:cs="MS Mincho"/>
                    <w:kern w:val="0"/>
                    <w:sz w:val="24"/>
                    <w:szCs w:val="24"/>
                    <w:highlight w:val="none"/>
                  </w:rPr>
                  <w:t>☐</w:t>
                </w:r>
              </w:sdtContent>
            </w:sdt>
            <w:r>
              <w:rPr>
                <w:rFonts w:hint="eastAsia" w:ascii="宋体" w:hAnsi="宋体" w:cs="宋体"/>
                <w:snapToGrid w:val="0"/>
                <w:kern w:val="28"/>
                <w:sz w:val="24"/>
                <w:szCs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szCs w:val="24"/>
                <w:highlight w:val="none"/>
              </w:rPr>
            </w:pPr>
            <w:sdt>
              <w:sdtPr>
                <w:rPr>
                  <w:rFonts w:hint="eastAsia" w:cs="Arial" w:asciiTheme="minorEastAsia" w:hAnsiTheme="minorEastAsia" w:eastAsiaTheme="minorEastAsia"/>
                  <w:kern w:val="0"/>
                  <w:sz w:val="24"/>
                  <w:szCs w:val="24"/>
                  <w:highlight w:val="none"/>
                </w:rPr>
                <w:id w:val="-232311894"/>
              </w:sdtPr>
              <w:sdtEndPr>
                <w:rPr>
                  <w:rFonts w:hint="eastAsia" w:cs="Arial" w:asciiTheme="minorEastAsia" w:hAnsiTheme="minorEastAsia" w:eastAsiaTheme="minorEastAsia"/>
                  <w:kern w:val="0"/>
                  <w:sz w:val="24"/>
                  <w:szCs w:val="24"/>
                  <w:highlight w:val="none"/>
                </w:rPr>
              </w:sdtEndPr>
              <w:sdtContent>
                <w:r>
                  <w:rPr>
                    <w:rFonts w:hint="eastAsia" w:cs="Arial" w:asciiTheme="minorEastAsia" w:hAnsiTheme="minorEastAsia" w:eastAsiaTheme="minorEastAsia"/>
                    <w:kern w:val="0"/>
                    <w:sz w:val="24"/>
                    <w:szCs w:val="24"/>
                    <w:highlight w:val="none"/>
                  </w:rPr>
                  <w:sym w:font="Wingdings" w:char="F0FE"/>
                </w:r>
              </w:sdtContent>
            </w:sdt>
            <w:r>
              <w:rPr>
                <w:rFonts w:hint="eastAsia" w:ascii="宋体" w:hAnsi="宋体" w:cs="宋体"/>
                <w:snapToGrid w:val="0"/>
                <w:kern w:val="28"/>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宋体" w:hAnsi="宋体" w:cs="宋体"/>
                <w:b/>
                <w:bCs/>
                <w:snapToGrid w:val="0"/>
                <w:kern w:val="28"/>
                <w:sz w:val="24"/>
                <w:szCs w:val="24"/>
                <w:highlight w:val="none"/>
              </w:rPr>
            </w:pPr>
            <w:r>
              <w:rPr>
                <w:rFonts w:hint="eastAsia" w:ascii="宋体" w:hAnsi="宋体" w:cs="宋体"/>
                <w:b/>
                <w:bCs/>
                <w:snapToGrid w:val="0"/>
                <w:kern w:val="28"/>
                <w:sz w:val="24"/>
                <w:szCs w:val="24"/>
                <w:highlight w:val="none"/>
              </w:rPr>
              <w:t>招标代理服务费</w:t>
            </w:r>
          </w:p>
          <w:p>
            <w:pPr>
              <w:snapToGrid w:val="0"/>
              <w:spacing w:line="360" w:lineRule="auto"/>
              <w:jc w:val="center"/>
              <w:rPr>
                <w:rFonts w:ascii="宋体" w:hAnsi="宋体" w:cs="宋体"/>
                <w:b/>
                <w:sz w:val="24"/>
                <w:szCs w:val="24"/>
                <w:highlight w:val="none"/>
              </w:rPr>
            </w:pPr>
          </w:p>
        </w:tc>
        <w:tc>
          <w:tcPr>
            <w:tcW w:w="6850"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招标代理服务费：</w:t>
            </w:r>
          </w:p>
          <w:p>
            <w:pPr>
              <w:spacing w:line="360" w:lineRule="auto"/>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本项目代理服务费以中标金额为计算基数，按计价格【2002】1980号文规定服务类标准向中标供应商收取。供应商应当自中标公告发布之日起5个工作日内一次性向采购代理机构支付代理服务费。</w:t>
            </w:r>
          </w:p>
          <w:p>
            <w:pPr>
              <w:spacing w:line="360" w:lineRule="auto"/>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代理服务费收款单位（户名）：大地工程咨询有限公司</w:t>
            </w:r>
          </w:p>
          <w:p>
            <w:pPr>
              <w:spacing w:line="360" w:lineRule="auto"/>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开  户：杭州银行江城支行</w:t>
            </w:r>
          </w:p>
          <w:p>
            <w:pPr>
              <w:spacing w:line="360" w:lineRule="auto"/>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账  号：3301040160007930277</w:t>
            </w:r>
          </w:p>
          <w:tbl>
            <w:tblPr>
              <w:tblStyle w:val="63"/>
              <w:tblW w:w="0" w:type="auto"/>
              <w:tblInd w:w="0" w:type="dxa"/>
              <w:shd w:val="clear" w:color="auto" w:fill="FFFFFF"/>
              <w:tblLayout w:type="autofit"/>
              <w:tblCellMar>
                <w:top w:w="15" w:type="dxa"/>
                <w:left w:w="15" w:type="dxa"/>
                <w:bottom w:w="15" w:type="dxa"/>
                <w:right w:w="15" w:type="dxa"/>
              </w:tblCellMar>
            </w:tblPr>
            <w:tblGrid>
              <w:gridCol w:w="2480"/>
              <w:gridCol w:w="1172"/>
              <w:gridCol w:w="1466"/>
              <w:gridCol w:w="1671"/>
            </w:tblGrid>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服务类型、费率、中标金额（万元）差额定率累进法计算</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货物招标</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服务招标</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工程招标</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100以下</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1.50%</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1.50%</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1.00%</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100-500</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1.10%</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0.80%</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0.70%</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500-1000</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0.80%</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0.45%</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0.55%</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1000-5000</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0.50%</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0.25%</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0.35%</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5000-10000</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0.25%</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0.10%</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0.20%</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10000-50000</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0.05%</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0.05%</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0.05%</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50000-100000</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0.035%</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0.035%</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0.035%</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100000-500000</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0.008%</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0.008%</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0.008%</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500000-1000000</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0.006%</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0.006%</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0.006%</w:t>
                  </w:r>
                </w:p>
              </w:tc>
            </w:tr>
            <w:tr>
              <w:tblPrEx>
                <w:shd w:val="clear" w:color="auto" w:fill="FFFFFF"/>
                <w:tblCellMar>
                  <w:top w:w="15" w:type="dxa"/>
                  <w:left w:w="15" w:type="dxa"/>
                  <w:bottom w:w="15" w:type="dxa"/>
                  <w:right w:w="15" w:type="dxa"/>
                </w:tblCellMar>
              </w:tblPrEx>
              <w:trPr>
                <w:trHeight w:val="264" w:hRule="atLeast"/>
              </w:trPr>
              <w:tc>
                <w:tcPr>
                  <w:tcW w:w="248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1000000以上</w:t>
                  </w:r>
                </w:p>
              </w:tc>
              <w:tc>
                <w:tcPr>
                  <w:tcW w:w="1173"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0.004%</w:t>
                  </w:r>
                </w:p>
              </w:tc>
              <w:tc>
                <w:tcPr>
                  <w:tcW w:w="1467"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sz w:val="21"/>
                      <w:szCs w:val="21"/>
                      <w:highlight w:val="none"/>
                    </w:rPr>
                  </w:pPr>
                  <w:r>
                    <w:rPr>
                      <w:rFonts w:ascii="Helvetica" w:hAnsi="Helvetica" w:eastAsia="Helvetica" w:cs="Helvetica"/>
                      <w:kern w:val="0"/>
                      <w:sz w:val="21"/>
                      <w:szCs w:val="21"/>
                      <w:highlight w:val="none"/>
                    </w:rPr>
                    <w:t>0.004%</w:t>
                  </w:r>
                </w:p>
              </w:tc>
              <w:tc>
                <w:tcPr>
                  <w:tcW w:w="1672" w:type="dxa"/>
                  <w:tcBorders>
                    <w:top w:val="single" w:color="E6E6E6" w:sz="4" w:space="0"/>
                    <w:left w:val="single" w:color="E6E6E6" w:sz="4" w:space="0"/>
                    <w:bottom w:val="single" w:color="E6E6E6" w:sz="4" w:space="0"/>
                    <w:right w:val="single" w:color="E6E6E6" w:sz="4" w:space="0"/>
                  </w:tcBorders>
                  <w:shd w:val="clear" w:color="auto" w:fill="FFFFFF"/>
                  <w:tcMar>
                    <w:top w:w="24" w:type="dxa"/>
                    <w:left w:w="120" w:type="dxa"/>
                    <w:bottom w:w="24" w:type="dxa"/>
                    <w:right w:w="120" w:type="dxa"/>
                  </w:tcMar>
                  <w:vAlign w:val="center"/>
                </w:tcPr>
                <w:p>
                  <w:pPr>
                    <w:widowControl/>
                    <w:wordWrap w:val="0"/>
                    <w:spacing w:line="288" w:lineRule="atLeast"/>
                    <w:jc w:val="left"/>
                    <w:textAlignment w:val="center"/>
                    <w:rPr>
                      <w:rFonts w:ascii="Helvetica" w:hAnsi="Helvetica" w:eastAsia="Helvetica" w:cs="Helvetica"/>
                      <w:kern w:val="0"/>
                      <w:sz w:val="21"/>
                      <w:szCs w:val="21"/>
                      <w:highlight w:val="none"/>
                    </w:rPr>
                  </w:pPr>
                  <w:r>
                    <w:rPr>
                      <w:rFonts w:ascii="Helvetica" w:hAnsi="Helvetica" w:eastAsia="Helvetica" w:cs="Helvetica"/>
                      <w:kern w:val="0"/>
                      <w:sz w:val="21"/>
                      <w:szCs w:val="21"/>
                      <w:highlight w:val="none"/>
                    </w:rPr>
                    <w:t>0.004%</w:t>
                  </w:r>
                </w:p>
              </w:tc>
            </w:tr>
          </w:tbl>
          <w:p>
            <w:pPr>
              <w:spacing w:line="360" w:lineRule="auto"/>
              <w:rPr>
                <w:rFonts w:cs="Arial" w:asciiTheme="minorEastAsia" w:hAnsiTheme="minorEastAsia" w:eastAsiaTheme="minorEastAsia"/>
                <w:kern w:val="0"/>
                <w:sz w:val="24"/>
                <w:szCs w:val="24"/>
                <w:highlight w:val="none"/>
              </w:rPr>
            </w:pPr>
          </w:p>
        </w:tc>
      </w:tr>
    </w:tbl>
    <w:p>
      <w:pPr>
        <w:snapToGrid w:val="0"/>
        <w:spacing w:line="360" w:lineRule="auto"/>
        <w:jc w:val="center"/>
        <w:rPr>
          <w:rFonts w:ascii="宋体" w:hAnsi="宋体" w:cs="宋体"/>
          <w:b/>
          <w:sz w:val="32"/>
          <w:szCs w:val="20"/>
          <w:highlight w:val="none"/>
        </w:rPr>
      </w:pPr>
    </w:p>
    <w:p>
      <w:pPr>
        <w:pStyle w:val="2"/>
        <w:rPr>
          <w:sz w:val="24"/>
          <w:szCs w:val="24"/>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szCs w:val="24"/>
          <w:highlight w:val="none"/>
        </w:rPr>
      </w:pPr>
      <w:r>
        <w:rPr>
          <w:rFonts w:hint="eastAsia" w:ascii="宋体" w:hAnsi="宋体" w:cs="宋体"/>
          <w:b/>
          <w:sz w:val="24"/>
          <w:szCs w:val="24"/>
          <w:highlight w:val="none"/>
        </w:rPr>
        <w:t>1. 适用范围</w:t>
      </w:r>
    </w:p>
    <w:p>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szCs w:val="24"/>
          <w:highlight w:val="none"/>
        </w:rPr>
      </w:pPr>
      <w:r>
        <w:rPr>
          <w:rFonts w:hint="eastAsia" w:ascii="宋体" w:hAnsi="宋体" w:cs="宋体"/>
          <w:b/>
          <w:sz w:val="24"/>
          <w:szCs w:val="24"/>
          <w:highlight w:val="none"/>
        </w:rPr>
        <w:t xml:space="preserve">   2.定义</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 “采购人”系指招标公告中载明的本项目的采购人。</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 “采购代理机构”系指招标公告中载明的本项目的采购代理机构。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2.3 “投标人”系指是指响应招标、参加投标竞争的法人、其他组织或者自然人。</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2.6“电子交易平台”系指本项目政府采购活动所依托的政府采购云平台（https://www.zcygov.cn/）。</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2.7 “▲” 系指实质性要求条款，“</w:t>
      </w:r>
      <w:sdt>
        <w:sdtPr>
          <w:rPr>
            <w:rFonts w:hint="eastAsia" w:ascii="宋体" w:hAnsi="宋体" w:cs="宋体"/>
            <w:kern w:val="0"/>
            <w:sz w:val="24"/>
            <w:szCs w:val="24"/>
            <w:highlight w:val="none"/>
          </w:rPr>
          <w:id w:val="512970236"/>
        </w:sdtPr>
        <w:sdtEndPr>
          <w:rPr>
            <w:rFonts w:hint="eastAsia" w:ascii="宋体" w:hAnsi="宋体" w:cs="宋体"/>
            <w:kern w:val="0"/>
            <w:sz w:val="24"/>
            <w:szCs w:val="24"/>
            <w:highlight w:val="none"/>
          </w:rPr>
        </w:sdtEndPr>
        <w:sdtContent>
          <w:r>
            <w:rPr>
              <w:rFonts w:ascii="Wingdings" w:hAnsi="Wingdings" w:cs="宋体"/>
              <w:kern w:val="0"/>
              <w:sz w:val="24"/>
              <w:szCs w:val="24"/>
              <w:highlight w:val="none"/>
            </w:rPr>
            <w:t></w:t>
          </w:r>
        </w:sdtContent>
      </w:sdt>
      <w:r>
        <w:rPr>
          <w:rFonts w:hint="eastAsia" w:ascii="宋体" w:hAnsi="宋体" w:cs="宋体"/>
          <w:sz w:val="24"/>
          <w:szCs w:val="24"/>
          <w:highlight w:val="none"/>
        </w:rPr>
        <w:t>” 系指适用本项目的要求，“</w:t>
      </w:r>
      <w:sdt>
        <w:sdtPr>
          <w:rPr>
            <w:rFonts w:hint="eastAsia" w:ascii="宋体" w:hAnsi="宋体" w:cs="宋体"/>
            <w:kern w:val="0"/>
            <w:sz w:val="24"/>
            <w:szCs w:val="24"/>
            <w:highlight w:val="none"/>
          </w:rPr>
          <w:id w:val="404888855"/>
        </w:sdtPr>
        <w:sdtEndPr>
          <w:rPr>
            <w:rFonts w:hint="eastAsia" w:ascii="宋体" w:hAnsi="宋体" w:cs="宋体"/>
            <w:kern w:val="0"/>
            <w:sz w:val="24"/>
            <w:szCs w:val="24"/>
            <w:highlight w:val="none"/>
          </w:rPr>
        </w:sdtEndPr>
        <w:sdtContent>
          <w:r>
            <w:rPr>
              <w:rFonts w:hint="eastAsia" w:ascii="宋体" w:hAnsi="宋体" w:cs="宋体"/>
              <w:kern w:val="0"/>
              <w:sz w:val="24"/>
              <w:szCs w:val="24"/>
              <w:highlight w:val="none"/>
            </w:rPr>
            <w:t>☐</w:t>
          </w:r>
        </w:sdtContent>
      </w:sdt>
      <w:r>
        <w:rPr>
          <w:rFonts w:hint="eastAsia" w:ascii="宋体" w:hAnsi="宋体" w:cs="宋体"/>
          <w:sz w:val="24"/>
          <w:szCs w:val="24"/>
          <w:highlight w:val="none"/>
        </w:rPr>
        <w:t>” 系指不适用本项目的要求。</w:t>
      </w:r>
    </w:p>
    <w:p>
      <w:pPr>
        <w:spacing w:line="360" w:lineRule="auto"/>
        <w:ind w:firstLine="241" w:firstLineChars="100"/>
        <w:rPr>
          <w:rFonts w:ascii="宋体" w:hAnsi="宋体" w:cs="宋体"/>
          <w:b/>
          <w:sz w:val="24"/>
          <w:szCs w:val="24"/>
          <w:highlight w:val="none"/>
        </w:rPr>
      </w:pPr>
      <w:r>
        <w:rPr>
          <w:rFonts w:hint="eastAsia" w:ascii="宋体" w:hAnsi="宋体" w:cs="宋体"/>
          <w:b/>
          <w:sz w:val="24"/>
          <w:szCs w:val="24"/>
          <w:highlight w:val="none"/>
        </w:rPr>
        <w:t>3.</w:t>
      </w:r>
      <w:r>
        <w:rPr>
          <w:rFonts w:hint="eastAsia" w:ascii="宋体" w:hAnsi="宋体" w:cs="宋体"/>
          <w:sz w:val="21"/>
          <w:szCs w:val="24"/>
          <w:highlight w:val="none"/>
        </w:rPr>
        <w:t xml:space="preserve"> </w:t>
      </w:r>
      <w:r>
        <w:rPr>
          <w:rFonts w:hint="eastAsia" w:ascii="宋体" w:hAnsi="宋体" w:cs="宋体"/>
          <w:b/>
          <w:sz w:val="24"/>
          <w:szCs w:val="24"/>
          <w:highlight w:val="none"/>
        </w:rPr>
        <w:t>采购项目需要落实的政府采购政策</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szCs w:val="24"/>
          <w:highlight w:val="none"/>
        </w:rPr>
        <w:t>优先采购向我国企业转让技术、与我国企业签订消化吸收再创新方案的供应商的进口产品</w:t>
      </w:r>
      <w:r>
        <w:rPr>
          <w:rFonts w:hint="eastAsia" w:ascii="宋体" w:hAnsi="宋体" w:cs="宋体"/>
          <w:sz w:val="24"/>
          <w:szCs w:val="24"/>
          <w:highlight w:val="none"/>
        </w:rPr>
        <w:t>。</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3.2 支持绿色发展</w:t>
      </w:r>
    </w:p>
    <w:p>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3.2.4 </w:t>
      </w:r>
      <w:r>
        <w:rPr>
          <w:rFonts w:hint="eastAsia" w:ascii="宋体" w:hAnsi="宋体" w:cs="宋体"/>
          <w:sz w:val="24"/>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3.3支持中小企业发展</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szCs w:val="24"/>
          <w:highlight w:val="none"/>
        </w:rPr>
      </w:pPr>
      <w:r>
        <w:rPr>
          <w:rFonts w:ascii="宋体" w:hAnsi="宋体" w:cs="宋体"/>
          <w:bCs/>
          <w:sz w:val="24"/>
          <w:szCs w:val="24"/>
          <w:highlight w:val="none"/>
        </w:rPr>
        <w:t>3.3.2</w:t>
      </w:r>
      <w:r>
        <w:rPr>
          <w:rFonts w:hint="eastAsia" w:ascii="宋体" w:hAnsi="宋体" w:cs="宋体"/>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szCs w:val="24"/>
          <w:highlight w:val="none"/>
        </w:rPr>
        <w:t>20</w:t>
      </w:r>
      <w:r>
        <w:rPr>
          <w:rFonts w:hint="eastAsia" w:ascii="宋体" w:hAnsi="宋体" w:cs="宋体"/>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szCs w:val="24"/>
          <w:highlight w:val="none"/>
        </w:rPr>
        <w:t>6</w:t>
      </w:r>
      <w:r>
        <w:rPr>
          <w:rFonts w:hint="eastAsia" w:ascii="宋体" w:hAnsi="宋体" w:cs="宋体"/>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3.4</w:t>
      </w:r>
      <w:r>
        <w:rPr>
          <w:rFonts w:hint="eastAsia" w:ascii="宋体" w:hAnsi="宋体" w:cs="宋体"/>
          <w:bCs/>
          <w:sz w:val="24"/>
          <w:szCs w:val="24"/>
          <w:highlight w:val="none"/>
        </w:rPr>
        <w:t>支持创新发展</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3.4.1 采购人优先采购被认定为首台套产品和“制造精品”的自主创新产品。</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3.4.2首台套产品被纳入《首台套产品推广应用指导目录》之日起</w:t>
      </w:r>
      <w:r>
        <w:rPr>
          <w:rFonts w:ascii="宋体" w:hAnsi="宋体" w:cs="宋体"/>
          <w:sz w:val="24"/>
          <w:szCs w:val="24"/>
          <w:highlight w:val="none"/>
        </w:rPr>
        <w:t>3</w:t>
      </w:r>
      <w:r>
        <w:rPr>
          <w:rFonts w:hint="eastAsia" w:ascii="宋体" w:hAnsi="宋体" w:cs="宋体"/>
          <w:sz w:val="24"/>
          <w:szCs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szCs w:val="24"/>
          <w:highlight w:val="none"/>
        </w:rPr>
      </w:pPr>
      <w:r>
        <w:rPr>
          <w:rFonts w:hint="eastAsia" w:ascii="宋体" w:hAnsi="宋体" w:cs="宋体"/>
          <w:sz w:val="24"/>
          <w:szCs w:val="24"/>
          <w:highlight w:val="none"/>
        </w:rPr>
        <w:t>3.5平等对待内外资企业和符合条件的破产重整企业</w:t>
      </w:r>
    </w:p>
    <w:p>
      <w:pPr>
        <w:spacing w:line="360" w:lineRule="auto"/>
        <w:ind w:firstLine="240" w:firstLineChars="100"/>
        <w:rPr>
          <w:rFonts w:ascii="宋体" w:hAnsi="宋体" w:cs="宋体"/>
          <w:b/>
          <w:sz w:val="24"/>
          <w:szCs w:val="24"/>
          <w:highlight w:val="none"/>
        </w:rPr>
      </w:pPr>
      <w:r>
        <w:rPr>
          <w:rFonts w:hint="eastAsia" w:ascii="宋体" w:hAnsi="宋体" w:cs="宋体"/>
          <w:sz w:val="24"/>
          <w:szCs w:val="24"/>
          <w:highlight w:val="none"/>
        </w:rPr>
        <w:t>平等对待内外资企业和符合条件的破产重整企业，切实保障企业公平竞争，平等维护企业的合法利益。</w:t>
      </w:r>
      <w:r>
        <w:rPr>
          <w:rFonts w:hint="eastAsia" w:ascii="宋体" w:hAnsi="宋体" w:cs="宋体"/>
          <w:sz w:val="24"/>
          <w:szCs w:val="24"/>
          <w:highlight w:val="none"/>
        </w:rPr>
        <w:cr/>
      </w:r>
      <w:r>
        <w:rPr>
          <w:rFonts w:hint="eastAsia" w:ascii="宋体" w:hAnsi="宋体" w:cs="宋体"/>
          <w:b/>
          <w:sz w:val="24"/>
          <w:szCs w:val="24"/>
          <w:highlight w:val="none"/>
        </w:rPr>
        <w:t>4. 询问、质疑、投诉</w:t>
      </w:r>
    </w:p>
    <w:p>
      <w:pPr>
        <w:autoSpaceDE w:val="0"/>
        <w:autoSpaceDN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4.2供应商询问</w:t>
      </w:r>
    </w:p>
    <w:p>
      <w:pPr>
        <w:autoSpaceDE w:val="0"/>
        <w:autoSpaceDN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4.3供应商质疑</w:t>
      </w:r>
    </w:p>
    <w:p>
      <w:pPr>
        <w:pStyle w:val="33"/>
        <w:spacing w:line="360" w:lineRule="auto"/>
        <w:ind w:firstLine="480" w:firstLineChars="200"/>
        <w:rPr>
          <w:rFonts w:hAnsi="宋体" w:cs="宋体"/>
          <w:sz w:val="24"/>
          <w:szCs w:val="21"/>
          <w:highlight w:val="none"/>
        </w:rPr>
      </w:pPr>
      <w:r>
        <w:rPr>
          <w:rFonts w:hint="eastAsia" w:hAnsi="宋体" w:cs="宋体"/>
          <w:kern w:val="0"/>
          <w:sz w:val="24"/>
          <w:szCs w:val="21"/>
          <w:highlight w:val="none"/>
          <w:lang w:val="zh-CN"/>
        </w:rPr>
        <w:t>4.3</w:t>
      </w:r>
      <w:r>
        <w:rPr>
          <w:rFonts w:hint="eastAsia" w:hAnsi="宋体" w:cs="宋体"/>
          <w:sz w:val="24"/>
          <w:szCs w:val="21"/>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szCs w:val="21"/>
          <w:highlight w:val="none"/>
        </w:rPr>
      </w:pPr>
      <w:r>
        <w:rPr>
          <w:rFonts w:hint="eastAsia" w:hAnsi="宋体" w:cs="宋体"/>
          <w:kern w:val="0"/>
          <w:sz w:val="24"/>
          <w:szCs w:val="21"/>
          <w:highlight w:val="none"/>
          <w:lang w:val="zh-CN"/>
        </w:rPr>
        <w:t>4.3</w:t>
      </w:r>
      <w:r>
        <w:rPr>
          <w:rFonts w:hint="eastAsia" w:hAnsi="宋体" w:cs="宋体"/>
          <w:sz w:val="24"/>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szCs w:val="20"/>
          <w:highlight w:val="none"/>
        </w:rPr>
      </w:pPr>
      <w:r>
        <w:rPr>
          <w:rFonts w:hint="eastAsia" w:hAnsi="宋体" w:cs="宋体"/>
          <w:snapToGrid/>
          <w:color w:val="auto"/>
          <w:kern w:val="2"/>
          <w:sz w:val="24"/>
          <w:szCs w:val="20"/>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szCs w:val="21"/>
          <w:highlight w:val="none"/>
        </w:rPr>
      </w:pPr>
      <w:r>
        <w:rPr>
          <w:rFonts w:hint="eastAsia" w:hAnsi="宋体" w:cs="宋体"/>
          <w:sz w:val="24"/>
          <w:szCs w:val="21"/>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szCs w:val="21"/>
          <w:highlight w:val="none"/>
          <w:lang w:val="zh-CN"/>
        </w:rPr>
      </w:pPr>
      <w:r>
        <w:rPr>
          <w:rFonts w:hint="eastAsia" w:hAnsi="宋体" w:cs="宋体"/>
          <w:kern w:val="0"/>
          <w:sz w:val="24"/>
          <w:szCs w:val="21"/>
          <w:highlight w:val="none"/>
          <w:lang w:val="zh-CN"/>
        </w:rPr>
        <w:t>4.3.3</w:t>
      </w:r>
      <w:r>
        <w:rPr>
          <w:rFonts w:hint="eastAsia" w:hAnsi="宋体" w:cs="宋体"/>
          <w:sz w:val="24"/>
          <w:szCs w:val="21"/>
          <w:highlight w:val="none"/>
        </w:rPr>
        <w:t>供应商提出质疑应当提交质疑函和必要的证明材料。质疑函应当包括下列内容：</w:t>
      </w:r>
    </w:p>
    <w:p>
      <w:pPr>
        <w:pStyle w:val="33"/>
        <w:spacing w:line="360" w:lineRule="auto"/>
        <w:ind w:firstLine="480" w:firstLineChars="200"/>
        <w:rPr>
          <w:rFonts w:hAnsi="宋体" w:cs="宋体"/>
          <w:kern w:val="0"/>
          <w:sz w:val="24"/>
          <w:szCs w:val="21"/>
          <w:highlight w:val="none"/>
          <w:lang w:val="zh-CN"/>
        </w:rPr>
      </w:pPr>
      <w:r>
        <w:rPr>
          <w:rFonts w:hint="eastAsia" w:hAnsi="宋体" w:cs="宋体"/>
          <w:kern w:val="0"/>
          <w:sz w:val="24"/>
          <w:szCs w:val="21"/>
          <w:highlight w:val="none"/>
          <w:lang w:val="zh-CN"/>
        </w:rPr>
        <w:t>　　4.3.3.1供应商的姓名或者名称、地址、邮编、联系人及联系电话；</w:t>
      </w:r>
    </w:p>
    <w:p>
      <w:pPr>
        <w:pStyle w:val="33"/>
        <w:spacing w:line="360" w:lineRule="auto"/>
        <w:ind w:firstLine="480" w:firstLineChars="200"/>
        <w:rPr>
          <w:rFonts w:hAnsi="宋体" w:cs="宋体"/>
          <w:kern w:val="0"/>
          <w:sz w:val="24"/>
          <w:szCs w:val="21"/>
          <w:highlight w:val="none"/>
          <w:lang w:val="zh-CN"/>
        </w:rPr>
      </w:pPr>
      <w:r>
        <w:rPr>
          <w:rFonts w:hint="eastAsia" w:hAnsi="宋体" w:cs="宋体"/>
          <w:kern w:val="0"/>
          <w:sz w:val="24"/>
          <w:szCs w:val="21"/>
          <w:highlight w:val="none"/>
          <w:lang w:val="zh-CN"/>
        </w:rPr>
        <w:t>　　4.3.3.2质疑项目的名称、编号；</w:t>
      </w:r>
    </w:p>
    <w:p>
      <w:pPr>
        <w:pStyle w:val="33"/>
        <w:spacing w:line="360" w:lineRule="auto"/>
        <w:ind w:firstLine="480" w:firstLineChars="200"/>
        <w:rPr>
          <w:rFonts w:hAnsi="宋体" w:cs="宋体"/>
          <w:kern w:val="0"/>
          <w:sz w:val="24"/>
          <w:szCs w:val="21"/>
          <w:highlight w:val="none"/>
          <w:lang w:val="zh-CN"/>
        </w:rPr>
      </w:pPr>
      <w:r>
        <w:rPr>
          <w:rFonts w:hint="eastAsia" w:hAnsi="宋体" w:cs="宋体"/>
          <w:kern w:val="0"/>
          <w:sz w:val="24"/>
          <w:szCs w:val="21"/>
          <w:highlight w:val="none"/>
          <w:lang w:val="zh-CN"/>
        </w:rPr>
        <w:t>　　4.3.3.3具体、明确的质疑事项和与质疑事项相关的请求；</w:t>
      </w:r>
    </w:p>
    <w:p>
      <w:pPr>
        <w:pStyle w:val="33"/>
        <w:spacing w:line="360" w:lineRule="auto"/>
        <w:ind w:firstLine="480" w:firstLineChars="200"/>
        <w:rPr>
          <w:rFonts w:hAnsi="宋体" w:cs="宋体"/>
          <w:kern w:val="0"/>
          <w:sz w:val="24"/>
          <w:szCs w:val="21"/>
          <w:highlight w:val="none"/>
          <w:lang w:val="zh-CN"/>
        </w:rPr>
      </w:pPr>
      <w:r>
        <w:rPr>
          <w:rFonts w:hint="eastAsia" w:hAnsi="宋体" w:cs="宋体"/>
          <w:kern w:val="0"/>
          <w:sz w:val="24"/>
          <w:szCs w:val="21"/>
          <w:highlight w:val="none"/>
          <w:lang w:val="zh-CN"/>
        </w:rPr>
        <w:t>　　4.3.3.4事实依据；</w:t>
      </w:r>
    </w:p>
    <w:p>
      <w:pPr>
        <w:pStyle w:val="33"/>
        <w:spacing w:line="360" w:lineRule="auto"/>
        <w:ind w:firstLine="480" w:firstLineChars="200"/>
        <w:rPr>
          <w:rFonts w:hAnsi="宋体" w:cs="宋体"/>
          <w:kern w:val="0"/>
          <w:sz w:val="24"/>
          <w:szCs w:val="21"/>
          <w:highlight w:val="none"/>
          <w:lang w:val="zh-CN"/>
        </w:rPr>
      </w:pPr>
      <w:r>
        <w:rPr>
          <w:rFonts w:hint="eastAsia" w:hAnsi="宋体" w:cs="宋体"/>
          <w:kern w:val="0"/>
          <w:sz w:val="24"/>
          <w:szCs w:val="21"/>
          <w:highlight w:val="none"/>
          <w:lang w:val="zh-CN"/>
        </w:rPr>
        <w:t>　　4.3.3.5必要的法律依据；</w:t>
      </w:r>
    </w:p>
    <w:p>
      <w:pPr>
        <w:pStyle w:val="33"/>
        <w:spacing w:line="360" w:lineRule="auto"/>
        <w:ind w:firstLine="960" w:firstLineChars="400"/>
        <w:rPr>
          <w:rFonts w:hAnsi="宋体" w:cs="宋体"/>
          <w:kern w:val="0"/>
          <w:sz w:val="24"/>
          <w:szCs w:val="21"/>
          <w:highlight w:val="none"/>
          <w:lang w:val="zh-CN"/>
        </w:rPr>
      </w:pPr>
      <w:r>
        <w:rPr>
          <w:rFonts w:hint="eastAsia" w:hAnsi="宋体" w:cs="宋体"/>
          <w:kern w:val="0"/>
          <w:sz w:val="24"/>
          <w:szCs w:val="21"/>
          <w:highlight w:val="none"/>
          <w:lang w:val="zh-CN"/>
        </w:rPr>
        <w:t>4.3.3.6提出质疑的日期。</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质疑函范本及制作说明详见附件2。</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lang w:val="zh-CN"/>
        </w:rPr>
        <w:t>4.3</w:t>
      </w:r>
      <w:r>
        <w:rPr>
          <w:rFonts w:hint="eastAsia"/>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lang w:val="zh-CN"/>
        </w:rPr>
        <w:t>4.3</w:t>
      </w:r>
      <w:r>
        <w:rPr>
          <w:rFonts w:hint="eastAsia"/>
          <w:sz w:val="24"/>
          <w:szCs w:val="24"/>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sz w:val="24"/>
          <w:szCs w:val="24"/>
          <w:highlight w:val="none"/>
          <w:lang w:val="zh-CN"/>
        </w:rPr>
      </w:pPr>
      <w:r>
        <w:rPr>
          <w:rFonts w:hint="eastAsia"/>
          <w:sz w:val="24"/>
          <w:szCs w:val="24"/>
          <w:highlight w:val="none"/>
          <w:lang w:val="zh-CN"/>
        </w:rPr>
        <w:t>4.4供应商投诉</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4.4.</w:t>
      </w:r>
      <w:r>
        <w:rPr>
          <w:rFonts w:hint="eastAsia"/>
          <w:sz w:val="24"/>
          <w:szCs w:val="24"/>
          <w:highlight w:val="none"/>
          <w:lang w:val="zh-CN"/>
        </w:rPr>
        <w:t>2</w:t>
      </w:r>
      <w:r>
        <w:rPr>
          <w:rFonts w:hint="eastAsia"/>
          <w:sz w:val="24"/>
          <w:szCs w:val="24"/>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sz w:val="24"/>
          <w:szCs w:val="24"/>
          <w:highlight w:val="none"/>
        </w:rPr>
      </w:pPr>
      <w:r>
        <w:rPr>
          <w:rFonts w:hint="eastAsia"/>
          <w:sz w:val="24"/>
          <w:szCs w:val="24"/>
          <w:highlight w:val="none"/>
        </w:rPr>
        <w:t>投诉书范本及制作说明详见附件3。</w:t>
      </w:r>
    </w:p>
    <w:p>
      <w:pPr>
        <w:pStyle w:val="129"/>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1"/>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5.2与本项目有关的</w:t>
      </w:r>
      <w:r>
        <w:rPr>
          <w:rFonts w:hint="eastAsia" w:ascii="宋体" w:hAnsi="宋体" w:cs="宋体"/>
          <w:bCs/>
          <w:sz w:val="24"/>
          <w:szCs w:val="24"/>
          <w:highlight w:val="none"/>
        </w:rPr>
        <w:t>澄清或者修改的内容为招标文件的组成部分</w:t>
      </w:r>
      <w:r>
        <w:rPr>
          <w:rFonts w:hint="eastAsia" w:ascii="宋体" w:hAnsi="宋体" w:cs="宋体"/>
          <w:sz w:val="24"/>
          <w:szCs w:val="24"/>
          <w:highlight w:val="none"/>
        </w:rPr>
        <w:t>。</w:t>
      </w:r>
    </w:p>
    <w:p>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highlight w:val="none"/>
          <w:lang w:val="en-US"/>
        </w:rPr>
      </w:pPr>
      <w:r>
        <w:rPr>
          <w:rFonts w:hint="eastAsia" w:hAnsi="宋体" w:cs="宋体"/>
          <w:sz w:val="24"/>
          <w:szCs w:val="24"/>
          <w:highlight w:val="none"/>
          <w:lang w:val="en-US"/>
        </w:rPr>
        <w:t xml:space="preserve">    </w:t>
      </w:r>
    </w:p>
    <w:p>
      <w:pPr>
        <w:adjustRightInd/>
        <w:spacing w:line="360" w:lineRule="auto"/>
        <w:jc w:val="center"/>
        <w:outlineLvl w:val="0"/>
        <w:rPr>
          <w:rFonts w:ascii="宋体" w:hAnsi="宋体" w:cs="宋体"/>
          <w:b/>
          <w:sz w:val="28"/>
          <w:szCs w:val="20"/>
          <w:highlight w:val="none"/>
        </w:rPr>
      </w:pPr>
      <w:r>
        <w:rPr>
          <w:rFonts w:hint="eastAsia" w:ascii="宋体" w:hAnsi="宋体" w:cs="宋体"/>
          <w:b/>
          <w:sz w:val="28"/>
          <w:szCs w:val="20"/>
          <w:highlight w:val="none"/>
        </w:rPr>
        <w:t>三、投标</w:t>
      </w:r>
    </w:p>
    <w:p>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详见招标公告中获取招标文件的时间期限、地点、方式及招标文件售价。</w:t>
      </w:r>
    </w:p>
    <w:p>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 w:val="21"/>
          <w:szCs w:val="24"/>
          <w:highlight w:val="none"/>
        </w:rPr>
      </w:pPr>
      <w:r>
        <w:rPr>
          <w:rFonts w:hint="eastAsia" w:hAnsi="宋体" w:cs="宋体"/>
          <w:b/>
          <w:kern w:val="28"/>
          <w:sz w:val="24"/>
          <w:szCs w:val="24"/>
          <w:highlight w:val="none"/>
        </w:rPr>
        <w:t>9.投标保证金</w:t>
      </w:r>
    </w:p>
    <w:p>
      <w:pPr>
        <w:pStyle w:val="6"/>
        <w:spacing w:line="360" w:lineRule="auto"/>
        <w:ind w:firstLine="470" w:firstLineChars="196"/>
        <w:rPr>
          <w:rFonts w:hAnsi="宋体" w:cs="宋体"/>
          <w:color w:val="auto"/>
          <w:sz w:val="24"/>
          <w:szCs w:val="20"/>
          <w:highlight w:val="none"/>
        </w:rPr>
      </w:pPr>
      <w:r>
        <w:rPr>
          <w:rFonts w:hint="eastAsia" w:hAnsi="宋体" w:cs="宋体"/>
          <w:color w:val="auto"/>
          <w:sz w:val="24"/>
          <w:szCs w:val="20"/>
          <w:highlight w:val="none"/>
        </w:rPr>
        <w:t>本项目不需缴纳投标保证金。</w:t>
      </w:r>
    </w:p>
    <w:p>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投标文件及投标人与采购有关的来往通知、函件和文件均应使用中文。</w:t>
      </w:r>
    </w:p>
    <w:p>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11.1</w:t>
      </w:r>
      <w:r>
        <w:rPr>
          <w:rFonts w:hint="eastAsia" w:ascii="宋体" w:hAnsi="宋体" w:cs="宋体"/>
          <w:b/>
          <w:sz w:val="24"/>
          <w:szCs w:val="24"/>
          <w:highlight w:val="none"/>
        </w:rPr>
        <w:t>资格文件</w:t>
      </w:r>
      <w:r>
        <w:rPr>
          <w:rFonts w:hint="eastAsia" w:ascii="宋体" w:hAnsi="宋体" w:cs="宋体"/>
          <w:sz w:val="24"/>
          <w:szCs w:val="24"/>
          <w:highlight w:val="none"/>
        </w:rPr>
        <w:t>：</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11.1.1符合参加政府采购活动应当具备的一般条件的承诺函；</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1.1.2</w:t>
      </w:r>
      <w:r>
        <w:rPr>
          <w:rFonts w:hint="eastAsia" w:ascii="宋体" w:hAnsi="宋体" w:cs="宋体"/>
          <w:snapToGrid w:val="0"/>
          <w:kern w:val="28"/>
          <w:sz w:val="24"/>
          <w:szCs w:val="20"/>
          <w:highlight w:val="none"/>
        </w:rPr>
        <w:t>联合协议（如果有)；</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11.1.</w:t>
      </w:r>
      <w:r>
        <w:rPr>
          <w:rFonts w:ascii="宋体" w:hAnsi="宋体" w:cs="宋体"/>
          <w:sz w:val="24"/>
          <w:szCs w:val="24"/>
          <w:highlight w:val="none"/>
        </w:rPr>
        <w:t>3</w:t>
      </w:r>
      <w:r>
        <w:rPr>
          <w:rFonts w:hint="eastAsia" w:ascii="宋体" w:hAnsi="宋体" w:cs="宋体"/>
          <w:sz w:val="24"/>
          <w:szCs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szCs w:val="24"/>
          <w:highlight w:val="none"/>
        </w:rPr>
        <w:t>；</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11.1.</w:t>
      </w:r>
      <w:r>
        <w:rPr>
          <w:rFonts w:ascii="宋体" w:hAnsi="宋体" w:cs="宋体"/>
          <w:sz w:val="24"/>
          <w:szCs w:val="24"/>
          <w:highlight w:val="none"/>
        </w:rPr>
        <w:t>4</w:t>
      </w:r>
      <w:r>
        <w:rPr>
          <w:rFonts w:hint="eastAsia" w:ascii="宋体" w:hAnsi="宋体" w:cs="宋体"/>
          <w:sz w:val="24"/>
          <w:szCs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szCs w:val="24"/>
          <w:highlight w:val="none"/>
        </w:rPr>
        <w:t>。</w:t>
      </w:r>
    </w:p>
    <w:p>
      <w:pPr>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11.</w:t>
      </w:r>
      <w:r>
        <w:rPr>
          <w:rFonts w:hint="eastAsia" w:ascii="宋体" w:hAnsi="宋体" w:cs="宋体"/>
          <w:sz w:val="24"/>
          <w:szCs w:val="24"/>
          <w:highlight w:val="none"/>
        </w:rPr>
        <w:t>2</w:t>
      </w:r>
      <w:r>
        <w:rPr>
          <w:rFonts w:hint="eastAsia" w:ascii="宋体" w:hAnsi="宋体" w:cs="宋体"/>
          <w:sz w:val="24"/>
          <w:szCs w:val="24"/>
          <w:highlight w:val="none"/>
          <w:lang w:val="zh-CN"/>
        </w:rPr>
        <w:t xml:space="preserve">  </w:t>
      </w:r>
      <w:r>
        <w:rPr>
          <w:rFonts w:hint="eastAsia" w:ascii="宋体" w:hAnsi="宋体" w:cs="宋体"/>
          <w:sz w:val="24"/>
          <w:szCs w:val="24"/>
          <w:highlight w:val="none"/>
        </w:rPr>
        <w:t>商务技术</w:t>
      </w:r>
      <w:r>
        <w:rPr>
          <w:rFonts w:hint="eastAsia" w:ascii="宋体" w:hAnsi="宋体" w:cs="宋体"/>
          <w:sz w:val="24"/>
          <w:szCs w:val="24"/>
          <w:highlight w:val="none"/>
          <w:lang w:val="zh-CN"/>
        </w:rPr>
        <w:t>文件：</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11.2.1投标函；</w:t>
      </w:r>
      <w:r>
        <w:rPr>
          <w:rFonts w:hint="eastAsia" w:ascii="宋体" w:hAnsi="宋体" w:cs="宋体"/>
          <w:sz w:val="24"/>
          <w:szCs w:val="24"/>
          <w:highlight w:val="none"/>
          <w:lang w:val="zh-CN"/>
        </w:rPr>
        <w:t xml:space="preserve"> </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11.2.</w:t>
      </w:r>
      <w:r>
        <w:rPr>
          <w:rFonts w:ascii="宋体" w:hAnsi="宋体" w:cs="宋体"/>
          <w:sz w:val="24"/>
          <w:szCs w:val="24"/>
          <w:highlight w:val="none"/>
        </w:rPr>
        <w:t>3</w:t>
      </w:r>
      <w:r>
        <w:rPr>
          <w:rFonts w:hint="eastAsia" w:ascii="宋体" w:hAnsi="宋体" w:cs="宋体"/>
          <w:sz w:val="24"/>
          <w:szCs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szCs w:val="24"/>
          <w:highlight w:val="none"/>
        </w:rPr>
        <w:t>；</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11.2.</w:t>
      </w:r>
      <w:r>
        <w:rPr>
          <w:rFonts w:ascii="宋体" w:hAnsi="宋体" w:cs="宋体"/>
          <w:sz w:val="24"/>
          <w:szCs w:val="24"/>
          <w:highlight w:val="none"/>
        </w:rPr>
        <w:t>4</w:t>
      </w:r>
      <w:r>
        <w:rPr>
          <w:rFonts w:hint="eastAsia" w:ascii="宋体" w:hAnsi="宋体" w:cs="宋体"/>
          <w:sz w:val="24"/>
          <w:szCs w:val="24"/>
          <w:highlight w:val="none"/>
        </w:rPr>
        <w:t>符合性审查资料；</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11.2.</w:t>
      </w:r>
      <w:r>
        <w:rPr>
          <w:rFonts w:ascii="宋体" w:hAnsi="宋体" w:cs="宋体"/>
          <w:sz w:val="24"/>
          <w:szCs w:val="24"/>
          <w:highlight w:val="none"/>
        </w:rPr>
        <w:t>5</w:t>
      </w:r>
      <w:r>
        <w:rPr>
          <w:rFonts w:hint="eastAsia" w:ascii="宋体" w:hAnsi="宋体" w:cs="宋体"/>
          <w:sz w:val="24"/>
          <w:szCs w:val="24"/>
          <w:highlight w:val="none"/>
        </w:rPr>
        <w:t>评标标准相应的商务技术资料；</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11.2.</w:t>
      </w:r>
      <w:r>
        <w:rPr>
          <w:rFonts w:ascii="宋体" w:hAnsi="宋体" w:cs="宋体"/>
          <w:sz w:val="24"/>
          <w:szCs w:val="24"/>
          <w:highlight w:val="none"/>
        </w:rPr>
        <w:t>6</w:t>
      </w:r>
      <w:r>
        <w:rPr>
          <w:rFonts w:hint="eastAsia" w:ascii="宋体" w:hAnsi="宋体" w:cs="宋体"/>
          <w:sz w:val="24"/>
          <w:szCs w:val="24"/>
          <w:highlight w:val="none"/>
        </w:rPr>
        <w:t>投标标的清单；</w:t>
      </w:r>
    </w:p>
    <w:p>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11.2.</w:t>
      </w:r>
      <w:r>
        <w:rPr>
          <w:rFonts w:ascii="宋体" w:hAnsi="宋体" w:cs="宋体"/>
          <w:sz w:val="24"/>
          <w:szCs w:val="24"/>
          <w:highlight w:val="none"/>
        </w:rPr>
        <w:t>7</w:t>
      </w:r>
      <w:r>
        <w:rPr>
          <w:rFonts w:hint="eastAsia" w:ascii="宋体" w:hAnsi="宋体" w:cs="宋体"/>
          <w:sz w:val="24"/>
          <w:szCs w:val="24"/>
          <w:highlight w:val="none"/>
        </w:rPr>
        <w:t>商务技术偏离表；</w:t>
      </w:r>
    </w:p>
    <w:p>
      <w:pPr>
        <w:snapToGrid w:val="0"/>
        <w:spacing w:line="360" w:lineRule="auto"/>
        <w:ind w:firstLine="960" w:firstLineChars="400"/>
        <w:rPr>
          <w:rFonts w:ascii="宋体" w:hAnsi="宋体" w:cs="宋体"/>
          <w:sz w:val="24"/>
          <w:szCs w:val="24"/>
          <w:highlight w:val="none"/>
          <w:lang w:val="zh-CN"/>
        </w:rPr>
      </w:pPr>
      <w:r>
        <w:rPr>
          <w:rFonts w:hint="eastAsia" w:ascii="宋体" w:hAnsi="宋体" w:cs="宋体"/>
          <w:sz w:val="24"/>
          <w:szCs w:val="24"/>
          <w:highlight w:val="none"/>
          <w:lang w:val="zh-CN"/>
        </w:rPr>
        <w:t>11.</w:t>
      </w:r>
      <w:r>
        <w:rPr>
          <w:rFonts w:hint="eastAsia" w:ascii="宋体" w:hAnsi="宋体" w:cs="宋体"/>
          <w:sz w:val="24"/>
          <w:szCs w:val="24"/>
          <w:highlight w:val="none"/>
        </w:rPr>
        <w:t>2</w:t>
      </w:r>
      <w:r>
        <w:rPr>
          <w:rFonts w:hint="eastAsia" w:ascii="宋体" w:hAnsi="宋体" w:cs="宋体"/>
          <w:sz w:val="24"/>
          <w:szCs w:val="24"/>
          <w:highlight w:val="none"/>
          <w:lang w:val="zh-CN"/>
        </w:rPr>
        <w:t>.</w:t>
      </w:r>
      <w:r>
        <w:rPr>
          <w:rFonts w:ascii="宋体" w:hAnsi="宋体" w:cs="宋体"/>
          <w:sz w:val="24"/>
          <w:szCs w:val="24"/>
          <w:highlight w:val="none"/>
        </w:rPr>
        <w:t>8</w:t>
      </w:r>
      <w:r>
        <w:rPr>
          <w:rFonts w:hint="eastAsia" w:ascii="宋体" w:hAnsi="宋体" w:cs="宋体"/>
          <w:sz w:val="24"/>
          <w:szCs w:val="24"/>
          <w:highlight w:val="none"/>
          <w:lang w:val="zh-CN"/>
        </w:rPr>
        <w:t>政府采购供应商廉洁自律承诺书；</w:t>
      </w:r>
    </w:p>
    <w:p>
      <w:pPr>
        <w:snapToGrid w:val="0"/>
        <w:spacing w:line="360" w:lineRule="auto"/>
        <w:ind w:firstLine="480" w:firstLineChars="200"/>
        <w:rPr>
          <w:rFonts w:ascii="宋体" w:hAnsi="宋体" w:cs="宋体"/>
          <w:sz w:val="24"/>
          <w:szCs w:val="24"/>
          <w:highlight w:val="none"/>
          <w:u w:val="single"/>
          <w:lang w:val="zh-CN"/>
        </w:rPr>
      </w:pPr>
      <w:r>
        <w:rPr>
          <w:rFonts w:hint="eastAsia" w:ascii="宋体" w:hAnsi="宋体" w:cs="宋体"/>
          <w:kern w:val="0"/>
          <w:sz w:val="24"/>
          <w:szCs w:val="24"/>
          <w:highlight w:val="none"/>
          <w:lang w:val="zh-CN"/>
        </w:rPr>
        <w:t>11.</w:t>
      </w:r>
      <w:r>
        <w:rPr>
          <w:rFonts w:hint="eastAsia" w:ascii="宋体" w:hAnsi="宋体" w:cs="宋体"/>
          <w:kern w:val="0"/>
          <w:sz w:val="24"/>
          <w:szCs w:val="24"/>
          <w:highlight w:val="none"/>
        </w:rPr>
        <w:t>3</w:t>
      </w:r>
      <w:r>
        <w:rPr>
          <w:rFonts w:hint="eastAsia" w:ascii="宋体" w:hAnsi="宋体" w:cs="宋体"/>
          <w:b/>
          <w:sz w:val="24"/>
          <w:szCs w:val="24"/>
          <w:highlight w:val="none"/>
        </w:rPr>
        <w:t>报价文件：</w:t>
      </w:r>
      <w:r>
        <w:rPr>
          <w:rFonts w:hint="eastAsia" w:ascii="宋体" w:hAnsi="宋体" w:cs="宋体"/>
          <w:sz w:val="24"/>
          <w:szCs w:val="24"/>
          <w:highlight w:val="none"/>
        </w:rPr>
        <w:t xml:space="preserve"> </w:t>
      </w:r>
    </w:p>
    <w:p>
      <w:pPr>
        <w:ind w:firstLine="720" w:firstLineChars="300"/>
        <w:rPr>
          <w:rFonts w:ascii="宋体" w:hAnsi="宋体" w:cs="宋体"/>
          <w:sz w:val="24"/>
          <w:szCs w:val="24"/>
          <w:highlight w:val="none"/>
        </w:rPr>
      </w:pPr>
      <w:r>
        <w:rPr>
          <w:rFonts w:hint="eastAsia" w:ascii="宋体" w:hAnsi="宋体" w:cs="宋体"/>
          <w:sz w:val="24"/>
          <w:szCs w:val="24"/>
          <w:highlight w:val="none"/>
        </w:rPr>
        <w:t>11.3.1开标一览表（报价表）；</w:t>
      </w:r>
    </w:p>
    <w:p>
      <w:pPr>
        <w:ind w:firstLine="720" w:firstLineChars="300"/>
        <w:rPr>
          <w:sz w:val="24"/>
          <w:szCs w:val="32"/>
          <w:highlight w:val="none"/>
        </w:rPr>
      </w:pPr>
      <w:r>
        <w:rPr>
          <w:sz w:val="24"/>
          <w:szCs w:val="32"/>
          <w:highlight w:val="none"/>
        </w:rPr>
        <w:t>11.3.2中小企业声明函</w:t>
      </w:r>
      <w:r>
        <w:rPr>
          <w:rFonts w:hint="eastAsia"/>
          <w:sz w:val="24"/>
          <w:szCs w:val="32"/>
          <w:highlight w:val="none"/>
        </w:rPr>
        <w:t>；</w:t>
      </w:r>
    </w:p>
    <w:p>
      <w:pPr>
        <w:ind w:firstLine="720" w:firstLineChars="300"/>
        <w:rPr>
          <w:rFonts w:ascii="宋体" w:hAnsi="宋体" w:cs="宋体"/>
          <w:sz w:val="24"/>
          <w:szCs w:val="24"/>
          <w:highlight w:val="none"/>
        </w:rPr>
      </w:pPr>
      <w:r>
        <w:rPr>
          <w:rFonts w:hint="eastAsia" w:cs="Calibri"/>
          <w:sz w:val="24"/>
          <w:szCs w:val="24"/>
          <w:highlight w:val="none"/>
        </w:rPr>
        <w:t>11.3.3交纳采购代理服务费承诺书。</w:t>
      </w:r>
    </w:p>
    <w:p>
      <w:pPr>
        <w:spacing w:line="360" w:lineRule="auto"/>
        <w:ind w:firstLine="723" w:firstLineChars="300"/>
        <w:rPr>
          <w:rFonts w:ascii="宋体" w:hAnsi="宋体" w:cs="宋体"/>
          <w:b/>
          <w:sz w:val="24"/>
          <w:szCs w:val="24"/>
          <w:highlight w:val="none"/>
        </w:rPr>
      </w:pPr>
      <w:r>
        <w:rPr>
          <w:rFonts w:hint="eastAsia" w:ascii="宋体" w:hAnsi="宋体" w:cs="宋体"/>
          <w:b/>
          <w:sz w:val="24"/>
          <w:szCs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szCs w:val="24"/>
          <w:highlight w:val="none"/>
        </w:rPr>
        <w:t>投标人提供虚假材料投标的，投标无效。</w:t>
      </w:r>
    </w:p>
    <w:p>
      <w:pPr>
        <w:pStyle w:val="129"/>
        <w:snapToGrid w:val="0"/>
        <w:spacing w:before="0"/>
        <w:ind w:firstLine="0" w:firstLineChars="0"/>
        <w:outlineLvl w:val="0"/>
        <w:rPr>
          <w:rFonts w:ascii="宋体" w:hAnsi="宋体" w:cs="宋体"/>
          <w:b/>
          <w:sz w:val="24"/>
          <w:szCs w:val="24"/>
          <w:highlight w:val="none"/>
        </w:rPr>
      </w:pPr>
      <w:r>
        <w:rPr>
          <w:rFonts w:hint="eastAsia" w:ascii="宋体" w:hAnsi="宋体" w:cs="宋体"/>
          <w:b/>
          <w:sz w:val="24"/>
          <w:szCs w:val="24"/>
          <w:highlight w:val="none"/>
        </w:rPr>
        <w:t>12</w:t>
      </w:r>
      <w:r>
        <w:rPr>
          <w:rFonts w:hint="eastAsia" w:ascii="宋体" w:hAnsi="宋体" w:cs="宋体"/>
          <w:b/>
          <w:kern w:val="0"/>
          <w:sz w:val="24"/>
          <w:szCs w:val="24"/>
          <w:highlight w:val="none"/>
          <w:lang w:val="zh-CN"/>
        </w:rPr>
        <w:t xml:space="preserve">. </w:t>
      </w:r>
      <w:r>
        <w:rPr>
          <w:rFonts w:hint="eastAsia" w:ascii="宋体" w:hAnsi="宋体" w:cs="宋体"/>
          <w:b/>
          <w:sz w:val="24"/>
          <w:szCs w:val="24"/>
          <w:highlight w:val="none"/>
        </w:rPr>
        <w:t>投标文件的编制</w:t>
      </w:r>
    </w:p>
    <w:p>
      <w:pPr>
        <w:spacing w:line="360" w:lineRule="auto"/>
        <w:ind w:firstLine="480" w:firstLineChars="200"/>
        <w:rPr>
          <w:rFonts w:ascii="宋体" w:hAnsi="宋体" w:cs="宋体"/>
          <w:b/>
          <w:sz w:val="24"/>
          <w:szCs w:val="24"/>
          <w:highlight w:val="none"/>
        </w:rPr>
      </w:pPr>
      <w:r>
        <w:rPr>
          <w:rFonts w:hint="eastAsia" w:ascii="宋体" w:hAnsi="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szCs w:val="24"/>
          <w:highlight w:val="none"/>
        </w:rPr>
      </w:pPr>
      <w:r>
        <w:rPr>
          <w:rFonts w:hint="eastAsia" w:ascii="宋体" w:hAnsi="宋体" w:cs="宋体"/>
          <w:b/>
          <w:sz w:val="24"/>
          <w:szCs w:val="24"/>
          <w:highlight w:val="none"/>
        </w:rPr>
        <w:t>13.投标文件的签署、盖章</w:t>
      </w:r>
    </w:p>
    <w:p>
      <w:pPr>
        <w:pStyle w:val="129"/>
        <w:snapToGrid w:val="0"/>
        <w:spacing w:before="0"/>
        <w:ind w:firstLine="480"/>
        <w:rPr>
          <w:rFonts w:ascii="宋体" w:hAnsi="宋体" w:cs="宋体"/>
          <w:b/>
          <w:sz w:val="24"/>
          <w:szCs w:val="20"/>
          <w:highlight w:val="none"/>
        </w:rPr>
      </w:pPr>
      <w:r>
        <w:rPr>
          <w:rFonts w:hint="eastAsia" w:ascii="宋体" w:hAnsi="宋体" w:cs="宋体"/>
          <w:sz w:val="24"/>
          <w:szCs w:val="24"/>
          <w:highlight w:val="none"/>
        </w:rPr>
        <w:t>13.1投标文件按照招标文件第六部分格式要</w:t>
      </w:r>
      <w:r>
        <w:rPr>
          <w:rFonts w:hint="eastAsia" w:ascii="宋体" w:hAnsi="宋体" w:cs="宋体"/>
          <w:sz w:val="24"/>
          <w:szCs w:val="20"/>
          <w:highlight w:val="none"/>
        </w:rPr>
        <w:t>求进行签署、盖章。</w:t>
      </w:r>
      <w:r>
        <w:rPr>
          <w:rFonts w:hint="eastAsia" w:ascii="宋体" w:hAnsi="宋体" w:cs="宋体"/>
          <w:b/>
          <w:sz w:val="24"/>
          <w:szCs w:val="20"/>
          <w:highlight w:val="none"/>
        </w:rPr>
        <w:t>▲投标人的投标文件未按照招标文件要求签署、盖章的，其投标无效</w:t>
      </w:r>
      <w:r>
        <w:rPr>
          <w:rFonts w:hint="eastAsia" w:ascii="宋体" w:hAnsi="宋体" w:cs="宋体"/>
          <w:sz w:val="24"/>
          <w:szCs w:val="24"/>
          <w:highlight w:val="none"/>
        </w:rPr>
        <w:t>。</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 w:val="24"/>
          <w:szCs w:val="24"/>
          <w:highlight w:val="none"/>
        </w:rPr>
      </w:pPr>
      <w:r>
        <w:rPr>
          <w:rFonts w:hint="eastAsia" w:ascii="宋体" w:hAnsi="宋体" w:cs="宋体"/>
          <w:sz w:val="24"/>
          <w:szCs w:val="20"/>
          <w:highlight w:val="none"/>
        </w:rPr>
        <w:t>13.3招标文件对投标文件签署、盖章的要求适用于电子签名。</w:t>
      </w:r>
    </w:p>
    <w:p>
      <w:pPr>
        <w:pStyle w:val="129"/>
        <w:spacing w:before="0"/>
        <w:ind w:firstLine="0" w:firstLineChars="0"/>
        <w:rPr>
          <w:rFonts w:ascii="宋体" w:hAnsi="宋体" w:cs="宋体"/>
          <w:b/>
          <w:sz w:val="24"/>
          <w:szCs w:val="24"/>
          <w:highlight w:val="none"/>
        </w:rPr>
      </w:pPr>
      <w:r>
        <w:rPr>
          <w:rFonts w:hint="eastAsia" w:ascii="宋体" w:hAnsi="宋体" w:cs="宋体"/>
          <w:b/>
          <w:sz w:val="24"/>
          <w:szCs w:val="24"/>
          <w:highlight w:val="none"/>
        </w:rPr>
        <w:t>14. 投标文件的提交、补充、修改、撤回</w:t>
      </w:r>
    </w:p>
    <w:p>
      <w:pPr>
        <w:pStyle w:val="129"/>
        <w:ind w:firstLine="480"/>
        <w:rPr>
          <w:rFonts w:ascii="宋体" w:hAnsi="宋体" w:cs="宋体"/>
          <w:sz w:val="24"/>
          <w:szCs w:val="24"/>
          <w:highlight w:val="none"/>
        </w:rPr>
      </w:pPr>
      <w:r>
        <w:rPr>
          <w:rFonts w:hint="eastAsia" w:ascii="宋体" w:hAnsi="宋体" w:cs="宋体"/>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 w:val="24"/>
          <w:szCs w:val="24"/>
          <w:highlight w:val="none"/>
        </w:rPr>
      </w:pPr>
      <w:r>
        <w:rPr>
          <w:rFonts w:hint="eastAsia" w:ascii="宋体" w:hAnsi="宋体" w:cs="宋体"/>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 w:val="24"/>
          <w:szCs w:val="24"/>
          <w:highlight w:val="none"/>
        </w:rPr>
      </w:pPr>
      <w:r>
        <w:rPr>
          <w:rFonts w:hint="eastAsia" w:ascii="宋体" w:hAnsi="宋体" w:cs="宋体"/>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szCs w:val="21"/>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szCs w:val="21"/>
          <w:highlight w:val="none"/>
        </w:rPr>
        <w:t>不符合上述制作、</w:t>
      </w:r>
      <w:r>
        <w:rPr>
          <w:rFonts w:hint="eastAsia" w:hAnsi="宋体" w:cs="宋体"/>
          <w:b/>
          <w:sz w:val="24"/>
          <w:szCs w:val="24"/>
          <w:highlight w:val="none"/>
        </w:rPr>
        <w:t>存储、密封规定的备份投标文件将被视为无效或者被拒绝接收。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sz w:val="24"/>
          <w:szCs w:val="24"/>
          <w:highlight w:val="none"/>
        </w:rPr>
      </w:pPr>
      <w:r>
        <w:rPr>
          <w:rFonts w:hint="eastAsia" w:ascii="宋体" w:hAnsi="宋体" w:cs="宋体"/>
          <w:b/>
          <w:sz w:val="24"/>
          <w:szCs w:val="24"/>
          <w:highlight w:val="none"/>
        </w:rPr>
        <w:t>16.投标文件的无效处理</w:t>
      </w:r>
    </w:p>
    <w:p>
      <w:pPr>
        <w:pStyle w:val="2"/>
        <w:spacing w:line="360" w:lineRule="auto"/>
        <w:ind w:firstLine="360" w:firstLineChars="150"/>
        <w:rPr>
          <w:rFonts w:cs="宋体"/>
          <w:sz w:val="24"/>
          <w:szCs w:val="21"/>
          <w:highlight w:val="none"/>
        </w:rPr>
      </w:pPr>
      <w:r>
        <w:rPr>
          <w:rFonts w:hint="eastAsia" w:cs="宋体"/>
          <w:sz w:val="24"/>
          <w:szCs w:val="21"/>
          <w:highlight w:val="none"/>
        </w:rPr>
        <w:t>有招标文件第四部分</w:t>
      </w:r>
      <w:r>
        <w:rPr>
          <w:rFonts w:cs="宋体"/>
          <w:sz w:val="24"/>
          <w:szCs w:val="21"/>
          <w:highlight w:val="none"/>
        </w:rPr>
        <w:t>4.2规定</w:t>
      </w:r>
      <w:r>
        <w:rPr>
          <w:rFonts w:hint="eastAsia" w:cs="宋体"/>
          <w:sz w:val="24"/>
          <w:szCs w:val="21"/>
          <w:highlight w:val="none"/>
        </w:rPr>
        <w:t>的情形之一的，投标无效：</w:t>
      </w:r>
    </w:p>
    <w:p>
      <w:pPr>
        <w:pStyle w:val="129"/>
        <w:spacing w:before="0"/>
        <w:ind w:firstLine="0" w:firstLineChars="0"/>
        <w:rPr>
          <w:rFonts w:ascii="宋体" w:hAnsi="宋体" w:cs="宋体"/>
          <w:b/>
          <w:sz w:val="24"/>
          <w:szCs w:val="24"/>
          <w:highlight w:val="none"/>
        </w:rPr>
      </w:pPr>
      <w:r>
        <w:rPr>
          <w:rFonts w:hint="eastAsia" w:ascii="宋体" w:hAnsi="宋体" w:cs="宋体"/>
          <w:b/>
          <w:sz w:val="24"/>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sz w:val="24"/>
          <w:szCs w:val="20"/>
          <w:highlight w:val="none"/>
        </w:rPr>
      </w:pPr>
      <w:r>
        <w:rPr>
          <w:rFonts w:hint="eastAsia" w:ascii="宋体" w:hAnsi="宋体" w:cs="宋体"/>
          <w:sz w:val="24"/>
          <w:szCs w:val="20"/>
          <w:highlight w:val="none"/>
        </w:rPr>
        <w:t>17.2投标文件合格投递后，自投标截止日期起，在投标有效期内有效。</w:t>
      </w:r>
    </w:p>
    <w:p>
      <w:pPr>
        <w:pStyle w:val="129"/>
        <w:spacing w:before="0"/>
        <w:ind w:firstLine="480"/>
        <w:rPr>
          <w:rFonts w:ascii="宋体" w:hAnsi="宋体" w:cs="宋体"/>
          <w:sz w:val="24"/>
          <w:szCs w:val="20"/>
          <w:highlight w:val="none"/>
        </w:rPr>
      </w:pPr>
      <w:r>
        <w:rPr>
          <w:rFonts w:hint="eastAsia" w:ascii="宋体" w:hAnsi="宋体" w:cs="宋体"/>
          <w:sz w:val="24"/>
          <w:szCs w:val="2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szCs w:val="20"/>
          <w:highlight w:val="none"/>
        </w:rPr>
      </w:pPr>
    </w:p>
    <w:p>
      <w:pPr>
        <w:pStyle w:val="129"/>
        <w:spacing w:before="0"/>
        <w:ind w:firstLine="1928" w:firstLineChars="600"/>
        <w:rPr>
          <w:rFonts w:ascii="宋体" w:hAnsi="宋体" w:cs="宋体"/>
          <w:b/>
          <w:sz w:val="32"/>
          <w:szCs w:val="20"/>
          <w:highlight w:val="none"/>
        </w:rPr>
      </w:pPr>
    </w:p>
    <w:p>
      <w:pPr>
        <w:pStyle w:val="129"/>
        <w:spacing w:before="0"/>
        <w:ind w:firstLine="1928" w:firstLineChars="600"/>
        <w:rPr>
          <w:rFonts w:ascii="宋体" w:hAnsi="宋体" w:cs="宋体"/>
          <w:b/>
          <w:sz w:val="32"/>
          <w:szCs w:val="20"/>
          <w:highlight w:val="none"/>
        </w:rPr>
      </w:pPr>
      <w:r>
        <w:rPr>
          <w:rFonts w:hint="eastAsia" w:ascii="宋体" w:hAnsi="宋体" w:cs="宋体"/>
          <w:b/>
          <w:sz w:val="32"/>
          <w:szCs w:val="20"/>
          <w:highlight w:val="none"/>
        </w:rPr>
        <w:t>四、开标、资格审查与信用信息查询</w:t>
      </w:r>
    </w:p>
    <w:p>
      <w:pPr>
        <w:pStyle w:val="555"/>
        <w:spacing w:before="0" w:line="360" w:lineRule="auto"/>
        <w:ind w:left="0" w:firstLine="241" w:firstLineChars="100"/>
        <w:contextualSpacing/>
        <w:rPr>
          <w:rFonts w:ascii="宋体" w:hAnsi="宋体" w:cs="宋体"/>
          <w:sz w:val="24"/>
          <w:szCs w:val="20"/>
          <w:highlight w:val="none"/>
        </w:rPr>
      </w:pPr>
      <w:r>
        <w:rPr>
          <w:rFonts w:hint="eastAsia" w:ascii="宋体" w:hAnsi="宋体" w:cs="宋体"/>
          <w:b/>
          <w:sz w:val="24"/>
          <w:szCs w:val="24"/>
          <w:highlight w:val="none"/>
        </w:rPr>
        <w:t>18.开标</w:t>
      </w:r>
      <w:r>
        <w:rPr>
          <w:rFonts w:hint="eastAsia" w:ascii="宋体" w:hAnsi="宋体" w:cs="宋体"/>
          <w:sz w:val="24"/>
          <w:szCs w:val="20"/>
          <w:highlight w:val="none"/>
        </w:rPr>
        <w:t xml:space="preserve"> </w:t>
      </w:r>
    </w:p>
    <w:p>
      <w:pPr>
        <w:pStyle w:val="555"/>
        <w:spacing w:before="0" w:line="360" w:lineRule="auto"/>
        <w:ind w:left="0" w:firstLine="480" w:firstLineChars="200"/>
        <w:contextualSpacing/>
        <w:rPr>
          <w:rFonts w:ascii="宋体" w:hAnsi="宋体" w:cs="宋体"/>
          <w:sz w:val="24"/>
          <w:szCs w:val="20"/>
          <w:highlight w:val="none"/>
        </w:rPr>
      </w:pPr>
      <w:r>
        <w:rPr>
          <w:rFonts w:hint="eastAsia" w:ascii="宋体" w:hAnsi="宋体" w:cs="宋体"/>
          <w:sz w:val="24"/>
          <w:szCs w:val="20"/>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szCs w:val="20"/>
          <w:highlight w:val="none"/>
        </w:rPr>
      </w:pPr>
      <w:r>
        <w:rPr>
          <w:rFonts w:hint="eastAsia" w:ascii="宋体" w:hAnsi="宋体" w:cs="宋体"/>
          <w:sz w:val="24"/>
          <w:szCs w:val="20"/>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szCs w:val="20"/>
          <w:highlight w:val="none"/>
        </w:rPr>
      </w:pPr>
      <w:r>
        <w:rPr>
          <w:rFonts w:hint="eastAsia" w:ascii="宋体" w:hAnsi="宋体" w:cs="宋体"/>
          <w:sz w:val="24"/>
          <w:szCs w:val="20"/>
          <w:highlight w:val="none"/>
        </w:rPr>
        <w:t>　18.3</w:t>
      </w:r>
      <w:r>
        <w:rPr>
          <w:rFonts w:hint="eastAsia" w:ascii="宋体" w:hAnsi="宋体" w:cs="宋体"/>
          <w:b/>
          <w:sz w:val="24"/>
          <w:szCs w:val="20"/>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snapToGrid w:val="0"/>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19.1</w:t>
      </w:r>
      <w:r>
        <w:rPr>
          <w:rFonts w:hint="eastAsia" w:ascii="宋体" w:hAnsi="宋体" w:cs="宋体"/>
          <w:sz w:val="24"/>
          <w:szCs w:val="24"/>
          <w:highlight w:val="none"/>
        </w:rPr>
        <w:t>采购人或采购代理机构依据法律法规和招标文件的规定，对投标人的资格进行审查。</w:t>
      </w:r>
    </w:p>
    <w:p>
      <w:pPr>
        <w:pStyle w:val="129"/>
        <w:spacing w:before="0"/>
        <w:ind w:firstLine="480"/>
        <w:rPr>
          <w:rFonts w:ascii="宋体" w:hAnsi="宋体" w:cs="宋体"/>
          <w:sz w:val="24"/>
          <w:szCs w:val="20"/>
          <w:highlight w:val="none"/>
        </w:rPr>
      </w:pPr>
      <w:r>
        <w:rPr>
          <w:rFonts w:hint="eastAsia" w:ascii="宋体" w:hAnsi="宋体" w:cs="宋体"/>
          <w:kern w:val="0"/>
          <w:sz w:val="24"/>
          <w:szCs w:val="24"/>
          <w:highlight w:val="none"/>
        </w:rPr>
        <w:t>19.2投标人未按照招标文件要求提供与</w:t>
      </w:r>
      <w:r>
        <w:rPr>
          <w:rFonts w:hint="eastAsia" w:ascii="宋体" w:hAnsi="宋体" w:cs="宋体"/>
          <w:sz w:val="24"/>
          <w:szCs w:val="20"/>
          <w:highlight w:val="none"/>
        </w:rPr>
        <w:t>资格条件相应的</w:t>
      </w:r>
      <w:r>
        <w:rPr>
          <w:rFonts w:hint="eastAsia" w:ascii="宋体" w:hAnsi="宋体" w:cs="宋体"/>
          <w:kern w:val="0"/>
          <w:sz w:val="24"/>
          <w:szCs w:val="24"/>
          <w:highlight w:val="none"/>
        </w:rPr>
        <w:t>有效资格证明材料的，视为</w:t>
      </w:r>
      <w:r>
        <w:rPr>
          <w:rFonts w:hint="eastAsia" w:ascii="宋体" w:hAnsi="宋体" w:cs="宋体"/>
          <w:sz w:val="24"/>
          <w:szCs w:val="20"/>
          <w:highlight w:val="none"/>
        </w:rPr>
        <w:t>投标人不具备招标文件中规定的资格要求，其投标无效。</w:t>
      </w:r>
    </w:p>
    <w:p>
      <w:pPr>
        <w:pStyle w:val="129"/>
        <w:spacing w:before="0"/>
        <w:ind w:firstLine="480"/>
        <w:rPr>
          <w:rFonts w:ascii="宋体" w:hAnsi="宋体" w:cs="宋体"/>
          <w:sz w:val="24"/>
          <w:szCs w:val="20"/>
          <w:highlight w:val="none"/>
        </w:rPr>
      </w:pPr>
      <w:r>
        <w:rPr>
          <w:rFonts w:hint="eastAsia" w:ascii="宋体" w:hAnsi="宋体" w:cs="宋体"/>
          <w:kern w:val="0"/>
          <w:sz w:val="24"/>
          <w:szCs w:val="24"/>
          <w:highlight w:val="none"/>
        </w:rPr>
        <w:t>19.</w:t>
      </w:r>
      <w:r>
        <w:rPr>
          <w:rFonts w:hint="eastAsia" w:ascii="宋体" w:hAnsi="宋体" w:cs="宋体"/>
          <w:sz w:val="24"/>
          <w:szCs w:val="20"/>
          <w:highlight w:val="none"/>
        </w:rPr>
        <w:t>3对未通过资格审查的投标人，采购人或采购代理机构告知其未通过的原因。</w:t>
      </w:r>
    </w:p>
    <w:p>
      <w:pPr>
        <w:pStyle w:val="129"/>
        <w:spacing w:before="0"/>
        <w:ind w:firstLine="480"/>
        <w:rPr>
          <w:rFonts w:ascii="宋体" w:hAnsi="宋体" w:cs="宋体"/>
          <w:sz w:val="24"/>
          <w:szCs w:val="20"/>
          <w:highlight w:val="none"/>
        </w:rPr>
      </w:pPr>
      <w:r>
        <w:rPr>
          <w:rFonts w:hint="eastAsia" w:ascii="宋体" w:hAnsi="宋体" w:cs="宋体"/>
          <w:kern w:val="0"/>
          <w:sz w:val="24"/>
          <w:szCs w:val="24"/>
          <w:highlight w:val="none"/>
        </w:rPr>
        <w:t>19.</w:t>
      </w:r>
      <w:r>
        <w:rPr>
          <w:rFonts w:hint="eastAsia" w:ascii="宋体" w:hAnsi="宋体" w:cs="宋体"/>
          <w:sz w:val="24"/>
          <w:szCs w:val="20"/>
          <w:highlight w:val="none"/>
        </w:rPr>
        <w:t>4合格投标人不足3家的，不再评标。</w:t>
      </w:r>
    </w:p>
    <w:p>
      <w:pPr>
        <w:pStyle w:val="129"/>
        <w:spacing w:before="0"/>
        <w:ind w:firstLine="0" w:firstLineChars="0"/>
        <w:rPr>
          <w:rFonts w:ascii="宋体" w:hAnsi="宋体" w:cs="宋体"/>
          <w:b/>
          <w:sz w:val="24"/>
          <w:szCs w:val="24"/>
          <w:highlight w:val="none"/>
        </w:rPr>
      </w:pPr>
      <w:r>
        <w:rPr>
          <w:rFonts w:hint="eastAsia" w:ascii="宋体" w:hAnsi="宋体" w:cs="宋体"/>
          <w:b/>
          <w:sz w:val="24"/>
          <w:szCs w:val="24"/>
          <w:highlight w:val="none"/>
        </w:rPr>
        <w:t>20、信用信息查询</w:t>
      </w:r>
    </w:p>
    <w:p>
      <w:pPr>
        <w:pStyle w:val="129"/>
        <w:spacing w:before="0"/>
        <w:ind w:firstLine="495" w:firstLineChars="0"/>
        <w:rPr>
          <w:rFonts w:ascii="宋体" w:hAnsi="宋体" w:cs="宋体"/>
          <w:kern w:val="0"/>
          <w:sz w:val="24"/>
          <w:szCs w:val="24"/>
          <w:highlight w:val="none"/>
        </w:rPr>
      </w:pPr>
      <w:r>
        <w:rPr>
          <w:rFonts w:hint="eastAsia" w:ascii="宋体" w:hAnsi="宋体" w:cs="宋体"/>
          <w:kern w:val="0"/>
          <w:sz w:val="24"/>
          <w:szCs w:val="24"/>
          <w:highlight w:val="none"/>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 w:val="24"/>
          <w:szCs w:val="24"/>
          <w:highlight w:val="none"/>
        </w:rPr>
      </w:pPr>
      <w:r>
        <w:rPr>
          <w:rFonts w:hint="eastAsia" w:ascii="宋体" w:hAnsi="宋体" w:cs="宋体"/>
          <w:kern w:val="0"/>
          <w:sz w:val="24"/>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 w:val="24"/>
          <w:szCs w:val="24"/>
          <w:highlight w:val="none"/>
        </w:rPr>
      </w:pPr>
      <w:r>
        <w:rPr>
          <w:rFonts w:hint="eastAsia" w:ascii="宋体" w:hAnsi="宋体" w:cs="宋体"/>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sz w:val="24"/>
          <w:szCs w:val="20"/>
          <w:highlight w:val="none"/>
        </w:rPr>
      </w:pPr>
      <w:r>
        <w:rPr>
          <w:rFonts w:hint="eastAsia" w:ascii="宋体" w:hAnsi="宋体" w:cs="宋体"/>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4"/>
          <w:szCs w:val="20"/>
          <w:highlight w:val="none"/>
        </w:rPr>
        <w:t>。</w:t>
      </w:r>
    </w:p>
    <w:p>
      <w:pPr>
        <w:pStyle w:val="129"/>
        <w:spacing w:before="0"/>
        <w:ind w:firstLine="0" w:firstLineChars="0"/>
        <w:rPr>
          <w:rFonts w:ascii="宋体" w:hAnsi="宋体" w:cs="宋体"/>
          <w:kern w:val="0"/>
          <w:sz w:val="24"/>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szCs w:val="24"/>
          <w:highlight w:val="none"/>
        </w:rPr>
      </w:pPr>
      <w:bookmarkStart w:id="13" w:name="_Toc91899903"/>
      <w:r>
        <w:rPr>
          <w:rFonts w:hint="eastAsia" w:ascii="宋体" w:hAnsi="宋体" w:cs="宋体"/>
          <w:b/>
          <w:sz w:val="24"/>
          <w:szCs w:val="24"/>
          <w:highlight w:val="none"/>
        </w:rPr>
        <w:t>21.</w:t>
      </w:r>
      <w:r>
        <w:rPr>
          <w:rFonts w:ascii="宋体" w:hAnsi="宋体" w:cs="宋体"/>
          <w:b/>
          <w:sz w:val="24"/>
          <w:szCs w:val="24"/>
          <w:highlight w:val="none"/>
        </w:rPr>
        <w:t xml:space="preserve"> </w:t>
      </w:r>
      <w:r>
        <w:rPr>
          <w:rFonts w:hint="eastAsia" w:ascii="宋体" w:hAnsi="宋体" w:cs="宋体"/>
          <w:b/>
          <w:sz w:val="24"/>
          <w:szCs w:val="24"/>
          <w:highlight w:val="none"/>
        </w:rPr>
        <w:t>评标</w:t>
      </w:r>
    </w:p>
    <w:p>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szCs w:val="24"/>
          <w:highlight w:val="none"/>
        </w:rPr>
        <w:t>详见招标文件第四部分评标办法。</w:t>
      </w:r>
    </w:p>
    <w:p>
      <w:pPr>
        <w:spacing w:line="360" w:lineRule="auto"/>
        <w:rPr>
          <w:rFonts w:ascii="宋体" w:hAnsi="宋体" w:cs="宋体"/>
          <w:b/>
          <w:sz w:val="24"/>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
        <w:spacing w:line="360" w:lineRule="auto"/>
        <w:ind w:left="479" w:hanging="479" w:hangingChars="199"/>
        <w:rPr>
          <w:rFonts w:cs="宋体"/>
          <w:b/>
          <w:sz w:val="24"/>
          <w:szCs w:val="24"/>
          <w:highlight w:val="none"/>
        </w:rPr>
      </w:pPr>
      <w:r>
        <w:rPr>
          <w:rFonts w:hint="eastAsia" w:cs="宋体"/>
          <w:b/>
          <w:sz w:val="24"/>
          <w:szCs w:val="24"/>
          <w:highlight w:val="none"/>
        </w:rPr>
        <w:t>22. 确定中标供应商</w:t>
      </w:r>
    </w:p>
    <w:p>
      <w:pPr>
        <w:pStyle w:val="129"/>
        <w:snapToGrid w:val="0"/>
        <w:spacing w:before="0"/>
        <w:ind w:firstLine="480"/>
        <w:rPr>
          <w:rFonts w:ascii="宋体" w:hAnsi="宋体" w:cs="宋体"/>
          <w:b/>
          <w:sz w:val="24"/>
          <w:szCs w:val="24"/>
          <w:highlight w:val="none"/>
        </w:rPr>
      </w:pPr>
      <w:r>
        <w:rPr>
          <w:rFonts w:hint="eastAsia" w:ascii="宋体" w:hAnsi="宋体" w:cs="宋体"/>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 w:val="24"/>
          <w:szCs w:val="24"/>
          <w:highlight w:val="none"/>
        </w:rPr>
      </w:pPr>
      <w:r>
        <w:rPr>
          <w:rFonts w:hint="eastAsia" w:ascii="宋体" w:hAnsi="宋体" w:cs="宋体"/>
          <w:b/>
          <w:sz w:val="24"/>
          <w:szCs w:val="24"/>
          <w:highlight w:val="none"/>
        </w:rPr>
        <w:t>23. 中标通知与中标结果公告</w:t>
      </w:r>
    </w:p>
    <w:p>
      <w:pPr>
        <w:widowControl/>
        <w:shd w:val="clear" w:color="auto" w:fill="FFFFFF"/>
        <w:spacing w:line="360" w:lineRule="auto"/>
        <w:ind w:firstLine="480"/>
        <w:jc w:val="left"/>
        <w:rPr>
          <w:rFonts w:ascii="宋体" w:hAnsi="宋体" w:cs="宋体"/>
          <w:sz w:val="24"/>
          <w:szCs w:val="24"/>
          <w:highlight w:val="none"/>
        </w:rPr>
      </w:pPr>
      <w:r>
        <w:rPr>
          <w:rFonts w:hint="eastAsia" w:ascii="宋体" w:hAnsi="宋体" w:cs="宋体"/>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szCs w:val="24"/>
          <w:highlight w:val="none"/>
        </w:rPr>
      </w:pPr>
      <w:r>
        <w:rPr>
          <w:rFonts w:hint="eastAsia" w:ascii="宋体" w:hAnsi="宋体" w:cs="宋体"/>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szCs w:val="24"/>
          <w:highlight w:val="none"/>
        </w:rPr>
        <w:t>资格审查情况、评审专家抽取规则、符合性审查情况、</w:t>
      </w:r>
      <w:bookmarkEnd w:id="14"/>
      <w:r>
        <w:rPr>
          <w:rFonts w:hint="eastAsia" w:ascii="宋体" w:hAnsi="宋体" w:cs="宋体"/>
          <w:sz w:val="24"/>
          <w:szCs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szCs w:val="24"/>
          <w:highlight w:val="none"/>
        </w:rPr>
      </w:pPr>
      <w:r>
        <w:rPr>
          <w:rFonts w:hint="eastAsia" w:ascii="宋体" w:hAnsi="宋体" w:cs="宋体"/>
          <w:sz w:val="24"/>
          <w:szCs w:val="24"/>
          <w:highlight w:val="none"/>
        </w:rPr>
        <w:t>23.3公告期限为1个工作日。</w:t>
      </w:r>
    </w:p>
    <w:p>
      <w:pPr>
        <w:snapToGrid w:val="0"/>
        <w:spacing w:line="360" w:lineRule="auto"/>
        <w:ind w:left="120" w:leftChars="57" w:firstLine="482" w:firstLineChars="150"/>
        <w:jc w:val="center"/>
        <w:rPr>
          <w:rFonts w:ascii="宋体" w:hAnsi="宋体" w:cs="宋体"/>
          <w:b/>
          <w:sz w:val="32"/>
          <w:szCs w:val="24"/>
          <w:highlight w:val="none"/>
        </w:rPr>
      </w:pPr>
    </w:p>
    <w:p>
      <w:pPr>
        <w:snapToGrid w:val="0"/>
        <w:spacing w:line="360" w:lineRule="auto"/>
        <w:ind w:left="120" w:leftChars="57" w:firstLine="482" w:firstLineChars="150"/>
        <w:jc w:val="center"/>
        <w:rPr>
          <w:rFonts w:ascii="宋体" w:hAnsi="宋体" w:cs="宋体"/>
          <w:b/>
          <w:sz w:val="32"/>
          <w:szCs w:val="24"/>
          <w:highlight w:val="none"/>
        </w:rPr>
      </w:pPr>
      <w:r>
        <w:rPr>
          <w:rFonts w:hint="eastAsia" w:ascii="宋体" w:hAnsi="宋体" w:cs="宋体"/>
          <w:b/>
          <w:sz w:val="32"/>
          <w:szCs w:val="24"/>
          <w:highlight w:val="none"/>
        </w:rPr>
        <w:t>七、合同授予</w:t>
      </w:r>
    </w:p>
    <w:p>
      <w:pPr>
        <w:pStyle w:val="2"/>
        <w:spacing w:line="360" w:lineRule="auto"/>
        <w:ind w:left="479" w:hanging="479" w:hangingChars="199"/>
        <w:rPr>
          <w:rFonts w:cs="宋体"/>
          <w:b/>
          <w:sz w:val="24"/>
          <w:szCs w:val="24"/>
          <w:highlight w:val="none"/>
        </w:rPr>
      </w:pPr>
      <w:r>
        <w:rPr>
          <w:rFonts w:hint="eastAsia" w:cs="宋体"/>
          <w:b/>
          <w:sz w:val="24"/>
          <w:szCs w:val="24"/>
          <w:highlight w:val="none"/>
        </w:rPr>
        <w:t>24.</w:t>
      </w:r>
      <w:r>
        <w:rPr>
          <w:rFonts w:hint="eastAsia"/>
          <w:sz w:val="24"/>
          <w:szCs w:val="24"/>
          <w:highlight w:val="none"/>
        </w:rPr>
        <w:t xml:space="preserve"> </w:t>
      </w:r>
      <w:r>
        <w:rPr>
          <w:rFonts w:hint="eastAsia" w:cs="宋体"/>
          <w:b/>
          <w:sz w:val="24"/>
          <w:szCs w:val="24"/>
          <w:highlight w:val="none"/>
        </w:rPr>
        <w:t>合同主要条款</w:t>
      </w:r>
    </w:p>
    <w:p>
      <w:pPr>
        <w:pStyle w:val="2"/>
        <w:spacing w:line="360" w:lineRule="auto"/>
        <w:ind w:left="210" w:leftChars="100" w:firstLine="240" w:firstLineChars="100"/>
        <w:rPr>
          <w:rFonts w:cs="宋体"/>
          <w:b/>
          <w:sz w:val="24"/>
          <w:szCs w:val="24"/>
          <w:highlight w:val="none"/>
        </w:rPr>
      </w:pPr>
      <w:r>
        <w:rPr>
          <w:rFonts w:hint="eastAsia" w:cs="宋体"/>
          <w:sz w:val="24"/>
          <w:szCs w:val="24"/>
          <w:highlight w:val="none"/>
        </w:rPr>
        <w:t>合同主要条款详见第五部分拟签订的合同文本。</w:t>
      </w:r>
    </w:p>
    <w:p>
      <w:pPr>
        <w:pStyle w:val="2"/>
        <w:spacing w:line="360" w:lineRule="auto"/>
        <w:ind w:left="479" w:hanging="479" w:hangingChars="199"/>
        <w:rPr>
          <w:rFonts w:cs="宋体"/>
          <w:b/>
          <w:sz w:val="24"/>
          <w:szCs w:val="24"/>
          <w:highlight w:val="none"/>
        </w:rPr>
      </w:pPr>
      <w:r>
        <w:rPr>
          <w:rFonts w:hint="eastAsia" w:cs="宋体"/>
          <w:b/>
          <w:sz w:val="24"/>
          <w:szCs w:val="24"/>
          <w:highlight w:val="none"/>
        </w:rPr>
        <w:t>25. 合同的签订</w:t>
      </w:r>
    </w:p>
    <w:p>
      <w:pPr>
        <w:widowControl/>
        <w:shd w:val="clear" w:color="auto" w:fill="FFFFFF"/>
        <w:spacing w:line="360" w:lineRule="auto"/>
        <w:ind w:firstLine="480"/>
        <w:jc w:val="left"/>
        <w:rPr>
          <w:rFonts w:ascii="宋体" w:hAnsi="宋体" w:cs="宋体"/>
          <w:kern w:val="0"/>
          <w:sz w:val="24"/>
          <w:szCs w:val="24"/>
          <w:highlight w:val="none"/>
        </w:rPr>
      </w:pPr>
      <w:r>
        <w:rPr>
          <w:rFonts w:hint="eastAsia" w:ascii="宋体" w:hAnsi="宋体" w:cs="宋体"/>
          <w:sz w:val="24"/>
          <w:szCs w:val="24"/>
          <w:highlight w:val="none"/>
        </w:rPr>
        <w:t>25.1</w:t>
      </w:r>
      <w:r>
        <w:rPr>
          <w:rFonts w:hint="eastAsia" w:ascii="宋体" w:hAnsi="宋体" w:cs="宋体"/>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sz w:val="24"/>
          <w:szCs w:val="20"/>
          <w:highlight w:val="none"/>
        </w:rPr>
      </w:pPr>
      <w:r>
        <w:rPr>
          <w:rFonts w:hint="eastAsia" w:ascii="宋体" w:hAnsi="宋体" w:cs="宋体"/>
          <w:kern w:val="0"/>
          <w:sz w:val="24"/>
          <w:szCs w:val="2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sz w:val="24"/>
          <w:szCs w:val="20"/>
          <w:highlight w:val="none"/>
        </w:rPr>
      </w:pPr>
      <w:r>
        <w:rPr>
          <w:rFonts w:hint="eastAsia" w:ascii="宋体" w:hAnsi="宋体" w:cs="宋体"/>
          <w:sz w:val="24"/>
          <w:szCs w:val="20"/>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sz w:val="24"/>
          <w:szCs w:val="24"/>
          <w:highlight w:val="none"/>
        </w:rPr>
      </w:pPr>
      <w:r>
        <w:rPr>
          <w:rFonts w:hint="eastAsia" w:cs="宋体"/>
          <w:b/>
          <w:sz w:val="24"/>
          <w:szCs w:val="24"/>
          <w:highlight w:val="none"/>
        </w:rPr>
        <w:t>26. 履约保证金</w:t>
      </w:r>
    </w:p>
    <w:p>
      <w:pPr>
        <w:tabs>
          <w:tab w:val="left" w:pos="0"/>
        </w:tabs>
        <w:spacing w:line="360" w:lineRule="auto"/>
        <w:ind w:firstLine="482"/>
        <w:rPr>
          <w:rFonts w:ascii="宋体" w:hAnsi="宋体" w:cs="宋体"/>
          <w:sz w:val="24"/>
          <w:szCs w:val="24"/>
          <w:highlight w:val="none"/>
        </w:rPr>
      </w:pPr>
      <w:r>
        <w:rPr>
          <w:rFonts w:hint="eastAsia" w:ascii="宋体" w:hAnsi="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szCs w:val="24"/>
          <w:highlight w:val="none"/>
        </w:rPr>
        <w:t>。履约保证金的数额不得超过政府采购合同金额的</w:t>
      </w:r>
      <w:r>
        <w:rPr>
          <w:rFonts w:ascii="宋体" w:hAnsi="宋体" w:cs="宋体"/>
          <w:sz w:val="24"/>
          <w:szCs w:val="24"/>
          <w:highlight w:val="none"/>
        </w:rPr>
        <w:t>1</w:t>
      </w:r>
      <w:r>
        <w:rPr>
          <w:rFonts w:hint="eastAsia" w:ascii="宋体" w:hAnsi="宋体" w:cs="宋体"/>
          <w:sz w:val="24"/>
          <w:szCs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szCs w:val="24"/>
          <w:highlight w:val="none"/>
        </w:rPr>
        <w:t>延迟退还的，应当按照合同约定和法律规定承担相应的赔偿责任</w:t>
      </w:r>
      <w:r>
        <w:rPr>
          <w:rFonts w:hint="eastAsia" w:ascii="宋体" w:hAnsi="宋体" w:cs="宋体"/>
          <w:sz w:val="24"/>
          <w:szCs w:val="24"/>
          <w:highlight w:val="none"/>
        </w:rPr>
        <w:t>。</w:t>
      </w:r>
    </w:p>
    <w:p>
      <w:pPr>
        <w:pStyle w:val="4"/>
        <w:ind w:left="0" w:firstLine="480" w:firstLineChars="200"/>
        <w:rPr>
          <w:rFonts w:ascii="宋体" w:hAnsi="宋体" w:eastAsia="宋体" w:cs="宋体"/>
          <w:b w:val="0"/>
          <w:bCs w:val="0"/>
          <w:snapToGrid w:val="0"/>
          <w:kern w:val="28"/>
          <w:sz w:val="24"/>
          <w:szCs w:val="32"/>
          <w:highlight w:val="none"/>
        </w:rPr>
      </w:pPr>
      <w:r>
        <w:rPr>
          <w:rFonts w:hint="eastAsia" w:ascii="宋体" w:hAnsi="宋体" w:eastAsia="宋体" w:cs="宋体"/>
          <w:b w:val="0"/>
          <w:bCs w:val="0"/>
          <w:snapToGrid w:val="0"/>
          <w:kern w:val="28"/>
          <w:sz w:val="24"/>
          <w:szCs w:val="32"/>
          <w:highlight w:val="none"/>
        </w:rPr>
        <w:t>供应商</w:t>
      </w:r>
      <w:r>
        <w:rPr>
          <w:rFonts w:hint="eastAsia" w:ascii="宋体" w:hAnsi="宋体" w:eastAsia="宋体" w:cs="宋体"/>
          <w:b w:val="0"/>
          <w:bCs w:val="0"/>
          <w:snapToGrid w:val="0"/>
          <w:kern w:val="28"/>
          <w:sz w:val="24"/>
          <w:szCs w:val="32"/>
          <w:highlight w:val="none"/>
          <w:lang w:val="en-US"/>
        </w:rPr>
        <w:t>可</w:t>
      </w:r>
      <w:r>
        <w:rPr>
          <w:rFonts w:hint="eastAsia" w:ascii="宋体" w:hAnsi="宋体" w:eastAsia="宋体" w:cs="宋体"/>
          <w:b w:val="0"/>
          <w:bCs w:val="0"/>
          <w:snapToGrid w:val="0"/>
          <w:kern w:val="28"/>
          <w:sz w:val="24"/>
          <w:szCs w:val="32"/>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sz w:val="21"/>
          <w:szCs w:val="24"/>
          <w:highlight w:val="none"/>
        </w:rPr>
      </w:pPr>
    </w:p>
    <w:p>
      <w:pPr>
        <w:snapToGrid w:val="0"/>
        <w:spacing w:line="360" w:lineRule="auto"/>
        <w:ind w:firstLine="3357" w:firstLineChars="1045"/>
        <w:rPr>
          <w:rFonts w:ascii="宋体" w:hAnsi="宋体" w:cs="宋体"/>
          <w:b/>
          <w:sz w:val="32"/>
          <w:szCs w:val="24"/>
          <w:highlight w:val="none"/>
        </w:rPr>
      </w:pPr>
    </w:p>
    <w:p>
      <w:pPr>
        <w:snapToGrid w:val="0"/>
        <w:spacing w:line="360" w:lineRule="auto"/>
        <w:ind w:firstLine="3357" w:firstLineChars="1045"/>
        <w:rPr>
          <w:rFonts w:ascii="宋体" w:hAnsi="宋体" w:cs="宋体"/>
          <w:b/>
          <w:sz w:val="32"/>
          <w:szCs w:val="24"/>
          <w:highlight w:val="none"/>
        </w:rPr>
      </w:pPr>
    </w:p>
    <w:p>
      <w:pPr>
        <w:snapToGrid w:val="0"/>
        <w:spacing w:line="360" w:lineRule="auto"/>
        <w:ind w:firstLine="3357" w:firstLineChars="1045"/>
        <w:rPr>
          <w:rFonts w:ascii="宋体" w:hAnsi="宋体" w:cs="宋体"/>
          <w:b/>
          <w:sz w:val="32"/>
          <w:szCs w:val="24"/>
          <w:highlight w:val="none"/>
        </w:rPr>
      </w:pPr>
    </w:p>
    <w:p>
      <w:pPr>
        <w:snapToGrid w:val="0"/>
        <w:spacing w:line="360" w:lineRule="auto"/>
        <w:ind w:firstLine="3357" w:firstLineChars="1045"/>
        <w:rPr>
          <w:rFonts w:ascii="宋体" w:hAnsi="宋体" w:cs="宋体"/>
          <w:b/>
          <w:sz w:val="24"/>
          <w:szCs w:val="24"/>
          <w:highlight w:val="none"/>
        </w:rPr>
      </w:pPr>
      <w:r>
        <w:rPr>
          <w:rFonts w:hint="eastAsia" w:ascii="宋体" w:hAnsi="宋体" w:cs="宋体"/>
          <w:b/>
          <w:sz w:val="32"/>
          <w:szCs w:val="24"/>
          <w:highlight w:val="none"/>
        </w:rPr>
        <w:t>八、电子交易活动的中止</w:t>
      </w:r>
    </w:p>
    <w:p>
      <w:pPr>
        <w:pStyle w:val="129"/>
        <w:snapToGrid w:val="0"/>
        <w:spacing w:before="0"/>
        <w:ind w:firstLine="0" w:firstLineChars="0"/>
        <w:rPr>
          <w:rFonts w:ascii="宋体" w:hAnsi="宋体" w:cs="宋体"/>
          <w:sz w:val="24"/>
          <w:szCs w:val="20"/>
          <w:highlight w:val="none"/>
        </w:rPr>
      </w:pPr>
      <w:r>
        <w:rPr>
          <w:rFonts w:ascii="宋体" w:hAnsi="宋体" w:cs="宋体"/>
          <w:b/>
          <w:bCs/>
          <w:sz w:val="24"/>
          <w:szCs w:val="20"/>
          <w:highlight w:val="none"/>
        </w:rPr>
        <w:t>2</w:t>
      </w:r>
      <w:r>
        <w:rPr>
          <w:rFonts w:ascii="宋体" w:hAnsi="宋体" w:cs="宋体"/>
          <w:b/>
          <w:bCs/>
          <w:sz w:val="24"/>
          <w:szCs w:val="24"/>
          <w:highlight w:val="none"/>
        </w:rPr>
        <w:t>7</w:t>
      </w:r>
      <w:r>
        <w:rPr>
          <w:rFonts w:hint="eastAsia" w:ascii="宋体" w:hAnsi="宋体" w:cs="宋体"/>
          <w:b/>
          <w:sz w:val="24"/>
          <w:szCs w:val="24"/>
          <w:highlight w:val="none"/>
        </w:rPr>
        <w:t>. 电子交易活动的中止。</w:t>
      </w:r>
      <w:r>
        <w:rPr>
          <w:rFonts w:hint="eastAsia" w:ascii="宋体" w:hAnsi="宋体" w:cs="宋体"/>
          <w:sz w:val="24"/>
          <w:szCs w:val="20"/>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sz w:val="24"/>
          <w:szCs w:val="20"/>
          <w:highlight w:val="none"/>
        </w:rPr>
      </w:pPr>
      <w:r>
        <w:rPr>
          <w:rFonts w:ascii="宋体" w:hAnsi="宋体" w:cs="宋体"/>
          <w:sz w:val="24"/>
          <w:szCs w:val="20"/>
          <w:highlight w:val="none"/>
        </w:rPr>
        <w:t>27</w:t>
      </w:r>
      <w:r>
        <w:rPr>
          <w:rFonts w:hint="eastAsia" w:ascii="宋体" w:hAnsi="宋体" w:cs="宋体"/>
          <w:sz w:val="24"/>
          <w:szCs w:val="20"/>
          <w:highlight w:val="none"/>
        </w:rPr>
        <w:t xml:space="preserve">.1电子交易平台发生故障而无法登录访问的； </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2</w:t>
      </w:r>
      <w:r>
        <w:rPr>
          <w:rFonts w:ascii="宋体" w:hAnsi="宋体" w:cs="宋体"/>
          <w:sz w:val="24"/>
          <w:szCs w:val="20"/>
          <w:highlight w:val="none"/>
        </w:rPr>
        <w:t>7</w:t>
      </w:r>
      <w:r>
        <w:rPr>
          <w:rFonts w:hint="eastAsia" w:ascii="宋体" w:hAnsi="宋体" w:cs="宋体"/>
          <w:sz w:val="24"/>
          <w:szCs w:val="20"/>
          <w:highlight w:val="none"/>
        </w:rPr>
        <w:t>.2电子交易平台应用或数据库出现错误，不能进行正常操作的；</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2</w:t>
      </w:r>
      <w:r>
        <w:rPr>
          <w:rFonts w:ascii="宋体" w:hAnsi="宋体" w:cs="宋体"/>
          <w:sz w:val="24"/>
          <w:szCs w:val="20"/>
          <w:highlight w:val="none"/>
        </w:rPr>
        <w:t>7</w:t>
      </w:r>
      <w:r>
        <w:rPr>
          <w:rFonts w:hint="eastAsia" w:ascii="宋体" w:hAnsi="宋体" w:cs="宋体"/>
          <w:sz w:val="24"/>
          <w:szCs w:val="20"/>
          <w:highlight w:val="none"/>
        </w:rPr>
        <w:t>.3电子交易平台发现严重安全漏洞，有潜在泄密危险的；</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2</w:t>
      </w:r>
      <w:r>
        <w:rPr>
          <w:rFonts w:ascii="宋体" w:hAnsi="宋体" w:cs="宋体"/>
          <w:sz w:val="24"/>
          <w:szCs w:val="20"/>
          <w:highlight w:val="none"/>
        </w:rPr>
        <w:t>7</w:t>
      </w:r>
      <w:r>
        <w:rPr>
          <w:rFonts w:hint="eastAsia" w:ascii="宋体" w:hAnsi="宋体" w:cs="宋体"/>
          <w:sz w:val="24"/>
          <w:szCs w:val="20"/>
          <w:highlight w:val="none"/>
        </w:rPr>
        <w:t xml:space="preserve">.4病毒发作导致不能进行正常操作的； </w:t>
      </w:r>
    </w:p>
    <w:p>
      <w:pPr>
        <w:pStyle w:val="129"/>
        <w:snapToGrid w:val="0"/>
        <w:spacing w:before="0"/>
        <w:ind w:firstLine="480"/>
        <w:rPr>
          <w:rFonts w:ascii="宋体" w:hAnsi="宋体" w:cs="宋体"/>
          <w:sz w:val="24"/>
          <w:szCs w:val="20"/>
          <w:highlight w:val="none"/>
        </w:rPr>
      </w:pPr>
      <w:r>
        <w:rPr>
          <w:rFonts w:hint="eastAsia" w:ascii="宋体" w:hAnsi="宋体" w:cs="宋体"/>
          <w:sz w:val="24"/>
          <w:szCs w:val="20"/>
          <w:highlight w:val="none"/>
        </w:rPr>
        <w:t>2</w:t>
      </w:r>
      <w:r>
        <w:rPr>
          <w:rFonts w:ascii="宋体" w:hAnsi="宋体" w:cs="宋体"/>
          <w:sz w:val="24"/>
          <w:szCs w:val="20"/>
          <w:highlight w:val="none"/>
        </w:rPr>
        <w:t>7</w:t>
      </w:r>
      <w:r>
        <w:rPr>
          <w:rFonts w:hint="eastAsia" w:ascii="宋体" w:hAnsi="宋体" w:cs="宋体"/>
          <w:sz w:val="24"/>
          <w:szCs w:val="20"/>
          <w:highlight w:val="none"/>
        </w:rPr>
        <w:t>.5其他无法保证电子交易的公平、公正和安全的情况。</w:t>
      </w:r>
    </w:p>
    <w:p>
      <w:pPr>
        <w:pStyle w:val="129"/>
        <w:snapToGrid w:val="0"/>
        <w:spacing w:before="0"/>
        <w:ind w:firstLine="0" w:firstLineChars="0"/>
        <w:rPr>
          <w:rFonts w:ascii="宋体" w:hAnsi="宋体" w:cs="宋体"/>
          <w:sz w:val="24"/>
          <w:szCs w:val="20"/>
          <w:highlight w:val="none"/>
        </w:rPr>
      </w:pPr>
      <w:r>
        <w:rPr>
          <w:rFonts w:hint="eastAsia" w:ascii="宋体" w:hAnsi="宋体" w:cs="宋体"/>
          <w:sz w:val="24"/>
          <w:szCs w:val="20"/>
          <w:highlight w:val="none"/>
        </w:rPr>
        <w:t xml:space="preserve"> </w:t>
      </w:r>
      <w:r>
        <w:rPr>
          <w:rFonts w:ascii="宋体" w:hAnsi="宋体" w:cs="宋体"/>
          <w:sz w:val="24"/>
          <w:szCs w:val="20"/>
          <w:highlight w:val="none"/>
        </w:rPr>
        <w:t xml:space="preserve">   </w:t>
      </w:r>
      <w:r>
        <w:rPr>
          <w:rFonts w:hint="eastAsia" w:ascii="宋体" w:hAnsi="宋体" w:cs="宋体"/>
          <w:sz w:val="24"/>
          <w:szCs w:val="2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szCs w:val="24"/>
          <w:highlight w:val="none"/>
        </w:rPr>
      </w:pPr>
    </w:p>
    <w:p>
      <w:pPr>
        <w:snapToGrid w:val="0"/>
        <w:spacing w:line="360" w:lineRule="auto"/>
        <w:ind w:left="120" w:leftChars="57" w:firstLine="482" w:firstLineChars="150"/>
        <w:jc w:val="center"/>
        <w:rPr>
          <w:rFonts w:ascii="宋体" w:hAnsi="宋体" w:cs="宋体"/>
          <w:b/>
          <w:sz w:val="32"/>
          <w:szCs w:val="24"/>
          <w:highlight w:val="none"/>
        </w:rPr>
      </w:pPr>
      <w:r>
        <w:rPr>
          <w:rFonts w:hint="eastAsia" w:ascii="宋体" w:hAnsi="宋体" w:cs="宋体"/>
          <w:b/>
          <w:sz w:val="32"/>
          <w:szCs w:val="24"/>
          <w:highlight w:val="none"/>
        </w:rPr>
        <w:t>九、验收</w:t>
      </w:r>
    </w:p>
    <w:p>
      <w:pPr>
        <w:pStyle w:val="2"/>
        <w:spacing w:line="360" w:lineRule="auto"/>
        <w:ind w:firstLine="0" w:firstLineChars="0"/>
        <w:rPr>
          <w:rFonts w:cs="宋体"/>
          <w:b/>
          <w:sz w:val="24"/>
          <w:szCs w:val="24"/>
          <w:highlight w:val="none"/>
        </w:rPr>
      </w:pPr>
      <w:r>
        <w:rPr>
          <w:rFonts w:cs="宋体"/>
          <w:b/>
          <w:sz w:val="24"/>
          <w:szCs w:val="24"/>
          <w:highlight w:val="none"/>
        </w:rPr>
        <w:t>28</w:t>
      </w:r>
      <w:r>
        <w:rPr>
          <w:rFonts w:hint="eastAsia" w:cs="宋体"/>
          <w:b/>
          <w:sz w:val="24"/>
          <w:szCs w:val="24"/>
          <w:highlight w:val="none"/>
        </w:rPr>
        <w:t>.验收</w:t>
      </w:r>
    </w:p>
    <w:p>
      <w:pPr>
        <w:tabs>
          <w:tab w:val="left" w:pos="0"/>
        </w:tabs>
        <w:spacing w:line="360" w:lineRule="auto"/>
        <w:ind w:firstLine="480"/>
        <w:rPr>
          <w:rFonts w:ascii="宋体" w:hAnsi="宋体" w:cs="宋体"/>
          <w:kern w:val="0"/>
          <w:sz w:val="24"/>
          <w:szCs w:val="24"/>
          <w:highlight w:val="none"/>
        </w:rPr>
      </w:pPr>
      <w:r>
        <w:rPr>
          <w:rFonts w:ascii="宋体" w:hAnsi="宋体" w:cs="宋体"/>
          <w:kern w:val="0"/>
          <w:sz w:val="24"/>
          <w:szCs w:val="24"/>
          <w:highlight w:val="none"/>
        </w:rPr>
        <w:t>28</w:t>
      </w:r>
      <w:r>
        <w:rPr>
          <w:rFonts w:hint="eastAsia" w:ascii="宋体" w:hAnsi="宋体" w:cs="宋体"/>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szCs w:val="24"/>
          <w:highlight w:val="none"/>
        </w:rPr>
      </w:pPr>
      <w:r>
        <w:rPr>
          <w:rFonts w:ascii="宋体" w:hAnsi="宋体" w:cs="宋体"/>
          <w:kern w:val="0"/>
          <w:sz w:val="24"/>
          <w:szCs w:val="24"/>
          <w:highlight w:val="none"/>
        </w:rPr>
        <w:t>28</w:t>
      </w:r>
      <w:r>
        <w:rPr>
          <w:rFonts w:hint="eastAsia" w:ascii="宋体" w:hAnsi="宋体" w:cs="宋体"/>
          <w:kern w:val="0"/>
          <w:sz w:val="24"/>
          <w:szCs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szCs w:val="24"/>
          <w:highlight w:val="none"/>
        </w:rPr>
      </w:pPr>
      <w:r>
        <w:rPr>
          <w:rFonts w:ascii="宋体" w:hAnsi="宋体" w:cs="宋体"/>
          <w:kern w:val="0"/>
          <w:sz w:val="24"/>
          <w:szCs w:val="24"/>
          <w:highlight w:val="none"/>
        </w:rPr>
        <w:t>28</w:t>
      </w:r>
      <w:r>
        <w:rPr>
          <w:rFonts w:hint="eastAsia" w:ascii="宋体" w:hAnsi="宋体" w:cs="宋体"/>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ascii="宋体" w:hAnsi="宋体" w:cs="宋体"/>
          <w:kern w:val="0"/>
          <w:sz w:val="24"/>
          <w:szCs w:val="24"/>
          <w:highlight w:val="none"/>
        </w:rPr>
        <w:t>28</w:t>
      </w:r>
      <w:r>
        <w:rPr>
          <w:rFonts w:hint="eastAsia" w:ascii="宋体" w:hAnsi="宋体" w:cs="宋体"/>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29768"/>
      <w:bookmarkEnd w:id="16"/>
      <w:bookmarkStart w:id="17" w:name="_Hlt75236011"/>
      <w:bookmarkEnd w:id="17"/>
      <w:bookmarkStart w:id="18" w:name="_Hlt68072990"/>
      <w:bookmarkEnd w:id="18"/>
      <w:bookmarkStart w:id="19" w:name="_Hlt68403820"/>
      <w:bookmarkEnd w:id="19"/>
      <w:bookmarkStart w:id="20" w:name="_Hlt74707468"/>
      <w:bookmarkEnd w:id="20"/>
      <w:bookmarkStart w:id="21" w:name="_Hlt68057669"/>
      <w:bookmarkEnd w:id="21"/>
      <w:bookmarkStart w:id="22" w:name="_Hlt74714665"/>
      <w:bookmarkEnd w:id="22"/>
      <w:bookmarkStart w:id="23" w:name="_Hlt75236290"/>
      <w:bookmarkEnd w:id="23"/>
      <w:bookmarkStart w:id="24" w:name="_Hlt74730295"/>
      <w:bookmarkEnd w:id="24"/>
      <w:bookmarkStart w:id="25" w:name="_Hlt75236101"/>
      <w:bookmarkEnd w:id="25"/>
      <w:bookmarkStart w:id="26" w:name="_Hlt68073093"/>
      <w:bookmarkEnd w:id="26"/>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keepNext/>
        <w:keepLines/>
        <w:widowControl/>
        <w:tabs>
          <w:tab w:val="left" w:pos="0"/>
        </w:tabs>
        <w:adjustRightInd/>
        <w:spacing w:line="460" w:lineRule="exact"/>
        <w:outlineLvl w:val="2"/>
        <w:rPr>
          <w:rFonts w:ascii="宋体" w:hAnsi="宋体" w:cs="宋体"/>
          <w:b/>
          <w:bCs/>
          <w:sz w:val="24"/>
          <w:szCs w:val="24"/>
          <w:highlight w:val="none"/>
        </w:rPr>
      </w:pPr>
      <w:bookmarkStart w:id="28" w:name="_Toc24599"/>
      <w:r>
        <w:rPr>
          <w:rFonts w:hint="eastAsia" w:ascii="宋体" w:hAnsi="宋体" w:cs="宋体"/>
          <w:b/>
          <w:bCs/>
          <w:sz w:val="24"/>
          <w:szCs w:val="24"/>
          <w:highlight w:val="none"/>
        </w:rPr>
        <w:t>（一）项目概述</w:t>
      </w:r>
      <w:bookmarkEnd w:id="28"/>
    </w:p>
    <w:p>
      <w:pPr>
        <w:keepNext/>
        <w:keepLines/>
        <w:numPr>
          <w:ilvl w:val="3"/>
          <w:numId w:val="1"/>
        </w:numPr>
        <w:spacing w:before="280" w:after="290" w:line="372" w:lineRule="auto"/>
        <w:ind w:left="709" w:hanging="709"/>
        <w:outlineLvl w:val="3"/>
        <w:rPr>
          <w:rFonts w:ascii="宋体" w:hAnsi="宋体" w:cs="宋体"/>
          <w:kern w:val="0"/>
          <w:sz w:val="24"/>
          <w:szCs w:val="24"/>
          <w:highlight w:val="none"/>
        </w:rPr>
      </w:pPr>
      <w:bookmarkStart w:id="29" w:name="_Toc8411"/>
      <w:r>
        <w:rPr>
          <w:rFonts w:hint="eastAsia" w:ascii="宋体" w:hAnsi="宋体" w:cs="宋体"/>
          <w:kern w:val="0"/>
          <w:sz w:val="24"/>
          <w:szCs w:val="24"/>
          <w:highlight w:val="none"/>
        </w:rPr>
        <w:t>建设背景</w:t>
      </w:r>
      <w:bookmarkEnd w:id="29"/>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近年来，浙江法院全面落实最高人民法院“大力推进智慧法院建设”和省委省政府“深化数字浙江建设”的工作部署，将“全域数字法院”改革作为促进审判体系和审判能力现代化的强大引擎，积极推动现代科技与法院工作深度融合，实现了跨越式发展，开启了法院数字化转型新征程。浙江法院以大数据、云计算、人工智能等先进技术为驱动，构建“四横四纵”技术架构，持续推进“平台化 + 智能化”建设，力求做到决策更科学、办案更高效、服务更周到、管理更精准，努力满足人民群众日益增长的多元司法需求。</w:t>
      </w:r>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证券虚假陈述责任纠纷成为浙江民商事诉讼领域数量较多的一类案件，属于法院审理的民商事纠纷中特异化程度较高的一类案件，往往具有原告方人数众多、案件审理周期较长、损失赔偿计算量大等特征。大量证券虚假陈述责任纠纷涌入法院的同时，法院干警一方面要面临包括立案，分案，排期，送达，归档，生效等程序性、事务性的工作，另外一方面在案件实体裁判阶段，还要分析案卷材料，实时归纳争议焦点，计算裁判数额，制作裁判文书，工作量大且繁杂。需要运用计算机技术来辅助此项审判工作。</w:t>
      </w:r>
    </w:p>
    <w:p>
      <w:pPr>
        <w:keepNext/>
        <w:keepLines/>
        <w:numPr>
          <w:ilvl w:val="3"/>
          <w:numId w:val="1"/>
        </w:numPr>
        <w:spacing w:before="280" w:after="290" w:line="372" w:lineRule="auto"/>
        <w:ind w:left="709" w:hanging="709"/>
        <w:outlineLvl w:val="3"/>
        <w:rPr>
          <w:rFonts w:ascii="宋体" w:hAnsi="宋体" w:cs="宋体"/>
          <w:kern w:val="0"/>
          <w:sz w:val="24"/>
          <w:szCs w:val="24"/>
          <w:highlight w:val="none"/>
        </w:rPr>
      </w:pPr>
      <w:bookmarkStart w:id="30" w:name="_Toc2847"/>
      <w:r>
        <w:rPr>
          <w:rFonts w:hint="eastAsia" w:ascii="宋体" w:hAnsi="宋体" w:cs="宋体"/>
          <w:kern w:val="0"/>
          <w:sz w:val="24"/>
          <w:szCs w:val="24"/>
          <w:highlight w:val="none"/>
        </w:rPr>
        <w:t>建设需求</w:t>
      </w:r>
      <w:bookmarkEnd w:id="30"/>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依托知识图谱和自然语言处理等人工智能技术,构建以知识图谱和模型算法为核心的算法平台，为上层应用系统提供基于算法的智能服务，主要完成知识图谱构建、数据共享、算法模型开发和应用系统开发，实现法官办案智能辅助，切实提升办案质效。主要实现功能模块为“立案/分案智能化”、“调解智能化”、“审判智能化”、“证券虚假陈述责任纠纷智审网上立案系统”、“证券虚假陈述责任纠纷智审庭审系统”、“代表人诉讼在线/管理平台”、“投资者损失智能化核算”、“证券虚假陈述责任纠纷涉及市场交易数据共享”等。</w:t>
      </w:r>
    </w:p>
    <w:p>
      <w:pPr>
        <w:keepNext/>
        <w:keepLines/>
        <w:numPr>
          <w:ilvl w:val="3"/>
          <w:numId w:val="1"/>
        </w:numPr>
        <w:spacing w:before="280" w:after="290" w:line="372" w:lineRule="auto"/>
        <w:ind w:left="709" w:hanging="709"/>
        <w:outlineLvl w:val="3"/>
        <w:rPr>
          <w:rFonts w:ascii="宋体" w:hAnsi="宋体" w:cs="宋体"/>
          <w:kern w:val="0"/>
          <w:sz w:val="24"/>
          <w:szCs w:val="24"/>
          <w:highlight w:val="none"/>
        </w:rPr>
      </w:pPr>
      <w:bookmarkStart w:id="31" w:name="_Toc27093"/>
      <w:r>
        <w:rPr>
          <w:rFonts w:hint="eastAsia" w:ascii="宋体" w:hAnsi="宋体" w:cs="宋体"/>
          <w:kern w:val="0"/>
          <w:sz w:val="24"/>
          <w:szCs w:val="24"/>
          <w:highlight w:val="none"/>
        </w:rPr>
        <w:t>建设目标</w:t>
      </w:r>
      <w:bookmarkEnd w:id="31"/>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针对法院近年来高速增长的证券虚假陈述责任纠纷类案件，采用开发模拟法律思维的专家系统结合机器深度学习技术，尝试构建以知识图谱与模型算法支撑的案由智能化审判为核心，通过智能辅助办案，大幅减轻法官办案压力，实现当事人“减时降费”的目标。</w:t>
      </w:r>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通过建设该项目，充分应用OCR（文字识别）、NLP（自然语言处理）、语音识别、区块链、大数据分析等最新前沿科技，优化提升案件从立案、调解、审理到裁判等办案各环节、全流程、全要素的智能化水平，形成“即诉即立、调解优先、智审速判、数助决策”的整体智治体系，能够极大的提升法官的办案质效和当事人参与庭审的效率。</w:t>
      </w:r>
    </w:p>
    <w:p>
      <w:pPr>
        <w:keepNext/>
        <w:keepLines/>
        <w:numPr>
          <w:ilvl w:val="3"/>
          <w:numId w:val="1"/>
        </w:numPr>
        <w:spacing w:before="280" w:after="290" w:line="372" w:lineRule="auto"/>
        <w:ind w:left="709" w:hanging="709"/>
        <w:outlineLvl w:val="3"/>
        <w:rPr>
          <w:rFonts w:ascii="宋体" w:hAnsi="宋体" w:cs="宋体"/>
          <w:kern w:val="0"/>
          <w:sz w:val="24"/>
          <w:szCs w:val="24"/>
          <w:highlight w:val="none"/>
        </w:rPr>
      </w:pPr>
      <w:bookmarkStart w:id="32" w:name="_Toc13277"/>
      <w:r>
        <w:rPr>
          <w:rFonts w:hint="eastAsia" w:ascii="宋体" w:hAnsi="宋体" w:cs="宋体"/>
          <w:kern w:val="0"/>
          <w:sz w:val="24"/>
          <w:szCs w:val="24"/>
          <w:highlight w:val="none"/>
        </w:rPr>
        <w:t>建设内容</w:t>
      </w:r>
      <w:bookmarkEnd w:id="32"/>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本项目参照凤凰金融智审的建设思路，根据证券虚假陈述责任纠纷法规修改后的司法知识图谱来实现智能审判，同时创新性的针对证券虚假陈述责任纠纷投资者损失核算的场景，基于投资者交易数据、证券市场数据、发行人行政处罚和公告数据、相关法律法规和证券类纠纷案例数据，运用人工智能和大数据分析技术，为法官提供关键期日辅助认定、损失计算、大数据知识库等服务，辅助法官提升证券类纠纷案件办理效率，回归事实认定本原。</w:t>
      </w:r>
    </w:p>
    <w:p>
      <w:pPr>
        <w:keepNext/>
        <w:keepLines/>
        <w:widowControl/>
        <w:tabs>
          <w:tab w:val="left" w:pos="0"/>
        </w:tabs>
        <w:adjustRightInd/>
        <w:spacing w:line="460" w:lineRule="exact"/>
        <w:outlineLvl w:val="2"/>
        <w:rPr>
          <w:rFonts w:ascii="宋体" w:hAnsi="宋体" w:cs="宋体"/>
          <w:b/>
          <w:sz w:val="24"/>
          <w:szCs w:val="24"/>
          <w:highlight w:val="none"/>
        </w:rPr>
      </w:pPr>
      <w:r>
        <w:rPr>
          <w:rFonts w:hint="eastAsia" w:ascii="宋体" w:hAnsi="宋体" w:cs="宋体"/>
          <w:b/>
          <w:sz w:val="24"/>
          <w:szCs w:val="24"/>
          <w:highlight w:val="none"/>
        </w:rPr>
        <w:t>（二）采购内容</w:t>
      </w:r>
    </w:p>
    <w:p>
      <w:pPr>
        <w:adjustRightInd/>
        <w:spacing w:line="460" w:lineRule="exact"/>
        <w:ind w:firstLine="588" w:firstLineChars="245"/>
        <w:rPr>
          <w:rFonts w:ascii="宋体" w:hAnsi="宋体" w:cs="宋体"/>
          <w:sz w:val="24"/>
          <w:szCs w:val="24"/>
          <w:highlight w:val="none"/>
        </w:rPr>
      </w:pPr>
      <w:r>
        <w:rPr>
          <w:rFonts w:hint="eastAsia" w:ascii="宋体" w:hAnsi="宋体" w:cs="宋体"/>
          <w:bCs/>
          <w:sz w:val="24"/>
          <w:szCs w:val="24"/>
          <w:highlight w:val="none"/>
        </w:rPr>
        <w:t>具体建设内容如下：</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1 </w:t>
      </w:r>
      <w:bookmarkStart w:id="33" w:name="_Hlk143436095"/>
      <w:r>
        <w:rPr>
          <w:rFonts w:hint="eastAsia" w:ascii="宋体" w:hAnsi="宋体" w:cs="宋体"/>
          <w:kern w:val="0"/>
          <w:sz w:val="24"/>
          <w:szCs w:val="24"/>
          <w:highlight w:val="none"/>
        </w:rPr>
        <w:t>立案/分案智能化</w:t>
      </w:r>
      <w:bookmarkEnd w:id="33"/>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1.1当事人立案</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将证券虚假陈述责任纠纷智能化起诉页面嵌入浙江法院网，当事人可通过浙江法院网进行案件起诉，根据管辖地与案由，会自动跳转到证券虚假陈述责任纠纷智能化提交界面，让当事人提交完整的智能化诉讼信息。</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1.2立案确认</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在当事人立案时，检测法院案件中心是否已存在相关示范案件或相关案件启动代表人诉讼程序，如若存在正在审理的示范案件告知后续立案的当事人法院已在受理示范案件，您的案件属于平行案件并引导当事人了解案件流程；如若示范案件已生效引导当事人优先引导当事人进行调解；如若相关案件启动代表人诉讼模式，引导当事人通过代表人诉讼在线平台进行登记操作。提交材料后，如果退回要留痕，方便当事人后续计算诉讼时效。</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1.3智能解答</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解答调解或诉讼等相关的问题，辅助当事人对调解中的相关问题进行了解。</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1.4解纷流程</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提供解纷流程查看功能，当事人可再次功能查看解纷的流程步骤，方便当事人了解解纷流程。</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1.5示范判决推送</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当事人可查看法院推送的证券虚假陈诉责任纠纷示范案件的案件情况及判决结果。</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1.6当事人身份核实</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自动核查当事人信息的真实性，对姓名、身份证号无法对应的情况进行甄别提醒。</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1.7要素表</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根据证券虚假陈述责任纠纷案件规则，梳理知识图谱以要素表形式让当事人进行信息填写及材料上传。</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1.8立案材料完整性核查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1.8.1增加立案材料完整性核查程序，在申请人提交立案申请时，自动对提交材料类型进行检测，帮助申请人检查立案材料是否遗漏。</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1.8.2提供材料完整性提醒功能，根据程序核查结果，当材料类型存在遗漏的情况，对申请人进行人性化提醒，提示申请人及时补充材料；申请人确认无遗漏的，可再次提交申请。</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1.9立案申请信息存储</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将立案申请结构化数据和文书材料信息通过内外网交互进行存储。</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1.10诉状自动生成</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提供诉状自动生成功能，根据原被告回答的信息回填以及原告填写的信息系统自动生成诉状内容，自动生成诉状供原告签字确认。</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1.11对接律师调查令</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支持法官通过律师调查令模块要求被告律师上传投资者的交易记录，提供数据上传功能并导入内网作为法官办案依据。</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2 </w:t>
      </w:r>
      <w:bookmarkStart w:id="34" w:name="_Hlk143436106"/>
      <w:r>
        <w:rPr>
          <w:rFonts w:hint="eastAsia" w:ascii="宋体" w:hAnsi="宋体" w:cs="宋体"/>
          <w:kern w:val="0"/>
          <w:sz w:val="24"/>
          <w:szCs w:val="24"/>
          <w:highlight w:val="none"/>
        </w:rPr>
        <w:t>调解智能化</w:t>
      </w:r>
      <w:bookmarkEnd w:id="34"/>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2.1对接ODR平台</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2.1.1数据推送</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对接ODR调解平台，获取调解组织、调解员信息，在案件办理全流程中支持一键转调解操作，并将生效的示范案件及相关材料同步推送至调解平台。</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2.1.2数据回传</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通过ODR平台调解的结果数据以及相应的调解书等材料回传至内网系统。</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2.2 对接证券调解平台</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与证券期货纠纷在线调解平台对接，交互相关数据供调解员和法官参考。</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3 </w:t>
      </w:r>
      <w:bookmarkStart w:id="35" w:name="_Hlk143436114"/>
      <w:r>
        <w:rPr>
          <w:rFonts w:hint="eastAsia" w:ascii="宋体" w:hAnsi="宋体" w:cs="宋体"/>
          <w:kern w:val="0"/>
          <w:sz w:val="24"/>
          <w:szCs w:val="24"/>
          <w:highlight w:val="none"/>
        </w:rPr>
        <w:t>网上立案</w:t>
      </w:r>
      <w:bookmarkEnd w:id="35"/>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3.1统一收案</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针对证券虚假陈述责任纠纷类案件，提供收案能力，接收来自浙江法院网案件。</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3.2审判自动立案</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获取立案申请审核通过信息，实现案件自动立案，通过立案人员审核后，生成相应的案号和文书材料。</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3.3审判自动分案</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案件立案成功后，根据分案规则进行自动分案，并生成相应文书材料。</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3.4案件中心接入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对接内网审判案件中心完成案件自动或人工立案操作。</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3.5立案申请材料要素提取</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3.5.1立案材料内容识别</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对立案申请提交材料文书内容进行OCR识别，分析处理进行数字化转换，形成计算机文字。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3.5.2立案要素提取</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根据证券虚假陈述纠纷案件知识图谱规则，从当事人身份信息材料和申请执行材料中提取对应的立案要素。</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3.5.3要素信息分类</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根据信息分类规则，经过智能化计算，与立案要素对应分类存储。</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3.6 立案材料审查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3.6.1 立案材料审查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智能判断申请材料类别和格式，获取立案申请材料，对当事人身份信息材料和申请执行材料进行审查，审查材料份数是否齐全。</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3.6.2 审查结果智能判断</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对审查情况进行智能判断，审查不通过的智能通知到申请人，进入裁定不予受理自动结案程序；审查通过的，案件受理，程序自动进行相应业务流程。</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3.7材料自动归目</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3.7.1对接卷宗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通过浙江法院网完成材料分类，并对接卷宗。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3.7.2自动归目</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通过卷宗识别引擎，自动归入卷宗目录。</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4</w:t>
      </w:r>
      <w:bookmarkStart w:id="36" w:name="_Hlk143436125"/>
      <w:r>
        <w:rPr>
          <w:rFonts w:hint="eastAsia" w:ascii="宋体" w:hAnsi="宋体" w:cs="宋体"/>
          <w:kern w:val="0"/>
          <w:sz w:val="24"/>
          <w:szCs w:val="24"/>
          <w:highlight w:val="none"/>
        </w:rPr>
        <w:t>智审庭审</w:t>
      </w:r>
      <w:bookmarkEnd w:id="36"/>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4.1庭前准备（法官端）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4.1.1预定排期</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支持单案或者多案联审排期（多案联审：支持对案件切换，支持同一份笔录和视频，笔录对应回传，视频关联同一份；证据内容以及小智相关内容根据案件切换对应展示）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4.1.2登录</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登陆办案办公平台，通过排期启动客户端。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4.1.3庭审控制</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开庭指令推送给庭审主机厂商。</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4.1.4庭审笔录</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支持切换笔录模板，支持编辑笔录，支持语音笔录。</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4.1.5智能辅助</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历史/相似笔录、卷宗材料（随讲随翻）、庭审证据（支持上传证据、证据圈画批注共享、当事人批注权限控制、证据入卷）。</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4.2庭审过程（法官端）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4.2.1证据展示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通过视频流方式进行证据内容共享，以及支持庭审主机故障进行提示；无庭审主机时，因无法在继续使用举证功能，所以隐藏了开始举证功能。</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4.2.2控制参会人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融合开庭时，可了解参会人上线情况及控制其音视频。</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4.2.3庭审直播</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对接最高院庭审直播平台进行庭审直播。</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4.2.4休/闭庭</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休闭庭后，若需继续开庭，可继续开庭。</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4.3结束庭审（法官端）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4.3.1电子签名</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法官端和当事人端同时出现二维码签名的页面，且当事人端无法手动关闭该页面。完成签名后，当事人端自动关闭二维码签名页面。</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4.4庭前准备（当事人端）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4.4.1等待开庭</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当事人客户端展示法庭记录内容，等待法官开庭</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4.4.2证据录入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法官启动智慧庭审-法官端后，若当事人端配备高拍仪时，当事人当庭携带的证据可以通过证据录入功能（高拍仪）录入到系统中进行使用、入卷。</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4.5庭审过程（当事人端）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4.5.1实时笔录</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当事人可以查看当前实时编辑或者语音录入的笔录内容。</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4.5.2电子卷宗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可方便浏览的电子卷宗页面（随讲随翻）。</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4.5.3举证质证</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当事人可以申请圈画批注对证据内容。</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4.5.4庭审证据</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当事人可以查看庭前录入的证据内容。</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4.5.5证据展示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书记员进行证据展示时，当事人会自动跳转到这里进行观看。</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4.6结束庭审（当事人端）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4.6.1电子签名</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支持当事人扫描二维码后签名。</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5 </w:t>
      </w:r>
      <w:bookmarkStart w:id="37" w:name="_Hlk143436137"/>
      <w:r>
        <w:rPr>
          <w:rFonts w:hint="eastAsia" w:ascii="宋体" w:hAnsi="宋体" w:cs="宋体"/>
          <w:kern w:val="0"/>
          <w:sz w:val="24"/>
          <w:szCs w:val="24"/>
          <w:highlight w:val="none"/>
        </w:rPr>
        <w:t>审判智能化</w:t>
      </w:r>
      <w:bookmarkEnd w:id="37"/>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5.1案件总览</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展示发行人基础信息、主体违规案例文书、重大公告、案件信息列表和投资者交易记录等。</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5.2可视化分析</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将证券知识与案件信息关联，以可视化方式呈现整个涉诉金融交易产品和证券交易市场的全貌，辅助三日认定分析。（提供原型设计图）</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5.3基准日、基准价校验</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根据认定的揭露日，结合相关规则构建核验模型，对基准日、基准价进行计算认定和校验。（提供原型设计图）</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5.4裁判文书生成</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根据特定裁判文书模板，自动回填损失认定数据、案件信息生成裁判文书。</w:t>
      </w:r>
    </w:p>
    <w:p>
      <w:pPr>
        <w:spacing w:line="440" w:lineRule="exact"/>
        <w:ind w:left="1050" w:leftChars="5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6 </w:t>
      </w:r>
      <w:bookmarkStart w:id="38" w:name="_Hlk143436146"/>
      <w:r>
        <w:rPr>
          <w:rFonts w:hint="eastAsia" w:ascii="宋体" w:hAnsi="宋体" w:cs="宋体"/>
          <w:kern w:val="0"/>
          <w:sz w:val="24"/>
          <w:szCs w:val="24"/>
          <w:highlight w:val="none"/>
        </w:rPr>
        <w:t>投资者损失智能化核算</w:t>
      </w:r>
      <w:bookmarkEnd w:id="38"/>
    </w:p>
    <w:p>
      <w:pPr>
        <w:spacing w:line="440" w:lineRule="exact"/>
        <w:ind w:left="1050" w:leftChars="5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（本大类除6.1外其余各项均需提供原型设计图）</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6.1 获取交易数据</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通过证券交易所获取公开的大盘数据、股票交易数据，供损失计算过程中调用。</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6.2交易记录预处理</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案件审理过程中获取的投资者交易记录在完成初步数据清洗、交叉验证和数据融合处理后仍不能完全满足案件审理的需求。需要根据中国证券登记结算有限责任公司、证券交易所等相关交易规则以及相关法律法规规定对投资者交易记录进行预先处理。应使用自动化的大数据分析和处理技术，对于投资者交易记录中与损失核算相关的情况进行计算、分析和数据处理，包括但不限于权益分派情况处理，使用两种以上方式进行</w:t>
      </w:r>
      <w:r>
        <w:rPr>
          <w:rFonts w:hint="eastAsia" w:ascii="宋体" w:hAnsi="宋体" w:cs="宋体"/>
          <w:kern w:val="0"/>
          <w:sz w:val="24"/>
          <w:szCs w:val="24"/>
          <w:highlight w:val="none"/>
        </w:rPr>
        <w:t>复权</w:t>
      </w:r>
      <w:r>
        <w:rPr>
          <w:rFonts w:hint="eastAsia" w:ascii="宋体" w:hAnsi="宋体" w:cs="宋体"/>
          <w:kern w:val="0"/>
          <w:sz w:val="24"/>
          <w:szCs w:val="24"/>
          <w:highlight w:val="none"/>
        </w:rPr>
        <w:t>处理，非集中竞价交易记录处理等，使交易记录满足后续投资者损失核算的要求。</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6.3买入均价计算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买入均价是指投资者在实施日之后、揭露日或更正日之前买入股票的平均价格，计算买入均价需要结合交易记录、上市公司相关权益分派情况等多维度数据。系统应从投资者交易数据中自动识别和筛选与案件审理相关的交易数据，提供两种以上计算方法满足买入均价计算需求。同时结合案件情况，基于不同的买入均价计算方法对投资者交易记录的衡量，以及对投资者损失计算结果产生的主要影响，对于买入均价应使用方法进行系统推荐。</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6.4卖出均价计算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卖出均价是指投资者在揭露日或更正日之后、基准日之前卖出股票的平均价格，计算卖出均价需要结合交易记录、上市公司相关权益分派情况等多维度数据。系统应从投资者交易数据中自动识别和筛选与投资者卖出涉案股票相关的交易数据，提供计算方法满足卖出均价计算需求。</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6.5名义投资差额损失计算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根据若干规定，投资者因虚假陈述买入相关股票所造成的名义投资差额损失，在实施日之后、揭露日或更正日之前买入，在揭露日或更正日之后、基准日之前卖出的股票，按买入股票的平均价格与卖出股票的平均价格之间的差额，乘以已卖出的股票数量计算；在实施日之后、揭露日或更正日之前买入，基准日之前未卖出的股票，按买入股票的平均价格与基准价格之间的差额，乘以未卖出的股票数量计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投资者因虚假陈述卖出相关股票所造成的名义投资差额损失，在实施日之后、揭露日或更正日之前卖出，在揭露日或更正日之后、基准日之前买回的股票，按买回股票的平均价格与卖出股票的平均价格之间的差额，乘以买回的股票数量计算；在实施日之后、揭露日或更正日之前卖出，基准日之前未买回的股票，按基准价格与卖出股票的平均价格之间的差额，乘以未买回的股票数量计算。</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6.6风险扣除计算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在计算应赔偿的投资者损失时，考量由他人操纵市场、证券市场的风险、证券市场对特定事件的过度反应、上市公司内外部经营环境等其他因素所造成的影响，结合大盘数据、行业数据、股票交易数据等多维度数据，构建风险扣除比例计算模型，使用通行算法对风险扣除比例进行计算，对导致投资者损失的其他原因造成的影响进行扣除。</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关于佣金损失、印花税损失等，根据若干规定，投资者实际损失包括投资差额损失、投资差额损失部分的佣金和印花税。在投资者交易证券的过程中，会相应产生佣金费用、印花税费用，并且投资者本应由于交易证券的资金获得相应的资金利息收益；在计算投资者实际损失时，需根据计算得到的投资差额损失、佣金费率、印花税率、银行同期活期存款利率及周期计算相应的佣金损失、印花税损失和资金利息损失。</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6.7合计赔偿损失计算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结合经过处理的交易记录，根据买入均价计算方法、卖出均价计算方法、风险扣除计算方法、所选的参考指数和附加项系数等，对应赔偿投资者的合计损失进行自动化计算，展示详细的计算过程及关键计算结果，提供伴随式的类案审判参考，辅助办案人员选定当前案件所适用的计算方法，对审理走向产生预判。</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6.8平行案件批量计算</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单一虚假陈述行为涉及的投资者众多，引发的案件数量较大；根据示范判决机制，依照示范案件认定的三日一价，以及使用的买入均价计算方法、卖出均价计算方法、风险扣除计算方法、所选的参考指数和附加项系数构建投资者损失批量核算模型，实现平行案件的投资者损失核算结果和详细计算过程的批量生成。</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7 </w:t>
      </w:r>
      <w:bookmarkStart w:id="39" w:name="_Hlk143436159"/>
      <w:r>
        <w:rPr>
          <w:rFonts w:hint="eastAsia" w:ascii="宋体" w:hAnsi="宋体" w:cs="宋体"/>
          <w:kern w:val="0"/>
          <w:sz w:val="24"/>
          <w:szCs w:val="24"/>
          <w:highlight w:val="none"/>
        </w:rPr>
        <w:t>智能算法构建</w:t>
      </w:r>
      <w:bookmarkEnd w:id="39"/>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（本大</w:t>
      </w:r>
      <w:r>
        <w:rPr>
          <w:rFonts w:hint="eastAsia" w:ascii="宋体" w:hAnsi="宋体" w:cs="宋体"/>
          <w:kern w:val="0"/>
          <w:sz w:val="24"/>
          <w:szCs w:val="24"/>
          <w:highlight w:val="none"/>
        </w:rPr>
        <w:t>类需提供算法构建逻辑图）</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7.1辅助认定算法</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基于法律逻辑和案件办理规范，使用可视化的方式呈现涉案证券交易数据和证券市场指数变动情况，利用案件知识图谱为串联，结合证券市场交易数据，标识关键期日进行辅助认定。</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7.2证券虚假陈述案件大数据获取与建构</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根据《最高人民法院关于审理证券市场虚假陈述侵权民事赔偿案件的若干规定》（以下简称“若干规定”），在证券虚假陈述责任纠纷案件审理和投资者损失核算的过程中，涉及海量的相关数据。相关数据将于案件审理中事实认定和法律适用的依据，同时作为在计算应该扣除的由他人操纵市场、证券市场的风险、证券市场对特定事件的过度反应、上市公司内外部经营环境等其他因素所导致的损失时的量化条件。</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证券虚假陈述责任纠纷案件相关的数据范围，应包括从证券交易所或被业界广泛认可的主要金融信息提供商获取的股票交易数据、交易所板块数据、上市公司相关数据、投资者交易数据等。</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在数据获取后，需对数据进行清洗、交叉验证、数据融合等处理，供投资者损失核算过程中使用。</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7.3损失计算模型</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从中国证券监督管理委员会、各大证券交易所、被业界广泛认可的主要金融信息提供商的数据库等多方平台收集并储存大量证券市场交易数据、权益分派数据、上市公司公告、行政监管及处罚数据等上市公司相关数据</w:t>
      </w:r>
      <w:r>
        <w:rPr>
          <w:rFonts w:hint="eastAsia" w:ascii="宋体" w:hAnsi="宋体" w:cs="宋体"/>
          <w:kern w:val="0"/>
          <w:sz w:val="24"/>
          <w:szCs w:val="24"/>
          <w:highlight w:val="none"/>
        </w:rPr>
        <w:t>，通过数据清洗、交叉验证、数据融合等方式对数据进行处理，形成数据积累。通过自然语言处理技术和大数据分析技术等，拆解并从中提炼规则，结合买入均价计算方法，卖出均价计算方法，名义投资差额损失计算规则，风险扣除计算方法，佣金损失、印花税损失、资金利息损失计算规则等，构建投资者损失计算模型算法，实现投资者损失自动化计算及平行案件批量计算。</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8 </w:t>
      </w:r>
      <w:bookmarkStart w:id="40" w:name="_Hlk143436169"/>
      <w:r>
        <w:rPr>
          <w:rFonts w:hint="eastAsia" w:ascii="宋体" w:hAnsi="宋体" w:cs="宋体"/>
          <w:kern w:val="0"/>
          <w:sz w:val="24"/>
          <w:szCs w:val="24"/>
          <w:highlight w:val="none"/>
        </w:rPr>
        <w:t>代表人诉讼在线平台</w:t>
      </w:r>
      <w:bookmarkEnd w:id="40"/>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8.1 PC端用户登录</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当事人可以通过浙江法院网进行登录代表人诉讼在线平台。</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8.2代表人诉讼</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8.2.1个人工作台</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在浙江法院网嵌入代表人诉讼在线平台模块，工作台展示主要功能界面，提供投资人和代理人具体操作功能。</w:t>
      </w:r>
      <w:r>
        <w:rPr>
          <w:rFonts w:hint="eastAsia" w:ascii="宋体" w:hAnsi="宋体" w:cs="宋体"/>
          <w:kern w:val="0"/>
          <w:sz w:val="24"/>
          <w:szCs w:val="24"/>
          <w:highlight w:val="none"/>
        </w:rPr>
        <w:t>（提供原型设计图）</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8.2.2公告公示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当事人可在公告公示列表点击公告公示名称，查看对应的公告公示具体信息内容。包括权利登记公告、权利登记须知、原告名单公示、推选代表人通知，候选人公示代表人公示。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8.2.3权利登记</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投资者进行代表人诉讼信息登记，可洗择是否原意担任代表人，并进行个人信息登记，填写系统要求必须填写的信息。填写完成并提交后可查看、修改用户登记的诉讼情况信息。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8.2.4代表人推选</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原告可选择参与的案件中需要投票的候选人后，进行投票。每个原告只有一次投票权，确定投票后，投资人更新对应的票数及百分比。</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8.2.5退出代表人诉讼</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投资人可选择参与的案件，退出代表人诉讼，但已选定的代表人不允许退出。</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9 </w:t>
      </w:r>
      <w:bookmarkStart w:id="41" w:name="_Hlk143436178"/>
      <w:r>
        <w:rPr>
          <w:rFonts w:hint="eastAsia" w:ascii="宋体" w:hAnsi="宋体" w:cs="宋体"/>
          <w:kern w:val="0"/>
          <w:sz w:val="24"/>
          <w:szCs w:val="24"/>
          <w:highlight w:val="none"/>
        </w:rPr>
        <w:t>代表人诉讼管理</w:t>
      </w:r>
      <w:bookmarkEnd w:id="41"/>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9.1对接审判系统获取案件信息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通过对接省高院案件中心获取审判案件数据，将涉及证券虚假陈诉责任纠纷案件的当事人进行赋权，支持案件当事人在浙江法院网登录代表人诉讼管理平台，并同步案件相关信息。</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9.2案件启用代表人诉讼</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9.2.1案件启用代表人诉讼</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法官可根据对应案件编号，确认案件原告、被告并填写代表人条件相关说明后，选择“启用代表人诉讼”。如成功则该案件可进行代表人诉讼相关流程操作。（提供原型设计图）</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9.2.2发布权利登记公告</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法官选择对应案件后，选择公告时间、登记截止日，并输入证券侵权事实理由后，法官确定后即可公示到相关网站上。</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9.2.3发</w:t>
      </w:r>
      <w:r>
        <w:rPr>
          <w:rFonts w:hint="eastAsia" w:ascii="宋体" w:hAnsi="宋体" w:cs="宋体"/>
          <w:kern w:val="0"/>
          <w:sz w:val="24"/>
          <w:szCs w:val="24"/>
          <w:highlight w:val="none"/>
        </w:rPr>
        <w:t>布权利登记须知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系统根据案</w:t>
      </w:r>
      <w:r>
        <w:rPr>
          <w:rFonts w:hint="eastAsia" w:ascii="宋体" w:hAnsi="宋体" w:cs="宋体"/>
          <w:kern w:val="0"/>
          <w:sz w:val="24"/>
          <w:szCs w:val="24"/>
          <w:highlight w:val="none"/>
        </w:rPr>
        <w:t>件</w:t>
      </w:r>
      <w:r>
        <w:rPr>
          <w:rFonts w:hint="eastAsia" w:ascii="宋体" w:hAnsi="宋体" w:cs="宋体"/>
          <w:kern w:val="0"/>
          <w:sz w:val="24"/>
          <w:szCs w:val="24"/>
          <w:highlight w:val="none"/>
        </w:rPr>
        <w:t>信息，当事人信息等自动生成发布权利登记须知，法官确定后即可公示到相关网站上。</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9.3登记信息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9.3.1登记信息查看</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法官选择具体代表人诉讼案件案号后，可查看原告登记信息。</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9.3.2设为代表候选人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法官可选择案件对应原告设置为第一轮投票的候选人。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9.3.3登记信息查看</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非适格原告审核：法官可针对代表人诉讼案件案号，查询非适格原告登记信息列表。通过查看非适格原告登记详细信息，确认是否通过审核。</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9.3.4申请材料查看</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法官选择代表人诉讼案件案号可查询当事人提交的材料信息，</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9.4投票</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9.4.1第一轮投票</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法官可查看第一轮投票详情，即第一轮投票候选人对应的得票情况，如选出2名以上的代表人时，可发布代表人选定结果公示。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9.4.2第二轮投票</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如第一轮投票未选出代表人，设置第二轮投票的候洗人，法官可查看原告代表人详细信息，并设为候选人，发布代表人推选通知(第次)。如选出2名以上的代表人时，可发布代表人选定结果公示。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9.4.3指定代表人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如第一轮投票、第二轮投票均为未选出代表人，法官可查询具体案件后直接指定代表人。</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9.5公示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9.5.1公示详情</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法官选择代表人诉讼案件案号后，可查询到该案件对应的公示列表，并可查看公示原文、导出公示内容、添加补充公示。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9.5.2调解草案公示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法官选择代表人诉讼案件案号后，可添加调解草案公示。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原告当事人在互联网查看后填写是否参加听证会、是否有异议以及异议内容后，同步至该模块展示。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9.5.3调解书公示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可添加调解书公示；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原告当事人在互联网查看选择是否退出调解后，同步至该模块展示。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9.5.4诉讼结果告知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法官可选择代表人诉讼案件案号后，上传对应的判决书文件。确认诉讼结果告知后发布到互联网相关网站上。</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9.5.5上诉/不上诉通知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法官选择代表人诉讼案件案号后可发布“代表人上诉通知”原告当事人在石联网查看后填写是否上诉以及上传上诉材料后，同步至该模块展示。</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9.5.6短信通知</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对接12306短信平台：每次发布公告公示时，通知当事人进行公告公示的查看。</w:t>
      </w:r>
    </w:p>
    <w:p>
      <w:pPr>
        <w:spacing w:line="440" w:lineRule="exact"/>
        <w:ind w:left="720" w:firstLine="480" w:firstLineChars="200"/>
        <w:textAlignment w:val="baseline"/>
        <w:outlineLvl w:val="4"/>
        <w:rPr>
          <w:rFonts w:ascii="宋体" w:hAnsi="宋体" w:cs="宋体"/>
          <w:kern w:val="0"/>
          <w:sz w:val="24"/>
          <w:szCs w:val="24"/>
          <w:highlight w:val="none"/>
        </w:rPr>
      </w:pPr>
      <w:r>
        <w:rPr>
          <w:rFonts w:hint="eastAsia" w:ascii="宋体" w:hAnsi="宋体" w:cs="宋体"/>
          <w:kern w:val="0"/>
          <w:sz w:val="24"/>
          <w:szCs w:val="24"/>
          <w:highlight w:val="none"/>
        </w:rPr>
        <w:t xml:space="preserve">10 </w:t>
      </w:r>
      <w:bookmarkStart w:id="42" w:name="_Hlk143436192"/>
      <w:r>
        <w:rPr>
          <w:rFonts w:hint="eastAsia" w:ascii="宋体" w:hAnsi="宋体" w:cs="宋体"/>
          <w:kern w:val="0"/>
          <w:sz w:val="24"/>
          <w:szCs w:val="24"/>
          <w:highlight w:val="none"/>
        </w:rPr>
        <w:t>证券虚假陈述责任纠纷涉及市场交易数据共享</w:t>
      </w:r>
      <w:bookmarkEnd w:id="42"/>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10.1精细化案例库</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对全量的证券类纠纷公开裁判文书数据进行处理、融合，设计案件相关要素要件，利用人工智能和自然语言处理技术对案例数据进行精细化要件式拆解，构建精细化证券类纠纷案例库。</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使用多种方式对案例数据进行检索、筛选，以便办案人员快速查找到目标案例，深入查看案例文书详情。</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10.2主体违规案例库</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采集行政监管等主体违规案例数据，经过清洗融合，设计案例文书相关要素要件，利用人工智能和自然语言处理技术对主体违规案例数据进行精细化要件式拆解，构建精细化主体违规案例库。</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使用多种方式对主体违规案例数据进行检索、筛选，以便办案人员快速查找到目标案例，查看案例文书详情。</w:t>
      </w:r>
    </w:p>
    <w:p>
      <w:pPr>
        <w:spacing w:line="440" w:lineRule="exact"/>
        <w:ind w:left="720" w:firstLine="480" w:firstLineChars="200"/>
        <w:textAlignment w:val="baseline"/>
        <w:outlineLvl w:val="5"/>
        <w:rPr>
          <w:rFonts w:ascii="宋体" w:hAnsi="宋体" w:cs="宋体"/>
          <w:kern w:val="0"/>
          <w:sz w:val="24"/>
          <w:szCs w:val="24"/>
          <w:highlight w:val="none"/>
        </w:rPr>
      </w:pPr>
      <w:r>
        <w:rPr>
          <w:rFonts w:hint="eastAsia" w:ascii="宋体" w:hAnsi="宋体" w:cs="宋体"/>
          <w:kern w:val="0"/>
          <w:sz w:val="24"/>
          <w:szCs w:val="24"/>
          <w:highlight w:val="none"/>
        </w:rPr>
        <w:t>10.3上市公司公告库</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采集上市公司公告数据，经过清洗融合，利用人工智能和自然</w:t>
      </w:r>
      <w:bookmarkStart w:id="536" w:name="_GoBack"/>
      <w:bookmarkEnd w:id="536"/>
      <w:r>
        <w:rPr>
          <w:rFonts w:hint="eastAsia" w:ascii="宋体" w:hAnsi="宋体" w:cs="宋体"/>
          <w:kern w:val="0"/>
          <w:sz w:val="24"/>
          <w:szCs w:val="24"/>
          <w:highlight w:val="none"/>
        </w:rPr>
        <w:t>语言处理技术对上市公司公告数据进行关键信息提取，构建上市公司公告库。</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使用多种方式对上市公司公告数据进行检索、筛选，以便办案人员快速查找到目标上市公司公告，查看公告详情。</w:t>
      </w:r>
    </w:p>
    <w:p>
      <w:pPr>
        <w:pBdr>
          <w:top w:val="single" w:color="auto" w:sz="4" w:space="1"/>
        </w:pBdr>
        <w:snapToGrid w:val="0"/>
        <w:ind w:left="1260" w:hanging="420"/>
        <w:jc w:val="left"/>
        <w:rPr>
          <w:rFonts w:ascii="宋体" w:hAnsi="宋体" w:cs="宋体"/>
          <w:sz w:val="24"/>
          <w:szCs w:val="24"/>
          <w:highlight w:val="none"/>
        </w:rPr>
      </w:pP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因本项目中涉及部分浙江法院原有系统对接及延伸开发，需由中标方协调原有系统开发商进行处理，或自行处理；投标文件中需承诺能够与浙江法院办公办案平台、数字法庭系统、浙江法院网等核心系统的对接，与杭州中院庭审主机对接，并提供有效证明材料，保证所开发的功能能够与原有系统无缝衔接；协调原厂开发商处理问题的所有费用由中标方提供，甲方不再提供任何费用。</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本项目属于软件开发，软件部署在政法云平台，部署涉及的软硬件设备等由中标方负责实现；为满足本项目功能实现的各种开发技术、算法、底层实现等视为当然的需求，不再另作详细描述，由中标方提供并负责相关费用。</w:t>
      </w:r>
    </w:p>
    <w:p>
      <w:pPr>
        <w:adjustRightInd/>
        <w:spacing w:line="460" w:lineRule="exact"/>
        <w:ind w:firstLine="1313" w:firstLineChars="545"/>
        <w:rPr>
          <w:rFonts w:ascii="宋体" w:hAnsi="宋体" w:cs="宋体"/>
          <w:b/>
          <w:sz w:val="24"/>
          <w:szCs w:val="24"/>
          <w:highlight w:val="none"/>
          <w:lang w:val="zh-CN"/>
        </w:rPr>
      </w:pPr>
    </w:p>
    <w:p>
      <w:pPr>
        <w:keepNext/>
        <w:keepLines/>
        <w:widowControl/>
        <w:tabs>
          <w:tab w:val="left" w:pos="0"/>
        </w:tabs>
        <w:adjustRightInd/>
        <w:spacing w:line="460" w:lineRule="exact"/>
        <w:outlineLvl w:val="2"/>
        <w:rPr>
          <w:rFonts w:ascii="宋体" w:hAnsi="宋体" w:cs="宋体"/>
          <w:b/>
          <w:sz w:val="24"/>
          <w:szCs w:val="24"/>
          <w:highlight w:val="none"/>
        </w:rPr>
      </w:pPr>
      <w:r>
        <w:rPr>
          <w:rFonts w:hint="eastAsia" w:ascii="宋体" w:hAnsi="宋体" w:cs="宋体"/>
          <w:b/>
          <w:bCs/>
          <w:sz w:val="24"/>
          <w:szCs w:val="24"/>
          <w:highlight w:val="none"/>
        </w:rPr>
        <w:t>（三）</w:t>
      </w:r>
      <w:r>
        <w:rPr>
          <w:rFonts w:hint="eastAsia" w:ascii="宋体" w:hAnsi="宋体" w:cs="宋体"/>
          <w:b/>
          <w:sz w:val="24"/>
          <w:szCs w:val="24"/>
          <w:highlight w:val="none"/>
        </w:rPr>
        <w:t>非功能性要求</w:t>
      </w:r>
    </w:p>
    <w:p>
      <w:pPr>
        <w:keepNext/>
        <w:keepLines/>
        <w:widowControl/>
        <w:tabs>
          <w:tab w:val="left" w:pos="0"/>
        </w:tabs>
        <w:adjustRightInd/>
        <w:spacing w:line="460" w:lineRule="exact"/>
        <w:ind w:firstLine="482" w:firstLineChars="200"/>
        <w:outlineLvl w:val="2"/>
        <w:rPr>
          <w:rFonts w:ascii="宋体" w:hAnsi="宋体" w:cs="宋体"/>
          <w:b/>
          <w:bCs/>
          <w:sz w:val="24"/>
          <w:szCs w:val="24"/>
          <w:highlight w:val="none"/>
          <w:lang w:val="zh-CN"/>
        </w:rPr>
      </w:pPr>
      <w:r>
        <w:rPr>
          <w:rFonts w:hint="eastAsia" w:ascii="宋体" w:hAnsi="宋体" w:cs="宋体"/>
          <w:b/>
          <w:bCs/>
          <w:sz w:val="24"/>
          <w:szCs w:val="24"/>
          <w:highlight w:val="none"/>
          <w:lang w:val="zh-CN"/>
        </w:rPr>
        <w:t>1 开发技术要求</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1.1 系统要求具备科学、合理、先进的软件系统架构，并具有高度的灵活性和扩展性，充分考虑整个平台的性能，并能满足未来三年的业务发展和信息技术发展的需要。必须符合省高院政法云信创改造的要求。</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1.2系统要求适配省</w:t>
      </w:r>
      <w:r>
        <w:rPr>
          <w:rFonts w:hint="eastAsia" w:ascii="宋体" w:hAnsi="宋体" w:cs="宋体"/>
          <w:kern w:val="0"/>
          <w:sz w:val="24"/>
          <w:szCs w:val="24"/>
          <w:highlight w:val="none"/>
        </w:rPr>
        <w:t>政法云</w:t>
      </w:r>
      <w:r>
        <w:rPr>
          <w:rFonts w:hint="eastAsia" w:ascii="宋体" w:hAnsi="宋体" w:cs="宋体"/>
          <w:kern w:val="0"/>
          <w:sz w:val="24"/>
          <w:szCs w:val="24"/>
          <w:highlight w:val="none"/>
          <w:lang w:val="zh-CN"/>
        </w:rPr>
        <w:t>提供的数据库，不得另行安排部署其它数据库。</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1.3系统要求具有高度的可用性、可靠性和稳定性，满足系统24小时不间断运行要求。</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1.4 系统要求操作简单方便、界面友好、易于维护和设置</w:t>
      </w:r>
      <w:r>
        <w:rPr>
          <w:rFonts w:hint="eastAsia" w:ascii="宋体" w:hAnsi="宋体" w:cs="宋体"/>
          <w:kern w:val="0"/>
          <w:sz w:val="24"/>
          <w:szCs w:val="24"/>
          <w:highlight w:val="none"/>
        </w:rPr>
        <w:t>管理</w:t>
      </w:r>
      <w:r>
        <w:rPr>
          <w:rFonts w:hint="eastAsia" w:ascii="宋体" w:hAnsi="宋体" w:cs="宋体"/>
          <w:kern w:val="0"/>
          <w:sz w:val="24"/>
          <w:szCs w:val="24"/>
          <w:highlight w:val="none"/>
          <w:lang w:val="zh-CN"/>
        </w:rPr>
        <w:t>。</w:t>
      </w:r>
    </w:p>
    <w:p>
      <w:pPr>
        <w:keepNext/>
        <w:keepLines/>
        <w:widowControl/>
        <w:tabs>
          <w:tab w:val="left" w:pos="0"/>
        </w:tabs>
        <w:adjustRightInd/>
        <w:spacing w:line="460" w:lineRule="exact"/>
        <w:ind w:firstLine="482" w:firstLineChars="200"/>
        <w:outlineLvl w:val="2"/>
        <w:rPr>
          <w:rFonts w:ascii="宋体" w:hAnsi="宋体" w:cs="宋体"/>
          <w:b/>
          <w:sz w:val="24"/>
          <w:szCs w:val="24"/>
          <w:highlight w:val="none"/>
        </w:rPr>
      </w:pPr>
      <w:r>
        <w:rPr>
          <w:rFonts w:hint="eastAsia" w:ascii="宋体" w:hAnsi="宋体" w:cs="宋体"/>
          <w:b/>
          <w:sz w:val="24"/>
          <w:szCs w:val="24"/>
          <w:highlight w:val="none"/>
        </w:rPr>
        <w:t>2 部署要求</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本项目为省高院试点项目，在杭州法院试点应用的基础上，将在全省法院推广应用，系统分为内外网部署。统一收案、代表人在线平台等部署在互联网端浙江法院网，对接法院收立案接口，供当事人进行案件提交、参与代表人选举等操作；立案系统、审判智能化、损失智能核算等部署在法院专网，供法院进行案件处理操作，法院专网与电子政务外网、互联网等其他网络实现物理隔离，内外网数据通过省高院光闸进行交互。按照省高院对全域数字法院建设要求，本项目建设将依托政法云资源服务进行部署。</w:t>
      </w:r>
    </w:p>
    <w:p>
      <w:pPr>
        <w:keepNext/>
        <w:keepLines/>
        <w:widowControl/>
        <w:tabs>
          <w:tab w:val="left" w:pos="0"/>
        </w:tabs>
        <w:adjustRightInd/>
        <w:spacing w:line="460" w:lineRule="exact"/>
        <w:ind w:firstLine="482" w:firstLineChars="200"/>
        <w:outlineLvl w:val="2"/>
        <w:rPr>
          <w:rFonts w:ascii="宋体" w:hAnsi="宋体" w:cs="宋体"/>
          <w:b/>
          <w:bCs/>
          <w:sz w:val="24"/>
          <w:szCs w:val="24"/>
          <w:highlight w:val="none"/>
          <w:lang w:val="zh-CN"/>
        </w:rPr>
      </w:pPr>
      <w:r>
        <w:rPr>
          <w:rFonts w:hint="eastAsia" w:ascii="宋体" w:hAnsi="宋体" w:cs="宋体"/>
          <w:b/>
          <w:bCs/>
          <w:sz w:val="24"/>
          <w:szCs w:val="24"/>
          <w:highlight w:val="none"/>
          <w:lang w:val="zh-CN"/>
        </w:rPr>
        <w:t>3 系统安全要求</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依据GB/T22240《信息系统安全等级保护定级指南》，本项目的网络信息安全等级保护级别为三级。 数据交换共享按照《浙江省公共数据和电子政务管理办法》（省政府令354号）执行。具体如下：</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lang w:val="zh-CN"/>
        </w:rPr>
        <w:t>3.1 数据</w:t>
      </w:r>
      <w:r>
        <w:rPr>
          <w:rFonts w:hint="eastAsia" w:ascii="宋体" w:hAnsi="宋体" w:cs="宋体"/>
          <w:kern w:val="0"/>
          <w:sz w:val="24"/>
          <w:szCs w:val="24"/>
          <w:highlight w:val="none"/>
        </w:rPr>
        <w:t>安全需求</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一是保证数据的保密性。对系统中的数据设置严格的访问控制，要求根据信息的机密程度的不同，对不能公开的数据设置访问权限，所有不能公开的数据都不能泄漏给未经授权的人。在数据的传输过程中对传输的数据进行加密。</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二是保证数据的完整性和可用性。防止未被授权的数据修改，以及未被授权的操作。保证被授权人能够正确地执行操作，并访问到可以访问的数据。</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三是数据交互的安全性。数据交互按照特定的协议传输交互。</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lang w:val="zh-CN"/>
        </w:rPr>
        <w:t xml:space="preserve">3.2 </w:t>
      </w:r>
      <w:r>
        <w:rPr>
          <w:rFonts w:hint="eastAsia" w:ascii="宋体" w:hAnsi="宋体" w:cs="宋体"/>
          <w:kern w:val="0"/>
          <w:sz w:val="24"/>
          <w:szCs w:val="24"/>
          <w:highlight w:val="none"/>
        </w:rPr>
        <w:t>网络安全需求</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一是严格控制网络间的访问。系统将运行在多个网络上，因此，要求部署和执行网络访问控制策略，严格控制网络之间的互相访问与信息交换，特别是对互联网的访问与信息交换。</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二是有效的入侵检测。要求通过预先设定的规则对网络数据流中潜在的入侵、攻击和滥用等进行自动检测，使网络具有入侵防护能力，增强网络的抵抗能力。</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三是为重要信息的传输提供安全通道。为网络上传输信息资源提供专门的安全通道，采用访问控制、路由、加密等技术在公共环境中保护重要的项目信息，提高密级较高的数据在网上传输过程中的安全性。</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遵循等级保护三级信息安全标准，提供多方式、多层次、多渠道的安全保密措施，防止各种形式与途径的非法侵入和机密信息的泄露，保证系统中数据的安全。</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1）建立安全管理策略，采用多种安全技术，建立系统安全保障体系。</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2）对用户访问权限进行控制。</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3）对用户进行身份审核，并对重要用户在系统中的操作进行跟踪记录。</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4）根据不同的信息内容，进行分级管理。</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5）对于关键数据采用加密传输等。</w:t>
      </w:r>
    </w:p>
    <w:p>
      <w:pPr>
        <w:spacing w:line="440" w:lineRule="exact"/>
        <w:ind w:left="720"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lang w:val="zh-CN"/>
        </w:rPr>
        <w:t xml:space="preserve">3.3  </w:t>
      </w:r>
      <w:r>
        <w:rPr>
          <w:rFonts w:hint="eastAsia" w:ascii="宋体" w:hAnsi="宋体" w:cs="宋体"/>
          <w:kern w:val="0"/>
          <w:sz w:val="24"/>
          <w:szCs w:val="24"/>
          <w:highlight w:val="none"/>
        </w:rPr>
        <w:t>▲应用安全需求</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一是应用软件须按三级等保要求进行开发建设。</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二是平台需使用</w:t>
      </w:r>
      <w:r>
        <w:rPr>
          <w:rFonts w:hint="eastAsia" w:ascii="宋体" w:hAnsi="宋体" w:cs="宋体"/>
          <w:kern w:val="0"/>
          <w:sz w:val="24"/>
          <w:szCs w:val="24"/>
          <w:highlight w:val="none"/>
        </w:rPr>
        <w:t>浙江法院网以及省高院办案办公平台</w:t>
      </w:r>
      <w:r>
        <w:rPr>
          <w:rFonts w:hint="eastAsia" w:ascii="宋体" w:hAnsi="宋体" w:cs="宋体"/>
          <w:kern w:val="0"/>
          <w:sz w:val="24"/>
          <w:szCs w:val="24"/>
          <w:highlight w:val="none"/>
          <w:lang w:val="zh-CN"/>
        </w:rPr>
        <w:t>用户认证体系，不得使用其它用户认证体系。</w:t>
      </w:r>
    </w:p>
    <w:p>
      <w:pPr>
        <w:spacing w:line="440" w:lineRule="exact"/>
        <w:ind w:left="720"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三是无条件按采购人或采购人委托的安全检测单位要求，进行应用软件安全漏洞，缺陷修正等。</w:t>
      </w:r>
    </w:p>
    <w:p>
      <w:pPr>
        <w:keepNext/>
        <w:keepLines/>
        <w:numPr>
          <w:ilvl w:val="0"/>
          <w:numId w:val="2"/>
        </w:numPr>
        <w:spacing w:before="280" w:after="290" w:line="372" w:lineRule="auto"/>
        <w:outlineLvl w:val="3"/>
        <w:rPr>
          <w:rFonts w:ascii="宋体" w:hAnsi="宋体" w:cs="宋体"/>
          <w:kern w:val="0"/>
          <w:sz w:val="24"/>
          <w:szCs w:val="24"/>
          <w:highlight w:val="none"/>
        </w:rPr>
      </w:pPr>
      <w:r>
        <w:rPr>
          <w:rFonts w:hint="eastAsia" w:ascii="宋体" w:hAnsi="宋体" w:cs="宋体"/>
          <w:kern w:val="0"/>
          <w:sz w:val="24"/>
          <w:szCs w:val="24"/>
          <w:highlight w:val="none"/>
        </w:rPr>
        <w:t>▲信创适配要求</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本项目必须满足信创工作要求，与政法云信创改造计划同步进行，根据信创要求完成本项目的应用端、终端开发，满足信创适配要求，适配国产机及国产操作系统、浏览器等软硬件客户环境</w:t>
      </w:r>
      <w:r>
        <w:rPr>
          <w:rFonts w:hint="eastAsia" w:ascii="宋体" w:hAnsi="宋体" w:cs="宋体"/>
          <w:kern w:val="0"/>
          <w:sz w:val="24"/>
          <w:szCs w:val="24"/>
          <w:highlight w:val="none"/>
        </w:rPr>
        <w:t>运行</w:t>
      </w:r>
      <w:r>
        <w:rPr>
          <w:rFonts w:hint="eastAsia" w:ascii="宋体" w:hAnsi="宋体" w:cs="宋体"/>
          <w:kern w:val="0"/>
          <w:sz w:val="24"/>
          <w:szCs w:val="24"/>
          <w:highlight w:val="none"/>
          <w:lang w:val="zh-CN"/>
        </w:rPr>
        <w:t>，开发阶段将由承建单位基于安全可靠环境进行开发和测试，待政法云完成安全可靠改造后，</w:t>
      </w:r>
      <w:r>
        <w:rPr>
          <w:rFonts w:hint="eastAsia" w:ascii="宋体" w:hAnsi="宋体" w:cs="宋体"/>
          <w:kern w:val="0"/>
          <w:sz w:val="24"/>
          <w:szCs w:val="24"/>
          <w:highlight w:val="none"/>
        </w:rPr>
        <w:t>将</w:t>
      </w:r>
      <w:r>
        <w:rPr>
          <w:rFonts w:hint="eastAsia" w:ascii="宋体" w:hAnsi="宋体" w:cs="宋体"/>
          <w:kern w:val="0"/>
          <w:sz w:val="24"/>
          <w:szCs w:val="24"/>
          <w:highlight w:val="none"/>
          <w:lang w:val="zh-CN"/>
        </w:rPr>
        <w:t>系统迁移部署至政法信创云中运行，</w:t>
      </w:r>
      <w:r>
        <w:rPr>
          <w:rFonts w:hint="eastAsia" w:ascii="宋体" w:hAnsi="宋体" w:cs="宋体"/>
          <w:kern w:val="0"/>
          <w:sz w:val="24"/>
          <w:szCs w:val="24"/>
          <w:highlight w:val="none"/>
        </w:rPr>
        <w:t>无需甲方承担费用</w:t>
      </w:r>
      <w:r>
        <w:rPr>
          <w:rFonts w:hint="eastAsia" w:ascii="宋体" w:hAnsi="宋体" w:cs="宋体"/>
          <w:kern w:val="0"/>
          <w:sz w:val="24"/>
          <w:szCs w:val="24"/>
          <w:highlight w:val="none"/>
          <w:lang w:val="zh-CN"/>
        </w:rPr>
        <w:t>。</w:t>
      </w:r>
    </w:p>
    <w:p>
      <w:pPr>
        <w:keepNext/>
        <w:keepLines/>
        <w:numPr>
          <w:ilvl w:val="0"/>
          <w:numId w:val="2"/>
        </w:numPr>
        <w:spacing w:before="280" w:after="290" w:line="372" w:lineRule="auto"/>
        <w:outlineLvl w:val="3"/>
        <w:rPr>
          <w:rFonts w:ascii="宋体" w:hAnsi="宋体" w:cs="宋体"/>
          <w:kern w:val="0"/>
          <w:sz w:val="24"/>
          <w:szCs w:val="24"/>
          <w:highlight w:val="none"/>
        </w:rPr>
      </w:pPr>
      <w:r>
        <w:rPr>
          <w:rFonts w:hint="eastAsia" w:ascii="宋体" w:hAnsi="宋体" w:cs="宋体"/>
          <w:kern w:val="0"/>
          <w:sz w:val="24"/>
          <w:szCs w:val="24"/>
          <w:highlight w:val="none"/>
        </w:rPr>
        <w:t>▲商用密码测评要求</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等保三级以上系统，应使用商用密码进行保护，项目完成开发后，应无条件按采购人或采购人委托的密评机构开展密评工作，通过密评方可投入运行。</w:t>
      </w:r>
    </w:p>
    <w:p>
      <w:pPr>
        <w:keepNext/>
        <w:keepLines/>
        <w:widowControl/>
        <w:tabs>
          <w:tab w:val="left" w:pos="0"/>
        </w:tabs>
        <w:adjustRightInd/>
        <w:spacing w:line="460" w:lineRule="exact"/>
        <w:outlineLvl w:val="2"/>
        <w:rPr>
          <w:rFonts w:ascii="宋体" w:hAnsi="宋体" w:cs="宋体"/>
          <w:b/>
          <w:sz w:val="24"/>
          <w:szCs w:val="24"/>
          <w:highlight w:val="none"/>
        </w:rPr>
      </w:pPr>
      <w:r>
        <w:rPr>
          <w:rFonts w:hint="eastAsia" w:ascii="宋体" w:hAnsi="宋体" w:cs="宋体"/>
          <w:b/>
          <w:sz w:val="24"/>
          <w:szCs w:val="24"/>
          <w:highlight w:val="none"/>
        </w:rPr>
        <w:t>（四）运维要求</w:t>
      </w:r>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1.项目维保期要求：本项目在验收合格后，提供</w:t>
      </w:r>
      <w:r>
        <w:rPr>
          <w:rFonts w:ascii="宋体" w:hAnsi="宋体" w:cs="宋体"/>
          <w:kern w:val="0"/>
          <w:sz w:val="24"/>
          <w:szCs w:val="24"/>
          <w:highlight w:val="none"/>
        </w:rPr>
        <w:t>3</w:t>
      </w:r>
      <w:r>
        <w:rPr>
          <w:rFonts w:hint="eastAsia" w:ascii="宋体" w:hAnsi="宋体" w:cs="宋体"/>
          <w:kern w:val="0"/>
          <w:sz w:val="24"/>
          <w:szCs w:val="24"/>
          <w:highlight w:val="none"/>
        </w:rPr>
        <w:t>年免费维保服务，包含本项目提出的功能需求的技术服务支持，部分功能调整、软件版本升级及系统功能完善服务。</w:t>
      </w:r>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2.售后技术服务要求：在维保期内，如遇软件产品更新、升级、改版，需提供更新、升级、改版服务，同时确保与浙江法院办案办公平台永久同步升级运行。</w:t>
      </w:r>
    </w:p>
    <w:p>
      <w:pPr>
        <w:spacing w:line="440" w:lineRule="exact"/>
        <w:ind w:firstLine="480" w:firstLineChars="200"/>
        <w:textAlignment w:val="baseline"/>
        <w:rPr>
          <w:rFonts w:ascii="宋体" w:hAnsi="宋体" w:cs="宋体"/>
          <w:kern w:val="0"/>
          <w:sz w:val="24"/>
          <w:szCs w:val="24"/>
          <w:highlight w:val="none"/>
        </w:rPr>
      </w:pPr>
      <w:r>
        <w:rPr>
          <w:rFonts w:hint="eastAsia" w:ascii="宋体" w:hAnsi="宋体" w:cs="宋体"/>
          <w:kern w:val="0"/>
          <w:sz w:val="24"/>
          <w:szCs w:val="24"/>
          <w:highlight w:val="none"/>
        </w:rPr>
        <w:t>3.在维保期内，要求提供7×24小时实时技术支持。要求提供24小时热线电话、远程在线诊断和故障排除、现场响应以及Email和传真支持服务。对于接到的用户技术咨询，保证30分钟内响应，2小时内提出解决方案。其中，现场响应保证自收到用户的服务请求起</w:t>
      </w:r>
      <w:r>
        <w:rPr>
          <w:rFonts w:ascii="宋体" w:hAnsi="宋体" w:cs="宋体"/>
          <w:kern w:val="0"/>
          <w:sz w:val="24"/>
          <w:szCs w:val="24"/>
          <w:highlight w:val="none"/>
        </w:rPr>
        <w:t>4</w:t>
      </w:r>
      <w:r>
        <w:rPr>
          <w:rFonts w:hint="eastAsia" w:ascii="宋体" w:hAnsi="宋体" w:cs="宋体"/>
          <w:kern w:val="0"/>
          <w:sz w:val="24"/>
          <w:szCs w:val="24"/>
          <w:highlight w:val="none"/>
        </w:rPr>
        <w:t>小时内，指派技术人员赶赴现场完成故障处理。</w:t>
      </w:r>
    </w:p>
    <w:p>
      <w:pPr>
        <w:pStyle w:val="2"/>
        <w:rPr>
          <w:sz w:val="24"/>
          <w:szCs w:val="24"/>
          <w:highlight w:val="none"/>
        </w:rPr>
      </w:pPr>
      <w:r>
        <w:rPr>
          <w:rFonts w:hint="eastAsia"/>
          <w:sz w:val="24"/>
          <w:szCs w:val="24"/>
          <w:highlight w:val="none"/>
        </w:rPr>
        <w:t>4</w:t>
      </w:r>
      <w:r>
        <w:rPr>
          <w:sz w:val="24"/>
          <w:szCs w:val="24"/>
          <w:highlight w:val="none"/>
        </w:rPr>
        <w:t>.</w:t>
      </w:r>
      <w:r>
        <w:rPr>
          <w:rFonts w:hint="eastAsia"/>
          <w:sz w:val="24"/>
          <w:szCs w:val="24"/>
          <w:highlight w:val="none"/>
        </w:rPr>
        <w:t>为满足“一地创新、全省推广”要求，维保期内，中标方要无偿配合全省全市范围内部署推广相关事项。</w:t>
      </w:r>
    </w:p>
    <w:p>
      <w:pPr>
        <w:keepNext/>
        <w:keepLines/>
        <w:widowControl/>
        <w:tabs>
          <w:tab w:val="left" w:pos="0"/>
        </w:tabs>
        <w:adjustRightInd/>
        <w:spacing w:line="460" w:lineRule="exact"/>
        <w:outlineLvl w:val="2"/>
        <w:rPr>
          <w:rFonts w:ascii="宋体" w:hAnsi="宋体" w:cs="宋体"/>
          <w:b/>
          <w:sz w:val="24"/>
          <w:szCs w:val="24"/>
          <w:highlight w:val="none"/>
        </w:rPr>
      </w:pPr>
      <w:r>
        <w:rPr>
          <w:rFonts w:hint="eastAsia" w:ascii="宋体" w:hAnsi="宋体" w:cs="宋体"/>
          <w:b/>
          <w:sz w:val="24"/>
          <w:szCs w:val="24"/>
          <w:highlight w:val="none"/>
        </w:rPr>
        <w:t>（五）验收要求</w:t>
      </w:r>
    </w:p>
    <w:p>
      <w:pPr>
        <w:adjustRightInd/>
        <w:spacing w:line="460" w:lineRule="exact"/>
        <w:ind w:firstLine="588" w:firstLineChars="245"/>
        <w:rPr>
          <w:rFonts w:ascii="宋体" w:hAnsi="宋体" w:cs="宋体"/>
          <w:bCs/>
          <w:sz w:val="24"/>
          <w:szCs w:val="24"/>
          <w:highlight w:val="none"/>
          <w:lang w:val="zh-CN"/>
        </w:rPr>
      </w:pPr>
      <w:r>
        <w:rPr>
          <w:rFonts w:hint="eastAsia" w:ascii="宋体" w:hAnsi="宋体" w:cs="宋体"/>
          <w:bCs/>
          <w:sz w:val="24"/>
          <w:szCs w:val="24"/>
          <w:highlight w:val="none"/>
          <w:lang w:val="zh-CN"/>
        </w:rPr>
        <w:t>项目的工作内容及成果文档的提交应覆盖以下内容，电子文档是成果不可分割的部分。</w:t>
      </w:r>
    </w:p>
    <w:p>
      <w:pPr>
        <w:adjustRightInd/>
        <w:spacing w:line="460" w:lineRule="exact"/>
        <w:ind w:firstLine="588" w:firstLineChars="245"/>
        <w:rPr>
          <w:rFonts w:ascii="宋体" w:hAnsi="宋体" w:cs="宋体"/>
          <w:bCs/>
          <w:sz w:val="24"/>
          <w:szCs w:val="24"/>
          <w:highlight w:val="none"/>
          <w:lang w:val="zh-CN"/>
        </w:rPr>
      </w:pPr>
      <w:r>
        <w:rPr>
          <w:rFonts w:hint="eastAsia" w:ascii="宋体" w:hAnsi="宋体" w:cs="宋体"/>
          <w:bCs/>
          <w:sz w:val="24"/>
          <w:szCs w:val="24"/>
          <w:highlight w:val="none"/>
        </w:rPr>
        <w:t>1</w:t>
      </w:r>
      <w:r>
        <w:rPr>
          <w:rFonts w:hint="eastAsia" w:ascii="宋体" w:hAnsi="宋体" w:cs="宋体"/>
          <w:bCs/>
          <w:sz w:val="24"/>
          <w:szCs w:val="24"/>
          <w:highlight w:val="none"/>
          <w:lang w:val="zh-CN"/>
        </w:rPr>
        <w:t>.数据库的设计以及数据实体模型、相互关系的描述；</w:t>
      </w:r>
    </w:p>
    <w:p>
      <w:pPr>
        <w:adjustRightInd/>
        <w:spacing w:line="460" w:lineRule="exact"/>
        <w:ind w:firstLine="588" w:firstLineChars="245"/>
        <w:rPr>
          <w:rFonts w:ascii="宋体" w:hAnsi="宋体" w:cs="宋体"/>
          <w:bCs/>
          <w:sz w:val="24"/>
          <w:szCs w:val="24"/>
          <w:highlight w:val="none"/>
          <w:lang w:val="zh-CN"/>
        </w:rPr>
      </w:pPr>
      <w:r>
        <w:rPr>
          <w:rFonts w:hint="eastAsia" w:ascii="宋体" w:hAnsi="宋体" w:cs="宋体"/>
          <w:bCs/>
          <w:sz w:val="24"/>
          <w:szCs w:val="24"/>
          <w:highlight w:val="none"/>
        </w:rPr>
        <w:t>2</w:t>
      </w:r>
      <w:r>
        <w:rPr>
          <w:rFonts w:hint="eastAsia" w:ascii="宋体" w:hAnsi="宋体" w:cs="宋体"/>
          <w:bCs/>
          <w:sz w:val="24"/>
          <w:szCs w:val="24"/>
          <w:highlight w:val="none"/>
          <w:lang w:val="zh-CN"/>
        </w:rPr>
        <w:t>.网络系统的拓扑结构以及相关设备的配置；</w:t>
      </w:r>
    </w:p>
    <w:p>
      <w:pPr>
        <w:adjustRightInd/>
        <w:spacing w:line="460" w:lineRule="exact"/>
        <w:ind w:firstLine="588" w:firstLineChars="245"/>
        <w:rPr>
          <w:rFonts w:ascii="宋体" w:hAnsi="宋体" w:cs="宋体"/>
          <w:bCs/>
          <w:sz w:val="24"/>
          <w:szCs w:val="24"/>
          <w:highlight w:val="none"/>
          <w:lang w:val="zh-CN"/>
        </w:rPr>
      </w:pPr>
      <w:r>
        <w:rPr>
          <w:rFonts w:hint="eastAsia" w:ascii="宋体" w:hAnsi="宋体" w:cs="宋体"/>
          <w:bCs/>
          <w:sz w:val="24"/>
          <w:szCs w:val="24"/>
          <w:highlight w:val="none"/>
        </w:rPr>
        <w:t>3</w:t>
      </w:r>
      <w:r>
        <w:rPr>
          <w:rFonts w:hint="eastAsia" w:ascii="宋体" w:hAnsi="宋体" w:cs="宋体"/>
          <w:bCs/>
          <w:sz w:val="24"/>
          <w:szCs w:val="24"/>
          <w:highlight w:val="none"/>
          <w:lang w:val="zh-CN"/>
        </w:rPr>
        <w:t>.系统的体系架构及描述；</w:t>
      </w:r>
    </w:p>
    <w:p>
      <w:pPr>
        <w:spacing w:line="460" w:lineRule="exact"/>
        <w:ind w:left="539"/>
        <w:rPr>
          <w:rFonts w:ascii="宋体" w:hAnsi="宋体" w:cs="宋体"/>
          <w:bCs/>
          <w:sz w:val="24"/>
          <w:szCs w:val="24"/>
          <w:highlight w:val="none"/>
        </w:rPr>
      </w:pPr>
      <w:r>
        <w:rPr>
          <w:rFonts w:hint="eastAsia" w:ascii="宋体" w:hAnsi="宋体" w:cs="宋体"/>
          <w:bCs/>
          <w:sz w:val="24"/>
          <w:szCs w:val="24"/>
          <w:highlight w:val="none"/>
        </w:rPr>
        <w:t>4.源代码；</w:t>
      </w:r>
    </w:p>
    <w:p>
      <w:pPr>
        <w:spacing w:line="460" w:lineRule="exact"/>
        <w:ind w:left="539"/>
        <w:rPr>
          <w:rFonts w:ascii="宋体" w:hAnsi="宋体" w:cs="宋体"/>
          <w:bCs/>
          <w:sz w:val="24"/>
          <w:szCs w:val="24"/>
          <w:highlight w:val="none"/>
          <w:lang w:val="zh-CN"/>
        </w:rPr>
      </w:pPr>
      <w:r>
        <w:rPr>
          <w:rFonts w:hint="eastAsia" w:ascii="宋体" w:hAnsi="宋体" w:cs="宋体"/>
          <w:bCs/>
          <w:sz w:val="24"/>
          <w:szCs w:val="24"/>
          <w:highlight w:val="none"/>
          <w:lang w:val="zh-CN"/>
        </w:rPr>
        <w:t>5</w:t>
      </w:r>
      <w:r>
        <w:rPr>
          <w:rFonts w:ascii="宋体" w:hAnsi="宋体" w:cs="宋体"/>
          <w:bCs/>
          <w:sz w:val="24"/>
          <w:szCs w:val="24"/>
          <w:highlight w:val="none"/>
          <w:lang w:val="zh-CN"/>
        </w:rPr>
        <w:t>.</w:t>
      </w:r>
      <w:r>
        <w:rPr>
          <w:rFonts w:hint="eastAsia" w:ascii="宋体" w:hAnsi="宋体" w:cs="宋体"/>
          <w:bCs/>
          <w:sz w:val="24"/>
          <w:szCs w:val="24"/>
          <w:highlight w:val="none"/>
          <w:lang w:val="zh-CN"/>
        </w:rPr>
        <w:t>提供的其它技术手册，包括：</w:t>
      </w:r>
    </w:p>
    <w:p>
      <w:pPr>
        <w:numPr>
          <w:ilvl w:val="0"/>
          <w:numId w:val="3"/>
        </w:numPr>
        <w:spacing w:before="60" w:after="60"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需求分析报告；</w:t>
      </w:r>
    </w:p>
    <w:p>
      <w:pPr>
        <w:numPr>
          <w:ilvl w:val="0"/>
          <w:numId w:val="3"/>
        </w:numPr>
        <w:spacing w:before="60" w:after="60"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系统概要设计说明书；</w:t>
      </w:r>
    </w:p>
    <w:p>
      <w:pPr>
        <w:numPr>
          <w:ilvl w:val="0"/>
          <w:numId w:val="3"/>
        </w:numPr>
        <w:spacing w:before="60" w:after="60"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系统详细设计方案；</w:t>
      </w:r>
    </w:p>
    <w:p>
      <w:pPr>
        <w:numPr>
          <w:ilvl w:val="0"/>
          <w:numId w:val="3"/>
        </w:numPr>
        <w:spacing w:before="60" w:after="60"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软件培训资料；</w:t>
      </w:r>
    </w:p>
    <w:p>
      <w:pPr>
        <w:numPr>
          <w:ilvl w:val="0"/>
          <w:numId w:val="3"/>
        </w:numPr>
        <w:spacing w:before="60" w:after="60"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软件使用操作手册；</w:t>
      </w:r>
    </w:p>
    <w:p>
      <w:pPr>
        <w:numPr>
          <w:ilvl w:val="0"/>
          <w:numId w:val="3"/>
        </w:numPr>
        <w:spacing w:before="60" w:after="60" w:line="360" w:lineRule="auto"/>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软件测试分析报告；</w:t>
      </w:r>
    </w:p>
    <w:p>
      <w:pPr>
        <w:pStyle w:val="2"/>
        <w:rPr>
          <w:sz w:val="24"/>
          <w:szCs w:val="24"/>
          <w:highlight w:val="none"/>
        </w:rPr>
      </w:pPr>
      <w:r>
        <w:rPr>
          <w:rFonts w:hint="eastAsia"/>
          <w:sz w:val="24"/>
          <w:szCs w:val="24"/>
          <w:highlight w:val="none"/>
        </w:rPr>
        <w:t>以及其他项目全流程管理的过程性文档。</w:t>
      </w:r>
    </w:p>
    <w:p>
      <w:pPr>
        <w:keepNext/>
        <w:keepLines/>
        <w:widowControl/>
        <w:tabs>
          <w:tab w:val="left" w:pos="0"/>
        </w:tabs>
        <w:adjustRightInd/>
        <w:spacing w:line="460" w:lineRule="exact"/>
        <w:outlineLvl w:val="2"/>
        <w:rPr>
          <w:rFonts w:ascii="宋体" w:hAnsi="宋体" w:cs="宋体"/>
          <w:b/>
          <w:sz w:val="24"/>
          <w:szCs w:val="24"/>
          <w:highlight w:val="none"/>
        </w:rPr>
      </w:pPr>
      <w:bookmarkStart w:id="43" w:name="_Toc17793781"/>
      <w:r>
        <w:rPr>
          <w:rFonts w:hint="eastAsia" w:ascii="宋体" w:hAnsi="宋体" w:cs="宋体"/>
          <w:b/>
          <w:sz w:val="24"/>
          <w:szCs w:val="24"/>
          <w:highlight w:val="none"/>
        </w:rPr>
        <w:t>（六）培训要求</w:t>
      </w:r>
      <w:bookmarkEnd w:id="43"/>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1.培训时间：不少于</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天；培训地点：采购人确定。</w:t>
      </w:r>
    </w:p>
    <w:p>
      <w:pPr>
        <w:spacing w:line="440" w:lineRule="exact"/>
        <w:ind w:firstLine="480" w:firstLineChars="200"/>
        <w:textAlignment w:val="baseline"/>
        <w:rPr>
          <w:rFonts w:ascii="宋体" w:hAnsi="宋体" w:cs="宋体"/>
          <w:kern w:val="0"/>
          <w:sz w:val="24"/>
          <w:szCs w:val="24"/>
          <w:highlight w:val="none"/>
          <w:lang w:val="zh-CN"/>
        </w:rPr>
      </w:pPr>
      <w:bookmarkStart w:id="44" w:name="_Toc527562051"/>
      <w:bookmarkStart w:id="45" w:name="_Toc488855463"/>
      <w:bookmarkStart w:id="46" w:name="_Toc524359195"/>
      <w:r>
        <w:rPr>
          <w:rFonts w:hint="eastAsia" w:ascii="宋体" w:hAnsi="宋体" w:cs="宋体"/>
          <w:kern w:val="0"/>
          <w:sz w:val="24"/>
          <w:szCs w:val="24"/>
          <w:highlight w:val="none"/>
          <w:lang w:val="zh-CN"/>
        </w:rPr>
        <w:t>2.投标人应制订详细的培训方案，按照系统使用的需要，有序组织对系统维护管理人员、业务管理人员和业务经办人员等进行不同层次的培训；培训方式包括技术讲课、操作示范、参观学习和其它必须的业务指导和技术咨询，确保培训人员对系统基本理论、技术特性、操作规范、运行规程、管理维护等方面获得全面了解和掌握，使其掌握系统操作。为保证培训质量，需为所有被培训人员提供培训资料和讲义等相关用品。</w:t>
      </w:r>
      <w:bookmarkEnd w:id="44"/>
      <w:bookmarkEnd w:id="45"/>
      <w:bookmarkEnd w:id="46"/>
    </w:p>
    <w:p>
      <w:pPr>
        <w:keepNext/>
        <w:keepLines/>
        <w:widowControl/>
        <w:tabs>
          <w:tab w:val="left" w:pos="0"/>
        </w:tabs>
        <w:adjustRightInd/>
        <w:spacing w:line="460" w:lineRule="exact"/>
        <w:outlineLvl w:val="2"/>
        <w:rPr>
          <w:rFonts w:ascii="宋体" w:hAnsi="宋体" w:cs="宋体"/>
          <w:b/>
          <w:sz w:val="24"/>
          <w:szCs w:val="24"/>
          <w:highlight w:val="none"/>
        </w:rPr>
      </w:pPr>
      <w:r>
        <w:rPr>
          <w:rFonts w:hint="eastAsia" w:ascii="宋体" w:hAnsi="宋体" w:cs="宋体"/>
          <w:b/>
          <w:sz w:val="24"/>
          <w:szCs w:val="24"/>
          <w:highlight w:val="none"/>
        </w:rPr>
        <w:t>（七）产品设计方案演示要求</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1.本项目安排产品设计方案演示介绍环节，投标人需根据设计方案进行演示，</w:t>
      </w:r>
      <w:r>
        <w:rPr>
          <w:rFonts w:hint="eastAsia" w:ascii="宋体" w:hAnsi="宋体" w:cs="宋体"/>
          <w:kern w:val="0"/>
          <w:sz w:val="24"/>
          <w:szCs w:val="24"/>
          <w:highlight w:val="none"/>
        </w:rPr>
        <w:t>如现场演示</w:t>
      </w:r>
      <w:r>
        <w:rPr>
          <w:rFonts w:hint="eastAsia" w:ascii="宋体" w:hAnsi="宋体" w:cs="宋体"/>
          <w:kern w:val="0"/>
          <w:sz w:val="24"/>
          <w:szCs w:val="24"/>
          <w:highlight w:val="none"/>
          <w:lang w:val="zh-CN"/>
        </w:rPr>
        <w:t>各投标人需自备笔记本电脑等工具，采购代理机构可在现场提供投影机（标清接口）和电源插座。</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2.各投标人自行搭建演示所需的软硬件环境，各演示需要的示意数据由投标人自行准备。</w:t>
      </w:r>
    </w:p>
    <w:p>
      <w:pPr>
        <w:pStyle w:val="2"/>
        <w:rPr>
          <w:sz w:val="24"/>
          <w:szCs w:val="24"/>
          <w:highlight w:val="none"/>
        </w:rPr>
      </w:pPr>
      <w:r>
        <w:rPr>
          <w:rFonts w:cs="宋体"/>
          <w:kern w:val="0"/>
          <w:sz w:val="24"/>
          <w:szCs w:val="24"/>
          <w:highlight w:val="none"/>
        </w:rPr>
        <w:t>3.各投标人需按照本部分演示内容提供</w:t>
      </w:r>
      <w:r>
        <w:rPr>
          <w:rFonts w:hint="eastAsia" w:cs="宋体"/>
          <w:kern w:val="0"/>
          <w:sz w:val="24"/>
          <w:szCs w:val="24"/>
          <w:highlight w:val="none"/>
        </w:rPr>
        <w:t>P</w:t>
      </w:r>
      <w:r>
        <w:rPr>
          <w:rFonts w:cs="宋体"/>
          <w:kern w:val="0"/>
          <w:sz w:val="24"/>
          <w:szCs w:val="24"/>
          <w:highlight w:val="none"/>
        </w:rPr>
        <w:t>PT</w:t>
      </w:r>
      <w:r>
        <w:rPr>
          <w:rFonts w:hint="eastAsia" w:cs="宋体"/>
          <w:kern w:val="0"/>
          <w:sz w:val="24"/>
          <w:szCs w:val="24"/>
          <w:highlight w:val="none"/>
        </w:rPr>
        <w:t>结合</w:t>
      </w:r>
      <w:r>
        <w:rPr>
          <w:rFonts w:cs="宋体"/>
          <w:kern w:val="0"/>
          <w:sz w:val="24"/>
          <w:szCs w:val="24"/>
          <w:highlight w:val="none"/>
        </w:rPr>
        <w:t>原型演示，展示系统核心功能，演示时间控制在10</w:t>
      </w:r>
      <w:r>
        <w:rPr>
          <w:rFonts w:hint="eastAsia" w:cs="宋体"/>
          <w:kern w:val="0"/>
          <w:sz w:val="24"/>
          <w:szCs w:val="24"/>
          <w:highlight w:val="none"/>
        </w:rPr>
        <w:t>分钟以内。</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rPr>
        <w:t>4</w:t>
      </w:r>
      <w:r>
        <w:rPr>
          <w:rFonts w:hint="eastAsia" w:ascii="宋体" w:hAnsi="宋体" w:cs="宋体"/>
          <w:kern w:val="0"/>
          <w:sz w:val="24"/>
          <w:szCs w:val="24"/>
          <w:highlight w:val="none"/>
          <w:lang w:val="zh-CN"/>
        </w:rPr>
        <w:t>.演示内容：</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rPr>
        <w:t>对本项目的需求实现方案，重点在“</w:t>
      </w:r>
      <w:r>
        <w:rPr>
          <w:rFonts w:ascii="宋体" w:hAnsi="宋体" w:cs="宋体"/>
          <w:kern w:val="0"/>
          <w:sz w:val="24"/>
          <w:szCs w:val="24"/>
          <w:highlight w:val="none"/>
        </w:rPr>
        <w:t xml:space="preserve">5 </w:t>
      </w:r>
      <w:r>
        <w:rPr>
          <w:rFonts w:hint="eastAsia" w:ascii="宋体" w:hAnsi="宋体" w:cs="宋体"/>
          <w:kern w:val="0"/>
          <w:sz w:val="24"/>
          <w:szCs w:val="24"/>
          <w:highlight w:val="none"/>
        </w:rPr>
        <w:t>审判智能化”模块、“</w:t>
      </w:r>
      <w:r>
        <w:rPr>
          <w:rFonts w:ascii="宋体" w:hAnsi="宋体" w:cs="宋体"/>
          <w:kern w:val="0"/>
          <w:sz w:val="24"/>
          <w:szCs w:val="24"/>
          <w:highlight w:val="none"/>
        </w:rPr>
        <w:t xml:space="preserve">6 </w:t>
      </w:r>
      <w:r>
        <w:rPr>
          <w:rFonts w:hint="eastAsia" w:ascii="宋体" w:hAnsi="宋体" w:cs="宋体"/>
          <w:kern w:val="0"/>
          <w:sz w:val="24"/>
          <w:szCs w:val="24"/>
          <w:highlight w:val="none"/>
        </w:rPr>
        <w:t>投资者损失智能化核算”模块、“</w:t>
      </w:r>
      <w:r>
        <w:rPr>
          <w:rFonts w:ascii="宋体" w:hAnsi="宋体" w:cs="宋体"/>
          <w:kern w:val="0"/>
          <w:sz w:val="24"/>
          <w:szCs w:val="24"/>
          <w:highlight w:val="none"/>
        </w:rPr>
        <w:t xml:space="preserve">8 </w:t>
      </w:r>
      <w:r>
        <w:rPr>
          <w:rFonts w:hint="eastAsia" w:ascii="宋体" w:hAnsi="宋体" w:cs="宋体"/>
          <w:kern w:val="0"/>
          <w:sz w:val="24"/>
          <w:szCs w:val="24"/>
          <w:highlight w:val="none"/>
        </w:rPr>
        <w:t>代表人诉讼在线平台”等模块的演示。要求用</w:t>
      </w:r>
      <w:r>
        <w:rPr>
          <w:rFonts w:ascii="宋体" w:hAnsi="宋体" w:cs="宋体"/>
          <w:kern w:val="0"/>
          <w:sz w:val="24"/>
          <w:szCs w:val="24"/>
          <w:highlight w:val="none"/>
        </w:rPr>
        <w:t>PPT</w:t>
      </w:r>
      <w:r>
        <w:rPr>
          <w:rFonts w:hint="eastAsia" w:ascii="宋体" w:hAnsi="宋体" w:cs="宋体"/>
          <w:kern w:val="0"/>
          <w:sz w:val="24"/>
          <w:szCs w:val="24"/>
          <w:highlight w:val="none"/>
        </w:rPr>
        <w:t>结合系统原型等方式展示。</w:t>
      </w:r>
      <w:r>
        <w:rPr>
          <w:rFonts w:hint="eastAsia" w:ascii="宋体" w:hAnsi="宋体" w:cs="宋体"/>
          <w:kern w:val="0"/>
          <w:sz w:val="24"/>
          <w:szCs w:val="24"/>
          <w:highlight w:val="none"/>
          <w:lang w:val="zh-CN"/>
        </w:rPr>
        <w:t xml:space="preserve"> </w:t>
      </w:r>
    </w:p>
    <w:p>
      <w:pPr>
        <w:keepNext/>
        <w:keepLines/>
        <w:widowControl/>
        <w:tabs>
          <w:tab w:val="left" w:pos="0"/>
        </w:tabs>
        <w:adjustRightInd/>
        <w:spacing w:line="460" w:lineRule="exact"/>
        <w:outlineLvl w:val="2"/>
        <w:rPr>
          <w:rFonts w:ascii="宋体" w:hAnsi="宋体" w:cs="宋体"/>
          <w:b/>
          <w:sz w:val="24"/>
          <w:szCs w:val="24"/>
          <w:highlight w:val="none"/>
        </w:rPr>
      </w:pPr>
      <w:r>
        <w:rPr>
          <w:rFonts w:hint="eastAsia" w:ascii="宋体" w:hAnsi="宋体" w:cs="宋体"/>
          <w:b/>
          <w:sz w:val="24"/>
          <w:szCs w:val="24"/>
          <w:highlight w:val="none"/>
        </w:rPr>
        <w:t>（ 八）知识产权等要求</w:t>
      </w:r>
    </w:p>
    <w:p>
      <w:pPr>
        <w:pStyle w:val="2"/>
        <w:rPr>
          <w:sz w:val="24"/>
          <w:szCs w:val="24"/>
          <w:highlight w:val="none"/>
        </w:rPr>
      </w:pPr>
      <w:r>
        <w:rPr>
          <w:rFonts w:hint="eastAsia"/>
          <w:sz w:val="24"/>
          <w:szCs w:val="24"/>
          <w:highlight w:val="none"/>
        </w:rPr>
        <w:t>供应商针对以下5项要求，须逐项提供承诺函。</w:t>
      </w:r>
    </w:p>
    <w:p>
      <w:pPr>
        <w:pStyle w:val="2"/>
        <w:rPr>
          <w:sz w:val="24"/>
          <w:szCs w:val="24"/>
          <w:highlight w:val="none"/>
        </w:rPr>
      </w:pPr>
      <w:r>
        <w:rPr>
          <w:rFonts w:hint="eastAsia"/>
          <w:sz w:val="24"/>
          <w:szCs w:val="24"/>
          <w:highlight w:val="none"/>
        </w:rPr>
        <w:t>1. ▲关于软件</w:t>
      </w:r>
    </w:p>
    <w:p>
      <w:pPr>
        <w:pStyle w:val="2"/>
        <w:rPr>
          <w:sz w:val="24"/>
          <w:szCs w:val="24"/>
          <w:highlight w:val="none"/>
        </w:rPr>
      </w:pPr>
      <w:r>
        <w:rPr>
          <w:rFonts w:hint="eastAsia"/>
          <w:sz w:val="24"/>
          <w:szCs w:val="24"/>
          <w:highlight w:val="none"/>
        </w:rPr>
        <w:t>招标文件的技术要求中列出了采购人可以接受的最低的技术要求。供应商提供的所有软件必须在功能、性能等方面不低于采购人的要求。</w:t>
      </w:r>
    </w:p>
    <w:p>
      <w:pPr>
        <w:pStyle w:val="2"/>
        <w:rPr>
          <w:sz w:val="24"/>
          <w:szCs w:val="24"/>
          <w:highlight w:val="none"/>
        </w:rPr>
      </w:pPr>
      <w:r>
        <w:rPr>
          <w:rFonts w:hint="eastAsia"/>
          <w:sz w:val="24"/>
          <w:szCs w:val="24"/>
          <w:highlight w:val="none"/>
        </w:rPr>
        <w:t>供应商所提供的软件必须是在中国有合法使用权。</w:t>
      </w:r>
    </w:p>
    <w:p>
      <w:pPr>
        <w:pStyle w:val="2"/>
        <w:rPr>
          <w:sz w:val="24"/>
          <w:szCs w:val="24"/>
          <w:highlight w:val="none"/>
        </w:rPr>
      </w:pPr>
      <w:r>
        <w:rPr>
          <w:rFonts w:hint="eastAsia"/>
          <w:sz w:val="24"/>
          <w:szCs w:val="24"/>
          <w:highlight w:val="none"/>
        </w:rPr>
        <w:t>供应商在投标方案中如果包含有采购的第三方软件，应单独报价，且系统交付时应将此软件移交给采购人。</w:t>
      </w:r>
    </w:p>
    <w:p>
      <w:pPr>
        <w:pStyle w:val="2"/>
        <w:rPr>
          <w:sz w:val="24"/>
          <w:szCs w:val="24"/>
          <w:highlight w:val="none"/>
        </w:rPr>
      </w:pPr>
      <w:r>
        <w:rPr>
          <w:rFonts w:hint="eastAsia"/>
          <w:sz w:val="24"/>
          <w:szCs w:val="24"/>
          <w:highlight w:val="none"/>
        </w:rPr>
        <w:t>2. ▲保密要求</w:t>
      </w:r>
    </w:p>
    <w:p>
      <w:pPr>
        <w:pStyle w:val="2"/>
        <w:rPr>
          <w:sz w:val="24"/>
          <w:szCs w:val="24"/>
          <w:highlight w:val="none"/>
        </w:rPr>
      </w:pPr>
      <w:r>
        <w:rPr>
          <w:rFonts w:hint="eastAsia"/>
          <w:sz w:val="24"/>
          <w:szCs w:val="24"/>
          <w:highlight w:val="none"/>
        </w:rPr>
        <w:t>供应商须提供对本项目的保密承诺，保证对项目技术文件以及由采购人提供的所有数据、内部资料、技术文档和信息予以保密。未经采购人书面许可，供应商不得将采购人提供的本项目数据、资料以及项目成果以任何形式向第三方透露或使用。本条款在项目完成或无论何种原因导致合同终止后依然有效。</w:t>
      </w:r>
    </w:p>
    <w:p>
      <w:pPr>
        <w:pStyle w:val="2"/>
        <w:ind w:firstLine="0" w:firstLineChars="0"/>
        <w:rPr>
          <w:sz w:val="24"/>
          <w:szCs w:val="24"/>
          <w:highlight w:val="none"/>
        </w:rPr>
      </w:pPr>
      <w:r>
        <w:rPr>
          <w:rFonts w:hint="eastAsia"/>
          <w:sz w:val="24"/>
          <w:szCs w:val="24"/>
          <w:highlight w:val="none"/>
        </w:rPr>
        <w:t>供应商违反上述保密约定，故意、过错或过失泄密的，除应立即采取措施停止泄密行为，减小泄密造成的损失。</w:t>
      </w:r>
    </w:p>
    <w:p>
      <w:pPr>
        <w:pStyle w:val="2"/>
        <w:rPr>
          <w:sz w:val="24"/>
          <w:szCs w:val="24"/>
          <w:highlight w:val="none"/>
        </w:rPr>
      </w:pPr>
      <w:r>
        <w:rPr>
          <w:sz w:val="24"/>
          <w:szCs w:val="24"/>
          <w:highlight w:val="none"/>
        </w:rPr>
        <w:t>3</w:t>
      </w:r>
      <w:r>
        <w:rPr>
          <w:rFonts w:hint="eastAsia"/>
          <w:sz w:val="24"/>
          <w:szCs w:val="24"/>
          <w:highlight w:val="none"/>
        </w:rPr>
        <w:t>. ▲源代码要求</w:t>
      </w:r>
    </w:p>
    <w:p>
      <w:pPr>
        <w:pStyle w:val="2"/>
        <w:rPr>
          <w:sz w:val="24"/>
          <w:szCs w:val="24"/>
          <w:highlight w:val="none"/>
        </w:rPr>
      </w:pPr>
      <w:r>
        <w:rPr>
          <w:rFonts w:hint="eastAsia"/>
          <w:sz w:val="24"/>
          <w:szCs w:val="24"/>
          <w:highlight w:val="none"/>
        </w:rPr>
        <w:t>供应商应提供为本项目定制部分源代码（有主要模块的功能注释；如涉及第三方产品或组件的，须提供相关厂商授权证明并经采购人认可，可不提供），且提供的源代码须在采购人或受采购人委托的人员的开发环境中能编译、调试及完整运行。</w:t>
      </w:r>
    </w:p>
    <w:p>
      <w:pPr>
        <w:pStyle w:val="2"/>
        <w:rPr>
          <w:sz w:val="24"/>
          <w:szCs w:val="24"/>
          <w:highlight w:val="none"/>
        </w:rPr>
      </w:pPr>
      <w:r>
        <w:rPr>
          <w:sz w:val="24"/>
          <w:szCs w:val="24"/>
          <w:highlight w:val="none"/>
        </w:rPr>
        <w:t>4</w:t>
      </w:r>
      <w:r>
        <w:rPr>
          <w:rFonts w:hint="eastAsia"/>
          <w:sz w:val="24"/>
          <w:szCs w:val="24"/>
          <w:highlight w:val="none"/>
        </w:rPr>
        <w:t>. ▲知识产权要求</w:t>
      </w:r>
    </w:p>
    <w:p>
      <w:pPr>
        <w:pStyle w:val="2"/>
        <w:rPr>
          <w:sz w:val="24"/>
          <w:szCs w:val="24"/>
          <w:highlight w:val="none"/>
        </w:rPr>
      </w:pPr>
      <w:r>
        <w:rPr>
          <w:rFonts w:hint="eastAsia"/>
          <w:sz w:val="24"/>
          <w:szCs w:val="24"/>
          <w:highlight w:val="none"/>
        </w:rPr>
        <w:t>供应商保证准备或提交的全部软件系统和设计文件在中国境内或境外没有且不会侵犯任何其他人的知识产权（包括但不限于版权、商标权、专利权）或专有技术或商业秘密。</w:t>
      </w:r>
    </w:p>
    <w:p>
      <w:pPr>
        <w:pStyle w:val="2"/>
        <w:rPr>
          <w:sz w:val="24"/>
          <w:szCs w:val="24"/>
          <w:highlight w:val="none"/>
        </w:rPr>
      </w:pPr>
      <w:r>
        <w:rPr>
          <w:rFonts w:hint="eastAsia"/>
          <w:sz w:val="24"/>
          <w:szCs w:val="24"/>
          <w:highlight w:val="none"/>
        </w:rPr>
        <w:t>本项目为定制开发的软件系统，其知识产权归采购人所有。</w:t>
      </w:r>
    </w:p>
    <w:p>
      <w:pPr>
        <w:pStyle w:val="2"/>
        <w:rPr>
          <w:sz w:val="24"/>
          <w:szCs w:val="24"/>
          <w:highlight w:val="none"/>
        </w:rPr>
      </w:pPr>
      <w:r>
        <w:rPr>
          <w:rFonts w:hint="eastAsia"/>
          <w:sz w:val="24"/>
          <w:szCs w:val="24"/>
          <w:highlight w:val="none"/>
        </w:rPr>
        <w:t>供应商需配合采购人完成知识产权登记，包括但不限于以下工作：协助填写软件著作权相关文档、源代码准备、软件操作手册准备等工作。</w:t>
      </w:r>
    </w:p>
    <w:p>
      <w:pPr>
        <w:spacing w:line="440" w:lineRule="exact"/>
        <w:ind w:left="720" w:firstLine="420" w:firstLineChars="200"/>
        <w:textAlignment w:val="baseline"/>
        <w:rPr>
          <w:rFonts w:ascii="仿宋" w:hAnsi="仿宋" w:eastAsia="仿宋" w:cs="仿宋"/>
          <w:kern w:val="0"/>
          <w:sz w:val="21"/>
          <w:szCs w:val="24"/>
          <w:highlight w:val="none"/>
          <w:lang w:val="zh-CN"/>
        </w:rPr>
      </w:pPr>
      <w:r>
        <w:rPr>
          <w:rFonts w:hint="eastAsia" w:ascii="仿宋" w:hAnsi="仿宋" w:eastAsia="仿宋" w:cs="仿宋"/>
          <w:kern w:val="0"/>
          <w:sz w:val="21"/>
          <w:szCs w:val="24"/>
          <w:highlight w:val="none"/>
          <w:lang w:val="zh-CN"/>
        </w:rPr>
        <w:br w:type="page"/>
      </w:r>
    </w:p>
    <w:p>
      <w:pPr>
        <w:keepNext/>
        <w:keepLines/>
        <w:widowControl/>
        <w:tabs>
          <w:tab w:val="left" w:pos="0"/>
        </w:tabs>
        <w:adjustRightInd/>
        <w:spacing w:line="460" w:lineRule="exact"/>
        <w:outlineLvl w:val="2"/>
        <w:rPr>
          <w:rFonts w:ascii="宋体" w:hAnsi="宋体" w:cs="宋体"/>
          <w:b/>
          <w:sz w:val="24"/>
          <w:szCs w:val="24"/>
          <w:highlight w:val="none"/>
        </w:rPr>
      </w:pPr>
      <w:r>
        <w:rPr>
          <w:rFonts w:hint="eastAsia" w:ascii="宋体" w:hAnsi="宋体" w:cs="宋体"/>
          <w:b/>
          <w:sz w:val="24"/>
          <w:szCs w:val="24"/>
          <w:highlight w:val="none"/>
        </w:rPr>
        <w:t>（ 九）其他要求</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lang w:val="zh-CN"/>
        </w:rPr>
        <w:t>采购需求在开发期和试运行期内，仍有可能不断完善，投标人须承诺在采购需求和政策法规范围内，随着采购需求的变动随时做出响应，修改应用软件。</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投标人须保证所提供产品具有合法的版权或使用权，本项目采购的产品，如在本项目范围内使用过程中出现版权或使用权纠纷，应由中标人负责，招标人和采购机构不承担任何责任。</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中标人对数据没有任何的处置权和使用权。</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lang w:val="zh-CN"/>
        </w:rPr>
        <w:t>4.▲预中标单位需在</w:t>
      </w:r>
      <w:r>
        <w:rPr>
          <w:rFonts w:ascii="宋体" w:hAnsi="宋体" w:cs="宋体"/>
          <w:kern w:val="0"/>
          <w:sz w:val="24"/>
          <w:szCs w:val="24"/>
          <w:highlight w:val="none"/>
          <w:lang w:val="zh-CN"/>
        </w:rPr>
        <w:t>7</w:t>
      </w:r>
      <w:r>
        <w:rPr>
          <w:rFonts w:hint="eastAsia" w:ascii="宋体" w:hAnsi="宋体" w:cs="宋体"/>
          <w:kern w:val="0"/>
          <w:sz w:val="24"/>
          <w:szCs w:val="24"/>
          <w:highlight w:val="none"/>
          <w:lang w:val="zh-CN"/>
        </w:rPr>
        <w:t>个工作日内按招标文件中的要求，提供详细的功能需求说明书、项目建设进度表，以确认供应商可按时供货并保质保量地完成项目，若规划建设功能不能满足招标文件要求的，视为虚假应标，取消其中标资格，并报采购监督管理部门。</w:t>
      </w:r>
    </w:p>
    <w:p>
      <w:pPr>
        <w:spacing w:line="440" w:lineRule="exact"/>
        <w:ind w:firstLine="480" w:firstLineChars="200"/>
        <w:textAlignment w:val="baseline"/>
        <w:rPr>
          <w:rFonts w:ascii="宋体" w:hAnsi="宋体" w:cs="宋体"/>
          <w:kern w:val="0"/>
          <w:sz w:val="24"/>
          <w:szCs w:val="24"/>
          <w:highlight w:val="none"/>
          <w:lang w:val="zh-CN"/>
        </w:rPr>
      </w:pPr>
      <w:r>
        <w:rPr>
          <w:rFonts w:hint="eastAsia" w:ascii="宋体" w:hAnsi="宋体" w:cs="宋体"/>
          <w:kern w:val="0"/>
          <w:sz w:val="24"/>
          <w:szCs w:val="24"/>
          <w:highlight w:val="none"/>
        </w:rPr>
        <w:t>5.</w:t>
      </w:r>
      <w:r>
        <w:rPr>
          <w:rFonts w:hint="eastAsia" w:ascii="宋体" w:hAnsi="宋体" w:cs="宋体"/>
          <w:b/>
          <w:sz w:val="24"/>
          <w:szCs w:val="24"/>
          <w:highlight w:val="none"/>
          <w:lang w:val="zh-CN"/>
        </w:rPr>
        <w:t>本项目建设周期为合同签订后</w:t>
      </w:r>
      <w:r>
        <w:rPr>
          <w:rFonts w:ascii="宋体" w:hAnsi="宋体" w:cs="宋体"/>
          <w:b/>
          <w:sz w:val="24"/>
          <w:szCs w:val="24"/>
          <w:highlight w:val="none"/>
        </w:rPr>
        <w:t>4</w:t>
      </w:r>
      <w:r>
        <w:rPr>
          <w:rFonts w:hint="eastAsia" w:ascii="宋体" w:hAnsi="宋体" w:cs="宋体"/>
          <w:b/>
          <w:sz w:val="24"/>
          <w:szCs w:val="24"/>
          <w:highlight w:val="none"/>
          <w:lang w:val="zh-CN"/>
        </w:rPr>
        <w:t>个月。</w:t>
      </w:r>
    </w:p>
    <w:p>
      <w:pPr>
        <w:spacing w:line="360" w:lineRule="auto"/>
        <w:jc w:val="center"/>
        <w:outlineLvl w:val="0"/>
        <w:rPr>
          <w:rFonts w:ascii="宋体" w:hAnsi="宋体" w:cs="宋体"/>
          <w:b/>
          <w:sz w:val="36"/>
          <w:szCs w:val="36"/>
          <w:highlight w:val="none"/>
        </w:rPr>
      </w:pPr>
      <w:r>
        <w:rPr>
          <w:rFonts w:hint="eastAsia" w:ascii="宋体" w:hAnsi="宋体" w:cs="宋体"/>
          <w:b/>
          <w:sz w:val="24"/>
          <w:szCs w:val="24"/>
          <w:highlight w:val="none"/>
        </w:rPr>
        <w:br w:type="page"/>
      </w:r>
      <w:r>
        <w:rPr>
          <w:rFonts w:hint="eastAsia" w:ascii="宋体" w:hAnsi="宋体" w:cs="宋体"/>
          <w:b/>
          <w:sz w:val="36"/>
          <w:szCs w:val="36"/>
          <w:highlight w:val="none"/>
        </w:rPr>
        <w:t xml:space="preserve">第四部分   </w:t>
      </w:r>
      <w:bookmarkStart w:id="47" w:name="_Toc184310278"/>
      <w:bookmarkEnd w:id="47"/>
      <w:bookmarkStart w:id="48" w:name="_Toc184312069"/>
      <w:bookmarkEnd w:id="48"/>
      <w:bookmarkStart w:id="49" w:name="_Toc184308057"/>
      <w:bookmarkEnd w:id="49"/>
      <w:bookmarkStart w:id="50" w:name="_Toc184310311"/>
      <w:bookmarkEnd w:id="50"/>
      <w:bookmarkStart w:id="51" w:name="_Toc184313304"/>
      <w:bookmarkEnd w:id="51"/>
      <w:bookmarkStart w:id="52" w:name="_Toc184310331"/>
      <w:bookmarkEnd w:id="52"/>
      <w:bookmarkStart w:id="53" w:name="_Toc184314458"/>
      <w:bookmarkEnd w:id="53"/>
      <w:bookmarkStart w:id="54" w:name="_Toc184312100"/>
      <w:bookmarkEnd w:id="54"/>
      <w:bookmarkStart w:id="55" w:name="_Toc184314443"/>
      <w:bookmarkEnd w:id="55"/>
      <w:bookmarkStart w:id="56" w:name="_Toc184312122"/>
      <w:bookmarkEnd w:id="56"/>
      <w:bookmarkStart w:id="57" w:name="_Toc184314440"/>
      <w:bookmarkEnd w:id="57"/>
      <w:bookmarkStart w:id="58" w:name="_Toc184310339"/>
      <w:bookmarkEnd w:id="58"/>
      <w:bookmarkStart w:id="59" w:name="_Toc184312105"/>
      <w:bookmarkEnd w:id="59"/>
      <w:bookmarkStart w:id="60" w:name="_Toc184308086"/>
      <w:bookmarkEnd w:id="60"/>
      <w:bookmarkStart w:id="61" w:name="_Toc184313259"/>
      <w:bookmarkEnd w:id="61"/>
      <w:bookmarkStart w:id="62" w:name="_Toc184308090"/>
      <w:bookmarkEnd w:id="62"/>
      <w:bookmarkStart w:id="63" w:name="_Toc184312096"/>
      <w:bookmarkEnd w:id="63"/>
      <w:bookmarkStart w:id="64" w:name="_Toc184312068"/>
      <w:bookmarkEnd w:id="64"/>
      <w:bookmarkStart w:id="65" w:name="_Toc184313238"/>
      <w:bookmarkEnd w:id="65"/>
      <w:bookmarkStart w:id="66" w:name="_Toc184312101"/>
      <w:bookmarkEnd w:id="66"/>
      <w:bookmarkStart w:id="67" w:name="_Toc184308103"/>
      <w:bookmarkEnd w:id="67"/>
      <w:bookmarkStart w:id="68" w:name="_Toc184313241"/>
      <w:bookmarkEnd w:id="68"/>
      <w:bookmarkStart w:id="69" w:name="_Toc184308091"/>
      <w:bookmarkEnd w:id="69"/>
      <w:bookmarkStart w:id="70" w:name="_Toc184310343"/>
      <w:bookmarkEnd w:id="70"/>
      <w:bookmarkStart w:id="71" w:name="_Toc184313289"/>
      <w:bookmarkEnd w:id="71"/>
      <w:bookmarkStart w:id="72" w:name="_Toc184308043"/>
      <w:bookmarkEnd w:id="72"/>
      <w:bookmarkStart w:id="73" w:name="_Toc184312073"/>
      <w:bookmarkEnd w:id="73"/>
      <w:bookmarkStart w:id="74" w:name="_Toc184314470"/>
      <w:bookmarkEnd w:id="74"/>
      <w:bookmarkStart w:id="75" w:name="_Toc184313245"/>
      <w:bookmarkEnd w:id="75"/>
      <w:bookmarkStart w:id="76" w:name="_Toc184313265"/>
      <w:bookmarkEnd w:id="76"/>
      <w:bookmarkStart w:id="77" w:name="_Toc184313254"/>
      <w:bookmarkEnd w:id="77"/>
      <w:bookmarkStart w:id="78" w:name="_Toc184314462"/>
      <w:bookmarkEnd w:id="78"/>
      <w:bookmarkStart w:id="79" w:name="_Toc184312092"/>
      <w:bookmarkEnd w:id="79"/>
      <w:bookmarkStart w:id="80" w:name="_Toc184312097"/>
      <w:bookmarkEnd w:id="80"/>
      <w:bookmarkStart w:id="81" w:name="_Toc184314465"/>
      <w:bookmarkEnd w:id="81"/>
      <w:bookmarkStart w:id="82" w:name="_Toc184310281"/>
      <w:bookmarkEnd w:id="82"/>
      <w:bookmarkStart w:id="83" w:name="_Toc184313262"/>
      <w:bookmarkEnd w:id="83"/>
      <w:bookmarkStart w:id="84" w:name="_Toc184313299"/>
      <w:bookmarkEnd w:id="84"/>
      <w:bookmarkStart w:id="85" w:name="_Toc184308054"/>
      <w:bookmarkEnd w:id="85"/>
      <w:bookmarkStart w:id="86" w:name="_Toc184308048"/>
      <w:bookmarkEnd w:id="86"/>
      <w:bookmarkStart w:id="87" w:name="_Toc184308038"/>
      <w:bookmarkEnd w:id="87"/>
      <w:bookmarkStart w:id="88" w:name="_Toc184313285"/>
      <w:bookmarkEnd w:id="88"/>
      <w:bookmarkStart w:id="89" w:name="_Toc184308106"/>
      <w:bookmarkEnd w:id="89"/>
      <w:bookmarkStart w:id="90" w:name="_Toc184310299"/>
      <w:bookmarkEnd w:id="90"/>
      <w:bookmarkStart w:id="91" w:name="_Toc184313301"/>
      <w:bookmarkEnd w:id="91"/>
      <w:bookmarkStart w:id="92" w:name="_Toc184312089"/>
      <w:bookmarkEnd w:id="92"/>
      <w:bookmarkStart w:id="93" w:name="_Toc184314473"/>
      <w:bookmarkEnd w:id="93"/>
      <w:bookmarkStart w:id="94" w:name="_Toc184308037"/>
      <w:bookmarkEnd w:id="94"/>
      <w:bookmarkStart w:id="95" w:name="_Toc184308082"/>
      <w:bookmarkEnd w:id="95"/>
      <w:bookmarkStart w:id="96" w:name="_Toc184313260"/>
      <w:bookmarkEnd w:id="96"/>
      <w:bookmarkStart w:id="97" w:name="_Toc184312106"/>
      <w:bookmarkEnd w:id="97"/>
      <w:bookmarkStart w:id="98" w:name="_Toc184312072"/>
      <w:bookmarkEnd w:id="98"/>
      <w:bookmarkStart w:id="99" w:name="_Toc184313274"/>
      <w:bookmarkEnd w:id="99"/>
      <w:bookmarkStart w:id="100" w:name="_Toc184310322"/>
      <w:bookmarkEnd w:id="100"/>
      <w:bookmarkStart w:id="101" w:name="_Toc184314442"/>
      <w:bookmarkEnd w:id="101"/>
      <w:bookmarkStart w:id="102" w:name="_Toc184312115"/>
      <w:bookmarkEnd w:id="102"/>
      <w:bookmarkStart w:id="103" w:name="_Toc184312127"/>
      <w:bookmarkEnd w:id="103"/>
      <w:bookmarkStart w:id="104" w:name="_Toc184313243"/>
      <w:bookmarkEnd w:id="104"/>
      <w:bookmarkStart w:id="105" w:name="_Toc184314425"/>
      <w:bookmarkEnd w:id="105"/>
      <w:bookmarkStart w:id="106" w:name="_Toc184312110"/>
      <w:bookmarkEnd w:id="106"/>
      <w:bookmarkStart w:id="107" w:name="_Toc184312081"/>
      <w:bookmarkEnd w:id="107"/>
      <w:bookmarkStart w:id="108" w:name="_Toc184310275"/>
      <w:bookmarkEnd w:id="108"/>
      <w:bookmarkStart w:id="109" w:name="_Toc184308056"/>
      <w:bookmarkEnd w:id="109"/>
      <w:bookmarkStart w:id="110" w:name="_Toc184308065"/>
      <w:bookmarkEnd w:id="110"/>
      <w:bookmarkStart w:id="111" w:name="_Toc184313266"/>
      <w:bookmarkEnd w:id="111"/>
      <w:bookmarkStart w:id="112" w:name="_Toc184312120"/>
      <w:bookmarkEnd w:id="112"/>
      <w:bookmarkStart w:id="113" w:name="_Toc184310330"/>
      <w:bookmarkEnd w:id="113"/>
      <w:bookmarkStart w:id="114" w:name="_Toc184314457"/>
      <w:bookmarkEnd w:id="114"/>
      <w:bookmarkStart w:id="115" w:name="_Toc184310300"/>
      <w:bookmarkEnd w:id="115"/>
      <w:bookmarkStart w:id="116" w:name="_Toc184314438"/>
      <w:bookmarkEnd w:id="116"/>
      <w:bookmarkStart w:id="117" w:name="_Toc184314466"/>
      <w:bookmarkEnd w:id="117"/>
      <w:bookmarkStart w:id="118" w:name="_Toc184308040"/>
      <w:bookmarkEnd w:id="118"/>
      <w:bookmarkStart w:id="119" w:name="_Toc184308083"/>
      <w:bookmarkEnd w:id="119"/>
      <w:bookmarkStart w:id="120" w:name="_Toc184314459"/>
      <w:bookmarkEnd w:id="120"/>
      <w:bookmarkStart w:id="121" w:name="_Toc184312125"/>
      <w:bookmarkEnd w:id="121"/>
      <w:bookmarkStart w:id="122" w:name="_Toc184308058"/>
      <w:bookmarkEnd w:id="122"/>
      <w:bookmarkStart w:id="123" w:name="_Toc184314479"/>
      <w:bookmarkEnd w:id="123"/>
      <w:bookmarkStart w:id="124" w:name="_Toc184312074"/>
      <w:bookmarkEnd w:id="124"/>
      <w:bookmarkStart w:id="125" w:name="_Toc184313287"/>
      <w:bookmarkEnd w:id="125"/>
      <w:bookmarkStart w:id="126" w:name="_Toc184314434"/>
      <w:bookmarkEnd w:id="126"/>
      <w:bookmarkStart w:id="127" w:name="_Toc184310292"/>
      <w:bookmarkEnd w:id="127"/>
      <w:bookmarkStart w:id="128" w:name="_Toc184313290"/>
      <w:bookmarkEnd w:id="128"/>
      <w:bookmarkStart w:id="129" w:name="_Toc184310296"/>
      <w:bookmarkEnd w:id="129"/>
      <w:bookmarkStart w:id="130" w:name="_Toc184308061"/>
      <w:bookmarkEnd w:id="130"/>
      <w:bookmarkStart w:id="131" w:name="_Toc184313273"/>
      <w:bookmarkEnd w:id="131"/>
      <w:bookmarkStart w:id="132" w:name="_Toc184310307"/>
      <w:bookmarkEnd w:id="132"/>
      <w:bookmarkStart w:id="133" w:name="_Toc184312121"/>
      <w:bookmarkEnd w:id="133"/>
      <w:bookmarkStart w:id="134" w:name="_Toc184313257"/>
      <w:bookmarkEnd w:id="134"/>
      <w:bookmarkStart w:id="135" w:name="_Toc184313300"/>
      <w:bookmarkEnd w:id="135"/>
      <w:bookmarkStart w:id="136" w:name="_Toc184312102"/>
      <w:bookmarkEnd w:id="136"/>
      <w:bookmarkStart w:id="137" w:name="_Toc184308102"/>
      <w:bookmarkEnd w:id="137"/>
      <w:bookmarkStart w:id="138" w:name="_Toc184308097"/>
      <w:bookmarkEnd w:id="138"/>
      <w:bookmarkStart w:id="139" w:name="_Toc184308093"/>
      <w:bookmarkEnd w:id="139"/>
      <w:bookmarkStart w:id="140" w:name="_Toc184312087"/>
      <w:bookmarkEnd w:id="140"/>
      <w:bookmarkStart w:id="141" w:name="_Toc184312135"/>
      <w:bookmarkEnd w:id="141"/>
      <w:bookmarkStart w:id="142" w:name="_Toc184308105"/>
      <w:bookmarkEnd w:id="142"/>
      <w:bookmarkStart w:id="143" w:name="_Toc184310301"/>
      <w:bookmarkEnd w:id="143"/>
      <w:bookmarkStart w:id="144" w:name="_Toc184308069"/>
      <w:bookmarkEnd w:id="144"/>
      <w:bookmarkStart w:id="145" w:name="_Toc184314441"/>
      <w:bookmarkEnd w:id="145"/>
      <w:bookmarkStart w:id="146" w:name="_Toc184314474"/>
      <w:bookmarkEnd w:id="146"/>
      <w:bookmarkStart w:id="147" w:name="_Toc184308094"/>
      <w:bookmarkEnd w:id="147"/>
      <w:bookmarkStart w:id="148" w:name="_Toc184314448"/>
      <w:bookmarkEnd w:id="148"/>
      <w:bookmarkStart w:id="149" w:name="_Toc184308104"/>
      <w:bookmarkEnd w:id="149"/>
      <w:bookmarkStart w:id="150" w:name="_Toc184308096"/>
      <w:bookmarkEnd w:id="150"/>
      <w:bookmarkStart w:id="151" w:name="_Toc184310309"/>
      <w:bookmarkEnd w:id="151"/>
      <w:bookmarkStart w:id="152" w:name="_Toc184312083"/>
      <w:bookmarkEnd w:id="152"/>
      <w:bookmarkStart w:id="153" w:name="_Toc184312099"/>
      <w:bookmarkEnd w:id="153"/>
      <w:bookmarkStart w:id="154" w:name="_Toc184314433"/>
      <w:bookmarkEnd w:id="154"/>
      <w:bookmarkStart w:id="155" w:name="_Toc184310321"/>
      <w:bookmarkEnd w:id="155"/>
      <w:bookmarkStart w:id="156" w:name="_Toc184308064"/>
      <w:bookmarkEnd w:id="156"/>
      <w:bookmarkStart w:id="157" w:name="_Toc184313297"/>
      <w:bookmarkEnd w:id="157"/>
      <w:bookmarkStart w:id="158" w:name="_Toc184314463"/>
      <w:bookmarkEnd w:id="158"/>
      <w:bookmarkStart w:id="159" w:name="_Toc184312108"/>
      <w:bookmarkEnd w:id="159"/>
      <w:bookmarkStart w:id="160" w:name="_Toc184313279"/>
      <w:bookmarkEnd w:id="160"/>
      <w:bookmarkStart w:id="161" w:name="_Toc184313303"/>
      <w:bookmarkEnd w:id="161"/>
      <w:bookmarkStart w:id="162" w:name="_Toc184314468"/>
      <w:bookmarkEnd w:id="162"/>
      <w:bookmarkStart w:id="163" w:name="_Toc184313302"/>
      <w:bookmarkEnd w:id="163"/>
      <w:bookmarkStart w:id="164" w:name="_Toc184310294"/>
      <w:bookmarkEnd w:id="164"/>
      <w:bookmarkStart w:id="165" w:name="_Toc184314416"/>
      <w:bookmarkEnd w:id="165"/>
      <w:bookmarkStart w:id="166" w:name="_Toc184312076"/>
      <w:bookmarkEnd w:id="166"/>
      <w:bookmarkStart w:id="167" w:name="_Toc184312070"/>
      <w:bookmarkEnd w:id="167"/>
      <w:bookmarkStart w:id="168" w:name="_Toc184313272"/>
      <w:bookmarkEnd w:id="168"/>
      <w:bookmarkStart w:id="169" w:name="_Toc184314481"/>
      <w:bookmarkEnd w:id="169"/>
      <w:bookmarkStart w:id="170" w:name="_Toc184310303"/>
      <w:bookmarkEnd w:id="170"/>
      <w:bookmarkStart w:id="171" w:name="_Toc184308055"/>
      <w:bookmarkEnd w:id="171"/>
      <w:bookmarkStart w:id="172" w:name="_Toc184310291"/>
      <w:bookmarkEnd w:id="172"/>
      <w:bookmarkStart w:id="173" w:name="_Toc184314446"/>
      <w:bookmarkEnd w:id="173"/>
      <w:bookmarkStart w:id="174" w:name="_Toc184313239"/>
      <w:bookmarkEnd w:id="174"/>
      <w:bookmarkStart w:id="175" w:name="_Toc184312071"/>
      <w:bookmarkEnd w:id="175"/>
      <w:bookmarkStart w:id="176" w:name="_Toc184312107"/>
      <w:bookmarkEnd w:id="176"/>
      <w:bookmarkStart w:id="177" w:name="_Toc184310286"/>
      <w:bookmarkEnd w:id="177"/>
      <w:bookmarkStart w:id="178" w:name="_Toc184310276"/>
      <w:bookmarkEnd w:id="178"/>
      <w:bookmarkStart w:id="179" w:name="_Toc184310279"/>
      <w:bookmarkEnd w:id="179"/>
      <w:bookmarkStart w:id="180" w:name="_Toc184314422"/>
      <w:bookmarkEnd w:id="180"/>
      <w:bookmarkStart w:id="181" w:name="_Toc184308051"/>
      <w:bookmarkEnd w:id="181"/>
      <w:bookmarkStart w:id="182" w:name="_Toc184308045"/>
      <w:bookmarkEnd w:id="182"/>
      <w:bookmarkStart w:id="183" w:name="_Toc184310341"/>
      <w:bookmarkEnd w:id="183"/>
      <w:bookmarkStart w:id="184" w:name="_Toc184310290"/>
      <w:bookmarkEnd w:id="184"/>
      <w:bookmarkStart w:id="185" w:name="_Toc184313276"/>
      <w:bookmarkEnd w:id="185"/>
      <w:bookmarkStart w:id="186" w:name="_Toc184312111"/>
      <w:bookmarkEnd w:id="186"/>
      <w:bookmarkStart w:id="187" w:name="_Toc184314456"/>
      <w:bookmarkEnd w:id="187"/>
      <w:bookmarkStart w:id="188" w:name="_Toc184310337"/>
      <w:bookmarkEnd w:id="188"/>
      <w:bookmarkStart w:id="189" w:name="_Toc184313267"/>
      <w:bookmarkEnd w:id="189"/>
      <w:bookmarkStart w:id="190" w:name="_Toc184308066"/>
      <w:bookmarkEnd w:id="190"/>
      <w:bookmarkStart w:id="191" w:name="_Toc184312137"/>
      <w:bookmarkEnd w:id="191"/>
      <w:bookmarkStart w:id="192" w:name="_Toc184308071"/>
      <w:bookmarkEnd w:id="192"/>
      <w:bookmarkStart w:id="193" w:name="_Toc184308087"/>
      <w:bookmarkEnd w:id="193"/>
      <w:bookmarkStart w:id="194" w:name="_Toc184310335"/>
      <w:bookmarkEnd w:id="194"/>
      <w:bookmarkStart w:id="195" w:name="_Toc184313288"/>
      <w:bookmarkEnd w:id="195"/>
      <w:bookmarkStart w:id="196" w:name="_Toc184313249"/>
      <w:bookmarkEnd w:id="196"/>
      <w:bookmarkStart w:id="197" w:name="_Toc184314482"/>
      <w:bookmarkEnd w:id="197"/>
      <w:bookmarkStart w:id="198" w:name="_Toc184308044"/>
      <w:bookmarkEnd w:id="198"/>
      <w:bookmarkStart w:id="199" w:name="_Toc184312109"/>
      <w:bookmarkEnd w:id="199"/>
      <w:bookmarkStart w:id="200" w:name="_Toc184310274"/>
      <w:bookmarkEnd w:id="200"/>
      <w:bookmarkStart w:id="201" w:name="_Toc184308059"/>
      <w:bookmarkEnd w:id="201"/>
      <w:bookmarkStart w:id="202" w:name="_Toc184312082"/>
      <w:bookmarkEnd w:id="202"/>
      <w:bookmarkStart w:id="203" w:name="_Toc184314412"/>
      <w:bookmarkEnd w:id="203"/>
      <w:bookmarkStart w:id="204" w:name="_Toc184310326"/>
      <w:bookmarkEnd w:id="204"/>
      <w:bookmarkStart w:id="205" w:name="_Toc184310342"/>
      <w:bookmarkEnd w:id="205"/>
      <w:bookmarkStart w:id="206" w:name="_Toc184312085"/>
      <w:bookmarkEnd w:id="206"/>
      <w:bookmarkStart w:id="207" w:name="_Toc184313281"/>
      <w:bookmarkEnd w:id="207"/>
      <w:bookmarkStart w:id="208" w:name="_Toc184310328"/>
      <w:bookmarkEnd w:id="208"/>
      <w:bookmarkStart w:id="209" w:name="_Toc184310316"/>
      <w:bookmarkEnd w:id="209"/>
      <w:bookmarkStart w:id="210" w:name="_Toc184308075"/>
      <w:bookmarkEnd w:id="210"/>
      <w:bookmarkStart w:id="211" w:name="_Toc184310325"/>
      <w:bookmarkEnd w:id="211"/>
      <w:bookmarkStart w:id="212" w:name="_Toc184308107"/>
      <w:bookmarkEnd w:id="212"/>
      <w:bookmarkStart w:id="213" w:name="_Toc184310333"/>
      <w:bookmarkEnd w:id="213"/>
      <w:bookmarkStart w:id="214" w:name="_Toc184313308"/>
      <w:bookmarkEnd w:id="214"/>
      <w:bookmarkStart w:id="215" w:name="_Toc184308067"/>
      <w:bookmarkEnd w:id="215"/>
      <w:bookmarkStart w:id="216" w:name="_Toc184314480"/>
      <w:bookmarkEnd w:id="216"/>
      <w:bookmarkStart w:id="217" w:name="_Toc184308062"/>
      <w:bookmarkEnd w:id="217"/>
      <w:bookmarkStart w:id="218" w:name="_Toc184310308"/>
      <w:bookmarkEnd w:id="218"/>
      <w:bookmarkStart w:id="219" w:name="_Toc184314467"/>
      <w:bookmarkEnd w:id="219"/>
      <w:bookmarkStart w:id="220" w:name="_Toc184314417"/>
      <w:bookmarkEnd w:id="220"/>
      <w:bookmarkStart w:id="221" w:name="_Toc184313298"/>
      <w:bookmarkEnd w:id="221"/>
      <w:bookmarkStart w:id="222" w:name="_Toc184314431"/>
      <w:bookmarkEnd w:id="222"/>
      <w:bookmarkStart w:id="223" w:name="_Toc184314439"/>
      <w:bookmarkEnd w:id="223"/>
      <w:bookmarkStart w:id="224" w:name="_Toc184310277"/>
      <w:bookmarkEnd w:id="224"/>
      <w:bookmarkStart w:id="225" w:name="_Toc184308084"/>
      <w:bookmarkEnd w:id="225"/>
      <w:bookmarkStart w:id="226" w:name="_Toc184310315"/>
      <w:bookmarkEnd w:id="226"/>
      <w:bookmarkStart w:id="227" w:name="_Toc184312116"/>
      <w:bookmarkEnd w:id="227"/>
      <w:bookmarkStart w:id="228" w:name="_Toc184313248"/>
      <w:bookmarkEnd w:id="228"/>
      <w:bookmarkStart w:id="229" w:name="_Toc184310288"/>
      <w:bookmarkEnd w:id="229"/>
      <w:bookmarkStart w:id="230" w:name="_Toc184310289"/>
      <w:bookmarkEnd w:id="230"/>
      <w:bookmarkStart w:id="231" w:name="_Toc184308070"/>
      <w:bookmarkEnd w:id="231"/>
      <w:bookmarkStart w:id="232" w:name="_Toc184308089"/>
      <w:bookmarkEnd w:id="232"/>
      <w:bookmarkStart w:id="233" w:name="_Toc184314449"/>
      <w:bookmarkEnd w:id="233"/>
      <w:bookmarkStart w:id="234" w:name="_Toc184312128"/>
      <w:bookmarkEnd w:id="234"/>
      <w:bookmarkStart w:id="235" w:name="_Toc184310297"/>
      <w:bookmarkEnd w:id="235"/>
      <w:bookmarkStart w:id="236" w:name="_Toc184312113"/>
      <w:bookmarkEnd w:id="236"/>
      <w:bookmarkStart w:id="237" w:name="_Toc184313256"/>
      <w:bookmarkEnd w:id="237"/>
      <w:bookmarkStart w:id="238" w:name="_Toc184314477"/>
      <w:bookmarkEnd w:id="238"/>
      <w:bookmarkStart w:id="239" w:name="_Toc184310317"/>
      <w:bookmarkEnd w:id="239"/>
      <w:bookmarkStart w:id="240" w:name="_Toc184313294"/>
      <w:bookmarkEnd w:id="240"/>
      <w:bookmarkStart w:id="241" w:name="_Toc184314432"/>
      <w:bookmarkEnd w:id="241"/>
      <w:bookmarkStart w:id="242" w:name="_Toc184313253"/>
      <w:bookmarkEnd w:id="242"/>
      <w:bookmarkStart w:id="243" w:name="_Toc184312098"/>
      <w:bookmarkEnd w:id="243"/>
      <w:bookmarkStart w:id="244" w:name="_Toc184312139"/>
      <w:bookmarkEnd w:id="244"/>
      <w:bookmarkStart w:id="245" w:name="_Toc184308041"/>
      <w:bookmarkEnd w:id="245"/>
      <w:bookmarkStart w:id="246" w:name="_Toc184314447"/>
      <w:bookmarkEnd w:id="246"/>
      <w:bookmarkStart w:id="247" w:name="_Toc184312079"/>
      <w:bookmarkEnd w:id="247"/>
      <w:bookmarkStart w:id="248" w:name="_Toc184310344"/>
      <w:bookmarkEnd w:id="248"/>
      <w:bookmarkStart w:id="249" w:name="_Toc184308088"/>
      <w:bookmarkEnd w:id="249"/>
      <w:bookmarkStart w:id="250" w:name="_Toc184313264"/>
      <w:bookmarkEnd w:id="250"/>
      <w:bookmarkStart w:id="251" w:name="_Toc184314453"/>
      <w:bookmarkEnd w:id="251"/>
      <w:bookmarkStart w:id="252" w:name="_Toc184310329"/>
      <w:bookmarkEnd w:id="252"/>
      <w:bookmarkStart w:id="253" w:name="_Toc184314419"/>
      <w:bookmarkEnd w:id="253"/>
      <w:bookmarkStart w:id="254" w:name="_Toc184312077"/>
      <w:bookmarkEnd w:id="254"/>
      <w:bookmarkStart w:id="255" w:name="_Toc184310287"/>
      <w:bookmarkEnd w:id="255"/>
      <w:bookmarkStart w:id="256" w:name="_Toc184308078"/>
      <w:bookmarkEnd w:id="256"/>
      <w:bookmarkStart w:id="257" w:name="_Toc184313270"/>
      <w:bookmarkEnd w:id="257"/>
      <w:bookmarkStart w:id="258" w:name="_Toc184312078"/>
      <w:bookmarkEnd w:id="258"/>
      <w:bookmarkStart w:id="259" w:name="_Toc184308099"/>
      <w:bookmarkEnd w:id="259"/>
      <w:bookmarkStart w:id="260" w:name="_Toc184314476"/>
      <w:bookmarkEnd w:id="260"/>
      <w:bookmarkStart w:id="261" w:name="_Toc184314461"/>
      <w:bookmarkEnd w:id="261"/>
      <w:bookmarkStart w:id="262" w:name="_Toc184313242"/>
      <w:bookmarkEnd w:id="262"/>
      <w:bookmarkStart w:id="263" w:name="_Toc184314420"/>
      <w:bookmarkEnd w:id="263"/>
      <w:bookmarkStart w:id="264" w:name="_Toc184312095"/>
      <w:bookmarkEnd w:id="264"/>
      <w:bookmarkStart w:id="265" w:name="_Toc184312084"/>
      <w:bookmarkEnd w:id="265"/>
      <w:bookmarkStart w:id="266" w:name="_Toc184308042"/>
      <w:bookmarkEnd w:id="266"/>
      <w:bookmarkStart w:id="267" w:name="_Toc184312118"/>
      <w:bookmarkEnd w:id="267"/>
      <w:bookmarkStart w:id="268" w:name="_Toc184308074"/>
      <w:bookmarkEnd w:id="268"/>
      <w:bookmarkStart w:id="269" w:name="_Toc184313293"/>
      <w:bookmarkEnd w:id="269"/>
      <w:bookmarkStart w:id="270" w:name="_Toc184308081"/>
      <w:bookmarkEnd w:id="270"/>
      <w:bookmarkStart w:id="271" w:name="_Toc184314464"/>
      <w:bookmarkEnd w:id="271"/>
      <w:bookmarkStart w:id="272" w:name="_Toc184314428"/>
      <w:bookmarkEnd w:id="272"/>
      <w:bookmarkStart w:id="273" w:name="_Toc184312129"/>
      <w:bookmarkEnd w:id="273"/>
      <w:bookmarkStart w:id="274" w:name="_Toc184313244"/>
      <w:bookmarkEnd w:id="274"/>
      <w:bookmarkStart w:id="275" w:name="_Toc184312086"/>
      <w:bookmarkEnd w:id="275"/>
      <w:bookmarkStart w:id="276" w:name="_Toc184310318"/>
      <w:bookmarkEnd w:id="276"/>
      <w:bookmarkStart w:id="277" w:name="_Toc184314444"/>
      <w:bookmarkEnd w:id="277"/>
      <w:bookmarkStart w:id="278" w:name="_Toc184314460"/>
      <w:bookmarkEnd w:id="278"/>
      <w:bookmarkStart w:id="279" w:name="_Toc184314427"/>
      <w:bookmarkEnd w:id="279"/>
      <w:bookmarkStart w:id="280" w:name="_Toc184308092"/>
      <w:bookmarkEnd w:id="280"/>
      <w:bookmarkStart w:id="281" w:name="_Toc184313251"/>
      <w:bookmarkEnd w:id="281"/>
      <w:bookmarkStart w:id="282" w:name="_Toc184312123"/>
      <w:bookmarkEnd w:id="282"/>
      <w:bookmarkStart w:id="283" w:name="_Toc184308077"/>
      <w:bookmarkEnd w:id="283"/>
      <w:bookmarkStart w:id="284" w:name="_Toc184312067"/>
      <w:bookmarkEnd w:id="284"/>
      <w:bookmarkStart w:id="285" w:name="_Toc184314445"/>
      <w:bookmarkEnd w:id="285"/>
      <w:bookmarkStart w:id="286" w:name="_Toc184313263"/>
      <w:bookmarkEnd w:id="286"/>
      <w:bookmarkStart w:id="287" w:name="_Toc184312091"/>
      <w:bookmarkEnd w:id="287"/>
      <w:bookmarkStart w:id="288" w:name="_Toc184314429"/>
      <w:bookmarkEnd w:id="288"/>
      <w:bookmarkStart w:id="289" w:name="_Toc184314436"/>
      <w:bookmarkEnd w:id="289"/>
      <w:bookmarkStart w:id="290" w:name="_Toc184308072"/>
      <w:bookmarkEnd w:id="290"/>
      <w:bookmarkStart w:id="291" w:name="_Toc184310338"/>
      <w:bookmarkEnd w:id="291"/>
      <w:bookmarkStart w:id="292" w:name="_Toc184313295"/>
      <w:bookmarkEnd w:id="292"/>
      <w:bookmarkStart w:id="293" w:name="_Toc184310272"/>
      <w:bookmarkEnd w:id="293"/>
      <w:bookmarkStart w:id="294" w:name="_Toc184314450"/>
      <w:bookmarkEnd w:id="294"/>
      <w:bookmarkStart w:id="295" w:name="_Toc184314415"/>
      <w:bookmarkEnd w:id="295"/>
      <w:bookmarkStart w:id="296" w:name="_Toc184310334"/>
      <w:bookmarkEnd w:id="296"/>
      <w:bookmarkStart w:id="297" w:name="_Toc184310312"/>
      <w:bookmarkEnd w:id="297"/>
      <w:bookmarkStart w:id="298" w:name="_Toc184314454"/>
      <w:bookmarkEnd w:id="298"/>
      <w:bookmarkStart w:id="299" w:name="_Toc184313250"/>
      <w:bookmarkEnd w:id="299"/>
      <w:bookmarkStart w:id="300" w:name="_Toc184310283"/>
      <w:bookmarkEnd w:id="300"/>
      <w:bookmarkStart w:id="301" w:name="_Toc184313261"/>
      <w:bookmarkEnd w:id="301"/>
      <w:bookmarkStart w:id="302" w:name="_Toc184310336"/>
      <w:bookmarkEnd w:id="302"/>
      <w:bookmarkStart w:id="303" w:name="_Toc184312136"/>
      <w:bookmarkEnd w:id="303"/>
      <w:bookmarkStart w:id="304" w:name="_Toc184314469"/>
      <w:bookmarkEnd w:id="304"/>
      <w:bookmarkStart w:id="305" w:name="_Toc184308108"/>
      <w:bookmarkEnd w:id="305"/>
      <w:bookmarkStart w:id="306" w:name="_Toc184312131"/>
      <w:bookmarkEnd w:id="306"/>
      <w:bookmarkStart w:id="307" w:name="_Toc184310284"/>
      <w:bookmarkEnd w:id="307"/>
      <w:bookmarkStart w:id="308" w:name="_Toc184308100"/>
      <w:bookmarkEnd w:id="308"/>
      <w:bookmarkStart w:id="309" w:name="_Toc184313269"/>
      <w:bookmarkEnd w:id="309"/>
      <w:bookmarkStart w:id="310" w:name="_Toc184312114"/>
      <w:bookmarkEnd w:id="310"/>
      <w:bookmarkStart w:id="311" w:name="_Toc184312094"/>
      <w:bookmarkEnd w:id="311"/>
      <w:bookmarkStart w:id="312" w:name="_Toc184312104"/>
      <w:bookmarkEnd w:id="312"/>
      <w:bookmarkStart w:id="313" w:name="_Toc184312133"/>
      <w:bookmarkEnd w:id="313"/>
      <w:bookmarkStart w:id="314" w:name="_Toc184312112"/>
      <w:bookmarkEnd w:id="314"/>
      <w:bookmarkStart w:id="315" w:name="_Toc184310314"/>
      <w:bookmarkEnd w:id="315"/>
      <w:bookmarkStart w:id="316" w:name="_Toc184308079"/>
      <w:bookmarkEnd w:id="316"/>
      <w:bookmarkStart w:id="317" w:name="_Toc184314421"/>
      <w:bookmarkEnd w:id="317"/>
      <w:bookmarkStart w:id="318" w:name="_Toc184310327"/>
      <w:bookmarkEnd w:id="318"/>
      <w:bookmarkStart w:id="319" w:name="_Toc184314452"/>
      <w:bookmarkEnd w:id="319"/>
      <w:bookmarkStart w:id="320" w:name="_Toc184313277"/>
      <w:bookmarkEnd w:id="320"/>
      <w:bookmarkStart w:id="321" w:name="_Toc184314423"/>
      <w:bookmarkEnd w:id="321"/>
      <w:bookmarkStart w:id="322" w:name="_Toc184308039"/>
      <w:bookmarkEnd w:id="322"/>
      <w:bookmarkStart w:id="323" w:name="_Toc184313280"/>
      <w:bookmarkEnd w:id="323"/>
      <w:bookmarkStart w:id="324" w:name="_Toc184312124"/>
      <w:bookmarkEnd w:id="324"/>
      <w:bookmarkStart w:id="325" w:name="_Toc184313291"/>
      <w:bookmarkEnd w:id="325"/>
      <w:bookmarkStart w:id="326" w:name="_Toc184314478"/>
      <w:bookmarkEnd w:id="326"/>
      <w:bookmarkStart w:id="327" w:name="_Toc184312126"/>
      <w:bookmarkEnd w:id="327"/>
      <w:bookmarkStart w:id="328" w:name="_Toc184312090"/>
      <w:bookmarkEnd w:id="328"/>
      <w:bookmarkStart w:id="329" w:name="_Toc184313278"/>
      <w:bookmarkEnd w:id="329"/>
      <w:bookmarkStart w:id="330" w:name="_Toc184310295"/>
      <w:bookmarkEnd w:id="330"/>
      <w:bookmarkStart w:id="331" w:name="_Toc184308046"/>
      <w:bookmarkEnd w:id="331"/>
      <w:bookmarkStart w:id="332" w:name="_Toc184310280"/>
      <w:bookmarkEnd w:id="332"/>
      <w:bookmarkStart w:id="333" w:name="_Toc184312093"/>
      <w:bookmarkEnd w:id="333"/>
      <w:bookmarkStart w:id="334" w:name="_Toc184310305"/>
      <w:bookmarkEnd w:id="334"/>
      <w:bookmarkStart w:id="335" w:name="_Toc184313282"/>
      <w:bookmarkEnd w:id="335"/>
      <w:bookmarkStart w:id="336" w:name="_Toc184310304"/>
      <w:bookmarkEnd w:id="336"/>
      <w:bookmarkStart w:id="337" w:name="_Toc184308101"/>
      <w:bookmarkEnd w:id="337"/>
      <w:bookmarkStart w:id="338" w:name="_Toc184313247"/>
      <w:bookmarkEnd w:id="338"/>
      <w:bookmarkStart w:id="339" w:name="_Toc184312075"/>
      <w:bookmarkEnd w:id="339"/>
      <w:bookmarkStart w:id="340" w:name="_Toc184308047"/>
      <w:bookmarkEnd w:id="340"/>
      <w:bookmarkStart w:id="341" w:name="_Toc184310285"/>
      <w:bookmarkEnd w:id="341"/>
      <w:bookmarkStart w:id="342" w:name="_Toc184313306"/>
      <w:bookmarkEnd w:id="342"/>
      <w:bookmarkStart w:id="343" w:name="_Toc184314411"/>
      <w:bookmarkEnd w:id="343"/>
      <w:bookmarkStart w:id="344" w:name="_Toc184312130"/>
      <w:bookmarkEnd w:id="344"/>
      <w:bookmarkStart w:id="345" w:name="_Toc184314424"/>
      <w:bookmarkEnd w:id="345"/>
      <w:bookmarkStart w:id="346" w:name="_Toc184308095"/>
      <w:bookmarkEnd w:id="346"/>
      <w:bookmarkStart w:id="347" w:name="_Toc184310323"/>
      <w:bookmarkEnd w:id="347"/>
      <w:bookmarkStart w:id="348" w:name="_Toc184312088"/>
      <w:bookmarkEnd w:id="348"/>
      <w:bookmarkStart w:id="349" w:name="_Toc184308063"/>
      <w:bookmarkEnd w:id="349"/>
      <w:bookmarkStart w:id="350" w:name="_Toc184314472"/>
      <w:bookmarkEnd w:id="350"/>
      <w:bookmarkStart w:id="351" w:name="_Toc184313252"/>
      <w:bookmarkEnd w:id="351"/>
      <w:bookmarkStart w:id="352" w:name="_Toc184314414"/>
      <w:bookmarkEnd w:id="352"/>
      <w:bookmarkStart w:id="353" w:name="_Toc184313246"/>
      <w:bookmarkEnd w:id="353"/>
      <w:bookmarkStart w:id="354" w:name="_Toc184310306"/>
      <w:bookmarkEnd w:id="354"/>
      <w:bookmarkStart w:id="355" w:name="_Toc184310332"/>
      <w:bookmarkEnd w:id="355"/>
      <w:bookmarkStart w:id="356" w:name="_Toc184312138"/>
      <w:bookmarkEnd w:id="356"/>
      <w:bookmarkStart w:id="357" w:name="_Toc184308068"/>
      <w:bookmarkEnd w:id="357"/>
      <w:bookmarkStart w:id="358" w:name="_Toc184313296"/>
      <w:bookmarkEnd w:id="358"/>
      <w:bookmarkStart w:id="359" w:name="_Toc184308085"/>
      <w:bookmarkEnd w:id="359"/>
      <w:bookmarkStart w:id="360" w:name="_Toc184310273"/>
      <w:bookmarkEnd w:id="360"/>
      <w:bookmarkStart w:id="361" w:name="_Toc184310340"/>
      <w:bookmarkEnd w:id="361"/>
      <w:bookmarkStart w:id="362" w:name="_Toc184313275"/>
      <w:bookmarkEnd w:id="362"/>
      <w:bookmarkStart w:id="363" w:name="_Toc184312080"/>
      <w:bookmarkEnd w:id="363"/>
      <w:bookmarkStart w:id="364" w:name="_Toc184313284"/>
      <w:bookmarkEnd w:id="364"/>
      <w:bookmarkStart w:id="365" w:name="_Toc184310313"/>
      <w:bookmarkEnd w:id="365"/>
      <w:bookmarkStart w:id="366" w:name="_Toc184308049"/>
      <w:bookmarkEnd w:id="366"/>
      <w:bookmarkStart w:id="367" w:name="_Toc184314430"/>
      <w:bookmarkEnd w:id="367"/>
      <w:bookmarkStart w:id="368" w:name="_Toc184310320"/>
      <w:bookmarkEnd w:id="368"/>
      <w:bookmarkStart w:id="369" w:name="_Toc184308036"/>
      <w:bookmarkEnd w:id="369"/>
      <w:bookmarkStart w:id="370" w:name="_Toc184313305"/>
      <w:bookmarkEnd w:id="370"/>
      <w:bookmarkStart w:id="371" w:name="_Toc184310293"/>
      <w:bookmarkEnd w:id="371"/>
      <w:bookmarkStart w:id="372" w:name="_Toc184310324"/>
      <w:bookmarkEnd w:id="372"/>
      <w:bookmarkStart w:id="373" w:name="_Toc184310282"/>
      <w:bookmarkEnd w:id="373"/>
      <w:bookmarkStart w:id="374" w:name="_Toc184314413"/>
      <w:bookmarkEnd w:id="374"/>
      <w:bookmarkStart w:id="375" w:name="_Toc184312117"/>
      <w:bookmarkEnd w:id="375"/>
      <w:bookmarkStart w:id="376" w:name="_Toc184314475"/>
      <w:bookmarkEnd w:id="376"/>
      <w:bookmarkStart w:id="377" w:name="_Toc184308098"/>
      <w:bookmarkEnd w:id="377"/>
      <w:bookmarkStart w:id="378" w:name="_Toc184314437"/>
      <w:bookmarkEnd w:id="378"/>
      <w:bookmarkStart w:id="379" w:name="_Toc184313271"/>
      <w:bookmarkEnd w:id="379"/>
      <w:bookmarkStart w:id="380" w:name="_Toc184310310"/>
      <w:bookmarkEnd w:id="380"/>
      <w:bookmarkStart w:id="381" w:name="_Toc184310298"/>
      <w:bookmarkEnd w:id="381"/>
      <w:bookmarkStart w:id="382" w:name="_Toc184312103"/>
      <w:bookmarkEnd w:id="382"/>
      <w:bookmarkStart w:id="383" w:name="_Toc184308080"/>
      <w:bookmarkEnd w:id="383"/>
      <w:bookmarkStart w:id="384" w:name="_Toc184308073"/>
      <w:bookmarkEnd w:id="384"/>
      <w:bookmarkStart w:id="385" w:name="_Toc184313255"/>
      <w:bookmarkEnd w:id="385"/>
      <w:bookmarkStart w:id="386" w:name="_Toc184310319"/>
      <w:bookmarkEnd w:id="386"/>
      <w:bookmarkStart w:id="387" w:name="_Toc184313283"/>
      <w:bookmarkEnd w:id="387"/>
      <w:bookmarkStart w:id="388" w:name="_Toc184310302"/>
      <w:bookmarkEnd w:id="388"/>
      <w:bookmarkStart w:id="389" w:name="_Toc184314426"/>
      <w:bookmarkEnd w:id="389"/>
      <w:bookmarkStart w:id="390" w:name="_Toc184308050"/>
      <w:bookmarkEnd w:id="390"/>
      <w:bookmarkStart w:id="391" w:name="_Toc184312119"/>
      <w:bookmarkEnd w:id="391"/>
      <w:bookmarkStart w:id="392" w:name="_Toc184313258"/>
      <w:bookmarkEnd w:id="392"/>
      <w:bookmarkStart w:id="393" w:name="_Toc184312132"/>
      <w:bookmarkEnd w:id="393"/>
      <w:bookmarkStart w:id="394" w:name="_Toc184313310"/>
      <w:bookmarkEnd w:id="394"/>
      <w:bookmarkStart w:id="395" w:name="_Toc184314455"/>
      <w:bookmarkEnd w:id="395"/>
      <w:bookmarkStart w:id="396" w:name="_Toc184314435"/>
      <w:bookmarkEnd w:id="396"/>
      <w:bookmarkStart w:id="397" w:name="_Toc184314451"/>
      <w:bookmarkEnd w:id="397"/>
      <w:bookmarkStart w:id="398" w:name="_Toc184313307"/>
      <w:bookmarkEnd w:id="398"/>
      <w:bookmarkStart w:id="399" w:name="_Toc184308053"/>
      <w:bookmarkEnd w:id="399"/>
      <w:bookmarkStart w:id="400" w:name="_Toc184314471"/>
      <w:bookmarkEnd w:id="400"/>
      <w:bookmarkStart w:id="401" w:name="_Toc184313309"/>
      <w:bookmarkEnd w:id="401"/>
      <w:bookmarkStart w:id="402" w:name="_Toc184313240"/>
      <w:bookmarkEnd w:id="402"/>
      <w:bookmarkStart w:id="403" w:name="_Toc184308060"/>
      <w:bookmarkEnd w:id="403"/>
      <w:bookmarkStart w:id="404" w:name="_Toc184308052"/>
      <w:bookmarkEnd w:id="404"/>
      <w:bookmarkStart w:id="405" w:name="_Toc184313292"/>
      <w:bookmarkEnd w:id="405"/>
      <w:bookmarkStart w:id="406" w:name="_Toc184312134"/>
      <w:bookmarkEnd w:id="406"/>
      <w:bookmarkStart w:id="407" w:name="_Toc184314410"/>
      <w:bookmarkEnd w:id="407"/>
      <w:bookmarkStart w:id="408" w:name="_Toc184314418"/>
      <w:bookmarkEnd w:id="408"/>
      <w:bookmarkStart w:id="409" w:name="_Toc184308076"/>
      <w:bookmarkEnd w:id="409"/>
      <w:bookmarkStart w:id="410" w:name="_Toc184313286"/>
      <w:bookmarkEnd w:id="410"/>
      <w:bookmarkStart w:id="411" w:name="_Toc184313268"/>
      <w:bookmarkEnd w:id="411"/>
      <w:r>
        <w:rPr>
          <w:rFonts w:hint="eastAsia" w:ascii="宋体" w:hAnsi="宋体" w:cs="宋体"/>
          <w:b/>
          <w:sz w:val="36"/>
          <w:szCs w:val="36"/>
          <w:highlight w:val="none"/>
        </w:rPr>
        <w:t>评标办法</w:t>
      </w:r>
    </w:p>
    <w:tbl>
      <w:tblPr>
        <w:tblStyle w:val="64"/>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387"/>
        <w:gridCol w:w="567"/>
        <w:gridCol w:w="1170"/>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62" w:type="dxa"/>
            <w:vAlign w:val="center"/>
          </w:tcPr>
          <w:p>
            <w:pPr>
              <w:snapToGrid w:val="0"/>
              <w:spacing w:line="360" w:lineRule="exact"/>
              <w:jc w:val="center"/>
              <w:rPr>
                <w:rFonts w:cs="仿宋_GB2312" w:asciiTheme="minorEastAsia" w:hAnsiTheme="minorEastAsia" w:eastAsiaTheme="minorEastAsia"/>
                <w:b/>
                <w:bCs/>
                <w:sz w:val="21"/>
                <w:szCs w:val="21"/>
                <w:highlight w:val="none"/>
              </w:rPr>
            </w:pPr>
            <w:r>
              <w:rPr>
                <w:rFonts w:hint="eastAsia" w:cs="仿宋_GB2312" w:asciiTheme="minorEastAsia" w:hAnsiTheme="minorEastAsia" w:eastAsiaTheme="minorEastAsia"/>
                <w:b/>
                <w:bCs/>
                <w:sz w:val="21"/>
                <w:szCs w:val="21"/>
                <w:highlight w:val="none"/>
              </w:rPr>
              <w:t>序号</w:t>
            </w:r>
          </w:p>
        </w:tc>
        <w:tc>
          <w:tcPr>
            <w:tcW w:w="5387" w:type="dxa"/>
            <w:vAlign w:val="center"/>
          </w:tcPr>
          <w:p>
            <w:pPr>
              <w:snapToGrid w:val="0"/>
              <w:spacing w:line="360" w:lineRule="exact"/>
              <w:jc w:val="center"/>
              <w:rPr>
                <w:rFonts w:cs="仿宋_GB2312" w:asciiTheme="minorEastAsia" w:hAnsiTheme="minorEastAsia" w:eastAsiaTheme="minorEastAsia"/>
                <w:b/>
                <w:bCs/>
                <w:sz w:val="21"/>
                <w:szCs w:val="21"/>
                <w:highlight w:val="none"/>
              </w:rPr>
            </w:pPr>
            <w:r>
              <w:rPr>
                <w:rFonts w:hint="eastAsia" w:cs="仿宋_GB2312" w:asciiTheme="minorEastAsia" w:hAnsiTheme="minorEastAsia" w:eastAsiaTheme="minorEastAsia"/>
                <w:b/>
                <w:bCs/>
                <w:sz w:val="21"/>
                <w:szCs w:val="21"/>
                <w:highlight w:val="none"/>
              </w:rPr>
              <w:t>评标标准</w:t>
            </w:r>
          </w:p>
        </w:tc>
        <w:tc>
          <w:tcPr>
            <w:tcW w:w="567" w:type="dxa"/>
            <w:vAlign w:val="center"/>
          </w:tcPr>
          <w:p>
            <w:pPr>
              <w:snapToGrid w:val="0"/>
              <w:spacing w:line="360" w:lineRule="exact"/>
              <w:jc w:val="center"/>
              <w:rPr>
                <w:rFonts w:cs="仿宋_GB2312" w:asciiTheme="minorEastAsia" w:hAnsiTheme="minorEastAsia" w:eastAsiaTheme="minorEastAsia"/>
                <w:b/>
                <w:bCs/>
                <w:sz w:val="21"/>
                <w:szCs w:val="21"/>
                <w:highlight w:val="none"/>
              </w:rPr>
            </w:pPr>
            <w:r>
              <w:rPr>
                <w:rFonts w:hint="eastAsia" w:cs="仿宋_GB2312" w:asciiTheme="minorEastAsia" w:hAnsiTheme="minorEastAsia" w:eastAsiaTheme="minorEastAsia"/>
                <w:b/>
                <w:bCs/>
                <w:sz w:val="21"/>
                <w:szCs w:val="21"/>
                <w:highlight w:val="none"/>
              </w:rPr>
              <w:t>权重</w:t>
            </w:r>
          </w:p>
        </w:tc>
        <w:tc>
          <w:tcPr>
            <w:tcW w:w="1170" w:type="dxa"/>
            <w:vAlign w:val="center"/>
          </w:tcPr>
          <w:p>
            <w:pPr>
              <w:snapToGrid w:val="0"/>
              <w:spacing w:line="360" w:lineRule="exact"/>
              <w:jc w:val="center"/>
              <w:rPr>
                <w:rFonts w:cs="仿宋_GB2312" w:asciiTheme="minorEastAsia" w:hAnsiTheme="minorEastAsia" w:eastAsiaTheme="minorEastAsia"/>
                <w:b/>
                <w:bCs/>
                <w:sz w:val="21"/>
                <w:szCs w:val="21"/>
                <w:highlight w:val="none"/>
              </w:rPr>
            </w:pPr>
            <w:r>
              <w:rPr>
                <w:rFonts w:hint="eastAsia" w:cs="仿宋_GB2312" w:asciiTheme="minorEastAsia" w:hAnsiTheme="minorEastAsia" w:eastAsiaTheme="minorEastAsia"/>
                <w:b/>
                <w:bCs/>
                <w:sz w:val="21"/>
                <w:szCs w:val="21"/>
                <w:highlight w:val="none"/>
              </w:rPr>
              <w:t>主观分/客观分属性</w:t>
            </w:r>
          </w:p>
        </w:tc>
        <w:tc>
          <w:tcPr>
            <w:tcW w:w="1749" w:type="dxa"/>
          </w:tcPr>
          <w:p>
            <w:pPr>
              <w:snapToGrid w:val="0"/>
              <w:spacing w:line="360" w:lineRule="exact"/>
              <w:jc w:val="left"/>
              <w:rPr>
                <w:rFonts w:cs="仿宋_GB2312" w:asciiTheme="minorEastAsia" w:hAnsiTheme="minorEastAsia" w:eastAsiaTheme="minorEastAsia"/>
                <w:b/>
                <w:bCs/>
                <w:sz w:val="21"/>
                <w:szCs w:val="21"/>
                <w:highlight w:val="none"/>
              </w:rPr>
            </w:pPr>
            <w:r>
              <w:rPr>
                <w:rFonts w:hint="eastAsia" w:cs="仿宋_GB2312" w:asciiTheme="minorEastAsia" w:hAnsiTheme="minorEastAsia" w:eastAsiaTheme="minorEastAsia"/>
                <w:b/>
                <w:bCs/>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p>
        </w:tc>
        <w:tc>
          <w:tcPr>
            <w:tcW w:w="5387" w:type="dxa"/>
          </w:tcPr>
          <w:p>
            <w:pPr>
              <w:snapToGrid w:val="0"/>
              <w:spacing w:line="360" w:lineRule="exact"/>
              <w:jc w:val="left"/>
              <w:rPr>
                <w:rFonts w:ascii="仿宋" w:hAnsi="仿宋" w:eastAsia="仿宋" w:cs="仿宋"/>
                <w:b/>
                <w:bCs/>
                <w:sz w:val="21"/>
                <w:szCs w:val="24"/>
                <w:highlight w:val="none"/>
              </w:rPr>
            </w:pPr>
            <w:r>
              <w:rPr>
                <w:rFonts w:hint="eastAsia" w:ascii="仿宋" w:hAnsi="仿宋" w:eastAsia="仿宋" w:cs="仿宋"/>
                <w:b/>
                <w:bCs/>
                <w:sz w:val="21"/>
                <w:szCs w:val="24"/>
                <w:highlight w:val="none"/>
              </w:rPr>
              <w:t>项目整体理解：</w:t>
            </w:r>
          </w:p>
          <w:p>
            <w:pPr>
              <w:snapToGrid w:val="0"/>
              <w:spacing w:line="360" w:lineRule="exact"/>
              <w:jc w:val="left"/>
              <w:rPr>
                <w:rFonts w:cs="仿宋_GB2312" w:asciiTheme="minorEastAsia" w:hAnsiTheme="minorEastAsia" w:eastAsiaTheme="minorEastAsia"/>
                <w:sz w:val="24"/>
                <w:szCs w:val="24"/>
                <w:highlight w:val="none"/>
              </w:rPr>
            </w:pPr>
            <w:r>
              <w:rPr>
                <w:rFonts w:hint="eastAsia" w:ascii="仿宋" w:hAnsi="仿宋" w:eastAsia="仿宋" w:cs="仿宋"/>
                <w:sz w:val="21"/>
                <w:szCs w:val="24"/>
                <w:highlight w:val="none"/>
              </w:rPr>
              <w:t>根据投标人对证券虚假陈述责任纠纷智能化审判的建设背景要求和项目实现目标的总体理解，完全把握建设背景要求和项目实现目标、理解分析准确得3分；描述简单，理解不全面的得1-2分；未提供相关描述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5387" w:type="dxa"/>
          </w:tcPr>
          <w:p>
            <w:pPr>
              <w:snapToGrid w:val="0"/>
              <w:spacing w:line="360" w:lineRule="exact"/>
              <w:jc w:val="left"/>
              <w:rPr>
                <w:rFonts w:ascii="仿宋" w:hAnsi="仿宋" w:eastAsia="仿宋" w:cs="仿宋"/>
                <w:b/>
                <w:bCs/>
                <w:sz w:val="21"/>
                <w:szCs w:val="24"/>
                <w:highlight w:val="none"/>
              </w:rPr>
            </w:pPr>
            <w:r>
              <w:rPr>
                <w:rFonts w:hint="eastAsia" w:ascii="仿宋" w:hAnsi="仿宋" w:eastAsia="仿宋" w:cs="仿宋"/>
                <w:b/>
                <w:bCs/>
                <w:sz w:val="21"/>
                <w:szCs w:val="24"/>
                <w:highlight w:val="none"/>
              </w:rPr>
              <w:t>重难点解决：</w:t>
            </w:r>
          </w:p>
          <w:p>
            <w:pPr>
              <w:snapToGrid w:val="0"/>
              <w:spacing w:line="360" w:lineRule="exact"/>
              <w:jc w:val="left"/>
              <w:rPr>
                <w:rFonts w:ascii="仿宋" w:hAnsi="仿宋" w:eastAsia="仿宋" w:cs="仿宋"/>
                <w:sz w:val="21"/>
                <w:szCs w:val="24"/>
                <w:highlight w:val="none"/>
              </w:rPr>
            </w:pPr>
            <w:r>
              <w:rPr>
                <w:rFonts w:hint="eastAsia" w:ascii="仿宋" w:hAnsi="仿宋" w:eastAsia="仿宋" w:cs="仿宋"/>
                <w:sz w:val="21"/>
                <w:szCs w:val="24"/>
                <w:highlight w:val="none"/>
              </w:rPr>
              <w:t>根据投标人对证券虚假陈述责任纠纷智能化审判的建设需求和项目实施过程中可能出现的重难点情况提出解决方案。方案针对性强，科学合理得3分；针对性一般得1-2分；未提供相关描述不得分。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62" w:type="dxa"/>
            <w:vMerge w:val="restart"/>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8873" w:type="dxa"/>
            <w:gridSpan w:val="4"/>
          </w:tcPr>
          <w:p>
            <w:pPr>
              <w:snapToGrid w:val="0"/>
              <w:spacing w:line="360" w:lineRule="exact"/>
              <w:jc w:val="left"/>
              <w:rPr>
                <w:rFonts w:cs="仿宋_GB2312" w:asciiTheme="minorEastAsia" w:hAnsiTheme="minorEastAsia" w:eastAsiaTheme="minorEastAsia"/>
                <w:sz w:val="24"/>
                <w:szCs w:val="24"/>
                <w:highlight w:val="none"/>
              </w:rPr>
            </w:pPr>
            <w:r>
              <w:rPr>
                <w:rFonts w:hint="eastAsia" w:ascii="仿宋" w:hAnsi="仿宋" w:eastAsia="仿宋" w:cs="仿宋"/>
                <w:b/>
                <w:bCs/>
                <w:kern w:val="0"/>
                <w:sz w:val="22"/>
                <w:szCs w:val="24"/>
                <w:highlight w:val="none"/>
              </w:rPr>
              <w:t>总体技术方案与需求实现：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pacing w:line="360" w:lineRule="exact"/>
              <w:jc w:val="left"/>
              <w:rPr>
                <w:rFonts w:ascii="仿宋" w:hAnsi="仿宋" w:eastAsia="仿宋" w:cs="仿宋"/>
                <w:kern w:val="0"/>
                <w:sz w:val="22"/>
                <w:szCs w:val="24"/>
                <w:highlight w:val="none"/>
              </w:rPr>
            </w:pPr>
            <w:r>
              <w:rPr>
                <w:rFonts w:hint="eastAsia" w:ascii="仿宋" w:hAnsi="仿宋" w:eastAsia="仿宋" w:cs="仿宋"/>
                <w:kern w:val="0"/>
                <w:sz w:val="22"/>
                <w:szCs w:val="24"/>
                <w:highlight w:val="none"/>
              </w:rPr>
              <w:t>根据业务需求设计技术方案实现全部功能得3分；实现部分功能得1-2分，未体现未实现不得分。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pacing w:line="360" w:lineRule="exact"/>
              <w:jc w:val="left"/>
              <w:rPr>
                <w:rFonts w:ascii="仿宋" w:hAnsi="仿宋" w:eastAsia="仿宋" w:cs="仿宋"/>
                <w:kern w:val="0"/>
                <w:sz w:val="22"/>
                <w:szCs w:val="24"/>
                <w:highlight w:val="none"/>
              </w:rPr>
            </w:pPr>
            <w:r>
              <w:rPr>
                <w:rFonts w:hint="eastAsia" w:ascii="仿宋" w:hAnsi="仿宋" w:eastAsia="仿宋" w:cs="仿宋"/>
                <w:kern w:val="0"/>
                <w:sz w:val="22"/>
                <w:szCs w:val="24"/>
                <w:highlight w:val="none"/>
              </w:rPr>
              <w:t>根据业务需求设计技术方案模块合理划分得2分；模块划分一般得1分，未体现未实现不得分。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2</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pacing w:line="360" w:lineRule="exact"/>
              <w:jc w:val="left"/>
              <w:rPr>
                <w:rFonts w:ascii="仿宋" w:hAnsi="仿宋" w:eastAsia="仿宋" w:cs="仿宋"/>
                <w:kern w:val="0"/>
                <w:sz w:val="22"/>
                <w:szCs w:val="24"/>
                <w:highlight w:val="none"/>
              </w:rPr>
            </w:pPr>
            <w:r>
              <w:rPr>
                <w:rFonts w:hint="eastAsia" w:ascii="仿宋" w:hAnsi="仿宋" w:eastAsia="仿宋" w:cs="仿宋"/>
                <w:kern w:val="0"/>
                <w:sz w:val="22"/>
                <w:szCs w:val="24"/>
                <w:highlight w:val="none"/>
              </w:rPr>
              <w:t>根据业务需求设计技术方案覆盖所有相关业务得</w:t>
            </w:r>
            <w:r>
              <w:rPr>
                <w:rFonts w:ascii="仿宋" w:hAnsi="仿宋" w:eastAsia="仿宋" w:cs="仿宋"/>
                <w:kern w:val="0"/>
                <w:sz w:val="22"/>
                <w:szCs w:val="24"/>
                <w:highlight w:val="none"/>
              </w:rPr>
              <w:t>3</w:t>
            </w:r>
            <w:r>
              <w:rPr>
                <w:rFonts w:hint="eastAsia" w:ascii="仿宋" w:hAnsi="仿宋" w:eastAsia="仿宋" w:cs="仿宋"/>
                <w:kern w:val="0"/>
                <w:sz w:val="22"/>
                <w:szCs w:val="24"/>
                <w:highlight w:val="none"/>
              </w:rPr>
              <w:t>分；覆盖部分相关业务得1</w:t>
            </w:r>
            <w:r>
              <w:rPr>
                <w:rFonts w:ascii="仿宋" w:hAnsi="仿宋" w:eastAsia="仿宋" w:cs="仿宋"/>
                <w:kern w:val="0"/>
                <w:sz w:val="22"/>
                <w:szCs w:val="24"/>
                <w:highlight w:val="none"/>
              </w:rPr>
              <w:t>-2</w:t>
            </w:r>
            <w:r>
              <w:rPr>
                <w:rFonts w:hint="eastAsia" w:ascii="仿宋" w:hAnsi="仿宋" w:eastAsia="仿宋" w:cs="仿宋"/>
                <w:kern w:val="0"/>
                <w:sz w:val="22"/>
                <w:szCs w:val="24"/>
                <w:highlight w:val="none"/>
              </w:rPr>
              <w:t>分，未体现未实现不得分。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pacing w:line="360" w:lineRule="exact"/>
              <w:jc w:val="left"/>
              <w:rPr>
                <w:rFonts w:ascii="仿宋" w:hAnsi="仿宋" w:eastAsia="仿宋" w:cs="仿宋"/>
                <w:kern w:val="0"/>
                <w:sz w:val="22"/>
                <w:szCs w:val="24"/>
                <w:highlight w:val="none"/>
              </w:rPr>
            </w:pPr>
            <w:r>
              <w:rPr>
                <w:rFonts w:hint="eastAsia" w:ascii="仿宋" w:hAnsi="仿宋" w:eastAsia="仿宋" w:cs="仿宋"/>
                <w:kern w:val="0"/>
                <w:sz w:val="22"/>
                <w:szCs w:val="24"/>
                <w:highlight w:val="none"/>
              </w:rPr>
              <w:t>充分体现业务直接关联得</w:t>
            </w:r>
            <w:r>
              <w:rPr>
                <w:rFonts w:ascii="仿宋" w:hAnsi="仿宋" w:eastAsia="仿宋" w:cs="仿宋"/>
                <w:kern w:val="0"/>
                <w:sz w:val="22"/>
                <w:szCs w:val="24"/>
                <w:highlight w:val="none"/>
              </w:rPr>
              <w:t>3</w:t>
            </w:r>
            <w:r>
              <w:rPr>
                <w:rFonts w:hint="eastAsia" w:ascii="仿宋" w:hAnsi="仿宋" w:eastAsia="仿宋" w:cs="仿宋"/>
                <w:kern w:val="0"/>
                <w:sz w:val="22"/>
                <w:szCs w:val="24"/>
                <w:highlight w:val="none"/>
              </w:rPr>
              <w:t>分；关联方案可行性一般得1</w:t>
            </w:r>
            <w:r>
              <w:rPr>
                <w:rFonts w:ascii="仿宋" w:hAnsi="仿宋" w:eastAsia="仿宋" w:cs="仿宋"/>
                <w:kern w:val="0"/>
                <w:sz w:val="22"/>
                <w:szCs w:val="24"/>
                <w:highlight w:val="none"/>
              </w:rPr>
              <w:t>-2</w:t>
            </w:r>
            <w:r>
              <w:rPr>
                <w:rFonts w:hint="eastAsia" w:ascii="仿宋" w:hAnsi="仿宋" w:eastAsia="仿宋" w:cs="仿宋"/>
                <w:kern w:val="0"/>
                <w:sz w:val="22"/>
                <w:szCs w:val="24"/>
                <w:highlight w:val="none"/>
              </w:rPr>
              <w:t>分，未体现未实现不得分。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pacing w:line="360" w:lineRule="exact"/>
              <w:jc w:val="left"/>
              <w:rPr>
                <w:rFonts w:ascii="仿宋" w:hAnsi="仿宋" w:eastAsia="仿宋" w:cs="仿宋"/>
                <w:kern w:val="0"/>
                <w:sz w:val="22"/>
                <w:szCs w:val="24"/>
                <w:highlight w:val="none"/>
              </w:rPr>
            </w:pPr>
            <w:r>
              <w:rPr>
                <w:rFonts w:hint="eastAsia" w:ascii="仿宋" w:hAnsi="仿宋" w:eastAsia="仿宋" w:cs="仿宋"/>
                <w:kern w:val="0"/>
                <w:sz w:val="22"/>
                <w:szCs w:val="24"/>
                <w:highlight w:val="none"/>
              </w:rPr>
              <w:t>项目部署计划合理全面得3分，稍有欠缺得1-2分，未提供不得分。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widowControl/>
              <w:spacing w:line="360" w:lineRule="exact"/>
              <w:jc w:val="left"/>
              <w:rPr>
                <w:rFonts w:ascii="仿宋" w:hAnsi="仿宋" w:eastAsia="仿宋" w:cs="仿宋"/>
                <w:kern w:val="0"/>
                <w:sz w:val="22"/>
                <w:szCs w:val="24"/>
                <w:highlight w:val="none"/>
              </w:rPr>
            </w:pPr>
            <w:r>
              <w:rPr>
                <w:rFonts w:hint="eastAsia" w:ascii="仿宋" w:hAnsi="仿宋" w:eastAsia="仿宋" w:cs="仿宋"/>
                <w:kern w:val="0"/>
                <w:sz w:val="22"/>
                <w:szCs w:val="24"/>
                <w:highlight w:val="none"/>
              </w:rPr>
              <w:t>信创方案符合相关规定得3分，稍有欠缺得1-2分，未提供不得分。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widowControl/>
              <w:spacing w:line="360" w:lineRule="exact"/>
              <w:jc w:val="left"/>
              <w:rPr>
                <w:rFonts w:ascii="仿宋" w:hAnsi="仿宋" w:eastAsia="仿宋" w:cs="仿宋"/>
                <w:kern w:val="0"/>
                <w:sz w:val="22"/>
                <w:szCs w:val="24"/>
                <w:highlight w:val="none"/>
              </w:rPr>
            </w:pPr>
            <w:r>
              <w:rPr>
                <w:rFonts w:hint="eastAsia" w:ascii="仿宋" w:hAnsi="仿宋" w:eastAsia="仿宋" w:cs="仿宋"/>
                <w:kern w:val="0"/>
                <w:sz w:val="22"/>
                <w:szCs w:val="24"/>
                <w:highlight w:val="none"/>
              </w:rPr>
              <w:t>项目的安全实现方案合理全面得3分，稍有欠缺得1-2分，未提供不得分。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w:t>
            </w:r>
          </w:p>
        </w:tc>
        <w:tc>
          <w:tcPr>
            <w:tcW w:w="8873" w:type="dxa"/>
            <w:gridSpan w:val="4"/>
          </w:tcPr>
          <w:p>
            <w:pPr>
              <w:snapToGrid w:val="0"/>
              <w:spacing w:line="360" w:lineRule="exact"/>
              <w:jc w:val="left"/>
              <w:rPr>
                <w:rFonts w:cs="仿宋_GB2312" w:asciiTheme="minorEastAsia" w:hAnsiTheme="minorEastAsia" w:eastAsiaTheme="minorEastAsia"/>
                <w:sz w:val="24"/>
                <w:szCs w:val="24"/>
                <w:highlight w:val="none"/>
              </w:rPr>
            </w:pPr>
            <w:r>
              <w:rPr>
                <w:rFonts w:hint="eastAsia" w:ascii="仿宋" w:hAnsi="仿宋" w:eastAsia="仿宋" w:cs="仿宋"/>
                <w:b/>
                <w:bCs/>
                <w:sz w:val="21"/>
                <w:szCs w:val="24"/>
                <w:highlight w:val="none"/>
              </w:rPr>
              <w:t>总体设计思路：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jc w:val="left"/>
              <w:rPr>
                <w:rFonts w:cs="仿宋_GB2312" w:asciiTheme="minorEastAsia" w:hAnsiTheme="minorEastAsia" w:eastAsiaTheme="minorEastAsia"/>
                <w:sz w:val="24"/>
                <w:szCs w:val="24"/>
                <w:highlight w:val="none"/>
              </w:rPr>
            </w:pPr>
            <w:r>
              <w:rPr>
                <w:rFonts w:hint="eastAsia" w:ascii="仿宋" w:hAnsi="仿宋" w:eastAsia="仿宋" w:cs="仿宋"/>
                <w:sz w:val="21"/>
                <w:szCs w:val="24"/>
                <w:highlight w:val="none"/>
              </w:rPr>
              <w:t>投标方案总体设计、实现思路和关键技术，完整、详尽，充分考虑用户实际使用需求得3分，充分考虑用户实际使用需求但不完整详尽得1-2分，未提供不得分。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jc w:val="left"/>
              <w:rPr>
                <w:rFonts w:ascii="仿宋" w:hAnsi="仿宋" w:eastAsia="仿宋" w:cs="仿宋"/>
                <w:sz w:val="21"/>
                <w:szCs w:val="24"/>
                <w:highlight w:val="none"/>
              </w:rPr>
            </w:pPr>
            <w:r>
              <w:rPr>
                <w:rFonts w:hint="eastAsia" w:ascii="仿宋" w:hAnsi="仿宋" w:eastAsia="仿宋" w:cs="仿宋"/>
                <w:sz w:val="21"/>
                <w:szCs w:val="24"/>
                <w:highlight w:val="none"/>
              </w:rPr>
              <w:t>系统的部署方案设计合理、软件操作充分考虑用户实际使用需求、符合本项目对当前和未来发展的要求得3分。系统的部署方案设计不合理扣1分，未充分考虑用户实际使用需求扣1分，不符合本项目对当前和未来发展的要求扣1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w:t>
            </w:r>
          </w:p>
        </w:tc>
        <w:tc>
          <w:tcPr>
            <w:tcW w:w="5387" w:type="dxa"/>
          </w:tcPr>
          <w:p>
            <w:pPr>
              <w:spacing w:line="360" w:lineRule="exact"/>
              <w:rPr>
                <w:rFonts w:ascii="仿宋" w:hAnsi="仿宋" w:eastAsia="仿宋" w:cs="仿宋"/>
                <w:b/>
                <w:bCs/>
                <w:sz w:val="21"/>
                <w:szCs w:val="24"/>
                <w:highlight w:val="none"/>
              </w:rPr>
            </w:pPr>
            <w:r>
              <w:rPr>
                <w:rFonts w:hint="eastAsia" w:ascii="仿宋" w:hAnsi="仿宋" w:eastAsia="仿宋" w:cs="仿宋"/>
                <w:b/>
                <w:bCs/>
                <w:sz w:val="21"/>
                <w:szCs w:val="24"/>
                <w:highlight w:val="none"/>
              </w:rPr>
              <w:t>重要功能设计原型及逻辑方案：</w:t>
            </w:r>
          </w:p>
          <w:p>
            <w:pPr>
              <w:snapToGrid w:val="0"/>
              <w:spacing w:line="360" w:lineRule="exact"/>
              <w:jc w:val="left"/>
              <w:rPr>
                <w:rFonts w:ascii="仿宋" w:hAnsi="仿宋" w:eastAsia="仿宋" w:cs="仿宋"/>
                <w:sz w:val="21"/>
                <w:szCs w:val="24"/>
                <w:highlight w:val="none"/>
              </w:rPr>
            </w:pPr>
            <w:r>
              <w:rPr>
                <w:rFonts w:hint="eastAsia" w:ascii="仿宋" w:hAnsi="仿宋" w:eastAsia="仿宋" w:cs="仿宋"/>
                <w:sz w:val="21"/>
                <w:szCs w:val="24"/>
                <w:highlight w:val="none"/>
              </w:rPr>
              <w:t>提供采购需求中具有代表性的系统原型设计图，以验证功能设计合理性，最多10分：</w:t>
            </w:r>
          </w:p>
          <w:p>
            <w:pPr>
              <w:snapToGrid w:val="0"/>
              <w:spacing w:line="360" w:lineRule="exact"/>
              <w:jc w:val="left"/>
              <w:rPr>
                <w:rFonts w:ascii="仿宋" w:hAnsi="仿宋" w:eastAsia="仿宋" w:cs="仿宋"/>
                <w:sz w:val="21"/>
                <w:szCs w:val="24"/>
                <w:highlight w:val="none"/>
              </w:rPr>
            </w:pPr>
            <w:r>
              <w:rPr>
                <w:rFonts w:hint="eastAsia" w:ascii="仿宋" w:hAnsi="仿宋" w:eastAsia="仿宋" w:cs="仿宋"/>
                <w:sz w:val="21"/>
                <w:szCs w:val="24"/>
                <w:highlight w:val="none"/>
              </w:rPr>
              <w:t>1.审判智能化：可视化分析、基准日/基准价校验功能（2分）</w:t>
            </w:r>
          </w:p>
          <w:p>
            <w:pPr>
              <w:snapToGrid w:val="0"/>
              <w:spacing w:line="360" w:lineRule="exact"/>
              <w:jc w:val="left"/>
              <w:rPr>
                <w:rFonts w:ascii="仿宋" w:hAnsi="仿宋" w:eastAsia="仿宋" w:cs="仿宋"/>
                <w:sz w:val="21"/>
                <w:szCs w:val="24"/>
                <w:highlight w:val="none"/>
              </w:rPr>
            </w:pPr>
            <w:r>
              <w:rPr>
                <w:rFonts w:hint="eastAsia" w:ascii="仿宋" w:hAnsi="仿宋" w:eastAsia="仿宋" w:cs="仿宋"/>
                <w:sz w:val="21"/>
                <w:szCs w:val="24"/>
                <w:highlight w:val="none"/>
              </w:rPr>
              <w:t>2.投资者损失智能化核算：交易记录预处理、买入均价计算、风险扣除计算、投资者损失自动化计算、平行案件批量计算功能（</w:t>
            </w:r>
            <w:r>
              <w:rPr>
                <w:rFonts w:ascii="仿宋" w:hAnsi="仿宋" w:eastAsia="仿宋" w:cs="仿宋"/>
                <w:sz w:val="21"/>
                <w:szCs w:val="24"/>
                <w:highlight w:val="none"/>
              </w:rPr>
              <w:t>4</w:t>
            </w:r>
            <w:r>
              <w:rPr>
                <w:rFonts w:hint="eastAsia" w:ascii="仿宋" w:hAnsi="仿宋" w:eastAsia="仿宋" w:cs="仿宋"/>
                <w:sz w:val="21"/>
                <w:szCs w:val="24"/>
                <w:highlight w:val="none"/>
              </w:rPr>
              <w:t>分）</w:t>
            </w:r>
          </w:p>
          <w:p>
            <w:pPr>
              <w:snapToGrid w:val="0"/>
              <w:spacing w:line="360" w:lineRule="exact"/>
              <w:jc w:val="left"/>
              <w:rPr>
                <w:rFonts w:ascii="仿宋" w:hAnsi="仿宋" w:eastAsia="仿宋" w:cs="仿宋"/>
                <w:sz w:val="21"/>
                <w:szCs w:val="24"/>
                <w:highlight w:val="none"/>
              </w:rPr>
            </w:pPr>
            <w:r>
              <w:rPr>
                <w:rFonts w:hint="eastAsia" w:ascii="仿宋" w:hAnsi="仿宋" w:eastAsia="仿宋" w:cs="仿宋"/>
                <w:sz w:val="21"/>
                <w:szCs w:val="24"/>
                <w:highlight w:val="none"/>
              </w:rPr>
              <w:t>3.代表人诉讼在线平台：个人工作台功能（</w:t>
            </w:r>
            <w:r>
              <w:rPr>
                <w:rFonts w:ascii="仿宋" w:hAnsi="仿宋" w:eastAsia="仿宋" w:cs="仿宋"/>
                <w:sz w:val="21"/>
                <w:szCs w:val="24"/>
                <w:highlight w:val="none"/>
              </w:rPr>
              <w:t>2</w:t>
            </w:r>
            <w:r>
              <w:rPr>
                <w:rFonts w:hint="eastAsia" w:ascii="仿宋" w:hAnsi="仿宋" w:eastAsia="仿宋" w:cs="仿宋"/>
                <w:sz w:val="21"/>
                <w:szCs w:val="24"/>
                <w:highlight w:val="none"/>
              </w:rPr>
              <w:t>分）</w:t>
            </w:r>
          </w:p>
          <w:p>
            <w:pPr>
              <w:snapToGrid w:val="0"/>
              <w:spacing w:line="360" w:lineRule="exact"/>
              <w:jc w:val="left"/>
              <w:rPr>
                <w:rFonts w:cs="仿宋_GB2312" w:asciiTheme="minorEastAsia" w:hAnsiTheme="minorEastAsia" w:eastAsiaTheme="minorEastAsia"/>
                <w:sz w:val="24"/>
                <w:szCs w:val="24"/>
                <w:highlight w:val="none"/>
              </w:rPr>
            </w:pPr>
            <w:r>
              <w:rPr>
                <w:rFonts w:hint="eastAsia" w:ascii="仿宋" w:hAnsi="仿宋" w:eastAsia="仿宋" w:cs="仿宋"/>
                <w:sz w:val="21"/>
                <w:szCs w:val="24"/>
                <w:highlight w:val="none"/>
              </w:rPr>
              <w:t>4.代表人诉讼管理：案件启用代表人诉讼、公示功能（2分）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10</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Cs/>
                <w:sz w:val="24"/>
                <w:szCs w:val="24"/>
                <w:highlight w:val="none"/>
              </w:rPr>
              <w:t>客观分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w:t>
            </w:r>
          </w:p>
        </w:tc>
        <w:tc>
          <w:tcPr>
            <w:tcW w:w="8873" w:type="dxa"/>
            <w:gridSpan w:val="4"/>
          </w:tcPr>
          <w:p>
            <w:pPr>
              <w:snapToGrid w:val="0"/>
              <w:spacing w:line="360" w:lineRule="exact"/>
              <w:jc w:val="left"/>
              <w:rPr>
                <w:rFonts w:cs="仿宋_GB2312" w:asciiTheme="minorEastAsia" w:hAnsiTheme="minorEastAsia" w:eastAsiaTheme="minorEastAsia"/>
                <w:sz w:val="24"/>
                <w:szCs w:val="24"/>
                <w:highlight w:val="none"/>
              </w:rPr>
            </w:pPr>
            <w:r>
              <w:rPr>
                <w:rFonts w:hint="eastAsia" w:ascii="仿宋" w:hAnsi="仿宋" w:eastAsia="仿宋" w:cs="仿宋"/>
                <w:b/>
                <w:bCs/>
                <w:sz w:val="21"/>
                <w:szCs w:val="21"/>
                <w:highlight w:val="none"/>
              </w:rPr>
              <w:t>实施组织方案：</w:t>
            </w:r>
            <w:r>
              <w:rPr>
                <w:rFonts w:hint="eastAsia" w:ascii="仿宋" w:hAnsi="仿宋" w:eastAsia="仿宋" w:cs="仿宋"/>
                <w:sz w:val="21"/>
                <w:szCs w:val="21"/>
                <w:highlight w:val="none"/>
              </w:rPr>
              <w:t>投标人项目组织实施方案应具有科学性、合理性、规范性和可操作性。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jc w:val="left"/>
              <w:rPr>
                <w:rFonts w:cs="仿宋_GB2312" w:asciiTheme="minorEastAsia" w:hAnsiTheme="minorEastAsia" w:eastAsiaTheme="minorEastAsia"/>
                <w:sz w:val="24"/>
                <w:szCs w:val="24"/>
                <w:highlight w:val="none"/>
              </w:rPr>
            </w:pPr>
            <w:r>
              <w:rPr>
                <w:rFonts w:hint="eastAsia" w:ascii="仿宋" w:hAnsi="仿宋" w:eastAsia="仿宋" w:cs="仿宋"/>
                <w:sz w:val="21"/>
                <w:szCs w:val="21"/>
                <w:highlight w:val="none"/>
              </w:rPr>
              <w:t>实施组织计划方案完整、符合采购人实际需求得1分，不符合不得分。</w:t>
            </w:r>
          </w:p>
        </w:tc>
        <w:tc>
          <w:tcPr>
            <w:tcW w:w="567" w:type="dxa"/>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实施组织进度安排完整、符合采购人实际需求得1分，不符合不得分。</w:t>
            </w:r>
          </w:p>
        </w:tc>
        <w:tc>
          <w:tcPr>
            <w:tcW w:w="567" w:type="dxa"/>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方案的组织、职责描述方案完整、符合采购人实际需求得1分，不符合不得分。</w:t>
            </w:r>
          </w:p>
        </w:tc>
        <w:tc>
          <w:tcPr>
            <w:tcW w:w="567" w:type="dxa"/>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实施组织方案的实施技术人员配备方案完整、符合采购人实际需求得1分，不符合不得分。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实施组织方案的功能测试方案完整、符合采购人实际需求得1分，不符合不得分。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实施组织方案的试运行及验收方案完整符合采购人实际需求得1分，不符合不得分。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7</w:t>
            </w:r>
          </w:p>
        </w:tc>
        <w:tc>
          <w:tcPr>
            <w:tcW w:w="8873" w:type="dxa"/>
            <w:gridSpan w:val="4"/>
          </w:tcPr>
          <w:p>
            <w:pPr>
              <w:snapToGrid w:val="0"/>
              <w:spacing w:line="360" w:lineRule="exact"/>
              <w:rPr>
                <w:rFonts w:cs="仿宋_GB2312" w:asciiTheme="minorEastAsia" w:hAnsiTheme="minorEastAsia" w:eastAsiaTheme="minorEastAsia"/>
                <w:sz w:val="24"/>
                <w:szCs w:val="24"/>
                <w:highlight w:val="none"/>
              </w:rPr>
            </w:pPr>
            <w:r>
              <w:rPr>
                <w:rFonts w:hint="eastAsia" w:ascii="仿宋" w:hAnsi="仿宋" w:eastAsia="仿宋" w:cs="仿宋"/>
                <w:b/>
                <w:bCs/>
                <w:sz w:val="21"/>
                <w:szCs w:val="21"/>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rPr>
                <w:rFonts w:cs="仿宋_GB2312" w:asciiTheme="minorEastAsia" w:hAnsiTheme="minorEastAsia" w:eastAsiaTheme="minorEastAsia"/>
                <w:sz w:val="24"/>
                <w:szCs w:val="24"/>
                <w:highlight w:val="none"/>
              </w:rPr>
            </w:pPr>
            <w:r>
              <w:rPr>
                <w:rFonts w:hint="eastAsia" w:ascii="仿宋" w:hAnsi="仿宋" w:eastAsia="仿宋" w:cs="仿宋"/>
                <w:sz w:val="21"/>
                <w:szCs w:val="21"/>
                <w:highlight w:val="none"/>
              </w:rPr>
              <w:t>投标人针对本项目制定完善售后服务方案，满足招标文件要求的服务响应承诺，得2分。内容欠缺与采购人实际不符合得0.5-1分，未提供或完全不满足不得分。提供相关证明材料及承诺函。</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投标人针对本项目制定完善售后服务方案，其中售后服务流程及规章制度，内容完整、措施有效、符合采购人实际需求得2分，内容欠缺与采购人实际不符合得0.5-1分，未提供或完全不满足不得分。提供相关证明材料及承诺函。</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投标人针对本项目制定完善售后服务方案，其中故障分级处理流程，内容完整、措施有效、符合采购人实际需求得2分，内容欠缺与采购人实际不符合每项得0.5-1分，未提供或完全不满足不得分。提供相关证明材料及承诺函。</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投标人针对本项目制定完善售后服务方案，其中应急预案，内容完整、措施有效、符合采购人实际需求得2分，内容欠缺与采购人实际不符合每项得0.5-1分，未提供或完全不满足不得分。提供相关证明材料及承诺函。</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8</w:t>
            </w:r>
          </w:p>
        </w:tc>
        <w:tc>
          <w:tcPr>
            <w:tcW w:w="5387" w:type="dxa"/>
          </w:tcPr>
          <w:p>
            <w:pPr>
              <w:snapToGrid w:val="0"/>
              <w:spacing w:line="360" w:lineRule="exact"/>
              <w:rPr>
                <w:rFonts w:ascii="仿宋" w:hAnsi="仿宋" w:eastAsia="仿宋" w:cs="仿宋"/>
                <w:b/>
                <w:bCs/>
                <w:sz w:val="21"/>
                <w:szCs w:val="21"/>
                <w:highlight w:val="none"/>
              </w:rPr>
            </w:pPr>
            <w:r>
              <w:rPr>
                <w:rFonts w:hint="eastAsia" w:ascii="仿宋" w:hAnsi="仿宋" w:eastAsia="仿宋" w:cs="仿宋"/>
                <w:b/>
                <w:bCs/>
                <w:sz w:val="21"/>
                <w:szCs w:val="21"/>
                <w:highlight w:val="none"/>
              </w:rPr>
              <w:t>培训方案：</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投标人提出的用户培训方案的培训内容、培训流程的可操作性情况等，投标文件完全响应得3分，部分响应得1-2分，不满足项目要求或不提供不得分。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9</w:t>
            </w:r>
          </w:p>
        </w:tc>
        <w:tc>
          <w:tcPr>
            <w:tcW w:w="5387" w:type="dxa"/>
          </w:tcPr>
          <w:p>
            <w:pPr>
              <w:snapToGrid w:val="0"/>
              <w:spacing w:line="360" w:lineRule="exact"/>
              <w:rPr>
                <w:rFonts w:ascii="仿宋" w:hAnsi="仿宋" w:eastAsia="仿宋" w:cs="仿宋"/>
                <w:b/>
                <w:bCs/>
                <w:sz w:val="21"/>
                <w:szCs w:val="21"/>
                <w:highlight w:val="none"/>
              </w:rPr>
            </w:pPr>
            <w:r>
              <w:rPr>
                <w:rFonts w:hint="eastAsia" w:ascii="仿宋" w:hAnsi="仿宋" w:eastAsia="仿宋" w:cs="仿宋"/>
                <w:b/>
                <w:bCs/>
                <w:sz w:val="21"/>
                <w:szCs w:val="21"/>
                <w:highlight w:val="none"/>
              </w:rPr>
              <w:t>项目团队：</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4"/>
                <w:highlight w:val="none"/>
              </w:rPr>
              <w:t>1</w:t>
            </w:r>
            <w:r>
              <w:rPr>
                <w:rFonts w:ascii="仿宋" w:hAnsi="仿宋" w:eastAsia="仿宋" w:cs="仿宋"/>
                <w:sz w:val="21"/>
                <w:szCs w:val="24"/>
                <w:highlight w:val="none"/>
              </w:rPr>
              <w:t>.</w:t>
            </w:r>
            <w:r>
              <w:rPr>
                <w:rFonts w:hint="eastAsia" w:ascii="仿宋" w:hAnsi="仿宋" w:eastAsia="仿宋" w:cs="仿宋"/>
                <w:sz w:val="21"/>
                <w:szCs w:val="24"/>
                <w:highlight w:val="none"/>
              </w:rPr>
              <w:t>项目负责人：</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4"/>
                <w:highlight w:val="none"/>
              </w:rPr>
              <w:t>投标人拟投入本项目的项目负责人，具有信息系统项目管理师证书或系统分析师证书（2分）、三年以上类似项目负责人经验（2分）。</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4"/>
                <w:highlight w:val="none"/>
              </w:rPr>
              <w:t>2</w:t>
            </w:r>
            <w:r>
              <w:rPr>
                <w:rFonts w:ascii="仿宋" w:hAnsi="仿宋" w:eastAsia="仿宋" w:cs="仿宋"/>
                <w:sz w:val="21"/>
                <w:szCs w:val="24"/>
                <w:highlight w:val="none"/>
              </w:rPr>
              <w:t>.</w:t>
            </w:r>
            <w:r>
              <w:rPr>
                <w:rFonts w:hint="eastAsia" w:ascii="仿宋" w:hAnsi="仿宋" w:eastAsia="仿宋" w:cs="仿宋"/>
                <w:sz w:val="21"/>
                <w:szCs w:val="24"/>
                <w:highlight w:val="none"/>
              </w:rPr>
              <w:t>项目组成员具备（项目负责人除外）：</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4"/>
                <w:highlight w:val="none"/>
              </w:rPr>
              <w:t>（1）至少1人具备Oceanbase数据库认证专家证书得2分；（2）具备人社及工信部门颁发的软考中级及以上证书，每个得1分，最多得3分。</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4"/>
                <w:highlight w:val="none"/>
              </w:rPr>
              <w:t>以上所有人员提供本单位的人员社保证明，不提供不得分。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9</w:t>
            </w:r>
          </w:p>
        </w:tc>
        <w:tc>
          <w:tcPr>
            <w:tcW w:w="1170"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Cs/>
                <w:sz w:val="24"/>
                <w:szCs w:val="24"/>
                <w:highlight w:val="none"/>
              </w:rPr>
              <w:t>客观分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10</w:t>
            </w:r>
          </w:p>
        </w:tc>
        <w:tc>
          <w:tcPr>
            <w:tcW w:w="5387" w:type="dxa"/>
          </w:tcPr>
          <w:p>
            <w:pPr>
              <w:snapToGrid w:val="0"/>
              <w:spacing w:line="360" w:lineRule="exact"/>
              <w:rPr>
                <w:rFonts w:ascii="仿宋" w:hAnsi="仿宋" w:eastAsia="仿宋" w:cs="仿宋"/>
                <w:b/>
                <w:bCs/>
                <w:sz w:val="21"/>
                <w:szCs w:val="24"/>
                <w:highlight w:val="none"/>
              </w:rPr>
            </w:pPr>
            <w:r>
              <w:rPr>
                <w:rFonts w:hint="eastAsia" w:ascii="仿宋" w:hAnsi="仿宋" w:eastAsia="仿宋" w:cs="仿宋"/>
                <w:b/>
                <w:bCs/>
                <w:sz w:val="21"/>
                <w:szCs w:val="24"/>
                <w:highlight w:val="none"/>
              </w:rPr>
              <w:t>系统演示：</w:t>
            </w:r>
          </w:p>
          <w:p>
            <w:pPr>
              <w:snapToGrid w:val="0"/>
              <w:spacing w:line="360" w:lineRule="exact"/>
              <w:rPr>
                <w:rFonts w:ascii="仿宋" w:hAnsi="仿宋" w:eastAsia="仿宋" w:cs="仿宋"/>
                <w:sz w:val="21"/>
                <w:szCs w:val="24"/>
                <w:highlight w:val="none"/>
              </w:rPr>
            </w:pPr>
            <w:r>
              <w:rPr>
                <w:rFonts w:hint="eastAsia" w:ascii="仿宋" w:hAnsi="仿宋" w:eastAsia="仿宋" w:cs="仿宋"/>
                <w:sz w:val="21"/>
                <w:szCs w:val="24"/>
                <w:highlight w:val="none"/>
              </w:rPr>
              <w:t>系统演示按照以下功能模块进行，采用PPT结合系统原型讲解（时间10分钟）</w:t>
            </w:r>
          </w:p>
          <w:p>
            <w:pPr>
              <w:snapToGrid w:val="0"/>
              <w:spacing w:line="360" w:lineRule="exact"/>
              <w:rPr>
                <w:rFonts w:ascii="仿宋" w:hAnsi="仿宋" w:eastAsia="仿宋" w:cs="仿宋"/>
                <w:sz w:val="21"/>
                <w:szCs w:val="24"/>
                <w:highlight w:val="none"/>
              </w:rPr>
            </w:pPr>
            <w:r>
              <w:rPr>
                <w:rFonts w:hint="eastAsia" w:ascii="仿宋" w:hAnsi="仿宋" w:eastAsia="仿宋" w:cs="仿宋"/>
                <w:sz w:val="21"/>
                <w:szCs w:val="24"/>
                <w:highlight w:val="none"/>
              </w:rPr>
              <w:t>1.本项目整体架构及原型展示；4分</w:t>
            </w:r>
          </w:p>
          <w:p>
            <w:pPr>
              <w:snapToGrid w:val="0"/>
              <w:spacing w:line="360" w:lineRule="exact"/>
              <w:rPr>
                <w:rFonts w:ascii="仿宋" w:hAnsi="仿宋" w:eastAsia="仿宋" w:cs="仿宋"/>
                <w:sz w:val="21"/>
                <w:szCs w:val="24"/>
                <w:highlight w:val="none"/>
              </w:rPr>
            </w:pPr>
            <w:r>
              <w:rPr>
                <w:rFonts w:hint="eastAsia" w:ascii="仿宋" w:hAnsi="仿宋" w:eastAsia="仿宋" w:cs="仿宋"/>
                <w:sz w:val="21"/>
                <w:szCs w:val="24"/>
                <w:highlight w:val="none"/>
              </w:rPr>
              <w:t>2.审判智能化模块实现方案；2分</w:t>
            </w:r>
          </w:p>
          <w:p>
            <w:pPr>
              <w:snapToGrid w:val="0"/>
              <w:spacing w:line="360" w:lineRule="exact"/>
              <w:rPr>
                <w:rFonts w:ascii="仿宋" w:hAnsi="仿宋" w:eastAsia="仿宋" w:cs="仿宋"/>
                <w:sz w:val="21"/>
                <w:szCs w:val="24"/>
                <w:highlight w:val="none"/>
              </w:rPr>
            </w:pPr>
            <w:r>
              <w:rPr>
                <w:rFonts w:hint="eastAsia" w:ascii="仿宋" w:hAnsi="仿宋" w:eastAsia="仿宋" w:cs="仿宋"/>
                <w:sz w:val="21"/>
                <w:szCs w:val="24"/>
                <w:highlight w:val="none"/>
              </w:rPr>
              <w:t>3.投资者损失智能化核算模块实现方案；3分</w:t>
            </w:r>
          </w:p>
          <w:p>
            <w:pPr>
              <w:snapToGrid w:val="0"/>
              <w:spacing w:line="360" w:lineRule="exact"/>
              <w:rPr>
                <w:rFonts w:ascii="仿宋" w:hAnsi="仿宋" w:eastAsia="仿宋" w:cs="仿宋"/>
                <w:sz w:val="21"/>
                <w:szCs w:val="24"/>
                <w:highlight w:val="none"/>
              </w:rPr>
            </w:pPr>
            <w:r>
              <w:rPr>
                <w:rFonts w:hint="eastAsia" w:ascii="仿宋" w:hAnsi="仿宋" w:eastAsia="仿宋" w:cs="仿宋"/>
                <w:sz w:val="21"/>
                <w:szCs w:val="24"/>
                <w:highlight w:val="none"/>
              </w:rPr>
              <w:t>4.代表人诉讼在线平台模块实现方案；3分</w:t>
            </w:r>
          </w:p>
          <w:p>
            <w:pPr>
              <w:snapToGrid w:val="0"/>
              <w:spacing w:line="360" w:lineRule="exact"/>
              <w:rPr>
                <w:sz w:val="21"/>
                <w:szCs w:val="24"/>
                <w:highlight w:val="none"/>
              </w:rPr>
            </w:pPr>
            <w:r>
              <w:rPr>
                <w:rFonts w:hint="eastAsia" w:ascii="仿宋" w:hAnsi="仿宋" w:eastAsia="仿宋" w:cs="仿宋"/>
                <w:sz w:val="21"/>
                <w:szCs w:val="24"/>
                <w:highlight w:val="none"/>
              </w:rPr>
              <w:t>以上每个功能模块演示不科学不合理扣1分，未考虑项目对当前和未来发展扣1分，与采购需求有偏差扣1</w:t>
            </w:r>
            <w:r>
              <w:rPr>
                <w:rFonts w:ascii="仿宋" w:hAnsi="仿宋" w:eastAsia="仿宋" w:cs="仿宋"/>
                <w:sz w:val="21"/>
                <w:szCs w:val="24"/>
                <w:highlight w:val="none"/>
              </w:rPr>
              <w:t>-2</w:t>
            </w:r>
            <w:r>
              <w:rPr>
                <w:rFonts w:hint="eastAsia" w:ascii="仿宋" w:hAnsi="仿宋" w:eastAsia="仿宋" w:cs="仿宋"/>
                <w:sz w:val="21"/>
                <w:szCs w:val="24"/>
                <w:highlight w:val="none"/>
              </w:rPr>
              <w:t>分，扣完为止。只有P</w:t>
            </w:r>
            <w:r>
              <w:rPr>
                <w:rFonts w:ascii="仿宋" w:hAnsi="仿宋" w:eastAsia="仿宋" w:cs="仿宋"/>
                <w:sz w:val="21"/>
                <w:szCs w:val="24"/>
                <w:highlight w:val="none"/>
              </w:rPr>
              <w:t>PT</w:t>
            </w:r>
            <w:r>
              <w:rPr>
                <w:rFonts w:hint="eastAsia" w:ascii="仿宋" w:hAnsi="仿宋" w:eastAsia="仿宋" w:cs="仿宋"/>
                <w:sz w:val="21"/>
                <w:szCs w:val="24"/>
                <w:highlight w:val="none"/>
              </w:rPr>
              <w:t>说明而无原型展示的最高得6分。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w:t>
            </w:r>
          </w:p>
        </w:tc>
        <w:tc>
          <w:tcPr>
            <w:tcW w:w="1170" w:type="dxa"/>
            <w:vAlign w:val="center"/>
          </w:tcPr>
          <w:p>
            <w:pPr>
              <w:snapToGrid w:val="0"/>
              <w:spacing w:line="360" w:lineRule="exact"/>
              <w:jc w:val="center"/>
              <w:rPr>
                <w:rFonts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客观分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w:t>
            </w:r>
          </w:p>
        </w:tc>
        <w:tc>
          <w:tcPr>
            <w:tcW w:w="8873" w:type="dxa"/>
            <w:gridSpan w:val="4"/>
          </w:tcPr>
          <w:p>
            <w:pPr>
              <w:snapToGrid w:val="0"/>
              <w:spacing w:line="360" w:lineRule="exact"/>
              <w:jc w:val="left"/>
              <w:rPr>
                <w:rFonts w:cs="仿宋_GB2312" w:asciiTheme="minorEastAsia" w:hAnsiTheme="minorEastAsia" w:eastAsiaTheme="minorEastAsia"/>
                <w:sz w:val="24"/>
                <w:szCs w:val="24"/>
                <w:highlight w:val="none"/>
              </w:rPr>
            </w:pPr>
            <w:r>
              <w:rPr>
                <w:rFonts w:hint="eastAsia" w:ascii="仿宋" w:hAnsi="仿宋" w:eastAsia="仿宋" w:cs="仿宋"/>
                <w:b/>
                <w:bCs/>
                <w:sz w:val="21"/>
                <w:szCs w:val="21"/>
                <w:highlight w:val="none"/>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投标人按采购人要求，是否明确的建设质量目标。内容完整、措施有效、符合采购人实际需求得2分，不完整或不符合采购人实际需求得1分，未提供或不得分。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1170" w:type="dxa"/>
            <w:vAlign w:val="center"/>
          </w:tcPr>
          <w:p>
            <w:pPr>
              <w:snapToGrid w:val="0"/>
              <w:spacing w:line="360" w:lineRule="exact"/>
              <w:jc w:val="center"/>
              <w:rPr>
                <w:rFonts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投标人按采购人要求，是否有质量保证措施。内容完整、措施有效、符合采购人实际需求得2分，不完整或不符合采购人实际需求得1分，未提供或不得分。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1170" w:type="dxa"/>
            <w:vAlign w:val="center"/>
          </w:tcPr>
          <w:p>
            <w:pPr>
              <w:snapToGrid w:val="0"/>
              <w:spacing w:line="360" w:lineRule="exact"/>
              <w:jc w:val="center"/>
              <w:rPr>
                <w:rFonts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snapToGrid w:val="0"/>
              <w:spacing w:line="360" w:lineRule="exact"/>
              <w:jc w:val="center"/>
              <w:rPr>
                <w:rFonts w:cs="仿宋_GB2312" w:asciiTheme="minorEastAsia" w:hAnsiTheme="minorEastAsia" w:eastAsiaTheme="minorEastAsia"/>
                <w:sz w:val="24"/>
                <w:szCs w:val="24"/>
                <w:highlight w:val="none"/>
              </w:rPr>
            </w:pPr>
          </w:p>
        </w:tc>
        <w:tc>
          <w:tcPr>
            <w:tcW w:w="5387" w:type="dxa"/>
          </w:tcPr>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投标人按采购人要求，是否具有详细可行的实施内容。内容完整、措施有效、符合采购人实际需求得2分，不完整或不符合采购人实际需求得1分，未提供或不得分。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1170" w:type="dxa"/>
            <w:vAlign w:val="center"/>
          </w:tcPr>
          <w:p>
            <w:pPr>
              <w:snapToGrid w:val="0"/>
              <w:spacing w:line="360" w:lineRule="exact"/>
              <w:jc w:val="center"/>
              <w:rPr>
                <w:rFonts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主观分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w:t>
            </w:r>
          </w:p>
        </w:tc>
        <w:tc>
          <w:tcPr>
            <w:tcW w:w="5387" w:type="dxa"/>
          </w:tcPr>
          <w:p>
            <w:pPr>
              <w:widowControl/>
              <w:spacing w:line="360" w:lineRule="exact"/>
              <w:jc w:val="left"/>
              <w:rPr>
                <w:rFonts w:ascii="仿宋" w:hAnsi="仿宋" w:eastAsia="仿宋" w:cs="仿宋"/>
                <w:b/>
                <w:bCs/>
                <w:kern w:val="0"/>
                <w:sz w:val="22"/>
                <w:szCs w:val="24"/>
                <w:highlight w:val="none"/>
              </w:rPr>
            </w:pPr>
            <w:r>
              <w:rPr>
                <w:rFonts w:hint="eastAsia" w:ascii="仿宋" w:hAnsi="仿宋" w:eastAsia="仿宋" w:cs="仿宋"/>
                <w:b/>
                <w:bCs/>
                <w:kern w:val="0"/>
                <w:sz w:val="22"/>
                <w:szCs w:val="24"/>
                <w:highlight w:val="none"/>
              </w:rPr>
              <w:t>投标人情况：</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投标人具有质量管理体系认证证书ISO 9001得1分，具有IT服务管理体系认证证书ISO 20000得1分，具有信息安全管理体系认证证书ISO 27001得1分。</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说明：需提供有效期内证书,否则不得分。</w:t>
            </w:r>
          </w:p>
        </w:tc>
        <w:tc>
          <w:tcPr>
            <w:tcW w:w="567"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1170" w:type="dxa"/>
            <w:vAlign w:val="center"/>
          </w:tcPr>
          <w:p>
            <w:pPr>
              <w:snapToGrid w:val="0"/>
              <w:spacing w:line="360" w:lineRule="exact"/>
              <w:jc w:val="center"/>
              <w:rPr>
                <w:rFonts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客观分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13</w:t>
            </w:r>
          </w:p>
        </w:tc>
        <w:tc>
          <w:tcPr>
            <w:tcW w:w="5387" w:type="dxa"/>
          </w:tcPr>
          <w:p>
            <w:pPr>
              <w:snapToGrid w:val="0"/>
              <w:spacing w:line="360" w:lineRule="exact"/>
              <w:rPr>
                <w:rFonts w:ascii="仿宋" w:hAnsi="仿宋" w:eastAsia="仿宋" w:cs="仿宋"/>
                <w:b/>
                <w:bCs/>
                <w:sz w:val="21"/>
                <w:szCs w:val="21"/>
                <w:highlight w:val="none"/>
              </w:rPr>
            </w:pPr>
            <w:r>
              <w:rPr>
                <w:rFonts w:hint="eastAsia" w:ascii="仿宋" w:hAnsi="仿宋" w:eastAsia="仿宋" w:cs="仿宋"/>
                <w:b/>
                <w:bCs/>
                <w:sz w:val="21"/>
                <w:szCs w:val="21"/>
                <w:highlight w:val="none"/>
              </w:rPr>
              <w:t>业绩：</w:t>
            </w:r>
          </w:p>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截止投标时间近年以来（2020年1月1日以来）投标人承担法院同类软件开发类项目情况，每提供一份合同得0.5分，最高1分。提供合同复印件加盖公章。</w:t>
            </w:r>
          </w:p>
        </w:tc>
        <w:tc>
          <w:tcPr>
            <w:tcW w:w="567" w:type="dxa"/>
            <w:vAlign w:val="center"/>
          </w:tcPr>
          <w:p>
            <w:pPr>
              <w:pStyle w:val="4"/>
              <w:spacing w:line="360" w:lineRule="exact"/>
              <w:ind w:left="437" w:leftChars="88" w:hanging="252" w:hangingChars="105"/>
              <w:rPr>
                <w:sz w:val="32"/>
                <w:szCs w:val="32"/>
                <w:highlight w:val="none"/>
                <w:lang w:val="en-US"/>
              </w:rPr>
            </w:pPr>
            <w:r>
              <w:rPr>
                <w:rFonts w:hint="eastAsia" w:cs="仿宋_GB2312" w:asciiTheme="minorEastAsia" w:hAnsiTheme="minorEastAsia" w:eastAsiaTheme="minorEastAsia"/>
                <w:b w:val="0"/>
                <w:bCs w:val="0"/>
                <w:sz w:val="24"/>
                <w:szCs w:val="32"/>
                <w:highlight w:val="none"/>
                <w:lang w:val="en-US"/>
              </w:rPr>
              <w:t>1</w:t>
            </w:r>
          </w:p>
        </w:tc>
        <w:tc>
          <w:tcPr>
            <w:tcW w:w="1170" w:type="dxa"/>
            <w:vAlign w:val="center"/>
          </w:tcPr>
          <w:p>
            <w:pPr>
              <w:snapToGrid w:val="0"/>
              <w:spacing w:line="360" w:lineRule="exact"/>
              <w:jc w:val="center"/>
              <w:rPr>
                <w:rFonts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客观分</w:t>
            </w:r>
          </w:p>
        </w:tc>
        <w:tc>
          <w:tcPr>
            <w:tcW w:w="1749" w:type="dxa"/>
          </w:tcPr>
          <w:p>
            <w:pPr>
              <w:snapToGrid w:val="0"/>
              <w:spacing w:line="360" w:lineRule="exact"/>
              <w:jc w:val="center"/>
              <w:rPr>
                <w:rFonts w:cs="仿宋_GB2312"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360" w:lineRule="exact"/>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14</w:t>
            </w:r>
          </w:p>
        </w:tc>
        <w:tc>
          <w:tcPr>
            <w:tcW w:w="5387" w:type="dxa"/>
          </w:tcPr>
          <w:p>
            <w:pPr>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有效投标报价的最低价作为评标基准价，其最低报价为满分；按［投标报价得分=（评标基准价/投标报价）*10］的计算公式计算。</w:t>
            </w:r>
          </w:p>
          <w:p>
            <w:pPr>
              <w:snapToGrid w:val="0"/>
              <w:spacing w:line="360" w:lineRule="exact"/>
              <w:rPr>
                <w:rFonts w:asciiTheme="minorEastAsia" w:hAnsiTheme="minorEastAsia" w:eastAsiaTheme="minorEastAsia"/>
                <w:sz w:val="24"/>
                <w:szCs w:val="24"/>
                <w:highlight w:val="none"/>
              </w:rPr>
            </w:pPr>
            <w:r>
              <w:rPr>
                <w:rFonts w:hint="eastAsia" w:ascii="仿宋" w:hAnsi="仿宋" w:eastAsia="仿宋" w:cs="仿宋"/>
                <w:sz w:val="21"/>
                <w:szCs w:val="21"/>
                <w:highlight w:val="none"/>
              </w:rPr>
              <w:t>评标过程中，不得去掉报价中的最高报价和最低报价。</w:t>
            </w:r>
          </w:p>
        </w:tc>
        <w:tc>
          <w:tcPr>
            <w:tcW w:w="567" w:type="dxa"/>
            <w:vAlign w:val="center"/>
          </w:tcPr>
          <w:p>
            <w:pPr>
              <w:spacing w:line="360" w:lineRule="exact"/>
              <w:jc w:val="center"/>
              <w:outlineLvl w:val="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10</w:t>
            </w:r>
          </w:p>
        </w:tc>
        <w:tc>
          <w:tcPr>
            <w:tcW w:w="1170" w:type="dxa"/>
            <w:vAlign w:val="center"/>
          </w:tcPr>
          <w:p>
            <w:pPr>
              <w:spacing w:line="360" w:lineRule="exact"/>
              <w:jc w:val="center"/>
              <w:outlineLvl w:val="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Cs/>
                <w:sz w:val="24"/>
                <w:szCs w:val="24"/>
                <w:highlight w:val="none"/>
              </w:rPr>
              <w:t>客观分</w:t>
            </w:r>
          </w:p>
        </w:tc>
        <w:tc>
          <w:tcPr>
            <w:tcW w:w="1749" w:type="dxa"/>
            <w:vAlign w:val="center"/>
          </w:tcPr>
          <w:p>
            <w:pPr>
              <w:spacing w:line="360" w:lineRule="exact"/>
              <w:jc w:val="center"/>
              <w:outlineLvl w:val="0"/>
              <w:rPr>
                <w:rFonts w:cs="仿宋_GB2312" w:asciiTheme="minorEastAsia" w:hAnsiTheme="minorEastAsia" w:eastAsiaTheme="minorEastAsia"/>
                <w:sz w:val="24"/>
                <w:szCs w:val="24"/>
                <w:highlight w:val="none"/>
              </w:rPr>
            </w:pPr>
          </w:p>
        </w:tc>
      </w:tr>
    </w:tbl>
    <w:p>
      <w:pPr>
        <w:rPr>
          <w:sz w:val="21"/>
          <w:szCs w:val="24"/>
          <w:highlight w:val="none"/>
        </w:rPr>
      </w:pPr>
    </w:p>
    <w:p>
      <w:pPr>
        <w:snapToGrid w:val="0"/>
        <w:spacing w:line="360" w:lineRule="auto"/>
        <w:rPr>
          <w:rFonts w:ascii="宋体" w:hAnsi="宋体" w:cs="宋体"/>
          <w:b/>
          <w:sz w:val="24"/>
          <w:szCs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szCs w:val="24"/>
          <w:highlight w:val="none"/>
        </w:rPr>
        <w:t>备注：</w:t>
      </w:r>
      <w:r>
        <w:rPr>
          <w:rFonts w:hint="eastAsia" w:ascii="宋体" w:hAnsi="宋体" w:cs="宋体"/>
          <w:sz w:val="24"/>
          <w:szCs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szCs w:val="24"/>
          <w:highlight w:val="none"/>
        </w:rPr>
        <w:t>一、评标方法</w:t>
      </w:r>
    </w:p>
    <w:p>
      <w:pPr>
        <w:adjustRightInd/>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1.本项目采用综合评分法。</w:t>
      </w:r>
      <w:r>
        <w:rPr>
          <w:rFonts w:hint="eastAsia" w:ascii="宋体" w:hAnsi="宋体" w:cs="宋体"/>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szCs w:val="24"/>
          <w:highlight w:val="none"/>
        </w:rPr>
      </w:pPr>
      <w:r>
        <w:rPr>
          <w:rFonts w:hint="eastAsia" w:ascii="宋体" w:hAnsi="宋体" w:cs="宋体"/>
          <w:b/>
          <w:sz w:val="32"/>
          <w:szCs w:val="24"/>
          <w:highlight w:val="none"/>
        </w:rPr>
        <w:t>二、评标标准</w:t>
      </w:r>
    </w:p>
    <w:p>
      <w:pPr>
        <w:spacing w:line="360" w:lineRule="auto"/>
        <w:ind w:firstLine="472" w:firstLineChars="196"/>
        <w:rPr>
          <w:rFonts w:ascii="宋体" w:hAnsi="宋体" w:cs="宋体"/>
          <w:b/>
          <w:sz w:val="24"/>
          <w:szCs w:val="24"/>
          <w:highlight w:val="none"/>
        </w:rPr>
      </w:pPr>
      <w:r>
        <w:rPr>
          <w:rFonts w:hint="eastAsia" w:ascii="宋体" w:hAnsi="宋体" w:cs="宋体"/>
          <w:b/>
          <w:sz w:val="24"/>
          <w:szCs w:val="24"/>
          <w:highlight w:val="none"/>
        </w:rPr>
        <w:t>2.</w:t>
      </w:r>
      <w:r>
        <w:rPr>
          <w:rFonts w:hint="eastAsia" w:ascii="宋体" w:hAnsi="宋体" w:cs="宋体"/>
          <w:sz w:val="21"/>
          <w:szCs w:val="24"/>
          <w:highlight w:val="none"/>
        </w:rPr>
        <w:t xml:space="preserve"> </w:t>
      </w:r>
      <w:r>
        <w:rPr>
          <w:rFonts w:hint="eastAsia" w:ascii="宋体" w:hAnsi="宋体" w:cs="宋体"/>
          <w:b/>
          <w:sz w:val="24"/>
          <w:szCs w:val="24"/>
          <w:highlight w:val="none"/>
        </w:rPr>
        <w:t>评标标准：</w:t>
      </w:r>
      <w:r>
        <w:rPr>
          <w:rFonts w:hint="eastAsia" w:ascii="宋体" w:hAnsi="宋体" w:cs="宋体"/>
          <w:kern w:val="0"/>
          <w:sz w:val="24"/>
          <w:szCs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3.1符合性审查。</w:t>
      </w:r>
      <w:r>
        <w:rPr>
          <w:rFonts w:hint="eastAsia" w:ascii="宋体" w:hAnsi="宋体" w:cs="宋体"/>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3.2 比较与评价。</w:t>
      </w:r>
      <w:r>
        <w:rPr>
          <w:rFonts w:hint="eastAsia" w:ascii="宋体" w:hAnsi="宋体" w:cs="宋体"/>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3.3汇总商务技术得分。</w:t>
      </w:r>
      <w:r>
        <w:rPr>
          <w:rFonts w:hint="eastAsia" w:ascii="宋体" w:hAnsi="宋体" w:cs="宋体"/>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szCs w:val="24"/>
          <w:highlight w:val="none"/>
        </w:rPr>
      </w:pPr>
      <w:r>
        <w:rPr>
          <w:rFonts w:hint="eastAsia" w:ascii="宋体" w:hAnsi="宋体" w:cs="宋体"/>
          <w:b/>
          <w:kern w:val="0"/>
          <w:sz w:val="24"/>
          <w:szCs w:val="24"/>
          <w:highlight w:val="none"/>
        </w:rPr>
        <w:t>3.4报价评审。</w:t>
      </w:r>
    </w:p>
    <w:p>
      <w:pPr>
        <w:pStyle w:val="129"/>
        <w:spacing w:before="0"/>
        <w:ind w:firstLine="508" w:firstLineChars="212"/>
        <w:rPr>
          <w:rFonts w:ascii="宋体" w:hAnsi="宋体" w:cs="宋体"/>
          <w:kern w:val="0"/>
          <w:sz w:val="24"/>
          <w:szCs w:val="20"/>
          <w:highlight w:val="none"/>
        </w:rPr>
      </w:pPr>
      <w:r>
        <w:rPr>
          <w:rFonts w:hint="eastAsia" w:ascii="宋体" w:hAnsi="宋体" w:cs="宋体"/>
          <w:kern w:val="0"/>
          <w:sz w:val="24"/>
          <w:szCs w:val="20"/>
          <w:highlight w:val="none"/>
        </w:rPr>
        <w:t>3.4.1投标文件报价出现前后不一致的，按照下列规定修正：</w:t>
      </w:r>
    </w:p>
    <w:p>
      <w:pPr>
        <w:pStyle w:val="129"/>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3.4.1.2大写金额和小写金额不一致的，以大写金额为准;</w:t>
      </w:r>
    </w:p>
    <w:p>
      <w:pPr>
        <w:pStyle w:val="129"/>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3.4.1.3单价金额小数点或者百分比有明显错位的，以开标一览表的总价为准，并修改单价;</w:t>
      </w:r>
    </w:p>
    <w:p>
      <w:pPr>
        <w:pStyle w:val="129"/>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3.4.1.4总价金额与按单价汇总金额不一致的，以单价金额计算结果为准。</w:t>
      </w:r>
    </w:p>
    <w:p>
      <w:pPr>
        <w:pStyle w:val="129"/>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3.4.3投标报价超过招标文件中规定的预算金额或者最高限价的，投标无效。</w:t>
      </w:r>
    </w:p>
    <w:p>
      <w:pPr>
        <w:pStyle w:val="129"/>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 w:val="24"/>
          <w:szCs w:val="24"/>
          <w:highlight w:val="none"/>
        </w:rPr>
        <w:t>20</w:t>
      </w:r>
      <w:r>
        <w:rPr>
          <w:rFonts w:hint="eastAsia" w:ascii="宋体" w:hAnsi="宋体" w:cs="宋体"/>
          <w:kern w:val="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 w:val="24"/>
          <w:szCs w:val="24"/>
          <w:highlight w:val="none"/>
        </w:rPr>
        <w:t>6</w:t>
      </w:r>
      <w:r>
        <w:rPr>
          <w:rFonts w:hint="eastAsia" w:ascii="宋体" w:hAnsi="宋体" w:cs="宋体"/>
          <w:kern w:val="0"/>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szCs w:val="24"/>
          <w:highlight w:val="none"/>
        </w:rPr>
      </w:pPr>
      <w:r>
        <w:rPr>
          <w:rFonts w:hint="eastAsia" w:ascii="宋体" w:hAnsi="宋体" w:cs="宋体"/>
          <w:b/>
          <w:kern w:val="0"/>
          <w:sz w:val="24"/>
          <w:szCs w:val="24"/>
          <w:highlight w:val="none"/>
        </w:rPr>
        <w:t>3.5排序与推荐。</w:t>
      </w:r>
      <w:r>
        <w:rPr>
          <w:rFonts w:hint="eastAsia" w:ascii="宋体" w:hAnsi="宋体" w:cs="宋体"/>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szCs w:val="24"/>
          <w:highlight w:val="none"/>
        </w:rPr>
      </w:pPr>
      <w:r>
        <w:rPr>
          <w:rFonts w:hint="eastAsia" w:ascii="宋体" w:hAnsi="宋体" w:cs="宋体"/>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3.6编写评标报告。</w:t>
      </w:r>
      <w:r>
        <w:rPr>
          <w:rFonts w:hint="eastAsia" w:ascii="宋体" w:hAnsi="宋体" w:cs="宋体"/>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szCs w:val="24"/>
          <w:highlight w:val="none"/>
        </w:rPr>
      </w:pPr>
      <w:r>
        <w:rPr>
          <w:rFonts w:hint="eastAsia" w:ascii="宋体" w:hAnsi="宋体" w:cs="宋体"/>
          <w:b/>
          <w:sz w:val="32"/>
          <w:szCs w:val="24"/>
          <w:highlight w:val="none"/>
        </w:rPr>
        <w:t>四、评标中的其他事项</w:t>
      </w:r>
    </w:p>
    <w:p>
      <w:pPr>
        <w:pStyle w:val="129"/>
        <w:spacing w:before="0"/>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4.1投标人澄清、说明或者补正。</w:t>
      </w:r>
      <w:r>
        <w:rPr>
          <w:rFonts w:hint="eastAsia" w:ascii="宋体" w:hAnsi="宋体" w:cs="宋体"/>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 w:val="24"/>
          <w:szCs w:val="21"/>
          <w:highlight w:val="none"/>
        </w:rPr>
      </w:pPr>
      <w:r>
        <w:rPr>
          <w:rFonts w:hint="eastAsia" w:cs="宋体"/>
          <w:b/>
          <w:kern w:val="0"/>
          <w:sz w:val="24"/>
          <w:szCs w:val="24"/>
          <w:highlight w:val="none"/>
        </w:rPr>
        <w:t>4.2投标无效。</w:t>
      </w:r>
      <w:r>
        <w:rPr>
          <w:rFonts w:hint="eastAsia" w:cs="宋体"/>
          <w:sz w:val="24"/>
          <w:szCs w:val="21"/>
          <w:highlight w:val="none"/>
        </w:rPr>
        <w:t>有下列情形之一的，投标无效：</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4.2.2投标文件未按照招标文件要求签署、盖章的；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4.2b.4投标文件含有采购人不能接受的附加条件的；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szCs w:val="24"/>
          <w:highlight w:val="none"/>
        </w:rPr>
      </w:pPr>
      <w:r>
        <w:rPr>
          <w:rFonts w:hint="eastAsia" w:ascii="宋体" w:hAnsi="宋体" w:cs="宋体"/>
          <w:kern w:val="0"/>
          <w:sz w:val="24"/>
          <w:szCs w:val="24"/>
          <w:highlight w:val="none"/>
        </w:rPr>
        <w:t xml:space="preserve">   4.2.6投标文件出现不是唯一的、有选择性投标报价的;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4.2.7投标报价超过招标文件中规定的预算金额或者最高限价的;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4.2.9投标人对根据修正原则修正后的报价不确认的；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4.2.10投标人提供虚假材料投标的；</w:t>
      </w:r>
    </w:p>
    <w:p>
      <w:pPr>
        <w:spacing w:line="360"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4.2.14法律、法规、规章（适用本市的）及省级以上规范性文件（适用本市的）规定的其他无效情形。</w:t>
      </w:r>
    </w:p>
    <w:p>
      <w:pPr>
        <w:pStyle w:val="2"/>
        <w:snapToGrid w:val="0"/>
        <w:spacing w:line="360" w:lineRule="auto"/>
        <w:ind w:firstLine="472" w:firstLineChars="196"/>
        <w:rPr>
          <w:rFonts w:cs="宋体"/>
          <w:sz w:val="24"/>
          <w:szCs w:val="24"/>
          <w:highlight w:val="none"/>
        </w:rPr>
      </w:pPr>
      <w:r>
        <w:rPr>
          <w:rFonts w:hint="eastAsia" w:cs="宋体"/>
          <w:b/>
          <w:sz w:val="24"/>
          <w:szCs w:val="24"/>
          <w:highlight w:val="none"/>
        </w:rPr>
        <w:t>5.废标。</w:t>
      </w:r>
      <w:r>
        <w:rPr>
          <w:rFonts w:hint="eastAsia" w:cs="宋体"/>
          <w:sz w:val="24"/>
          <w:szCs w:val="24"/>
          <w:highlight w:val="none"/>
        </w:rPr>
        <w:t>根据《中华人民共和国政府采购法》第三十六条之规定，在采购中，出现下列情形之一的，应予废标：</w:t>
      </w:r>
    </w:p>
    <w:p>
      <w:pPr>
        <w:pStyle w:val="2"/>
        <w:snapToGrid w:val="0"/>
        <w:spacing w:line="360" w:lineRule="auto"/>
        <w:rPr>
          <w:rFonts w:cs="宋体"/>
          <w:sz w:val="24"/>
          <w:szCs w:val="24"/>
          <w:highlight w:val="none"/>
        </w:rPr>
      </w:pPr>
      <w:r>
        <w:rPr>
          <w:rFonts w:hint="eastAsia" w:cs="宋体"/>
          <w:sz w:val="24"/>
          <w:szCs w:val="24"/>
          <w:highlight w:val="none"/>
        </w:rPr>
        <w:t>5.1符合专业条件的供应商或者对招标文件作实质响应的供应商不足3家的；</w:t>
      </w:r>
    </w:p>
    <w:p>
      <w:pPr>
        <w:pStyle w:val="2"/>
        <w:snapToGrid w:val="0"/>
        <w:spacing w:line="360" w:lineRule="auto"/>
        <w:rPr>
          <w:rFonts w:cs="宋体"/>
          <w:sz w:val="24"/>
          <w:szCs w:val="24"/>
          <w:highlight w:val="none"/>
        </w:rPr>
      </w:pPr>
      <w:r>
        <w:rPr>
          <w:rFonts w:hint="eastAsia" w:cs="宋体"/>
          <w:sz w:val="24"/>
          <w:szCs w:val="24"/>
          <w:highlight w:val="none"/>
        </w:rPr>
        <w:t>5.2出现影响采购公正的违法、违规行为的；</w:t>
      </w:r>
    </w:p>
    <w:p>
      <w:pPr>
        <w:pStyle w:val="2"/>
        <w:snapToGrid w:val="0"/>
        <w:spacing w:line="360" w:lineRule="auto"/>
        <w:rPr>
          <w:rFonts w:cs="宋体"/>
          <w:sz w:val="24"/>
          <w:szCs w:val="24"/>
          <w:highlight w:val="none"/>
        </w:rPr>
      </w:pPr>
      <w:r>
        <w:rPr>
          <w:rFonts w:hint="eastAsia" w:cs="宋体"/>
          <w:sz w:val="24"/>
          <w:szCs w:val="24"/>
          <w:highlight w:val="none"/>
        </w:rPr>
        <w:t>5.3投标人的报价均超过了采购预算，采购人不能支付的；</w:t>
      </w:r>
    </w:p>
    <w:p>
      <w:pPr>
        <w:pStyle w:val="2"/>
        <w:snapToGrid w:val="0"/>
        <w:spacing w:line="360" w:lineRule="auto"/>
        <w:rPr>
          <w:rFonts w:cs="宋体"/>
          <w:sz w:val="24"/>
          <w:szCs w:val="24"/>
          <w:highlight w:val="none"/>
        </w:rPr>
      </w:pPr>
      <w:r>
        <w:rPr>
          <w:rFonts w:hint="eastAsia" w:cs="宋体"/>
          <w:sz w:val="24"/>
          <w:szCs w:val="24"/>
          <w:highlight w:val="none"/>
        </w:rPr>
        <w:t>5.4因重大变故，采购任务取消的。</w:t>
      </w:r>
    </w:p>
    <w:p>
      <w:pPr>
        <w:pStyle w:val="2"/>
        <w:snapToGrid w:val="0"/>
        <w:spacing w:line="360" w:lineRule="auto"/>
        <w:rPr>
          <w:rFonts w:cs="宋体"/>
          <w:sz w:val="24"/>
          <w:szCs w:val="24"/>
          <w:highlight w:val="none"/>
        </w:rPr>
      </w:pPr>
      <w:r>
        <w:rPr>
          <w:rFonts w:hint="eastAsia" w:cs="宋体"/>
          <w:sz w:val="24"/>
          <w:szCs w:val="24"/>
          <w:highlight w:val="none"/>
        </w:rPr>
        <w:t>废标后，采购代理机构应当将废标理由通知所有投标人。</w:t>
      </w:r>
    </w:p>
    <w:p>
      <w:pPr>
        <w:pStyle w:val="2"/>
        <w:snapToGrid w:val="0"/>
        <w:spacing w:line="360" w:lineRule="auto"/>
        <w:ind w:firstLine="590" w:firstLineChars="245"/>
        <w:rPr>
          <w:rFonts w:cs="宋体"/>
          <w:sz w:val="24"/>
          <w:szCs w:val="24"/>
          <w:highlight w:val="none"/>
        </w:rPr>
      </w:pPr>
      <w:r>
        <w:rPr>
          <w:rFonts w:hint="eastAsia" w:cs="宋体"/>
          <w:b/>
          <w:sz w:val="24"/>
          <w:szCs w:val="24"/>
          <w:highlight w:val="none"/>
        </w:rPr>
        <w:t>6.修改招标文件，重新组织采购活动。</w:t>
      </w:r>
      <w:r>
        <w:rPr>
          <w:rFonts w:hint="eastAsia"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sz w:val="24"/>
          <w:szCs w:val="24"/>
          <w:highlight w:val="none"/>
        </w:rPr>
      </w:pPr>
      <w:r>
        <w:rPr>
          <w:rFonts w:hint="eastAsia" w:cs="宋体"/>
          <w:b/>
          <w:kern w:val="0"/>
          <w:sz w:val="24"/>
          <w:szCs w:val="24"/>
          <w:highlight w:val="none"/>
        </w:rPr>
        <w:t>7.重新开展采购。</w:t>
      </w:r>
      <w:r>
        <w:rPr>
          <w:rFonts w:hint="eastAsia" w:cs="宋体"/>
          <w:sz w:val="24"/>
          <w:szCs w:val="24"/>
          <w:highlight w:val="none"/>
        </w:rPr>
        <w:t>有政府采购法第七十一条、第七十二条规定的违法行为之一，影响或者可能影响中标结果的，依照下列规定处理：</w:t>
      </w:r>
    </w:p>
    <w:p>
      <w:pPr>
        <w:pStyle w:val="2"/>
        <w:snapToGrid w:val="0"/>
        <w:spacing w:line="360" w:lineRule="auto"/>
        <w:rPr>
          <w:rFonts w:cs="宋体"/>
          <w:sz w:val="24"/>
          <w:szCs w:val="24"/>
          <w:highlight w:val="none"/>
        </w:rPr>
      </w:pPr>
      <w:r>
        <w:rPr>
          <w:rFonts w:hint="eastAsia" w:cs="宋体"/>
          <w:sz w:val="24"/>
          <w:szCs w:val="24"/>
          <w:highlight w:val="none"/>
        </w:rPr>
        <w:t>7.1未确定中标供应商的，终止本次政府采购活动，重新开展政府采购活动。</w:t>
      </w:r>
    </w:p>
    <w:p>
      <w:pPr>
        <w:pStyle w:val="2"/>
        <w:snapToGrid w:val="0"/>
        <w:spacing w:line="360" w:lineRule="auto"/>
        <w:rPr>
          <w:rFonts w:cs="宋体"/>
          <w:sz w:val="24"/>
          <w:szCs w:val="24"/>
          <w:highlight w:val="none"/>
        </w:rPr>
      </w:pPr>
      <w:r>
        <w:rPr>
          <w:rFonts w:hint="eastAsia" w:cs="宋体"/>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sz w:val="24"/>
          <w:szCs w:val="24"/>
          <w:highlight w:val="none"/>
        </w:rPr>
      </w:pPr>
      <w:r>
        <w:rPr>
          <w:rFonts w:hint="eastAsia" w:cs="宋体"/>
          <w:sz w:val="24"/>
          <w:szCs w:val="24"/>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sz w:val="24"/>
          <w:szCs w:val="24"/>
          <w:highlight w:val="none"/>
        </w:rPr>
      </w:pPr>
      <w:r>
        <w:rPr>
          <w:rFonts w:hint="eastAsia" w:cs="宋体"/>
          <w:sz w:val="24"/>
          <w:szCs w:val="24"/>
          <w:highlight w:val="none"/>
        </w:rPr>
        <w:t>7.4政府采购合同已经履行，给采购人、供应商造成损失的，由责任人承担赔偿责任。</w:t>
      </w:r>
    </w:p>
    <w:p>
      <w:pPr>
        <w:pStyle w:val="2"/>
        <w:snapToGrid w:val="0"/>
        <w:spacing w:line="360" w:lineRule="auto"/>
        <w:rPr>
          <w:rFonts w:cs="宋体"/>
          <w:sz w:val="24"/>
          <w:szCs w:val="24"/>
          <w:highlight w:val="none"/>
        </w:rPr>
      </w:pPr>
      <w:r>
        <w:rPr>
          <w:rFonts w:hint="eastAsia" w:cs="宋体"/>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rFonts w:cs="宋体"/>
          <w:sz w:val="21"/>
          <w:szCs w:val="24"/>
          <w:highlight w:val="none"/>
        </w:rPr>
      </w:pPr>
    </w:p>
    <w:p>
      <w:pPr>
        <w:pStyle w:val="2"/>
        <w:rPr>
          <w:rFonts w:cs="宋体"/>
          <w:sz w:val="24"/>
          <w:szCs w:val="24"/>
          <w:highlight w:val="none"/>
        </w:rPr>
      </w:pPr>
    </w:p>
    <w:p>
      <w:pPr>
        <w:rPr>
          <w:sz w:val="21"/>
          <w:szCs w:val="24"/>
          <w:highlight w:val="none"/>
        </w:rPr>
      </w:pPr>
    </w:p>
    <w:p>
      <w:pPr>
        <w:pStyle w:val="2"/>
        <w:rPr>
          <w:sz w:val="24"/>
          <w:szCs w:val="24"/>
          <w:highlight w:val="none"/>
        </w:rPr>
      </w:pPr>
    </w:p>
    <w:p>
      <w:pPr>
        <w:rPr>
          <w:sz w:val="21"/>
          <w:szCs w:val="24"/>
          <w:highlight w:val="none"/>
        </w:rPr>
      </w:pPr>
    </w:p>
    <w:p>
      <w:pPr>
        <w:rPr>
          <w:sz w:val="21"/>
          <w:szCs w:val="24"/>
          <w:highlight w:val="none"/>
        </w:rPr>
      </w:pPr>
    </w:p>
    <w:p>
      <w:pPr>
        <w:pStyle w:val="2"/>
        <w:snapToGrid w:val="0"/>
        <w:spacing w:line="360" w:lineRule="auto"/>
        <w:ind w:firstLine="0" w:firstLineChars="0"/>
        <w:rPr>
          <w:rFonts w:cs="宋体"/>
          <w:sz w:val="24"/>
          <w:szCs w:val="24"/>
          <w:highlight w:val="none"/>
        </w:rPr>
      </w:pPr>
    </w:p>
    <w:bookmarkEnd w:id="27"/>
    <w:p>
      <w:pPr>
        <w:spacing w:line="360" w:lineRule="auto"/>
        <w:ind w:left="720" w:leftChars="343" w:firstLine="1446" w:firstLineChars="400"/>
        <w:outlineLvl w:val="0"/>
        <w:rPr>
          <w:rFonts w:ascii="宋体" w:hAnsi="宋体" w:cs="宋体"/>
          <w:b/>
          <w:sz w:val="36"/>
          <w:szCs w:val="36"/>
          <w:highlight w:val="none"/>
        </w:rPr>
      </w:pPr>
      <w:bookmarkStart w:id="412" w:name="第五部分"/>
      <w:bookmarkStart w:id="413" w:name="_Toc86217003"/>
      <w:r>
        <w:rPr>
          <w:rFonts w:hint="eastAsia" w:ascii="宋体" w:hAnsi="宋体" w:cs="宋体"/>
          <w:b/>
          <w:sz w:val="36"/>
          <w:szCs w:val="36"/>
          <w:highlight w:val="none"/>
        </w:rPr>
        <w:t>第五部分 拟签订的合同文本</w:t>
      </w:r>
    </w:p>
    <w:p>
      <w:pPr>
        <w:spacing w:line="360" w:lineRule="auto"/>
        <w:ind w:left="720" w:leftChars="343" w:firstLine="1084" w:firstLineChars="300"/>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合同编号：</w:t>
      </w:r>
      <w:r>
        <w:rPr>
          <w:rFonts w:hint="eastAsia" w:ascii="仿宋" w:hAnsi="仿宋" w:eastAsia="仿宋" w:cs="仿宋"/>
          <w:sz w:val="24"/>
          <w:szCs w:val="24"/>
          <w:highlight w:val="none"/>
          <w:u w:val="single"/>
        </w:rPr>
        <w:t xml:space="preserve">           </w:t>
      </w:r>
    </w:p>
    <w:p>
      <w:pPr>
        <w:spacing w:line="360" w:lineRule="auto"/>
        <w:jc w:val="center"/>
        <w:rPr>
          <w:rFonts w:ascii="仿宋" w:hAnsi="仿宋" w:eastAsia="仿宋" w:cs="仿宋"/>
          <w:b/>
          <w:sz w:val="28"/>
          <w:szCs w:val="28"/>
          <w:highlight w:val="none"/>
        </w:rPr>
      </w:pPr>
    </w:p>
    <w:p>
      <w:pPr>
        <w:spacing w:line="360" w:lineRule="auto"/>
        <w:jc w:val="center"/>
        <w:rPr>
          <w:rFonts w:ascii="仿宋" w:hAnsi="仿宋" w:eastAsia="仿宋" w:cs="仿宋"/>
          <w:b/>
          <w:sz w:val="24"/>
          <w:szCs w:val="24"/>
          <w:highlight w:val="none"/>
        </w:rPr>
      </w:pPr>
    </w:p>
    <w:p>
      <w:pPr>
        <w:spacing w:line="360" w:lineRule="auto"/>
        <w:jc w:val="center"/>
        <w:rPr>
          <w:rFonts w:ascii="仿宋" w:hAnsi="仿宋" w:eastAsia="仿宋" w:cs="仿宋"/>
          <w:b/>
          <w:sz w:val="24"/>
          <w:szCs w:val="24"/>
          <w:highlight w:val="none"/>
        </w:rPr>
      </w:pPr>
    </w:p>
    <w:p>
      <w:pPr>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（服务类）</w:t>
      </w:r>
    </w:p>
    <w:p>
      <w:pPr>
        <w:autoSpaceDE w:val="0"/>
        <w:autoSpaceDN w:val="0"/>
        <w:snapToGrid w:val="0"/>
        <w:spacing w:after="120" w:line="360" w:lineRule="auto"/>
        <w:ind w:left="420" w:leftChars="200" w:firstLine="2843" w:firstLineChars="1180"/>
        <w:rPr>
          <w:rFonts w:ascii="仿宋" w:hAnsi="仿宋" w:eastAsia="仿宋" w:cs="仿宋"/>
          <w:b/>
          <w:sz w:val="24"/>
          <w:szCs w:val="24"/>
          <w:highlight w:val="none"/>
        </w:rPr>
      </w:pPr>
      <w:r>
        <w:rPr>
          <w:rFonts w:hint="eastAsia" w:ascii="仿宋" w:hAnsi="仿宋" w:eastAsia="仿宋" w:cs="仿宋"/>
          <w:b/>
          <w:sz w:val="24"/>
          <w:szCs w:val="24"/>
          <w:highlight w:val="none"/>
        </w:rPr>
        <w:t>第一部分 合同书</w:t>
      </w:r>
    </w:p>
    <w:p>
      <w:pPr>
        <w:spacing w:before="120" w:line="360" w:lineRule="auto"/>
        <w:rPr>
          <w:rFonts w:ascii="仿宋" w:hAnsi="仿宋" w:eastAsia="仿宋" w:cs="仿宋"/>
          <w:sz w:val="24"/>
          <w:szCs w:val="24"/>
          <w:highlight w:val="none"/>
        </w:rPr>
      </w:pPr>
    </w:p>
    <w:p>
      <w:pPr>
        <w:keepNext/>
        <w:keepLines/>
        <w:adjustRightInd/>
        <w:spacing w:line="360" w:lineRule="auto"/>
        <w:ind w:left="432" w:hanging="432"/>
        <w:jc w:val="left"/>
        <w:outlineLvl w:val="1"/>
        <w:rPr>
          <w:rFonts w:ascii="仿宋" w:hAnsi="仿宋" w:eastAsia="仿宋" w:cs="仿宋"/>
          <w:b/>
          <w:bCs/>
          <w:sz w:val="32"/>
          <w:szCs w:val="32"/>
          <w:highlight w:val="none"/>
          <w:lang w:val="zh-CN"/>
        </w:rPr>
      </w:pPr>
    </w:p>
    <w:p>
      <w:pPr>
        <w:spacing w:before="120" w:line="360" w:lineRule="auto"/>
        <w:ind w:left="960"/>
        <w:rPr>
          <w:rFonts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p>
    <w:p>
      <w:pPr>
        <w:adjustRightInd/>
        <w:spacing w:before="120" w:line="360" w:lineRule="auto"/>
        <w:rPr>
          <w:rFonts w:ascii="仿宋" w:hAnsi="仿宋" w:eastAsia="仿宋" w:cs="仿宋"/>
          <w:sz w:val="24"/>
          <w:szCs w:val="24"/>
          <w:highlight w:val="none"/>
        </w:rPr>
      </w:pPr>
    </w:p>
    <w:p>
      <w:pPr>
        <w:adjustRightInd/>
        <w:spacing w:before="120" w:line="360" w:lineRule="auto"/>
        <w:rPr>
          <w:rFonts w:ascii="仿宋" w:hAnsi="仿宋" w:eastAsia="仿宋" w:cs="仿宋"/>
          <w:sz w:val="24"/>
          <w:szCs w:val="24"/>
          <w:highlight w:val="none"/>
        </w:rPr>
      </w:pPr>
    </w:p>
    <w:p>
      <w:pPr>
        <w:spacing w:line="360" w:lineRule="auto"/>
        <w:rPr>
          <w:rFonts w:ascii="仿宋" w:hAnsi="仿宋" w:eastAsia="仿宋" w:cs="仿宋"/>
          <w:sz w:val="24"/>
          <w:szCs w:val="24"/>
          <w:highlight w:val="none"/>
        </w:rPr>
      </w:pPr>
    </w:p>
    <w:p>
      <w:pPr>
        <w:spacing w:before="120" w:line="360" w:lineRule="auto"/>
        <w:ind w:left="960"/>
        <w:rPr>
          <w:rFonts w:ascii="仿宋" w:hAnsi="仿宋" w:eastAsia="仿宋" w:cs="仿宋"/>
          <w:sz w:val="24"/>
          <w:szCs w:val="24"/>
          <w:highlight w:val="none"/>
          <w:u w:val="singl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u w:val="single"/>
        </w:rPr>
        <w:t xml:space="preserve">                                       </w:t>
      </w:r>
    </w:p>
    <w:p>
      <w:pPr>
        <w:spacing w:before="120" w:line="360" w:lineRule="auto"/>
        <w:rPr>
          <w:rFonts w:ascii="仿宋" w:hAnsi="仿宋" w:eastAsia="仿宋" w:cs="仿宋"/>
          <w:sz w:val="24"/>
          <w:szCs w:val="24"/>
          <w:highlight w:val="none"/>
        </w:rPr>
      </w:pPr>
    </w:p>
    <w:p>
      <w:pPr>
        <w:spacing w:before="120" w:line="360" w:lineRule="auto"/>
        <w:ind w:left="960"/>
        <w:rPr>
          <w:rFonts w:ascii="仿宋" w:hAnsi="仿宋" w:eastAsia="仿宋" w:cs="仿宋"/>
          <w:sz w:val="24"/>
          <w:szCs w:val="24"/>
          <w:highlight w:val="none"/>
          <w:u w:val="singl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p>
      <w:pPr>
        <w:spacing w:before="120" w:line="360" w:lineRule="auto"/>
        <w:rPr>
          <w:rFonts w:ascii="仿宋" w:hAnsi="仿宋" w:eastAsia="仿宋" w:cs="仿宋"/>
          <w:sz w:val="24"/>
          <w:szCs w:val="24"/>
          <w:highlight w:val="none"/>
        </w:rPr>
      </w:pPr>
    </w:p>
    <w:p>
      <w:pPr>
        <w:spacing w:before="120" w:line="360" w:lineRule="auto"/>
        <w:ind w:firstLine="960" w:firstLineChars="400"/>
        <w:rPr>
          <w:rFonts w:ascii="仿宋" w:hAnsi="仿宋" w:eastAsia="仿宋" w:cs="仿宋"/>
          <w:sz w:val="24"/>
          <w:szCs w:val="24"/>
          <w:highlight w:val="none"/>
          <w:u w:val="single"/>
        </w:rPr>
      </w:pPr>
      <w:r>
        <w:rPr>
          <w:rFonts w:hint="eastAsia" w:ascii="仿宋" w:hAnsi="仿宋" w:eastAsia="仿宋" w:cs="仿宋"/>
          <w:sz w:val="24"/>
          <w:szCs w:val="24"/>
          <w:highlight w:val="none"/>
        </w:rPr>
        <w:t>签订地：</w:t>
      </w:r>
      <w:r>
        <w:rPr>
          <w:rFonts w:hint="eastAsia" w:ascii="仿宋" w:hAnsi="仿宋" w:eastAsia="仿宋" w:cs="仿宋"/>
          <w:sz w:val="24"/>
          <w:szCs w:val="24"/>
          <w:highlight w:val="none"/>
          <w:u w:val="single"/>
        </w:rPr>
        <w:t xml:space="preserve">                                     </w:t>
      </w:r>
    </w:p>
    <w:p>
      <w:pPr>
        <w:spacing w:before="120" w:line="360" w:lineRule="auto"/>
        <w:rPr>
          <w:rFonts w:ascii="仿宋" w:hAnsi="仿宋" w:eastAsia="仿宋" w:cs="仿宋"/>
          <w:sz w:val="24"/>
          <w:szCs w:val="24"/>
          <w:highlight w:val="none"/>
        </w:rPr>
      </w:pPr>
    </w:p>
    <w:p>
      <w:pPr>
        <w:spacing w:before="120" w:line="360" w:lineRule="auto"/>
        <w:ind w:firstLine="960" w:firstLineChars="400"/>
        <w:rPr>
          <w:rFonts w:ascii="仿宋" w:hAnsi="仿宋" w:eastAsia="仿宋" w:cs="仿宋"/>
          <w:sz w:val="24"/>
          <w:szCs w:val="24"/>
          <w:highlight w:val="none"/>
          <w:u w:val="single"/>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widowControl/>
        <w:spacing w:line="360" w:lineRule="auto"/>
        <w:jc w:val="left"/>
        <w:rPr>
          <w:rFonts w:ascii="仿宋" w:hAnsi="仿宋" w:eastAsia="仿宋" w:cs="仿宋"/>
          <w:kern w:val="0"/>
          <w:sz w:val="24"/>
          <w:szCs w:val="24"/>
          <w:highlight w:val="none"/>
        </w:rPr>
        <w:sectPr>
          <w:headerReference r:id="rId8" w:type="default"/>
          <w:pgSz w:w="11907" w:h="16840"/>
          <w:pgMar w:top="1474" w:right="1134" w:bottom="1474" w:left="1814" w:header="851" w:footer="851" w:gutter="0"/>
          <w:cols w:space="720" w:num="1"/>
        </w:sectPr>
      </w:pPr>
    </w:p>
    <w:p>
      <w:pPr>
        <w:spacing w:line="360" w:lineRule="auto"/>
        <w:ind w:firstLine="420" w:firstLineChars="200"/>
        <w:rPr>
          <w:rFonts w:ascii="仿宋" w:hAnsi="仿宋" w:eastAsia="仿宋" w:cs="仿宋"/>
          <w:sz w:val="21"/>
          <w:szCs w:val="21"/>
          <w:highlight w:val="none"/>
          <w:u w:val="single"/>
          <w:lang w:val="zh-CN"/>
        </w:rPr>
      </w:pPr>
    </w:p>
    <w:p>
      <w:pPr>
        <w:spacing w:line="360" w:lineRule="auto"/>
        <w:ind w:firstLine="420" w:firstLineChars="200"/>
        <w:jc w:val="left"/>
        <w:rPr>
          <w:rFonts w:ascii="仿宋" w:hAnsi="仿宋" w:eastAsia="仿宋" w:cs="仿宋"/>
          <w:sz w:val="21"/>
          <w:szCs w:val="21"/>
          <w:highlight w:val="none"/>
        </w:rPr>
      </w:pPr>
      <w:r>
        <w:rPr>
          <w:rFonts w:hint="eastAsia" w:ascii="仿宋" w:hAnsi="仿宋" w:eastAsia="仿宋" w:cs="仿宋"/>
          <w:sz w:val="21"/>
          <w:szCs w:val="21"/>
          <w:highlight w:val="none"/>
          <w:u w:val="single"/>
          <w:lang w:val="zh-CN"/>
        </w:rPr>
        <w:t xml:space="preserve">        </w:t>
      </w:r>
      <w:r>
        <w:rPr>
          <w:rFonts w:hint="eastAsia" w:ascii="仿宋" w:hAnsi="仿宋" w:eastAsia="仿宋" w:cs="仿宋"/>
          <w:sz w:val="21"/>
          <w:szCs w:val="21"/>
          <w:highlight w:val="none"/>
          <w:lang w:val="zh-CN"/>
        </w:rPr>
        <w:t>年</w:t>
      </w:r>
      <w:r>
        <w:rPr>
          <w:rFonts w:hint="eastAsia" w:ascii="仿宋" w:hAnsi="仿宋" w:eastAsia="仿宋" w:cs="仿宋"/>
          <w:sz w:val="21"/>
          <w:szCs w:val="21"/>
          <w:highlight w:val="none"/>
          <w:u w:val="single"/>
          <w:lang w:val="zh-CN"/>
        </w:rPr>
        <w:t xml:space="preserve">    </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u w:val="single"/>
          <w:lang w:val="zh-CN"/>
        </w:rPr>
        <w:t xml:space="preserve">    </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（采购人名称）   </w:t>
      </w:r>
      <w:r>
        <w:rPr>
          <w:rFonts w:hint="eastAsia" w:ascii="仿宋" w:hAnsi="仿宋" w:eastAsia="仿宋" w:cs="仿宋"/>
          <w:sz w:val="21"/>
          <w:szCs w:val="21"/>
          <w:highlight w:val="none"/>
        </w:rPr>
        <w:t>以</w:t>
      </w:r>
      <w:r>
        <w:rPr>
          <w:rFonts w:hint="eastAsia" w:ascii="仿宋" w:hAnsi="仿宋" w:eastAsia="仿宋" w:cs="仿宋"/>
          <w:sz w:val="21"/>
          <w:szCs w:val="21"/>
          <w:highlight w:val="none"/>
          <w:u w:val="single"/>
        </w:rPr>
        <w:t xml:space="preserve">   （政府采购方式）  </w:t>
      </w:r>
      <w:r>
        <w:rPr>
          <w:rFonts w:hint="eastAsia" w:ascii="仿宋" w:hAnsi="仿宋" w:eastAsia="仿宋" w:cs="仿宋"/>
          <w:sz w:val="21"/>
          <w:szCs w:val="21"/>
          <w:highlight w:val="none"/>
        </w:rPr>
        <w:t>对</w:t>
      </w:r>
      <w:r>
        <w:rPr>
          <w:rFonts w:hint="eastAsia" w:ascii="仿宋" w:hAnsi="仿宋" w:eastAsia="仿宋" w:cs="仿宋"/>
          <w:sz w:val="21"/>
          <w:szCs w:val="21"/>
          <w:highlight w:val="none"/>
          <w:u w:val="single"/>
        </w:rPr>
        <w:t xml:space="preserve">   （同前页项目名称）   </w:t>
      </w:r>
      <w:r>
        <w:rPr>
          <w:rFonts w:hint="eastAsia" w:ascii="仿宋" w:hAnsi="仿宋" w:eastAsia="仿宋" w:cs="仿宋"/>
          <w:sz w:val="21"/>
          <w:szCs w:val="21"/>
          <w:highlight w:val="none"/>
        </w:rPr>
        <w:t>项目进行了采购。经</w:t>
      </w:r>
      <w:r>
        <w:rPr>
          <w:rFonts w:hint="eastAsia" w:ascii="仿宋" w:hAnsi="仿宋" w:eastAsia="仿宋" w:cs="仿宋"/>
          <w:sz w:val="21"/>
          <w:szCs w:val="21"/>
          <w:highlight w:val="none"/>
          <w:u w:val="single"/>
        </w:rPr>
        <w:t xml:space="preserve">   （相关评定主体名称）   </w:t>
      </w:r>
      <w:r>
        <w:rPr>
          <w:rFonts w:hint="eastAsia" w:ascii="仿宋" w:hAnsi="仿宋" w:eastAsia="仿宋" w:cs="仿宋"/>
          <w:sz w:val="21"/>
          <w:szCs w:val="21"/>
          <w:highlight w:val="none"/>
        </w:rPr>
        <w:t>评定，</w:t>
      </w:r>
      <w:r>
        <w:rPr>
          <w:rFonts w:hint="eastAsia" w:ascii="仿宋" w:hAnsi="仿宋" w:eastAsia="仿宋" w:cs="仿宋"/>
          <w:sz w:val="21"/>
          <w:szCs w:val="21"/>
          <w:highlight w:val="none"/>
          <w:u w:val="single"/>
        </w:rPr>
        <w:t xml:space="preserve">   （中标供应商名称） </w:t>
      </w:r>
      <w:r>
        <w:rPr>
          <w:rFonts w:hint="eastAsia" w:ascii="仿宋" w:hAnsi="仿宋" w:eastAsia="仿宋" w:cs="仿宋"/>
          <w:sz w:val="21"/>
          <w:szCs w:val="21"/>
          <w:highlight w:val="none"/>
        </w:rPr>
        <w:t>为该项目中标供应商。现于中标通知书发出之日起10个工作日内，按照招标文件确定的事项签订本合同。</w:t>
      </w:r>
    </w:p>
    <w:p>
      <w:pPr>
        <w:spacing w:line="360" w:lineRule="auto"/>
        <w:ind w:firstLine="420" w:firstLineChars="200"/>
        <w:jc w:val="left"/>
        <w:rPr>
          <w:rFonts w:ascii="仿宋" w:hAnsi="仿宋" w:eastAsia="仿宋" w:cs="仿宋"/>
          <w:sz w:val="21"/>
          <w:szCs w:val="21"/>
          <w:highlight w:val="none"/>
        </w:rPr>
      </w:pPr>
      <w:r>
        <w:rPr>
          <w:rFonts w:hint="eastAsia" w:ascii="仿宋" w:hAnsi="仿宋" w:eastAsia="仿宋" w:cs="仿宋"/>
          <w:sz w:val="21"/>
          <w:szCs w:val="21"/>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1"/>
          <w:szCs w:val="21"/>
          <w:highlight w:val="none"/>
          <w:u w:val="single"/>
        </w:rPr>
        <w:t xml:space="preserve">   （采购人名称）   </w:t>
      </w:r>
      <w:r>
        <w:rPr>
          <w:rFonts w:hint="eastAsia" w:ascii="仿宋" w:hAnsi="仿宋" w:eastAsia="仿宋" w:cs="仿宋"/>
          <w:sz w:val="21"/>
          <w:szCs w:val="21"/>
          <w:highlight w:val="none"/>
          <w:lang w:val="zh-CN"/>
        </w:rPr>
        <w:t>(以下简称：甲方)和</w:t>
      </w:r>
      <w:r>
        <w:rPr>
          <w:rFonts w:hint="eastAsia" w:ascii="仿宋" w:hAnsi="仿宋" w:eastAsia="仿宋" w:cs="仿宋"/>
          <w:sz w:val="21"/>
          <w:szCs w:val="21"/>
          <w:highlight w:val="none"/>
          <w:u w:val="single"/>
        </w:rPr>
        <w:t xml:space="preserve">   （中标供应商名称）   </w:t>
      </w:r>
      <w:r>
        <w:rPr>
          <w:rFonts w:hint="eastAsia" w:ascii="仿宋" w:hAnsi="仿宋" w:eastAsia="仿宋" w:cs="仿宋"/>
          <w:sz w:val="21"/>
          <w:szCs w:val="21"/>
          <w:highlight w:val="none"/>
          <w:lang w:val="zh-CN"/>
        </w:rPr>
        <w:t>(以下简称：乙方)协商一致，约定以下合同</w:t>
      </w:r>
      <w:r>
        <w:rPr>
          <w:rFonts w:hint="eastAsia" w:ascii="仿宋" w:hAnsi="仿宋" w:eastAsia="仿宋" w:cs="仿宋"/>
          <w:sz w:val="21"/>
          <w:szCs w:val="21"/>
          <w:highlight w:val="none"/>
        </w:rPr>
        <w:t>条款，以兹共同遵守、全面履行。</w:t>
      </w:r>
    </w:p>
    <w:p>
      <w:pPr>
        <w:spacing w:line="360" w:lineRule="auto"/>
        <w:ind w:firstLine="422" w:firstLineChars="200"/>
        <w:outlineLvl w:val="0"/>
        <w:rPr>
          <w:rFonts w:ascii="仿宋" w:hAnsi="仿宋" w:eastAsia="仿宋" w:cs="仿宋"/>
          <w:sz w:val="21"/>
          <w:szCs w:val="21"/>
          <w:highlight w:val="none"/>
        </w:rPr>
      </w:pPr>
      <w:bookmarkStart w:id="414" w:name="_Toc20421"/>
      <w:bookmarkStart w:id="415" w:name="_Toc22967"/>
      <w:bookmarkStart w:id="416" w:name="_Toc19273"/>
      <w:bookmarkStart w:id="417" w:name="_Toc28855"/>
      <w:bookmarkStart w:id="418" w:name="_Toc15367"/>
      <w:r>
        <w:rPr>
          <w:rFonts w:hint="eastAsia" w:ascii="仿宋" w:hAnsi="仿宋" w:eastAsia="仿宋" w:cs="仿宋"/>
          <w:b/>
          <w:sz w:val="21"/>
          <w:szCs w:val="21"/>
          <w:highlight w:val="none"/>
        </w:rPr>
        <w:t>1.1 合同组成部分</w:t>
      </w:r>
      <w:bookmarkEnd w:id="414"/>
      <w:bookmarkEnd w:id="415"/>
      <w:bookmarkEnd w:id="416"/>
      <w:bookmarkEnd w:id="417"/>
      <w:bookmarkEnd w:id="418"/>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1.1.1 本合同及其补充合同、变更协议；</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1.1.2 中标通知书；</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1.1.3 投标文件（含澄清或者说明文件）；</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1.1.4 招标文件（含澄清或者修改文件）；</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1.1.5 其他相关采购文件。</w:t>
      </w:r>
    </w:p>
    <w:p>
      <w:pPr>
        <w:spacing w:line="360" w:lineRule="auto"/>
        <w:ind w:firstLine="422" w:firstLineChars="200"/>
        <w:outlineLvl w:val="0"/>
        <w:rPr>
          <w:rFonts w:ascii="仿宋" w:hAnsi="仿宋" w:eastAsia="仿宋" w:cs="仿宋"/>
          <w:b/>
          <w:sz w:val="21"/>
          <w:szCs w:val="21"/>
          <w:highlight w:val="none"/>
        </w:rPr>
      </w:pPr>
      <w:bookmarkStart w:id="419" w:name="_Toc22185"/>
      <w:bookmarkStart w:id="420" w:name="_Toc18585"/>
      <w:bookmarkStart w:id="421" w:name="_Toc2918"/>
      <w:bookmarkStart w:id="422" w:name="_Toc6311"/>
      <w:bookmarkStart w:id="423" w:name="_Toc6773"/>
      <w:r>
        <w:rPr>
          <w:rFonts w:hint="eastAsia" w:ascii="仿宋" w:hAnsi="仿宋" w:eastAsia="仿宋" w:cs="仿宋"/>
          <w:b/>
          <w:sz w:val="21"/>
          <w:szCs w:val="21"/>
          <w:highlight w:val="none"/>
        </w:rPr>
        <w:t>1.2 标的</w:t>
      </w:r>
      <w:bookmarkEnd w:id="419"/>
      <w:bookmarkEnd w:id="420"/>
      <w:bookmarkEnd w:id="421"/>
      <w:bookmarkEnd w:id="422"/>
      <w:bookmarkEnd w:id="423"/>
    </w:p>
    <w:p>
      <w:pPr>
        <w:spacing w:line="360" w:lineRule="auto"/>
        <w:ind w:firstLine="420" w:firstLineChars="200"/>
        <w:rPr>
          <w:rFonts w:ascii="仿宋" w:hAnsi="仿宋" w:eastAsia="仿宋" w:cs="仿宋"/>
          <w:sz w:val="21"/>
          <w:szCs w:val="21"/>
          <w:highlight w:val="none"/>
          <w:u w:val="single"/>
        </w:rPr>
      </w:pPr>
      <w:r>
        <w:rPr>
          <w:rFonts w:hint="eastAsia" w:ascii="仿宋" w:hAnsi="仿宋" w:eastAsia="仿宋" w:cs="仿宋"/>
          <w:sz w:val="21"/>
          <w:szCs w:val="21"/>
          <w:highlight w:val="none"/>
        </w:rPr>
        <w:t>1.2.1 标的名称：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spacing w:line="360" w:lineRule="auto"/>
        <w:ind w:firstLine="420" w:firstLineChars="200"/>
        <w:rPr>
          <w:rFonts w:ascii="仿宋" w:hAnsi="仿宋" w:eastAsia="仿宋" w:cs="仿宋"/>
          <w:sz w:val="21"/>
          <w:szCs w:val="21"/>
          <w:highlight w:val="none"/>
          <w:u w:val="single"/>
        </w:rPr>
      </w:pPr>
      <w:r>
        <w:rPr>
          <w:rFonts w:hint="eastAsia" w:ascii="仿宋" w:hAnsi="仿宋" w:eastAsia="仿宋" w:cs="仿宋"/>
          <w:sz w:val="21"/>
          <w:szCs w:val="21"/>
          <w:highlight w:val="none"/>
        </w:rPr>
        <w:t>1.2.2 标的数量：</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1.2.3 标的质量标准：</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spacing w:line="360" w:lineRule="auto"/>
        <w:ind w:firstLine="422" w:firstLineChars="200"/>
        <w:outlineLvl w:val="0"/>
        <w:rPr>
          <w:rFonts w:ascii="仿宋" w:hAnsi="仿宋" w:eastAsia="仿宋" w:cs="仿宋"/>
          <w:b/>
          <w:sz w:val="21"/>
          <w:szCs w:val="21"/>
          <w:highlight w:val="none"/>
        </w:rPr>
      </w:pPr>
      <w:bookmarkStart w:id="424" w:name="_Toc4929"/>
      <w:bookmarkStart w:id="425" w:name="_Toc1386"/>
      <w:bookmarkStart w:id="426" w:name="_Toc5635"/>
      <w:bookmarkStart w:id="427" w:name="_Toc21124"/>
      <w:bookmarkStart w:id="428" w:name="_Toc13918"/>
      <w:r>
        <w:rPr>
          <w:rFonts w:hint="eastAsia" w:ascii="仿宋" w:hAnsi="仿宋" w:eastAsia="仿宋" w:cs="仿宋"/>
          <w:b/>
          <w:sz w:val="21"/>
          <w:szCs w:val="21"/>
          <w:highlight w:val="none"/>
        </w:rPr>
        <w:t>1.3 价款</w:t>
      </w:r>
      <w:bookmarkEnd w:id="424"/>
      <w:bookmarkEnd w:id="425"/>
      <w:bookmarkEnd w:id="426"/>
      <w:bookmarkEnd w:id="427"/>
      <w:bookmarkEnd w:id="428"/>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本合同总价为：￥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元人民币）。</w:t>
      </w:r>
    </w:p>
    <w:p>
      <w:pPr>
        <w:spacing w:line="360" w:lineRule="auto"/>
        <w:ind w:firstLine="420" w:firstLineChars="200"/>
        <w:rPr>
          <w:rFonts w:ascii="仿宋" w:hAnsi="仿宋" w:eastAsia="仿宋" w:cs="仿宋"/>
          <w:sz w:val="21"/>
          <w:szCs w:val="21"/>
          <w:highlight w:val="none"/>
          <w:u w:val="single"/>
        </w:rPr>
      </w:pPr>
      <w:r>
        <w:rPr>
          <w:rFonts w:hint="eastAsia" w:ascii="仿宋" w:hAnsi="仿宋" w:eastAsia="仿宋" w:cs="仿宋"/>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序号</w:t>
            </w:r>
          </w:p>
        </w:tc>
        <w:tc>
          <w:tcPr>
            <w:tcW w:w="3402" w:type="dxa"/>
            <w:vAlign w:val="center"/>
          </w:tcPr>
          <w:p>
            <w:pPr>
              <w:adjustRightInd/>
              <w:spacing w:line="360" w:lineRule="auto"/>
              <w:ind w:firstLine="200"/>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分项名称</w:t>
            </w:r>
          </w:p>
        </w:tc>
        <w:tc>
          <w:tcPr>
            <w:tcW w:w="4430" w:type="dxa"/>
            <w:vAlign w:val="center"/>
          </w:tcPr>
          <w:p>
            <w:pPr>
              <w:adjustRightInd/>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360" w:lineRule="auto"/>
              <w:ind w:firstLine="200"/>
              <w:jc w:val="center"/>
              <w:rPr>
                <w:rFonts w:ascii="仿宋" w:hAnsi="仿宋" w:eastAsia="仿宋" w:cs="仿宋"/>
                <w:kern w:val="0"/>
                <w:sz w:val="21"/>
                <w:szCs w:val="21"/>
                <w:highlight w:val="none"/>
              </w:rPr>
            </w:pPr>
          </w:p>
        </w:tc>
        <w:tc>
          <w:tcPr>
            <w:tcW w:w="3402" w:type="dxa"/>
            <w:vAlign w:val="center"/>
          </w:tcPr>
          <w:p>
            <w:pPr>
              <w:adjustRightInd/>
              <w:spacing w:line="360" w:lineRule="auto"/>
              <w:ind w:firstLine="200"/>
              <w:jc w:val="center"/>
              <w:rPr>
                <w:rFonts w:ascii="仿宋" w:hAnsi="仿宋" w:eastAsia="仿宋" w:cs="仿宋"/>
                <w:kern w:val="0"/>
                <w:sz w:val="21"/>
                <w:szCs w:val="21"/>
                <w:highlight w:val="none"/>
              </w:rPr>
            </w:pPr>
          </w:p>
        </w:tc>
        <w:tc>
          <w:tcPr>
            <w:tcW w:w="4430" w:type="dxa"/>
            <w:vAlign w:val="center"/>
          </w:tcPr>
          <w:p>
            <w:pPr>
              <w:adjustRightInd/>
              <w:spacing w:line="360" w:lineRule="auto"/>
              <w:ind w:firstLine="200"/>
              <w:jc w:val="center"/>
              <w:rPr>
                <w:rFonts w:ascii="仿宋" w:hAnsi="仿宋" w:eastAsia="仿宋"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360" w:lineRule="auto"/>
              <w:ind w:firstLine="200"/>
              <w:jc w:val="center"/>
              <w:rPr>
                <w:rFonts w:ascii="仿宋" w:hAnsi="仿宋" w:eastAsia="仿宋" w:cs="仿宋"/>
                <w:kern w:val="0"/>
                <w:sz w:val="21"/>
                <w:szCs w:val="21"/>
                <w:highlight w:val="none"/>
              </w:rPr>
            </w:pPr>
          </w:p>
        </w:tc>
        <w:tc>
          <w:tcPr>
            <w:tcW w:w="3402" w:type="dxa"/>
            <w:vAlign w:val="center"/>
          </w:tcPr>
          <w:p>
            <w:pPr>
              <w:adjustRightInd/>
              <w:spacing w:line="360" w:lineRule="auto"/>
              <w:ind w:firstLine="200"/>
              <w:jc w:val="center"/>
              <w:rPr>
                <w:rFonts w:ascii="仿宋" w:hAnsi="仿宋" w:eastAsia="仿宋" w:cs="仿宋"/>
                <w:kern w:val="0"/>
                <w:sz w:val="21"/>
                <w:szCs w:val="21"/>
                <w:highlight w:val="none"/>
              </w:rPr>
            </w:pPr>
          </w:p>
        </w:tc>
        <w:tc>
          <w:tcPr>
            <w:tcW w:w="4430" w:type="dxa"/>
            <w:vAlign w:val="center"/>
          </w:tcPr>
          <w:p>
            <w:pPr>
              <w:adjustRightInd/>
              <w:spacing w:line="360" w:lineRule="auto"/>
              <w:ind w:firstLine="200"/>
              <w:jc w:val="center"/>
              <w:rPr>
                <w:rFonts w:ascii="仿宋" w:hAnsi="仿宋" w:eastAsia="仿宋"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360" w:lineRule="auto"/>
              <w:ind w:firstLine="200"/>
              <w:jc w:val="center"/>
              <w:rPr>
                <w:rFonts w:ascii="仿宋" w:hAnsi="仿宋" w:eastAsia="仿宋" w:cs="仿宋"/>
                <w:kern w:val="0"/>
                <w:sz w:val="21"/>
                <w:szCs w:val="21"/>
                <w:highlight w:val="none"/>
              </w:rPr>
            </w:pPr>
          </w:p>
        </w:tc>
        <w:tc>
          <w:tcPr>
            <w:tcW w:w="3402" w:type="dxa"/>
            <w:vAlign w:val="center"/>
          </w:tcPr>
          <w:p>
            <w:pPr>
              <w:adjustRightInd/>
              <w:spacing w:line="360" w:lineRule="auto"/>
              <w:ind w:firstLine="200"/>
              <w:jc w:val="center"/>
              <w:rPr>
                <w:rFonts w:ascii="仿宋" w:hAnsi="仿宋" w:eastAsia="仿宋" w:cs="仿宋"/>
                <w:kern w:val="0"/>
                <w:sz w:val="21"/>
                <w:szCs w:val="21"/>
                <w:highlight w:val="none"/>
              </w:rPr>
            </w:pPr>
          </w:p>
        </w:tc>
        <w:tc>
          <w:tcPr>
            <w:tcW w:w="4430" w:type="dxa"/>
            <w:vAlign w:val="center"/>
          </w:tcPr>
          <w:p>
            <w:pPr>
              <w:adjustRightInd/>
              <w:spacing w:line="360" w:lineRule="auto"/>
              <w:ind w:firstLine="200"/>
              <w:jc w:val="center"/>
              <w:rPr>
                <w:rFonts w:ascii="仿宋" w:hAnsi="仿宋" w:eastAsia="仿宋"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360" w:lineRule="auto"/>
              <w:ind w:firstLine="200"/>
              <w:jc w:val="center"/>
              <w:rPr>
                <w:rFonts w:ascii="仿宋" w:hAnsi="仿宋" w:eastAsia="仿宋" w:cs="仿宋"/>
                <w:kern w:val="0"/>
                <w:sz w:val="21"/>
                <w:szCs w:val="21"/>
                <w:highlight w:val="none"/>
              </w:rPr>
            </w:pPr>
          </w:p>
        </w:tc>
        <w:tc>
          <w:tcPr>
            <w:tcW w:w="3402" w:type="dxa"/>
            <w:vAlign w:val="center"/>
          </w:tcPr>
          <w:p>
            <w:pPr>
              <w:adjustRightInd/>
              <w:spacing w:line="360" w:lineRule="auto"/>
              <w:ind w:firstLine="200"/>
              <w:jc w:val="center"/>
              <w:rPr>
                <w:rFonts w:ascii="仿宋" w:hAnsi="仿宋" w:eastAsia="仿宋" w:cs="仿宋"/>
                <w:kern w:val="0"/>
                <w:sz w:val="21"/>
                <w:szCs w:val="21"/>
                <w:highlight w:val="none"/>
              </w:rPr>
            </w:pPr>
          </w:p>
        </w:tc>
        <w:tc>
          <w:tcPr>
            <w:tcW w:w="4430" w:type="dxa"/>
            <w:vAlign w:val="center"/>
          </w:tcPr>
          <w:p>
            <w:pPr>
              <w:adjustRightInd/>
              <w:spacing w:line="360" w:lineRule="auto"/>
              <w:ind w:firstLine="200"/>
              <w:jc w:val="center"/>
              <w:rPr>
                <w:rFonts w:ascii="仿宋" w:hAnsi="仿宋" w:eastAsia="仿宋"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adjustRightInd/>
              <w:spacing w:line="360" w:lineRule="auto"/>
              <w:ind w:firstLine="200"/>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总价</w:t>
            </w:r>
          </w:p>
        </w:tc>
        <w:tc>
          <w:tcPr>
            <w:tcW w:w="4430" w:type="dxa"/>
            <w:vAlign w:val="center"/>
          </w:tcPr>
          <w:p>
            <w:pPr>
              <w:adjustRightInd/>
              <w:spacing w:line="360" w:lineRule="auto"/>
              <w:ind w:firstLine="200"/>
              <w:jc w:val="center"/>
              <w:rPr>
                <w:rFonts w:ascii="仿宋" w:hAnsi="仿宋" w:eastAsia="仿宋" w:cs="仿宋"/>
                <w:kern w:val="0"/>
                <w:sz w:val="21"/>
                <w:szCs w:val="21"/>
                <w:highlight w:val="none"/>
              </w:rPr>
            </w:pPr>
          </w:p>
        </w:tc>
      </w:tr>
    </w:tbl>
    <w:p>
      <w:pPr>
        <w:spacing w:line="360" w:lineRule="auto"/>
        <w:ind w:firstLine="422" w:firstLineChars="200"/>
        <w:outlineLvl w:val="0"/>
        <w:rPr>
          <w:rFonts w:ascii="仿宋" w:hAnsi="仿宋" w:eastAsia="仿宋" w:cs="仿宋"/>
          <w:b/>
          <w:sz w:val="21"/>
          <w:szCs w:val="21"/>
          <w:highlight w:val="none"/>
        </w:rPr>
      </w:pPr>
      <w:bookmarkStart w:id="429" w:name="_Toc3654"/>
      <w:bookmarkStart w:id="430" w:name="_Toc30506"/>
      <w:bookmarkStart w:id="431" w:name="_Toc30158"/>
      <w:bookmarkStart w:id="432" w:name="_Toc14993"/>
      <w:bookmarkStart w:id="433" w:name="_Toc26916"/>
      <w:r>
        <w:rPr>
          <w:rFonts w:hint="eastAsia" w:ascii="仿宋" w:hAnsi="仿宋" w:eastAsia="仿宋" w:cs="仿宋"/>
          <w:b/>
          <w:sz w:val="21"/>
          <w:szCs w:val="21"/>
          <w:highlight w:val="none"/>
        </w:rPr>
        <w:t>1.4 付款方式和发票开具方式</w:t>
      </w:r>
      <w:bookmarkEnd w:id="429"/>
      <w:bookmarkEnd w:id="430"/>
      <w:bookmarkEnd w:id="431"/>
      <w:bookmarkEnd w:id="432"/>
      <w:bookmarkEnd w:id="433"/>
    </w:p>
    <w:p>
      <w:pPr>
        <w:pStyle w:val="958"/>
        <w:spacing w:before="0" w:beforeAutospacing="0" w:after="0" w:afterAutospacing="0" w:line="360" w:lineRule="auto"/>
        <w:ind w:firstLine="480"/>
        <w:rPr>
          <w:rFonts w:ascii="仿宋" w:hAnsi="仿宋" w:eastAsia="仿宋" w:cs="仿宋"/>
          <w:sz w:val="21"/>
          <w:szCs w:val="21"/>
          <w:highlight w:val="none"/>
        </w:rPr>
      </w:pPr>
      <w:r>
        <w:rPr>
          <w:rFonts w:hint="eastAsia" w:ascii="仿宋" w:hAnsi="仿宋" w:eastAsia="仿宋" w:cs="仿宋"/>
          <w:sz w:val="21"/>
          <w:szCs w:val="21"/>
          <w:highlight w:val="none"/>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1.4.2 合同预付款比例为合同金额的40％；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20" w:firstLineChars="200"/>
        <w:outlineLvl w:val="0"/>
        <w:rPr>
          <w:rFonts w:ascii="仿宋" w:hAnsi="仿宋" w:eastAsia="仿宋" w:cs="仿宋"/>
          <w:sz w:val="21"/>
          <w:szCs w:val="21"/>
          <w:highlight w:val="none"/>
        </w:rPr>
      </w:pPr>
      <w:r>
        <w:rPr>
          <w:rFonts w:hint="eastAsia" w:ascii="仿宋" w:hAnsi="仿宋" w:eastAsia="仿宋" w:cs="仿宋"/>
          <w:sz w:val="21"/>
          <w:szCs w:val="21"/>
          <w:highlight w:val="none"/>
        </w:rPr>
        <w:t>1.4.4资金支付的方式、时间和条件详见</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w:t>
      </w:r>
    </w:p>
    <w:p>
      <w:pPr>
        <w:spacing w:line="360" w:lineRule="auto"/>
        <w:ind w:firstLine="422" w:firstLineChars="200"/>
        <w:outlineLvl w:val="0"/>
        <w:rPr>
          <w:rFonts w:ascii="仿宋" w:hAnsi="仿宋" w:eastAsia="仿宋" w:cs="仿宋"/>
          <w:b/>
          <w:sz w:val="21"/>
          <w:szCs w:val="21"/>
          <w:highlight w:val="none"/>
        </w:rPr>
      </w:pPr>
      <w:bookmarkStart w:id="434" w:name="_Toc8772"/>
      <w:bookmarkStart w:id="435" w:name="_Toc31421"/>
      <w:bookmarkStart w:id="436" w:name="_Toc3625"/>
      <w:bookmarkStart w:id="437" w:name="_Toc4760"/>
      <w:bookmarkStart w:id="438" w:name="_Toc11108"/>
      <w:r>
        <w:rPr>
          <w:rFonts w:hint="eastAsia" w:ascii="仿宋" w:hAnsi="仿宋" w:eastAsia="仿宋" w:cs="仿宋"/>
          <w:b/>
          <w:sz w:val="21"/>
          <w:szCs w:val="21"/>
          <w:highlight w:val="none"/>
        </w:rPr>
        <w:t>1.5 履行期限、地点和方式</w:t>
      </w:r>
      <w:bookmarkEnd w:id="434"/>
      <w:bookmarkEnd w:id="435"/>
      <w:bookmarkEnd w:id="436"/>
      <w:bookmarkEnd w:id="437"/>
      <w:bookmarkEnd w:id="438"/>
    </w:p>
    <w:p>
      <w:pPr>
        <w:spacing w:line="360" w:lineRule="auto"/>
        <w:ind w:firstLine="420" w:firstLineChars="200"/>
        <w:rPr>
          <w:rFonts w:ascii="仿宋" w:hAnsi="仿宋" w:eastAsia="仿宋" w:cs="仿宋"/>
          <w:sz w:val="21"/>
          <w:szCs w:val="21"/>
          <w:highlight w:val="none"/>
          <w:u w:val="single"/>
        </w:rPr>
      </w:pPr>
      <w:r>
        <w:rPr>
          <w:rFonts w:hint="eastAsia" w:ascii="仿宋" w:hAnsi="仿宋" w:eastAsia="仿宋" w:cs="仿宋"/>
          <w:sz w:val="21"/>
          <w:szCs w:val="21"/>
          <w:highlight w:val="none"/>
        </w:rPr>
        <w:t>1.5.1 履行期限：</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1.5.2 履行地点：</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1.5.3 履行方式：</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w:t>
      </w:r>
    </w:p>
    <w:p>
      <w:pPr>
        <w:spacing w:line="360" w:lineRule="auto"/>
        <w:ind w:firstLine="422" w:firstLineChars="200"/>
        <w:outlineLvl w:val="0"/>
        <w:rPr>
          <w:rFonts w:ascii="仿宋" w:hAnsi="仿宋" w:eastAsia="仿宋" w:cs="仿宋"/>
          <w:sz w:val="21"/>
          <w:szCs w:val="21"/>
          <w:highlight w:val="none"/>
          <w:u w:val="single"/>
        </w:rPr>
      </w:pPr>
      <w:bookmarkStart w:id="439" w:name="_Toc3079"/>
      <w:bookmarkStart w:id="440" w:name="_Toc24662"/>
      <w:bookmarkStart w:id="441" w:name="_Toc8586"/>
      <w:bookmarkStart w:id="442" w:name="_Toc2375"/>
      <w:bookmarkStart w:id="443" w:name="_Toc5698"/>
      <w:r>
        <w:rPr>
          <w:rFonts w:hint="eastAsia" w:ascii="仿宋" w:hAnsi="仿宋" w:eastAsia="仿宋" w:cs="仿宋"/>
          <w:b/>
          <w:sz w:val="21"/>
          <w:szCs w:val="21"/>
          <w:highlight w:val="none"/>
        </w:rPr>
        <w:t>1.6 违约责任</w:t>
      </w:r>
      <w:bookmarkEnd w:id="439"/>
      <w:bookmarkEnd w:id="440"/>
      <w:bookmarkEnd w:id="441"/>
      <w:bookmarkEnd w:id="442"/>
      <w:bookmarkEnd w:id="443"/>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1"/>
          <w:szCs w:val="21"/>
          <w:highlight w:val="none"/>
          <w:u w:val="single"/>
        </w:rPr>
        <w:t xml:space="preserve"> 0.05 </w:t>
      </w:r>
      <w:r>
        <w:rPr>
          <w:rFonts w:hint="eastAsia" w:ascii="仿宋" w:hAnsi="仿宋" w:eastAsia="仿宋" w:cs="仿宋"/>
          <w:sz w:val="21"/>
          <w:szCs w:val="21"/>
          <w:highlight w:val="none"/>
        </w:rPr>
        <w:t>%计算，最高限额为本合同总价的</w:t>
      </w:r>
      <w:r>
        <w:rPr>
          <w:rFonts w:hint="eastAsia" w:ascii="仿宋" w:hAnsi="仿宋" w:eastAsia="仿宋" w:cs="仿宋"/>
          <w:sz w:val="21"/>
          <w:szCs w:val="21"/>
          <w:highlight w:val="none"/>
          <w:u w:val="single"/>
        </w:rPr>
        <w:t xml:space="preserve"> 20 </w:t>
      </w:r>
      <w:r>
        <w:rPr>
          <w:rFonts w:hint="eastAsia" w:ascii="仿宋" w:hAnsi="仿宋" w:eastAsia="仿宋" w:cs="仿宋"/>
          <w:sz w:val="21"/>
          <w:szCs w:val="21"/>
          <w:highlight w:val="none"/>
        </w:rPr>
        <w:t>%；迟延履行的违约金计算数额达到前述最高限额之日起，甲方有权在要求乙方支付违约金的同时，书面通知乙方解除本合同；</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1"/>
          <w:szCs w:val="21"/>
          <w:highlight w:val="none"/>
          <w:u w:val="single"/>
        </w:rPr>
        <w:t xml:space="preserve"> 0.05  </w:t>
      </w:r>
      <w:r>
        <w:rPr>
          <w:rFonts w:hint="eastAsia" w:ascii="仿宋" w:hAnsi="仿宋" w:eastAsia="仿宋" w:cs="仿宋"/>
          <w:sz w:val="21"/>
          <w:szCs w:val="21"/>
          <w:highlight w:val="none"/>
        </w:rPr>
        <w:t>%计算，最高限额为本合同总价的</w:t>
      </w:r>
      <w:r>
        <w:rPr>
          <w:rFonts w:hint="eastAsia" w:ascii="仿宋" w:hAnsi="仿宋" w:eastAsia="仿宋" w:cs="仿宋"/>
          <w:sz w:val="21"/>
          <w:szCs w:val="21"/>
          <w:highlight w:val="none"/>
          <w:u w:val="single"/>
        </w:rPr>
        <w:t xml:space="preserve">  20 </w:t>
      </w:r>
      <w:r>
        <w:rPr>
          <w:rFonts w:hint="eastAsia" w:ascii="仿宋" w:hAnsi="仿宋" w:eastAsia="仿宋" w:cs="仿宋"/>
          <w:sz w:val="21"/>
          <w:szCs w:val="21"/>
          <w:highlight w:val="none"/>
        </w:rPr>
        <w:t>%；迟延付款的违约金计算数额达到前述最高限额之日起，乙方有权在要求甲方支付违约金的同时，书面通知甲方解除本合同；</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630" w:firstLineChars="300"/>
        <w:rPr>
          <w:rFonts w:ascii="仿宋" w:hAnsi="仿宋" w:eastAsia="仿宋" w:cs="仿宋"/>
          <w:sz w:val="21"/>
          <w:szCs w:val="21"/>
          <w:highlight w:val="none"/>
        </w:rPr>
      </w:pPr>
      <w:r>
        <w:rPr>
          <w:rFonts w:hint="eastAsia" w:ascii="仿宋" w:hAnsi="仿宋" w:eastAsia="仿宋" w:cs="仿宋"/>
          <w:sz w:val="21"/>
          <w:szCs w:val="21"/>
          <w:highlight w:val="none"/>
        </w:rPr>
        <w:t>1.6.7违约责任</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另有约定的，从其约定。</w:t>
      </w:r>
    </w:p>
    <w:p>
      <w:pPr>
        <w:spacing w:line="360" w:lineRule="auto"/>
        <w:ind w:firstLine="422" w:firstLineChars="200"/>
        <w:outlineLvl w:val="0"/>
        <w:rPr>
          <w:rFonts w:ascii="仿宋" w:hAnsi="仿宋" w:eastAsia="仿宋" w:cs="仿宋"/>
          <w:b/>
          <w:sz w:val="21"/>
          <w:szCs w:val="21"/>
          <w:highlight w:val="none"/>
        </w:rPr>
      </w:pPr>
      <w:bookmarkStart w:id="444" w:name="_Toc32454"/>
      <w:bookmarkStart w:id="445" w:name="_Toc9497"/>
      <w:bookmarkStart w:id="446" w:name="_Toc26807"/>
      <w:bookmarkStart w:id="447" w:name="_Toc30329"/>
      <w:bookmarkStart w:id="448" w:name="_Toc18683"/>
      <w:r>
        <w:rPr>
          <w:rFonts w:hint="eastAsia" w:ascii="仿宋" w:hAnsi="仿宋" w:eastAsia="仿宋" w:cs="仿宋"/>
          <w:b/>
          <w:sz w:val="21"/>
          <w:szCs w:val="21"/>
          <w:highlight w:val="none"/>
        </w:rPr>
        <w:t>1.7 合同争议的解决</w:t>
      </w:r>
      <w:bookmarkEnd w:id="444"/>
      <w:bookmarkEnd w:id="445"/>
      <w:bookmarkEnd w:id="446"/>
      <w:bookmarkEnd w:id="447"/>
      <w:bookmarkEnd w:id="448"/>
    </w:p>
    <w:p>
      <w:pPr>
        <w:spacing w:line="360" w:lineRule="auto"/>
        <w:ind w:left="-61" w:leftChars="-29" w:right="-420" w:rightChars="-200" w:firstLine="210" w:firstLineChars="100"/>
        <w:rPr>
          <w:rFonts w:ascii="仿宋" w:hAnsi="仿宋" w:eastAsia="仿宋" w:cs="仿宋"/>
          <w:sz w:val="21"/>
          <w:szCs w:val="21"/>
          <w:highlight w:val="none"/>
        </w:rPr>
      </w:pPr>
      <w:r>
        <w:rPr>
          <w:rFonts w:hint="eastAsia" w:ascii="仿宋" w:hAnsi="仿宋" w:eastAsia="仿宋" w:cs="仿宋"/>
          <w:sz w:val="21"/>
          <w:szCs w:val="21"/>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sz w:val="21"/>
          <w:szCs w:val="21"/>
          <w:highlight w:val="none"/>
          <w:u w:val="single"/>
        </w:rPr>
        <w:t xml:space="preserve"> 合同专用条款  </w:t>
      </w:r>
      <w:r>
        <w:rPr>
          <w:rFonts w:hint="eastAsia" w:ascii="仿宋" w:hAnsi="仿宋" w:eastAsia="仿宋" w:cs="仿宋"/>
          <w:sz w:val="21"/>
          <w:szCs w:val="21"/>
          <w:highlight w:val="none"/>
        </w:rPr>
        <w:t>条款规定的方式解决：</w:t>
      </w:r>
    </w:p>
    <w:p>
      <w:pPr>
        <w:spacing w:line="360" w:lineRule="auto"/>
        <w:ind w:left="-420" w:leftChars="-200" w:right="-420" w:rightChars="-200" w:firstLine="525" w:firstLineChars="250"/>
        <w:rPr>
          <w:rFonts w:ascii="仿宋" w:hAnsi="仿宋" w:eastAsia="仿宋" w:cs="仿宋"/>
          <w:sz w:val="21"/>
          <w:szCs w:val="21"/>
          <w:highlight w:val="none"/>
        </w:rPr>
      </w:pPr>
      <w:r>
        <w:rPr>
          <w:rFonts w:hint="eastAsia" w:ascii="仿宋" w:hAnsi="仿宋" w:eastAsia="仿宋" w:cs="仿宋"/>
          <w:sz w:val="21"/>
          <w:szCs w:val="21"/>
          <w:highlight w:val="none"/>
        </w:rPr>
        <w:t>1.7.1 将争议提交</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仲裁委员会依申请仲裁时其现行有效的仲裁规则裁决；</w:t>
      </w:r>
    </w:p>
    <w:p>
      <w:pPr>
        <w:spacing w:line="360" w:lineRule="auto"/>
        <w:ind w:left="-420" w:leftChars="-200" w:right="-420" w:rightChars="-200" w:firstLine="525" w:firstLineChars="250"/>
        <w:rPr>
          <w:rFonts w:ascii="仿宋" w:hAnsi="仿宋" w:eastAsia="仿宋" w:cs="仿宋"/>
          <w:sz w:val="21"/>
          <w:szCs w:val="21"/>
          <w:highlight w:val="none"/>
        </w:rPr>
      </w:pPr>
      <w:r>
        <w:rPr>
          <w:rFonts w:hint="eastAsia" w:ascii="仿宋" w:hAnsi="仿宋" w:eastAsia="仿宋" w:cs="仿宋"/>
          <w:sz w:val="21"/>
          <w:szCs w:val="21"/>
          <w:highlight w:val="none"/>
        </w:rPr>
        <w:t>1.7.2 向</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人民法院起诉。</w:t>
      </w:r>
    </w:p>
    <w:p>
      <w:pPr>
        <w:spacing w:line="360" w:lineRule="auto"/>
        <w:ind w:firstLine="211" w:firstLineChars="100"/>
        <w:outlineLvl w:val="0"/>
        <w:rPr>
          <w:rFonts w:ascii="仿宋" w:hAnsi="仿宋" w:eastAsia="仿宋" w:cs="仿宋"/>
          <w:b/>
          <w:sz w:val="21"/>
          <w:szCs w:val="21"/>
          <w:highlight w:val="none"/>
        </w:rPr>
      </w:pPr>
      <w:bookmarkStart w:id="449" w:name="_Toc23784"/>
      <w:bookmarkStart w:id="450" w:name="_Toc26227"/>
      <w:bookmarkStart w:id="451" w:name="_Toc16417"/>
      <w:bookmarkStart w:id="452" w:name="_Toc12273"/>
      <w:bookmarkStart w:id="453" w:name="_Toc15827"/>
      <w:r>
        <w:rPr>
          <w:rFonts w:hint="eastAsia" w:ascii="仿宋" w:hAnsi="仿宋" w:eastAsia="仿宋" w:cs="仿宋"/>
          <w:b/>
          <w:sz w:val="21"/>
          <w:szCs w:val="21"/>
          <w:highlight w:val="none"/>
        </w:rPr>
        <w:t>1.8 合同生效</w:t>
      </w:r>
      <w:bookmarkEnd w:id="449"/>
      <w:bookmarkEnd w:id="450"/>
      <w:bookmarkEnd w:id="451"/>
      <w:bookmarkEnd w:id="452"/>
      <w:bookmarkEnd w:id="453"/>
    </w:p>
    <w:p>
      <w:pPr>
        <w:spacing w:line="360" w:lineRule="auto"/>
        <w:ind w:firstLine="420" w:firstLineChars="200"/>
        <w:rPr>
          <w:rFonts w:ascii="仿宋" w:hAnsi="仿宋" w:eastAsia="仿宋" w:cs="仿宋"/>
          <w:b/>
          <w:sz w:val="21"/>
          <w:szCs w:val="21"/>
          <w:highlight w:val="none"/>
        </w:rPr>
      </w:pPr>
      <w:r>
        <w:rPr>
          <w:rFonts w:hint="eastAsia" w:ascii="仿宋" w:hAnsi="仿宋" w:eastAsia="仿宋" w:cs="仿宋"/>
          <w:sz w:val="21"/>
          <w:szCs w:val="21"/>
          <w:highlight w:val="none"/>
        </w:rPr>
        <w:t>本合同自双方当事人盖章或者签字时生效。</w:t>
      </w:r>
    </w:p>
    <w:p>
      <w:pPr>
        <w:autoSpaceDE w:val="0"/>
        <w:autoSpaceDN w:val="0"/>
        <w:spacing w:line="360" w:lineRule="auto"/>
        <w:rPr>
          <w:rFonts w:ascii="仿宋" w:hAnsi="仿宋" w:eastAsia="仿宋" w:cs="仿宋"/>
          <w:sz w:val="21"/>
          <w:szCs w:val="21"/>
          <w:highlight w:val="none"/>
          <w:lang w:val="zh-CN"/>
        </w:rPr>
      </w:pP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b/>
          <w:sz w:val="21"/>
          <w:szCs w:val="21"/>
          <w:highlight w:val="none"/>
          <w:lang w:val="zh-CN"/>
        </w:rPr>
        <w:t>甲方</w:t>
      </w:r>
      <w:r>
        <w:rPr>
          <w:rFonts w:hint="eastAsia" w:ascii="仿宋" w:hAnsi="仿宋" w:eastAsia="仿宋" w:cs="仿宋"/>
          <w:sz w:val="21"/>
          <w:szCs w:val="21"/>
          <w:highlight w:val="none"/>
          <w:lang w:val="zh-CN"/>
        </w:rPr>
        <w:t xml:space="preserve">：                             </w:t>
      </w:r>
      <w:r>
        <w:rPr>
          <w:rFonts w:hint="eastAsia" w:ascii="仿宋" w:hAnsi="仿宋" w:eastAsia="仿宋" w:cs="仿宋"/>
          <w:b/>
          <w:sz w:val="21"/>
          <w:szCs w:val="21"/>
          <w:highlight w:val="none"/>
          <w:lang w:val="zh-CN"/>
        </w:rPr>
        <w:t xml:space="preserve">      乙方</w:t>
      </w:r>
      <w:r>
        <w:rPr>
          <w:rFonts w:hint="eastAsia" w:ascii="仿宋" w:hAnsi="仿宋" w:eastAsia="仿宋" w:cs="仿宋"/>
          <w:sz w:val="21"/>
          <w:szCs w:val="21"/>
          <w:highlight w:val="none"/>
          <w:lang w:val="zh-CN"/>
        </w:rPr>
        <w:t>：</w:t>
      </w: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统一社会信用代码：                        统一社会信用代码或身份证号码：</w:t>
      </w:r>
    </w:p>
    <w:p>
      <w:pPr>
        <w:autoSpaceDE w:val="0"/>
        <w:autoSpaceDN w:val="0"/>
        <w:spacing w:line="360" w:lineRule="auto"/>
        <w:rPr>
          <w:rFonts w:ascii="仿宋" w:hAnsi="仿宋" w:eastAsia="仿宋" w:cs="仿宋"/>
          <w:sz w:val="21"/>
          <w:szCs w:val="21"/>
          <w:highlight w:val="none"/>
          <w:lang w:val="zh-CN"/>
        </w:rPr>
      </w:pP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住所：                                   住所：</w:t>
      </w: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法定代表人或                             法定代表人或</w:t>
      </w: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 xml:space="preserve">授权代表（签字）：                       授权代表（签字）: </w:t>
      </w: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联系人：                                 联系人：</w:t>
      </w: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约定送达地址：                           约定送达地址：</w:t>
      </w: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邮政编码：                               邮政编码：</w:t>
      </w: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 xml:space="preserve">电话:                                    电话: </w:t>
      </w:r>
    </w:p>
    <w:p>
      <w:pPr>
        <w:autoSpaceDE w:val="0"/>
        <w:autoSpaceDN w:val="0"/>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传真:                                    传真:</w:t>
      </w:r>
    </w:p>
    <w:p>
      <w:pPr>
        <w:autoSpaceDE w:val="0"/>
        <w:autoSpaceDN w:val="0"/>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val="zh-CN"/>
        </w:rPr>
        <w:t>电子邮箱：                               电子邮箱：</w:t>
      </w:r>
    </w:p>
    <w:p>
      <w:pPr>
        <w:autoSpaceDE w:val="0"/>
        <w:autoSpaceDN w:val="0"/>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开户银行：                               开户银行： </w:t>
      </w:r>
    </w:p>
    <w:p>
      <w:pPr>
        <w:autoSpaceDE w:val="0"/>
        <w:autoSpaceDN w:val="0"/>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开户名称：                               开户名称： </w:t>
      </w:r>
    </w:p>
    <w:p>
      <w:pPr>
        <w:autoSpaceDE w:val="0"/>
        <w:autoSpaceDN w:val="0"/>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开户账号：</w:t>
      </w:r>
      <w:r>
        <w:rPr>
          <w:rFonts w:hint="eastAsia" w:ascii="仿宋" w:hAnsi="仿宋" w:eastAsia="仿宋" w:cs="仿宋"/>
          <w:sz w:val="21"/>
          <w:szCs w:val="21"/>
          <w:highlight w:val="none"/>
          <w:lang w:val="zh-CN"/>
        </w:rPr>
        <w:t xml:space="preserve">                               </w:t>
      </w:r>
      <w:r>
        <w:rPr>
          <w:rFonts w:hint="eastAsia" w:ascii="仿宋" w:hAnsi="仿宋" w:eastAsia="仿宋" w:cs="仿宋"/>
          <w:sz w:val="21"/>
          <w:szCs w:val="21"/>
          <w:highlight w:val="none"/>
        </w:rPr>
        <w:t>开户账号：</w:t>
      </w:r>
    </w:p>
    <w:p>
      <w:pPr>
        <w:widowControl/>
        <w:spacing w:line="360" w:lineRule="auto"/>
        <w:jc w:val="left"/>
        <w:rPr>
          <w:rFonts w:ascii="仿宋" w:hAnsi="仿宋" w:eastAsia="仿宋" w:cs="仿宋"/>
          <w:b/>
          <w:sz w:val="21"/>
          <w:szCs w:val="21"/>
          <w:highlight w:val="none"/>
        </w:rPr>
      </w:pPr>
    </w:p>
    <w:p>
      <w:pPr>
        <w:autoSpaceDE w:val="0"/>
        <w:autoSpaceDN w:val="0"/>
        <w:snapToGrid w:val="0"/>
        <w:spacing w:after="120" w:line="360" w:lineRule="auto"/>
        <w:ind w:left="420" w:leftChars="200" w:firstLine="422" w:firstLineChars="200"/>
        <w:jc w:val="center"/>
        <w:rPr>
          <w:rFonts w:ascii="仿宋" w:hAnsi="仿宋" w:eastAsia="仿宋" w:cs="仿宋"/>
          <w:b/>
          <w:sz w:val="21"/>
          <w:szCs w:val="21"/>
          <w:highlight w:val="none"/>
        </w:rPr>
      </w:pPr>
    </w:p>
    <w:p>
      <w:pPr>
        <w:autoSpaceDE w:val="0"/>
        <w:autoSpaceDN w:val="0"/>
        <w:snapToGrid w:val="0"/>
        <w:spacing w:after="120" w:line="360" w:lineRule="auto"/>
        <w:ind w:left="420" w:leftChars="200" w:firstLine="422" w:firstLineChars="200"/>
        <w:jc w:val="center"/>
        <w:rPr>
          <w:rFonts w:ascii="仿宋" w:hAnsi="仿宋" w:eastAsia="仿宋" w:cs="仿宋"/>
          <w:b/>
          <w:sz w:val="21"/>
          <w:szCs w:val="21"/>
          <w:highlight w:val="none"/>
        </w:rPr>
      </w:pPr>
    </w:p>
    <w:p>
      <w:pPr>
        <w:autoSpaceDE w:val="0"/>
        <w:autoSpaceDN w:val="0"/>
        <w:snapToGrid w:val="0"/>
        <w:spacing w:after="120" w:line="360" w:lineRule="auto"/>
        <w:ind w:left="420" w:leftChars="200" w:firstLine="422" w:firstLineChars="200"/>
        <w:jc w:val="center"/>
        <w:rPr>
          <w:rFonts w:ascii="仿宋" w:hAnsi="仿宋" w:eastAsia="仿宋" w:cs="仿宋"/>
          <w:b/>
          <w:sz w:val="21"/>
          <w:szCs w:val="21"/>
          <w:highlight w:val="none"/>
        </w:rPr>
      </w:pPr>
    </w:p>
    <w:p>
      <w:pPr>
        <w:autoSpaceDE w:val="0"/>
        <w:autoSpaceDN w:val="0"/>
        <w:snapToGrid w:val="0"/>
        <w:spacing w:after="120" w:line="360" w:lineRule="auto"/>
        <w:ind w:left="420" w:leftChars="200" w:firstLine="422" w:firstLineChars="200"/>
        <w:jc w:val="center"/>
        <w:rPr>
          <w:rFonts w:ascii="仿宋" w:hAnsi="仿宋" w:eastAsia="仿宋" w:cs="仿宋"/>
          <w:b/>
          <w:sz w:val="21"/>
          <w:szCs w:val="21"/>
          <w:highlight w:val="none"/>
        </w:rPr>
      </w:pPr>
    </w:p>
    <w:p>
      <w:pPr>
        <w:spacing w:line="480" w:lineRule="exact"/>
        <w:ind w:firstLine="422" w:firstLineChars="200"/>
        <w:rPr>
          <w:rFonts w:ascii="仿宋" w:hAnsi="仿宋" w:eastAsia="仿宋" w:cs="仿宋"/>
          <w:b/>
          <w:sz w:val="21"/>
          <w:szCs w:val="21"/>
          <w:highlight w:val="none"/>
        </w:rPr>
      </w:pPr>
    </w:p>
    <w:p>
      <w:pPr>
        <w:rPr>
          <w:rFonts w:ascii="仿宋" w:hAnsi="仿宋" w:eastAsia="仿宋" w:cs="仿宋"/>
          <w:b/>
          <w:sz w:val="21"/>
          <w:szCs w:val="21"/>
          <w:highlight w:val="none"/>
        </w:rPr>
      </w:pPr>
    </w:p>
    <w:p>
      <w:pPr>
        <w:autoSpaceDE w:val="0"/>
        <w:autoSpaceDN w:val="0"/>
        <w:spacing w:line="360" w:lineRule="auto"/>
        <w:ind w:firstLine="420"/>
        <w:rPr>
          <w:rFonts w:ascii="宋体"/>
          <w:sz w:val="24"/>
          <w:szCs w:val="20"/>
          <w:highlight w:val="none"/>
          <w:lang w:val="zh-CN"/>
        </w:rPr>
      </w:pPr>
    </w:p>
    <w:p>
      <w:pPr>
        <w:autoSpaceDE w:val="0"/>
        <w:autoSpaceDN w:val="0"/>
        <w:snapToGrid w:val="0"/>
        <w:spacing w:after="120" w:line="360" w:lineRule="auto"/>
        <w:ind w:left="420" w:leftChars="200" w:firstLine="482" w:firstLineChars="200"/>
        <w:jc w:val="center"/>
        <w:rPr>
          <w:rFonts w:ascii="仿宋" w:hAnsi="仿宋" w:eastAsia="仿宋" w:cs="仿宋"/>
          <w:b/>
          <w:sz w:val="24"/>
          <w:szCs w:val="24"/>
          <w:highlight w:val="none"/>
        </w:rPr>
      </w:pPr>
      <w:r>
        <w:rPr>
          <w:rFonts w:hint="eastAsia" w:ascii="仿宋" w:hAnsi="仿宋" w:eastAsia="仿宋" w:cs="仿宋"/>
          <w:b/>
          <w:sz w:val="24"/>
          <w:szCs w:val="24"/>
          <w:highlight w:val="none"/>
        </w:rPr>
        <w:t>第二部分 合同一般条款</w:t>
      </w:r>
    </w:p>
    <w:p>
      <w:pPr>
        <w:spacing w:line="360" w:lineRule="auto"/>
        <w:ind w:firstLine="422" w:firstLineChars="200"/>
        <w:outlineLvl w:val="0"/>
        <w:rPr>
          <w:rFonts w:ascii="仿宋" w:hAnsi="仿宋" w:eastAsia="仿宋" w:cs="仿宋"/>
          <w:b/>
          <w:sz w:val="21"/>
          <w:szCs w:val="21"/>
          <w:highlight w:val="none"/>
        </w:rPr>
      </w:pPr>
      <w:bookmarkStart w:id="454" w:name="_Toc14021"/>
      <w:bookmarkStart w:id="455" w:name="_Toc5228"/>
      <w:bookmarkStart w:id="456" w:name="_Toc19680"/>
      <w:bookmarkStart w:id="457" w:name="_Toc25079"/>
      <w:bookmarkStart w:id="458" w:name="_Toc31297"/>
      <w:r>
        <w:rPr>
          <w:rFonts w:hint="eastAsia" w:ascii="仿宋" w:hAnsi="仿宋" w:eastAsia="仿宋" w:cs="仿宋"/>
          <w:b/>
          <w:sz w:val="21"/>
          <w:szCs w:val="21"/>
          <w:highlight w:val="none"/>
        </w:rPr>
        <w:t>2.1 定义</w:t>
      </w:r>
      <w:bookmarkEnd w:id="454"/>
      <w:bookmarkEnd w:id="455"/>
      <w:bookmarkEnd w:id="456"/>
      <w:bookmarkEnd w:id="457"/>
      <w:bookmarkEnd w:id="458"/>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本合同中的下列词语应按以下内容进行解释：</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2.1.1 “合同”系指采购人和中标供应商签订的载明双方当事人所达成的协议，并包括所有的附件、附录和构成合同的其他文件。</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2.1.2 “合同价”系指根据合同约定，中标供应商在完全履行合同义务后，采购人应支付给中标供应商的价格。</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2.1.4 “甲方”系指与中标供应商签署合同的采购人；采购人委托采购代理机构代表其与乙方签订合同的，采购人的授权委托书作为合同附件。</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2.1.6 “现场”系指合同约定提供服务的地点。</w:t>
      </w:r>
    </w:p>
    <w:p>
      <w:pPr>
        <w:spacing w:line="360" w:lineRule="auto"/>
        <w:ind w:firstLine="422" w:firstLineChars="200"/>
        <w:outlineLvl w:val="0"/>
        <w:rPr>
          <w:rFonts w:ascii="仿宋" w:hAnsi="仿宋" w:eastAsia="仿宋" w:cs="仿宋"/>
          <w:b/>
          <w:sz w:val="21"/>
          <w:szCs w:val="21"/>
          <w:highlight w:val="none"/>
        </w:rPr>
      </w:pPr>
      <w:bookmarkStart w:id="459" w:name="_Toc31402"/>
      <w:bookmarkStart w:id="460" w:name="_Toc23289"/>
      <w:bookmarkStart w:id="461" w:name="_Toc19539"/>
      <w:bookmarkStart w:id="462" w:name="_Toc16752"/>
      <w:bookmarkStart w:id="463" w:name="_Toc3769"/>
      <w:r>
        <w:rPr>
          <w:rFonts w:hint="eastAsia" w:ascii="仿宋" w:hAnsi="仿宋" w:eastAsia="仿宋" w:cs="仿宋"/>
          <w:b/>
          <w:sz w:val="21"/>
          <w:szCs w:val="21"/>
          <w:highlight w:val="none"/>
        </w:rPr>
        <w:t>2.2 技术规范</w:t>
      </w:r>
      <w:bookmarkEnd w:id="459"/>
      <w:bookmarkEnd w:id="460"/>
      <w:bookmarkEnd w:id="461"/>
      <w:bookmarkEnd w:id="462"/>
      <w:bookmarkEnd w:id="463"/>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22" w:firstLineChars="200"/>
        <w:outlineLvl w:val="0"/>
        <w:rPr>
          <w:rFonts w:ascii="仿宋" w:hAnsi="仿宋" w:eastAsia="仿宋" w:cs="仿宋"/>
          <w:b/>
          <w:sz w:val="21"/>
          <w:szCs w:val="21"/>
          <w:highlight w:val="none"/>
        </w:rPr>
      </w:pPr>
      <w:bookmarkStart w:id="464" w:name="_Toc27945"/>
      <w:bookmarkStart w:id="465" w:name="_Toc4133"/>
      <w:bookmarkStart w:id="466" w:name="_Toc12412"/>
      <w:bookmarkStart w:id="467" w:name="_Toc9161"/>
      <w:bookmarkStart w:id="468" w:name="_Toc13673"/>
      <w:r>
        <w:rPr>
          <w:rFonts w:hint="eastAsia" w:ascii="仿宋" w:hAnsi="仿宋" w:eastAsia="仿宋" w:cs="仿宋"/>
          <w:b/>
          <w:sz w:val="21"/>
          <w:szCs w:val="21"/>
          <w:highlight w:val="none"/>
        </w:rPr>
        <w:t>2.3 知识产权</w:t>
      </w:r>
      <w:bookmarkEnd w:id="464"/>
      <w:bookmarkEnd w:id="465"/>
      <w:bookmarkEnd w:id="466"/>
      <w:bookmarkEnd w:id="467"/>
      <w:bookmarkEnd w:id="468"/>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2.3.2 合同涉及技术成果的归属和收益的分成办法的，详见</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w:t>
      </w:r>
    </w:p>
    <w:p>
      <w:pPr>
        <w:spacing w:line="360" w:lineRule="auto"/>
        <w:ind w:firstLine="422" w:firstLineChars="200"/>
        <w:rPr>
          <w:rFonts w:ascii="仿宋" w:hAnsi="仿宋" w:eastAsia="仿宋" w:cs="仿宋"/>
          <w:b/>
          <w:sz w:val="21"/>
          <w:szCs w:val="21"/>
          <w:highlight w:val="none"/>
        </w:rPr>
      </w:pPr>
      <w:r>
        <w:rPr>
          <w:rFonts w:hint="eastAsia" w:ascii="仿宋" w:hAnsi="仿宋" w:eastAsia="仿宋" w:cs="仿宋"/>
          <w:b/>
          <w:sz w:val="21"/>
          <w:szCs w:val="21"/>
          <w:highlight w:val="none"/>
        </w:rPr>
        <w:t>2.4 履约检查和问题反馈</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2.4.2 合同履行期间，甲方有权将履行过程中出现的问题反馈给乙方，双方当事人应以书面形式约定需要完善和改进的内容。</w:t>
      </w:r>
    </w:p>
    <w:p>
      <w:pPr>
        <w:spacing w:line="360" w:lineRule="auto"/>
        <w:ind w:firstLine="422" w:firstLineChars="200"/>
        <w:outlineLvl w:val="0"/>
        <w:rPr>
          <w:rFonts w:ascii="仿宋" w:hAnsi="仿宋" w:eastAsia="仿宋" w:cs="仿宋"/>
          <w:b/>
          <w:sz w:val="21"/>
          <w:szCs w:val="21"/>
          <w:highlight w:val="none"/>
        </w:rPr>
      </w:pPr>
      <w:bookmarkStart w:id="469" w:name="_Toc15447"/>
      <w:bookmarkStart w:id="470" w:name="_Toc32670"/>
      <w:bookmarkStart w:id="471" w:name="_Toc26555"/>
      <w:bookmarkStart w:id="472" w:name="_Toc31233"/>
      <w:bookmarkStart w:id="473" w:name="_Toc22011"/>
      <w:r>
        <w:rPr>
          <w:rFonts w:hint="eastAsia" w:ascii="仿宋" w:hAnsi="仿宋" w:eastAsia="仿宋" w:cs="仿宋"/>
          <w:b/>
          <w:sz w:val="21"/>
          <w:szCs w:val="21"/>
          <w:highlight w:val="none"/>
        </w:rPr>
        <w:t>2.5 结算方式和付款条件</w:t>
      </w:r>
      <w:bookmarkEnd w:id="469"/>
      <w:bookmarkEnd w:id="470"/>
      <w:bookmarkEnd w:id="471"/>
      <w:bookmarkEnd w:id="472"/>
      <w:bookmarkEnd w:id="473"/>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详见</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w:t>
      </w:r>
    </w:p>
    <w:p>
      <w:pPr>
        <w:spacing w:line="360" w:lineRule="auto"/>
        <w:ind w:firstLine="422" w:firstLineChars="200"/>
        <w:outlineLvl w:val="0"/>
        <w:rPr>
          <w:rFonts w:ascii="仿宋" w:hAnsi="仿宋" w:eastAsia="仿宋" w:cs="仿宋"/>
          <w:b/>
          <w:sz w:val="21"/>
          <w:szCs w:val="21"/>
          <w:highlight w:val="none"/>
        </w:rPr>
      </w:pPr>
      <w:bookmarkStart w:id="474" w:name="_Toc13467"/>
      <w:bookmarkStart w:id="475" w:name="_Toc30507"/>
      <w:bookmarkStart w:id="476" w:name="_Toc13154"/>
      <w:bookmarkStart w:id="477" w:name="_Toc18990"/>
      <w:bookmarkStart w:id="478" w:name="_Toc16163"/>
      <w:r>
        <w:rPr>
          <w:rFonts w:hint="eastAsia" w:ascii="仿宋" w:hAnsi="仿宋" w:eastAsia="仿宋" w:cs="仿宋"/>
          <w:b/>
          <w:sz w:val="21"/>
          <w:szCs w:val="21"/>
          <w:highlight w:val="none"/>
        </w:rPr>
        <w:t>2.6 技术资料和保密义务</w:t>
      </w:r>
      <w:bookmarkEnd w:id="474"/>
      <w:bookmarkEnd w:id="475"/>
      <w:bookmarkEnd w:id="476"/>
      <w:bookmarkEnd w:id="477"/>
      <w:bookmarkEnd w:id="478"/>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2.6.1 乙方有权依据合同约定和项目需要，向甲方了解有关情况，调阅有关资料等，甲方应予积极配合；</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2.6.2 乙方有义务妥善保管和保护由甲方提供的前款信息和资料等；</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22" w:firstLineChars="200"/>
        <w:outlineLvl w:val="0"/>
        <w:rPr>
          <w:rFonts w:ascii="仿宋" w:hAnsi="仿宋" w:eastAsia="仿宋" w:cs="仿宋"/>
          <w:b/>
          <w:sz w:val="21"/>
          <w:szCs w:val="21"/>
          <w:highlight w:val="none"/>
        </w:rPr>
      </w:pPr>
      <w:bookmarkStart w:id="479" w:name="_Toc19069"/>
      <w:r>
        <w:rPr>
          <w:rFonts w:hint="eastAsia" w:ascii="仿宋" w:hAnsi="仿宋" w:eastAsia="仿宋" w:cs="仿宋"/>
          <w:b/>
          <w:sz w:val="21"/>
          <w:szCs w:val="21"/>
          <w:highlight w:val="none"/>
        </w:rPr>
        <w:t>2.7 质量保证</w:t>
      </w:r>
      <w:bookmarkEnd w:id="479"/>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2.7.1 乙方应建立和完善履行合同的内部质量保证体系，并提供相关内部规章制度给甲方，以便甲方进行监督检查；</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2.7.2 乙方应保证履行合同的人员数量和素质、软件和硬件设备的配置、场地、环境和设施等满足全面履行合同的要求，并应接受甲方的监督检查。</w:t>
      </w:r>
    </w:p>
    <w:p>
      <w:pPr>
        <w:spacing w:line="360" w:lineRule="auto"/>
        <w:ind w:firstLine="422" w:firstLineChars="200"/>
        <w:outlineLvl w:val="0"/>
        <w:rPr>
          <w:rFonts w:ascii="仿宋" w:hAnsi="仿宋" w:eastAsia="仿宋" w:cs="仿宋"/>
          <w:b/>
          <w:sz w:val="21"/>
          <w:szCs w:val="21"/>
          <w:highlight w:val="none"/>
        </w:rPr>
      </w:pPr>
      <w:bookmarkStart w:id="480" w:name="_Toc22267"/>
      <w:r>
        <w:rPr>
          <w:rFonts w:hint="eastAsia" w:ascii="仿宋" w:hAnsi="仿宋" w:eastAsia="仿宋" w:cs="仿宋"/>
          <w:b/>
          <w:sz w:val="21"/>
          <w:szCs w:val="21"/>
          <w:highlight w:val="none"/>
        </w:rPr>
        <w:t>2.8 延迟履行</w:t>
      </w:r>
      <w:bookmarkEnd w:id="480"/>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22" w:firstLineChars="200"/>
        <w:outlineLvl w:val="0"/>
        <w:rPr>
          <w:rFonts w:ascii="仿宋" w:hAnsi="仿宋" w:eastAsia="仿宋" w:cs="仿宋"/>
          <w:b/>
          <w:sz w:val="21"/>
          <w:szCs w:val="21"/>
          <w:highlight w:val="none"/>
        </w:rPr>
      </w:pPr>
      <w:bookmarkStart w:id="481" w:name="_Toc10611"/>
      <w:r>
        <w:rPr>
          <w:rFonts w:hint="eastAsia" w:ascii="仿宋" w:hAnsi="仿宋" w:eastAsia="仿宋" w:cs="仿宋"/>
          <w:b/>
          <w:sz w:val="21"/>
          <w:szCs w:val="21"/>
          <w:highlight w:val="none"/>
        </w:rPr>
        <w:t>2.9 合同变更</w:t>
      </w:r>
      <w:bookmarkEnd w:id="481"/>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22" w:firstLineChars="200"/>
        <w:outlineLvl w:val="0"/>
        <w:rPr>
          <w:rFonts w:ascii="仿宋" w:hAnsi="仿宋" w:eastAsia="仿宋" w:cs="仿宋"/>
          <w:b/>
          <w:sz w:val="21"/>
          <w:szCs w:val="21"/>
          <w:highlight w:val="none"/>
        </w:rPr>
      </w:pPr>
      <w:bookmarkStart w:id="482" w:name="_Toc21830"/>
      <w:bookmarkStart w:id="483" w:name="_Toc42"/>
      <w:bookmarkStart w:id="484" w:name="_Toc10663"/>
      <w:bookmarkStart w:id="485" w:name="_Toc26689"/>
      <w:bookmarkStart w:id="486" w:name="_Toc23368"/>
      <w:r>
        <w:rPr>
          <w:rFonts w:hint="eastAsia" w:ascii="仿宋" w:hAnsi="仿宋" w:eastAsia="仿宋" w:cs="仿宋"/>
          <w:b/>
          <w:sz w:val="21"/>
          <w:szCs w:val="21"/>
          <w:highlight w:val="none"/>
        </w:rPr>
        <w:t>2.10 合同转让和分包</w:t>
      </w:r>
      <w:bookmarkEnd w:id="482"/>
      <w:bookmarkEnd w:id="483"/>
      <w:bookmarkEnd w:id="484"/>
      <w:bookmarkEnd w:id="485"/>
      <w:bookmarkEnd w:id="486"/>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22" w:firstLineChars="200"/>
        <w:outlineLvl w:val="0"/>
        <w:rPr>
          <w:rFonts w:ascii="仿宋" w:hAnsi="仿宋" w:eastAsia="仿宋" w:cs="仿宋"/>
          <w:b/>
          <w:sz w:val="21"/>
          <w:szCs w:val="21"/>
          <w:highlight w:val="none"/>
        </w:rPr>
      </w:pPr>
      <w:bookmarkStart w:id="487" w:name="_Toc14371"/>
      <w:bookmarkStart w:id="488" w:name="_Toc26633"/>
      <w:bookmarkStart w:id="489" w:name="_Toc25571"/>
      <w:bookmarkStart w:id="490" w:name="_Toc4720"/>
      <w:bookmarkStart w:id="491" w:name="_Toc32494"/>
      <w:r>
        <w:rPr>
          <w:rFonts w:hint="eastAsia" w:ascii="仿宋" w:hAnsi="仿宋" w:eastAsia="仿宋" w:cs="仿宋"/>
          <w:b/>
          <w:sz w:val="21"/>
          <w:szCs w:val="21"/>
          <w:highlight w:val="none"/>
        </w:rPr>
        <w:t>2.11 不可抗力</w:t>
      </w:r>
      <w:bookmarkEnd w:id="487"/>
      <w:bookmarkEnd w:id="488"/>
      <w:bookmarkEnd w:id="489"/>
      <w:bookmarkEnd w:id="490"/>
      <w:bookmarkEnd w:id="491"/>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2.11.1如果任何一方遭遇法律规定的不可抗力，致使合同履行受阻时，履行合同的期限应予延长，延长的期限应相当于不可抗力所影响的时间；</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2.11.2 因不可抗力致使不能实现合同目的的，当事人可以解除合同；</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2.11.3 因不可抗力致使合同有变更必要的，双方当事人应在</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约定时间内以书面形式变更合同；</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2.11.4受不可抗力影响的一方在不可抗力发生后，应在</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约定时间内以书面形式通知对方当事人，并在</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约定时间内，将有关部门出具的证明文件送达对方当事人。</w:t>
      </w:r>
    </w:p>
    <w:p>
      <w:pPr>
        <w:spacing w:line="360" w:lineRule="auto"/>
        <w:ind w:firstLine="422" w:firstLineChars="200"/>
        <w:outlineLvl w:val="0"/>
        <w:rPr>
          <w:rFonts w:ascii="仿宋" w:hAnsi="仿宋" w:eastAsia="仿宋" w:cs="仿宋"/>
          <w:b/>
          <w:sz w:val="21"/>
          <w:szCs w:val="21"/>
          <w:highlight w:val="none"/>
        </w:rPr>
      </w:pPr>
      <w:bookmarkStart w:id="492" w:name="_Toc14115"/>
      <w:bookmarkStart w:id="493" w:name="_Toc3638"/>
      <w:bookmarkStart w:id="494" w:name="_Toc23854"/>
      <w:bookmarkStart w:id="495" w:name="_Toc25783"/>
      <w:bookmarkStart w:id="496" w:name="_Toc24465"/>
      <w:r>
        <w:rPr>
          <w:rFonts w:hint="eastAsia" w:ascii="仿宋" w:hAnsi="仿宋" w:eastAsia="仿宋" w:cs="仿宋"/>
          <w:b/>
          <w:sz w:val="21"/>
          <w:szCs w:val="21"/>
          <w:highlight w:val="none"/>
        </w:rPr>
        <w:t>2.12 税费</w:t>
      </w:r>
      <w:bookmarkEnd w:id="492"/>
      <w:bookmarkEnd w:id="493"/>
      <w:bookmarkEnd w:id="494"/>
      <w:bookmarkEnd w:id="495"/>
      <w:bookmarkEnd w:id="496"/>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与合同有关的一切税费，均按照中华人民共和国法律的相关规定缴纳。</w:t>
      </w:r>
    </w:p>
    <w:p>
      <w:pPr>
        <w:spacing w:line="360" w:lineRule="auto"/>
        <w:ind w:firstLine="422" w:firstLineChars="200"/>
        <w:outlineLvl w:val="0"/>
        <w:rPr>
          <w:rFonts w:ascii="仿宋" w:hAnsi="仿宋" w:eastAsia="仿宋" w:cs="仿宋"/>
          <w:b/>
          <w:sz w:val="21"/>
          <w:szCs w:val="21"/>
          <w:highlight w:val="none"/>
        </w:rPr>
      </w:pPr>
      <w:bookmarkStart w:id="497" w:name="_Toc7315"/>
      <w:bookmarkStart w:id="498" w:name="_Toc25525"/>
      <w:bookmarkStart w:id="499" w:name="_Toc30105"/>
      <w:bookmarkStart w:id="500" w:name="_Toc26883"/>
      <w:bookmarkStart w:id="501" w:name="_Toc14814"/>
      <w:r>
        <w:rPr>
          <w:rFonts w:hint="eastAsia" w:ascii="仿宋" w:hAnsi="仿宋" w:eastAsia="仿宋" w:cs="仿宋"/>
          <w:b/>
          <w:sz w:val="21"/>
          <w:szCs w:val="21"/>
          <w:highlight w:val="none"/>
        </w:rPr>
        <w:t>2.13 乙方破产</w:t>
      </w:r>
      <w:bookmarkEnd w:id="497"/>
      <w:bookmarkEnd w:id="498"/>
      <w:bookmarkEnd w:id="499"/>
      <w:bookmarkEnd w:id="500"/>
      <w:bookmarkEnd w:id="501"/>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22" w:firstLineChars="200"/>
        <w:outlineLvl w:val="0"/>
        <w:rPr>
          <w:rFonts w:ascii="仿宋" w:hAnsi="仿宋" w:eastAsia="仿宋" w:cs="仿宋"/>
          <w:b/>
          <w:sz w:val="21"/>
          <w:szCs w:val="21"/>
          <w:highlight w:val="none"/>
        </w:rPr>
      </w:pPr>
      <w:bookmarkStart w:id="502" w:name="_Toc2016"/>
      <w:bookmarkStart w:id="503" w:name="_Toc1123"/>
      <w:bookmarkStart w:id="504" w:name="_Toc23323"/>
      <w:r>
        <w:rPr>
          <w:rFonts w:hint="eastAsia" w:ascii="仿宋" w:hAnsi="仿宋" w:eastAsia="仿宋" w:cs="仿宋"/>
          <w:b/>
          <w:sz w:val="21"/>
          <w:szCs w:val="21"/>
          <w:highlight w:val="none"/>
        </w:rPr>
        <w:t>2.14 合同中止、终止</w:t>
      </w:r>
      <w:bookmarkEnd w:id="502"/>
      <w:bookmarkEnd w:id="503"/>
      <w:bookmarkEnd w:id="504"/>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2.14.1 双方当事人不得擅自中止或者终止合同；</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22" w:firstLineChars="200"/>
        <w:outlineLvl w:val="0"/>
        <w:rPr>
          <w:rFonts w:ascii="仿宋" w:hAnsi="仿宋" w:eastAsia="仿宋" w:cs="仿宋"/>
          <w:b/>
          <w:sz w:val="21"/>
          <w:szCs w:val="21"/>
          <w:highlight w:val="none"/>
        </w:rPr>
      </w:pPr>
      <w:bookmarkStart w:id="505" w:name="_Toc1969"/>
      <w:bookmarkStart w:id="506" w:name="_Toc14525"/>
      <w:bookmarkStart w:id="507" w:name="_Toc17363"/>
      <w:r>
        <w:rPr>
          <w:rFonts w:hint="eastAsia" w:ascii="仿宋" w:hAnsi="仿宋" w:eastAsia="仿宋" w:cs="仿宋"/>
          <w:b/>
          <w:sz w:val="21"/>
          <w:szCs w:val="21"/>
          <w:highlight w:val="none"/>
        </w:rPr>
        <w:t>2.15 检验和验收</w:t>
      </w:r>
      <w:bookmarkEnd w:id="505"/>
      <w:bookmarkEnd w:id="506"/>
      <w:bookmarkEnd w:id="507"/>
    </w:p>
    <w:p>
      <w:pPr>
        <w:tabs>
          <w:tab w:val="left" w:pos="360"/>
          <w:tab w:val="left" w:pos="540"/>
          <w:tab w:val="left" w:pos="1080"/>
        </w:tabs>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2.15.1 甲方按照</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的约定进行验收；</w:t>
      </w:r>
    </w:p>
    <w:p>
      <w:pPr>
        <w:tabs>
          <w:tab w:val="left" w:pos="360"/>
          <w:tab w:val="left" w:pos="540"/>
          <w:tab w:val="left" w:pos="1080"/>
        </w:tabs>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2.15.2 检验和验收标准、程序等具体内容以及前述验收书的效力详见</w:t>
      </w:r>
      <w:r>
        <w:rPr>
          <w:rFonts w:hint="eastAsia" w:ascii="仿宋" w:hAnsi="仿宋" w:eastAsia="仿宋" w:cs="仿宋"/>
          <w:b/>
          <w:i/>
          <w:sz w:val="21"/>
          <w:szCs w:val="21"/>
          <w:highlight w:val="none"/>
          <w:u w:val="single"/>
        </w:rPr>
        <w:t>合同专用条款</w:t>
      </w:r>
      <w:r>
        <w:rPr>
          <w:rFonts w:hint="eastAsia" w:ascii="仿宋" w:hAnsi="仿宋" w:eastAsia="仿宋" w:cs="仿宋"/>
          <w:i/>
          <w:sz w:val="21"/>
          <w:szCs w:val="21"/>
          <w:highlight w:val="none"/>
        </w:rPr>
        <w:t>。</w:t>
      </w:r>
    </w:p>
    <w:p>
      <w:pPr>
        <w:spacing w:line="360" w:lineRule="auto"/>
        <w:ind w:firstLine="422" w:firstLineChars="200"/>
        <w:outlineLvl w:val="0"/>
        <w:rPr>
          <w:rFonts w:ascii="仿宋" w:hAnsi="仿宋" w:eastAsia="仿宋" w:cs="仿宋"/>
          <w:b/>
          <w:sz w:val="21"/>
          <w:szCs w:val="21"/>
          <w:highlight w:val="none"/>
        </w:rPr>
      </w:pPr>
      <w:bookmarkStart w:id="508" w:name="_Toc9808"/>
      <w:bookmarkStart w:id="509" w:name="_Toc31892"/>
      <w:bookmarkStart w:id="510" w:name="_Toc25198"/>
      <w:bookmarkStart w:id="511" w:name="_Toc12666"/>
      <w:bookmarkStart w:id="512" w:name="_Toc2308"/>
      <w:r>
        <w:rPr>
          <w:rFonts w:hint="eastAsia" w:ascii="仿宋" w:hAnsi="仿宋" w:eastAsia="仿宋" w:cs="仿宋"/>
          <w:b/>
          <w:sz w:val="21"/>
          <w:szCs w:val="21"/>
          <w:highlight w:val="none"/>
        </w:rPr>
        <w:t>2.16 通知和送达</w:t>
      </w:r>
      <w:bookmarkEnd w:id="508"/>
      <w:bookmarkEnd w:id="509"/>
      <w:bookmarkEnd w:id="510"/>
      <w:bookmarkEnd w:id="511"/>
      <w:bookmarkEnd w:id="512"/>
    </w:p>
    <w:p>
      <w:pPr>
        <w:spacing w:line="360" w:lineRule="auto"/>
        <w:ind w:firstLine="420" w:firstLineChars="200"/>
        <w:rPr>
          <w:rFonts w:ascii="仿宋" w:hAnsi="仿宋" w:eastAsia="仿宋" w:cs="仿宋"/>
          <w:sz w:val="21"/>
          <w:szCs w:val="21"/>
          <w:highlight w:val="none"/>
        </w:rPr>
      </w:pPr>
      <w:bookmarkStart w:id="513" w:name="_Toc27674"/>
      <w:bookmarkStart w:id="514" w:name="_Toc18401"/>
      <w:r>
        <w:rPr>
          <w:rFonts w:hint="eastAsia" w:ascii="仿宋" w:hAnsi="仿宋" w:eastAsia="仿宋" w:cs="仿宋"/>
          <w:sz w:val="21"/>
          <w:szCs w:val="21"/>
          <w:highlight w:val="none"/>
        </w:rPr>
        <w:t xml:space="preserve">2.17.1任何一方因履行合同而以合同第一部分尾部所列明的传真或电子邮件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发出的所有通知、文件、材料，均视为已向对方当事人送达；任何一方变更上述送达方式或者地址的，应于</w:t>
      </w:r>
      <w:r>
        <w:rPr>
          <w:rFonts w:hint="eastAsia" w:ascii="仿宋" w:hAnsi="仿宋" w:eastAsia="仿宋" w:cs="仿宋"/>
          <w:sz w:val="21"/>
          <w:szCs w:val="21"/>
          <w:highlight w:val="none"/>
          <w:u w:val="single"/>
        </w:rPr>
        <w:t>3</w:t>
      </w:r>
      <w:r>
        <w:rPr>
          <w:rFonts w:hint="eastAsia" w:ascii="仿宋" w:hAnsi="仿宋" w:eastAsia="仿宋" w:cs="仿宋"/>
          <w:sz w:val="21"/>
          <w:szCs w:val="21"/>
          <w:highlight w:val="none"/>
        </w:rPr>
        <w:t>个工作日内书面通知对方当事人，在对方当事人收到有关变更通知之前，变更前的约定送达方式或者地址仍视为有效。</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3"/>
      <w:bookmarkEnd w:id="514"/>
    </w:p>
    <w:p>
      <w:pPr>
        <w:spacing w:line="360" w:lineRule="auto"/>
        <w:ind w:firstLine="422" w:firstLineChars="200"/>
        <w:outlineLvl w:val="0"/>
        <w:rPr>
          <w:rFonts w:ascii="仿宋" w:hAnsi="仿宋" w:eastAsia="仿宋" w:cs="仿宋"/>
          <w:b/>
          <w:sz w:val="21"/>
          <w:szCs w:val="21"/>
          <w:highlight w:val="none"/>
        </w:rPr>
      </w:pPr>
      <w:bookmarkStart w:id="515" w:name="_Toc5063"/>
      <w:bookmarkStart w:id="516" w:name="_Toc12254"/>
      <w:bookmarkStart w:id="517" w:name="_Toc20808"/>
      <w:bookmarkStart w:id="518" w:name="_Toc28906"/>
      <w:bookmarkStart w:id="519" w:name="_Toc27644"/>
      <w:r>
        <w:rPr>
          <w:rFonts w:hint="eastAsia" w:ascii="仿宋" w:hAnsi="仿宋" w:eastAsia="仿宋" w:cs="仿宋"/>
          <w:b/>
          <w:sz w:val="21"/>
          <w:szCs w:val="21"/>
          <w:highlight w:val="none"/>
        </w:rPr>
        <w:t>2.17 合同使用的文字和适用的法律</w:t>
      </w:r>
      <w:bookmarkEnd w:id="515"/>
      <w:bookmarkEnd w:id="516"/>
      <w:bookmarkEnd w:id="517"/>
      <w:bookmarkEnd w:id="518"/>
      <w:bookmarkEnd w:id="519"/>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2.17.1 合同使用汉语书就、变更和解释；</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2.17.2 合同适用中华人民共和国法律。</w:t>
      </w:r>
    </w:p>
    <w:p>
      <w:pPr>
        <w:spacing w:line="360" w:lineRule="auto"/>
        <w:ind w:firstLine="422" w:firstLineChars="200"/>
        <w:outlineLvl w:val="0"/>
        <w:rPr>
          <w:rFonts w:ascii="仿宋" w:hAnsi="仿宋" w:eastAsia="仿宋" w:cs="仿宋"/>
          <w:b/>
          <w:sz w:val="21"/>
          <w:szCs w:val="21"/>
          <w:highlight w:val="none"/>
        </w:rPr>
      </w:pPr>
      <w:bookmarkStart w:id="520" w:name="_Toc27403"/>
      <w:bookmarkStart w:id="521" w:name="_Toc30096"/>
      <w:bookmarkStart w:id="522" w:name="_Toc22266"/>
      <w:bookmarkStart w:id="523" w:name="_Toc27127"/>
      <w:bookmarkStart w:id="524" w:name="_Toc1492"/>
      <w:r>
        <w:rPr>
          <w:rFonts w:hint="eastAsia" w:ascii="仿宋" w:hAnsi="仿宋" w:eastAsia="仿宋" w:cs="仿宋"/>
          <w:b/>
          <w:sz w:val="21"/>
          <w:szCs w:val="21"/>
          <w:highlight w:val="none"/>
        </w:rPr>
        <w:t>2.18 履约保证金</w:t>
      </w:r>
      <w:bookmarkEnd w:id="520"/>
      <w:bookmarkEnd w:id="521"/>
      <w:bookmarkEnd w:id="522"/>
      <w:bookmarkEnd w:id="523"/>
      <w:bookmarkEnd w:id="524"/>
    </w:p>
    <w:p>
      <w:pPr>
        <w:pStyle w:val="958"/>
        <w:spacing w:before="0" w:beforeAutospacing="0" w:after="0" w:afterAutospacing="0" w:line="360" w:lineRule="auto"/>
        <w:ind w:firstLine="420"/>
        <w:rPr>
          <w:rFonts w:ascii="仿宋" w:hAnsi="仿宋" w:eastAsia="仿宋" w:cs="仿宋"/>
          <w:sz w:val="21"/>
          <w:szCs w:val="21"/>
          <w:highlight w:val="none"/>
        </w:rPr>
      </w:pPr>
      <w:r>
        <w:rPr>
          <w:rFonts w:hint="eastAsia" w:ascii="仿宋" w:hAnsi="仿宋" w:eastAsia="仿宋" w:cs="仿宋"/>
          <w:sz w:val="21"/>
          <w:szCs w:val="21"/>
          <w:highlight w:val="none"/>
        </w:rPr>
        <w:t>2.18.1 采购文件要求乙方提交履约保证金的，乙方应按</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2.18.2  甲方在项目验收结束后及时退还履约保证金。甲方在项目通过验收之日起</w:t>
      </w:r>
      <w:r>
        <w:rPr>
          <w:rFonts w:hint="eastAsia" w:ascii="仿宋" w:hAnsi="仿宋" w:eastAsia="仿宋" w:cs="仿宋"/>
          <w:sz w:val="21"/>
          <w:szCs w:val="21"/>
          <w:highlight w:val="none"/>
          <w:u w:val="single"/>
        </w:rPr>
        <w:t xml:space="preserve"> 5 </w:t>
      </w:r>
      <w:r>
        <w:rPr>
          <w:rFonts w:hint="eastAsia" w:ascii="仿宋" w:hAnsi="仿宋" w:eastAsia="仿宋" w:cs="仿宋"/>
          <w:sz w:val="21"/>
          <w:szCs w:val="21"/>
          <w:highlight w:val="none"/>
        </w:rPr>
        <w:t>个工作日内，按</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约定的方式将履约保证金退还乙方，逾期退还的，乙方可要求甲方支付违约金，违约金按每迟延退还一日的应退还而未退还金额的</w:t>
      </w:r>
      <w:r>
        <w:rPr>
          <w:rFonts w:hint="eastAsia" w:ascii="仿宋" w:hAnsi="仿宋" w:eastAsia="仿宋" w:cs="仿宋"/>
          <w:sz w:val="21"/>
          <w:szCs w:val="21"/>
          <w:highlight w:val="none"/>
          <w:u w:val="single"/>
        </w:rPr>
        <w:t xml:space="preserve"> 0.05 </w:t>
      </w:r>
      <w:r>
        <w:rPr>
          <w:rFonts w:hint="eastAsia" w:ascii="仿宋" w:hAnsi="仿宋" w:eastAsia="仿宋" w:cs="仿宋"/>
          <w:sz w:val="21"/>
          <w:szCs w:val="21"/>
          <w:highlight w:val="none"/>
        </w:rPr>
        <w:t>%计算，最高限额为本合同履约保证金的</w:t>
      </w:r>
      <w:r>
        <w:rPr>
          <w:rFonts w:hint="eastAsia" w:ascii="仿宋" w:hAnsi="仿宋" w:eastAsia="仿宋" w:cs="仿宋"/>
          <w:sz w:val="21"/>
          <w:szCs w:val="21"/>
          <w:highlight w:val="none"/>
          <w:u w:val="single"/>
        </w:rPr>
        <w:t xml:space="preserve">  20 </w:t>
      </w:r>
      <w:r>
        <w:rPr>
          <w:rFonts w:hint="eastAsia" w:ascii="仿宋" w:hAnsi="仿宋" w:eastAsia="仿宋" w:cs="仿宋"/>
          <w:sz w:val="21"/>
          <w:szCs w:val="21"/>
          <w:highlight w:val="none"/>
        </w:rPr>
        <w:t xml:space="preserve">%； </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2.18.4甲方在乙方履行完合同约定义务事项后及时退还，延迟退还的，应当按照合同约定和法律规定承担相应的赔偿责任。</w:t>
      </w:r>
    </w:p>
    <w:p>
      <w:pPr>
        <w:spacing w:line="360" w:lineRule="auto"/>
        <w:ind w:firstLine="422" w:firstLineChars="200"/>
        <w:rPr>
          <w:rFonts w:ascii="仿宋" w:hAnsi="仿宋" w:eastAsia="仿宋" w:cs="仿宋"/>
          <w:sz w:val="21"/>
          <w:szCs w:val="21"/>
          <w:highlight w:val="none"/>
        </w:rPr>
      </w:pPr>
      <w:r>
        <w:rPr>
          <w:rFonts w:hint="eastAsia" w:ascii="仿宋" w:hAnsi="仿宋" w:eastAsia="仿宋" w:cs="仿宋"/>
          <w:b/>
          <w:bCs/>
          <w:sz w:val="21"/>
          <w:szCs w:val="21"/>
          <w:highlight w:val="none"/>
        </w:rPr>
        <w:t>2.19</w:t>
      </w:r>
      <w:r>
        <w:rPr>
          <w:rFonts w:hint="eastAsia" w:ascii="仿宋" w:hAnsi="仿宋" w:eastAsia="仿宋" w:cs="仿宋"/>
          <w:sz w:val="21"/>
          <w:szCs w:val="21"/>
          <w:highlight w:val="none"/>
        </w:rPr>
        <w:t>对于因甲方原因导致变更、中止或者终止政府采购合同的，甲方应当依照合同约定对供应商受到的损失予以赔偿或者补偿。</w:t>
      </w:r>
    </w:p>
    <w:p>
      <w:pPr>
        <w:spacing w:line="360" w:lineRule="auto"/>
        <w:ind w:firstLine="422" w:firstLineChars="200"/>
        <w:rPr>
          <w:rFonts w:ascii="仿宋" w:hAnsi="仿宋" w:eastAsia="仿宋" w:cs="仿宋"/>
          <w:b/>
          <w:sz w:val="21"/>
          <w:szCs w:val="21"/>
          <w:highlight w:val="none"/>
        </w:rPr>
      </w:pPr>
      <w:r>
        <w:rPr>
          <w:rFonts w:hint="eastAsia" w:ascii="仿宋" w:hAnsi="仿宋" w:eastAsia="仿宋" w:cs="仿宋"/>
          <w:b/>
          <w:sz w:val="21"/>
          <w:szCs w:val="21"/>
          <w:highlight w:val="none"/>
        </w:rPr>
        <w:t>2.20合同份数</w:t>
      </w:r>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合同份数按</w:t>
      </w:r>
      <w:r>
        <w:rPr>
          <w:rFonts w:hint="eastAsia" w:ascii="仿宋" w:hAnsi="仿宋" w:eastAsia="仿宋" w:cs="仿宋"/>
          <w:b/>
          <w:i/>
          <w:sz w:val="21"/>
          <w:szCs w:val="21"/>
          <w:highlight w:val="none"/>
          <w:u w:val="single"/>
        </w:rPr>
        <w:t>合同专用条款</w:t>
      </w:r>
      <w:r>
        <w:rPr>
          <w:rFonts w:hint="eastAsia" w:ascii="仿宋" w:hAnsi="仿宋" w:eastAsia="仿宋" w:cs="仿宋"/>
          <w:sz w:val="21"/>
          <w:szCs w:val="21"/>
          <w:highlight w:val="none"/>
        </w:rPr>
        <w:t>规定，每份均具有同等法律效力。</w:t>
      </w:r>
    </w:p>
    <w:p>
      <w:pPr>
        <w:autoSpaceDE w:val="0"/>
        <w:autoSpaceDN w:val="0"/>
        <w:snapToGrid w:val="0"/>
        <w:spacing w:after="120" w:line="360" w:lineRule="auto"/>
        <w:ind w:left="420" w:leftChars="200" w:firstLine="420" w:firstLineChars="200"/>
        <w:jc w:val="center"/>
        <w:rPr>
          <w:rFonts w:ascii="仿宋" w:hAnsi="仿宋" w:eastAsia="仿宋" w:cs="仿宋"/>
          <w:b/>
          <w:sz w:val="24"/>
          <w:szCs w:val="24"/>
          <w:highlight w:val="none"/>
        </w:rPr>
      </w:pPr>
      <w:r>
        <w:rPr>
          <w:rFonts w:hint="eastAsia" w:ascii="仿宋" w:hAnsi="仿宋" w:eastAsia="仿宋" w:cs="仿宋"/>
          <w:kern w:val="0"/>
          <w:sz w:val="21"/>
          <w:szCs w:val="21"/>
          <w:highlight w:val="none"/>
        </w:rPr>
        <w:br w:type="page"/>
      </w:r>
      <w:bookmarkStart w:id="525" w:name="_Toc331685784"/>
      <w:r>
        <w:rPr>
          <w:rFonts w:hint="eastAsia" w:ascii="仿宋" w:hAnsi="仿宋" w:eastAsia="仿宋" w:cs="仿宋"/>
          <w:b/>
          <w:sz w:val="24"/>
          <w:szCs w:val="24"/>
          <w:highlight w:val="none"/>
        </w:rPr>
        <w:t xml:space="preserve"> </w:t>
      </w:r>
      <w:bookmarkEnd w:id="525"/>
      <w:r>
        <w:rPr>
          <w:rFonts w:hint="eastAsia" w:ascii="仿宋" w:hAnsi="仿宋" w:eastAsia="仿宋" w:cs="仿宋"/>
          <w:b/>
          <w:sz w:val="24"/>
          <w:szCs w:val="24"/>
          <w:highlight w:val="none"/>
        </w:rPr>
        <w:t>第三部分  合同专用条款</w:t>
      </w:r>
    </w:p>
    <w:p>
      <w:pPr>
        <w:spacing w:line="360" w:lineRule="auto"/>
        <w:ind w:left="-420" w:leftChars="-200" w:right="-420" w:rightChars="-200"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本部分是对前两部分的补充和修改，如果前两部分和本部分的约定不一致，应以本部分的约定为准。</w:t>
      </w:r>
    </w:p>
    <w:p>
      <w:pPr>
        <w:spacing w:line="360" w:lineRule="auto"/>
        <w:ind w:left="-420" w:leftChars="-200" w:right="-420" w:rightChars="-200"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本部分的条款号应与前两部分的条款号保持对应；与前两部分无对应关系的内容可另行编制条款号。</w:t>
      </w:r>
    </w:p>
    <w:tbl>
      <w:tblPr>
        <w:tblStyle w:val="63"/>
        <w:tblW w:w="505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3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1" w:type="pct"/>
            <w:tcBorders>
              <w:left w:val="single" w:color="auto" w:sz="4" w:space="0"/>
            </w:tcBorders>
            <w:vAlign w:val="center"/>
          </w:tcPr>
          <w:p>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条款号</w:t>
            </w:r>
          </w:p>
        </w:tc>
        <w:tc>
          <w:tcPr>
            <w:tcW w:w="4538" w:type="pct"/>
            <w:vAlign w:val="center"/>
          </w:tcPr>
          <w:p>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1.4.4</w:t>
            </w:r>
          </w:p>
        </w:tc>
        <w:tc>
          <w:tcPr>
            <w:tcW w:w="4538" w:type="pct"/>
            <w:vAlign w:val="center"/>
          </w:tcPr>
          <w:p>
            <w:pPr>
              <w:autoSpaceDE w:val="0"/>
              <w:autoSpaceDN w:val="0"/>
              <w:snapToGrid w:val="0"/>
              <w:spacing w:line="360" w:lineRule="auto"/>
              <w:rPr>
                <w:rFonts w:ascii="仿宋" w:hAnsi="仿宋" w:eastAsia="仿宋" w:cs="仿宋"/>
                <w:kern w:val="0"/>
                <w:sz w:val="21"/>
                <w:szCs w:val="21"/>
                <w:highlight w:val="none"/>
                <w:lang w:val="zh-CN"/>
              </w:rPr>
            </w:pPr>
            <w:r>
              <w:rPr>
                <w:rFonts w:hint="eastAsia" w:ascii="仿宋" w:hAnsi="仿宋" w:eastAsia="仿宋" w:cs="仿宋"/>
                <w:kern w:val="0"/>
                <w:sz w:val="21"/>
                <w:szCs w:val="21"/>
                <w:highlight w:val="none"/>
              </w:rPr>
              <w:t>1.</w:t>
            </w:r>
            <w:r>
              <w:rPr>
                <w:rFonts w:hint="eastAsia" w:ascii="仿宋" w:hAnsi="仿宋" w:eastAsia="仿宋" w:cs="仿宋"/>
                <w:kern w:val="0"/>
                <w:sz w:val="21"/>
                <w:szCs w:val="21"/>
                <w:highlight w:val="none"/>
                <w:lang w:val="zh-CN"/>
              </w:rPr>
              <w:t>合同生效并具备实施条件后7个工作日内，甲方向乙方支付合同金额40%的预付款。</w:t>
            </w:r>
          </w:p>
          <w:p>
            <w:pPr>
              <w:autoSpaceDE w:val="0"/>
              <w:autoSpaceDN w:val="0"/>
              <w:snapToGrid w:val="0"/>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2.剩余合同款项在初（终）验合格后，凭验收合格证明材料、发票到甲方处，按照4</w:t>
            </w:r>
            <w:r>
              <w:rPr>
                <w:rFonts w:ascii="仿宋" w:hAnsi="仿宋" w:eastAsia="仿宋" w:cs="仿宋"/>
                <w:sz w:val="21"/>
                <w:szCs w:val="21"/>
                <w:highlight w:val="none"/>
              </w:rPr>
              <w:t>0%</w:t>
            </w:r>
            <w:r>
              <w:rPr>
                <w:rFonts w:hint="eastAsia" w:ascii="仿宋" w:hAnsi="仿宋" w:eastAsia="仿宋" w:cs="仿宋"/>
                <w:sz w:val="21"/>
                <w:szCs w:val="21"/>
                <w:highlight w:val="none"/>
              </w:rPr>
              <w:t>、30</w:t>
            </w:r>
            <w:r>
              <w:rPr>
                <w:rFonts w:ascii="仿宋" w:hAnsi="仿宋" w:eastAsia="仿宋" w:cs="仿宋"/>
                <w:sz w:val="21"/>
                <w:szCs w:val="21"/>
                <w:highlight w:val="none"/>
              </w:rPr>
              <w:t>%</w:t>
            </w:r>
            <w:r>
              <w:rPr>
                <w:rFonts w:hint="eastAsia" w:ascii="仿宋" w:hAnsi="仿宋" w:eastAsia="仿宋" w:cs="仿宋"/>
                <w:sz w:val="21"/>
                <w:szCs w:val="21"/>
                <w:highlight w:val="none"/>
              </w:rPr>
              <w:t>比例分别结算。经双方确认后，甲方在7个工作日内向乙方支付全部合同余款。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1.5.1 </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履行期限（交货期限）：</w:t>
            </w:r>
            <w:r>
              <w:rPr>
                <w:rFonts w:hint="eastAsia" w:ascii="仿宋" w:hAnsi="仿宋" w:eastAsia="仿宋" w:cs="仿宋"/>
                <w:sz w:val="21"/>
                <w:szCs w:val="21"/>
                <w:highlight w:val="none"/>
                <w:lang w:val="zh-CN"/>
              </w:rPr>
              <w:t>本项目建设周期为合同签订后</w:t>
            </w:r>
            <w:r>
              <w:rPr>
                <w:rFonts w:ascii="仿宋" w:hAnsi="仿宋" w:eastAsia="仿宋" w:cs="仿宋"/>
                <w:sz w:val="21"/>
                <w:szCs w:val="21"/>
                <w:highlight w:val="none"/>
              </w:rPr>
              <w:t>4</w:t>
            </w:r>
            <w:r>
              <w:rPr>
                <w:rFonts w:hint="eastAsia" w:ascii="仿宋" w:hAnsi="仿宋" w:eastAsia="仿宋" w:cs="仿宋"/>
                <w:sz w:val="21"/>
                <w:szCs w:val="21"/>
                <w:highlight w:val="none"/>
                <w:lang w:val="zh-CN"/>
              </w:rPr>
              <w:t>个月，其中试运行期不少于1个月。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1.5.2</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履行地点：</w:t>
            </w:r>
            <w:r>
              <w:rPr>
                <w:rFonts w:hint="eastAsia" w:ascii="仿宋" w:hAnsi="仿宋" w:eastAsia="仿宋" w:cs="仿宋"/>
                <w:bCs/>
                <w:sz w:val="21"/>
                <w:szCs w:val="21"/>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1.5.3 </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履行方式：按照甲方要求。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1.6.7</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一、网络数据安全相关要求</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1.乙方应按照《网络安全法》、《数据安全法》的要求，履行网络和数据安全保护义务，并签订《网络数据安全承诺书》、《企业保密协议》等。</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2.项目涉及乙方工作人员均需签订《保密承诺书》，且乙方应对项目涉及工作人员进行背景审查。</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3.乙方应当采取技术措施和其他必要措施，确保其网络和数据安全，防止信息泄露、毁损、丢失。在发生或者可能发生信息泄露、毁损、丢失的情况时，应当立即采取补救措施，并在第一时间告知甲方。</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4.项目中所包含的建设、运营、运维的信息系统、应用、数据库等，开通相关账号、权限必须经过甲方审批允许，乙方不得私开账号、擅自更改权限等。</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5.乙方应合理使用操作账号，严禁乙方存在多名工作人员共用操作账号的情形，同时操作账号应采用高强度的密码、并定期更新账号密码。</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6.未经甲方允许，乙方不得对项目云资源私开端口，不得利用项目资源进行与该项目无关的工作。</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7.乙方应严格按照要求使用、处理、交换、共享数据资源。做好数据落地相应的数据保护工作，严格执行数据安全技术标准和安全管理措施，避免相关数据出现泄露、窃取、篡改的风险。</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8.乙方应认真组织开展各项数据处理活动，查找项目数据安全隐患和漏洞，对薄弱环节和潜在威胁采取有力措施进行整改，避免和消除数据安全风险，履行数据安全保护义务。</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9.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10.乙方应及时响应、处置甲方布置的安全工作，对其主管的系统、组件、云资源等所属安全事件、隐患及时阻断、排查、处置、溯源（包括但不限于攻防演练等相关活动中发现的）。</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11.项目中所建设的系统、提供的基础设施服务等，乙方应无偿提供操作、告警等安全日志，并且提供相关解析服务（如日志字典等）供甲方进行安全审计。</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12.乙方派驻的驻场人员应按照甲方要求进行入场、离场等手续，并且遵守甲方劳动、工作纪律，按照甲方要求的工作时间进行出勤。</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二、网络信息安全部分处罚条款</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1.由于乙方原因，受到国家级安全问题通报的、或造成特别重大事故的，出现1次，每次扣除履约保证金的20%,每次金额不超过20万元。</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2.由于乙方原因，受到省级安全问题通报的、或造成重大事故的，出现1次，每次扣除履约保证金的10%,每次金额不超过10万元。</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3.由于乙方原因，受到市级安全问题通报的、或造成较大事故（一般事故）的，出现1次，每次扣除履约保证金的5%,每次金额不超过5万元。</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4.乙方不及时处置所属安全事件、隐患的，出现1次，每次扣除履约保证金的5%,每次金额不超过5万元。</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5.乙方所主管的系统、云资源等账号出现弱口令的（强口令需至少包含数字、大小写字母、特殊字符等，且无明显规律），出现1次，每次扣除履约保证金的2%,每次金额不超过2万元。</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6.乙方未按照甲方相关要求办理入场、离场手续的，出现1次，每次扣除履约保证金的1%,每次金额不超过1万元。 </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7.若乙方所提供的操作记录、安全日志等不完整、存在缺失的，每发现一次，扣除1万元。</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每次通报后，乙方应及时解决并递交书面整改报告，若乙方未根据整改报告按期整改的，甲方有权没收乙方履约保证金，总计履约保证金的100%。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1.7</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sz w:val="21"/>
                <w:szCs w:val="21"/>
                <w:highlight w:val="none"/>
                <w:u w:val="single"/>
              </w:rPr>
              <w:t>1</w:t>
            </w:r>
            <w:r>
              <w:rPr>
                <w:rFonts w:hint="eastAsia" w:ascii="仿宋" w:hAnsi="仿宋" w:eastAsia="仿宋" w:cs="仿宋"/>
                <w:sz w:val="21"/>
                <w:szCs w:val="21"/>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1.7.1</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1.将争议提交仲裁委员会依申请仲裁时其现行有效的仲裁规则裁决。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1.7.2</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2.向项目甲方所在地人民法院起诉。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2.3.2</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合同涉及技术成果的归属和收益的分成办法的，对本项目中可能产生的知识产权均等归属于甲方。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2.11.3</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因不可抗力致使合同有变更必要的，双方当事人应在约定时间内以书面形式变更合同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2.11.4 </w:t>
            </w:r>
          </w:p>
        </w:tc>
        <w:tc>
          <w:tcPr>
            <w:tcW w:w="4538" w:type="pct"/>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受不可抗力影响的一方在不可抗力发生后，应在约定时间内以书面形式通知对方当事人，并在约定时间内，将有关部门出具的证明文件送达对方当事人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2.15.1</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乙方按照合同的约定，提交所有清单资料，甲方按照合同的约定对数量、质量、单位服务进行履约验收评价。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31"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2.15.2</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交付验收要求：</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1.乙方交付前应对本项目做出全面检查和对验收文件进行整理，包括第三方软件测评结果、等保三级测评和商用密码测评备案情况等，并列出清单，作为用户验收和使用的技术条件依据。</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2.用户对乙方提供的货物在使用前进行调试时，乙方需负责安装并培训甲方的使用操作人员，并协助甲方一起调试，直到符合技术要求，用户才做最终验收。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2.18.1</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本项目需要乙方提交不超过合同金额的1%履约保证金的，乙方应按合同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1" w:type="pct"/>
            <w:tcBorders>
              <w:left w:val="single" w:color="auto" w:sz="4" w:space="0"/>
            </w:tcBorders>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2.18.2</w:t>
            </w:r>
          </w:p>
        </w:tc>
        <w:tc>
          <w:tcPr>
            <w:tcW w:w="4538" w:type="pct"/>
            <w:vAlign w:val="center"/>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甲方在项目验收结束后及时退还履约保证金。甲方在项目通过验收之日起</w:t>
            </w:r>
            <w:r>
              <w:rPr>
                <w:rFonts w:hint="eastAsia" w:ascii="仿宋" w:hAnsi="仿宋" w:eastAsia="仿宋" w:cs="仿宋"/>
                <w:sz w:val="21"/>
                <w:szCs w:val="21"/>
                <w:highlight w:val="none"/>
                <w:u w:val="single"/>
              </w:rPr>
              <w:t xml:space="preserve"> 5 </w:t>
            </w:r>
            <w:r>
              <w:rPr>
                <w:rFonts w:hint="eastAsia" w:ascii="仿宋" w:hAnsi="仿宋" w:eastAsia="仿宋" w:cs="仿宋"/>
                <w:sz w:val="21"/>
                <w:szCs w:val="21"/>
                <w:highlight w:val="none"/>
              </w:rPr>
              <w:t>个工作日内，按约定的方式将履约保证金退还乙方，逾期退还的，乙方可要求甲方支付违约金，违约金按每迟延退还一日的应退还而未退还金额的</w:t>
            </w:r>
            <w:r>
              <w:rPr>
                <w:rFonts w:hint="eastAsia" w:ascii="仿宋" w:hAnsi="仿宋" w:eastAsia="仿宋" w:cs="仿宋"/>
                <w:sz w:val="21"/>
                <w:szCs w:val="21"/>
                <w:highlight w:val="none"/>
                <w:u w:val="single"/>
              </w:rPr>
              <w:t xml:space="preserve"> 0.05 </w:t>
            </w:r>
            <w:r>
              <w:rPr>
                <w:rFonts w:hint="eastAsia" w:ascii="仿宋" w:hAnsi="仿宋" w:eastAsia="仿宋" w:cs="仿宋"/>
                <w:sz w:val="21"/>
                <w:szCs w:val="21"/>
                <w:highlight w:val="none"/>
              </w:rPr>
              <w:t>%计算，最高限额为本合同履约保证金的</w:t>
            </w:r>
            <w:r>
              <w:rPr>
                <w:rFonts w:hint="eastAsia" w:ascii="仿宋" w:hAnsi="仿宋" w:eastAsia="仿宋" w:cs="仿宋"/>
                <w:sz w:val="21"/>
                <w:szCs w:val="21"/>
                <w:highlight w:val="none"/>
                <w:u w:val="single"/>
              </w:rPr>
              <w:t xml:space="preserve">  20 </w:t>
            </w:r>
            <w:r>
              <w:rPr>
                <w:rFonts w:hint="eastAsia" w:ascii="仿宋" w:hAnsi="仿宋" w:eastAsia="仿宋" w:cs="仿宋"/>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1" w:type="pct"/>
            <w:tcBorders>
              <w:left w:val="single" w:color="auto" w:sz="4" w:space="0"/>
            </w:tcBorders>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2.20</w:t>
            </w:r>
          </w:p>
        </w:tc>
        <w:tc>
          <w:tcPr>
            <w:tcW w:w="4538" w:type="pct"/>
          </w:tcPr>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本合同一式肆份，甲方执贰份，乙方执贰份。每份均具有同等法律效力。</w:t>
            </w:r>
          </w:p>
        </w:tc>
      </w:tr>
    </w:tbl>
    <w:p>
      <w:pPr>
        <w:spacing w:line="360" w:lineRule="auto"/>
        <w:ind w:left="-420" w:leftChars="-200" w:right="-420" w:rightChars="-200" w:firstLine="480" w:firstLineChars="200"/>
        <w:rPr>
          <w:rFonts w:ascii="宋体" w:hAnsi="宋体" w:cs="宋体"/>
          <w:sz w:val="24"/>
          <w:szCs w:val="24"/>
          <w:highlight w:val="none"/>
        </w:rPr>
      </w:pPr>
    </w:p>
    <w:p>
      <w:pPr>
        <w:spacing w:line="360" w:lineRule="auto"/>
        <w:ind w:left="-420" w:leftChars="-200" w:right="-420" w:rightChars="-200" w:firstLine="480" w:firstLineChars="200"/>
        <w:jc w:val="center"/>
        <w:outlineLvl w:val="0"/>
        <w:rPr>
          <w:rFonts w:ascii="宋体" w:hAnsi="宋体" w:cs="宋体"/>
          <w:sz w:val="24"/>
          <w:szCs w:val="24"/>
          <w:highlight w:val="none"/>
        </w:rPr>
      </w:pPr>
    </w:p>
    <w:p>
      <w:pPr>
        <w:pStyle w:val="4"/>
        <w:rPr>
          <w:rFonts w:ascii="宋体" w:hAnsi="宋体" w:cs="宋体"/>
          <w:sz w:val="24"/>
          <w:szCs w:val="32"/>
          <w:highlight w:val="none"/>
        </w:rPr>
      </w:pPr>
    </w:p>
    <w:p>
      <w:pPr>
        <w:rPr>
          <w:rFonts w:ascii="宋体" w:hAnsi="宋体" w:cs="宋体"/>
          <w:sz w:val="24"/>
          <w:szCs w:val="24"/>
          <w:highlight w:val="none"/>
        </w:rPr>
      </w:pPr>
    </w:p>
    <w:p>
      <w:pPr>
        <w:pStyle w:val="4"/>
        <w:rPr>
          <w:rFonts w:ascii="宋体" w:hAnsi="宋体" w:cs="宋体"/>
          <w:sz w:val="24"/>
          <w:szCs w:val="32"/>
          <w:highlight w:val="none"/>
        </w:rPr>
      </w:pPr>
    </w:p>
    <w:p>
      <w:pPr>
        <w:rPr>
          <w:rFonts w:ascii="宋体" w:hAnsi="宋体" w:cs="宋体"/>
          <w:sz w:val="24"/>
          <w:szCs w:val="24"/>
          <w:highlight w:val="none"/>
        </w:rPr>
      </w:pPr>
    </w:p>
    <w:p>
      <w:pPr>
        <w:pStyle w:val="4"/>
        <w:rPr>
          <w:rFonts w:ascii="宋体" w:hAnsi="宋体" w:cs="宋体"/>
          <w:sz w:val="24"/>
          <w:szCs w:val="32"/>
          <w:highlight w:val="none"/>
        </w:rPr>
      </w:pPr>
    </w:p>
    <w:p>
      <w:pPr>
        <w:rPr>
          <w:rFonts w:ascii="宋体" w:hAnsi="宋体" w:cs="宋体"/>
          <w:sz w:val="24"/>
          <w:szCs w:val="24"/>
          <w:highlight w:val="none"/>
        </w:rPr>
      </w:pPr>
    </w:p>
    <w:p>
      <w:pPr>
        <w:pStyle w:val="4"/>
        <w:rPr>
          <w:rFonts w:ascii="宋体" w:hAnsi="宋体" w:cs="宋体"/>
          <w:sz w:val="24"/>
          <w:szCs w:val="32"/>
          <w:highlight w:val="none"/>
        </w:rPr>
      </w:pPr>
    </w:p>
    <w:p>
      <w:pPr>
        <w:rPr>
          <w:rFonts w:ascii="宋体" w:hAnsi="宋体" w:cs="宋体"/>
          <w:sz w:val="24"/>
          <w:szCs w:val="24"/>
          <w:highlight w:val="none"/>
        </w:rPr>
      </w:pPr>
    </w:p>
    <w:p>
      <w:pPr>
        <w:pStyle w:val="4"/>
        <w:rPr>
          <w:rFonts w:ascii="宋体" w:hAnsi="宋体" w:cs="宋体"/>
          <w:sz w:val="24"/>
          <w:szCs w:val="32"/>
          <w:highlight w:val="none"/>
        </w:rPr>
      </w:pPr>
    </w:p>
    <w:p>
      <w:pPr>
        <w:rPr>
          <w:rFonts w:ascii="宋体" w:hAnsi="宋体" w:cs="宋体"/>
          <w:sz w:val="24"/>
          <w:szCs w:val="24"/>
          <w:highlight w:val="none"/>
        </w:rPr>
      </w:pPr>
    </w:p>
    <w:p>
      <w:pPr>
        <w:pStyle w:val="4"/>
        <w:rPr>
          <w:rFonts w:ascii="宋体" w:hAnsi="宋体" w:cs="宋体"/>
          <w:sz w:val="24"/>
          <w:szCs w:val="32"/>
          <w:highlight w:val="none"/>
        </w:rPr>
      </w:pPr>
    </w:p>
    <w:p>
      <w:pPr>
        <w:rPr>
          <w:rFonts w:ascii="宋体" w:hAnsi="宋体" w:cs="宋体"/>
          <w:sz w:val="24"/>
          <w:szCs w:val="24"/>
          <w:highlight w:val="none"/>
        </w:rPr>
      </w:pPr>
    </w:p>
    <w:p>
      <w:pPr>
        <w:pStyle w:val="4"/>
        <w:rPr>
          <w:rFonts w:ascii="宋体" w:hAnsi="宋体" w:cs="宋体"/>
          <w:sz w:val="24"/>
          <w:szCs w:val="32"/>
          <w:highlight w:val="none"/>
        </w:rPr>
      </w:pPr>
    </w:p>
    <w:p>
      <w:pPr>
        <w:rPr>
          <w:rFonts w:ascii="宋体" w:hAnsi="宋体" w:cs="宋体"/>
          <w:sz w:val="24"/>
          <w:szCs w:val="24"/>
          <w:highlight w:val="none"/>
        </w:rPr>
      </w:pPr>
    </w:p>
    <w:p>
      <w:pPr>
        <w:pStyle w:val="4"/>
        <w:rPr>
          <w:rFonts w:ascii="宋体" w:hAnsi="宋体" w:cs="宋体"/>
          <w:sz w:val="24"/>
          <w:szCs w:val="32"/>
          <w:highlight w:val="none"/>
        </w:rPr>
      </w:pPr>
    </w:p>
    <w:p>
      <w:pPr>
        <w:rPr>
          <w:rFonts w:ascii="宋体" w:hAnsi="宋体" w:cs="宋体"/>
          <w:sz w:val="24"/>
          <w:szCs w:val="24"/>
          <w:highlight w:val="none"/>
        </w:rPr>
      </w:pPr>
    </w:p>
    <w:p>
      <w:pPr>
        <w:pStyle w:val="4"/>
        <w:rPr>
          <w:sz w:val="32"/>
          <w:szCs w:val="32"/>
          <w:highlight w:val="none"/>
        </w:rPr>
      </w:pPr>
    </w:p>
    <w:p>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412"/>
      <w:r>
        <w:rPr>
          <w:rFonts w:hint="eastAsia" w:ascii="宋体" w:hAnsi="宋体" w:cs="宋体"/>
          <w:b/>
          <w:sz w:val="36"/>
          <w:szCs w:val="20"/>
          <w:highlight w:val="none"/>
        </w:rPr>
        <w:t xml:space="preserve"> </w:t>
      </w:r>
      <w:bookmarkEnd w:id="413"/>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（1）符合参加政府采购活动应当具备的一般条件的承诺函……………（页码）</w:t>
      </w:r>
    </w:p>
    <w:p>
      <w:pPr>
        <w:snapToGrid w:val="0"/>
        <w:spacing w:line="360" w:lineRule="auto"/>
        <w:rPr>
          <w:rFonts w:ascii="宋体" w:hAnsi="宋体" w:cs="宋体"/>
          <w:sz w:val="24"/>
          <w:szCs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szCs w:val="24"/>
          <w:highlight w:val="none"/>
        </w:rPr>
        <w:t>………………………………………………………………（页码）</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）落实政府采购政策需满足的资格要求………………………………（页码）</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）本项目的特定资格要求………………………………………………（页码）</w:t>
      </w:r>
    </w:p>
    <w:p>
      <w:pPr>
        <w:snapToGrid w:val="0"/>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szCs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浙江省杭州市中级人民法院、大地工程咨询有限公司：</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我方参与杭州市中级人民法院证券虚假陈述责任纠纷智能化审判项目【招标编号：DDZX2023-GK-125】政府采购活动，郑重承诺：</w:t>
      </w:r>
    </w:p>
    <w:p>
      <w:pPr>
        <w:snapToGrid w:val="0"/>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1、具有独立承担民事责任的能力；</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2、具有良好的商业信誉和健全的财务会计制度； </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4、有依法缴纳税收和社会保障资金的良好记录；</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6、具有法律、行政法规规定的其他条件。</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（三）不存在以下情况：</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szCs w:val="24"/>
          <w:highlight w:val="none"/>
        </w:rPr>
      </w:pPr>
      <w:r>
        <w:rPr>
          <w:rFonts w:hint="eastAsia" w:ascii="宋体" w:hAnsi="宋体" w:cs="宋体"/>
          <w:kern w:val="0"/>
          <w:sz w:val="24"/>
          <w:szCs w:val="24"/>
          <w:highlight w:val="none"/>
          <w:lang w:val="zh-CN"/>
        </w:rPr>
        <w:t>投标人名称(电子签名)：</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zh-CN"/>
        </w:rPr>
        <w:t xml:space="preserve">                        </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日期</w:t>
      </w:r>
      <w:r>
        <w:rPr>
          <w:rFonts w:hint="eastAsia" w:ascii="宋体" w:hAnsi="宋体" w:cs="宋体"/>
          <w:kern w:val="0"/>
          <w:sz w:val="24"/>
          <w:szCs w:val="24"/>
          <w:highlight w:val="none"/>
        </w:rPr>
        <w:t xml:space="preserve">：  年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sz w:val="21"/>
          <w:szCs w:val="24"/>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szCs w:val="24"/>
          <w:highlight w:val="none"/>
        </w:rPr>
      </w:pPr>
      <w:r>
        <w:rPr>
          <w:rFonts w:hint="eastAsia" w:ascii="宋体" w:hAnsi="宋体" w:cs="宋体"/>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szCs w:val="24"/>
          <w:highlight w:val="none"/>
        </w:rPr>
      </w:pPr>
      <w:r>
        <w:rPr>
          <w:rFonts w:hint="eastAsia" w:ascii="宋体" w:hAnsi="宋体" w:cs="宋体"/>
          <w:b/>
          <w:sz w:val="24"/>
          <w:szCs w:val="24"/>
          <w:highlight w:val="none"/>
        </w:rPr>
        <w:t>A</w:t>
      </w:r>
      <w:r>
        <w:rPr>
          <w:rFonts w:hint="eastAsia" w:ascii="宋体" w:hAnsi="宋体" w:cs="宋体"/>
          <w:sz w:val="24"/>
          <w:szCs w:val="24"/>
          <w:highlight w:val="none"/>
        </w:rPr>
        <w:t>.专门面向中小企业，服务全部由符合政策要求的中小企业（或小微企业）承接的，提供相应的中小企业声明函（附件</w:t>
      </w:r>
      <w:r>
        <w:rPr>
          <w:rFonts w:ascii="宋体" w:hAnsi="宋体" w:cs="宋体"/>
          <w:sz w:val="24"/>
          <w:szCs w:val="24"/>
          <w:highlight w:val="none"/>
        </w:rPr>
        <w:t>7</w:t>
      </w:r>
      <w:r>
        <w:rPr>
          <w:rFonts w:hint="eastAsia" w:ascii="宋体" w:hAnsi="宋体" w:cs="宋体"/>
          <w:sz w:val="24"/>
          <w:szCs w:val="24"/>
          <w:highlight w:val="none"/>
        </w:rPr>
        <w:t xml:space="preserve">）。 </w:t>
      </w:r>
    </w:p>
    <w:p>
      <w:pPr>
        <w:widowControl/>
        <w:spacing w:line="360" w:lineRule="auto"/>
        <w:ind w:firstLine="480"/>
        <w:jc w:val="left"/>
        <w:rPr>
          <w:rFonts w:ascii="宋体" w:hAnsi="宋体" w:cs="宋体"/>
          <w:sz w:val="24"/>
          <w:szCs w:val="24"/>
          <w:highlight w:val="none"/>
        </w:rPr>
      </w:pPr>
    </w:p>
    <w:p>
      <w:pPr>
        <w:widowControl/>
        <w:spacing w:line="360" w:lineRule="auto"/>
        <w:ind w:firstLine="472" w:firstLineChars="196"/>
        <w:jc w:val="left"/>
        <w:rPr>
          <w:rFonts w:ascii="宋体" w:hAnsi="宋体" w:cs="宋体"/>
          <w:sz w:val="24"/>
          <w:szCs w:val="24"/>
          <w:highlight w:val="none"/>
        </w:rPr>
      </w:pPr>
      <w:r>
        <w:rPr>
          <w:rFonts w:hint="eastAsia" w:ascii="宋体" w:hAnsi="宋体" w:cs="宋体"/>
          <w:b/>
          <w:sz w:val="24"/>
          <w:szCs w:val="24"/>
          <w:highlight w:val="none"/>
        </w:rPr>
        <w:t>B.</w:t>
      </w:r>
      <w:r>
        <w:rPr>
          <w:rFonts w:hint="eastAsia" w:ascii="宋体" w:hAnsi="宋体" w:cs="宋体"/>
          <w:sz w:val="24"/>
          <w:szCs w:val="24"/>
          <w:highlight w:val="none"/>
        </w:rPr>
        <w:t>要求以联合体形式参加的，提供联合协议（附件</w:t>
      </w:r>
      <w:r>
        <w:rPr>
          <w:rFonts w:ascii="宋体" w:hAnsi="宋体" w:cs="宋体"/>
          <w:sz w:val="24"/>
          <w:szCs w:val="24"/>
          <w:highlight w:val="none"/>
        </w:rPr>
        <w:t>5</w:t>
      </w:r>
      <w:r>
        <w:rPr>
          <w:rFonts w:hint="eastAsia" w:ascii="宋体" w:hAnsi="宋体" w:cs="宋体"/>
          <w:sz w:val="24"/>
          <w:szCs w:val="24"/>
          <w:highlight w:val="none"/>
        </w:rPr>
        <w:t>）和中小企业声明函（附件</w:t>
      </w:r>
      <w:r>
        <w:rPr>
          <w:rFonts w:ascii="宋体" w:hAnsi="宋体" w:cs="宋体"/>
          <w:sz w:val="24"/>
          <w:szCs w:val="24"/>
          <w:highlight w:val="none"/>
        </w:rPr>
        <w:t>7</w:t>
      </w:r>
      <w:r>
        <w:rPr>
          <w:rFonts w:hint="eastAsia" w:ascii="宋体" w:hAnsi="宋体" w:cs="宋体"/>
          <w:sz w:val="24"/>
          <w:szCs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szCs w:val="24"/>
          <w:highlight w:val="none"/>
        </w:rPr>
        <w:t>并相应达到了前述比例要求，</w:t>
      </w:r>
      <w:r>
        <w:rPr>
          <w:rFonts w:hint="eastAsia" w:ascii="宋体" w:hAnsi="宋体" w:cs="宋体"/>
          <w:sz w:val="24"/>
          <w:szCs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szCs w:val="24"/>
          <w:highlight w:val="none"/>
        </w:rPr>
      </w:pPr>
      <w:r>
        <w:rPr>
          <w:rFonts w:hint="eastAsia" w:ascii="宋体" w:hAnsi="宋体" w:cs="宋体"/>
          <w:b/>
          <w:sz w:val="24"/>
          <w:szCs w:val="24"/>
          <w:highlight w:val="none"/>
        </w:rPr>
        <w:t xml:space="preserve">    </w:t>
      </w:r>
    </w:p>
    <w:p>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C、</w:t>
      </w:r>
      <w:r>
        <w:rPr>
          <w:rFonts w:hint="eastAsia" w:ascii="宋体" w:hAnsi="宋体" w:cs="宋体"/>
          <w:sz w:val="24"/>
          <w:szCs w:val="24"/>
          <w:highlight w:val="none"/>
        </w:rPr>
        <w:t>要求合同分包的，提供分包意向协议（附件6）和中小企业声明函（附件</w:t>
      </w:r>
      <w:r>
        <w:rPr>
          <w:rFonts w:ascii="宋体" w:hAnsi="宋体" w:cs="宋体"/>
          <w:sz w:val="24"/>
          <w:szCs w:val="24"/>
          <w:highlight w:val="none"/>
        </w:rPr>
        <w:t>7</w:t>
      </w:r>
      <w:r>
        <w:rPr>
          <w:rFonts w:hint="eastAsia" w:ascii="宋体" w:hAnsi="宋体" w:cs="宋体"/>
          <w:sz w:val="24"/>
          <w:szCs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szCs w:val="24"/>
          <w:highlight w:val="none"/>
        </w:rPr>
        <w:t>并相应达到了前述比例要求，</w:t>
      </w:r>
      <w:r>
        <w:rPr>
          <w:rFonts w:hint="eastAsia" w:ascii="宋体" w:hAnsi="宋体" w:cs="宋体"/>
          <w:sz w:val="24"/>
          <w:szCs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szCs w:val="24"/>
          <w:highlight w:val="none"/>
        </w:rPr>
      </w:pPr>
      <w:r>
        <w:rPr>
          <w:rFonts w:hint="eastAsia" w:ascii="宋体" w:hAnsi="宋体" w:cs="宋体"/>
          <w:sz w:val="24"/>
          <w:szCs w:val="24"/>
          <w:highlight w:val="none"/>
        </w:rPr>
        <w:t>（根据招标公告本项目的特定资格要求提供相应的材料；未要求的，无需提供）</w:t>
      </w:r>
    </w:p>
    <w:p>
      <w:pPr>
        <w:rPr>
          <w:rFonts w:ascii="宋体" w:hAnsi="宋体" w:cs="宋体"/>
          <w:sz w:val="21"/>
          <w:szCs w:val="24"/>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szCs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sz w:val="21"/>
          <w:szCs w:val="24"/>
          <w:highlight w:val="none"/>
        </w:rPr>
      </w:pPr>
      <w:r>
        <w:rPr>
          <w:rFonts w:hint="eastAsia" w:ascii="宋体" w:hAnsi="宋体" w:cs="宋体"/>
          <w:sz w:val="24"/>
          <w:szCs w:val="24"/>
          <w:highlight w:val="none"/>
        </w:rPr>
        <w:t>（1）投标函</w:t>
      </w:r>
      <w:r>
        <w:rPr>
          <w:rFonts w:hint="eastAsia" w:ascii="宋体" w:hAnsi="宋体" w:cs="宋体"/>
          <w:sz w:val="21"/>
          <w:szCs w:val="24"/>
          <w:highlight w:val="none"/>
        </w:rPr>
        <w:t>…………………………………………………………………………………（页码）</w:t>
      </w:r>
      <w:r>
        <w:rPr>
          <w:rFonts w:hint="eastAsia" w:ascii="宋体" w:hAnsi="宋体" w:cs="宋体"/>
          <w:sz w:val="24"/>
          <w:szCs w:val="24"/>
          <w:highlight w:val="none"/>
        </w:rPr>
        <w:t>（2）授权委托书或法定代表人（单位负责人、自然人本人）身份证明</w:t>
      </w:r>
      <w:r>
        <w:rPr>
          <w:rFonts w:hint="eastAsia" w:ascii="宋体" w:hAnsi="宋体" w:cs="宋体"/>
          <w:sz w:val="21"/>
          <w:szCs w:val="24"/>
          <w:highlight w:val="none"/>
        </w:rPr>
        <w:t>………（页码）</w:t>
      </w:r>
    </w:p>
    <w:p>
      <w:pPr>
        <w:snapToGrid w:val="0"/>
        <w:spacing w:line="360" w:lineRule="auto"/>
        <w:ind w:left="479" w:leftChars="228"/>
        <w:rPr>
          <w:rFonts w:ascii="宋体" w:hAnsi="宋体" w:cs="宋体"/>
          <w:sz w:val="21"/>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）分包意向协议</w:t>
      </w:r>
      <w:r>
        <w:rPr>
          <w:rFonts w:hint="eastAsia" w:ascii="宋体" w:hAnsi="宋体" w:cs="宋体"/>
          <w:sz w:val="21"/>
          <w:szCs w:val="24"/>
          <w:highlight w:val="none"/>
        </w:rPr>
        <w:t>…………………………………………………………………………（页码）</w:t>
      </w:r>
    </w:p>
    <w:p>
      <w:pPr>
        <w:snapToGrid w:val="0"/>
        <w:spacing w:line="360" w:lineRule="auto"/>
        <w:ind w:firstLine="480" w:firstLineChars="200"/>
        <w:rPr>
          <w:rFonts w:ascii="宋体" w:hAnsi="宋体" w:cs="宋体"/>
          <w:sz w:val="21"/>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）符合性审查资料</w:t>
      </w:r>
      <w:r>
        <w:rPr>
          <w:rFonts w:hint="eastAsia" w:ascii="宋体" w:hAnsi="宋体" w:cs="宋体"/>
          <w:sz w:val="21"/>
          <w:szCs w:val="24"/>
          <w:highlight w:val="none"/>
        </w:rPr>
        <w:t>………………………………………………………………………（页码）</w:t>
      </w:r>
    </w:p>
    <w:p>
      <w:pPr>
        <w:snapToGrid w:val="0"/>
        <w:spacing w:line="360" w:lineRule="auto"/>
        <w:ind w:left="479" w:leftChars="228"/>
        <w:rPr>
          <w:rFonts w:ascii="宋体" w:hAnsi="宋体" w:cs="宋体"/>
          <w:sz w:val="21"/>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）评标标准相应的商务技术资料</w:t>
      </w:r>
      <w:r>
        <w:rPr>
          <w:rFonts w:hint="eastAsia" w:ascii="宋体" w:hAnsi="宋体" w:cs="宋体"/>
          <w:sz w:val="21"/>
          <w:szCs w:val="24"/>
          <w:highlight w:val="none"/>
        </w:rPr>
        <w:t>…………………………</w:t>
      </w:r>
      <w:r>
        <w:rPr>
          <w:rFonts w:hint="eastAsia" w:ascii="宋体" w:hAnsi="宋体" w:cs="宋体"/>
          <w:sz w:val="24"/>
          <w:szCs w:val="24"/>
          <w:highlight w:val="none"/>
        </w:rPr>
        <w:t>………</w:t>
      </w:r>
      <w:r>
        <w:rPr>
          <w:rFonts w:hint="eastAsia" w:ascii="宋体" w:hAnsi="宋体" w:cs="宋体"/>
          <w:sz w:val="21"/>
          <w:szCs w:val="24"/>
          <w:highlight w:val="none"/>
        </w:rPr>
        <w:t>…</w:t>
      </w:r>
      <w:r>
        <w:rPr>
          <w:rFonts w:hint="eastAsia" w:ascii="宋体" w:hAnsi="宋体" w:cs="宋体"/>
          <w:sz w:val="24"/>
          <w:szCs w:val="24"/>
          <w:highlight w:val="none"/>
        </w:rPr>
        <w:t>…</w:t>
      </w:r>
      <w:r>
        <w:rPr>
          <w:rFonts w:hint="eastAsia" w:ascii="宋体" w:hAnsi="宋体" w:cs="宋体"/>
          <w:sz w:val="21"/>
          <w:szCs w:val="24"/>
          <w:highlight w:val="none"/>
        </w:rPr>
        <w:t>……………（页码）</w:t>
      </w: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）投标标的清单</w:t>
      </w:r>
      <w:r>
        <w:rPr>
          <w:rFonts w:hint="eastAsia" w:ascii="宋体" w:hAnsi="宋体" w:cs="宋体"/>
          <w:sz w:val="21"/>
          <w:szCs w:val="24"/>
          <w:highlight w:val="none"/>
        </w:rPr>
        <w:t>…………………………</w:t>
      </w:r>
      <w:r>
        <w:rPr>
          <w:rFonts w:hint="eastAsia" w:ascii="宋体" w:hAnsi="宋体" w:cs="宋体"/>
          <w:sz w:val="24"/>
          <w:szCs w:val="24"/>
          <w:highlight w:val="none"/>
        </w:rPr>
        <w:t>………</w:t>
      </w:r>
      <w:r>
        <w:rPr>
          <w:rFonts w:hint="eastAsia" w:ascii="宋体" w:hAnsi="宋体" w:cs="宋体"/>
          <w:sz w:val="21"/>
          <w:szCs w:val="24"/>
          <w:highlight w:val="none"/>
        </w:rPr>
        <w:t>…</w:t>
      </w:r>
      <w:r>
        <w:rPr>
          <w:rFonts w:hint="eastAsia" w:ascii="宋体" w:hAnsi="宋体" w:cs="宋体"/>
          <w:sz w:val="24"/>
          <w:szCs w:val="24"/>
          <w:highlight w:val="none"/>
        </w:rPr>
        <w:t>…</w:t>
      </w:r>
      <w:r>
        <w:rPr>
          <w:rFonts w:hint="eastAsia" w:ascii="宋体" w:hAnsi="宋体" w:cs="宋体"/>
          <w:sz w:val="21"/>
          <w:szCs w:val="24"/>
          <w:highlight w:val="none"/>
        </w:rPr>
        <w:t>…</w:t>
      </w:r>
      <w:r>
        <w:rPr>
          <w:rFonts w:hint="eastAsia" w:ascii="宋体" w:hAnsi="宋体" w:cs="宋体"/>
          <w:sz w:val="24"/>
          <w:szCs w:val="24"/>
          <w:highlight w:val="none"/>
        </w:rPr>
        <w:t>…</w:t>
      </w:r>
      <w:r>
        <w:rPr>
          <w:rFonts w:hint="eastAsia" w:ascii="宋体" w:hAnsi="宋体" w:cs="宋体"/>
          <w:sz w:val="21"/>
          <w:szCs w:val="24"/>
          <w:highlight w:val="none"/>
        </w:rPr>
        <w:t>…</w:t>
      </w:r>
      <w:r>
        <w:rPr>
          <w:rFonts w:hint="eastAsia" w:ascii="宋体" w:hAnsi="宋体" w:cs="宋体"/>
          <w:sz w:val="24"/>
          <w:szCs w:val="24"/>
          <w:highlight w:val="none"/>
        </w:rPr>
        <w:t>…</w:t>
      </w:r>
      <w:r>
        <w:rPr>
          <w:rFonts w:hint="eastAsia" w:ascii="宋体" w:hAnsi="宋体" w:cs="宋体"/>
          <w:sz w:val="21"/>
          <w:szCs w:val="24"/>
          <w:highlight w:val="none"/>
        </w:rPr>
        <w:t>…</w:t>
      </w:r>
      <w:r>
        <w:rPr>
          <w:rFonts w:hint="eastAsia" w:ascii="宋体" w:hAnsi="宋体" w:cs="宋体"/>
          <w:sz w:val="24"/>
          <w:szCs w:val="24"/>
          <w:highlight w:val="none"/>
        </w:rPr>
        <w:t>…</w:t>
      </w:r>
      <w:r>
        <w:rPr>
          <w:rFonts w:hint="eastAsia" w:ascii="宋体" w:hAnsi="宋体" w:cs="宋体"/>
          <w:sz w:val="21"/>
          <w:szCs w:val="24"/>
          <w:highlight w:val="none"/>
        </w:rPr>
        <w:t>……………（页码）</w:t>
      </w: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）商务技术偏离表</w:t>
      </w:r>
      <w:r>
        <w:rPr>
          <w:rFonts w:hint="eastAsia" w:ascii="宋体" w:hAnsi="宋体" w:cs="宋体"/>
          <w:sz w:val="21"/>
          <w:szCs w:val="24"/>
          <w:highlight w:val="none"/>
        </w:rPr>
        <w:t>………………………………………………………………………（页码）</w:t>
      </w:r>
    </w:p>
    <w:p>
      <w:pPr>
        <w:snapToGrid w:val="0"/>
        <w:spacing w:line="360" w:lineRule="auto"/>
        <w:ind w:left="479" w:leftChars="228"/>
        <w:rPr>
          <w:rFonts w:ascii="宋体" w:hAnsi="宋体" w:cs="宋体"/>
          <w:sz w:val="21"/>
          <w:szCs w:val="24"/>
          <w:highlight w:val="none"/>
        </w:rPr>
      </w:pPr>
      <w:r>
        <w:rPr>
          <w:rFonts w:hint="eastAsia" w:ascii="宋体" w:hAnsi="宋体" w:cs="宋体"/>
          <w:sz w:val="24"/>
          <w:szCs w:val="24"/>
          <w:highlight w:val="none"/>
          <w:lang w:val="zh-CN"/>
        </w:rPr>
        <w:t>（</w:t>
      </w:r>
      <w:r>
        <w:rPr>
          <w:rFonts w:ascii="宋体" w:hAnsi="宋体" w:cs="宋体"/>
          <w:sz w:val="24"/>
          <w:szCs w:val="24"/>
          <w:highlight w:val="none"/>
        </w:rPr>
        <w:t>8</w:t>
      </w:r>
      <w:r>
        <w:rPr>
          <w:rFonts w:hint="eastAsia" w:ascii="宋体" w:hAnsi="宋体" w:cs="宋体"/>
          <w:sz w:val="24"/>
          <w:szCs w:val="24"/>
          <w:highlight w:val="none"/>
          <w:lang w:val="zh-CN"/>
        </w:rPr>
        <w:t>）政府采购供应商廉洁自律承诺书</w:t>
      </w:r>
      <w:r>
        <w:rPr>
          <w:rFonts w:hint="eastAsia" w:ascii="宋体" w:hAnsi="宋体" w:cs="宋体"/>
          <w:sz w:val="21"/>
          <w:szCs w:val="24"/>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rPr>
          <w:rFonts w:ascii="宋体" w:hAnsi="宋体" w:cs="宋体"/>
          <w:b/>
          <w:kern w:val="0"/>
          <w:sz w:val="32"/>
          <w:szCs w:val="32"/>
          <w:highlight w:val="none"/>
          <w:lang w:val="zh-CN"/>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浙江省杭州市中级人民法院、大地工程咨询有限公司：</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我方参加你方组织的杭州市中级人民法院证券虚假陈述责任纠纷智能化审判项目【招标编号：DDZX2023-GK-125】招标的有关活动，并对此项目进行投标。为此：</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1、我方承诺投标有效期从提交投标文件的截止之日起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天（不少于90天）</w:t>
      </w:r>
      <w:r>
        <w:rPr>
          <w:rFonts w:hint="eastAsia" w:ascii="宋体" w:hAnsi="宋体" w:cs="宋体"/>
          <w:sz w:val="21"/>
          <w:szCs w:val="24"/>
          <w:highlight w:val="none"/>
        </w:rPr>
        <w:t>，</w:t>
      </w:r>
      <w:r>
        <w:rPr>
          <w:rFonts w:hint="eastAsia" w:ascii="宋体" w:hAnsi="宋体" w:cs="宋体"/>
          <w:sz w:val="24"/>
          <w:szCs w:val="24"/>
          <w:highlight w:val="none"/>
        </w:rPr>
        <w:t>本投标文件在投标有效期满之前均具有约束力。</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2、我方的投标文件包括以下内容：</w:t>
      </w:r>
    </w:p>
    <w:p>
      <w:pPr>
        <w:snapToGrid w:val="0"/>
        <w:spacing w:line="360" w:lineRule="auto"/>
        <w:ind w:left="210" w:leftChars="100" w:firstLine="480" w:firstLineChars="200"/>
        <w:rPr>
          <w:rFonts w:ascii="宋体" w:hAnsi="宋体" w:cs="宋体"/>
          <w:sz w:val="24"/>
          <w:szCs w:val="24"/>
          <w:highlight w:val="none"/>
        </w:rPr>
      </w:pPr>
      <w:r>
        <w:rPr>
          <w:rFonts w:hint="eastAsia" w:ascii="宋体" w:hAnsi="宋体" w:cs="宋体"/>
          <w:sz w:val="24"/>
          <w:szCs w:val="24"/>
          <w:highlight w:val="none"/>
        </w:rPr>
        <w:t>2.1资格文件：</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2.1.1承诺函；</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2.1.2</w:t>
      </w:r>
      <w:r>
        <w:rPr>
          <w:rFonts w:hint="eastAsia" w:ascii="宋体" w:hAnsi="宋体" w:cs="宋体"/>
          <w:snapToGrid w:val="0"/>
          <w:kern w:val="28"/>
          <w:sz w:val="24"/>
          <w:szCs w:val="20"/>
          <w:highlight w:val="none"/>
        </w:rPr>
        <w:t>联合协议</w:t>
      </w:r>
      <w:bookmarkStart w:id="526" w:name="_Hlk101257010"/>
      <w:r>
        <w:rPr>
          <w:rFonts w:hint="eastAsia" w:ascii="宋体" w:hAnsi="宋体" w:cs="宋体"/>
          <w:sz w:val="24"/>
          <w:szCs w:val="24"/>
          <w:highlight w:val="none"/>
        </w:rPr>
        <w:t>（如果有)</w:t>
      </w:r>
      <w:bookmarkEnd w:id="526"/>
      <w:r>
        <w:rPr>
          <w:rFonts w:hint="eastAsia" w:ascii="宋体" w:hAnsi="宋体" w:cs="宋体"/>
          <w:snapToGrid w:val="0"/>
          <w:kern w:val="28"/>
          <w:sz w:val="24"/>
          <w:szCs w:val="20"/>
          <w:highlight w:val="none"/>
        </w:rPr>
        <w:t>；</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.1.3</w:t>
      </w:r>
      <w:r>
        <w:rPr>
          <w:rFonts w:hint="eastAsia" w:ascii="宋体" w:hAnsi="宋体" w:cs="宋体"/>
          <w:sz w:val="24"/>
          <w:szCs w:val="24"/>
          <w:highlight w:val="none"/>
        </w:rPr>
        <w:t>落实政府采购政策需满足的资格要求（如果有）；</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2.1.</w:t>
      </w:r>
      <w:r>
        <w:rPr>
          <w:rFonts w:ascii="宋体" w:hAnsi="宋体" w:cs="宋体"/>
          <w:sz w:val="24"/>
          <w:szCs w:val="24"/>
          <w:highlight w:val="none"/>
        </w:rPr>
        <w:t>4</w:t>
      </w:r>
      <w:r>
        <w:rPr>
          <w:rFonts w:hint="eastAsia" w:ascii="宋体" w:hAnsi="宋体" w:cs="宋体"/>
          <w:sz w:val="24"/>
          <w:szCs w:val="24"/>
          <w:highlight w:val="none"/>
        </w:rPr>
        <w:t>本项目的特定资格要求（如果有)。</w:t>
      </w:r>
    </w:p>
    <w:p>
      <w:pPr>
        <w:snapToGrid w:val="0"/>
        <w:spacing w:line="360" w:lineRule="auto"/>
        <w:ind w:left="210" w:leftChars="100" w:firstLine="480" w:firstLineChars="200"/>
        <w:rPr>
          <w:rFonts w:ascii="宋体" w:hAnsi="宋体" w:cs="宋体"/>
          <w:sz w:val="24"/>
          <w:szCs w:val="24"/>
          <w:highlight w:val="none"/>
          <w:lang w:val="zh-CN"/>
        </w:rPr>
      </w:pPr>
      <w:r>
        <w:rPr>
          <w:rFonts w:hint="eastAsia" w:ascii="宋体" w:hAnsi="宋体" w:cs="宋体"/>
          <w:sz w:val="24"/>
          <w:szCs w:val="24"/>
          <w:highlight w:val="none"/>
        </w:rPr>
        <w:t>2</w:t>
      </w:r>
      <w:r>
        <w:rPr>
          <w:rFonts w:hint="eastAsia" w:ascii="宋体" w:hAnsi="宋体" w:cs="宋体"/>
          <w:sz w:val="24"/>
          <w:szCs w:val="24"/>
          <w:highlight w:val="none"/>
          <w:lang w:val="zh-CN"/>
        </w:rPr>
        <w:t>.</w:t>
      </w:r>
      <w:r>
        <w:rPr>
          <w:rFonts w:hint="eastAsia" w:ascii="宋体" w:hAnsi="宋体" w:cs="宋体"/>
          <w:sz w:val="24"/>
          <w:szCs w:val="24"/>
          <w:highlight w:val="none"/>
        </w:rPr>
        <w:t>2</w:t>
      </w:r>
      <w:r>
        <w:rPr>
          <w:rFonts w:hint="eastAsia" w:ascii="宋体" w:hAnsi="宋体" w:cs="宋体"/>
          <w:sz w:val="24"/>
          <w:szCs w:val="24"/>
          <w:highlight w:val="none"/>
          <w:lang w:val="zh-CN"/>
        </w:rPr>
        <w:t xml:space="preserve"> </w:t>
      </w:r>
      <w:r>
        <w:rPr>
          <w:rFonts w:hint="eastAsia" w:ascii="宋体" w:hAnsi="宋体" w:cs="宋体"/>
          <w:sz w:val="24"/>
          <w:szCs w:val="24"/>
          <w:highlight w:val="none"/>
        </w:rPr>
        <w:t>商务技术</w:t>
      </w:r>
      <w:r>
        <w:rPr>
          <w:rFonts w:hint="eastAsia" w:ascii="宋体" w:hAnsi="宋体" w:cs="宋体"/>
          <w:sz w:val="24"/>
          <w:szCs w:val="24"/>
          <w:highlight w:val="none"/>
          <w:lang w:val="zh-CN"/>
        </w:rPr>
        <w:t>文件：</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2.2.1投标函；</w:t>
      </w:r>
      <w:r>
        <w:rPr>
          <w:rFonts w:hint="eastAsia" w:ascii="宋体" w:hAnsi="宋体" w:cs="宋体"/>
          <w:sz w:val="24"/>
          <w:szCs w:val="24"/>
          <w:highlight w:val="none"/>
          <w:lang w:val="zh-CN"/>
        </w:rPr>
        <w:t xml:space="preserve"> </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2.2.</w:t>
      </w:r>
      <w:r>
        <w:rPr>
          <w:rFonts w:ascii="宋体" w:hAnsi="宋体" w:cs="宋体"/>
          <w:sz w:val="24"/>
          <w:szCs w:val="24"/>
          <w:highlight w:val="none"/>
        </w:rPr>
        <w:t>3</w:t>
      </w:r>
      <w:r>
        <w:rPr>
          <w:rFonts w:hint="eastAsia" w:ascii="宋体" w:hAnsi="宋体" w:cs="宋体"/>
          <w:sz w:val="24"/>
          <w:szCs w:val="24"/>
          <w:highlight w:val="none"/>
        </w:rPr>
        <w:t>分包意向协议（如果有)；</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2.2.</w:t>
      </w:r>
      <w:r>
        <w:rPr>
          <w:rFonts w:ascii="宋体" w:hAnsi="宋体" w:cs="宋体"/>
          <w:sz w:val="24"/>
          <w:szCs w:val="24"/>
          <w:highlight w:val="none"/>
        </w:rPr>
        <w:t>4</w:t>
      </w:r>
      <w:r>
        <w:rPr>
          <w:rFonts w:hint="eastAsia" w:ascii="宋体" w:hAnsi="宋体" w:cs="宋体"/>
          <w:sz w:val="24"/>
          <w:szCs w:val="24"/>
          <w:highlight w:val="none"/>
        </w:rPr>
        <w:t>符合性审查资料；</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2.2.</w:t>
      </w:r>
      <w:r>
        <w:rPr>
          <w:rFonts w:ascii="宋体" w:hAnsi="宋体" w:cs="宋体"/>
          <w:sz w:val="24"/>
          <w:szCs w:val="24"/>
          <w:highlight w:val="none"/>
        </w:rPr>
        <w:t>5</w:t>
      </w:r>
      <w:r>
        <w:rPr>
          <w:rFonts w:hint="eastAsia" w:ascii="宋体" w:hAnsi="宋体" w:cs="宋体"/>
          <w:sz w:val="24"/>
          <w:szCs w:val="24"/>
          <w:highlight w:val="none"/>
        </w:rPr>
        <w:t>评标标准相应的商务技术资料；</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2.2.</w:t>
      </w:r>
      <w:r>
        <w:rPr>
          <w:rFonts w:ascii="宋体" w:hAnsi="宋体" w:cs="宋体"/>
          <w:sz w:val="24"/>
          <w:szCs w:val="24"/>
          <w:highlight w:val="none"/>
        </w:rPr>
        <w:t>6</w:t>
      </w:r>
      <w:r>
        <w:rPr>
          <w:rFonts w:hint="eastAsia" w:ascii="宋体" w:hAnsi="宋体" w:cs="宋体"/>
          <w:sz w:val="24"/>
          <w:szCs w:val="24"/>
          <w:highlight w:val="none"/>
        </w:rPr>
        <w:t>投标标的清单；</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2.2.</w:t>
      </w:r>
      <w:r>
        <w:rPr>
          <w:rFonts w:ascii="宋体" w:hAnsi="宋体" w:cs="宋体"/>
          <w:sz w:val="24"/>
          <w:szCs w:val="24"/>
          <w:highlight w:val="none"/>
        </w:rPr>
        <w:t>7</w:t>
      </w:r>
      <w:r>
        <w:rPr>
          <w:rFonts w:hint="eastAsia" w:ascii="宋体" w:hAnsi="宋体" w:cs="宋体"/>
          <w:sz w:val="24"/>
          <w:szCs w:val="24"/>
          <w:highlight w:val="none"/>
        </w:rPr>
        <w:t>商务技术偏离表；</w:t>
      </w:r>
    </w:p>
    <w:p>
      <w:pPr>
        <w:snapToGrid w:val="0"/>
        <w:spacing w:line="360" w:lineRule="auto"/>
        <w:ind w:left="420" w:leftChars="200" w:firstLine="480" w:firstLineChars="200"/>
        <w:rPr>
          <w:rFonts w:ascii="宋体" w:hAnsi="宋体" w:cs="宋体"/>
          <w:sz w:val="24"/>
          <w:szCs w:val="24"/>
          <w:highlight w:val="none"/>
          <w:lang w:val="zh-CN"/>
        </w:rPr>
      </w:pPr>
      <w:r>
        <w:rPr>
          <w:rFonts w:hint="eastAsia" w:ascii="宋体" w:hAnsi="宋体" w:cs="宋体"/>
          <w:sz w:val="24"/>
          <w:szCs w:val="24"/>
          <w:highlight w:val="none"/>
        </w:rPr>
        <w:t>2</w:t>
      </w:r>
      <w:r>
        <w:rPr>
          <w:rFonts w:hint="eastAsia" w:ascii="宋体" w:hAnsi="宋体" w:cs="宋体"/>
          <w:sz w:val="24"/>
          <w:szCs w:val="24"/>
          <w:highlight w:val="none"/>
          <w:lang w:val="zh-CN"/>
        </w:rPr>
        <w:t>.</w:t>
      </w:r>
      <w:r>
        <w:rPr>
          <w:rFonts w:hint="eastAsia" w:ascii="宋体" w:hAnsi="宋体" w:cs="宋体"/>
          <w:sz w:val="24"/>
          <w:szCs w:val="24"/>
          <w:highlight w:val="none"/>
        </w:rPr>
        <w:t>2</w:t>
      </w:r>
      <w:r>
        <w:rPr>
          <w:rFonts w:hint="eastAsia" w:ascii="宋体" w:hAnsi="宋体" w:cs="宋体"/>
          <w:sz w:val="24"/>
          <w:szCs w:val="24"/>
          <w:highlight w:val="none"/>
          <w:lang w:val="zh-CN"/>
        </w:rPr>
        <w:t>.</w:t>
      </w:r>
      <w:r>
        <w:rPr>
          <w:rFonts w:ascii="宋体" w:hAnsi="宋体" w:cs="宋体"/>
          <w:sz w:val="24"/>
          <w:szCs w:val="24"/>
          <w:highlight w:val="none"/>
        </w:rPr>
        <w:t>8</w:t>
      </w:r>
      <w:r>
        <w:rPr>
          <w:rFonts w:hint="eastAsia" w:ascii="宋体" w:hAnsi="宋体" w:cs="宋体"/>
          <w:sz w:val="24"/>
          <w:szCs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zh-CN"/>
        </w:rPr>
        <w:t>.</w:t>
      </w:r>
      <w:r>
        <w:rPr>
          <w:rFonts w:hint="eastAsia" w:ascii="宋体" w:hAnsi="宋体" w:cs="宋体"/>
          <w:sz w:val="24"/>
          <w:szCs w:val="24"/>
          <w:highlight w:val="none"/>
        </w:rPr>
        <w:t>3报价文件</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2.3.1开标一览表（报价表）；</w:t>
      </w:r>
    </w:p>
    <w:p>
      <w:pPr>
        <w:snapToGrid w:val="0"/>
        <w:spacing w:line="360" w:lineRule="auto"/>
        <w:ind w:left="420" w:leftChars="200" w:firstLine="480" w:firstLineChars="200"/>
        <w:rPr>
          <w:rFonts w:ascii="宋体" w:hAnsi="宋体" w:cs="宋体"/>
          <w:sz w:val="24"/>
          <w:szCs w:val="24"/>
          <w:highlight w:val="none"/>
        </w:rPr>
      </w:pPr>
      <w:r>
        <w:rPr>
          <w:rFonts w:hint="eastAsia" w:ascii="宋体" w:hAnsi="宋体" w:cs="宋体"/>
          <w:sz w:val="24"/>
          <w:szCs w:val="24"/>
          <w:highlight w:val="none"/>
        </w:rPr>
        <w:t>2.3.2中小企业声明函（如果有）。</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4、如我方中标，我方承诺：</w:t>
      </w:r>
    </w:p>
    <w:p>
      <w:pPr>
        <w:snapToGrid w:val="0"/>
        <w:spacing w:line="360" w:lineRule="auto"/>
        <w:ind w:left="210" w:leftChars="100" w:firstLine="480" w:firstLineChars="200"/>
        <w:rPr>
          <w:rFonts w:ascii="宋体" w:hAnsi="宋体" w:cs="宋体"/>
          <w:sz w:val="24"/>
          <w:szCs w:val="24"/>
          <w:highlight w:val="none"/>
        </w:rPr>
      </w:pPr>
      <w:r>
        <w:rPr>
          <w:rFonts w:hint="eastAsia" w:ascii="宋体" w:hAnsi="宋体" w:cs="宋体"/>
          <w:sz w:val="24"/>
          <w:szCs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szCs w:val="24"/>
          <w:highlight w:val="none"/>
        </w:rPr>
      </w:pPr>
      <w:r>
        <w:rPr>
          <w:rFonts w:hint="eastAsia" w:ascii="宋体" w:hAnsi="宋体" w:cs="宋体"/>
          <w:sz w:val="24"/>
          <w:szCs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szCs w:val="24"/>
          <w:highlight w:val="none"/>
        </w:rPr>
      </w:pPr>
      <w:r>
        <w:rPr>
          <w:rFonts w:hint="eastAsia" w:ascii="宋体" w:hAnsi="宋体" w:cs="宋体"/>
          <w:sz w:val="24"/>
          <w:szCs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szCs w:val="24"/>
          <w:highlight w:val="none"/>
        </w:rPr>
      </w:pPr>
      <w:r>
        <w:rPr>
          <w:rFonts w:hint="eastAsia" w:ascii="宋体" w:hAnsi="宋体" w:cs="宋体"/>
          <w:sz w:val="24"/>
          <w:szCs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szCs w:val="24"/>
          <w:highlight w:val="none"/>
        </w:rPr>
      </w:pPr>
      <w:r>
        <w:rPr>
          <w:rFonts w:hint="eastAsia" w:ascii="宋体" w:hAnsi="宋体" w:cs="宋体"/>
          <w:sz w:val="24"/>
          <w:szCs w:val="24"/>
          <w:highlight w:val="none"/>
        </w:rPr>
        <w:t>5、其他补充说明:</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360" w:lineRule="auto"/>
        <w:ind w:firstLine="3600" w:firstLineChars="1500"/>
        <w:rPr>
          <w:rFonts w:ascii="宋体" w:hAnsi="宋体" w:cs="宋体"/>
          <w:sz w:val="24"/>
          <w:szCs w:val="24"/>
          <w:highlight w:val="none"/>
        </w:rPr>
      </w:pPr>
      <w:r>
        <w:rPr>
          <w:rFonts w:hint="eastAsia" w:ascii="宋体" w:hAnsi="宋体" w:cs="宋体"/>
          <w:sz w:val="24"/>
          <w:szCs w:val="24"/>
          <w:highlight w:val="none"/>
        </w:rPr>
        <w:t xml:space="preserve">投标人名称（电子签名）：                          </w:t>
      </w:r>
    </w:p>
    <w:p>
      <w:pPr>
        <w:spacing w:line="360" w:lineRule="auto"/>
        <w:jc w:val="center"/>
        <w:rPr>
          <w:rFonts w:ascii="宋体" w:hAnsi="宋体" w:cs="宋体"/>
          <w:sz w:val="24"/>
          <w:szCs w:val="24"/>
          <w:highlight w:val="none"/>
        </w:rPr>
      </w:pPr>
      <w:r>
        <w:rPr>
          <w:rFonts w:hint="eastAsia" w:ascii="宋体" w:hAnsi="宋体" w:cs="宋体"/>
          <w:sz w:val="24"/>
          <w:szCs w:val="24"/>
          <w:highlight w:val="none"/>
        </w:rPr>
        <w:t xml:space="preserve">     日期：  年   月   日</w:t>
      </w:r>
    </w:p>
    <w:p>
      <w:pPr>
        <w:snapToGrid w:val="0"/>
        <w:spacing w:line="360" w:lineRule="auto"/>
        <w:ind w:left="420" w:leftChars="200" w:firstLine="4200" w:firstLineChars="1750"/>
        <w:rPr>
          <w:rFonts w:ascii="宋体" w:hAnsi="宋体" w:cs="宋体"/>
          <w:kern w:val="0"/>
          <w:sz w:val="24"/>
          <w:szCs w:val="24"/>
          <w:highlight w:val="none"/>
          <w:u w:val="single"/>
        </w:rPr>
      </w:pPr>
    </w:p>
    <w:p>
      <w:pPr>
        <w:spacing w:line="360" w:lineRule="auto"/>
        <w:ind w:right="420"/>
        <w:rPr>
          <w:rFonts w:ascii="宋体" w:hAnsi="宋体" w:cs="宋体"/>
          <w:sz w:val="24"/>
          <w:szCs w:val="24"/>
          <w:highlight w:val="none"/>
        </w:rPr>
      </w:pPr>
      <w:r>
        <w:rPr>
          <w:rFonts w:hint="eastAsia" w:ascii="宋体" w:hAnsi="宋体" w:cs="宋体"/>
          <w:sz w:val="24"/>
          <w:szCs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szCs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4"/>
        <w:rPr>
          <w:sz w:val="32"/>
          <w:szCs w:val="32"/>
          <w:highlight w:val="none"/>
          <w:lang w:val="en-US"/>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pPr>
        <w:snapToGrid w:val="0"/>
        <w:spacing w:line="360" w:lineRule="auto"/>
        <w:ind w:firstLine="2872" w:firstLineChars="894"/>
        <w:rPr>
          <w:rFonts w:ascii="宋体" w:hAnsi="宋体" w:cs="宋体"/>
          <w:sz w:val="21"/>
          <w:szCs w:val="24"/>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sz w:val="21"/>
          <w:szCs w:val="24"/>
          <w:highlight w:val="none"/>
        </w:rPr>
        <w:t xml:space="preserve">                               </w:t>
      </w:r>
    </w:p>
    <w:p>
      <w:pPr>
        <w:snapToGrid w:val="0"/>
        <w:spacing w:line="360" w:lineRule="auto"/>
        <w:rPr>
          <w:rFonts w:ascii="宋体" w:hAnsi="宋体" w:cs="宋体"/>
          <w:kern w:val="0"/>
          <w:sz w:val="24"/>
          <w:szCs w:val="24"/>
          <w:highlight w:val="none"/>
        </w:rPr>
      </w:pPr>
      <w:r>
        <w:rPr>
          <w:rFonts w:hint="eastAsia" w:ascii="宋体" w:hAnsi="宋体" w:cs="宋体"/>
          <w:sz w:val="24"/>
          <w:szCs w:val="24"/>
          <w:highlight w:val="none"/>
        </w:rPr>
        <w:t>浙江省杭州市中级人民法院、大地工程咨询有限公司</w:t>
      </w:r>
      <w:r>
        <w:rPr>
          <w:rFonts w:hint="eastAsia" w:ascii="宋体" w:hAnsi="宋体" w:cs="宋体"/>
          <w:kern w:val="0"/>
          <w:sz w:val="24"/>
          <w:szCs w:val="24"/>
          <w:highlight w:val="none"/>
          <w:lang w:val="zh-CN"/>
        </w:rPr>
        <w:t>：</w:t>
      </w:r>
    </w:p>
    <w:p>
      <w:pPr>
        <w:snapToGrid w:val="0"/>
        <w:spacing w:line="360" w:lineRule="auto"/>
        <w:ind w:firstLine="576"/>
        <w:rPr>
          <w:rFonts w:ascii="宋体" w:hAnsi="宋体" w:cs="宋体"/>
          <w:kern w:val="0"/>
          <w:sz w:val="24"/>
          <w:szCs w:val="24"/>
          <w:highlight w:val="none"/>
        </w:rPr>
      </w:pPr>
      <w:r>
        <w:rPr>
          <w:rFonts w:hint="eastAsia" w:ascii="宋体" w:hAnsi="宋体" w:cs="宋体"/>
          <w:kern w:val="0"/>
          <w:sz w:val="24"/>
          <w:szCs w:val="24"/>
          <w:highlight w:val="none"/>
        </w:rPr>
        <w:t>现</w:t>
      </w:r>
      <w:r>
        <w:rPr>
          <w:rFonts w:hint="eastAsia" w:ascii="宋体" w:hAnsi="宋体" w:cs="宋体"/>
          <w:kern w:val="0"/>
          <w:sz w:val="24"/>
          <w:szCs w:val="24"/>
          <w:highlight w:val="none"/>
          <w:lang w:val="zh-CN"/>
        </w:rPr>
        <w:t>委托</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（姓名）为我方代理人（身份证号码：</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，手机：</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），以我方名义处理</w:t>
      </w:r>
      <w:r>
        <w:rPr>
          <w:rFonts w:hint="eastAsia" w:ascii="宋体" w:hAnsi="宋体" w:cs="宋体"/>
          <w:sz w:val="24"/>
          <w:szCs w:val="24"/>
          <w:highlight w:val="none"/>
        </w:rPr>
        <w:t>杭州市中级人民法院证券虚假陈述责任纠纷智能化审判项目【招标编号：DDZX2023-GK-125】</w:t>
      </w:r>
      <w:r>
        <w:rPr>
          <w:rFonts w:hint="eastAsia" w:ascii="宋体" w:hAnsi="宋体" w:cs="宋体"/>
          <w:kern w:val="0"/>
          <w:sz w:val="24"/>
          <w:szCs w:val="24"/>
          <w:highlight w:val="none"/>
          <w:lang w:val="zh-CN"/>
        </w:rPr>
        <w:t>政府采购投标的一切事项，其法律后果由我方承担。</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委托期限</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自</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日起至</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日止。</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特此告知。</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zh-CN"/>
        </w:rPr>
        <w:t xml:space="preserve">                                                 投标人名称(电子签名)：</w:t>
      </w:r>
    </w:p>
    <w:p>
      <w:pPr>
        <w:snapToGri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签发日期：  年  月   日</w:t>
      </w:r>
    </w:p>
    <w:p>
      <w:pPr>
        <w:snapToGrid w:val="0"/>
        <w:spacing w:line="360" w:lineRule="auto"/>
        <w:rPr>
          <w:rFonts w:ascii="宋体" w:hAnsi="宋体" w:cs="宋体"/>
          <w:sz w:val="24"/>
          <w:szCs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szCs w:val="24"/>
          <w:highlight w:val="none"/>
        </w:rPr>
      </w:pPr>
      <w:r>
        <w:rPr>
          <w:rFonts w:hint="eastAsia" w:ascii="宋体" w:hAnsi="宋体" w:cs="宋体"/>
          <w:sz w:val="24"/>
          <w:szCs w:val="24"/>
          <w:highlight w:val="none"/>
        </w:rPr>
        <w:t>浙江省杭州市中级人民法院、大地工程咨询有限公司</w:t>
      </w:r>
      <w:r>
        <w:rPr>
          <w:rFonts w:hint="eastAsia" w:ascii="宋体" w:hAnsi="宋体" w:cs="宋体"/>
          <w:kern w:val="0"/>
          <w:sz w:val="24"/>
          <w:szCs w:val="24"/>
          <w:highlight w:val="none"/>
          <w:lang w:val="zh-CN"/>
        </w:rPr>
        <w:t>：</w:t>
      </w:r>
    </w:p>
    <w:p>
      <w:pPr>
        <w:snapToGrid w:val="0"/>
        <w:spacing w:line="360" w:lineRule="auto"/>
        <w:ind w:firstLine="576"/>
        <w:rPr>
          <w:rFonts w:ascii="宋体" w:hAnsi="宋体" w:cs="宋体"/>
          <w:kern w:val="0"/>
          <w:sz w:val="24"/>
          <w:szCs w:val="24"/>
          <w:highlight w:val="none"/>
        </w:rPr>
      </w:pPr>
      <w:r>
        <w:rPr>
          <w:rFonts w:hint="eastAsia" w:ascii="宋体" w:hAnsi="宋体" w:cs="宋体"/>
          <w:kern w:val="0"/>
          <w:sz w:val="24"/>
          <w:szCs w:val="24"/>
          <w:highlight w:val="none"/>
        </w:rPr>
        <w:t>现</w:t>
      </w:r>
      <w:r>
        <w:rPr>
          <w:rFonts w:hint="eastAsia" w:ascii="宋体" w:hAnsi="宋体" w:cs="宋体"/>
          <w:kern w:val="0"/>
          <w:sz w:val="24"/>
          <w:szCs w:val="24"/>
          <w:highlight w:val="none"/>
          <w:lang w:val="zh-CN"/>
        </w:rPr>
        <w:t>委托</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（姓名）为我方代理人（身份证号码：</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，手机：</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），以我方名义处理</w:t>
      </w:r>
      <w:r>
        <w:rPr>
          <w:rFonts w:hint="eastAsia" w:ascii="宋体" w:hAnsi="宋体" w:cs="宋体"/>
          <w:sz w:val="24"/>
          <w:szCs w:val="24"/>
          <w:highlight w:val="none"/>
        </w:rPr>
        <w:t>杭州市中级人民法院证券虚假陈述责任纠纷智能化审判项目【招标编号：DDZX2023-GK-125】</w:t>
      </w:r>
      <w:r>
        <w:rPr>
          <w:rFonts w:hint="eastAsia" w:ascii="宋体" w:hAnsi="宋体" w:cs="宋体"/>
          <w:kern w:val="0"/>
          <w:sz w:val="24"/>
          <w:szCs w:val="24"/>
          <w:highlight w:val="none"/>
          <w:lang w:val="zh-CN"/>
        </w:rPr>
        <w:t>政府采购投标的一切事项，其法律后果由我方承担。</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委托期限</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自</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日起至</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日止。</w:t>
      </w:r>
    </w:p>
    <w:p>
      <w:pPr>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特此告知。</w:t>
      </w:r>
    </w:p>
    <w:p>
      <w:pPr>
        <w:jc w:val="center"/>
        <w:rPr>
          <w:rFonts w:ascii="宋体" w:hAnsi="宋体" w:cs="宋体"/>
          <w:b/>
          <w:kern w:val="0"/>
          <w:sz w:val="32"/>
          <w:szCs w:val="32"/>
          <w:highlight w:val="none"/>
        </w:rPr>
      </w:pPr>
    </w:p>
    <w:p>
      <w:pPr>
        <w:rPr>
          <w:rFonts w:ascii="宋体" w:hAnsi="宋体" w:cs="宋体"/>
          <w:sz w:val="21"/>
          <w:szCs w:val="24"/>
          <w:highlight w:val="none"/>
        </w:rPr>
      </w:pPr>
    </w:p>
    <w:p>
      <w:pPr>
        <w:snapToGrid w:val="0"/>
        <w:spacing w:line="360" w:lineRule="auto"/>
        <w:ind w:firstLine="5040" w:firstLineChars="2100"/>
        <w:rPr>
          <w:rFonts w:ascii="宋体" w:hAnsi="宋体" w:cs="宋体"/>
          <w:kern w:val="0"/>
          <w:sz w:val="24"/>
          <w:szCs w:val="24"/>
          <w:highlight w:val="none"/>
          <w:lang w:val="zh-CN"/>
        </w:rPr>
      </w:pPr>
      <w:r>
        <w:rPr>
          <w:rFonts w:hint="eastAsia" w:ascii="宋体" w:hAnsi="宋体" w:cs="宋体"/>
          <w:kern w:val="0"/>
          <w:sz w:val="24"/>
          <w:szCs w:val="24"/>
          <w:highlight w:val="none"/>
          <w:lang w:val="zh-CN"/>
        </w:rPr>
        <w:t>联合体成员名称(电子签名/公章)：</w:t>
      </w:r>
    </w:p>
    <w:p>
      <w:pPr>
        <w:snapToGrid w:val="0"/>
        <w:spacing w:line="360" w:lineRule="auto"/>
        <w:ind w:firstLine="5040" w:firstLineChars="2100"/>
        <w:rPr>
          <w:rFonts w:ascii="宋体" w:hAnsi="宋体" w:cs="宋体"/>
          <w:kern w:val="0"/>
          <w:sz w:val="24"/>
          <w:szCs w:val="24"/>
          <w:highlight w:val="none"/>
          <w:lang w:val="zh-CN"/>
        </w:rPr>
      </w:pPr>
      <w:r>
        <w:rPr>
          <w:rFonts w:hint="eastAsia" w:ascii="宋体" w:hAnsi="宋体" w:cs="宋体"/>
          <w:kern w:val="0"/>
          <w:sz w:val="24"/>
          <w:szCs w:val="24"/>
          <w:highlight w:val="none"/>
          <w:lang w:val="zh-CN"/>
        </w:rPr>
        <w:t>联合体成员名称(电子签名/公章)：</w:t>
      </w:r>
    </w:p>
    <w:p>
      <w:pPr>
        <w:snapToGrid w:val="0"/>
        <w:spacing w:line="360" w:lineRule="auto"/>
        <w:ind w:firstLine="5760" w:firstLineChars="2400"/>
        <w:rPr>
          <w:rFonts w:ascii="宋体" w:hAnsi="宋体" w:cs="宋体"/>
          <w:sz w:val="21"/>
          <w:szCs w:val="24"/>
          <w:highlight w:val="none"/>
        </w:rPr>
      </w:pPr>
      <w:r>
        <w:rPr>
          <w:rFonts w:hint="eastAsia" w:ascii="宋体" w:hAnsi="宋体" w:cs="宋体"/>
          <w:kern w:val="0"/>
          <w:sz w:val="24"/>
          <w:szCs w:val="24"/>
          <w:highlight w:val="none"/>
          <w:lang w:val="zh-CN"/>
        </w:rPr>
        <w:t>……</w:t>
      </w:r>
    </w:p>
    <w:p>
      <w:pPr>
        <w:snapToGri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sz w:val="24"/>
          <w:szCs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28"/>
          <w:szCs w:val="28"/>
          <w:highlight w:val="none"/>
        </w:rPr>
        <w:t>的身份证明（适用于法定代表人、单位负责人或者自然人本人代表投标人参加投标）</w:t>
      </w:r>
    </w:p>
    <w:p>
      <w:pPr>
        <w:pStyle w:val="147"/>
        <w:spacing w:line="360" w:lineRule="auto"/>
        <w:rPr>
          <w:rFonts w:hAnsi="宋体" w:cs="宋体"/>
          <w:bCs/>
          <w:sz w:val="24"/>
          <w:szCs w:val="21"/>
          <w:highlight w:val="none"/>
        </w:rPr>
      </w:pPr>
      <w:r>
        <w:rPr>
          <w:rFonts w:hint="eastAsia" w:hAnsi="宋体" w:cs="宋体"/>
          <w:bCs/>
          <w:sz w:val="24"/>
          <w:szCs w:val="21"/>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szCs w:val="21"/>
                <w:highlight w:val="none"/>
              </w:rPr>
            </w:pPr>
            <w:r>
              <w:rPr>
                <w:rFonts w:hint="eastAsia" w:hAnsi="宋体" w:cs="宋体"/>
                <w:bCs/>
                <w:sz w:val="24"/>
                <w:szCs w:val="21"/>
                <w:highlight w:val="none"/>
              </w:rPr>
              <w:t>正面：                                 反面：</w:t>
            </w:r>
          </w:p>
          <w:p>
            <w:pPr>
              <w:pStyle w:val="147"/>
              <w:adjustRightInd w:val="0"/>
              <w:spacing w:line="360" w:lineRule="auto"/>
              <w:rPr>
                <w:rFonts w:hAnsi="宋体" w:cs="宋体"/>
                <w:bCs/>
                <w:sz w:val="24"/>
                <w:szCs w:val="21"/>
                <w:highlight w:val="none"/>
              </w:rPr>
            </w:pPr>
          </w:p>
        </w:tc>
      </w:tr>
    </w:tbl>
    <w:p>
      <w:pPr>
        <w:snapToGrid w:val="0"/>
        <w:spacing w:line="360" w:lineRule="auto"/>
        <w:ind w:firstLine="576"/>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w:t>
      </w:r>
    </w:p>
    <w:p>
      <w:pPr>
        <w:snapToGrid w:val="0"/>
        <w:spacing w:line="360" w:lineRule="auto"/>
        <w:ind w:firstLine="576"/>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投标人名称(电子签名)：                              </w:t>
      </w:r>
    </w:p>
    <w:p>
      <w:pPr>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pPr>
        <w:widowControl/>
        <w:spacing w:line="360" w:lineRule="auto"/>
        <w:ind w:firstLine="120" w:firstLineChars="5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b/>
          <w:sz w:val="24"/>
          <w:szCs w:val="24"/>
          <w:highlight w:val="none"/>
        </w:rPr>
        <w:t>中标后以分包方式履行合同的，提供分包意向协议(附件6</w:t>
      </w:r>
      <w:r>
        <w:rPr>
          <w:rFonts w:ascii="宋体" w:hAnsi="宋体" w:cs="宋体"/>
          <w:b/>
          <w:sz w:val="24"/>
          <w:szCs w:val="24"/>
          <w:highlight w:val="none"/>
        </w:rPr>
        <w:t>)</w:t>
      </w:r>
      <w:r>
        <w:rPr>
          <w:rFonts w:hint="eastAsia" w:ascii="宋体" w:hAnsi="宋体" w:cs="宋体"/>
          <w:b/>
          <w:sz w:val="24"/>
          <w:szCs w:val="24"/>
          <w:highlight w:val="none"/>
        </w:rPr>
        <w:t>；采购人不同意分包或者投标人中标后不以分包方式履行合同的，则不需要提供。</w:t>
      </w:r>
      <w:r>
        <w:rPr>
          <w:rFonts w:hint="eastAsia" w:ascii="宋体" w:hAnsi="宋体" w:cs="宋体"/>
          <w:sz w:val="24"/>
          <w:szCs w:val="24"/>
          <w:highlight w:val="none"/>
        </w:rPr>
        <w:t>]</w:t>
      </w:r>
    </w:p>
    <w:p>
      <w:pPr>
        <w:snapToGrid w:val="0"/>
        <w:spacing w:line="360" w:lineRule="auto"/>
        <w:rPr>
          <w:rFonts w:ascii="宋体" w:hAnsi="宋体" w:cs="宋体"/>
          <w:kern w:val="0"/>
          <w:sz w:val="24"/>
          <w:szCs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szCs w:val="24"/>
                <w:highlight w:val="none"/>
              </w:rPr>
            </w:pPr>
            <w:r>
              <w:rPr>
                <w:rFonts w:hint="eastAsia" w:ascii="宋体" w:hAnsi="宋体" w:cs="宋体"/>
                <w:b/>
                <w:sz w:val="24"/>
                <w:szCs w:val="24"/>
                <w:highlight w:val="none"/>
              </w:rPr>
              <w:t>序号</w:t>
            </w:r>
          </w:p>
        </w:tc>
        <w:tc>
          <w:tcPr>
            <w:tcW w:w="4991" w:type="dxa"/>
            <w:vAlign w:val="center"/>
          </w:tcPr>
          <w:p>
            <w:pPr>
              <w:snapToGrid w:val="0"/>
              <w:spacing w:line="240" w:lineRule="atLeast"/>
              <w:jc w:val="center"/>
              <w:rPr>
                <w:rFonts w:ascii="宋体" w:hAnsi="宋体" w:cs="宋体"/>
                <w:b/>
                <w:sz w:val="24"/>
                <w:szCs w:val="24"/>
                <w:highlight w:val="none"/>
              </w:rPr>
            </w:pPr>
            <w:r>
              <w:rPr>
                <w:rFonts w:hint="eastAsia" w:ascii="宋体" w:hAnsi="宋体" w:cs="宋体"/>
                <w:b/>
                <w:sz w:val="24"/>
                <w:szCs w:val="24"/>
                <w:highlight w:val="none"/>
              </w:rPr>
              <w:t>实质性要求</w:t>
            </w:r>
          </w:p>
        </w:tc>
        <w:tc>
          <w:tcPr>
            <w:tcW w:w="2551" w:type="dxa"/>
            <w:vAlign w:val="center"/>
          </w:tcPr>
          <w:p>
            <w:pPr>
              <w:snapToGrid w:val="0"/>
              <w:spacing w:line="240" w:lineRule="atLeast"/>
              <w:jc w:val="center"/>
              <w:rPr>
                <w:rFonts w:ascii="宋体" w:hAnsi="宋体" w:cs="宋体"/>
                <w:b/>
                <w:sz w:val="24"/>
                <w:szCs w:val="24"/>
                <w:highlight w:val="none"/>
              </w:rPr>
            </w:pPr>
            <w:r>
              <w:rPr>
                <w:rFonts w:hint="eastAsia" w:ascii="宋体" w:hAnsi="宋体" w:cs="宋体"/>
                <w:b/>
                <w:sz w:val="24"/>
                <w:szCs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szCs w:val="24"/>
                <w:highlight w:val="none"/>
              </w:rPr>
            </w:pPr>
            <w:r>
              <w:rPr>
                <w:rFonts w:hint="eastAsia" w:ascii="宋体" w:hAnsi="宋体" w:cs="宋体"/>
                <w:b/>
                <w:sz w:val="24"/>
                <w:szCs w:val="24"/>
                <w:highlight w:val="none"/>
              </w:rPr>
              <w:t>投标文件中的</w:t>
            </w:r>
          </w:p>
          <w:p>
            <w:pPr>
              <w:snapToGrid w:val="0"/>
              <w:spacing w:line="240" w:lineRule="atLeast"/>
              <w:jc w:val="center"/>
              <w:rPr>
                <w:rFonts w:ascii="宋体" w:hAnsi="宋体" w:cs="宋体"/>
                <w:b/>
                <w:sz w:val="24"/>
                <w:szCs w:val="24"/>
                <w:highlight w:val="none"/>
              </w:rPr>
            </w:pPr>
            <w:r>
              <w:rPr>
                <w:rFonts w:hint="eastAsia" w:ascii="宋体" w:hAnsi="宋体" w:cs="宋体"/>
                <w:b/>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4991" w:type="dxa"/>
          </w:tcPr>
          <w:p>
            <w:pPr>
              <w:spacing w:line="360" w:lineRule="auto"/>
              <w:rPr>
                <w:rFonts w:ascii="宋体" w:hAnsi="宋体" w:cs="宋体"/>
                <w:sz w:val="24"/>
                <w:szCs w:val="24"/>
                <w:highlight w:val="none"/>
              </w:rPr>
            </w:pPr>
            <w:r>
              <w:rPr>
                <w:rFonts w:hint="eastAsia" w:ascii="宋体" w:hAnsi="宋体" w:cs="宋体"/>
                <w:sz w:val="24"/>
                <w:szCs w:val="24"/>
                <w:highlight w:val="none"/>
              </w:rPr>
              <w:t>投标文件按照招标文件要求签署、盖章。</w:t>
            </w:r>
          </w:p>
        </w:tc>
        <w:tc>
          <w:tcPr>
            <w:tcW w:w="2551" w:type="dxa"/>
            <w:vAlign w:val="center"/>
          </w:tcPr>
          <w:p>
            <w:pPr>
              <w:rPr>
                <w:rFonts w:ascii="宋体" w:hAnsi="宋体" w:cs="宋体"/>
                <w:sz w:val="24"/>
                <w:szCs w:val="24"/>
                <w:highlight w:val="none"/>
              </w:rPr>
            </w:pPr>
            <w:r>
              <w:rPr>
                <w:rFonts w:hint="eastAsia" w:ascii="宋体" w:hAnsi="宋体" w:cs="宋体"/>
                <w:sz w:val="24"/>
                <w:szCs w:val="24"/>
                <w:highlight w:val="none"/>
              </w:rPr>
              <w:t>需要使用电子签名或者签字盖章的投标文件的组成部分</w:t>
            </w:r>
          </w:p>
        </w:tc>
        <w:tc>
          <w:tcPr>
            <w:tcW w:w="1418" w:type="dxa"/>
          </w:tcPr>
          <w:p>
            <w:pPr>
              <w:rPr>
                <w:rFonts w:ascii="宋体" w:hAnsi="宋体" w:cs="宋体"/>
                <w:sz w:val="24"/>
                <w:szCs w:val="24"/>
                <w:highlight w:val="none"/>
              </w:rPr>
            </w:pPr>
          </w:p>
          <w:p>
            <w:pPr>
              <w:rPr>
                <w:rFonts w:ascii="宋体" w:hAnsi="宋体" w:cs="宋体"/>
                <w:sz w:val="24"/>
                <w:szCs w:val="24"/>
                <w:highlight w:val="none"/>
              </w:rPr>
            </w:pPr>
            <w:r>
              <w:rPr>
                <w:rFonts w:hint="eastAsia" w:ascii="宋体" w:hAnsi="宋体" w:cs="宋体"/>
                <w:sz w:val="24"/>
                <w:szCs w:val="24"/>
                <w:highlight w:val="none"/>
              </w:rPr>
              <w:t>见投标文件</w:t>
            </w:r>
          </w:p>
          <w:p>
            <w:pPr>
              <w:rPr>
                <w:rFonts w:ascii="宋体" w:hAnsi="宋体" w:cs="宋体"/>
                <w:sz w:val="21"/>
                <w:szCs w:val="24"/>
                <w:highlight w:val="none"/>
              </w:rPr>
            </w:pPr>
            <w:r>
              <w:rPr>
                <w:rFonts w:hint="eastAsia" w:ascii="宋体" w:hAnsi="宋体" w:cs="宋体"/>
                <w:sz w:val="24"/>
                <w:szCs w:val="24"/>
                <w:highlight w:val="none"/>
              </w:rPr>
              <w:t>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szCs w:val="24"/>
                <w:highlight w:val="none"/>
              </w:rPr>
            </w:pPr>
            <w:r>
              <w:rPr>
                <w:rFonts w:hint="eastAsia" w:ascii="宋体" w:hAnsi="宋体" w:cs="宋体"/>
                <w:sz w:val="24"/>
                <w:szCs w:val="24"/>
                <w:highlight w:val="none"/>
              </w:rPr>
              <w:t>2</w:t>
            </w:r>
          </w:p>
        </w:tc>
        <w:tc>
          <w:tcPr>
            <w:tcW w:w="4991" w:type="dxa"/>
          </w:tcPr>
          <w:p>
            <w:pPr>
              <w:spacing w:line="360" w:lineRule="auto"/>
              <w:rPr>
                <w:rFonts w:ascii="宋体" w:hAnsi="宋体" w:cs="宋体"/>
                <w:sz w:val="24"/>
                <w:szCs w:val="24"/>
                <w:highlight w:val="none"/>
              </w:rPr>
            </w:pPr>
            <w:r>
              <w:rPr>
                <w:rFonts w:hint="eastAsia" w:ascii="宋体" w:hAnsi="宋体" w:cs="宋体"/>
                <w:sz w:val="24"/>
                <w:szCs w:val="24"/>
                <w:highlight w:val="none"/>
              </w:rPr>
              <w:t>投标文件中承诺的投标有效期不少于招标文件中载明的投标有效期。</w:t>
            </w:r>
          </w:p>
        </w:tc>
        <w:tc>
          <w:tcPr>
            <w:tcW w:w="2551" w:type="dxa"/>
            <w:vAlign w:val="center"/>
          </w:tcPr>
          <w:p>
            <w:pPr>
              <w:rPr>
                <w:rFonts w:ascii="宋体" w:hAnsi="宋体" w:cs="宋体"/>
                <w:sz w:val="24"/>
                <w:szCs w:val="24"/>
                <w:highlight w:val="none"/>
              </w:rPr>
            </w:pPr>
            <w:r>
              <w:rPr>
                <w:rFonts w:hint="eastAsia" w:ascii="宋体" w:hAnsi="宋体" w:cs="宋体"/>
                <w:sz w:val="24"/>
                <w:szCs w:val="24"/>
                <w:highlight w:val="none"/>
              </w:rPr>
              <w:t>投标函</w:t>
            </w:r>
          </w:p>
        </w:tc>
        <w:tc>
          <w:tcPr>
            <w:tcW w:w="1418" w:type="dxa"/>
          </w:tcPr>
          <w:p>
            <w:pPr>
              <w:rPr>
                <w:rFonts w:ascii="宋体" w:hAnsi="宋体" w:cs="宋体"/>
                <w:sz w:val="21"/>
                <w:szCs w:val="24"/>
                <w:highlight w:val="none"/>
              </w:rPr>
            </w:pPr>
            <w:r>
              <w:rPr>
                <w:rFonts w:hint="eastAsia" w:ascii="宋体" w:hAnsi="宋体" w:cs="宋体"/>
                <w:sz w:val="24"/>
                <w:szCs w:val="24"/>
                <w:highlight w:val="none"/>
              </w:rPr>
              <w:t>见投标文件第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szCs w:val="24"/>
                <w:highlight w:val="none"/>
              </w:rPr>
            </w:pPr>
            <w:r>
              <w:rPr>
                <w:rFonts w:hint="eastAsia" w:ascii="宋体" w:hAnsi="宋体" w:cs="宋体"/>
                <w:sz w:val="24"/>
                <w:szCs w:val="24"/>
                <w:highlight w:val="none"/>
              </w:rPr>
              <w:t>3</w:t>
            </w:r>
          </w:p>
        </w:tc>
        <w:tc>
          <w:tcPr>
            <w:tcW w:w="4991" w:type="dxa"/>
          </w:tcPr>
          <w:p>
            <w:pPr>
              <w:spacing w:line="360" w:lineRule="auto"/>
              <w:rPr>
                <w:rFonts w:ascii="宋体" w:hAnsi="宋体" w:cs="宋体"/>
                <w:sz w:val="24"/>
                <w:szCs w:val="24"/>
                <w:highlight w:val="none"/>
              </w:rPr>
            </w:pPr>
            <w:r>
              <w:rPr>
                <w:rFonts w:hint="eastAsia" w:ascii="宋体" w:hAnsi="宋体" w:cs="宋体"/>
                <w:sz w:val="24"/>
                <w:szCs w:val="24"/>
                <w:highlight w:val="none"/>
              </w:rPr>
              <w:t>投标文件满足招标文件的其它实质性要求。</w:t>
            </w:r>
          </w:p>
        </w:tc>
        <w:tc>
          <w:tcPr>
            <w:tcW w:w="2551" w:type="dxa"/>
            <w:vAlign w:val="center"/>
          </w:tcPr>
          <w:p>
            <w:pPr>
              <w:rPr>
                <w:rFonts w:ascii="宋体" w:hAnsi="宋体" w:cs="宋体"/>
                <w:sz w:val="24"/>
                <w:szCs w:val="24"/>
                <w:highlight w:val="none"/>
              </w:rPr>
            </w:pPr>
            <w:r>
              <w:rPr>
                <w:rFonts w:hint="eastAsia" w:ascii="宋体" w:hAnsi="宋体" w:cs="宋体"/>
                <w:kern w:val="0"/>
                <w:sz w:val="24"/>
                <w:szCs w:val="24"/>
                <w:highlight w:val="none"/>
              </w:rPr>
              <w:t>招标文件其它实质性要求相应的材料（“▲” 系指实质性要求条款，招标文件无其它实质性要求的，无需提供）</w:t>
            </w:r>
          </w:p>
        </w:tc>
        <w:tc>
          <w:tcPr>
            <w:tcW w:w="1418" w:type="dxa"/>
          </w:tcPr>
          <w:p>
            <w:pPr>
              <w:rPr>
                <w:rFonts w:ascii="宋体" w:hAnsi="宋体" w:cs="宋体"/>
                <w:sz w:val="21"/>
                <w:szCs w:val="24"/>
                <w:highlight w:val="none"/>
              </w:rPr>
            </w:pPr>
            <w:r>
              <w:rPr>
                <w:rFonts w:hint="eastAsia" w:ascii="宋体" w:hAnsi="宋体" w:cs="宋体"/>
                <w:sz w:val="24"/>
                <w:szCs w:val="24"/>
                <w:highlight w:val="none"/>
              </w:rPr>
              <w:t>见投标文件第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页</w:t>
            </w:r>
          </w:p>
        </w:tc>
      </w:tr>
    </w:tbl>
    <w:p>
      <w:pPr>
        <w:spacing w:line="360" w:lineRule="auto"/>
        <w:ind w:right="420"/>
        <w:rPr>
          <w:rFonts w:ascii="宋体" w:hAnsi="宋体" w:cs="宋体"/>
          <w:sz w:val="24"/>
          <w:szCs w:val="24"/>
          <w:highlight w:val="none"/>
        </w:rPr>
      </w:pPr>
      <w:r>
        <w:rPr>
          <w:rFonts w:hint="eastAsia" w:ascii="宋体" w:hAnsi="宋体" w:cs="宋体"/>
          <w:sz w:val="24"/>
          <w:szCs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sz w:val="21"/>
          <w:szCs w:val="24"/>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szCs w:val="24"/>
          <w:highlight w:val="none"/>
        </w:rPr>
      </w:pPr>
      <w:r>
        <w:rPr>
          <w:rFonts w:hint="eastAsia" w:ascii="宋体" w:hAnsi="宋体" w:cs="宋体"/>
          <w:b/>
          <w:sz w:val="24"/>
          <w:szCs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szCs w:val="24"/>
                <w:highlight w:val="none"/>
              </w:rPr>
            </w:pPr>
          </w:p>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p>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备注（如果有）</w:t>
            </w:r>
          </w:p>
          <w:p>
            <w:pPr>
              <w:spacing w:line="360" w:lineRule="auto"/>
              <w:jc w:val="center"/>
              <w:rPr>
                <w:rFonts w:ascii="宋体" w:hAnsi="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r>
    </w:tbl>
    <w:p>
      <w:pPr>
        <w:spacing w:line="360" w:lineRule="auto"/>
        <w:ind w:right="420"/>
        <w:rPr>
          <w:rFonts w:ascii="宋体" w:hAnsi="宋体" w:cs="宋体"/>
          <w:sz w:val="24"/>
          <w:szCs w:val="24"/>
          <w:highlight w:val="none"/>
        </w:rPr>
      </w:pPr>
      <w:r>
        <w:rPr>
          <w:rFonts w:hint="eastAsia" w:ascii="宋体" w:hAnsi="宋体" w:cs="宋体"/>
          <w:sz w:val="24"/>
          <w:szCs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3683" w:type="dxa"/>
          </w:tcPr>
          <w:p>
            <w:pPr>
              <w:jc w:val="center"/>
              <w:rPr>
                <w:rFonts w:ascii="宋体" w:hAnsi="宋体" w:cs="宋体"/>
                <w:b/>
                <w:bCs/>
                <w:sz w:val="24"/>
                <w:szCs w:val="24"/>
                <w:highlight w:val="none"/>
              </w:rPr>
            </w:pPr>
            <w:r>
              <w:rPr>
                <w:rFonts w:hint="eastAsia" w:ascii="宋体" w:hAnsi="宋体" w:cs="宋体"/>
                <w:b/>
                <w:bCs/>
                <w:sz w:val="24"/>
                <w:szCs w:val="24"/>
                <w:highlight w:val="none"/>
              </w:rPr>
              <w:t>招标文件章节及具体内容</w:t>
            </w:r>
          </w:p>
        </w:tc>
        <w:tc>
          <w:tcPr>
            <w:tcW w:w="3546" w:type="dxa"/>
          </w:tcPr>
          <w:p>
            <w:pPr>
              <w:jc w:val="center"/>
              <w:rPr>
                <w:rFonts w:ascii="宋体" w:hAnsi="宋体" w:cs="宋体"/>
                <w:b/>
                <w:bCs/>
                <w:sz w:val="24"/>
                <w:szCs w:val="24"/>
                <w:highlight w:val="none"/>
              </w:rPr>
            </w:pPr>
            <w:r>
              <w:rPr>
                <w:rFonts w:hint="eastAsia" w:ascii="宋体" w:hAnsi="宋体" w:cs="宋体"/>
                <w:b/>
                <w:bCs/>
                <w:sz w:val="24"/>
                <w:szCs w:val="24"/>
                <w:highlight w:val="none"/>
              </w:rPr>
              <w:t>投标文件章节及具体内容</w:t>
            </w:r>
          </w:p>
        </w:tc>
        <w:tc>
          <w:tcPr>
            <w:tcW w:w="1276" w:type="dxa"/>
          </w:tcPr>
          <w:p>
            <w:pPr>
              <w:jc w:val="center"/>
              <w:rPr>
                <w:rFonts w:ascii="宋体" w:hAnsi="宋体" w:cs="宋体"/>
                <w:b/>
                <w:bCs/>
                <w:sz w:val="24"/>
                <w:szCs w:val="24"/>
                <w:highlight w:val="none"/>
              </w:rPr>
            </w:pPr>
            <w:r>
              <w:rPr>
                <w:rFonts w:hint="eastAsia" w:ascii="宋体" w:hAnsi="宋体" w:cs="宋体"/>
                <w:b/>
                <w:bCs/>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szCs w:val="24"/>
                <w:highlight w:val="none"/>
              </w:rPr>
            </w:pPr>
            <w:r>
              <w:rPr>
                <w:rFonts w:hint="eastAsia" w:ascii="宋体" w:hAnsi="宋体" w:cs="宋体"/>
                <w:kern w:val="0"/>
                <w:sz w:val="24"/>
                <w:szCs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szCs w:val="24"/>
          <w:highlight w:val="none"/>
        </w:rPr>
      </w:pPr>
      <w:r>
        <w:rPr>
          <w:rFonts w:hint="eastAsia" w:ascii="宋体" w:hAnsi="宋体" w:cs="宋体"/>
          <w:kern w:val="0"/>
          <w:sz w:val="24"/>
          <w:szCs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szCs w:val="24"/>
          <w:highlight w:val="none"/>
        </w:rPr>
      </w:pPr>
      <w:r>
        <w:rPr>
          <w:rFonts w:hint="eastAsia" w:ascii="宋体" w:hAnsi="宋体" w:cs="宋体"/>
          <w:sz w:val="24"/>
          <w:szCs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szCs w:val="24"/>
          <w:highlight w:val="none"/>
        </w:rPr>
      </w:pPr>
    </w:p>
    <w:p>
      <w:pPr>
        <w:snapToGrid w:val="0"/>
        <w:spacing w:line="360" w:lineRule="auto"/>
        <w:rPr>
          <w:rFonts w:ascii="宋体" w:hAnsi="宋体" w:cs="宋体"/>
          <w:kern w:val="0"/>
          <w:sz w:val="24"/>
          <w:szCs w:val="24"/>
          <w:highlight w:val="none"/>
        </w:rPr>
      </w:pPr>
      <w:r>
        <w:rPr>
          <w:rFonts w:hint="eastAsia" w:ascii="宋体" w:hAnsi="宋体" w:cs="宋体"/>
          <w:sz w:val="24"/>
          <w:szCs w:val="24"/>
          <w:highlight w:val="none"/>
        </w:rPr>
        <w:t>浙江省杭州市中级人民法院、大地工程咨询有限公司</w:t>
      </w:r>
      <w:r>
        <w:rPr>
          <w:rFonts w:hint="eastAsia" w:ascii="宋体" w:hAnsi="宋体" w:cs="宋体"/>
          <w:kern w:val="0"/>
          <w:sz w:val="24"/>
          <w:szCs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我单位响应你</w:t>
      </w:r>
      <w:r>
        <w:rPr>
          <w:rFonts w:hint="eastAsia" w:ascii="宋体" w:hAnsi="宋体" w:cs="宋体"/>
          <w:sz w:val="24"/>
          <w:szCs w:val="24"/>
          <w:highlight w:val="none"/>
        </w:rPr>
        <w:t>单位</w:t>
      </w:r>
      <w:r>
        <w:rPr>
          <w:rFonts w:hint="eastAsia" w:ascii="宋体" w:hAnsi="宋体" w:cs="宋体"/>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好处；</w:t>
      </w:r>
    </w:p>
    <w:p>
      <w:pPr>
        <w:autoSpaceDE w:val="0"/>
        <w:autoSpaceDN w:val="0"/>
        <w:spacing w:line="360" w:lineRule="auto"/>
        <w:ind w:left="481" w:leftChars="229"/>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六、严格遵守《</w:t>
      </w:r>
      <w:r>
        <w:rPr>
          <w:rFonts w:hint="eastAsia" w:ascii="宋体" w:hAnsi="宋体" w:cs="宋体"/>
          <w:sz w:val="24"/>
          <w:szCs w:val="24"/>
          <w:highlight w:val="none"/>
          <w:lang w:val="zh-CN"/>
        </w:rPr>
        <w:t>中华人民共和国</w:t>
      </w:r>
      <w:r>
        <w:rPr>
          <w:rFonts w:hint="eastAsia" w:ascii="宋体" w:hAnsi="宋体" w:cs="宋体"/>
          <w:kern w:val="0"/>
          <w:sz w:val="24"/>
          <w:szCs w:val="24"/>
          <w:highlight w:val="none"/>
          <w:lang w:val="zh-CN"/>
        </w:rPr>
        <w:t>政府采购法》《</w:t>
      </w:r>
      <w:r>
        <w:rPr>
          <w:rFonts w:hint="eastAsia" w:ascii="宋体" w:hAnsi="宋体" w:cs="宋体"/>
          <w:sz w:val="24"/>
          <w:szCs w:val="24"/>
          <w:highlight w:val="none"/>
          <w:lang w:val="zh-CN"/>
        </w:rPr>
        <w:t>中华人民共和国</w:t>
      </w:r>
      <w:r>
        <w:rPr>
          <w:rFonts w:hint="eastAsia" w:ascii="宋体" w:hAnsi="宋体" w:cs="宋体"/>
          <w:kern w:val="0"/>
          <w:sz w:val="24"/>
          <w:szCs w:val="24"/>
          <w:highlight w:val="none"/>
          <w:lang w:val="zh-CN"/>
        </w:rPr>
        <w:t>招标投标</w:t>
      </w:r>
    </w:p>
    <w:p>
      <w:pPr>
        <w:autoSpaceDE w:val="0"/>
        <w:autoSpaceDN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法》</w:t>
      </w:r>
      <w:r>
        <w:rPr>
          <w:rFonts w:hint="eastAsia" w:ascii="宋体" w:hAnsi="宋体" w:cs="宋体"/>
          <w:sz w:val="24"/>
          <w:szCs w:val="24"/>
          <w:highlight w:val="none"/>
          <w:lang w:val="zh-CN"/>
        </w:rPr>
        <w:t>《中华人民共和国民法典》</w:t>
      </w:r>
      <w:r>
        <w:rPr>
          <w:rFonts w:hint="eastAsia" w:ascii="宋体" w:hAnsi="宋体" w:cs="宋体"/>
          <w:kern w:val="0"/>
          <w:sz w:val="24"/>
          <w:szCs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如违反上述承诺，你</w:t>
      </w:r>
      <w:r>
        <w:rPr>
          <w:rFonts w:hint="eastAsia" w:ascii="宋体" w:hAnsi="宋体" w:cs="宋体"/>
          <w:sz w:val="24"/>
          <w:szCs w:val="24"/>
          <w:highlight w:val="none"/>
        </w:rPr>
        <w:t>单位</w:t>
      </w:r>
      <w:r>
        <w:rPr>
          <w:rFonts w:hint="eastAsia" w:ascii="宋体" w:hAnsi="宋体" w:cs="宋体"/>
          <w:kern w:val="0"/>
          <w:sz w:val="24"/>
          <w:szCs w:val="24"/>
          <w:highlight w:val="none"/>
          <w:lang w:val="zh-CN"/>
        </w:rPr>
        <w:t>有权立即取消我单位投标、中标或在建项目的建设资格，有权拒绝我单位在一定时期内进入你</w:t>
      </w:r>
      <w:r>
        <w:rPr>
          <w:rFonts w:hint="eastAsia" w:ascii="宋体" w:hAnsi="宋体" w:cs="宋体"/>
          <w:sz w:val="24"/>
          <w:szCs w:val="24"/>
          <w:highlight w:val="none"/>
        </w:rPr>
        <w:t>单位</w:t>
      </w:r>
      <w:r>
        <w:rPr>
          <w:rFonts w:hint="eastAsia" w:ascii="宋体" w:hAnsi="宋体" w:cs="宋体"/>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szCs w:val="24"/>
          <w:highlight w:val="none"/>
          <w:lang w:val="zh-CN"/>
        </w:rPr>
      </w:pPr>
    </w:p>
    <w:p>
      <w:pPr>
        <w:autoSpaceDE w:val="0"/>
        <w:autoSpaceDN w:val="0"/>
        <w:spacing w:line="360" w:lineRule="auto"/>
        <w:ind w:left="2"/>
        <w:jc w:val="left"/>
        <w:rPr>
          <w:rFonts w:ascii="宋体" w:hAnsi="宋体" w:cs="宋体"/>
          <w:kern w:val="0"/>
          <w:sz w:val="24"/>
          <w:szCs w:val="24"/>
          <w:highlight w:val="none"/>
          <w:lang w:val="zh-CN"/>
        </w:rPr>
      </w:pPr>
    </w:p>
    <w:p>
      <w:pPr>
        <w:autoSpaceDE w:val="0"/>
        <w:autoSpaceDN w:val="0"/>
        <w:spacing w:line="360" w:lineRule="auto"/>
        <w:ind w:left="2"/>
        <w:jc w:val="left"/>
        <w:rPr>
          <w:rFonts w:ascii="宋体" w:hAnsi="宋体" w:cs="宋体"/>
          <w:kern w:val="0"/>
          <w:sz w:val="24"/>
          <w:szCs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投标人名称（</w:t>
      </w:r>
      <w:r>
        <w:rPr>
          <w:rFonts w:hint="eastAsia" w:ascii="宋体" w:hAnsi="宋体" w:cs="宋体"/>
          <w:sz w:val="24"/>
          <w:szCs w:val="24"/>
          <w:highlight w:val="none"/>
        </w:rPr>
        <w:t>电子签名</w:t>
      </w:r>
      <w:r>
        <w:rPr>
          <w:rFonts w:hint="eastAsia" w:ascii="宋体" w:hAnsi="宋体" w:cs="宋体"/>
          <w:kern w:val="0"/>
          <w:sz w:val="24"/>
          <w:szCs w:val="24"/>
          <w:highlight w:val="none"/>
          <w:lang w:val="zh-CN"/>
        </w:rPr>
        <w:t xml:space="preserve">）：                                                                                                                                                                                                               </w:t>
      </w:r>
    </w:p>
    <w:p>
      <w:pPr>
        <w:spacing w:line="360" w:lineRule="auto"/>
        <w:ind w:left="4620" w:leftChars="2200"/>
        <w:rPr>
          <w:rFonts w:ascii="宋体" w:hAnsi="宋体" w:cs="宋体"/>
          <w:sz w:val="24"/>
          <w:szCs w:val="24"/>
          <w:highlight w:val="none"/>
        </w:rPr>
      </w:pPr>
      <w:r>
        <w:rPr>
          <w:rFonts w:hint="eastAsia" w:ascii="宋体" w:hAnsi="宋体" w:cs="宋体"/>
          <w:kern w:val="0"/>
          <w:sz w:val="24"/>
          <w:szCs w:val="24"/>
          <w:highlight w:val="none"/>
          <w:lang w:val="zh-CN"/>
        </w:rPr>
        <w:t>日期</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 xml:space="preserve">   年   月   日</w:t>
      </w:r>
    </w:p>
    <w:p>
      <w:pPr>
        <w:spacing w:line="360" w:lineRule="auto"/>
        <w:jc w:val="center"/>
        <w:rPr>
          <w:rFonts w:ascii="宋体" w:hAnsi="宋体" w:cs="宋体"/>
          <w:b/>
          <w:bCs/>
          <w:sz w:val="24"/>
          <w:szCs w:val="24"/>
          <w:highlight w:val="none"/>
        </w:rPr>
      </w:pPr>
    </w:p>
    <w:p>
      <w:pPr>
        <w:spacing w:line="360" w:lineRule="auto"/>
        <w:ind w:right="420"/>
        <w:rPr>
          <w:rFonts w:ascii="宋体" w:hAnsi="宋体" w:cs="宋体"/>
          <w:sz w:val="24"/>
          <w:szCs w:val="24"/>
          <w:highlight w:val="none"/>
        </w:rPr>
      </w:pPr>
      <w:r>
        <w:rPr>
          <w:rFonts w:hint="eastAsia" w:ascii="宋体" w:hAnsi="宋体" w:cs="宋体"/>
          <w:sz w:val="24"/>
          <w:szCs w:val="24"/>
          <w:highlight w:val="none"/>
        </w:rPr>
        <w:t>注：按本格式和要求提供。</w:t>
      </w:r>
    </w:p>
    <w:p>
      <w:pPr>
        <w:spacing w:line="360" w:lineRule="auto"/>
        <w:jc w:val="center"/>
        <w:rPr>
          <w:rFonts w:ascii="宋体" w:hAnsi="宋体" w:cs="宋体"/>
          <w:b/>
          <w:bCs/>
          <w:sz w:val="24"/>
          <w:szCs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（1）开标一览表（报价表）………………………………………………………（页码）</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szCs w:val="24"/>
          <w:highlight w:val="none"/>
        </w:rPr>
      </w:pPr>
      <w:r>
        <w:rPr>
          <w:rFonts w:hint="eastAsia" w:ascii="宋体" w:hAnsi="宋体" w:cs="宋体"/>
          <w:sz w:val="24"/>
          <w:szCs w:val="24"/>
          <w:highlight w:val="none"/>
        </w:rPr>
        <w:t>浙江省杭州市中级人民法院、大地工程咨询有限公司</w:t>
      </w:r>
      <w:r>
        <w:rPr>
          <w:rFonts w:hint="eastAsia" w:ascii="宋体" w:hAnsi="宋体" w:cs="宋体"/>
          <w:kern w:val="0"/>
          <w:sz w:val="24"/>
          <w:szCs w:val="24"/>
          <w:highlight w:val="none"/>
          <w:lang w:val="zh-CN"/>
        </w:rPr>
        <w:t>：</w:t>
      </w:r>
    </w:p>
    <w:p>
      <w:pPr>
        <w:snapToGrid w:val="0"/>
        <w:spacing w:line="360" w:lineRule="auto"/>
        <w:ind w:firstLine="482"/>
        <w:rPr>
          <w:rFonts w:ascii="宋体" w:hAnsi="宋体" w:cs="宋体"/>
          <w:kern w:val="0"/>
          <w:sz w:val="24"/>
          <w:szCs w:val="24"/>
          <w:highlight w:val="none"/>
          <w:lang w:val="zh-CN"/>
        </w:rPr>
      </w:pPr>
      <w:r>
        <w:rPr>
          <w:rFonts w:hint="eastAsia" w:ascii="宋体" w:hAnsi="宋体" w:cs="宋体"/>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szCs w:val="24"/>
          <w:highlight w:val="none"/>
        </w:rPr>
        <w:t>杭州市中级人民法院证券虚假陈述责任纠纷智能化审判项目</w:t>
      </w:r>
      <w:r>
        <w:rPr>
          <w:rFonts w:hint="eastAsia" w:ascii="宋体" w:hAnsi="宋体" w:cs="宋体"/>
          <w:kern w:val="0"/>
          <w:sz w:val="24"/>
          <w:szCs w:val="24"/>
          <w:highlight w:val="none"/>
          <w:lang w:val="zh-CN"/>
        </w:rPr>
        <w:t>【招标编号：</w:t>
      </w:r>
      <w:r>
        <w:rPr>
          <w:rFonts w:hint="eastAsia" w:ascii="宋体" w:hAnsi="宋体" w:cs="宋体"/>
          <w:sz w:val="24"/>
          <w:szCs w:val="24"/>
          <w:highlight w:val="none"/>
        </w:rPr>
        <w:t>DDZX2023-GK-125】的实施</w:t>
      </w:r>
      <w:r>
        <w:rPr>
          <w:rFonts w:hint="eastAsia" w:ascii="宋体" w:hAnsi="宋体" w:cs="宋体"/>
          <w:kern w:val="0"/>
          <w:sz w:val="24"/>
          <w:szCs w:val="24"/>
          <w:highlight w:val="none"/>
          <w:lang w:val="zh-CN"/>
        </w:rPr>
        <w:t>。</w:t>
      </w:r>
    </w:p>
    <w:p>
      <w:pPr>
        <w:spacing w:line="360" w:lineRule="auto"/>
        <w:jc w:val="center"/>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3827"/>
        <w:gridCol w:w="1276"/>
        <w:gridCol w:w="1275"/>
        <w:gridCol w:w="1701"/>
        <w:gridCol w:w="156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2552" w:type="dxa"/>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名称</w:t>
            </w:r>
          </w:p>
        </w:tc>
        <w:tc>
          <w:tcPr>
            <w:tcW w:w="3827" w:type="dxa"/>
          </w:tcPr>
          <w:p>
            <w:pPr>
              <w:spacing w:line="360" w:lineRule="auto"/>
              <w:jc w:val="center"/>
              <w:rPr>
                <w:rFonts w:ascii="宋体" w:hAnsi="宋体" w:cs="宋体"/>
                <w:b/>
                <w:sz w:val="24"/>
                <w:szCs w:val="24"/>
                <w:highlight w:val="none"/>
              </w:rPr>
            </w:pPr>
          </w:p>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内容描述</w:t>
            </w:r>
          </w:p>
        </w:tc>
        <w:tc>
          <w:tcPr>
            <w:tcW w:w="1276" w:type="dxa"/>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数量</w:t>
            </w:r>
          </w:p>
        </w:tc>
        <w:tc>
          <w:tcPr>
            <w:tcW w:w="1275" w:type="dxa"/>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单位</w:t>
            </w:r>
          </w:p>
        </w:tc>
        <w:tc>
          <w:tcPr>
            <w:tcW w:w="1701" w:type="dxa"/>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单价</w:t>
            </w:r>
          </w:p>
        </w:tc>
        <w:tc>
          <w:tcPr>
            <w:tcW w:w="1560" w:type="dxa"/>
          </w:tcPr>
          <w:p>
            <w:pPr>
              <w:spacing w:line="360" w:lineRule="auto"/>
              <w:jc w:val="center"/>
              <w:rPr>
                <w:rFonts w:ascii="宋体" w:hAnsi="宋体" w:cs="宋体"/>
                <w:b/>
                <w:sz w:val="24"/>
                <w:szCs w:val="24"/>
                <w:highlight w:val="none"/>
              </w:rPr>
            </w:pPr>
          </w:p>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合价</w:t>
            </w:r>
          </w:p>
        </w:tc>
        <w:tc>
          <w:tcPr>
            <w:tcW w:w="2126" w:type="dxa"/>
            <w:vAlign w:val="center"/>
          </w:tcPr>
          <w:p>
            <w:pPr>
              <w:spacing w:line="360" w:lineRule="auto"/>
              <w:jc w:val="center"/>
              <w:rPr>
                <w:rFonts w:ascii="宋体" w:hAnsi="宋体" w:cs="宋体"/>
                <w:b/>
                <w:sz w:val="24"/>
                <w:szCs w:val="24"/>
                <w:highlight w:val="none"/>
              </w:rPr>
            </w:pPr>
          </w:p>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备注（如果有）</w:t>
            </w:r>
          </w:p>
          <w:p>
            <w:pPr>
              <w:spacing w:line="360" w:lineRule="auto"/>
              <w:jc w:val="center"/>
              <w:rPr>
                <w:rFonts w:ascii="宋体" w:hAnsi="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552"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立案/分案智能化</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552" w:type="dxa"/>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调解智能化</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552" w:type="dxa"/>
            <w:vAlign w:val="center"/>
          </w:tcPr>
          <w:p>
            <w:pPr>
              <w:snapToGrid w:val="0"/>
              <w:spacing w:line="360" w:lineRule="auto"/>
              <w:jc w:val="center"/>
              <w:rPr>
                <w:rFonts w:ascii="宋体" w:hAnsi="宋体" w:cs="宋体"/>
                <w:sz w:val="24"/>
                <w:szCs w:val="24"/>
                <w:highlight w:val="none"/>
              </w:rPr>
            </w:pPr>
            <w:r>
              <w:rPr>
                <w:rFonts w:hint="eastAsia" w:ascii="宋体" w:hAnsi="宋体" w:cs="宋体"/>
                <w:kern w:val="0"/>
                <w:sz w:val="24"/>
                <w:szCs w:val="24"/>
                <w:highlight w:val="none"/>
              </w:rPr>
              <w:t>网上立案</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552" w:type="dxa"/>
            <w:vAlign w:val="center"/>
          </w:tcPr>
          <w:p>
            <w:pPr>
              <w:snapToGrid w:val="0"/>
              <w:spacing w:line="360" w:lineRule="auto"/>
              <w:jc w:val="center"/>
              <w:rPr>
                <w:rFonts w:ascii="宋体" w:hAnsi="宋体" w:cs="宋体"/>
                <w:sz w:val="24"/>
                <w:szCs w:val="24"/>
                <w:highlight w:val="none"/>
              </w:rPr>
            </w:pPr>
            <w:r>
              <w:rPr>
                <w:rFonts w:hint="eastAsia" w:ascii="宋体" w:hAnsi="宋体" w:cs="宋体"/>
                <w:kern w:val="0"/>
                <w:sz w:val="24"/>
                <w:szCs w:val="24"/>
                <w:highlight w:val="none"/>
              </w:rPr>
              <w:t>智能庭审</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552"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审判智能化</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552" w:type="dxa"/>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投资者损失智能化核算</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2552" w:type="dxa"/>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智能算法构建</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2552" w:type="dxa"/>
            <w:vAlign w:val="center"/>
          </w:tcPr>
          <w:p>
            <w:pPr>
              <w:rPr>
                <w:rFonts w:ascii="宋体" w:hAnsi="宋体" w:cs="宋体"/>
                <w:kern w:val="0"/>
                <w:sz w:val="24"/>
                <w:szCs w:val="24"/>
                <w:highlight w:val="none"/>
              </w:rPr>
            </w:pPr>
            <w:r>
              <w:rPr>
                <w:rFonts w:hint="eastAsia" w:ascii="宋体" w:hAnsi="宋体" w:cs="宋体"/>
                <w:kern w:val="0"/>
                <w:sz w:val="24"/>
                <w:szCs w:val="24"/>
                <w:highlight w:val="none"/>
              </w:rPr>
              <w:t>代表人诉讼在线平台</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2552" w:type="dxa"/>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代表人诉讼管理</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0</w:t>
            </w:r>
          </w:p>
        </w:tc>
        <w:tc>
          <w:tcPr>
            <w:tcW w:w="2552" w:type="dxa"/>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证券虚假陈述责任纠纷涉及市场交易数据共享</w:t>
            </w: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rPr>
                <w:sz w:val="21"/>
                <w:szCs w:val="24"/>
                <w:highlight w:val="none"/>
              </w:rPr>
            </w:pPr>
            <w:r>
              <w:rPr>
                <w:rFonts w:ascii="宋体" w:hAnsi="宋体" w:cs="宋体"/>
                <w:sz w:val="24"/>
                <w:szCs w:val="24"/>
                <w:highlight w:val="none"/>
              </w:rPr>
              <w:t>……</w:t>
            </w:r>
          </w:p>
        </w:tc>
        <w:tc>
          <w:tcPr>
            <w:tcW w:w="2552" w:type="dxa"/>
            <w:vAlign w:val="center"/>
          </w:tcPr>
          <w:p>
            <w:pPr>
              <w:snapToGrid w:val="0"/>
              <w:spacing w:line="360" w:lineRule="auto"/>
              <w:jc w:val="center"/>
              <w:rPr>
                <w:rFonts w:ascii="宋体" w:hAnsi="宋体" w:cs="宋体"/>
                <w:sz w:val="24"/>
                <w:szCs w:val="24"/>
                <w:highlight w:val="none"/>
              </w:rPr>
            </w:pPr>
          </w:p>
        </w:tc>
        <w:tc>
          <w:tcPr>
            <w:tcW w:w="3827" w:type="dxa"/>
            <w:vAlign w:val="center"/>
          </w:tcPr>
          <w:p>
            <w:pPr>
              <w:snapToGrid w:val="0"/>
              <w:spacing w:line="360" w:lineRule="auto"/>
              <w:jc w:val="center"/>
              <w:rPr>
                <w:rFonts w:ascii="宋体" w:hAnsi="宋体" w:cs="宋体"/>
                <w:sz w:val="24"/>
                <w:szCs w:val="24"/>
                <w:highlight w:val="none"/>
              </w:rPr>
            </w:pPr>
          </w:p>
        </w:tc>
        <w:tc>
          <w:tcPr>
            <w:tcW w:w="1276" w:type="dxa"/>
            <w:vAlign w:val="center"/>
          </w:tcPr>
          <w:p>
            <w:pPr>
              <w:snapToGrid w:val="0"/>
              <w:spacing w:line="360" w:lineRule="auto"/>
              <w:jc w:val="center"/>
              <w:rPr>
                <w:rFonts w:ascii="宋体" w:hAnsi="宋体" w:cs="宋体"/>
                <w:sz w:val="24"/>
                <w:szCs w:val="24"/>
                <w:highlight w:val="none"/>
              </w:rPr>
            </w:pPr>
          </w:p>
        </w:tc>
        <w:tc>
          <w:tcPr>
            <w:tcW w:w="1275" w:type="dxa"/>
            <w:vAlign w:val="center"/>
          </w:tcPr>
          <w:p>
            <w:pPr>
              <w:snapToGrid w:val="0"/>
              <w:spacing w:line="360" w:lineRule="auto"/>
              <w:jc w:val="center"/>
              <w:rPr>
                <w:rFonts w:ascii="宋体" w:hAnsi="宋体" w:cs="宋体"/>
                <w:sz w:val="24"/>
                <w:szCs w:val="24"/>
                <w:highlight w:val="none"/>
              </w:rPr>
            </w:pPr>
          </w:p>
        </w:tc>
        <w:tc>
          <w:tcPr>
            <w:tcW w:w="1701" w:type="dxa"/>
            <w:vAlign w:val="center"/>
          </w:tcPr>
          <w:p>
            <w:pPr>
              <w:spacing w:line="360" w:lineRule="auto"/>
              <w:jc w:val="center"/>
              <w:rPr>
                <w:rFonts w:ascii="宋体" w:hAnsi="宋体" w:cs="宋体"/>
                <w:sz w:val="24"/>
                <w:szCs w:val="24"/>
                <w:highlight w:val="none"/>
              </w:rPr>
            </w:pPr>
          </w:p>
        </w:tc>
        <w:tc>
          <w:tcPr>
            <w:tcW w:w="1560" w:type="dxa"/>
          </w:tcPr>
          <w:p>
            <w:pPr>
              <w:spacing w:line="360" w:lineRule="auto"/>
              <w:jc w:val="center"/>
              <w:rPr>
                <w:rFonts w:ascii="宋体" w:hAnsi="宋体" w:cs="宋体"/>
                <w:sz w:val="24"/>
                <w:szCs w:val="24"/>
                <w:highlight w:val="none"/>
              </w:rPr>
            </w:pPr>
          </w:p>
        </w:tc>
        <w:tc>
          <w:tcPr>
            <w:tcW w:w="2126" w:type="dxa"/>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72" w:type="dxa"/>
            <w:gridSpan w:val="4"/>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投标报价（小写）</w:t>
            </w:r>
          </w:p>
        </w:tc>
        <w:tc>
          <w:tcPr>
            <w:tcW w:w="6662" w:type="dxa"/>
            <w:gridSpan w:val="4"/>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72" w:type="dxa"/>
            <w:gridSpan w:val="4"/>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投标报价（大写）</w:t>
            </w:r>
          </w:p>
        </w:tc>
        <w:tc>
          <w:tcPr>
            <w:tcW w:w="6662" w:type="dxa"/>
            <w:gridSpan w:val="4"/>
          </w:tcPr>
          <w:p>
            <w:pPr>
              <w:spacing w:line="360" w:lineRule="auto"/>
              <w:jc w:val="center"/>
              <w:rPr>
                <w:rFonts w:ascii="宋体" w:hAnsi="宋体" w:cs="宋体"/>
                <w:sz w:val="24"/>
                <w:szCs w:val="24"/>
                <w:highlight w:val="none"/>
              </w:rPr>
            </w:pPr>
          </w:p>
        </w:tc>
      </w:tr>
    </w:tbl>
    <w:p>
      <w:pPr>
        <w:snapToGrid w:val="0"/>
        <w:spacing w:line="360" w:lineRule="auto"/>
        <w:ind w:left="480"/>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注：</w:t>
      </w:r>
    </w:p>
    <w:p>
      <w:pPr>
        <w:spacing w:line="360" w:lineRule="auto"/>
        <w:ind w:left="-2" w:leftChars="-1"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1、投标人需按本表格式填写</w:t>
      </w:r>
      <w:r>
        <w:rPr>
          <w:rFonts w:hint="eastAsia" w:ascii="宋体" w:hAnsi="宋体" w:cs="宋体"/>
          <w:b/>
          <w:kern w:val="0"/>
          <w:sz w:val="24"/>
          <w:szCs w:val="24"/>
          <w:highlight w:val="none"/>
          <w:lang w:val="zh-CN"/>
        </w:rPr>
        <w:t>，</w:t>
      </w:r>
      <w:r>
        <w:rPr>
          <w:rFonts w:hint="eastAsia" w:ascii="宋体" w:hAnsi="宋体" w:cs="宋体"/>
          <w:b/>
          <w:kern w:val="0"/>
          <w:sz w:val="24"/>
          <w:szCs w:val="24"/>
          <w:highlight w:val="none"/>
        </w:rPr>
        <w:t>否则视为</w:t>
      </w:r>
      <w:r>
        <w:rPr>
          <w:rFonts w:hint="eastAsia" w:ascii="宋体" w:hAnsi="宋体" w:cs="宋体"/>
          <w:b/>
          <w:sz w:val="24"/>
          <w:szCs w:val="24"/>
          <w:highlight w:val="none"/>
        </w:rPr>
        <w:t>投标文件含有采购人不能接受的附加条件，投标无效</w:t>
      </w:r>
      <w:r>
        <w:rPr>
          <w:rFonts w:hint="eastAsia" w:ascii="宋体" w:hAnsi="宋体" w:cs="宋体"/>
          <w:b/>
          <w:kern w:val="0"/>
          <w:sz w:val="24"/>
          <w:szCs w:val="24"/>
          <w:highlight w:val="none"/>
          <w:lang w:val="zh-CN"/>
        </w:rPr>
        <w:t>；</w:t>
      </w:r>
      <w:r>
        <w:rPr>
          <w:rFonts w:hint="eastAsia" w:ascii="宋体" w:hAnsi="宋体" w:cs="宋体"/>
          <w:kern w:val="0"/>
          <w:sz w:val="24"/>
          <w:szCs w:val="24"/>
          <w:highlight w:val="none"/>
          <w:lang w:val="zh-CN"/>
        </w:rPr>
        <w:t>。</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zh-CN"/>
        </w:rPr>
        <w:t>2、有关本项目实施所涉及的一切费用均计入报价。</w:t>
      </w:r>
      <w:r>
        <w:rPr>
          <w:rFonts w:hint="eastAsia" w:ascii="宋体" w:hAnsi="宋体" w:cs="宋体"/>
          <w:b/>
          <w:kern w:val="0"/>
          <w:sz w:val="24"/>
          <w:szCs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szCs w:val="24"/>
          <w:highlight w:val="none"/>
          <w:lang w:val="zh-CN"/>
        </w:rPr>
        <w:t>，</w:t>
      </w:r>
      <w:r>
        <w:rPr>
          <w:rFonts w:hint="eastAsia" w:ascii="宋体" w:hAnsi="宋体" w:cs="宋体"/>
          <w:b/>
          <w:kern w:val="0"/>
          <w:sz w:val="24"/>
          <w:szCs w:val="24"/>
          <w:highlight w:val="none"/>
          <w:lang w:val="zh-CN"/>
        </w:rPr>
        <w:t>不得出现“0元”“免费赠送”等形式的无偿报价，</w:t>
      </w:r>
      <w:r>
        <w:rPr>
          <w:rFonts w:hint="eastAsia" w:ascii="宋体" w:hAnsi="宋体" w:cs="宋体"/>
          <w:b/>
          <w:kern w:val="0"/>
          <w:sz w:val="24"/>
          <w:szCs w:val="24"/>
          <w:highlight w:val="none"/>
        </w:rPr>
        <w:t>否则视为</w:t>
      </w:r>
      <w:r>
        <w:rPr>
          <w:rFonts w:hint="eastAsia" w:ascii="宋体" w:hAnsi="宋体" w:cs="宋体"/>
          <w:b/>
          <w:sz w:val="24"/>
          <w:szCs w:val="24"/>
          <w:highlight w:val="none"/>
        </w:rPr>
        <w:t>投标文件含有采购人不能接受的附加条件，投标无效</w:t>
      </w:r>
      <w:r>
        <w:rPr>
          <w:rFonts w:hint="eastAsia" w:ascii="宋体" w:hAnsi="宋体" w:cs="宋体"/>
          <w:b/>
          <w:kern w:val="0"/>
          <w:sz w:val="24"/>
          <w:szCs w:val="24"/>
          <w:highlight w:val="none"/>
          <w:lang w:val="zh-CN"/>
        </w:rPr>
        <w:t>；采购内容未包含在《开标一览表（报价表）》名称栏中，投标人不能作出合理解释的，</w:t>
      </w:r>
      <w:r>
        <w:rPr>
          <w:rFonts w:hint="eastAsia" w:ascii="宋体" w:hAnsi="宋体" w:cs="宋体"/>
          <w:b/>
          <w:kern w:val="0"/>
          <w:sz w:val="24"/>
          <w:szCs w:val="24"/>
          <w:highlight w:val="none"/>
        </w:rPr>
        <w:t>视为</w:t>
      </w:r>
      <w:r>
        <w:rPr>
          <w:rFonts w:hint="eastAsia" w:ascii="宋体" w:hAnsi="宋体" w:cs="宋体"/>
          <w:b/>
          <w:sz w:val="24"/>
          <w:szCs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szCs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szCs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pPr>
        <w:pStyle w:val="691"/>
        <w:keepNext w:val="0"/>
        <w:pageBreakBefore w:val="0"/>
        <w:tabs>
          <w:tab w:val="clear" w:pos="720"/>
        </w:tabs>
        <w:snapToGrid w:val="0"/>
        <w:spacing w:before="120" w:after="120"/>
        <w:outlineLvl w:val="9"/>
        <w:rPr>
          <w:rFonts w:ascii="仿宋" w:hAnsi="仿宋" w:eastAsia="仿宋" w:cs="仿宋"/>
          <w:sz w:val="32"/>
          <w:szCs w:val="32"/>
          <w:highlight w:val="none"/>
        </w:rPr>
      </w:pPr>
      <w:r>
        <w:rPr>
          <w:rFonts w:hint="eastAsia" w:ascii="仿宋" w:hAnsi="仿宋" w:eastAsia="仿宋" w:cs="仿宋"/>
          <w:sz w:val="32"/>
          <w:szCs w:val="32"/>
          <w:highlight w:val="none"/>
        </w:rPr>
        <w:t>（专门面向中小企业项目请在资格文件中提供）</w:t>
      </w:r>
    </w:p>
    <w:p>
      <w:pPr>
        <w:widowControl/>
        <w:spacing w:line="360" w:lineRule="auto"/>
        <w:ind w:firstLine="120" w:firstLineChars="50"/>
        <w:jc w:val="left"/>
        <w:rPr>
          <w:rFonts w:ascii="仿宋" w:hAnsi="仿宋" w:eastAsia="仿宋" w:cs="仿宋"/>
          <w:b/>
          <w:sz w:val="24"/>
          <w:szCs w:val="24"/>
          <w:highlight w:val="none"/>
        </w:rPr>
      </w:pPr>
      <w:r>
        <w:rPr>
          <w:rFonts w:hint="eastAsia" w:ascii="仿宋" w:hAnsi="仿宋" w:eastAsia="仿宋" w:cs="仿宋"/>
          <w:b/>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sz w:val="44"/>
          <w:szCs w:val="44"/>
          <w:highlight w:val="none"/>
        </w:rPr>
      </w:pPr>
      <w:r>
        <w:rPr>
          <w:rFonts w:hint="eastAsia" w:ascii="宋体" w:hAnsi="宋体" w:cs="宋体"/>
          <w:sz w:val="44"/>
          <w:szCs w:val="44"/>
          <w:highlight w:val="none"/>
        </w:rPr>
        <w:t>附件</w:t>
      </w: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27" w:name="OLE_LINK14"/>
      <w:bookmarkStart w:id="528" w:name="OLE_LINK13"/>
      <w:r>
        <w:rPr>
          <w:rFonts w:hint="eastAsia" w:ascii="宋体" w:hAnsi="宋体" w:cs="宋体"/>
          <w:b/>
          <w:spacing w:val="6"/>
          <w:sz w:val="32"/>
          <w:szCs w:val="32"/>
          <w:highlight w:val="none"/>
        </w:rPr>
        <w:t>残疾人福利性单位声明函</w:t>
      </w:r>
    </w:p>
    <w:bookmarkEnd w:id="527"/>
    <w:bookmarkEnd w:id="528"/>
    <w:p>
      <w:pPr>
        <w:spacing w:line="360" w:lineRule="auto"/>
        <w:rPr>
          <w:rFonts w:ascii="宋体" w:hAnsi="宋体" w:cs="宋体"/>
          <w:b/>
          <w:spacing w:val="6"/>
          <w:sz w:val="28"/>
          <w:szCs w:val="28"/>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szCs w:val="24"/>
          <w:highlight w:val="none"/>
          <w:u w:val="single"/>
        </w:rPr>
        <w:t>(采购人)</w:t>
      </w:r>
      <w:r>
        <w:rPr>
          <w:rFonts w:hint="eastAsia" w:ascii="宋体" w:hAnsi="宋体" w:cs="宋体"/>
          <w:sz w:val="24"/>
          <w:szCs w:val="24"/>
          <w:highlight w:val="none"/>
        </w:rPr>
        <w:t>_单位的_</w:t>
      </w:r>
      <w:r>
        <w:rPr>
          <w:rFonts w:hint="eastAsia" w:ascii="宋体" w:hAnsi="宋体" w:cs="宋体"/>
          <w:sz w:val="24"/>
          <w:szCs w:val="24"/>
          <w:highlight w:val="none"/>
          <w:u w:val="single"/>
        </w:rPr>
        <w:t>杭州市中级人民法院证券虚假陈述责任纠纷智能化审判项目</w:t>
      </w:r>
      <w:r>
        <w:rPr>
          <w:rFonts w:hint="eastAsia" w:ascii="宋体" w:hAnsi="宋体" w:cs="宋体"/>
          <w:sz w:val="24"/>
          <w:szCs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tabs>
          <w:tab w:val="left" w:pos="4860"/>
        </w:tabs>
        <w:spacing w:line="360" w:lineRule="auto"/>
        <w:ind w:right="1560" w:firstLine="480" w:firstLineChars="200"/>
        <w:jc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kern w:val="0"/>
          <w:sz w:val="24"/>
          <w:szCs w:val="24"/>
          <w:highlight w:val="none"/>
          <w:lang w:val="zh-CN"/>
        </w:rPr>
        <w:t>投标人名称（电子签名）</w:t>
      </w:r>
      <w:r>
        <w:rPr>
          <w:rFonts w:hint="eastAsia" w:ascii="宋体" w:hAnsi="宋体" w:cs="宋体"/>
          <w:sz w:val="24"/>
          <w:szCs w:val="24"/>
          <w:highlight w:val="none"/>
        </w:rPr>
        <w:t>：</w:t>
      </w:r>
    </w:p>
    <w:p>
      <w:pPr>
        <w:tabs>
          <w:tab w:val="left" w:pos="4860"/>
        </w:tabs>
        <w:spacing w:line="360" w:lineRule="auto"/>
        <w:ind w:right="1560" w:firstLine="480" w:firstLineChars="200"/>
        <w:jc w:val="center"/>
        <w:rPr>
          <w:rFonts w:ascii="宋体" w:hAnsi="宋体" w:cs="宋体"/>
          <w:sz w:val="24"/>
          <w:szCs w:val="24"/>
          <w:highlight w:val="none"/>
        </w:rPr>
      </w:pPr>
      <w:r>
        <w:rPr>
          <w:rFonts w:hint="eastAsia" w:ascii="宋体" w:hAnsi="宋体" w:cs="宋体"/>
          <w:sz w:val="24"/>
          <w:szCs w:val="24"/>
          <w:highlight w:val="none"/>
        </w:rPr>
        <w:t xml:space="preserve">       日  期：</w:t>
      </w:r>
    </w:p>
    <w:p>
      <w:pPr>
        <w:spacing w:line="360" w:lineRule="auto"/>
        <w:ind w:firstLine="480" w:firstLineChars="200"/>
        <w:rPr>
          <w:rFonts w:ascii="宋体" w:hAnsi="宋体" w:cs="宋体"/>
          <w:sz w:val="24"/>
          <w:szCs w:val="24"/>
          <w:highlight w:val="none"/>
        </w:rPr>
      </w:pPr>
    </w:p>
    <w:p>
      <w:pPr>
        <w:spacing w:line="360" w:lineRule="auto"/>
        <w:ind w:firstLine="420" w:firstLineChars="200"/>
        <w:rPr>
          <w:rFonts w:ascii="宋体" w:hAnsi="宋体" w:cs="宋体"/>
          <w:sz w:val="21"/>
          <w:szCs w:val="24"/>
          <w:highlight w:val="none"/>
        </w:rPr>
      </w:pPr>
    </w:p>
    <w:p>
      <w:pPr>
        <w:spacing w:line="360" w:lineRule="auto"/>
        <w:ind w:firstLine="420" w:firstLineChars="200"/>
        <w:rPr>
          <w:rFonts w:ascii="宋体" w:hAnsi="宋体" w:cs="宋体"/>
          <w:sz w:val="21"/>
          <w:szCs w:val="24"/>
          <w:highlight w:val="none"/>
        </w:rPr>
      </w:pPr>
    </w:p>
    <w:p>
      <w:pPr>
        <w:spacing w:line="360" w:lineRule="auto"/>
        <w:ind w:firstLine="420" w:firstLineChars="200"/>
        <w:rPr>
          <w:rFonts w:ascii="宋体" w:hAnsi="宋体" w:cs="宋体"/>
          <w:sz w:val="21"/>
          <w:szCs w:val="24"/>
          <w:highlight w:val="none"/>
        </w:rPr>
      </w:pPr>
    </w:p>
    <w:p>
      <w:pPr>
        <w:spacing w:line="360" w:lineRule="auto"/>
        <w:ind w:firstLine="420" w:firstLineChars="200"/>
        <w:rPr>
          <w:rFonts w:ascii="宋体" w:hAnsi="宋体" w:cs="宋体"/>
          <w:sz w:val="21"/>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szCs w:val="24"/>
          <w:highlight w:val="none"/>
        </w:rPr>
      </w:pPr>
      <w:r>
        <w:rPr>
          <w:rFonts w:hint="eastAsia" w:ascii="宋体" w:hAnsi="宋体" w:cs="宋体"/>
          <w:bCs/>
          <w:sz w:val="24"/>
          <w:szCs w:val="24"/>
          <w:highlight w:val="none"/>
        </w:rPr>
        <w:t>一、质疑供应商基本信息</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质疑供应商：</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地址： </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pPr>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二、质疑项目基本情况</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质疑项目的名称：</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采购文件获取日期：</w:t>
      </w:r>
      <w:r>
        <w:rPr>
          <w:rFonts w:hint="eastAsia" w:ascii="宋体" w:hAnsi="宋体" w:cs="宋体"/>
          <w:sz w:val="24"/>
          <w:szCs w:val="24"/>
          <w:highlight w:val="none"/>
          <w:u w:val="dotted"/>
        </w:rPr>
        <w:t xml:space="preserve">                                           </w:t>
      </w:r>
    </w:p>
    <w:p>
      <w:pPr>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三、质疑事项具体内容</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质疑事项1：</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质疑事项2</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w:t>
      </w:r>
    </w:p>
    <w:p>
      <w:pPr>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四、与质疑事项相关的质疑请求</w:t>
      </w:r>
    </w:p>
    <w:p>
      <w:pPr>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签字(签章)：                   公章：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日期：    </w:t>
      </w:r>
    </w:p>
    <w:p>
      <w:pPr>
        <w:spacing w:line="360" w:lineRule="auto"/>
        <w:jc w:val="center"/>
        <w:rPr>
          <w:rFonts w:ascii="宋体" w:hAnsi="宋体" w:cs="宋体"/>
          <w:b/>
          <w:bCs/>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r>
        <w:rPr>
          <w:rFonts w:hint="eastAsia" w:ascii="宋体" w:hAnsi="宋体" w:cs="宋体"/>
          <w:b/>
          <w:sz w:val="24"/>
          <w:szCs w:val="24"/>
          <w:highlight w:val="none"/>
        </w:rPr>
        <w:t>质疑函制作说明：</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1.供应商提出质疑时，应提交质疑函和必要的证明材料。</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5.质疑函的质疑请求应与质疑事项相关。</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560" w:firstLineChars="200"/>
        <w:jc w:val="left"/>
        <w:rPr>
          <w:rFonts w:ascii="宋体" w:hAnsi="宋体" w:cs="宋体"/>
          <w:sz w:val="28"/>
          <w:szCs w:val="28"/>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szCs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szCs w:val="24"/>
          <w:highlight w:val="none"/>
        </w:rPr>
      </w:pPr>
      <w:r>
        <w:rPr>
          <w:rFonts w:hint="eastAsia" w:ascii="宋体" w:hAnsi="宋体" w:cs="宋体"/>
          <w:sz w:val="24"/>
          <w:szCs w:val="24"/>
          <w:highlight w:val="none"/>
        </w:rPr>
        <w:t>一、投诉相关主体基本情况</w:t>
      </w:r>
    </w:p>
    <w:p>
      <w:pPr>
        <w:spacing w:line="360" w:lineRule="auto"/>
        <w:rPr>
          <w:rFonts w:ascii="宋体" w:hAnsi="宋体" w:cs="宋体"/>
          <w:sz w:val="24"/>
          <w:szCs w:val="24"/>
          <w:highlight w:val="none"/>
          <w:u w:val="dotted"/>
        </w:rPr>
      </w:pPr>
      <w:r>
        <w:rPr>
          <w:rFonts w:hint="eastAsia" w:ascii="宋体" w:hAnsi="宋体" w:cs="宋体"/>
          <w:sz w:val="24"/>
          <w:szCs w:val="24"/>
          <w:highlight w:val="none"/>
        </w:rPr>
        <w:t>投诉人：</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pPr>
        <w:tabs>
          <w:tab w:val="left" w:pos="6510"/>
        </w:tabs>
        <w:spacing w:line="360" w:lineRule="auto"/>
        <w:jc w:val="left"/>
        <w:rPr>
          <w:rFonts w:ascii="宋体" w:hAnsi="宋体" w:cs="宋体"/>
          <w:sz w:val="24"/>
          <w:szCs w:val="24"/>
          <w:highlight w:val="none"/>
        </w:rPr>
      </w:pPr>
      <w:r>
        <w:rPr>
          <w:rFonts w:hint="eastAsia" w:ascii="宋体" w:hAnsi="宋体" w:cs="宋体"/>
          <w:sz w:val="24"/>
          <w:szCs w:val="24"/>
          <w:highlight w:val="none"/>
        </w:rPr>
        <w:t>法定代表人/主要负责人：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pPr>
        <w:tabs>
          <w:tab w:val="left" w:pos="6510"/>
        </w:tabs>
        <w:spacing w:line="360" w:lineRule="auto"/>
        <w:rPr>
          <w:rFonts w:ascii="宋体" w:hAnsi="宋体" w:cs="宋体"/>
          <w:sz w:val="24"/>
          <w:szCs w:val="24"/>
          <w:highlight w:val="none"/>
          <w:u w:val="dotted"/>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dotted"/>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被投诉人1：</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被投诉人2</w:t>
      </w:r>
    </w:p>
    <w:p>
      <w:pPr>
        <w:spacing w:line="360" w:lineRule="auto"/>
        <w:rPr>
          <w:rFonts w:ascii="宋体" w:hAnsi="宋体" w:cs="宋体"/>
          <w:sz w:val="24"/>
          <w:szCs w:val="24"/>
          <w:highlight w:val="none"/>
          <w:u w:val="dotted"/>
        </w:rPr>
      </w:pPr>
      <w:r>
        <w:rPr>
          <w:rFonts w:hint="eastAsia" w:ascii="宋体" w:hAnsi="宋体" w:cs="宋体"/>
          <w:sz w:val="24"/>
          <w:szCs w:val="24"/>
          <w:highlight w:val="none"/>
        </w:rPr>
        <w:t>……</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相关供应商：</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二、投诉项目基本情况</w:t>
      </w:r>
    </w:p>
    <w:p>
      <w:pPr>
        <w:spacing w:line="360" w:lineRule="auto"/>
        <w:rPr>
          <w:rFonts w:ascii="宋体" w:hAnsi="宋体" w:cs="宋体"/>
          <w:sz w:val="24"/>
          <w:szCs w:val="24"/>
          <w:highlight w:val="none"/>
          <w:u w:val="dotted"/>
        </w:rPr>
      </w:pPr>
      <w:r>
        <w:rPr>
          <w:rFonts w:hint="eastAsia" w:ascii="宋体" w:hAnsi="宋体" w:cs="宋体"/>
          <w:sz w:val="24"/>
          <w:szCs w:val="24"/>
          <w:highlight w:val="none"/>
        </w:rPr>
        <w:t>采购项目名称：</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采购项目编号：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代理机构名称：</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dotted"/>
        </w:rPr>
      </w:pPr>
      <w:r>
        <w:rPr>
          <w:rFonts w:hint="eastAsia" w:ascii="宋体" w:hAnsi="宋体" w:cs="宋体"/>
          <w:sz w:val="24"/>
          <w:szCs w:val="24"/>
          <w:highlight w:val="none"/>
        </w:rPr>
        <w:t>采购文件公告: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采购结果公告: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三、质疑基本情况</w:t>
      </w:r>
    </w:p>
    <w:p>
      <w:pPr>
        <w:spacing w:line="360" w:lineRule="auto"/>
        <w:ind w:firstLine="480" w:firstLineChars="200"/>
        <w:rPr>
          <w:rFonts w:ascii="宋体" w:hAnsi="宋体" w:cs="宋体"/>
          <w:sz w:val="24"/>
          <w:szCs w:val="24"/>
          <w:highlight w:val="none"/>
          <w:u w:val="dotted"/>
        </w:rPr>
      </w:pPr>
      <w:r>
        <w:rPr>
          <w:rFonts w:hint="eastAsia" w:ascii="宋体" w:hAnsi="宋体" w:cs="宋体"/>
          <w:sz w:val="24"/>
          <w:szCs w:val="24"/>
          <w:highlight w:val="none"/>
        </w:rPr>
        <w:t>投诉人于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日,向</w:t>
      </w:r>
      <w:r>
        <w:rPr>
          <w:rFonts w:hint="eastAsia" w:ascii="宋体" w:hAnsi="宋体" w:cs="宋体"/>
          <w:sz w:val="24"/>
          <w:szCs w:val="24"/>
          <w:highlight w:val="none"/>
          <w:u w:val="dotted"/>
        </w:rPr>
        <w:t xml:space="preserve">                   </w:t>
      </w:r>
      <w:r>
        <w:rPr>
          <w:rFonts w:hint="eastAsia" w:ascii="宋体" w:hAnsi="宋体" w:cs="宋体"/>
          <w:sz w:val="24"/>
          <w:szCs w:val="24"/>
          <w:highlight w:val="none"/>
        </w:rPr>
        <w:t>提出质疑，质疑事项为：</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u w:val="dotted"/>
        </w:rPr>
        <w:t>采购人/代理机构</w:t>
      </w:r>
      <w:r>
        <w:rPr>
          <w:rFonts w:hint="eastAsia" w:ascii="宋体" w:hAnsi="宋体" w:cs="宋体"/>
          <w:sz w:val="24"/>
          <w:szCs w:val="24"/>
          <w:highlight w:val="none"/>
        </w:rPr>
        <w:t>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日,就质疑事项作出了答复/没有在法定期限内作出答复。</w:t>
      </w:r>
    </w:p>
    <w:p>
      <w:pPr>
        <w:spacing w:line="360" w:lineRule="auto"/>
        <w:rPr>
          <w:rFonts w:ascii="宋体" w:hAnsi="宋体" w:cs="宋体"/>
          <w:sz w:val="24"/>
          <w:szCs w:val="24"/>
          <w:highlight w:val="none"/>
        </w:rPr>
      </w:pPr>
      <w:r>
        <w:rPr>
          <w:rFonts w:hint="eastAsia" w:ascii="宋体" w:hAnsi="宋体" w:cs="宋体"/>
          <w:sz w:val="24"/>
          <w:szCs w:val="24"/>
          <w:highlight w:val="none"/>
        </w:rPr>
        <w:t>四、投诉事项具体内容</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投诉事项 1：</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投诉事项2</w:t>
      </w:r>
    </w:p>
    <w:p>
      <w:pPr>
        <w:spacing w:line="360" w:lineRule="auto"/>
        <w:rPr>
          <w:rFonts w:ascii="宋体" w:hAnsi="宋体" w:cs="宋体"/>
          <w:sz w:val="24"/>
          <w:szCs w:val="24"/>
          <w:highlight w:val="none"/>
          <w:u w:val="dotted"/>
        </w:rPr>
      </w:pPr>
      <w:r>
        <w:rPr>
          <w:rFonts w:hint="eastAsia" w:ascii="宋体" w:hAnsi="宋体" w:cs="宋体"/>
          <w:sz w:val="24"/>
          <w:szCs w:val="24"/>
          <w:highlight w:val="none"/>
        </w:rPr>
        <w:t>……</w:t>
      </w:r>
    </w:p>
    <w:p>
      <w:pPr>
        <w:spacing w:line="360" w:lineRule="auto"/>
        <w:rPr>
          <w:rFonts w:ascii="宋体" w:hAnsi="宋体" w:cs="宋体"/>
          <w:sz w:val="24"/>
          <w:szCs w:val="24"/>
          <w:highlight w:val="none"/>
        </w:rPr>
      </w:pPr>
      <w:r>
        <w:rPr>
          <w:rFonts w:hint="eastAsia" w:ascii="宋体" w:hAnsi="宋体" w:cs="宋体"/>
          <w:sz w:val="24"/>
          <w:szCs w:val="24"/>
          <w:highlight w:val="none"/>
        </w:rPr>
        <w:t>五、与投诉事项相关的投诉请求</w:t>
      </w:r>
    </w:p>
    <w:p>
      <w:pPr>
        <w:spacing w:line="360" w:lineRule="auto"/>
        <w:rPr>
          <w:rFonts w:ascii="宋体" w:hAnsi="宋体" w:cs="宋体"/>
          <w:sz w:val="24"/>
          <w:szCs w:val="24"/>
          <w:highlight w:val="none"/>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签字(签章)：                   公章：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日期：    </w:t>
      </w: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p>
    <w:p>
      <w:pPr>
        <w:spacing w:line="360" w:lineRule="auto"/>
        <w:rPr>
          <w:rFonts w:ascii="宋体" w:hAnsi="宋体" w:cs="宋体"/>
          <w:b/>
          <w:sz w:val="24"/>
          <w:szCs w:val="24"/>
          <w:highlight w:val="none"/>
        </w:rPr>
      </w:pPr>
      <w:r>
        <w:rPr>
          <w:rFonts w:hint="eastAsia" w:ascii="宋体" w:hAnsi="宋体" w:cs="宋体"/>
          <w:b/>
          <w:sz w:val="24"/>
          <w:szCs w:val="24"/>
          <w:highlight w:val="none"/>
        </w:rPr>
        <w:t>投诉书制作说明：</w:t>
      </w:r>
    </w:p>
    <w:p>
      <w:pPr>
        <w:widowControl/>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2.投诉人若委托代理人进行投诉的，投诉书应按照要求列明“授权代表”的有关内容，并在附件中提交由</w:t>
      </w:r>
      <w:r>
        <w:rPr>
          <w:rFonts w:hint="eastAsia" w:ascii="宋体" w:hAnsi="宋体" w:cs="宋体"/>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6.投诉书的投诉请求应与投诉事项相关。</w:t>
      </w:r>
    </w:p>
    <w:p>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szCs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szCs w:val="24"/>
          <w:highlight w:val="none"/>
          <w:u w:val="single"/>
        </w:rPr>
      </w:pPr>
    </w:p>
    <w:p>
      <w:pPr>
        <w:spacing w:line="360" w:lineRule="auto"/>
        <w:rPr>
          <w:rFonts w:ascii="宋体" w:hAnsi="宋体" w:cs="宋体"/>
          <w:sz w:val="24"/>
          <w:szCs w:val="24"/>
          <w:highlight w:val="none"/>
        </w:rPr>
      </w:pPr>
      <w:r>
        <w:rPr>
          <w:rFonts w:hint="eastAsia" w:ascii="宋体" w:hAnsi="宋体" w:cs="宋体"/>
          <w:sz w:val="24"/>
          <w:szCs w:val="24"/>
          <w:highlight w:val="none"/>
          <w:u w:val="single"/>
        </w:rPr>
        <w:t>浙江省杭州市中级人民法院、大地工程咨询有限公司：</w:t>
      </w:r>
    </w:p>
    <w:p>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val="zh-CN"/>
        </w:rPr>
        <w:t>我方</w:t>
      </w:r>
      <w:r>
        <w:rPr>
          <w:rFonts w:hint="eastAsia" w:ascii="宋体" w:hAnsi="宋体" w:cs="宋体"/>
          <w:kern w:val="0"/>
          <w:sz w:val="24"/>
          <w:szCs w:val="24"/>
          <w:highlight w:val="none"/>
          <w:u w:val="single"/>
          <w:lang w:val="zh-CN"/>
        </w:rPr>
        <w:t xml:space="preserve">                         </w:t>
      </w:r>
      <w:r>
        <w:rPr>
          <w:rFonts w:hint="eastAsia" w:ascii="宋体" w:hAnsi="宋体" w:cs="宋体"/>
          <w:sz w:val="24"/>
          <w:szCs w:val="24"/>
          <w:highlight w:val="none"/>
        </w:rPr>
        <w:t>(投标人全称)是中华人民共和国依法登记注册的合法企业，</w:t>
      </w:r>
      <w:r>
        <w:rPr>
          <w:rFonts w:hint="eastAsia" w:ascii="宋体" w:hAnsi="宋体" w:cs="宋体"/>
          <w:bCs/>
          <w:sz w:val="24"/>
          <w:szCs w:val="24"/>
          <w:highlight w:val="none"/>
        </w:rPr>
        <w:t>在参加</w:t>
      </w:r>
      <w:r>
        <w:rPr>
          <w:rFonts w:hint="eastAsia" w:ascii="宋体" w:hAnsi="宋体" w:cs="宋体"/>
          <w:sz w:val="24"/>
          <w:szCs w:val="24"/>
          <w:highlight w:val="none"/>
        </w:rPr>
        <w:t>你方组织的杭州市中级人民法院证券虚假陈述责任纠纷智能化审判项目【招标编号：DDZX2023-GK-125】</w:t>
      </w:r>
      <w:r>
        <w:rPr>
          <w:rFonts w:hint="eastAsia" w:ascii="宋体" w:hAnsi="宋体" w:cs="宋体"/>
          <w:bCs/>
          <w:sz w:val="24"/>
          <w:szCs w:val="24"/>
          <w:highlight w:val="none"/>
        </w:rPr>
        <w:t>投标活动中作如下说明：</w:t>
      </w:r>
      <w:r>
        <w:rPr>
          <w:rFonts w:hint="eastAsia" w:ascii="宋体" w:hAnsi="宋体" w:cs="宋体"/>
          <w:sz w:val="24"/>
          <w:szCs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特此说明。</w:t>
      </w:r>
    </w:p>
    <w:p>
      <w:pPr>
        <w:spacing w:line="360" w:lineRule="auto"/>
        <w:ind w:firstLine="494"/>
        <w:rPr>
          <w:rFonts w:ascii="宋体" w:hAnsi="宋体" w:cs="宋体"/>
          <w:sz w:val="24"/>
          <w:szCs w:val="24"/>
          <w:highlight w:val="none"/>
        </w:rPr>
      </w:pPr>
    </w:p>
    <w:p>
      <w:pPr>
        <w:spacing w:line="360" w:lineRule="auto"/>
        <w:ind w:firstLine="494"/>
        <w:rPr>
          <w:rFonts w:ascii="宋体" w:hAnsi="宋体" w:cs="宋体"/>
          <w:sz w:val="24"/>
          <w:szCs w:val="24"/>
          <w:highlight w:val="none"/>
        </w:rPr>
      </w:pPr>
    </w:p>
    <w:p>
      <w:pPr>
        <w:spacing w:line="360" w:lineRule="auto"/>
        <w:ind w:firstLine="494"/>
        <w:rPr>
          <w:rFonts w:ascii="宋体" w:hAnsi="宋体" w:cs="宋体"/>
          <w:sz w:val="24"/>
          <w:szCs w:val="24"/>
          <w:highlight w:val="none"/>
        </w:rPr>
      </w:pPr>
    </w:p>
    <w:p>
      <w:pPr>
        <w:spacing w:line="360" w:lineRule="auto"/>
        <w:ind w:firstLine="494"/>
        <w:rPr>
          <w:rFonts w:ascii="宋体" w:hAnsi="宋体" w:cs="宋体"/>
          <w:sz w:val="24"/>
          <w:szCs w:val="24"/>
          <w:highlight w:val="none"/>
        </w:rPr>
      </w:pPr>
    </w:p>
    <w:p>
      <w:pPr>
        <w:spacing w:line="360" w:lineRule="auto"/>
        <w:ind w:right="480" w:firstLine="4080" w:firstLineChars="1700"/>
        <w:rPr>
          <w:rFonts w:ascii="宋体" w:hAnsi="宋体" w:cs="宋体"/>
          <w:sz w:val="24"/>
          <w:szCs w:val="24"/>
          <w:highlight w:val="none"/>
        </w:rPr>
      </w:pPr>
      <w:r>
        <w:rPr>
          <w:rFonts w:hint="eastAsia" w:ascii="宋体" w:hAnsi="宋体" w:cs="宋体"/>
          <w:sz w:val="24"/>
          <w:szCs w:val="24"/>
          <w:highlight w:val="none"/>
        </w:rPr>
        <w:t>投标单位（法定名称章）：</w:t>
      </w:r>
    </w:p>
    <w:p>
      <w:pPr>
        <w:ind w:right="1440" w:firstLine="494"/>
        <w:jc w:val="center"/>
        <w:rPr>
          <w:rFonts w:ascii="宋体" w:hAnsi="宋体" w:cs="宋体"/>
          <w:sz w:val="24"/>
          <w:szCs w:val="24"/>
          <w:highlight w:val="none"/>
        </w:rPr>
      </w:pPr>
      <w:r>
        <w:rPr>
          <w:rFonts w:hint="eastAsia" w:ascii="宋体" w:hAnsi="宋体" w:cs="宋体"/>
          <w:sz w:val="24"/>
          <w:szCs w:val="24"/>
          <w:highlight w:val="none"/>
        </w:rPr>
        <w:t xml:space="preserve">                              日期：       年     月     日</w:t>
      </w:r>
    </w:p>
    <w:p>
      <w:pPr>
        <w:rPr>
          <w:rFonts w:ascii="宋体" w:hAnsi="宋体" w:cs="宋体"/>
          <w:sz w:val="24"/>
          <w:szCs w:val="24"/>
          <w:highlight w:val="none"/>
        </w:rPr>
      </w:pPr>
      <w:r>
        <w:rPr>
          <w:rFonts w:hint="eastAsia" w:ascii="宋体" w:hAnsi="宋体" w:cs="宋体"/>
          <w:b/>
          <w:bCs/>
          <w:sz w:val="24"/>
          <w:szCs w:val="24"/>
          <w:highlight w:val="none"/>
        </w:rPr>
        <w:t>附：</w:t>
      </w:r>
    </w:p>
    <w:p>
      <w:pPr>
        <w:spacing w:line="360" w:lineRule="auto"/>
        <w:rPr>
          <w:rFonts w:ascii="宋体" w:hAnsi="宋体" w:cs="宋体"/>
          <w:bCs/>
          <w:sz w:val="24"/>
          <w:szCs w:val="24"/>
          <w:highlight w:val="none"/>
        </w:rPr>
      </w:pPr>
      <w:r>
        <w:rPr>
          <w:rFonts w:ascii="宋体" w:hAnsi="宋体" w:cs="宋体"/>
          <w:b/>
          <w:bCs/>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szCs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u w:val="single"/>
        </w:rPr>
        <w:t>（联合体所有成员名称）</w:t>
      </w:r>
      <w:r>
        <w:rPr>
          <w:rFonts w:hint="eastAsia" w:ascii="宋体" w:hAnsi="宋体" w:cs="宋体"/>
          <w:kern w:val="0"/>
          <w:sz w:val="24"/>
          <w:szCs w:val="24"/>
          <w:highlight w:val="none"/>
        </w:rPr>
        <w:t>自愿</w:t>
      </w:r>
      <w:r>
        <w:rPr>
          <w:rFonts w:hint="eastAsia" w:ascii="宋体" w:hAnsi="宋体" w:cs="宋体"/>
          <w:kern w:val="0"/>
          <w:sz w:val="24"/>
          <w:szCs w:val="24"/>
          <w:highlight w:val="none"/>
          <w:lang w:val="zh-CN"/>
        </w:rPr>
        <w:t>组成一个联合体，以一个投标人的身份</w:t>
      </w:r>
      <w:r>
        <w:rPr>
          <w:rFonts w:hint="eastAsia" w:ascii="宋体" w:hAnsi="宋体" w:cs="宋体"/>
          <w:kern w:val="0"/>
          <w:sz w:val="24"/>
          <w:szCs w:val="24"/>
          <w:highlight w:val="none"/>
        </w:rPr>
        <w:t>参加</w:t>
      </w:r>
      <w:r>
        <w:rPr>
          <w:rFonts w:hint="eastAsia" w:ascii="宋体" w:hAnsi="宋体" w:cs="宋体"/>
          <w:sz w:val="24"/>
          <w:szCs w:val="24"/>
          <w:highlight w:val="none"/>
        </w:rPr>
        <w:t>杭州市中级人民法院证券虚假陈述责任纠纷智能化审判项目【招标编号：DDZX2023-GK-125】</w:t>
      </w:r>
      <w:r>
        <w:rPr>
          <w:rFonts w:hint="eastAsia" w:ascii="宋体" w:hAnsi="宋体" w:cs="宋体"/>
          <w:kern w:val="0"/>
          <w:sz w:val="24"/>
          <w:szCs w:val="24"/>
          <w:highlight w:val="none"/>
          <w:lang w:val="zh-CN"/>
        </w:rPr>
        <w:t xml:space="preserve">投标。 </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一、各方一致决定，</w:t>
      </w:r>
      <w:r>
        <w:rPr>
          <w:rFonts w:hint="eastAsia" w:ascii="宋体" w:hAnsi="宋体" w:cs="宋体"/>
          <w:kern w:val="0"/>
          <w:sz w:val="24"/>
          <w:szCs w:val="24"/>
          <w:highlight w:val="none"/>
          <w:u w:val="single"/>
        </w:rPr>
        <w:t>（某联合体成员名称）</w:t>
      </w:r>
      <w:r>
        <w:rPr>
          <w:rFonts w:hint="eastAsia" w:ascii="宋体" w:hAnsi="宋体" w:cs="宋体"/>
          <w:kern w:val="0"/>
          <w:sz w:val="24"/>
          <w:szCs w:val="24"/>
          <w:highlight w:val="none"/>
        </w:rPr>
        <w:t>为联合体</w:t>
      </w:r>
      <w:r>
        <w:rPr>
          <w:rFonts w:hint="eastAsia" w:ascii="宋体" w:hAnsi="宋体" w:cs="宋体"/>
          <w:kern w:val="0"/>
          <w:sz w:val="24"/>
          <w:szCs w:val="24"/>
          <w:highlight w:val="none"/>
          <w:lang w:val="zh-CN"/>
        </w:rPr>
        <w:t>牵头人</w:t>
      </w:r>
      <w:r>
        <w:rPr>
          <w:rFonts w:hint="eastAsia" w:ascii="宋体" w:hAnsi="宋体" w:cs="宋体"/>
          <w:sz w:val="24"/>
          <w:szCs w:val="24"/>
          <w:highlight w:val="none"/>
        </w:rPr>
        <w:t>，代表所有联合体成员负责投标和合同实施阶段的主办、协调工作</w:t>
      </w:r>
      <w:r>
        <w:rPr>
          <w:rFonts w:hint="eastAsia" w:ascii="宋体" w:hAnsi="宋体" w:cs="宋体"/>
          <w:kern w:val="0"/>
          <w:sz w:val="24"/>
          <w:szCs w:val="24"/>
          <w:highlight w:val="none"/>
          <w:lang w:val="zh-CN"/>
        </w:rPr>
        <w:t>。</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二、</w:t>
      </w:r>
      <w:r>
        <w:rPr>
          <w:rFonts w:hint="eastAsia" w:ascii="宋体" w:hAnsi="宋体" w:cs="宋体"/>
          <w:sz w:val="24"/>
          <w:szCs w:val="24"/>
          <w:highlight w:val="none"/>
        </w:rPr>
        <w:t>所有联合体成员各方签署授权书，授权书载明的</w:t>
      </w:r>
      <w:r>
        <w:rPr>
          <w:rFonts w:hint="eastAsia" w:ascii="宋体" w:hAnsi="宋体" w:cs="宋体"/>
          <w:kern w:val="0"/>
          <w:sz w:val="24"/>
          <w:szCs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三、本次联合投标中，分工如下：</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u w:val="single"/>
        </w:rPr>
        <w:t>（联合体成员1）</w:t>
      </w:r>
      <w:r>
        <w:rPr>
          <w:rFonts w:hint="eastAsia" w:ascii="宋体" w:hAnsi="宋体" w:cs="宋体"/>
          <w:kern w:val="0"/>
          <w:sz w:val="24"/>
          <w:szCs w:val="24"/>
          <w:highlight w:val="none"/>
          <w:lang w:val="zh-CN"/>
        </w:rPr>
        <w:t>承担的工作和义务为：</w:t>
      </w:r>
      <w:r>
        <w:rPr>
          <w:rFonts w:hint="eastAsia" w:ascii="宋体" w:hAnsi="宋体" w:cs="宋体"/>
          <w:sz w:val="21"/>
          <w:szCs w:val="24"/>
          <w:highlight w:val="none"/>
          <w:u w:val="single"/>
        </w:rPr>
        <w:t xml:space="preserve">             </w:t>
      </w:r>
      <w:r>
        <w:rPr>
          <w:rFonts w:hint="eastAsia" w:ascii="宋体" w:hAnsi="宋体" w:cs="宋体"/>
          <w:kern w:val="0"/>
          <w:sz w:val="24"/>
          <w:szCs w:val="24"/>
          <w:highlight w:val="none"/>
          <w:lang w:val="zh-CN"/>
        </w:rPr>
        <w:t>；</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u w:val="single"/>
        </w:rPr>
        <w:t>（联合体成员</w:t>
      </w:r>
      <w:r>
        <w:rPr>
          <w:rFonts w:ascii="宋体" w:hAnsi="宋体" w:cs="宋体"/>
          <w:kern w:val="0"/>
          <w:sz w:val="24"/>
          <w:szCs w:val="24"/>
          <w:highlight w:val="none"/>
          <w:u w:val="single"/>
        </w:rPr>
        <w:t>2</w:t>
      </w:r>
      <w:r>
        <w:rPr>
          <w:rFonts w:hint="eastAsia" w:ascii="宋体" w:hAnsi="宋体" w:cs="宋体"/>
          <w:kern w:val="0"/>
          <w:sz w:val="24"/>
          <w:szCs w:val="24"/>
          <w:highlight w:val="none"/>
          <w:u w:val="single"/>
        </w:rPr>
        <w:t>）</w:t>
      </w:r>
      <w:r>
        <w:rPr>
          <w:rFonts w:hint="eastAsia" w:ascii="宋体" w:hAnsi="宋体" w:cs="宋体"/>
          <w:kern w:val="0"/>
          <w:sz w:val="24"/>
          <w:szCs w:val="24"/>
          <w:highlight w:val="none"/>
          <w:lang w:val="zh-CN"/>
        </w:rPr>
        <w:t>承担的工作和义务为：</w:t>
      </w:r>
      <w:r>
        <w:rPr>
          <w:rFonts w:hint="eastAsia" w:ascii="宋体" w:hAnsi="宋体" w:cs="宋体"/>
          <w:sz w:val="21"/>
          <w:szCs w:val="24"/>
          <w:highlight w:val="none"/>
          <w:u w:val="single"/>
        </w:rPr>
        <w:t xml:space="preserve">             </w:t>
      </w:r>
      <w:r>
        <w:rPr>
          <w:rFonts w:hint="eastAsia" w:ascii="宋体" w:hAnsi="宋体" w:cs="宋体"/>
          <w:kern w:val="0"/>
          <w:sz w:val="24"/>
          <w:szCs w:val="24"/>
          <w:highlight w:val="none"/>
          <w:lang w:val="zh-CN"/>
        </w:rPr>
        <w:t>；</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四、联合体成员中小企业合同份额。</w:t>
      </w:r>
    </w:p>
    <w:p>
      <w:pPr>
        <w:snapToGrid w:val="0"/>
        <w:spacing w:line="360" w:lineRule="auto"/>
        <w:ind w:firstLine="576"/>
        <w:rPr>
          <w:rFonts w:ascii="宋体" w:hAnsi="宋体" w:cs="宋体"/>
          <w:b/>
          <w:kern w:val="0"/>
          <w:sz w:val="24"/>
          <w:szCs w:val="24"/>
          <w:highlight w:val="none"/>
          <w:lang w:val="zh-CN"/>
        </w:rPr>
      </w:pPr>
      <w:r>
        <w:rPr>
          <w:rFonts w:hint="eastAsia" w:ascii="宋体" w:hAnsi="宋体" w:cs="宋体"/>
          <w:kern w:val="0"/>
          <w:sz w:val="24"/>
          <w:szCs w:val="24"/>
          <w:highlight w:val="none"/>
          <w:lang w:val="zh-CN"/>
        </w:rPr>
        <w:t>1、</w:t>
      </w:r>
      <w:r>
        <w:rPr>
          <w:rFonts w:hint="eastAsia" w:ascii="宋体" w:hAnsi="宋体" w:cs="宋体"/>
          <w:kern w:val="0"/>
          <w:sz w:val="24"/>
          <w:szCs w:val="24"/>
          <w:highlight w:val="none"/>
          <w:u w:val="single"/>
        </w:rPr>
        <w:t>（</w:t>
      </w:r>
      <w:bookmarkStart w:id="529" w:name="_Hlk101131882"/>
      <w:r>
        <w:rPr>
          <w:rFonts w:hint="eastAsia" w:ascii="宋体" w:hAnsi="宋体" w:cs="宋体"/>
          <w:kern w:val="0"/>
          <w:sz w:val="24"/>
          <w:szCs w:val="24"/>
          <w:highlight w:val="none"/>
          <w:u w:val="single"/>
        </w:rPr>
        <w:t>联合体成员X</w:t>
      </w:r>
      <w:r>
        <w:rPr>
          <w:rFonts w:ascii="宋体" w:hAnsi="宋体" w:cs="宋体"/>
          <w:kern w:val="0"/>
          <w:sz w:val="24"/>
          <w:szCs w:val="24"/>
          <w:highlight w:val="none"/>
          <w:u w:val="single"/>
        </w:rPr>
        <w:t>,</w:t>
      </w:r>
      <w:r>
        <w:rPr>
          <w:rFonts w:hint="eastAsia" w:ascii="宋体" w:hAnsi="宋体" w:cs="宋体"/>
          <w:kern w:val="0"/>
          <w:sz w:val="24"/>
          <w:szCs w:val="24"/>
          <w:highlight w:val="none"/>
          <w:u w:val="single"/>
        </w:rPr>
        <w:t>……</w:t>
      </w:r>
      <w:bookmarkEnd w:id="529"/>
      <w:r>
        <w:rPr>
          <w:rFonts w:hint="eastAsia" w:ascii="宋体" w:hAnsi="宋体" w:cs="宋体"/>
          <w:kern w:val="0"/>
          <w:sz w:val="24"/>
          <w:szCs w:val="24"/>
          <w:highlight w:val="none"/>
          <w:u w:val="single"/>
        </w:rPr>
        <w:t>）</w:t>
      </w:r>
      <w:r>
        <w:rPr>
          <w:rFonts w:hint="eastAsia" w:ascii="宋体" w:hAnsi="宋体" w:cs="宋体"/>
          <w:kern w:val="0"/>
          <w:sz w:val="24"/>
          <w:szCs w:val="24"/>
          <w:highlight w:val="none"/>
        </w:rPr>
        <w:t>提供的服务由小微企业承接，其合同份额占到合同总金额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%以上</w:t>
      </w:r>
      <w:r>
        <w:rPr>
          <w:rFonts w:hint="eastAsia" w:ascii="宋体" w:hAnsi="宋体" w:cs="宋体"/>
          <w:kern w:val="0"/>
          <w:sz w:val="24"/>
          <w:szCs w:val="24"/>
          <w:highlight w:val="none"/>
          <w:lang w:val="zh-CN"/>
        </w:rPr>
        <w:t>。</w:t>
      </w:r>
      <w:r>
        <w:rPr>
          <w:rFonts w:hint="eastAsia" w:ascii="宋体" w:hAnsi="宋体" w:cs="宋体"/>
          <w:b/>
          <w:kern w:val="0"/>
          <w:sz w:val="24"/>
          <w:szCs w:val="24"/>
          <w:highlight w:val="none"/>
          <w:lang w:val="zh-CN"/>
        </w:rPr>
        <w:t>（</w:t>
      </w:r>
      <w:bookmarkStart w:id="530" w:name="_Hlk101133598"/>
      <w:r>
        <w:rPr>
          <w:rFonts w:hint="eastAsia" w:ascii="宋体" w:hAnsi="宋体" w:cs="宋体"/>
          <w:b/>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szCs w:val="24"/>
          <w:highlight w:val="none"/>
        </w:rPr>
        <w:t>拟享受以上价格扣除政策的，填写有关内容。</w:t>
      </w:r>
      <w:bookmarkEnd w:id="530"/>
      <w:r>
        <w:rPr>
          <w:rFonts w:hint="eastAsia" w:ascii="宋体" w:hAnsi="宋体" w:cs="宋体"/>
          <w:b/>
          <w:kern w:val="0"/>
          <w:sz w:val="24"/>
          <w:szCs w:val="24"/>
          <w:highlight w:val="none"/>
          <w:lang w:val="zh-CN"/>
        </w:rPr>
        <w:t>）</w:t>
      </w:r>
    </w:p>
    <w:p>
      <w:pPr>
        <w:spacing w:line="360" w:lineRule="auto"/>
        <w:ind w:firstLine="480" w:firstLineChars="200"/>
        <w:rPr>
          <w:rFonts w:ascii="宋体" w:hAnsi="宋体" w:cs="宋体"/>
          <w:b/>
          <w:bCs/>
          <w:kern w:val="0"/>
          <w:sz w:val="24"/>
          <w:szCs w:val="24"/>
          <w:highlight w:val="none"/>
          <w:lang w:val="zh-CN"/>
        </w:rPr>
      </w:pPr>
      <w:r>
        <w:rPr>
          <w:rFonts w:hint="eastAsia" w:ascii="宋体" w:hAnsi="宋体" w:cs="宋体"/>
          <w:sz w:val="24"/>
          <w:szCs w:val="24"/>
          <w:highlight w:val="none"/>
        </w:rPr>
        <w:t>2、</w:t>
      </w:r>
      <w:bookmarkStart w:id="531" w:name="_Hlk101133173"/>
      <w:r>
        <w:rPr>
          <w:rFonts w:hint="eastAsia" w:ascii="宋体" w:hAnsi="宋体" w:cs="宋体"/>
          <w:sz w:val="24"/>
          <w:szCs w:val="24"/>
          <w:highlight w:val="none"/>
        </w:rPr>
        <w:t>中小企业合同金额达到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%，小微企业合同金额达到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kern w:val="0"/>
          <w:sz w:val="24"/>
          <w:szCs w:val="24"/>
          <w:highlight w:val="none"/>
          <w:lang w:val="zh-CN"/>
        </w:rPr>
        <w:t>。</w:t>
      </w:r>
      <w:r>
        <w:rPr>
          <w:rFonts w:hint="eastAsia" w:ascii="宋体" w:hAnsi="宋体" w:cs="宋体"/>
          <w:b/>
          <w:bCs/>
          <w:kern w:val="0"/>
          <w:sz w:val="24"/>
          <w:szCs w:val="24"/>
          <w:highlight w:val="none"/>
          <w:lang w:val="zh-CN"/>
        </w:rPr>
        <w:t>（</w:t>
      </w:r>
      <w:r>
        <w:rPr>
          <w:rFonts w:hint="eastAsia" w:ascii="宋体" w:hAnsi="宋体" w:cs="宋体"/>
          <w:b/>
          <w:bCs/>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szCs w:val="24"/>
          <w:highlight w:val="none"/>
          <w:lang w:val="zh-CN"/>
        </w:rPr>
        <w:t>）</w:t>
      </w:r>
      <w:bookmarkEnd w:id="531"/>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五、如果中标，</w:t>
      </w:r>
      <w:r>
        <w:rPr>
          <w:rFonts w:hint="eastAsia" w:ascii="宋体" w:hAnsi="宋体" w:cs="宋体"/>
          <w:sz w:val="24"/>
          <w:szCs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六、有关本次联合投标的其他事宜：</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szCs w:val="24"/>
          <w:highlight w:val="none"/>
          <w:lang w:val="zh-CN"/>
        </w:rPr>
      </w:pPr>
      <w:r>
        <w:rPr>
          <w:rFonts w:hint="eastAsia" w:ascii="宋体" w:hAnsi="宋体" w:cs="宋体"/>
          <w:kern w:val="0"/>
          <w:sz w:val="24"/>
          <w:szCs w:val="24"/>
          <w:highlight w:val="none"/>
          <w:lang w:val="zh-CN"/>
        </w:rPr>
        <w:t>联合体成员名称(电子签名/公章)：</w:t>
      </w:r>
    </w:p>
    <w:p>
      <w:pPr>
        <w:snapToGrid w:val="0"/>
        <w:spacing w:line="360" w:lineRule="auto"/>
        <w:ind w:firstLine="5040" w:firstLineChars="2100"/>
        <w:rPr>
          <w:rFonts w:ascii="宋体" w:hAnsi="宋体" w:cs="宋体"/>
          <w:kern w:val="0"/>
          <w:sz w:val="24"/>
          <w:szCs w:val="24"/>
          <w:highlight w:val="none"/>
          <w:lang w:val="zh-CN"/>
        </w:rPr>
      </w:pPr>
      <w:r>
        <w:rPr>
          <w:rFonts w:hint="eastAsia" w:ascii="宋体" w:hAnsi="宋体" w:cs="宋体"/>
          <w:kern w:val="0"/>
          <w:sz w:val="24"/>
          <w:szCs w:val="24"/>
          <w:highlight w:val="none"/>
          <w:lang w:val="zh-CN"/>
        </w:rPr>
        <w:t>联合体成员名称(电子签名/公章)：</w:t>
      </w:r>
    </w:p>
    <w:p>
      <w:pPr>
        <w:snapToGrid w:val="0"/>
        <w:spacing w:line="360" w:lineRule="auto"/>
        <w:ind w:right="960"/>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w:t>
      </w:r>
    </w:p>
    <w:p>
      <w:pPr>
        <w:snapToGrid w:val="0"/>
        <w:spacing w:line="360" w:lineRule="auto"/>
        <w:jc w:val="right"/>
        <w:rPr>
          <w:rFonts w:ascii="宋体" w:hAnsi="宋体" w:cs="宋体"/>
          <w:kern w:val="0"/>
          <w:sz w:val="24"/>
          <w:szCs w:val="24"/>
          <w:highlight w:val="none"/>
          <w:lang w:val="zh-CN"/>
        </w:rPr>
      </w:pPr>
      <w:r>
        <w:rPr>
          <w:rFonts w:hint="eastAsia" w:ascii="宋体" w:hAnsi="宋体" w:cs="宋体"/>
          <w:kern w:val="0"/>
          <w:sz w:val="24"/>
          <w:szCs w:val="24"/>
          <w:highlight w:val="none"/>
          <w:lang w:val="zh-CN"/>
        </w:rPr>
        <w:t>日期：  年  月   日</w:t>
      </w:r>
    </w:p>
    <w:p>
      <w:pPr>
        <w:spacing w:line="360" w:lineRule="auto"/>
        <w:ind w:right="420"/>
        <w:rPr>
          <w:rFonts w:ascii="宋体" w:hAnsi="宋体" w:cs="宋体"/>
          <w:sz w:val="24"/>
          <w:szCs w:val="24"/>
          <w:highlight w:val="none"/>
        </w:rPr>
      </w:pPr>
      <w:r>
        <w:rPr>
          <w:rFonts w:hint="eastAsia" w:ascii="宋体" w:hAnsi="宋体" w:cs="宋体"/>
          <w:sz w:val="24"/>
          <w:szCs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b/>
          <w:sz w:val="24"/>
          <w:szCs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szCs w:val="24"/>
          <w:highlight w:val="none"/>
        </w:rPr>
        <w:t>）</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u w:val="single"/>
        </w:rPr>
        <w:t>（投标人名称）</w:t>
      </w:r>
      <w:r>
        <w:rPr>
          <w:rFonts w:hint="eastAsia" w:ascii="宋体" w:hAnsi="宋体" w:cs="宋体"/>
          <w:kern w:val="0"/>
          <w:sz w:val="24"/>
          <w:szCs w:val="24"/>
          <w:highlight w:val="none"/>
          <w:lang w:val="zh-CN"/>
        </w:rPr>
        <w:t>若成为</w:t>
      </w:r>
      <w:r>
        <w:rPr>
          <w:rFonts w:hint="eastAsia" w:ascii="宋体" w:hAnsi="宋体" w:cs="宋体"/>
          <w:sz w:val="24"/>
          <w:szCs w:val="24"/>
          <w:highlight w:val="none"/>
        </w:rPr>
        <w:t>杭州市中级人民法院证券虚假陈述责任纠纷智能化审判项目【招标编号：DDZX2023-GK-125】</w:t>
      </w:r>
      <w:r>
        <w:rPr>
          <w:rFonts w:hint="eastAsia" w:ascii="宋体" w:hAnsi="宋体" w:cs="宋体"/>
          <w:kern w:val="0"/>
          <w:sz w:val="24"/>
          <w:szCs w:val="24"/>
          <w:highlight w:val="none"/>
          <w:lang w:val="zh-CN"/>
        </w:rPr>
        <w:t>的中标供应商，将依法采取分包方式履行合同。</w:t>
      </w:r>
      <w:r>
        <w:rPr>
          <w:rFonts w:hint="eastAsia" w:ascii="宋体" w:hAnsi="宋体" w:cs="宋体"/>
          <w:kern w:val="0"/>
          <w:sz w:val="24"/>
          <w:szCs w:val="24"/>
          <w:highlight w:val="none"/>
          <w:u w:val="single"/>
        </w:rPr>
        <w:t>（投标人名称）</w:t>
      </w:r>
      <w:r>
        <w:rPr>
          <w:rFonts w:hint="eastAsia" w:ascii="宋体" w:hAnsi="宋体" w:cs="宋体"/>
          <w:kern w:val="0"/>
          <w:sz w:val="24"/>
          <w:szCs w:val="24"/>
          <w:highlight w:val="none"/>
        </w:rPr>
        <w:t>与</w:t>
      </w:r>
      <w:r>
        <w:rPr>
          <w:rFonts w:hint="eastAsia" w:ascii="宋体" w:hAnsi="宋体" w:cs="宋体"/>
          <w:kern w:val="0"/>
          <w:sz w:val="24"/>
          <w:szCs w:val="24"/>
          <w:highlight w:val="none"/>
          <w:u w:val="single"/>
        </w:rPr>
        <w:t>（所有分包供应商名称）</w:t>
      </w:r>
      <w:r>
        <w:rPr>
          <w:rFonts w:hint="eastAsia" w:ascii="宋体" w:hAnsi="宋体" w:cs="宋体"/>
          <w:kern w:val="0"/>
          <w:sz w:val="24"/>
          <w:szCs w:val="24"/>
          <w:highlight w:val="none"/>
        </w:rPr>
        <w:t>达成分包意向协议</w:t>
      </w:r>
      <w:r>
        <w:rPr>
          <w:rFonts w:hint="eastAsia" w:ascii="宋体" w:hAnsi="宋体" w:cs="宋体"/>
          <w:kern w:val="0"/>
          <w:sz w:val="24"/>
          <w:szCs w:val="24"/>
          <w:highlight w:val="none"/>
          <w:lang w:val="zh-CN"/>
        </w:rPr>
        <w:t xml:space="preserve">。 </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一、分包标的及数量</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u w:val="single"/>
        </w:rPr>
        <w:t>（投标人名称）</w:t>
      </w:r>
      <w:r>
        <w:rPr>
          <w:rFonts w:hint="eastAsia" w:ascii="宋体" w:hAnsi="宋体" w:cs="宋体"/>
          <w:kern w:val="0"/>
          <w:sz w:val="24"/>
          <w:szCs w:val="24"/>
          <w:highlight w:val="none"/>
          <w:lang w:val="zh-CN"/>
        </w:rPr>
        <w:t>将</w:t>
      </w:r>
      <w:r>
        <w:rPr>
          <w:rFonts w:hint="eastAsia" w:ascii="宋体" w:hAnsi="宋体" w:cs="宋体"/>
          <w:sz w:val="21"/>
          <w:szCs w:val="24"/>
          <w:highlight w:val="none"/>
          <w:u w:val="single"/>
        </w:rPr>
        <w:t xml:space="preserve">  </w:t>
      </w:r>
      <w:r>
        <w:rPr>
          <w:rFonts w:ascii="宋体" w:hAnsi="宋体" w:cs="宋体"/>
          <w:kern w:val="0"/>
          <w:sz w:val="24"/>
          <w:szCs w:val="24"/>
          <w:highlight w:val="none"/>
          <w:u w:val="single"/>
        </w:rPr>
        <w:t xml:space="preserve"> XX工作内容   </w:t>
      </w:r>
      <w:r>
        <w:rPr>
          <w:rFonts w:hint="eastAsia" w:ascii="宋体" w:hAnsi="宋体" w:cs="宋体"/>
          <w:sz w:val="24"/>
          <w:szCs w:val="24"/>
          <w:highlight w:val="none"/>
        </w:rPr>
        <w:t>分包给</w:t>
      </w:r>
      <w:r>
        <w:rPr>
          <w:rFonts w:hint="eastAsia" w:ascii="宋体" w:hAnsi="宋体" w:cs="宋体"/>
          <w:kern w:val="0"/>
          <w:sz w:val="24"/>
          <w:szCs w:val="24"/>
          <w:highlight w:val="none"/>
          <w:u w:val="single"/>
        </w:rPr>
        <w:t>（分包供应商1名称）</w:t>
      </w:r>
      <w:r>
        <w:rPr>
          <w:rFonts w:hint="eastAsia" w:ascii="宋体" w:hAnsi="宋体" w:cs="宋体"/>
          <w:kern w:val="0"/>
          <w:sz w:val="24"/>
          <w:szCs w:val="24"/>
          <w:highlight w:val="none"/>
          <w:lang w:val="zh-CN"/>
        </w:rPr>
        <w:t>，</w:t>
      </w:r>
      <w:r>
        <w:rPr>
          <w:rFonts w:hint="eastAsia" w:ascii="宋体" w:hAnsi="宋体" w:cs="宋体"/>
          <w:kern w:val="0"/>
          <w:sz w:val="24"/>
          <w:szCs w:val="24"/>
          <w:highlight w:val="none"/>
          <w:u w:val="single"/>
        </w:rPr>
        <w:t>（分包供应商2名称），</w:t>
      </w:r>
      <w:r>
        <w:rPr>
          <w:rFonts w:hint="eastAsia" w:ascii="宋体" w:hAnsi="宋体" w:cs="宋体"/>
          <w:kern w:val="0"/>
          <w:sz w:val="24"/>
          <w:szCs w:val="24"/>
          <w:highlight w:val="none"/>
          <w:lang w:val="zh-CN"/>
        </w:rPr>
        <w:t>具备承</w:t>
      </w:r>
      <w:r>
        <w:rPr>
          <w:rFonts w:hint="eastAsia" w:ascii="宋体" w:hAnsi="宋体" w:cs="宋体"/>
          <w:kern w:val="0"/>
          <w:sz w:val="24"/>
          <w:szCs w:val="24"/>
          <w:highlight w:val="none"/>
        </w:rPr>
        <w:t>担</w:t>
      </w:r>
      <w:r>
        <w:rPr>
          <w:rFonts w:hint="eastAsia" w:ascii="宋体" w:hAnsi="宋体" w:cs="宋体"/>
          <w:kern w:val="0"/>
          <w:sz w:val="24"/>
          <w:szCs w:val="24"/>
          <w:highlight w:val="none"/>
          <w:u w:val="single"/>
          <w:lang w:val="zh-CN"/>
        </w:rPr>
        <w:t>XX工作内容</w:t>
      </w:r>
      <w:r>
        <w:rPr>
          <w:rFonts w:hint="eastAsia" w:ascii="宋体" w:hAnsi="宋体" w:cs="宋体"/>
          <w:kern w:val="0"/>
          <w:sz w:val="24"/>
          <w:szCs w:val="24"/>
          <w:highlight w:val="none"/>
          <w:lang w:val="zh-CN"/>
        </w:rPr>
        <w:t>相应资质条件且不得再次分包；</w:t>
      </w:r>
    </w:p>
    <w:p>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sz w:val="21"/>
          <w:szCs w:val="24"/>
          <w:highlight w:val="none"/>
        </w:rPr>
      </w:pPr>
      <w:r>
        <w:rPr>
          <w:rFonts w:hint="eastAsia"/>
          <w:sz w:val="21"/>
          <w:szCs w:val="24"/>
          <w:highlight w:val="none"/>
          <w:lang w:val="zh-CN"/>
        </w:rPr>
        <w:t xml:space="preserve"> </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二、分包供应商中小企业合同份额</w:t>
      </w:r>
    </w:p>
    <w:p>
      <w:pPr>
        <w:snapToGrid w:val="0"/>
        <w:spacing w:line="360" w:lineRule="auto"/>
        <w:ind w:firstLine="576"/>
        <w:rPr>
          <w:rFonts w:ascii="宋体" w:hAnsi="宋体" w:cs="宋体"/>
          <w:b/>
          <w:kern w:val="0"/>
          <w:sz w:val="24"/>
          <w:szCs w:val="24"/>
          <w:highlight w:val="none"/>
          <w:lang w:val="zh-CN"/>
        </w:rPr>
      </w:pPr>
      <w:r>
        <w:rPr>
          <w:rFonts w:ascii="宋体" w:hAnsi="宋体" w:cs="宋体"/>
          <w:kern w:val="0"/>
          <w:sz w:val="24"/>
          <w:szCs w:val="24"/>
          <w:highlight w:val="none"/>
        </w:rPr>
        <w:t>1、</w:t>
      </w:r>
      <w:r>
        <w:rPr>
          <w:rFonts w:hint="eastAsia" w:ascii="宋体" w:hAnsi="宋体" w:cs="宋体"/>
          <w:kern w:val="0"/>
          <w:sz w:val="24"/>
          <w:szCs w:val="24"/>
          <w:highlight w:val="none"/>
          <w:u w:val="single"/>
        </w:rPr>
        <w:t>（分包供应商X</w:t>
      </w:r>
      <w:r>
        <w:rPr>
          <w:rFonts w:ascii="宋体" w:hAnsi="宋体" w:cs="宋体"/>
          <w:kern w:val="0"/>
          <w:sz w:val="24"/>
          <w:szCs w:val="24"/>
          <w:highlight w:val="none"/>
          <w:u w:val="single"/>
        </w:rPr>
        <w:t>,</w:t>
      </w:r>
      <w:r>
        <w:rPr>
          <w:rFonts w:hint="eastAsia" w:ascii="宋体" w:hAnsi="宋体" w:cs="宋体"/>
          <w:kern w:val="0"/>
          <w:sz w:val="24"/>
          <w:szCs w:val="24"/>
          <w:highlight w:val="none"/>
          <w:u w:val="single"/>
        </w:rPr>
        <w:t>……）提供的服务全部由小微企业承接，</w:t>
      </w:r>
      <w:r>
        <w:rPr>
          <w:rFonts w:hint="eastAsia" w:ascii="宋体" w:hAnsi="宋体" w:cs="宋体"/>
          <w:kern w:val="0"/>
          <w:sz w:val="24"/>
          <w:szCs w:val="24"/>
          <w:highlight w:val="none"/>
        </w:rPr>
        <w:t>其合同份额占到合同总金额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%以上</w:t>
      </w:r>
      <w:r>
        <w:rPr>
          <w:rFonts w:hint="eastAsia" w:ascii="宋体" w:hAnsi="宋体" w:cs="宋体"/>
          <w:sz w:val="21"/>
          <w:szCs w:val="24"/>
          <w:highlight w:val="none"/>
        </w:rPr>
        <w:t>。</w:t>
      </w:r>
      <w:r>
        <w:rPr>
          <w:rFonts w:hint="eastAsia" w:ascii="宋体" w:hAnsi="宋体" w:cs="宋体"/>
          <w:b/>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szCs w:val="24"/>
          <w:highlight w:val="none"/>
        </w:rPr>
        <w:t>拟享受以上价格扣除政策的，填写有关内容。</w:t>
      </w:r>
      <w:r>
        <w:rPr>
          <w:rFonts w:hint="eastAsia" w:ascii="宋体" w:hAnsi="宋体" w:cs="宋体"/>
          <w:b/>
          <w:kern w:val="0"/>
          <w:sz w:val="24"/>
          <w:szCs w:val="24"/>
          <w:highlight w:val="none"/>
          <w:lang w:val="zh-CN"/>
        </w:rPr>
        <w:t>）</w:t>
      </w:r>
    </w:p>
    <w:p>
      <w:pPr>
        <w:spacing w:line="360" w:lineRule="auto"/>
        <w:ind w:firstLine="480" w:firstLineChars="200"/>
        <w:rPr>
          <w:rFonts w:ascii="宋体" w:hAnsi="宋体" w:cs="宋体"/>
          <w:b/>
          <w:bCs/>
          <w:kern w:val="0"/>
          <w:sz w:val="24"/>
          <w:szCs w:val="24"/>
          <w:highlight w:val="none"/>
          <w:lang w:val="zh-CN"/>
        </w:rPr>
      </w:pPr>
      <w:r>
        <w:rPr>
          <w:rFonts w:hint="eastAsia" w:ascii="宋体" w:hAnsi="宋体" w:cs="宋体"/>
          <w:sz w:val="24"/>
          <w:szCs w:val="24"/>
          <w:highlight w:val="none"/>
        </w:rPr>
        <w:t>2、中小企业合同金额达到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%，小微企业合同金额达到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kern w:val="0"/>
          <w:sz w:val="24"/>
          <w:szCs w:val="24"/>
          <w:highlight w:val="none"/>
          <w:lang w:val="zh-CN"/>
        </w:rPr>
        <w:t>。</w:t>
      </w:r>
      <w:r>
        <w:rPr>
          <w:rFonts w:hint="eastAsia" w:ascii="宋体" w:hAnsi="宋体" w:cs="宋体"/>
          <w:b/>
          <w:bCs/>
          <w:kern w:val="0"/>
          <w:sz w:val="24"/>
          <w:szCs w:val="24"/>
          <w:highlight w:val="none"/>
          <w:lang w:val="zh-CN"/>
        </w:rPr>
        <w:t>（</w:t>
      </w:r>
      <w:r>
        <w:rPr>
          <w:rFonts w:hint="eastAsia" w:ascii="宋体" w:hAnsi="宋体" w:cs="宋体"/>
          <w:b/>
          <w:bCs/>
          <w:sz w:val="24"/>
          <w:szCs w:val="24"/>
          <w:highlight w:val="none"/>
        </w:rPr>
        <w:t>要求合同分包形式参加的项目或采购包，供应商按招标文件第一部分招标公告申请人的资格要求中规定的</w:t>
      </w:r>
      <w:r>
        <w:rPr>
          <w:rFonts w:hint="eastAsia" w:ascii="宋体" w:hAnsi="宋体" w:cs="宋体"/>
          <w:b/>
          <w:kern w:val="0"/>
          <w:sz w:val="24"/>
          <w:szCs w:val="24"/>
          <w:highlight w:val="none"/>
          <w:lang w:val="zh-CN"/>
        </w:rPr>
        <w:t>分包意向协议</w:t>
      </w:r>
      <w:r>
        <w:rPr>
          <w:rFonts w:hint="eastAsia" w:ascii="宋体" w:hAnsi="宋体" w:cs="宋体"/>
          <w:b/>
          <w:bCs/>
          <w:sz w:val="24"/>
          <w:szCs w:val="24"/>
          <w:highlight w:val="none"/>
        </w:rPr>
        <w:t>中中小企业、小微企业合同金额应当达到的比例要求填写。</w:t>
      </w:r>
      <w:r>
        <w:rPr>
          <w:rFonts w:hint="eastAsia" w:ascii="宋体" w:hAnsi="宋体" w:cs="宋体"/>
          <w:b/>
          <w:bCs/>
          <w:kern w:val="0"/>
          <w:sz w:val="24"/>
          <w:szCs w:val="24"/>
          <w:highlight w:val="none"/>
          <w:lang w:val="zh-CN"/>
        </w:rPr>
        <w:t>）</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三、分包工作履行期限、地点、方式</w:t>
      </w:r>
    </w:p>
    <w:p>
      <w:pPr>
        <w:snapToGrid w:val="0"/>
        <w:spacing w:line="360" w:lineRule="auto"/>
        <w:ind w:firstLine="576"/>
        <w:rPr>
          <w:rFonts w:ascii="宋体" w:hAnsi="宋体" w:cs="宋体"/>
          <w:sz w:val="21"/>
          <w:szCs w:val="24"/>
          <w:highlight w:val="none"/>
          <w:u w:val="single"/>
        </w:rPr>
      </w:pPr>
      <w:r>
        <w:rPr>
          <w:rFonts w:hint="eastAsia" w:ascii="宋体" w:hAnsi="宋体" w:cs="宋体"/>
          <w:sz w:val="21"/>
          <w:szCs w:val="24"/>
          <w:highlight w:val="none"/>
          <w:u w:val="single"/>
        </w:rPr>
        <w:t xml:space="preserve">                                                                                  </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四、质量</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sz w:val="21"/>
          <w:szCs w:val="24"/>
          <w:highlight w:val="none"/>
          <w:u w:val="single"/>
        </w:rPr>
        <w:t xml:space="preserve">                                                                                       </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五、价款或者报酬</w:t>
      </w:r>
    </w:p>
    <w:p>
      <w:pPr>
        <w:snapToGrid w:val="0"/>
        <w:spacing w:line="360" w:lineRule="auto"/>
        <w:ind w:left="573" w:leftChars="273"/>
        <w:rPr>
          <w:rFonts w:ascii="宋体" w:hAnsi="宋体" w:cs="宋体"/>
          <w:kern w:val="0"/>
          <w:sz w:val="24"/>
          <w:szCs w:val="24"/>
          <w:highlight w:val="none"/>
          <w:lang w:val="zh-CN"/>
        </w:rPr>
      </w:pPr>
      <w:r>
        <w:rPr>
          <w:rFonts w:hint="eastAsia" w:ascii="宋体" w:hAnsi="宋体" w:cs="宋体"/>
          <w:sz w:val="21"/>
          <w:szCs w:val="24"/>
          <w:highlight w:val="none"/>
          <w:u w:val="single"/>
        </w:rPr>
        <w:t xml:space="preserve">                                                                                     </w:t>
      </w:r>
    </w:p>
    <w:p>
      <w:pPr>
        <w:snapToGrid w:val="0"/>
        <w:spacing w:line="360" w:lineRule="auto"/>
        <w:ind w:left="573" w:leftChars="273"/>
        <w:rPr>
          <w:rFonts w:ascii="宋体" w:hAnsi="宋体" w:cs="宋体"/>
          <w:kern w:val="0"/>
          <w:sz w:val="24"/>
          <w:szCs w:val="24"/>
          <w:highlight w:val="none"/>
          <w:lang w:val="zh-CN"/>
        </w:rPr>
      </w:pPr>
      <w:r>
        <w:rPr>
          <w:rFonts w:hint="eastAsia" w:ascii="宋体" w:hAnsi="宋体" w:cs="宋体"/>
          <w:kern w:val="0"/>
          <w:sz w:val="24"/>
          <w:szCs w:val="24"/>
          <w:highlight w:val="none"/>
          <w:lang w:val="zh-CN"/>
        </w:rPr>
        <w:t>六、违约责任</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sz w:val="21"/>
          <w:szCs w:val="24"/>
          <w:highlight w:val="none"/>
          <w:u w:val="single"/>
        </w:rPr>
        <w:t xml:space="preserve">                                                                                     </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七、争议解决的办法</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sz w:val="21"/>
          <w:szCs w:val="24"/>
          <w:highlight w:val="none"/>
          <w:u w:val="single"/>
        </w:rPr>
        <w:t xml:space="preserve">                                                                                  </w:t>
      </w:r>
    </w:p>
    <w:p>
      <w:pPr>
        <w:snapToGrid w:val="0"/>
        <w:spacing w:line="360" w:lineRule="auto"/>
        <w:ind w:firstLine="576"/>
        <w:rPr>
          <w:rFonts w:ascii="宋体" w:hAnsi="宋体" w:cs="宋体"/>
          <w:kern w:val="0"/>
          <w:sz w:val="24"/>
          <w:szCs w:val="24"/>
          <w:highlight w:val="none"/>
          <w:lang w:val="zh-CN"/>
        </w:rPr>
      </w:pPr>
      <w:r>
        <w:rPr>
          <w:rFonts w:hint="eastAsia" w:ascii="宋体" w:hAnsi="宋体" w:cs="宋体"/>
          <w:kern w:val="0"/>
          <w:sz w:val="24"/>
          <w:szCs w:val="24"/>
          <w:highlight w:val="none"/>
          <w:lang w:val="zh-CN"/>
        </w:rPr>
        <w:t>八、其他</w:t>
      </w:r>
    </w:p>
    <w:p>
      <w:pPr>
        <w:snapToGrid w:val="0"/>
        <w:spacing w:line="360" w:lineRule="auto"/>
        <w:ind w:left="5758" w:leftChars="342" w:hanging="5040" w:hangingChars="2100"/>
        <w:rPr>
          <w:rFonts w:ascii="宋体" w:hAnsi="宋体" w:cs="宋体"/>
          <w:kern w:val="0"/>
          <w:sz w:val="24"/>
          <w:szCs w:val="24"/>
          <w:highlight w:val="none"/>
          <w:lang w:val="zh-CN"/>
        </w:rPr>
      </w:pPr>
      <w:r>
        <w:rPr>
          <w:rFonts w:hint="eastAsia" w:ascii="宋体" w:hAnsi="宋体" w:cs="宋体"/>
          <w:sz w:val="24"/>
          <w:szCs w:val="24"/>
          <w:highlight w:val="none"/>
        </w:rPr>
        <w:t>中小企业合同金额达到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%，小微企业合同金额达到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kern w:val="0"/>
          <w:sz w:val="24"/>
          <w:szCs w:val="24"/>
          <w:highlight w:val="none"/>
          <w:lang w:val="zh-CN"/>
        </w:rPr>
        <w:t xml:space="preserve">  。                                           投标人名称(电子签名)：</w:t>
      </w:r>
    </w:p>
    <w:p>
      <w:pPr>
        <w:snapToGrid w:val="0"/>
        <w:spacing w:line="360" w:lineRule="auto"/>
        <w:jc w:val="right"/>
        <w:rPr>
          <w:rFonts w:ascii="宋体" w:hAnsi="宋体" w:cs="宋体"/>
          <w:kern w:val="0"/>
          <w:sz w:val="24"/>
          <w:szCs w:val="24"/>
          <w:highlight w:val="none"/>
          <w:lang w:val="zh-CN"/>
        </w:rPr>
      </w:pPr>
      <w:r>
        <w:rPr>
          <w:rFonts w:hint="eastAsia" w:ascii="宋体" w:hAnsi="宋体" w:cs="宋体"/>
          <w:kern w:val="0"/>
          <w:sz w:val="24"/>
          <w:szCs w:val="24"/>
          <w:highlight w:val="none"/>
          <w:lang w:val="zh-CN"/>
        </w:rPr>
        <w:t>分包供应商名称(电子签名/公章)：</w:t>
      </w:r>
    </w:p>
    <w:p>
      <w:pPr>
        <w:snapToGrid w:val="0"/>
        <w:spacing w:line="360" w:lineRule="auto"/>
        <w:ind w:firstLine="5760" w:firstLineChars="2400"/>
        <w:rPr>
          <w:rFonts w:ascii="宋体" w:hAnsi="宋体" w:cs="宋体"/>
          <w:sz w:val="21"/>
          <w:szCs w:val="24"/>
          <w:highlight w:val="none"/>
        </w:rPr>
      </w:pPr>
      <w:r>
        <w:rPr>
          <w:rFonts w:hint="eastAsia" w:ascii="宋体" w:hAnsi="宋体" w:cs="宋体"/>
          <w:kern w:val="0"/>
          <w:sz w:val="24"/>
          <w:szCs w:val="24"/>
          <w:highlight w:val="none"/>
          <w:lang w:val="zh-CN"/>
        </w:rPr>
        <w:t>……</w:t>
      </w:r>
    </w:p>
    <w:p>
      <w:pPr>
        <w:snapToGrid w:val="0"/>
        <w:spacing w:line="360" w:lineRule="auto"/>
        <w:ind w:left="5758" w:leftChars="342" w:hanging="5040" w:hangingChars="2100"/>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日期：  年  月   日</w:t>
      </w:r>
    </w:p>
    <w:p>
      <w:pPr>
        <w:spacing w:line="360" w:lineRule="auto"/>
        <w:ind w:right="420"/>
        <w:rPr>
          <w:rFonts w:ascii="宋体" w:hAnsi="宋体" w:cs="宋体"/>
          <w:sz w:val="24"/>
          <w:szCs w:val="24"/>
          <w:highlight w:val="none"/>
        </w:rPr>
      </w:pPr>
      <w:r>
        <w:rPr>
          <w:rFonts w:hint="eastAsia" w:ascii="宋体" w:hAnsi="宋体" w:cs="宋体"/>
          <w:sz w:val="24"/>
          <w:szCs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pPr>
        <w:spacing w:line="360" w:lineRule="auto"/>
        <w:jc w:val="center"/>
        <w:rPr>
          <w:rFonts w:ascii="宋体" w:hAnsi="宋体" w:cs="宋体"/>
          <w:sz w:val="24"/>
          <w:szCs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ascii="宋体" w:hAnsi="宋体" w:cs="宋体"/>
          <w:sz w:val="24"/>
          <w:szCs w:val="24"/>
          <w:highlight w:val="none"/>
        </w:rPr>
      </w:pPr>
      <w:r>
        <w:rPr>
          <w:rFonts w:hint="eastAsia" w:ascii="宋体" w:hAnsi="宋体" w:cs="宋体"/>
          <w:sz w:val="24"/>
          <w:szCs w:val="24"/>
          <w:highlight w:val="none"/>
        </w:rPr>
        <w:t xml:space="preserve">本公司（联合体）郑重声明，根据《政府采购促进中小企业发展管理办法》（财库﹝2020﹞46 号）的规定，本公司（联合体）参加 </w:t>
      </w:r>
      <w:r>
        <w:rPr>
          <w:rFonts w:hint="eastAsia" w:ascii="宋体" w:hAnsi="宋体" w:cs="宋体"/>
          <w:sz w:val="24"/>
          <w:szCs w:val="24"/>
          <w:highlight w:val="none"/>
          <w:u w:val="single"/>
        </w:rPr>
        <w:t xml:space="preserve">浙江省杭州市中级人民法院 </w:t>
      </w:r>
      <w:r>
        <w:rPr>
          <w:rFonts w:hint="eastAsia" w:ascii="宋体" w:hAnsi="宋体" w:cs="宋体"/>
          <w:sz w:val="24"/>
          <w:szCs w:val="24"/>
          <w:highlight w:val="none"/>
        </w:rPr>
        <w:t>的</w:t>
      </w:r>
      <w:r>
        <w:rPr>
          <w:rFonts w:hint="eastAsia" w:ascii="宋体" w:hAnsi="宋体" w:cs="宋体"/>
          <w:sz w:val="24"/>
          <w:szCs w:val="24"/>
          <w:highlight w:val="none"/>
          <w:u w:val="single"/>
        </w:rPr>
        <w:t xml:space="preserve"> 杭州市中级人民法院证券虚假陈述责任纠纷智能化审判项目 </w:t>
      </w:r>
      <w:r>
        <w:rPr>
          <w:rFonts w:hint="eastAsia" w:ascii="宋体" w:hAnsi="宋体" w:cs="宋体"/>
          <w:sz w:val="24"/>
          <w:szCs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1"/>
          <w:szCs w:val="24"/>
          <w:highlight w:val="none"/>
        </w:rPr>
        <w:t xml:space="preserve"> </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rPr>
        <w:t xml:space="preserve"> （采购文件中明确的所属行业）</w:t>
      </w:r>
      <w:r>
        <w:rPr>
          <w:rFonts w:hint="eastAsia" w:ascii="宋体" w:hAnsi="宋体" w:cs="宋体"/>
          <w:sz w:val="24"/>
          <w:szCs w:val="24"/>
          <w:highlight w:val="none"/>
        </w:rPr>
        <w:t xml:space="preserve"> ；承接企业为 </w:t>
      </w:r>
      <w:r>
        <w:rPr>
          <w:rFonts w:hint="eastAsia" w:ascii="宋体" w:hAnsi="宋体" w:cs="宋体"/>
          <w:sz w:val="24"/>
          <w:szCs w:val="24"/>
          <w:highlight w:val="none"/>
          <w:u w:val="single"/>
        </w:rPr>
        <w:t>（企业名称）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 </w:t>
      </w:r>
      <w:r>
        <w:rPr>
          <w:rFonts w:hint="eastAsia" w:ascii="宋体" w:hAnsi="宋体" w:cs="宋体"/>
          <w:sz w:val="24"/>
          <w:szCs w:val="24"/>
          <w:highlight w:val="none"/>
        </w:rPr>
        <w:t>；</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 xml:space="preserve"> （标的名称），</w:t>
      </w:r>
      <w:r>
        <w:rPr>
          <w:rFonts w:hint="eastAsia" w:ascii="宋体" w:hAnsi="宋体" w:cs="宋体"/>
          <w:sz w:val="24"/>
          <w:szCs w:val="24"/>
          <w:highlight w:val="none"/>
        </w:rPr>
        <w:t xml:space="preserve">属于 </w:t>
      </w:r>
      <w:r>
        <w:rPr>
          <w:rFonts w:hint="eastAsia" w:ascii="宋体" w:hAnsi="宋体" w:cs="宋体"/>
          <w:sz w:val="24"/>
          <w:szCs w:val="24"/>
          <w:highlight w:val="none"/>
          <w:u w:val="single"/>
        </w:rPr>
        <w:t xml:space="preserve">（采购文件中明确的所属行业） </w:t>
      </w:r>
      <w:r>
        <w:rPr>
          <w:rFonts w:hint="eastAsia" w:ascii="宋体" w:hAnsi="宋体" w:cs="宋体"/>
          <w:sz w:val="24"/>
          <w:szCs w:val="24"/>
          <w:highlight w:val="none"/>
        </w:rPr>
        <w:t xml:space="preserve">；承接企业为 </w:t>
      </w:r>
      <w:r>
        <w:rPr>
          <w:rFonts w:hint="eastAsia" w:ascii="宋体" w:hAnsi="宋体" w:cs="宋体"/>
          <w:sz w:val="24"/>
          <w:szCs w:val="24"/>
          <w:highlight w:val="none"/>
          <w:u w:val="single"/>
        </w:rPr>
        <w:t>（企业名称）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 </w:t>
      </w:r>
      <w:r>
        <w:rPr>
          <w:rFonts w:hint="eastAsia" w:ascii="宋体" w:hAnsi="宋体" w:cs="宋体"/>
          <w:sz w:val="24"/>
          <w:szCs w:val="24"/>
          <w:highlight w:val="none"/>
        </w:rPr>
        <w:t>；</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pPr>
        <w:spacing w:line="360" w:lineRule="auto"/>
        <w:ind w:right="1760"/>
        <w:jc w:val="right"/>
        <w:rPr>
          <w:rFonts w:ascii="宋体" w:hAnsi="宋体" w:cs="宋体"/>
          <w:sz w:val="24"/>
          <w:szCs w:val="24"/>
          <w:highlight w:val="none"/>
        </w:rPr>
      </w:pPr>
      <w:r>
        <w:rPr>
          <w:rFonts w:hint="eastAsia" w:ascii="宋体" w:hAnsi="宋体" w:cs="宋体"/>
          <w:sz w:val="24"/>
          <w:szCs w:val="24"/>
          <w:highlight w:val="none"/>
        </w:rPr>
        <w:t>投标人名称（电子签名）：</w:t>
      </w:r>
    </w:p>
    <w:p>
      <w:pPr>
        <w:spacing w:line="360" w:lineRule="auto"/>
        <w:ind w:right="1120" w:firstLine="4680" w:firstLineChars="1950"/>
        <w:rPr>
          <w:rFonts w:ascii="宋体" w:hAnsi="宋体" w:cs="宋体"/>
          <w:sz w:val="24"/>
          <w:szCs w:val="24"/>
          <w:highlight w:val="none"/>
        </w:rPr>
      </w:pPr>
      <w:r>
        <w:rPr>
          <w:rFonts w:hint="eastAsia" w:ascii="宋体" w:hAnsi="宋体" w:cs="宋体"/>
          <w:sz w:val="24"/>
          <w:szCs w:val="24"/>
          <w:highlight w:val="none"/>
        </w:rPr>
        <w:t>日 期：</w:t>
      </w:r>
    </w:p>
    <w:p>
      <w:pPr>
        <w:spacing w:line="360" w:lineRule="auto"/>
        <w:ind w:firstLine="310" w:firstLineChars="147"/>
        <w:jc w:val="left"/>
        <w:rPr>
          <w:rFonts w:ascii="宋体" w:hAnsi="宋体" w:cs="宋体"/>
          <w:b/>
          <w:sz w:val="21"/>
          <w:szCs w:val="21"/>
          <w:highlight w:val="none"/>
        </w:rPr>
      </w:pPr>
      <w:r>
        <w:rPr>
          <w:rFonts w:hint="eastAsia" w:ascii="宋体" w:hAnsi="宋体" w:cs="宋体"/>
          <w:b/>
          <w:sz w:val="21"/>
          <w:szCs w:val="21"/>
          <w:highlight w:val="none"/>
        </w:rPr>
        <w:t>从业人员、营业收入、资产总额填报上一年度数据，无上一年度数据的新成立企业可不填报。</w:t>
      </w:r>
    </w:p>
    <w:p>
      <w:pPr>
        <w:spacing w:line="360" w:lineRule="auto"/>
        <w:ind w:right="420"/>
        <w:rPr>
          <w:rFonts w:ascii="宋体" w:hAnsi="宋体" w:cs="宋体"/>
          <w:sz w:val="24"/>
          <w:szCs w:val="24"/>
          <w:highlight w:val="none"/>
        </w:rPr>
      </w:pPr>
    </w:p>
    <w:p>
      <w:pPr>
        <w:spacing w:line="360" w:lineRule="auto"/>
        <w:ind w:right="420"/>
        <w:rPr>
          <w:rFonts w:ascii="宋体" w:hAnsi="宋体" w:cs="宋体"/>
          <w:sz w:val="24"/>
          <w:szCs w:val="24"/>
          <w:highlight w:val="none"/>
        </w:rPr>
      </w:pPr>
      <w:r>
        <w:rPr>
          <w:rFonts w:hint="eastAsia" w:ascii="宋体" w:hAnsi="宋体" w:cs="宋体"/>
          <w:sz w:val="24"/>
          <w:szCs w:val="24"/>
          <w:highlight w:val="none"/>
        </w:rPr>
        <w:t xml:space="preserve">   注：</w:t>
      </w:r>
    </w:p>
    <w:p>
      <w:pPr>
        <w:spacing w:line="360" w:lineRule="auto"/>
        <w:ind w:right="420" w:firstLine="480" w:firstLineChars="200"/>
        <w:rPr>
          <w:rFonts w:ascii="宋体" w:hAnsi="宋体" w:cs="宋体"/>
          <w:sz w:val="24"/>
          <w:szCs w:val="24"/>
          <w:highlight w:val="none"/>
        </w:rPr>
      </w:pPr>
      <w:r>
        <w:rPr>
          <w:rFonts w:hint="eastAsia" w:ascii="宋体" w:hAnsi="宋体" w:cs="宋体"/>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szCs w:val="24"/>
          <w:highlight w:val="none"/>
        </w:rPr>
      </w:pPr>
      <w:r>
        <w:rPr>
          <w:rFonts w:hint="eastAsia" w:ascii="宋体" w:hAnsi="宋体" w:cs="宋体"/>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sz w:val="32"/>
          <w:szCs w:val="32"/>
          <w:highlight w:val="none"/>
          <w:lang w:val="en-US"/>
        </w:rPr>
      </w:pPr>
    </w:p>
    <w:p>
      <w:pPr>
        <w:spacing w:line="360" w:lineRule="auto"/>
        <w:ind w:right="420"/>
        <w:rPr>
          <w:rFonts w:ascii="宋体" w:hAnsi="宋体" w:cs="宋体"/>
          <w:sz w:val="21"/>
          <w:szCs w:val="24"/>
          <w:highlight w:val="none"/>
        </w:rPr>
      </w:pPr>
    </w:p>
    <w:p>
      <w:pPr>
        <w:spacing w:line="360" w:lineRule="auto"/>
        <w:rPr>
          <w:rFonts w:ascii="宋体" w:hAnsi="宋体" w:cs="宋体"/>
          <w:bCs/>
          <w:sz w:val="24"/>
          <w:szCs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ource Sans Pro"/>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ource Sans Pro Light"/>
    <w:panose1 w:val="020004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algun Gothic Semilight">
    <w:panose1 w:val="020B0502040204020203"/>
    <w:charset w:val="86"/>
    <w:family w:val="swiss"/>
    <w:pitch w:val="default"/>
    <w:sig w:usb0="900002AF" w:usb1="01D77CFB" w:usb2="00000012" w:usb3="00000000" w:csb0="203E01BD" w:csb1="D7FF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Segoe Print">
    <w:panose1 w:val="02000600000000000000"/>
    <w:charset w:val="00"/>
    <w:family w:val="auto"/>
    <w:pitch w:val="default"/>
    <w:sig w:usb0="0000028F" w:usb1="00000000" w:usb2="00000000" w:usb3="00000000" w:csb0="2000009F" w:csb1="47010000"/>
  </w:font>
  <w:font w:name="Source Sans Pro">
    <w:panose1 w:val="020B0503030403020204"/>
    <w:charset w:val="00"/>
    <w:family w:val="auto"/>
    <w:pitch w:val="default"/>
    <w:sig w:usb0="20000007" w:usb1="00000001" w:usb2="00000000" w:usb3="00000000" w:csb0="20000193" w:csb1="00000000"/>
  </w:font>
  <w:font w:name="Source Sans Pro Light">
    <w:panose1 w:val="020B0403030403020204"/>
    <w:charset w:val="00"/>
    <w:family w:val="auto"/>
    <w:pitch w:val="default"/>
    <w:sig w:usb0="20000007" w:usb1="00000001" w:usb2="00000000" w:usb3="00000000" w:csb0="20000193"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32" w:name="_Toc36110187"/>
    <w:bookmarkStart w:id="533" w:name="_Toc131845147"/>
    <w:bookmarkStart w:id="534" w:name="_Toc91899912"/>
    <w:bookmarkStart w:id="535" w:name="_Toc164085800"/>
    <w:r>
      <w:rPr>
        <w:rFonts w:hint="eastAsia" w:ascii="仿宋_GB2312" w:eastAsia="仿宋_GB2312"/>
        <w:kern w:val="0"/>
        <w:szCs w:val="21"/>
      </w:rPr>
      <w:t xml:space="preserve"> 页</w:t>
    </w:r>
    <w:bookmarkEnd w:id="532"/>
    <w:bookmarkEnd w:id="533"/>
    <w:bookmarkEnd w:id="534"/>
    <w:bookmarkEnd w:id="5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F1E52"/>
    <w:multiLevelType w:val="multilevel"/>
    <w:tmpl w:val="0AEF1E5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9651934"/>
    <w:multiLevelType w:val="multilevel"/>
    <w:tmpl w:val="6965193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4"/>
      <w:lvlJc w:val="left"/>
      <w:pPr>
        <w:ind w:left="708" w:hanging="708"/>
      </w:pPr>
      <w:rPr>
        <w:rFonts w:hint="eastAsia"/>
      </w:rPr>
    </w:lvl>
    <w:lvl w:ilvl="4" w:tentative="0">
      <w:start w:val="1"/>
      <w:numFmt w:val="decimal"/>
      <w:lvlText w:val="%4.%5"/>
      <w:lvlJc w:val="left"/>
      <w:pPr>
        <w:ind w:left="2551" w:hanging="850"/>
      </w:pPr>
      <w:rPr>
        <w:rFonts w:hint="eastAsia"/>
      </w:rPr>
    </w:lvl>
    <w:lvl w:ilvl="5" w:tentative="0">
      <w:start w:val="1"/>
      <w:numFmt w:val="decimal"/>
      <w:lvlText w:val="%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1"/>
    <w:lvlOverride w:ilvl="0">
      <w:startOverride w:val="4"/>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0ODYwNTkwNjg1MjBlYTYyMDQ0MzQwOTc3N2QwZ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71B"/>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88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FBC"/>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86E"/>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2B6"/>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9E4"/>
    <w:rsid w:val="0019602C"/>
    <w:rsid w:val="001969F2"/>
    <w:rsid w:val="00196CD6"/>
    <w:rsid w:val="0019756A"/>
    <w:rsid w:val="00197C65"/>
    <w:rsid w:val="001A0069"/>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CA"/>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AB7"/>
    <w:rsid w:val="00210B9C"/>
    <w:rsid w:val="0021106F"/>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80"/>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D6C"/>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074"/>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142"/>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7F"/>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3F0"/>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CD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090"/>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8A"/>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8BC"/>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0F37"/>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5E12"/>
    <w:rsid w:val="005F60DF"/>
    <w:rsid w:val="005F615B"/>
    <w:rsid w:val="005F61DF"/>
    <w:rsid w:val="005F680A"/>
    <w:rsid w:val="005F6880"/>
    <w:rsid w:val="005F6B3E"/>
    <w:rsid w:val="005F6ED2"/>
    <w:rsid w:val="005F745B"/>
    <w:rsid w:val="005F77F8"/>
    <w:rsid w:val="005F7CA8"/>
    <w:rsid w:val="00600DE1"/>
    <w:rsid w:val="00601506"/>
    <w:rsid w:val="00601596"/>
    <w:rsid w:val="00601A3D"/>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37B"/>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B32"/>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C32"/>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7DF"/>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1AD"/>
    <w:rsid w:val="00700405"/>
    <w:rsid w:val="00700D18"/>
    <w:rsid w:val="0070168D"/>
    <w:rsid w:val="00701C36"/>
    <w:rsid w:val="00702F2D"/>
    <w:rsid w:val="0070353F"/>
    <w:rsid w:val="0070415E"/>
    <w:rsid w:val="00704631"/>
    <w:rsid w:val="00704B79"/>
    <w:rsid w:val="00704E7D"/>
    <w:rsid w:val="00705060"/>
    <w:rsid w:val="00705351"/>
    <w:rsid w:val="00705619"/>
    <w:rsid w:val="00705E3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3EE"/>
    <w:rsid w:val="00782CF3"/>
    <w:rsid w:val="00783959"/>
    <w:rsid w:val="00783BA5"/>
    <w:rsid w:val="007844A9"/>
    <w:rsid w:val="00785091"/>
    <w:rsid w:val="0078638C"/>
    <w:rsid w:val="00786791"/>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B46"/>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7C3"/>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5F5"/>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0A2"/>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E78"/>
    <w:rsid w:val="00825441"/>
    <w:rsid w:val="00826855"/>
    <w:rsid w:val="00826E73"/>
    <w:rsid w:val="00830052"/>
    <w:rsid w:val="008300D0"/>
    <w:rsid w:val="008308D8"/>
    <w:rsid w:val="00830ECE"/>
    <w:rsid w:val="00831D43"/>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3A4"/>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14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5EA5"/>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4B1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BBA"/>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376"/>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782"/>
    <w:rsid w:val="00AF6ABE"/>
    <w:rsid w:val="00AF7389"/>
    <w:rsid w:val="00AF79DF"/>
    <w:rsid w:val="00AF7C37"/>
    <w:rsid w:val="00B00378"/>
    <w:rsid w:val="00B00D91"/>
    <w:rsid w:val="00B00E84"/>
    <w:rsid w:val="00B0111E"/>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2C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0A9"/>
    <w:rsid w:val="00B672EA"/>
    <w:rsid w:val="00B6747B"/>
    <w:rsid w:val="00B70200"/>
    <w:rsid w:val="00B702D7"/>
    <w:rsid w:val="00B70389"/>
    <w:rsid w:val="00B70E01"/>
    <w:rsid w:val="00B718FA"/>
    <w:rsid w:val="00B725DD"/>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152"/>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A6E"/>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846"/>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1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0DD"/>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A0"/>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B80"/>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C3B"/>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DE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83D"/>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61E"/>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78B"/>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97630"/>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961CB"/>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4FF5CCD"/>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AFF65B8"/>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933E6"/>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link w:val="263"/>
    <w:qFormat/>
    <w:uiPriority w:val="0"/>
    <w:pPr>
      <w:spacing w:line="480" w:lineRule="exact"/>
      <w:ind w:firstLine="480" w:firstLineChars="200"/>
    </w:pPr>
    <w:rPr>
      <w:rFonts w:ascii="宋体" w:hAnsi="宋体"/>
      <w:sz w:val="24"/>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List 3"/>
    <w:basedOn w:val="1"/>
    <w:uiPriority w:val="0"/>
    <w:pPr>
      <w:ind w:left="100" w:leftChars="400" w:hanging="200" w:hangingChars="200"/>
      <w:contextualSpacing/>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2"/>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1文档正文"/>
    <w:basedOn w:val="1"/>
    <w:qFormat/>
    <w:uiPriority w:val="0"/>
    <w:pPr>
      <w:spacing w:before="60" w:after="60" w:line="360" w:lineRule="auto"/>
      <w:ind w:firstLine="200" w:firstLineChars="200"/>
      <w:textAlignment w:val="baseline"/>
    </w:pPr>
    <w:rPr>
      <w:kern w:val="0"/>
      <w:sz w:val="24"/>
    </w:rPr>
  </w:style>
  <w:style w:type="paragraph" w:customStyle="1" w:styleId="964">
    <w:name w:val="修订5"/>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5B804-C5A5-439B-BA8A-AEA3C1848F8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46701</Words>
  <Characters>49460</Characters>
  <Lines>403</Lines>
  <Paragraphs>113</Paragraphs>
  <TotalTime>1</TotalTime>
  <ScaleCrop>false</ScaleCrop>
  <LinksUpToDate>false</LinksUpToDate>
  <CharactersWithSpaces>54644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2023-08-21T07:31:00Z</dcterms:created>
  <dc:creator>玥</dc:creator>
  <cp:lastModifiedBy>。</cp:lastModifiedBy>
  <cp:lastPrinted>2023-08-21T09:05:00Z</cp:lastPrinted>
  <dcterms:modified xsi:type="dcterms:W3CDTF">2023-08-21T09:25:39Z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C4B335CA401241B0B91B73F1E23000B0_13</vt:lpwstr>
  </property>
</Properties>
</file>