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ind w:right="-108"/>
        <w:jc w:val="center"/>
        <w:rPr>
          <w:rFonts w:ascii="宋体" w:hAnsi="宋体" w:cs="宋体"/>
          <w:b/>
          <w:bCs/>
          <w:sz w:val="52"/>
          <w:szCs w:val="52"/>
        </w:rPr>
      </w:pPr>
      <w:bookmarkStart w:id="72" w:name="_GoBack"/>
      <w:bookmarkEnd w:id="72"/>
      <w:r>
        <w:rPr>
          <w:rFonts w:hint="eastAsia" w:ascii="宋体" w:hAnsi="宋体" w:cs="宋体"/>
          <w:b/>
          <w:sz w:val="52"/>
          <w:szCs w:val="52"/>
        </w:rPr>
        <w:t>杭州市中级人民法院安防系统建设项目</w:t>
      </w:r>
    </w:p>
    <w:p>
      <w:pPr>
        <w:spacing w:before="240" w:beforeLines="100"/>
        <w:ind w:right="-108" w:firstLine="2570" w:firstLineChars="800"/>
        <w:rPr>
          <w:rFonts w:ascii="宋体" w:hAnsi="宋体" w:cs="宋体"/>
          <w:b/>
          <w:bCs/>
          <w:sz w:val="32"/>
          <w:szCs w:val="32"/>
        </w:rPr>
      </w:pPr>
      <w:r>
        <w:rPr>
          <w:rFonts w:hint="eastAsia" w:ascii="宋体" w:hAnsi="宋体" w:cs="宋体"/>
          <w:b/>
          <w:bCs/>
          <w:sz w:val="32"/>
          <w:szCs w:val="32"/>
        </w:rPr>
        <w:t>项目编号：DDZX2020-GK-089</w:t>
      </w:r>
    </w:p>
    <w:p>
      <w:pPr>
        <w:pStyle w:val="78"/>
        <w:rPr>
          <w:rFonts w:cs="宋体"/>
        </w:rPr>
      </w:pPr>
    </w:p>
    <w:p>
      <w:pPr>
        <w:pStyle w:val="78"/>
        <w:jc w:val="center"/>
        <w:rPr>
          <w:rFonts w:cs="宋体"/>
        </w:rPr>
      </w:pPr>
    </w:p>
    <w:p>
      <w:pPr>
        <w:spacing w:after="100" w:afterAutospacing="1"/>
        <w:ind w:right="-108"/>
        <w:jc w:val="center"/>
        <w:rPr>
          <w:rFonts w:ascii="宋体" w:hAnsi="宋体" w:cs="宋体"/>
          <w:b/>
          <w:spacing w:val="40"/>
          <w:sz w:val="72"/>
          <w:szCs w:val="72"/>
        </w:rPr>
      </w:pPr>
      <w:r>
        <w:rPr>
          <w:rFonts w:hint="eastAsia" w:ascii="宋体" w:hAnsi="宋体" w:cs="宋体"/>
          <w:b/>
          <w:spacing w:val="40"/>
          <w:sz w:val="72"/>
          <w:szCs w:val="72"/>
        </w:rPr>
        <w:t>公</w:t>
      </w:r>
    </w:p>
    <w:p>
      <w:pPr>
        <w:spacing w:after="100" w:afterAutospacing="1"/>
        <w:ind w:right="-108"/>
        <w:jc w:val="center"/>
        <w:rPr>
          <w:rFonts w:ascii="宋体" w:hAnsi="宋体" w:cs="宋体"/>
          <w:b/>
          <w:spacing w:val="40"/>
          <w:sz w:val="72"/>
          <w:szCs w:val="72"/>
        </w:rPr>
      </w:pPr>
      <w:r>
        <w:rPr>
          <w:rFonts w:hint="eastAsia" w:ascii="宋体" w:hAnsi="宋体" w:cs="宋体"/>
          <w:b/>
          <w:spacing w:val="40"/>
          <w:sz w:val="72"/>
          <w:szCs w:val="72"/>
        </w:rPr>
        <w:t>开</w:t>
      </w:r>
    </w:p>
    <w:p>
      <w:pPr>
        <w:spacing w:after="100" w:afterAutospacing="1"/>
        <w:ind w:right="-108"/>
        <w:jc w:val="center"/>
        <w:rPr>
          <w:rFonts w:ascii="宋体" w:hAnsi="宋体" w:cs="宋体"/>
          <w:b/>
          <w:spacing w:val="40"/>
          <w:sz w:val="72"/>
          <w:szCs w:val="72"/>
        </w:rPr>
      </w:pPr>
      <w:r>
        <w:rPr>
          <w:rFonts w:hint="eastAsia" w:ascii="宋体" w:hAnsi="宋体" w:cs="宋体"/>
          <w:b/>
          <w:spacing w:val="40"/>
          <w:sz w:val="72"/>
          <w:szCs w:val="72"/>
        </w:rPr>
        <w:t>招</w:t>
      </w:r>
      <w:r>
        <w:rPr>
          <w:rFonts w:hint="eastAsia" w:ascii="宋体" w:hAnsi="宋体" w:cs="宋体"/>
          <w:b/>
          <w:spacing w:val="40"/>
          <w:sz w:val="72"/>
          <w:szCs w:val="72"/>
        </w:rPr>
        <w:tab/>
      </w:r>
    </w:p>
    <w:p>
      <w:pPr>
        <w:spacing w:after="100" w:afterAutospacing="1"/>
        <w:ind w:right="-108"/>
        <w:jc w:val="center"/>
        <w:rPr>
          <w:rFonts w:ascii="宋体" w:hAnsi="宋体" w:cs="宋体"/>
          <w:b/>
          <w:spacing w:val="40"/>
          <w:sz w:val="72"/>
          <w:szCs w:val="72"/>
        </w:rPr>
      </w:pPr>
      <w:r>
        <w:rPr>
          <w:rFonts w:hint="eastAsia" w:ascii="宋体" w:hAnsi="宋体" w:cs="宋体"/>
          <w:b/>
          <w:spacing w:val="40"/>
          <w:sz w:val="72"/>
          <w:szCs w:val="72"/>
        </w:rPr>
        <w:t>标</w:t>
      </w:r>
    </w:p>
    <w:p>
      <w:pPr>
        <w:spacing w:after="100" w:afterAutospacing="1"/>
        <w:ind w:right="-108"/>
        <w:jc w:val="center"/>
        <w:rPr>
          <w:rFonts w:ascii="宋体" w:hAnsi="宋体" w:cs="宋体"/>
          <w:b/>
          <w:spacing w:val="40"/>
          <w:sz w:val="72"/>
          <w:szCs w:val="72"/>
        </w:rPr>
      </w:pPr>
      <w:r>
        <w:rPr>
          <w:rFonts w:hint="eastAsia" w:ascii="宋体" w:hAnsi="宋体" w:cs="宋体"/>
          <w:b/>
          <w:spacing w:val="40"/>
          <w:sz w:val="72"/>
          <w:szCs w:val="72"/>
        </w:rPr>
        <w:t>文</w:t>
      </w:r>
    </w:p>
    <w:p>
      <w:pPr>
        <w:spacing w:after="100" w:afterAutospacing="1"/>
        <w:ind w:right="-108"/>
        <w:jc w:val="center"/>
        <w:rPr>
          <w:rFonts w:cs="宋体"/>
          <w:sz w:val="28"/>
          <w:szCs w:val="28"/>
        </w:rPr>
      </w:pPr>
      <w:r>
        <w:rPr>
          <w:rFonts w:hint="eastAsia" w:ascii="宋体" w:hAnsi="宋体" w:cs="宋体"/>
          <w:b/>
          <w:spacing w:val="40"/>
          <w:sz w:val="72"/>
          <w:szCs w:val="72"/>
        </w:rPr>
        <w:t>件</w:t>
      </w:r>
    </w:p>
    <w:p>
      <w:pPr>
        <w:pStyle w:val="2"/>
        <w:ind w:firstLine="0"/>
        <w:rPr>
          <w:rFonts w:cs="宋体"/>
          <w:sz w:val="28"/>
          <w:szCs w:val="28"/>
        </w:rPr>
      </w:pPr>
    </w:p>
    <w:p>
      <w:pPr>
        <w:spacing w:line="360" w:lineRule="auto"/>
        <w:ind w:right="532" w:firstLine="1807" w:firstLineChars="600"/>
        <w:rPr>
          <w:rFonts w:ascii="宋体" w:hAnsi="宋体" w:cs="宋体"/>
          <w:b/>
          <w:bCs/>
          <w:sz w:val="30"/>
          <w:szCs w:val="30"/>
        </w:rPr>
      </w:pPr>
    </w:p>
    <w:p>
      <w:pPr>
        <w:spacing w:line="360" w:lineRule="auto"/>
        <w:ind w:right="532"/>
        <w:rPr>
          <w:rFonts w:ascii="宋体" w:hAnsi="宋体" w:cs="宋体"/>
          <w:b/>
          <w:bCs/>
          <w:sz w:val="30"/>
          <w:szCs w:val="30"/>
        </w:rPr>
      </w:pPr>
    </w:p>
    <w:p>
      <w:pPr>
        <w:spacing w:line="360" w:lineRule="auto"/>
        <w:ind w:right="532" w:firstLine="1928" w:firstLineChars="600"/>
        <w:rPr>
          <w:rFonts w:ascii="宋体" w:hAnsi="宋体" w:cs="宋体"/>
          <w:b/>
          <w:bCs/>
          <w:sz w:val="32"/>
          <w:szCs w:val="32"/>
        </w:rPr>
      </w:pPr>
      <w:r>
        <w:rPr>
          <w:rFonts w:hint="eastAsia" w:ascii="宋体" w:hAnsi="宋体" w:cs="宋体"/>
          <w:b/>
          <w:bCs/>
          <w:sz w:val="32"/>
          <w:szCs w:val="32"/>
        </w:rPr>
        <w:t>招标单位：浙江省杭州市中级人民法院</w:t>
      </w:r>
    </w:p>
    <w:p>
      <w:pPr>
        <w:spacing w:line="360" w:lineRule="auto"/>
        <w:ind w:right="532" w:firstLine="1928" w:firstLineChars="600"/>
        <w:rPr>
          <w:rFonts w:ascii="宋体" w:hAnsi="宋体" w:cs="宋体"/>
          <w:b/>
          <w:bCs/>
          <w:sz w:val="32"/>
          <w:szCs w:val="32"/>
        </w:rPr>
      </w:pPr>
      <w:r>
        <w:rPr>
          <w:rFonts w:hint="eastAsia" w:ascii="宋体" w:hAnsi="宋体" w:cs="宋体"/>
          <w:b/>
          <w:bCs/>
          <w:sz w:val="32"/>
          <w:szCs w:val="32"/>
        </w:rPr>
        <w:t>招标代理单位：大地工程咨询有限公司</w:t>
      </w:r>
    </w:p>
    <w:p>
      <w:pPr>
        <w:spacing w:line="360" w:lineRule="auto"/>
        <w:ind w:right="-108" w:firstLine="3534" w:firstLineChars="1100"/>
        <w:jc w:val="left"/>
        <w:rPr>
          <w:rFonts w:ascii="宋体" w:hAnsi="宋体" w:cs="宋体"/>
          <w:b/>
          <w:bCs/>
          <w:sz w:val="32"/>
          <w:szCs w:val="32"/>
        </w:rPr>
      </w:pPr>
      <w:r>
        <w:rPr>
          <w:rFonts w:hint="eastAsia" w:ascii="宋体" w:hAnsi="宋体" w:cs="宋体"/>
          <w:b/>
          <w:bCs/>
          <w:sz w:val="32"/>
          <w:szCs w:val="32"/>
        </w:rPr>
        <w:t>二○二○年十月</w:t>
      </w:r>
    </w:p>
    <w:p>
      <w:pPr>
        <w:jc w:val="left"/>
        <w:rPr>
          <w:rFonts w:ascii="宋体" w:hAnsi="宋体" w:cs="宋体"/>
          <w:b/>
          <w:bCs/>
          <w:sz w:val="32"/>
          <w:szCs w:val="32"/>
        </w:rPr>
        <w:sectPr>
          <w:headerReference r:id="rId4" w:type="first"/>
          <w:headerReference r:id="rId3" w:type="default"/>
          <w:footerReference r:id="rId5" w:type="default"/>
          <w:pgSz w:w="11850" w:h="16783"/>
          <w:pgMar w:top="1418" w:right="1248" w:bottom="1418" w:left="1418" w:header="851" w:footer="851" w:gutter="0"/>
          <w:cols w:space="720" w:num="1"/>
          <w:titlePg/>
          <w:docGrid w:linePitch="312" w:charSpace="0"/>
        </w:sectPr>
      </w:pPr>
    </w:p>
    <w:p>
      <w:pPr>
        <w:pStyle w:val="25"/>
        <w:rPr>
          <w:rFonts w:ascii="宋体" w:hAnsi="宋体" w:cs="宋体"/>
          <w:b/>
          <w:bCs/>
          <w:sz w:val="32"/>
          <w:szCs w:val="32"/>
        </w:rPr>
      </w:pPr>
      <w:r>
        <w:rPr>
          <w:rFonts w:hint="eastAsia" w:ascii="宋体" w:hAnsi="宋体" w:cs="宋体"/>
          <w:b/>
          <w:bCs/>
          <w:sz w:val="32"/>
          <w:szCs w:val="32"/>
        </w:rPr>
        <w:t>目   录</w:t>
      </w:r>
    </w:p>
    <w:p>
      <w:pPr>
        <w:rPr>
          <w:rFonts w:ascii="宋体" w:hAnsi="宋体" w:cs="宋体"/>
        </w:rPr>
      </w:pPr>
    </w:p>
    <w:p>
      <w:pPr>
        <w:pStyle w:val="25"/>
        <w:rPr>
          <w:rFonts w:ascii="宋体" w:hAnsi="宋体" w:cs="宋体"/>
          <w:b/>
          <w:sz w:val="28"/>
          <w:szCs w:val="28"/>
        </w:rPr>
      </w:pPr>
    </w:p>
    <w:p>
      <w:pPr>
        <w:pStyle w:val="25"/>
        <w:spacing w:line="72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TOC \o "1-3" \h \z \u </w:instrText>
      </w:r>
      <w:r>
        <w:rPr>
          <w:rFonts w:hint="eastAsia" w:ascii="宋体" w:hAnsi="宋体" w:cs="宋体"/>
          <w:sz w:val="24"/>
        </w:rPr>
        <w:fldChar w:fldCharType="separate"/>
      </w:r>
      <w:r>
        <w:fldChar w:fldCharType="begin"/>
      </w:r>
      <w:r>
        <w:instrText xml:space="preserve"> HYPERLINK \l "_Toc448411043" </w:instrText>
      </w:r>
      <w:r>
        <w:fldChar w:fldCharType="separate"/>
      </w:r>
      <w:r>
        <w:rPr>
          <w:rStyle w:val="44"/>
          <w:rFonts w:hint="eastAsia" w:ascii="宋体" w:hAnsi="宋体" w:cs="宋体"/>
          <w:color w:val="auto"/>
          <w:sz w:val="24"/>
        </w:rPr>
        <w:t>第一章  公开招标公告</w:t>
      </w:r>
      <w:r>
        <w:rPr>
          <w:rFonts w:hint="eastAsia" w:ascii="宋体" w:hAnsi="宋体" w:cs="宋体"/>
          <w:sz w:val="24"/>
        </w:rPr>
        <w:tab/>
      </w:r>
      <w:r>
        <w:rPr>
          <w:rFonts w:hint="eastAsia" w:ascii="宋体" w:hAnsi="宋体" w:cs="宋体"/>
          <w:sz w:val="24"/>
        </w:rPr>
        <w:fldChar w:fldCharType="end"/>
      </w:r>
      <w:r>
        <w:rPr>
          <w:rFonts w:hint="eastAsia" w:ascii="宋体" w:hAnsi="宋体" w:cs="宋体"/>
          <w:sz w:val="24"/>
        </w:rPr>
        <w:t>1</w:t>
      </w:r>
    </w:p>
    <w:p>
      <w:pPr>
        <w:pStyle w:val="25"/>
        <w:spacing w:line="720" w:lineRule="auto"/>
        <w:rPr>
          <w:rFonts w:hint="eastAsia" w:ascii="宋体" w:hAnsi="宋体" w:eastAsia="宋体" w:cs="宋体"/>
          <w:sz w:val="24"/>
          <w:lang w:eastAsia="zh-CN"/>
        </w:rPr>
      </w:pPr>
      <w:r>
        <w:fldChar w:fldCharType="begin"/>
      </w:r>
      <w:r>
        <w:instrText xml:space="preserve"> HYPERLINK \l "_Toc448411045" </w:instrText>
      </w:r>
      <w:r>
        <w:fldChar w:fldCharType="separate"/>
      </w:r>
      <w:r>
        <w:rPr>
          <w:rStyle w:val="44"/>
          <w:rFonts w:hint="eastAsia" w:ascii="宋体" w:hAnsi="宋体" w:cs="宋体"/>
          <w:color w:val="auto"/>
          <w:sz w:val="24"/>
        </w:rPr>
        <w:t>第二章  投标人须知</w:t>
      </w:r>
      <w:r>
        <w:rPr>
          <w:rFonts w:hint="eastAsia" w:ascii="宋体" w:hAnsi="宋体" w:cs="宋体"/>
          <w:sz w:val="24"/>
        </w:rPr>
        <w:tab/>
      </w:r>
      <w:r>
        <w:rPr>
          <w:rFonts w:hint="eastAsia" w:ascii="宋体" w:hAnsi="宋体" w:cs="宋体"/>
          <w:sz w:val="24"/>
        </w:rPr>
        <w:fldChar w:fldCharType="end"/>
      </w:r>
      <w:r>
        <w:rPr>
          <w:rFonts w:hint="eastAsia" w:ascii="宋体" w:hAnsi="宋体" w:cs="宋体"/>
          <w:sz w:val="24"/>
          <w:lang w:val="en-US" w:eastAsia="zh-CN"/>
        </w:rPr>
        <w:t>6</w:t>
      </w:r>
    </w:p>
    <w:p>
      <w:pPr>
        <w:pStyle w:val="25"/>
        <w:spacing w:line="720" w:lineRule="auto"/>
        <w:rPr>
          <w:rFonts w:ascii="宋体" w:hAnsi="宋体" w:cs="宋体"/>
          <w:sz w:val="24"/>
        </w:rPr>
      </w:pPr>
      <w:r>
        <w:fldChar w:fldCharType="begin"/>
      </w:r>
      <w:r>
        <w:instrText xml:space="preserve"> HYPERLINK \l "_Toc448411062" </w:instrText>
      </w:r>
      <w:r>
        <w:fldChar w:fldCharType="separate"/>
      </w:r>
      <w:r>
        <w:rPr>
          <w:rFonts w:hint="eastAsia" w:ascii="宋体" w:hAnsi="宋体" w:cs="宋体"/>
          <w:sz w:val="24"/>
        </w:rPr>
        <w:t>第三章  评标办法及评分标准</w:t>
      </w:r>
      <w:r>
        <w:rPr>
          <w:rFonts w:hint="eastAsia" w:ascii="宋体" w:hAnsi="宋体" w:cs="宋体"/>
          <w:sz w:val="24"/>
        </w:rPr>
        <w:tab/>
      </w:r>
      <w:r>
        <w:rPr>
          <w:rFonts w:hint="eastAsia" w:ascii="宋体" w:hAnsi="宋体" w:cs="宋体"/>
          <w:sz w:val="24"/>
        </w:rPr>
        <w:fldChar w:fldCharType="end"/>
      </w:r>
      <w:r>
        <w:rPr>
          <w:rFonts w:hint="eastAsia" w:ascii="宋体" w:hAnsi="宋体" w:cs="宋体"/>
          <w:sz w:val="24"/>
        </w:rPr>
        <w:t>21</w:t>
      </w:r>
    </w:p>
    <w:p>
      <w:pPr>
        <w:pStyle w:val="25"/>
        <w:spacing w:line="720" w:lineRule="auto"/>
        <w:rPr>
          <w:rFonts w:hint="eastAsia" w:ascii="宋体" w:hAnsi="宋体" w:eastAsia="宋体" w:cs="宋体"/>
          <w:sz w:val="24"/>
          <w:lang w:eastAsia="zh-CN"/>
        </w:rPr>
      </w:pPr>
      <w:r>
        <w:fldChar w:fldCharType="begin"/>
      </w:r>
      <w:r>
        <w:instrText xml:space="preserve"> HYPERLINK \l "_Toc448411063" </w:instrText>
      </w:r>
      <w:r>
        <w:fldChar w:fldCharType="separate"/>
      </w:r>
      <w:r>
        <w:rPr>
          <w:rStyle w:val="44"/>
          <w:rFonts w:hint="eastAsia" w:ascii="宋体" w:hAnsi="宋体" w:cs="宋体"/>
          <w:color w:val="auto"/>
          <w:spacing w:val="-2"/>
          <w:sz w:val="24"/>
        </w:rPr>
        <w:t>第四章  招标内容与技术需求</w:t>
      </w:r>
      <w:r>
        <w:rPr>
          <w:rFonts w:hint="eastAsia" w:ascii="宋体" w:hAnsi="宋体" w:cs="宋体"/>
          <w:sz w:val="24"/>
        </w:rPr>
        <w:tab/>
      </w:r>
      <w:r>
        <w:rPr>
          <w:rFonts w:hint="eastAsia" w:ascii="宋体" w:hAnsi="宋体" w:cs="宋体"/>
          <w:sz w:val="24"/>
        </w:rPr>
        <w:fldChar w:fldCharType="end"/>
      </w:r>
      <w:r>
        <w:rPr>
          <w:rFonts w:hint="eastAsia" w:ascii="宋体" w:hAnsi="宋体" w:cs="宋体"/>
          <w:sz w:val="24"/>
        </w:rPr>
        <w:t>2</w:t>
      </w:r>
      <w:r>
        <w:rPr>
          <w:rFonts w:hint="eastAsia" w:ascii="宋体" w:hAnsi="宋体" w:cs="宋体"/>
          <w:sz w:val="24"/>
          <w:lang w:val="en-US" w:eastAsia="zh-CN"/>
        </w:rPr>
        <w:t>6</w:t>
      </w:r>
    </w:p>
    <w:p>
      <w:pPr>
        <w:pStyle w:val="25"/>
        <w:spacing w:line="720" w:lineRule="auto"/>
        <w:rPr>
          <w:rFonts w:hint="default" w:ascii="宋体" w:hAnsi="宋体" w:eastAsia="宋体" w:cs="宋体"/>
          <w:sz w:val="24"/>
          <w:lang w:val="en-US" w:eastAsia="zh-CN"/>
        </w:rPr>
      </w:pPr>
      <w:r>
        <w:rPr>
          <w:rFonts w:hint="eastAsia" w:ascii="宋体" w:hAnsi="宋体" w:cs="宋体"/>
          <w:sz w:val="24"/>
        </w:rPr>
        <w:t>第五章</w:t>
      </w:r>
      <w:r>
        <w:fldChar w:fldCharType="begin"/>
      </w:r>
      <w:r>
        <w:instrText xml:space="preserve"> HYPERLINK \l "_Toc448411063" </w:instrText>
      </w:r>
      <w:r>
        <w:fldChar w:fldCharType="separate"/>
      </w:r>
      <w:r>
        <w:rPr>
          <w:rFonts w:hint="eastAsia" w:ascii="宋体" w:hAnsi="宋体" w:cs="宋体"/>
          <w:sz w:val="24"/>
        </w:rPr>
        <w:t xml:space="preserve">  浙江省政府采购合同主要条款指引（参考样稿）</w:t>
      </w:r>
      <w:r>
        <w:rPr>
          <w:rFonts w:hint="eastAsia" w:ascii="宋体" w:hAnsi="宋体" w:cs="宋体"/>
          <w:sz w:val="24"/>
          <w:lang w:val="zh-CN"/>
        </w:rPr>
        <w:tab/>
      </w:r>
      <w:r>
        <w:rPr>
          <w:rFonts w:hint="eastAsia" w:ascii="宋体" w:hAnsi="宋体" w:cs="宋体"/>
          <w:sz w:val="24"/>
          <w:lang w:val="zh-CN"/>
        </w:rPr>
        <w:fldChar w:fldCharType="end"/>
      </w:r>
      <w:r>
        <w:rPr>
          <w:rFonts w:hint="eastAsia" w:ascii="宋体" w:hAnsi="宋体" w:cs="宋体"/>
          <w:sz w:val="24"/>
          <w:lang w:val="en-US" w:eastAsia="zh-CN"/>
        </w:rPr>
        <w:t>68</w:t>
      </w:r>
    </w:p>
    <w:p>
      <w:pPr>
        <w:pStyle w:val="25"/>
        <w:spacing w:line="720" w:lineRule="auto"/>
        <w:rPr>
          <w:rFonts w:hint="default" w:ascii="宋体" w:hAnsi="宋体" w:eastAsia="宋体" w:cs="宋体"/>
          <w:sz w:val="24"/>
          <w:lang w:val="en-US" w:eastAsia="zh-CN"/>
        </w:rPr>
      </w:pPr>
      <w:r>
        <w:fldChar w:fldCharType="begin"/>
      </w:r>
      <w:r>
        <w:instrText xml:space="preserve"> HYPERLINK \l "_Toc448411064" </w:instrText>
      </w:r>
      <w:r>
        <w:fldChar w:fldCharType="separate"/>
      </w:r>
      <w:r>
        <w:rPr>
          <w:rStyle w:val="44"/>
          <w:rFonts w:hint="eastAsia" w:ascii="宋体" w:hAnsi="宋体" w:cs="宋体"/>
          <w:bCs/>
          <w:color w:val="auto"/>
          <w:sz w:val="24"/>
        </w:rPr>
        <w:t>第六章  投标文件格式附件</w:t>
      </w:r>
      <w:r>
        <w:rPr>
          <w:rFonts w:hint="eastAsia" w:ascii="宋体" w:hAnsi="宋体" w:cs="宋体"/>
          <w:sz w:val="24"/>
        </w:rPr>
        <w:tab/>
      </w:r>
      <w:r>
        <w:rPr>
          <w:rFonts w:hint="eastAsia" w:ascii="宋体" w:hAnsi="宋体" w:cs="宋体"/>
          <w:sz w:val="24"/>
        </w:rPr>
        <w:fldChar w:fldCharType="end"/>
      </w:r>
      <w:r>
        <w:rPr>
          <w:rFonts w:hint="eastAsia" w:ascii="宋体" w:hAnsi="宋体" w:cs="宋体"/>
          <w:sz w:val="24"/>
          <w:lang w:val="en-US" w:eastAsia="zh-CN"/>
        </w:rPr>
        <w:t>74</w:t>
      </w:r>
    </w:p>
    <w:p>
      <w:pPr>
        <w:spacing w:line="720" w:lineRule="auto"/>
        <w:rPr>
          <w:rFonts w:ascii="宋体" w:hAnsi="宋体" w:cs="宋体"/>
          <w:sz w:val="28"/>
          <w:szCs w:val="28"/>
        </w:rPr>
      </w:pPr>
      <w:r>
        <w:rPr>
          <w:rFonts w:hint="eastAsia" w:ascii="宋体" w:hAnsi="宋体" w:cs="宋体"/>
          <w:sz w:val="24"/>
          <w:szCs w:val="24"/>
        </w:rPr>
        <w:fldChar w:fldCharType="end"/>
      </w:r>
    </w:p>
    <w:p>
      <w:pPr>
        <w:pStyle w:val="20"/>
        <w:snapToGrid w:val="0"/>
        <w:spacing w:before="120" w:after="120" w:line="240" w:lineRule="auto"/>
        <w:jc w:val="center"/>
        <w:outlineLvl w:val="0"/>
        <w:rPr>
          <w:rFonts w:hAnsi="宋体" w:cs="宋体"/>
          <w:b/>
          <w:sz w:val="36"/>
          <w:szCs w:val="36"/>
        </w:rPr>
      </w:pPr>
      <w:bookmarkStart w:id="0" w:name="_Toc372790136"/>
    </w:p>
    <w:p>
      <w:pPr>
        <w:rPr>
          <w:rFonts w:ascii="宋体" w:hAnsi="宋体" w:cs="宋体"/>
          <w:b/>
          <w:sz w:val="36"/>
          <w:szCs w:val="36"/>
        </w:rPr>
      </w:pPr>
    </w:p>
    <w:p>
      <w:pPr>
        <w:rPr>
          <w:rFonts w:ascii="宋体" w:hAnsi="宋体" w:cs="宋体"/>
          <w:b/>
          <w:sz w:val="36"/>
          <w:szCs w:val="36"/>
        </w:rPr>
      </w:pPr>
    </w:p>
    <w:p>
      <w:pPr>
        <w:rPr>
          <w:rFonts w:ascii="宋体" w:hAnsi="宋体" w:cs="宋体"/>
          <w:b/>
          <w:sz w:val="36"/>
          <w:szCs w:val="36"/>
        </w:rPr>
      </w:pPr>
    </w:p>
    <w:p>
      <w:pPr>
        <w:rPr>
          <w:rFonts w:ascii="宋体" w:hAnsi="宋体" w:cs="宋体"/>
          <w:b/>
          <w:sz w:val="36"/>
          <w:szCs w:val="36"/>
        </w:rPr>
      </w:pPr>
    </w:p>
    <w:p>
      <w:pPr>
        <w:rPr>
          <w:rFonts w:ascii="宋体" w:hAnsi="宋体" w:cs="宋体"/>
          <w:b/>
          <w:sz w:val="36"/>
          <w:szCs w:val="36"/>
        </w:rPr>
      </w:pPr>
    </w:p>
    <w:p>
      <w:pPr>
        <w:tabs>
          <w:tab w:val="left" w:pos="2923"/>
        </w:tabs>
        <w:jc w:val="left"/>
        <w:rPr>
          <w:rFonts w:ascii="宋体" w:hAnsi="宋体" w:cs="宋体"/>
        </w:rPr>
        <w:sectPr>
          <w:footerReference r:id="rId7" w:type="first"/>
          <w:footerReference r:id="rId6" w:type="default"/>
          <w:pgSz w:w="11850" w:h="16783"/>
          <w:pgMar w:top="1418" w:right="1418" w:bottom="1418" w:left="1418" w:header="851" w:footer="851" w:gutter="0"/>
          <w:pgNumType w:start="2"/>
          <w:cols w:space="720" w:num="1"/>
          <w:titlePg/>
          <w:docGrid w:linePitch="312" w:charSpace="0"/>
        </w:sectPr>
      </w:pPr>
      <w:r>
        <w:rPr>
          <w:rFonts w:hint="eastAsia" w:ascii="宋体" w:hAnsi="宋体" w:cs="宋体"/>
          <w:b/>
          <w:sz w:val="36"/>
          <w:szCs w:val="36"/>
        </w:rPr>
        <w:tab/>
      </w:r>
    </w:p>
    <w:p>
      <w:pPr>
        <w:pStyle w:val="20"/>
        <w:snapToGrid w:val="0"/>
        <w:spacing w:beforeLines="0" w:afterLines="0" w:line="360" w:lineRule="auto"/>
        <w:jc w:val="center"/>
        <w:outlineLvl w:val="0"/>
        <w:rPr>
          <w:rFonts w:hAnsi="宋体" w:cs="宋体"/>
          <w:b/>
          <w:sz w:val="32"/>
          <w:szCs w:val="32"/>
        </w:rPr>
      </w:pPr>
      <w:bookmarkStart w:id="1" w:name="_Toc482808155"/>
      <w:r>
        <w:rPr>
          <w:rFonts w:hint="eastAsia" w:hAnsi="宋体" w:cs="宋体"/>
          <w:b/>
          <w:sz w:val="32"/>
          <w:szCs w:val="32"/>
        </w:rPr>
        <w:t>第一章  公开招标公告</w:t>
      </w:r>
      <w:bookmarkEnd w:id="1"/>
    </w:p>
    <w:bookmarkEnd w:id="0"/>
    <w:tbl>
      <w:tblPr>
        <w:tblStyle w:val="35"/>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8984" w:type="dxa"/>
            <w:vAlign w:val="center"/>
          </w:tcPr>
          <w:p>
            <w:pPr>
              <w:widowControl/>
              <w:adjustRightInd w:val="0"/>
              <w:snapToGrid w:val="0"/>
              <w:spacing w:line="360" w:lineRule="auto"/>
              <w:ind w:firstLine="420" w:firstLineChars="200"/>
              <w:rPr>
                <w:rFonts w:cs="Arial"/>
                <w:szCs w:val="21"/>
              </w:rPr>
            </w:pPr>
            <w:bookmarkStart w:id="2" w:name="_Toc482808156"/>
            <w:bookmarkStart w:id="3" w:name="_Toc372790137"/>
            <w:r>
              <w:rPr>
                <w:rFonts w:hint="eastAsia" w:cs="Arial"/>
                <w:szCs w:val="21"/>
              </w:rPr>
              <w:t>项目概况</w:t>
            </w:r>
          </w:p>
          <w:p>
            <w:pPr>
              <w:widowControl/>
              <w:adjustRightInd w:val="0"/>
              <w:snapToGrid w:val="0"/>
              <w:spacing w:line="360" w:lineRule="auto"/>
              <w:ind w:firstLine="420" w:firstLineChars="200"/>
              <w:rPr>
                <w:rFonts w:cs="Arial"/>
                <w:szCs w:val="21"/>
              </w:rPr>
            </w:pPr>
            <w:r>
              <w:rPr>
                <w:rFonts w:hint="eastAsia" w:cs="Arial"/>
                <w:szCs w:val="21"/>
              </w:rPr>
              <w:t>杭州市中级人民法院安防系统建设项目的潜在投标供应商应在</w:t>
            </w:r>
            <w:r>
              <w:rPr>
                <w:rFonts w:hint="eastAsia" w:cs="Arial"/>
                <w:szCs w:val="21"/>
                <w:u w:val="single"/>
              </w:rPr>
              <w:t>浙江政府采购网（http://zfcg.czt.zj.gov.cn） </w:t>
            </w:r>
            <w:r>
              <w:rPr>
                <w:rFonts w:hint="eastAsia" w:cs="Arial"/>
                <w:szCs w:val="21"/>
              </w:rPr>
              <w:t>获取（下载）招标文件，并于</w:t>
            </w:r>
            <w:r>
              <w:rPr>
                <w:rFonts w:hint="eastAsia" w:cs="Arial"/>
                <w:szCs w:val="21"/>
                <w:u w:val="single"/>
              </w:rPr>
              <w:t>2020年</w:t>
            </w:r>
            <w:r>
              <w:rPr>
                <w:rFonts w:hint="eastAsia" w:cs="Arial"/>
                <w:szCs w:val="21"/>
                <w:u w:val="single"/>
                <w:lang w:val="en-US" w:eastAsia="zh-CN"/>
              </w:rPr>
              <w:t>11</w:t>
            </w:r>
            <w:r>
              <w:rPr>
                <w:rFonts w:hint="eastAsia" w:cs="Arial"/>
                <w:szCs w:val="21"/>
                <w:u w:val="single"/>
              </w:rPr>
              <w:t>月</w:t>
            </w:r>
            <w:r>
              <w:rPr>
                <w:rFonts w:hint="eastAsia" w:cs="Arial"/>
                <w:szCs w:val="21"/>
                <w:u w:val="single"/>
                <w:lang w:val="en-US" w:eastAsia="zh-CN"/>
              </w:rPr>
              <w:t>09</w:t>
            </w:r>
            <w:r>
              <w:rPr>
                <w:rFonts w:hint="eastAsia" w:cs="Arial"/>
                <w:szCs w:val="21"/>
                <w:u w:val="single"/>
              </w:rPr>
              <w:t>日14:00</w:t>
            </w:r>
            <w:r>
              <w:rPr>
                <w:rFonts w:hint="eastAsia" w:cs="Arial"/>
                <w:szCs w:val="21"/>
              </w:rPr>
              <w:t>（北京时间）前提交（上传）投标文件。</w:t>
            </w:r>
          </w:p>
        </w:tc>
      </w:tr>
    </w:tbl>
    <w:p>
      <w:pPr>
        <w:widowControl/>
        <w:spacing w:line="360" w:lineRule="auto"/>
        <w:rPr>
          <w:rFonts w:cs="Arial"/>
          <w:kern w:val="0"/>
          <w:szCs w:val="21"/>
        </w:rPr>
      </w:pPr>
      <w:r>
        <w:rPr>
          <w:rFonts w:cs="Arial"/>
          <w:b/>
          <w:bCs/>
          <w:kern w:val="0"/>
          <w:szCs w:val="21"/>
        </w:rPr>
        <w:t>一、项目基本情况</w:t>
      </w:r>
    </w:p>
    <w:p>
      <w:pPr>
        <w:widowControl/>
        <w:adjustRightInd w:val="0"/>
        <w:snapToGrid w:val="0"/>
        <w:spacing w:line="360" w:lineRule="auto"/>
        <w:ind w:firstLine="420" w:firstLineChars="200"/>
        <w:jc w:val="left"/>
        <w:rPr>
          <w:rFonts w:cs="Arial"/>
          <w:kern w:val="0"/>
          <w:szCs w:val="21"/>
        </w:rPr>
      </w:pPr>
      <w:r>
        <w:rPr>
          <w:rFonts w:cs="Arial"/>
          <w:kern w:val="0"/>
          <w:szCs w:val="21"/>
        </w:rPr>
        <w:t>项目编号：</w:t>
      </w:r>
      <w:r>
        <w:rPr>
          <w:rFonts w:hint="eastAsia" w:cs="Arial"/>
          <w:kern w:val="0"/>
          <w:szCs w:val="21"/>
        </w:rPr>
        <w:t>DDZX2020-GK-089</w:t>
      </w:r>
    </w:p>
    <w:p>
      <w:pPr>
        <w:widowControl/>
        <w:adjustRightInd w:val="0"/>
        <w:snapToGrid w:val="0"/>
        <w:spacing w:line="360" w:lineRule="auto"/>
        <w:ind w:firstLine="420" w:firstLineChars="200"/>
        <w:jc w:val="left"/>
        <w:rPr>
          <w:rFonts w:cs="Arial"/>
          <w:kern w:val="0"/>
          <w:szCs w:val="21"/>
        </w:rPr>
      </w:pPr>
      <w:r>
        <w:rPr>
          <w:rFonts w:cs="Arial"/>
          <w:kern w:val="0"/>
          <w:szCs w:val="21"/>
        </w:rPr>
        <w:t>项目名称：</w:t>
      </w:r>
      <w:r>
        <w:rPr>
          <w:rFonts w:hint="eastAsia" w:cs="Arial"/>
          <w:kern w:val="0"/>
          <w:szCs w:val="21"/>
        </w:rPr>
        <w:t>杭州市中级人民法院安防系统建设项目</w:t>
      </w:r>
    </w:p>
    <w:p>
      <w:pPr>
        <w:widowControl/>
        <w:adjustRightInd w:val="0"/>
        <w:snapToGrid w:val="0"/>
        <w:spacing w:line="360" w:lineRule="auto"/>
        <w:ind w:firstLine="420" w:firstLineChars="200"/>
        <w:jc w:val="left"/>
        <w:rPr>
          <w:rFonts w:cs="Arial"/>
          <w:kern w:val="0"/>
          <w:szCs w:val="21"/>
        </w:rPr>
      </w:pPr>
      <w:r>
        <w:rPr>
          <w:rFonts w:cs="Arial"/>
          <w:kern w:val="0"/>
          <w:szCs w:val="21"/>
        </w:rPr>
        <w:t>预算金额（元）：</w:t>
      </w:r>
      <w:r>
        <w:rPr>
          <w:rFonts w:hint="eastAsia" w:cs="Arial"/>
          <w:kern w:val="0"/>
          <w:szCs w:val="21"/>
        </w:rPr>
        <w:t>5840000.00</w:t>
      </w:r>
      <w:r>
        <w:rPr>
          <w:rFonts w:cs="Arial"/>
          <w:kern w:val="0"/>
          <w:szCs w:val="21"/>
        </w:rPr>
        <w:t> </w:t>
      </w:r>
    </w:p>
    <w:p>
      <w:pPr>
        <w:widowControl/>
        <w:adjustRightInd w:val="0"/>
        <w:snapToGrid w:val="0"/>
        <w:spacing w:line="360" w:lineRule="auto"/>
        <w:ind w:firstLine="420" w:firstLineChars="200"/>
        <w:jc w:val="left"/>
        <w:rPr>
          <w:rFonts w:cs="Arial"/>
          <w:szCs w:val="21"/>
        </w:rPr>
      </w:pPr>
      <w:r>
        <w:rPr>
          <w:rFonts w:cs="Arial"/>
          <w:kern w:val="0"/>
          <w:szCs w:val="21"/>
        </w:rPr>
        <w:t>最高限价（元）：</w:t>
      </w:r>
      <w:r>
        <w:rPr>
          <w:rFonts w:hint="eastAsia" w:cs="Arial"/>
          <w:kern w:val="0"/>
          <w:szCs w:val="21"/>
        </w:rPr>
        <w:t>5840000.00</w:t>
      </w:r>
    </w:p>
    <w:p>
      <w:pPr>
        <w:widowControl/>
        <w:adjustRightInd w:val="0"/>
        <w:snapToGrid w:val="0"/>
        <w:spacing w:line="360" w:lineRule="auto"/>
        <w:ind w:firstLine="420" w:firstLineChars="200"/>
        <w:jc w:val="left"/>
        <w:rPr>
          <w:rFonts w:cs="Arial"/>
          <w:kern w:val="0"/>
          <w:szCs w:val="21"/>
        </w:rPr>
      </w:pPr>
      <w:r>
        <w:rPr>
          <w:rFonts w:cs="Arial"/>
          <w:kern w:val="0"/>
          <w:szCs w:val="21"/>
        </w:rPr>
        <w:t>采购需求：</w:t>
      </w:r>
    </w:p>
    <w:tbl>
      <w:tblPr>
        <w:tblStyle w:val="34"/>
        <w:tblW w:w="4941" w:type="pct"/>
        <w:tblInd w:w="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26"/>
        <w:gridCol w:w="1775"/>
        <w:gridCol w:w="595"/>
        <w:gridCol w:w="1359"/>
        <w:gridCol w:w="1111"/>
        <w:gridCol w:w="3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400" w:type="pct"/>
            <w:tcMar>
              <w:top w:w="69" w:type="dxa"/>
              <w:left w:w="137" w:type="dxa"/>
              <w:bottom w:w="69" w:type="dxa"/>
              <w:right w:w="137" w:type="dxa"/>
            </w:tcMar>
            <w:vAlign w:val="center"/>
          </w:tcPr>
          <w:p>
            <w:pPr>
              <w:widowControl/>
              <w:spacing w:line="360" w:lineRule="auto"/>
              <w:jc w:val="center"/>
              <w:rPr>
                <w:rFonts w:cs="宋体"/>
                <w:kern w:val="0"/>
                <w:szCs w:val="21"/>
              </w:rPr>
            </w:pPr>
            <w:r>
              <w:rPr>
                <w:rFonts w:cs="宋体"/>
                <w:kern w:val="0"/>
                <w:szCs w:val="21"/>
              </w:rPr>
              <w:t>标项序号</w:t>
            </w:r>
          </w:p>
        </w:tc>
        <w:tc>
          <w:tcPr>
            <w:tcW w:w="978" w:type="pct"/>
            <w:tcMar>
              <w:top w:w="69" w:type="dxa"/>
              <w:left w:w="137" w:type="dxa"/>
              <w:bottom w:w="69" w:type="dxa"/>
              <w:right w:w="137" w:type="dxa"/>
            </w:tcMar>
            <w:vAlign w:val="center"/>
          </w:tcPr>
          <w:p>
            <w:pPr>
              <w:widowControl/>
              <w:spacing w:line="360" w:lineRule="auto"/>
              <w:jc w:val="center"/>
              <w:rPr>
                <w:rFonts w:cs="宋体"/>
                <w:kern w:val="0"/>
                <w:szCs w:val="21"/>
              </w:rPr>
            </w:pPr>
            <w:r>
              <w:rPr>
                <w:rFonts w:cs="宋体"/>
                <w:kern w:val="0"/>
                <w:szCs w:val="21"/>
              </w:rPr>
              <w:t>标项名称</w:t>
            </w:r>
          </w:p>
        </w:tc>
        <w:tc>
          <w:tcPr>
            <w:tcW w:w="328" w:type="pct"/>
            <w:tcMar>
              <w:top w:w="69" w:type="dxa"/>
              <w:left w:w="137" w:type="dxa"/>
              <w:bottom w:w="69" w:type="dxa"/>
              <w:right w:w="137" w:type="dxa"/>
            </w:tcMar>
            <w:vAlign w:val="center"/>
          </w:tcPr>
          <w:p>
            <w:pPr>
              <w:widowControl/>
              <w:spacing w:line="360" w:lineRule="auto"/>
              <w:jc w:val="center"/>
              <w:rPr>
                <w:rFonts w:cs="宋体"/>
                <w:kern w:val="0"/>
                <w:szCs w:val="21"/>
              </w:rPr>
            </w:pPr>
            <w:r>
              <w:rPr>
                <w:rFonts w:cs="宋体"/>
                <w:kern w:val="0"/>
                <w:szCs w:val="21"/>
              </w:rPr>
              <w:t>数量</w:t>
            </w:r>
          </w:p>
        </w:tc>
        <w:tc>
          <w:tcPr>
            <w:tcW w:w="749" w:type="pct"/>
            <w:tcMar>
              <w:top w:w="69" w:type="dxa"/>
              <w:left w:w="137" w:type="dxa"/>
              <w:bottom w:w="69" w:type="dxa"/>
              <w:right w:w="137" w:type="dxa"/>
            </w:tcMar>
            <w:vAlign w:val="center"/>
          </w:tcPr>
          <w:p>
            <w:pPr>
              <w:widowControl/>
              <w:spacing w:line="360" w:lineRule="auto"/>
              <w:jc w:val="center"/>
              <w:rPr>
                <w:rFonts w:cs="宋体"/>
                <w:kern w:val="0"/>
                <w:szCs w:val="21"/>
                <w:highlight w:val="yellow"/>
              </w:rPr>
            </w:pPr>
            <w:r>
              <w:rPr>
                <w:rFonts w:cs="宋体"/>
                <w:kern w:val="0"/>
                <w:szCs w:val="21"/>
              </w:rPr>
              <w:t>预算金额(元)</w:t>
            </w:r>
          </w:p>
        </w:tc>
        <w:tc>
          <w:tcPr>
            <w:tcW w:w="612" w:type="pct"/>
            <w:tcMar>
              <w:top w:w="69" w:type="dxa"/>
              <w:left w:w="137" w:type="dxa"/>
              <w:bottom w:w="69" w:type="dxa"/>
              <w:right w:w="137" w:type="dxa"/>
            </w:tcMar>
            <w:vAlign w:val="center"/>
          </w:tcPr>
          <w:p>
            <w:pPr>
              <w:widowControl/>
              <w:spacing w:line="360" w:lineRule="auto"/>
              <w:jc w:val="center"/>
              <w:rPr>
                <w:rFonts w:cs="宋体"/>
                <w:kern w:val="0"/>
                <w:szCs w:val="21"/>
              </w:rPr>
            </w:pPr>
            <w:r>
              <w:rPr>
                <w:rFonts w:cs="宋体"/>
                <w:kern w:val="0"/>
                <w:szCs w:val="21"/>
              </w:rPr>
              <w:t>单位</w:t>
            </w:r>
          </w:p>
        </w:tc>
        <w:tc>
          <w:tcPr>
            <w:tcW w:w="1930" w:type="pct"/>
            <w:tcMar>
              <w:top w:w="69" w:type="dxa"/>
              <w:left w:w="137" w:type="dxa"/>
              <w:bottom w:w="69" w:type="dxa"/>
              <w:right w:w="137" w:type="dxa"/>
            </w:tcMar>
            <w:vAlign w:val="center"/>
          </w:tcPr>
          <w:p>
            <w:pPr>
              <w:widowControl/>
              <w:spacing w:line="360" w:lineRule="auto"/>
              <w:jc w:val="center"/>
              <w:rPr>
                <w:rFonts w:cs="宋体"/>
                <w:kern w:val="0"/>
                <w:szCs w:val="21"/>
              </w:rPr>
            </w:pPr>
            <w:r>
              <w:rPr>
                <w:rFonts w:cs="宋体"/>
                <w:kern w:val="0"/>
                <w:szCs w:val="21"/>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rPr>
        <w:tc>
          <w:tcPr>
            <w:tcW w:w="400" w:type="pct"/>
            <w:tcMar>
              <w:top w:w="69" w:type="dxa"/>
              <w:left w:w="137" w:type="dxa"/>
              <w:bottom w:w="69" w:type="dxa"/>
              <w:right w:w="137" w:type="dxa"/>
            </w:tcMar>
            <w:vAlign w:val="center"/>
          </w:tcPr>
          <w:p>
            <w:pPr>
              <w:widowControl/>
              <w:spacing w:line="360" w:lineRule="auto"/>
              <w:jc w:val="center"/>
              <w:rPr>
                <w:rFonts w:cs="宋体"/>
                <w:kern w:val="0"/>
                <w:szCs w:val="21"/>
              </w:rPr>
            </w:pPr>
            <w:r>
              <w:rPr>
                <w:rFonts w:hint="eastAsia" w:cs="宋体"/>
                <w:kern w:val="0"/>
                <w:szCs w:val="21"/>
              </w:rPr>
              <w:t>一</w:t>
            </w:r>
          </w:p>
        </w:tc>
        <w:tc>
          <w:tcPr>
            <w:tcW w:w="978" w:type="pct"/>
            <w:tcMar>
              <w:top w:w="69" w:type="dxa"/>
              <w:left w:w="137" w:type="dxa"/>
              <w:bottom w:w="69" w:type="dxa"/>
              <w:right w:w="137" w:type="dxa"/>
            </w:tcMar>
            <w:vAlign w:val="center"/>
          </w:tcPr>
          <w:p>
            <w:pPr>
              <w:widowControl/>
              <w:spacing w:line="360" w:lineRule="auto"/>
              <w:jc w:val="left"/>
              <w:rPr>
                <w:rFonts w:cs="宋体"/>
                <w:kern w:val="0"/>
                <w:szCs w:val="21"/>
              </w:rPr>
            </w:pPr>
            <w:r>
              <w:rPr>
                <w:rFonts w:hint="eastAsia" w:cs="Arial"/>
                <w:kern w:val="0"/>
                <w:szCs w:val="21"/>
              </w:rPr>
              <w:t>杭州市中级人民法院安防系统建设项目</w:t>
            </w:r>
          </w:p>
        </w:tc>
        <w:tc>
          <w:tcPr>
            <w:tcW w:w="328" w:type="pct"/>
            <w:tcMar>
              <w:top w:w="69" w:type="dxa"/>
              <w:left w:w="137" w:type="dxa"/>
              <w:bottom w:w="69" w:type="dxa"/>
              <w:right w:w="137" w:type="dxa"/>
            </w:tcMar>
            <w:vAlign w:val="center"/>
          </w:tcPr>
          <w:p>
            <w:pPr>
              <w:widowControl/>
              <w:spacing w:line="360" w:lineRule="auto"/>
              <w:jc w:val="center"/>
              <w:rPr>
                <w:rFonts w:cs="宋体"/>
                <w:kern w:val="0"/>
                <w:szCs w:val="21"/>
              </w:rPr>
            </w:pPr>
            <w:r>
              <w:rPr>
                <w:rFonts w:hint="eastAsia" w:cs="宋体"/>
                <w:kern w:val="0"/>
                <w:szCs w:val="21"/>
              </w:rPr>
              <w:t>1</w:t>
            </w:r>
          </w:p>
        </w:tc>
        <w:tc>
          <w:tcPr>
            <w:tcW w:w="749" w:type="pct"/>
            <w:tcMar>
              <w:top w:w="69" w:type="dxa"/>
              <w:left w:w="137" w:type="dxa"/>
              <w:bottom w:w="69" w:type="dxa"/>
              <w:right w:w="137" w:type="dxa"/>
            </w:tcMar>
            <w:vAlign w:val="center"/>
          </w:tcPr>
          <w:p>
            <w:pPr>
              <w:widowControl/>
              <w:spacing w:line="360" w:lineRule="auto"/>
              <w:jc w:val="center"/>
              <w:rPr>
                <w:rFonts w:cs="宋体"/>
                <w:kern w:val="0"/>
                <w:szCs w:val="21"/>
              </w:rPr>
            </w:pPr>
            <w:r>
              <w:rPr>
                <w:rFonts w:hint="eastAsia" w:cs="Arial"/>
                <w:kern w:val="0"/>
                <w:szCs w:val="21"/>
              </w:rPr>
              <w:t>5840000.00</w:t>
            </w:r>
          </w:p>
        </w:tc>
        <w:tc>
          <w:tcPr>
            <w:tcW w:w="612" w:type="pct"/>
            <w:tcMar>
              <w:top w:w="69" w:type="dxa"/>
              <w:left w:w="137" w:type="dxa"/>
              <w:bottom w:w="69" w:type="dxa"/>
              <w:right w:w="137" w:type="dxa"/>
            </w:tcMar>
            <w:vAlign w:val="center"/>
          </w:tcPr>
          <w:p>
            <w:pPr>
              <w:widowControl/>
              <w:spacing w:line="360" w:lineRule="auto"/>
              <w:jc w:val="center"/>
              <w:rPr>
                <w:rFonts w:cs="宋体"/>
                <w:kern w:val="0"/>
                <w:szCs w:val="21"/>
              </w:rPr>
            </w:pPr>
            <w:r>
              <w:rPr>
                <w:rFonts w:hint="eastAsia" w:cs="宋体"/>
                <w:kern w:val="0"/>
                <w:szCs w:val="21"/>
              </w:rPr>
              <w:t>项</w:t>
            </w:r>
          </w:p>
        </w:tc>
        <w:tc>
          <w:tcPr>
            <w:tcW w:w="1930" w:type="pct"/>
            <w:tcMar>
              <w:top w:w="69" w:type="dxa"/>
              <w:left w:w="137" w:type="dxa"/>
              <w:bottom w:w="69" w:type="dxa"/>
              <w:right w:w="137" w:type="dxa"/>
            </w:tcMar>
            <w:vAlign w:val="center"/>
          </w:tcPr>
          <w:p>
            <w:pPr>
              <w:spacing w:line="360" w:lineRule="auto"/>
              <w:ind w:firstLine="630" w:firstLineChars="300"/>
              <w:jc w:val="left"/>
              <w:rPr>
                <w:rFonts w:cs="宋体"/>
                <w:kern w:val="0"/>
                <w:szCs w:val="21"/>
              </w:rPr>
            </w:pPr>
            <w:r>
              <w:rPr>
                <w:rFonts w:hint="eastAsia" w:cs="宋体"/>
                <w:kern w:val="0"/>
                <w:szCs w:val="21"/>
              </w:rPr>
              <w:t>详见采购文件第四部分。</w:t>
            </w:r>
          </w:p>
        </w:tc>
      </w:tr>
    </w:tbl>
    <w:p>
      <w:pPr>
        <w:widowControl/>
        <w:spacing w:line="360" w:lineRule="auto"/>
        <w:ind w:firstLine="420" w:firstLineChars="200"/>
        <w:jc w:val="left"/>
        <w:rPr>
          <w:rFonts w:cs="Arial"/>
          <w:kern w:val="0"/>
          <w:szCs w:val="21"/>
        </w:rPr>
      </w:pPr>
      <w:r>
        <w:rPr>
          <w:rFonts w:cs="Arial"/>
          <w:kern w:val="0"/>
          <w:szCs w:val="21"/>
        </w:rPr>
        <w:t>合同履行期限：</w:t>
      </w:r>
      <w:r>
        <w:rPr>
          <w:rFonts w:hint="eastAsia" w:cs="Arial"/>
          <w:kern w:val="0"/>
          <w:szCs w:val="21"/>
        </w:rPr>
        <w:t>60日历天。（合同签订后30日内完成设备供货，供货后30日内完成安装调试、系统集成，初验合格后进入试运行。）。</w:t>
      </w:r>
    </w:p>
    <w:p>
      <w:pPr>
        <w:widowControl/>
        <w:spacing w:line="360" w:lineRule="auto"/>
        <w:ind w:firstLine="420" w:firstLineChars="200"/>
        <w:jc w:val="left"/>
        <w:rPr>
          <w:rFonts w:cs="Arial"/>
          <w:kern w:val="0"/>
          <w:szCs w:val="21"/>
        </w:rPr>
      </w:pPr>
      <w:r>
        <w:rPr>
          <w:rFonts w:hint="eastAsia" w:cs="Arial"/>
          <w:szCs w:val="21"/>
        </w:rPr>
        <w:t>本项目</w:t>
      </w:r>
      <w:r>
        <w:rPr>
          <w:rFonts w:hint="eastAsia" w:cs="Arial"/>
          <w:iCs/>
          <w:szCs w:val="21"/>
        </w:rPr>
        <w:t>（否）</w:t>
      </w:r>
      <w:r>
        <w:rPr>
          <w:rFonts w:hint="eastAsia" w:cs="Arial"/>
          <w:szCs w:val="21"/>
        </w:rPr>
        <w:t>接受联合体</w:t>
      </w:r>
      <w:r>
        <w:rPr>
          <w:rFonts w:cs="Arial"/>
          <w:kern w:val="0"/>
          <w:szCs w:val="21"/>
        </w:rPr>
        <w:t>投标。</w:t>
      </w:r>
    </w:p>
    <w:p>
      <w:pPr>
        <w:widowControl/>
        <w:spacing w:line="360" w:lineRule="auto"/>
        <w:rPr>
          <w:rFonts w:cs="Arial"/>
          <w:kern w:val="0"/>
          <w:szCs w:val="21"/>
        </w:rPr>
      </w:pPr>
      <w:r>
        <w:rPr>
          <w:rFonts w:cs="Arial"/>
          <w:b/>
          <w:bCs/>
          <w:kern w:val="0"/>
          <w:szCs w:val="21"/>
        </w:rPr>
        <w:t>二、申请人的资格要求：</w:t>
      </w:r>
    </w:p>
    <w:p>
      <w:pPr>
        <w:widowControl/>
        <w:spacing w:line="360" w:lineRule="auto"/>
        <w:ind w:firstLine="420" w:firstLineChars="200"/>
        <w:jc w:val="left"/>
        <w:rPr>
          <w:rFonts w:cs="宋体"/>
          <w:kern w:val="0"/>
          <w:szCs w:val="21"/>
        </w:rPr>
      </w:pPr>
      <w:r>
        <w:rPr>
          <w:rFonts w:hint="eastAsia" w:cs="宋体"/>
          <w:kern w:val="0"/>
          <w:szCs w:val="21"/>
        </w:rPr>
        <w:t>1.满足《中华人民共和国政府采购法》第二十二条规定；</w:t>
      </w:r>
    </w:p>
    <w:p>
      <w:pPr>
        <w:widowControl/>
        <w:spacing w:line="360" w:lineRule="auto"/>
        <w:ind w:firstLine="420" w:firstLineChars="200"/>
        <w:jc w:val="left"/>
        <w:rPr>
          <w:rFonts w:cs="宋体"/>
          <w:kern w:val="0"/>
          <w:szCs w:val="21"/>
        </w:rPr>
      </w:pPr>
      <w:r>
        <w:rPr>
          <w:rFonts w:hint="eastAsia" w:cs="宋体"/>
          <w:kern w:val="0"/>
          <w:szCs w:val="21"/>
        </w:rPr>
        <w:t>2.落实政府采购政策需满足的资格要求：</w:t>
      </w:r>
      <w:r>
        <w:rPr>
          <w:rFonts w:hint="eastAsia" w:cs="宋体"/>
          <w:i/>
          <w:iCs/>
          <w:szCs w:val="21"/>
        </w:rPr>
        <w:t>无</w:t>
      </w:r>
      <w:r>
        <w:rPr>
          <w:rFonts w:hint="eastAsia" w:cs="宋体"/>
          <w:kern w:val="0"/>
          <w:szCs w:val="21"/>
        </w:rPr>
        <w:t> </w:t>
      </w:r>
    </w:p>
    <w:p>
      <w:pPr>
        <w:widowControl/>
        <w:spacing w:line="360" w:lineRule="auto"/>
        <w:ind w:firstLine="420" w:firstLineChars="200"/>
        <w:jc w:val="left"/>
        <w:rPr>
          <w:rFonts w:cs="宋体"/>
          <w:kern w:val="0"/>
          <w:szCs w:val="21"/>
        </w:rPr>
      </w:pPr>
      <w:r>
        <w:rPr>
          <w:rFonts w:hint="eastAsia" w:cs="宋体"/>
          <w:kern w:val="0"/>
          <w:szCs w:val="21"/>
        </w:rPr>
        <w:t>3.本项目的特定资格要求：无</w:t>
      </w:r>
    </w:p>
    <w:p>
      <w:pPr>
        <w:widowControl/>
        <w:spacing w:line="360" w:lineRule="auto"/>
        <w:rPr>
          <w:rFonts w:cs="Arial"/>
          <w:kern w:val="0"/>
          <w:szCs w:val="21"/>
        </w:rPr>
      </w:pPr>
      <w:r>
        <w:rPr>
          <w:rFonts w:cs="Arial"/>
          <w:b/>
          <w:bCs/>
          <w:kern w:val="0"/>
          <w:szCs w:val="21"/>
        </w:rPr>
        <w:t>三、获取招标文件</w:t>
      </w:r>
    </w:p>
    <w:p>
      <w:pPr>
        <w:widowControl/>
        <w:spacing w:line="360" w:lineRule="auto"/>
        <w:jc w:val="left"/>
        <w:rPr>
          <w:rFonts w:cs="Arial"/>
          <w:kern w:val="0"/>
          <w:szCs w:val="21"/>
        </w:rPr>
      </w:pPr>
      <w:r>
        <w:rPr>
          <w:rFonts w:cs="Arial"/>
          <w:kern w:val="0"/>
          <w:szCs w:val="21"/>
        </w:rPr>
        <w:t xml:space="preserve">    </w:t>
      </w:r>
      <w:r>
        <w:rPr>
          <w:rFonts w:hint="eastAsia" w:cs="Arial"/>
          <w:kern w:val="0"/>
          <w:szCs w:val="21"/>
        </w:rPr>
        <w:t xml:space="preserve"> </w:t>
      </w:r>
      <w:r>
        <w:rPr>
          <w:rFonts w:cs="Arial"/>
          <w:kern w:val="0"/>
          <w:szCs w:val="21"/>
          <w:highlight w:val="none"/>
        </w:rPr>
        <w:t>时间：</w:t>
      </w:r>
      <w:r>
        <w:rPr>
          <w:rFonts w:cs="Arial"/>
          <w:kern w:val="0"/>
          <w:szCs w:val="21"/>
          <w:highlight w:val="none"/>
          <w:u w:val="single"/>
        </w:rPr>
        <w:t> </w:t>
      </w:r>
      <w:r>
        <w:rPr>
          <w:rFonts w:hint="eastAsia" w:cs="Arial"/>
          <w:i/>
          <w:iCs/>
          <w:szCs w:val="21"/>
          <w:highlight w:val="none"/>
          <w:u w:val="single"/>
        </w:rPr>
        <w:t>/</w:t>
      </w:r>
      <w:r>
        <w:rPr>
          <w:rFonts w:cs="Arial"/>
          <w:kern w:val="0"/>
          <w:szCs w:val="21"/>
          <w:highlight w:val="none"/>
          <w:u w:val="single"/>
        </w:rPr>
        <w:t> </w:t>
      </w:r>
      <w:r>
        <w:rPr>
          <w:rFonts w:cs="Arial"/>
          <w:kern w:val="0"/>
          <w:szCs w:val="21"/>
          <w:highlight w:val="none"/>
        </w:rPr>
        <w:t>至 </w:t>
      </w:r>
      <w:r>
        <w:rPr>
          <w:rFonts w:cs="Arial"/>
          <w:kern w:val="0"/>
          <w:szCs w:val="21"/>
          <w:highlight w:val="none"/>
          <w:u w:val="single"/>
        </w:rPr>
        <w:t> </w:t>
      </w:r>
      <w:r>
        <w:rPr>
          <w:rFonts w:hint="eastAsia" w:cs="Arial"/>
          <w:i/>
          <w:iCs/>
          <w:szCs w:val="21"/>
          <w:highlight w:val="none"/>
          <w:u w:val="single"/>
        </w:rPr>
        <w:t>2020年</w:t>
      </w:r>
      <w:r>
        <w:rPr>
          <w:rFonts w:hint="eastAsia" w:cs="Arial"/>
          <w:i/>
          <w:iCs/>
          <w:szCs w:val="21"/>
          <w:highlight w:val="none"/>
          <w:u w:val="single"/>
          <w:lang w:val="en-US" w:eastAsia="zh-CN"/>
        </w:rPr>
        <w:t>11</w:t>
      </w:r>
      <w:r>
        <w:rPr>
          <w:rFonts w:hint="eastAsia" w:cs="Arial"/>
          <w:i/>
          <w:iCs/>
          <w:szCs w:val="21"/>
          <w:highlight w:val="none"/>
          <w:u w:val="single"/>
        </w:rPr>
        <w:t>月</w:t>
      </w:r>
      <w:r>
        <w:rPr>
          <w:rFonts w:hint="eastAsia" w:cs="Arial"/>
          <w:i/>
          <w:iCs/>
          <w:szCs w:val="21"/>
          <w:highlight w:val="none"/>
          <w:u w:val="single"/>
          <w:lang w:val="en-US" w:eastAsia="zh-CN"/>
        </w:rPr>
        <w:t>09</w:t>
      </w:r>
      <w:r>
        <w:rPr>
          <w:rFonts w:hint="eastAsia" w:cs="Arial"/>
          <w:i/>
          <w:iCs/>
          <w:szCs w:val="21"/>
          <w:highlight w:val="none"/>
          <w:u w:val="single"/>
        </w:rPr>
        <w:t xml:space="preserve">日 </w:t>
      </w:r>
      <w:r>
        <w:rPr>
          <w:rFonts w:cs="Arial"/>
          <w:kern w:val="0"/>
          <w:szCs w:val="21"/>
          <w:u w:val="single"/>
        </w:rPr>
        <w:t> </w:t>
      </w:r>
      <w:r>
        <w:rPr>
          <w:rFonts w:cs="Arial"/>
          <w:kern w:val="0"/>
          <w:szCs w:val="21"/>
        </w:rPr>
        <w:t>，每天上午</w:t>
      </w:r>
      <w:r>
        <w:rPr>
          <w:rFonts w:cs="Arial"/>
          <w:kern w:val="0"/>
          <w:szCs w:val="21"/>
          <w:u w:val="single"/>
        </w:rPr>
        <w:t> 00:00至12:00</w:t>
      </w:r>
      <w:r>
        <w:rPr>
          <w:rFonts w:cs="Arial"/>
          <w:kern w:val="0"/>
          <w:szCs w:val="21"/>
        </w:rPr>
        <w:t> ，下午</w:t>
      </w:r>
      <w:r>
        <w:rPr>
          <w:rFonts w:cs="Arial"/>
          <w:kern w:val="0"/>
          <w:szCs w:val="21"/>
          <w:u w:val="single"/>
        </w:rPr>
        <w:t> 12:00至23:59 </w:t>
      </w:r>
      <w:r>
        <w:rPr>
          <w:rFonts w:cs="Arial"/>
          <w:kern w:val="0"/>
          <w:szCs w:val="21"/>
        </w:rPr>
        <w:t>（北京时间，线上获取法定节假日均可，线下获取文件法定节假日除外）</w:t>
      </w:r>
    </w:p>
    <w:p>
      <w:pPr>
        <w:widowControl/>
        <w:spacing w:line="360" w:lineRule="auto"/>
        <w:ind w:firstLine="420" w:firstLineChars="200"/>
        <w:jc w:val="left"/>
        <w:rPr>
          <w:rFonts w:cs="Arial"/>
          <w:kern w:val="0"/>
          <w:szCs w:val="21"/>
        </w:rPr>
      </w:pPr>
      <w:r>
        <w:rPr>
          <w:rFonts w:cs="Arial"/>
          <w:kern w:val="0"/>
          <w:szCs w:val="21"/>
        </w:rPr>
        <w:t>地点（网址）：政府采购云平台（www.zcygov.cn）</w:t>
      </w:r>
    </w:p>
    <w:p>
      <w:pPr>
        <w:widowControl/>
        <w:spacing w:line="360" w:lineRule="auto"/>
        <w:ind w:firstLine="420" w:firstLineChars="200"/>
        <w:jc w:val="left"/>
        <w:rPr>
          <w:rFonts w:cs="Arial"/>
          <w:kern w:val="0"/>
          <w:szCs w:val="21"/>
        </w:rPr>
      </w:pPr>
      <w:r>
        <w:rPr>
          <w:rFonts w:cs="Arial"/>
          <w:kern w:val="0"/>
          <w:szCs w:val="21"/>
        </w:rPr>
        <w:t>方式：</w:t>
      </w:r>
      <w:r>
        <w:rPr>
          <w:rFonts w:hint="eastAsia" w:cs="Arial"/>
          <w:kern w:val="0"/>
          <w:szCs w:val="21"/>
        </w:rPr>
        <w:t>自行下载</w:t>
      </w:r>
    </w:p>
    <w:p>
      <w:pPr>
        <w:widowControl/>
        <w:spacing w:line="360" w:lineRule="auto"/>
        <w:jc w:val="left"/>
        <w:rPr>
          <w:rFonts w:cs="Arial"/>
          <w:kern w:val="0"/>
          <w:szCs w:val="21"/>
        </w:rPr>
      </w:pPr>
      <w:r>
        <w:rPr>
          <w:rFonts w:cs="Arial"/>
          <w:kern w:val="0"/>
          <w:szCs w:val="21"/>
        </w:rPr>
        <w:t xml:space="preserve">    </w:t>
      </w:r>
      <w:r>
        <w:rPr>
          <w:rFonts w:hint="eastAsia" w:cs="Arial"/>
          <w:kern w:val="0"/>
          <w:szCs w:val="21"/>
        </w:rPr>
        <w:t xml:space="preserve"> </w:t>
      </w:r>
      <w:r>
        <w:rPr>
          <w:rFonts w:cs="Arial"/>
          <w:kern w:val="0"/>
          <w:szCs w:val="21"/>
        </w:rPr>
        <w:t>售价（元）：0 </w:t>
      </w:r>
    </w:p>
    <w:p>
      <w:pPr>
        <w:widowControl/>
        <w:spacing w:line="360" w:lineRule="auto"/>
        <w:rPr>
          <w:rFonts w:cs="Arial"/>
          <w:kern w:val="0"/>
          <w:szCs w:val="21"/>
        </w:rPr>
      </w:pPr>
      <w:r>
        <w:rPr>
          <w:rFonts w:cs="Arial"/>
          <w:b/>
          <w:bCs/>
          <w:kern w:val="0"/>
          <w:szCs w:val="21"/>
        </w:rPr>
        <w:t>四、提交投标文件截止时间、开标时间和地点</w:t>
      </w:r>
    </w:p>
    <w:p>
      <w:pPr>
        <w:widowControl/>
        <w:spacing w:line="360" w:lineRule="auto"/>
        <w:ind w:firstLine="420" w:firstLineChars="200"/>
        <w:jc w:val="left"/>
        <w:rPr>
          <w:rFonts w:cs="Arial"/>
          <w:kern w:val="0"/>
          <w:szCs w:val="21"/>
        </w:rPr>
      </w:pPr>
      <w:r>
        <w:rPr>
          <w:rFonts w:cs="Arial"/>
          <w:kern w:val="0"/>
          <w:szCs w:val="21"/>
        </w:rPr>
        <w:t>提交投标文件截止时间：</w:t>
      </w:r>
      <w:r>
        <w:rPr>
          <w:rFonts w:hint="eastAsia" w:cs="Arial"/>
          <w:kern w:val="0"/>
          <w:szCs w:val="21"/>
          <w:highlight w:val="none"/>
          <w:u w:val="single"/>
        </w:rPr>
        <w:t>2020</w:t>
      </w:r>
      <w:r>
        <w:rPr>
          <w:rFonts w:cs="Arial"/>
          <w:kern w:val="0"/>
          <w:szCs w:val="21"/>
          <w:highlight w:val="none"/>
          <w:u w:val="single"/>
        </w:rPr>
        <w:t>年</w:t>
      </w:r>
      <w:r>
        <w:rPr>
          <w:rFonts w:hint="eastAsia" w:cs="Arial"/>
          <w:kern w:val="0"/>
          <w:szCs w:val="21"/>
          <w:highlight w:val="none"/>
          <w:u w:val="single"/>
          <w:lang w:val="en-US" w:eastAsia="zh-CN"/>
        </w:rPr>
        <w:t>11</w:t>
      </w:r>
      <w:r>
        <w:rPr>
          <w:rFonts w:cs="Arial"/>
          <w:kern w:val="0"/>
          <w:szCs w:val="21"/>
          <w:highlight w:val="none"/>
          <w:u w:val="single"/>
        </w:rPr>
        <w:t>月</w:t>
      </w:r>
      <w:r>
        <w:rPr>
          <w:rFonts w:hint="eastAsia" w:cs="Arial"/>
          <w:kern w:val="0"/>
          <w:szCs w:val="21"/>
          <w:highlight w:val="none"/>
          <w:u w:val="single"/>
          <w:lang w:val="en-US" w:eastAsia="zh-CN"/>
        </w:rPr>
        <w:t>09</w:t>
      </w:r>
      <w:r>
        <w:rPr>
          <w:rFonts w:cs="Arial"/>
          <w:kern w:val="0"/>
          <w:szCs w:val="21"/>
          <w:highlight w:val="none"/>
          <w:u w:val="single"/>
        </w:rPr>
        <w:t>日</w:t>
      </w:r>
      <w:r>
        <w:rPr>
          <w:rFonts w:hint="eastAsia" w:cs="Arial"/>
          <w:kern w:val="0"/>
          <w:szCs w:val="21"/>
          <w:highlight w:val="none"/>
          <w:u w:val="single"/>
        </w:rPr>
        <w:t>14</w:t>
      </w:r>
      <w:r>
        <w:rPr>
          <w:rFonts w:cs="Arial"/>
          <w:kern w:val="0"/>
          <w:szCs w:val="21"/>
          <w:highlight w:val="none"/>
          <w:u w:val="single"/>
        </w:rPr>
        <w:t>:</w:t>
      </w:r>
      <w:r>
        <w:rPr>
          <w:rFonts w:hint="eastAsia" w:cs="Arial"/>
          <w:kern w:val="0"/>
          <w:szCs w:val="21"/>
          <w:highlight w:val="none"/>
          <w:u w:val="single"/>
        </w:rPr>
        <w:t>00</w:t>
      </w:r>
      <w:r>
        <w:rPr>
          <w:rFonts w:cs="Arial"/>
          <w:kern w:val="0"/>
          <w:szCs w:val="21"/>
        </w:rPr>
        <w:t>（北京时间）</w:t>
      </w:r>
    </w:p>
    <w:p>
      <w:pPr>
        <w:widowControl/>
        <w:spacing w:line="360" w:lineRule="auto"/>
        <w:ind w:firstLine="420" w:firstLineChars="200"/>
        <w:jc w:val="left"/>
        <w:rPr>
          <w:rFonts w:cs="Arial"/>
          <w:kern w:val="0"/>
          <w:szCs w:val="21"/>
          <w:u w:val="single"/>
        </w:rPr>
      </w:pPr>
      <w:r>
        <w:rPr>
          <w:rFonts w:cs="Arial"/>
          <w:kern w:val="0"/>
          <w:szCs w:val="21"/>
        </w:rPr>
        <w:t>投标地点（网址）：</w:t>
      </w:r>
      <w:r>
        <w:rPr>
          <w:rFonts w:cs="Arial"/>
          <w:kern w:val="0"/>
          <w:szCs w:val="21"/>
          <w:u w:val="single"/>
        </w:rPr>
        <w:t>线上（政府采购云平台（www.zcygov.cn））</w:t>
      </w:r>
      <w:r>
        <w:rPr>
          <w:rFonts w:hint="eastAsia" w:cs="Arial"/>
          <w:kern w:val="0"/>
          <w:szCs w:val="21"/>
          <w:u w:val="single"/>
        </w:rPr>
        <w:t>；</w:t>
      </w:r>
    </w:p>
    <w:p>
      <w:pPr>
        <w:pStyle w:val="25"/>
        <w:spacing w:line="360" w:lineRule="auto"/>
        <w:ind w:firstLine="420" w:firstLineChars="200"/>
        <w:jc w:val="both"/>
      </w:pPr>
      <w:r>
        <w:rPr>
          <w:rFonts w:hint="eastAsia" w:cs="Arial"/>
          <w:kern w:val="0"/>
          <w:szCs w:val="21"/>
        </w:rPr>
        <w:t>（备份投标文件）：线下（</w:t>
      </w:r>
      <w:r>
        <w:rPr>
          <w:rFonts w:hint="eastAsia" w:ascii="宋体" w:hAnsi="宋体" w:cs="宋体"/>
          <w:kern w:val="0"/>
          <w:szCs w:val="21"/>
        </w:rPr>
        <w:t>杭州市杭海路238号森禾广场B座15楼</w:t>
      </w:r>
      <w:r>
        <w:rPr>
          <w:rFonts w:hint="eastAsia" w:cs="Arial"/>
          <w:kern w:val="0"/>
          <w:szCs w:val="21"/>
        </w:rPr>
        <w:t>）；</w:t>
      </w:r>
    </w:p>
    <w:p>
      <w:pPr>
        <w:widowControl/>
        <w:spacing w:line="360" w:lineRule="auto"/>
        <w:ind w:firstLine="420" w:firstLineChars="200"/>
        <w:jc w:val="left"/>
        <w:rPr>
          <w:rFonts w:cs="Arial"/>
          <w:kern w:val="0"/>
          <w:szCs w:val="21"/>
          <w:u w:val="single"/>
        </w:rPr>
      </w:pPr>
      <w:r>
        <w:rPr>
          <w:rFonts w:cs="Arial"/>
          <w:kern w:val="0"/>
          <w:szCs w:val="21"/>
        </w:rPr>
        <w:t>开标时间：</w:t>
      </w:r>
      <w:r>
        <w:rPr>
          <w:rFonts w:hint="eastAsia" w:cs="Arial"/>
          <w:kern w:val="0"/>
          <w:szCs w:val="21"/>
          <w:highlight w:val="none"/>
          <w:u w:val="single"/>
        </w:rPr>
        <w:t>2020</w:t>
      </w:r>
      <w:r>
        <w:rPr>
          <w:rFonts w:cs="Arial"/>
          <w:kern w:val="0"/>
          <w:szCs w:val="21"/>
          <w:highlight w:val="none"/>
          <w:u w:val="single"/>
        </w:rPr>
        <w:t>年</w:t>
      </w:r>
      <w:r>
        <w:rPr>
          <w:rFonts w:hint="eastAsia" w:cs="Arial"/>
          <w:kern w:val="0"/>
          <w:szCs w:val="21"/>
          <w:highlight w:val="none"/>
          <w:u w:val="single"/>
          <w:lang w:val="en-US" w:eastAsia="zh-CN"/>
        </w:rPr>
        <w:t>11</w:t>
      </w:r>
      <w:r>
        <w:rPr>
          <w:rFonts w:cs="Arial"/>
          <w:kern w:val="0"/>
          <w:szCs w:val="21"/>
          <w:highlight w:val="none"/>
          <w:u w:val="single"/>
        </w:rPr>
        <w:t>月</w:t>
      </w:r>
      <w:r>
        <w:rPr>
          <w:rFonts w:hint="eastAsia" w:cs="Arial"/>
          <w:kern w:val="0"/>
          <w:szCs w:val="21"/>
          <w:highlight w:val="none"/>
          <w:u w:val="single"/>
          <w:lang w:val="en-US" w:eastAsia="zh-CN"/>
        </w:rPr>
        <w:t>09</w:t>
      </w:r>
      <w:r>
        <w:rPr>
          <w:rFonts w:cs="Arial"/>
          <w:kern w:val="0"/>
          <w:szCs w:val="21"/>
          <w:highlight w:val="none"/>
          <w:u w:val="single"/>
        </w:rPr>
        <w:t>日</w:t>
      </w:r>
      <w:r>
        <w:rPr>
          <w:rFonts w:hint="eastAsia" w:cs="Arial"/>
          <w:kern w:val="0"/>
          <w:szCs w:val="21"/>
          <w:highlight w:val="none"/>
          <w:u w:val="single"/>
        </w:rPr>
        <w:t>14</w:t>
      </w:r>
      <w:r>
        <w:rPr>
          <w:rFonts w:cs="Arial"/>
          <w:kern w:val="0"/>
          <w:szCs w:val="21"/>
          <w:highlight w:val="none"/>
          <w:u w:val="single"/>
        </w:rPr>
        <w:t>:</w:t>
      </w:r>
      <w:r>
        <w:rPr>
          <w:rFonts w:hint="eastAsia" w:cs="Arial"/>
          <w:kern w:val="0"/>
          <w:szCs w:val="21"/>
          <w:highlight w:val="none"/>
          <w:u w:val="single"/>
        </w:rPr>
        <w:t>00</w:t>
      </w:r>
    </w:p>
    <w:p>
      <w:pPr>
        <w:widowControl/>
        <w:spacing w:line="360" w:lineRule="auto"/>
        <w:ind w:firstLine="420" w:firstLineChars="200"/>
        <w:jc w:val="left"/>
        <w:rPr>
          <w:rFonts w:cs="Arial"/>
          <w:kern w:val="0"/>
          <w:szCs w:val="21"/>
        </w:rPr>
      </w:pPr>
      <w:r>
        <w:rPr>
          <w:rFonts w:cs="Arial"/>
          <w:kern w:val="0"/>
          <w:szCs w:val="21"/>
        </w:rPr>
        <w:t>开标地点（网址）：</w:t>
      </w:r>
      <w:r>
        <w:rPr>
          <w:rFonts w:cs="Arial"/>
          <w:kern w:val="0"/>
          <w:szCs w:val="21"/>
          <w:u w:val="single"/>
        </w:rPr>
        <w:t>线上（政府采购云平台（www.zcygov.cn））</w:t>
      </w:r>
    </w:p>
    <w:p>
      <w:pPr>
        <w:widowControl/>
        <w:spacing w:line="360" w:lineRule="auto"/>
        <w:rPr>
          <w:rFonts w:cs="Arial"/>
          <w:kern w:val="0"/>
          <w:szCs w:val="21"/>
        </w:rPr>
      </w:pPr>
      <w:r>
        <w:rPr>
          <w:rFonts w:cs="Arial"/>
          <w:b/>
          <w:bCs/>
          <w:kern w:val="0"/>
          <w:szCs w:val="21"/>
        </w:rPr>
        <w:t>五、公告期限</w:t>
      </w:r>
    </w:p>
    <w:p>
      <w:pPr>
        <w:widowControl/>
        <w:spacing w:line="360" w:lineRule="auto"/>
        <w:ind w:firstLine="420" w:firstLineChars="200"/>
        <w:jc w:val="left"/>
        <w:rPr>
          <w:rFonts w:cs="Arial"/>
          <w:kern w:val="0"/>
          <w:szCs w:val="21"/>
        </w:rPr>
      </w:pPr>
      <w:r>
        <w:rPr>
          <w:rFonts w:cs="Arial"/>
          <w:kern w:val="0"/>
          <w:szCs w:val="21"/>
        </w:rPr>
        <w:t>自本公告发布之日起5个工作日。</w:t>
      </w:r>
    </w:p>
    <w:p>
      <w:pPr>
        <w:widowControl/>
        <w:spacing w:line="360" w:lineRule="auto"/>
        <w:rPr>
          <w:rFonts w:cs="Arial"/>
          <w:kern w:val="0"/>
          <w:szCs w:val="21"/>
        </w:rPr>
      </w:pPr>
      <w:r>
        <w:rPr>
          <w:rFonts w:cs="Arial"/>
          <w:b/>
          <w:bCs/>
          <w:kern w:val="0"/>
          <w:szCs w:val="21"/>
        </w:rPr>
        <w:t>六、其他补充事宜</w:t>
      </w:r>
    </w:p>
    <w:p>
      <w:pPr>
        <w:widowControl/>
        <w:spacing w:line="360" w:lineRule="auto"/>
        <w:ind w:firstLine="420" w:firstLineChars="200"/>
        <w:jc w:val="left"/>
        <w:rPr>
          <w:rFonts w:cs="Arial"/>
          <w:kern w:val="0"/>
          <w:szCs w:val="21"/>
        </w:rPr>
      </w:pPr>
      <w:r>
        <w:rPr>
          <w:rFonts w:hint="eastAsia" w:cs="Arial"/>
          <w:kern w:val="0"/>
          <w:szCs w:val="21"/>
        </w:rPr>
        <w:t>1、质疑和投诉</w:t>
      </w:r>
    </w:p>
    <w:p>
      <w:pPr>
        <w:widowControl/>
        <w:spacing w:line="360" w:lineRule="auto"/>
        <w:ind w:firstLine="420" w:firstLineChars="200"/>
        <w:jc w:val="left"/>
        <w:rPr>
          <w:rFonts w:cs="Arial"/>
          <w:kern w:val="0"/>
          <w:szCs w:val="21"/>
        </w:rPr>
      </w:pPr>
      <w:r>
        <w:rPr>
          <w:rFonts w:cs="Arial"/>
          <w:kern w:val="0"/>
          <w:szCs w:val="21"/>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360" w:lineRule="auto"/>
        <w:ind w:firstLine="420" w:firstLineChars="200"/>
        <w:jc w:val="left"/>
        <w:rPr>
          <w:rFonts w:cs="Arial"/>
          <w:kern w:val="0"/>
          <w:szCs w:val="21"/>
        </w:rPr>
      </w:pPr>
      <w:r>
        <w:rPr>
          <w:rFonts w:hint="eastAsia" w:cs="Arial"/>
          <w:kern w:val="0"/>
          <w:szCs w:val="21"/>
        </w:rPr>
        <w:t>2</w:t>
      </w:r>
      <w:r>
        <w:rPr>
          <w:rFonts w:cs="Arial"/>
          <w:kern w:val="0"/>
          <w:szCs w:val="21"/>
        </w:rPr>
        <w:t>、</w:t>
      </w:r>
      <w:r>
        <w:rPr>
          <w:rFonts w:hint="eastAsia" w:cs="Arial"/>
          <w:kern w:val="0"/>
          <w:szCs w:val="21"/>
        </w:rPr>
        <w:t>在线电子响应说明：</w:t>
      </w:r>
    </w:p>
    <w:p>
      <w:pPr>
        <w:widowControl/>
        <w:spacing w:line="360" w:lineRule="auto"/>
        <w:ind w:firstLine="420" w:firstLineChars="200"/>
        <w:jc w:val="left"/>
        <w:rPr>
          <w:rFonts w:cs="Arial"/>
          <w:kern w:val="0"/>
          <w:szCs w:val="21"/>
        </w:rPr>
      </w:pPr>
      <w:r>
        <w:rPr>
          <w:rFonts w:hint="eastAsia" w:cs="Arial"/>
          <w:kern w:val="0"/>
          <w:szCs w:val="21"/>
        </w:rPr>
        <w:t>1）通过政府采购云平台在线电子响应，供应商应先安装政采云电子交易客户端（政采云投标客户端），并按照磋商文件和政府采购云平台的要求，通过政采云电子交易客户端（政采云投标客户端）编制加密响应文件；</w:t>
      </w:r>
    </w:p>
    <w:p>
      <w:pPr>
        <w:widowControl/>
        <w:spacing w:line="360" w:lineRule="auto"/>
        <w:ind w:firstLine="420" w:firstLineChars="200"/>
        <w:jc w:val="left"/>
        <w:rPr>
          <w:rFonts w:cs="Arial"/>
          <w:kern w:val="0"/>
          <w:szCs w:val="21"/>
        </w:rPr>
      </w:pPr>
      <w:r>
        <w:rPr>
          <w:rFonts w:hint="eastAsia" w:cs="Arial"/>
          <w:kern w:val="0"/>
          <w:szCs w:val="21"/>
        </w:rPr>
        <w:t>政采云电子交易客户端（政采云投标客户端）请自行前往“浙江政府采购网-下载专区-电子交易客户端”进行下载，通过政府采购云平台参与在线电子响应时如遇平台技术问题详询400-881-7190。</w:t>
      </w:r>
    </w:p>
    <w:p>
      <w:pPr>
        <w:widowControl/>
        <w:spacing w:line="360" w:lineRule="auto"/>
        <w:ind w:firstLine="420" w:firstLineChars="200"/>
        <w:jc w:val="left"/>
        <w:rPr>
          <w:rFonts w:cs="Arial"/>
          <w:kern w:val="0"/>
          <w:szCs w:val="21"/>
        </w:rPr>
      </w:pPr>
      <w:r>
        <w:rPr>
          <w:rFonts w:hint="eastAsia" w:cs="Arial"/>
          <w:kern w:val="0"/>
          <w:szCs w:val="21"/>
        </w:rPr>
        <w:t>2）为确保在线操作合法、有效和安全，供应商应当在响应文件提交截止时间前完成在政府采购云平台的身份认证，使用政采云电子交易客户端（政采云投标客户端）需要提前申领CA数字证书，申领流程请自行前往“浙江政府采购网-下载专区-电子交易客户端-</w:t>
      </w:r>
      <w:r>
        <w:fldChar w:fldCharType="begin"/>
      </w:r>
      <w:r>
        <w:instrText xml:space="preserve"> HYPERLINK "http://zfcg.czt.zj.gov.cn/bidClientTemplate/2019-05-27/12945.html" \o "CA驱动和申领流程" </w:instrText>
      </w:r>
      <w:r>
        <w:fldChar w:fldCharType="separate"/>
      </w:r>
      <w:r>
        <w:rPr>
          <w:rFonts w:hint="eastAsia" w:cs="Arial"/>
          <w:kern w:val="0"/>
          <w:szCs w:val="21"/>
        </w:rPr>
        <w:t>CA驱动和申领流程</w:t>
      </w:r>
      <w:r>
        <w:rPr>
          <w:rFonts w:hint="eastAsia" w:cs="Arial"/>
          <w:kern w:val="0"/>
          <w:szCs w:val="21"/>
        </w:rPr>
        <w:fldChar w:fldCharType="end"/>
      </w:r>
      <w:r>
        <w:rPr>
          <w:rFonts w:hint="eastAsia" w:cs="Arial"/>
          <w:kern w:val="0"/>
          <w:szCs w:val="21"/>
        </w:rPr>
        <w:t>”进行查阅；</w:t>
      </w:r>
    </w:p>
    <w:p>
      <w:pPr>
        <w:widowControl/>
        <w:spacing w:line="360" w:lineRule="auto"/>
        <w:ind w:firstLine="420" w:firstLineChars="200"/>
        <w:jc w:val="left"/>
        <w:rPr>
          <w:rFonts w:cs="Arial"/>
          <w:kern w:val="0"/>
          <w:szCs w:val="21"/>
        </w:rPr>
      </w:pPr>
      <w:r>
        <w:rPr>
          <w:rFonts w:hint="eastAsia" w:cs="Arial"/>
          <w:kern w:val="0"/>
          <w:szCs w:val="21"/>
        </w:rPr>
        <w:t>3）供应商应当在响应文件提交截止时间前将在政采云电子交易客户端（政采云投标客户端）生成的电子加密响应文件上传至政府采购云平台；</w:t>
      </w:r>
    </w:p>
    <w:p>
      <w:pPr>
        <w:widowControl/>
        <w:spacing w:line="360" w:lineRule="auto"/>
        <w:ind w:firstLine="420" w:firstLineChars="200"/>
        <w:jc w:val="left"/>
        <w:rPr>
          <w:rFonts w:cs="Arial"/>
          <w:kern w:val="0"/>
          <w:szCs w:val="21"/>
        </w:rPr>
      </w:pPr>
      <w:r>
        <w:rPr>
          <w:rFonts w:hint="eastAsia" w:cs="Arial"/>
          <w:kern w:val="0"/>
          <w:szCs w:val="21"/>
        </w:rPr>
        <w:t>4）供应商在政府采购云平台完成电子加密响应文件的上传后，可以EMS或顺丰邮寄形式在响应文件提交截止时间前递交以介质（U盘）存储的数据电文形式的备份响应文件，备份响应文件应当密封包装并在包装上标注响应项目名称、供应商名称并加盖公章。备份投标文件中须单独包含项目讲标及方案现场演示的含音频</w:t>
      </w:r>
      <w:r>
        <w:rPr>
          <w:rFonts w:cs="Arial"/>
          <w:kern w:val="0"/>
          <w:szCs w:val="21"/>
        </w:rPr>
        <w:t>PPT</w:t>
      </w:r>
      <w:r>
        <w:rPr>
          <w:rFonts w:hint="eastAsia" w:cs="Arial"/>
          <w:kern w:val="0"/>
          <w:szCs w:val="21"/>
        </w:rPr>
        <w:t>文件，并在评标时播放，作为方案演示分的得分依据。</w:t>
      </w:r>
    </w:p>
    <w:p>
      <w:pPr>
        <w:widowControl/>
        <w:spacing w:line="360" w:lineRule="auto"/>
        <w:ind w:firstLine="420" w:firstLineChars="200"/>
        <w:jc w:val="left"/>
        <w:rPr>
          <w:rFonts w:cs="Arial"/>
          <w:kern w:val="0"/>
          <w:szCs w:val="21"/>
        </w:rPr>
      </w:pPr>
      <w:r>
        <w:rPr>
          <w:rFonts w:hint="eastAsia" w:cs="Arial"/>
          <w:kern w:val="0"/>
          <w:szCs w:val="21"/>
        </w:rPr>
        <w:t>5）通过政府采购云平台上传的电子加密响应文件无法按时解密但供应商已递交备份响应文件的，以备份响应文件为依据，否则视为响应文件撤回；通过政府采购云平台上传的电子加密响应文件已按时解密的，备份响应文件自动失效。</w:t>
      </w:r>
    </w:p>
    <w:p>
      <w:pPr>
        <w:widowControl/>
        <w:spacing w:line="360" w:lineRule="auto"/>
        <w:ind w:firstLine="420" w:firstLineChars="200"/>
        <w:jc w:val="left"/>
        <w:rPr>
          <w:rFonts w:cs="Arial"/>
          <w:kern w:val="0"/>
          <w:szCs w:val="21"/>
        </w:rPr>
      </w:pPr>
      <w:r>
        <w:rPr>
          <w:rFonts w:hint="eastAsia" w:cs="Arial"/>
          <w:kern w:val="0"/>
          <w:szCs w:val="21"/>
        </w:rPr>
        <w:t>备注：供应商可通过浙江省“电子交易/不见面开评标”学习专题提前进行专题学习，熟悉操作，避免影响采购活动（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Fonts w:hint="eastAsia" w:cs="Arial"/>
          <w:kern w:val="0"/>
          <w:szCs w:val="21"/>
        </w:rPr>
        <w:t>https://edu.zcygov.cn/luban/e-biding</w:t>
      </w:r>
      <w:r>
        <w:rPr>
          <w:rFonts w:hint="eastAsia" w:cs="Arial"/>
          <w:kern w:val="0"/>
          <w:szCs w:val="21"/>
        </w:rPr>
        <w:fldChar w:fldCharType="end"/>
      </w:r>
      <w:r>
        <w:rPr>
          <w:rFonts w:hint="eastAsia" w:cs="Arial"/>
          <w:kern w:val="0"/>
          <w:szCs w:val="21"/>
        </w:rPr>
        <w:t>）。</w:t>
      </w:r>
    </w:p>
    <w:p>
      <w:pPr>
        <w:widowControl/>
        <w:spacing w:line="360" w:lineRule="auto"/>
        <w:ind w:firstLine="420" w:firstLineChars="200"/>
        <w:jc w:val="left"/>
        <w:rPr>
          <w:rFonts w:cs="Arial"/>
          <w:kern w:val="0"/>
          <w:szCs w:val="21"/>
        </w:rPr>
      </w:pPr>
      <w:r>
        <w:rPr>
          <w:rFonts w:hint="eastAsia" w:cs="Arial"/>
          <w:kern w:val="0"/>
          <w:szCs w:val="21"/>
        </w:rPr>
        <w:t>3、信用信息查询：</w:t>
      </w:r>
    </w:p>
    <w:p>
      <w:pPr>
        <w:spacing w:line="360" w:lineRule="auto"/>
        <w:ind w:firstLine="420"/>
        <w:jc w:val="left"/>
        <w:rPr>
          <w:rFonts w:cs="Arial"/>
          <w:kern w:val="0"/>
          <w:szCs w:val="21"/>
        </w:rPr>
      </w:pPr>
      <w:r>
        <w:rPr>
          <w:rFonts w:hint="eastAsia" w:cs="Arial"/>
          <w:kern w:val="0"/>
          <w:szCs w:val="21"/>
        </w:rPr>
        <w:t>根据财库[2016]125号《关于在政府采购活动中查询及使用信用记录有关问题的通知》要求，采购代理机构会对响应供应商信用记录进行查询并甄别。</w:t>
      </w:r>
    </w:p>
    <w:p>
      <w:pPr>
        <w:spacing w:line="360" w:lineRule="auto"/>
        <w:ind w:firstLine="420"/>
        <w:jc w:val="left"/>
        <w:rPr>
          <w:rFonts w:cs="Arial"/>
          <w:kern w:val="0"/>
          <w:szCs w:val="21"/>
        </w:rPr>
      </w:pPr>
      <w:r>
        <w:rPr>
          <w:rFonts w:hint="eastAsia" w:cs="Arial"/>
          <w:kern w:val="0"/>
          <w:szCs w:val="21"/>
        </w:rPr>
        <w:t>1）信用信息查询的截止时点 ：响应文件提交截止时间；</w:t>
      </w:r>
    </w:p>
    <w:p>
      <w:pPr>
        <w:spacing w:line="360" w:lineRule="auto"/>
        <w:ind w:firstLine="420"/>
        <w:jc w:val="left"/>
        <w:rPr>
          <w:rFonts w:cs="Arial"/>
          <w:kern w:val="0"/>
          <w:szCs w:val="21"/>
        </w:rPr>
      </w:pPr>
      <w:r>
        <w:rPr>
          <w:rFonts w:hint="eastAsia" w:cs="Arial"/>
          <w:kern w:val="0"/>
          <w:szCs w:val="21"/>
        </w:rPr>
        <w:t>2）查询渠道：“信用中国”（www.creditchina.gov.cn）、“中国政府采购网”（www.ccgp.gov.cn ）；</w:t>
      </w:r>
    </w:p>
    <w:p>
      <w:pPr>
        <w:spacing w:line="360" w:lineRule="auto"/>
        <w:ind w:firstLine="420"/>
        <w:jc w:val="left"/>
        <w:rPr>
          <w:rFonts w:cs="Arial"/>
          <w:kern w:val="0"/>
          <w:szCs w:val="21"/>
        </w:rPr>
      </w:pPr>
      <w:r>
        <w:rPr>
          <w:rFonts w:hint="eastAsia" w:cs="Arial"/>
          <w:kern w:val="0"/>
          <w:szCs w:val="21"/>
        </w:rPr>
        <w:t>3）信用信息查询记录和证据留存具体方式：采购代理机构经办人和监督人员将查询网页打印、签字与其他采购文件一并保存；</w:t>
      </w:r>
    </w:p>
    <w:p>
      <w:pPr>
        <w:spacing w:line="360" w:lineRule="auto"/>
        <w:ind w:firstLine="420"/>
        <w:jc w:val="left"/>
        <w:rPr>
          <w:rFonts w:cs="Arial"/>
          <w:kern w:val="0"/>
          <w:szCs w:val="21"/>
        </w:rPr>
      </w:pPr>
      <w:r>
        <w:rPr>
          <w:rFonts w:hint="eastAsia" w:cs="Arial"/>
          <w:kern w:val="0"/>
          <w:szCs w:val="21"/>
        </w:rPr>
        <w:t>4）信用信息的使用规则：供应商存在不良信用记录的，其响应将被作为无效投标处理。</w:t>
      </w:r>
    </w:p>
    <w:p>
      <w:pPr>
        <w:spacing w:line="360" w:lineRule="auto"/>
        <w:ind w:firstLine="420"/>
        <w:jc w:val="left"/>
        <w:rPr>
          <w:rFonts w:cs="Arial"/>
          <w:kern w:val="0"/>
          <w:szCs w:val="21"/>
        </w:rPr>
      </w:pPr>
      <w:r>
        <w:rPr>
          <w:rFonts w:hint="eastAsia" w:cs="Arial"/>
          <w:kern w:val="0"/>
          <w:szCs w:val="21"/>
        </w:rPr>
        <w:t>不良信用记录指：被列入失信被执行人、重大税收违法案件当事人名单、政府采购严重违法失信行为记录名单。</w:t>
      </w:r>
    </w:p>
    <w:p>
      <w:pPr>
        <w:snapToGrid w:val="0"/>
        <w:spacing w:line="360" w:lineRule="auto"/>
        <w:ind w:firstLine="422" w:firstLineChars="200"/>
        <w:rPr>
          <w:rFonts w:ascii="宋体" w:hAnsi="宋体" w:cs="宋体"/>
          <w:b/>
          <w:bCs/>
          <w:szCs w:val="21"/>
        </w:rPr>
      </w:pPr>
      <w:r>
        <w:rPr>
          <w:rFonts w:hint="eastAsia" w:ascii="宋体" w:hAnsi="宋体" w:cs="宋体"/>
          <w:b/>
          <w:bCs/>
          <w:szCs w:val="21"/>
        </w:rPr>
        <w:t>七、联系方式：</w:t>
      </w:r>
    </w:p>
    <w:p>
      <w:pPr>
        <w:pStyle w:val="94"/>
        <w:spacing w:afterLines="0" w:line="360" w:lineRule="auto"/>
        <w:ind w:firstLine="420"/>
        <w:rPr>
          <w:rFonts w:ascii="宋体" w:hAnsi="宋体" w:cs="宋体"/>
          <w:sz w:val="21"/>
          <w:szCs w:val="21"/>
        </w:rPr>
      </w:pPr>
      <w:r>
        <w:rPr>
          <w:rFonts w:hint="eastAsia" w:ascii="宋体" w:hAnsi="宋体" w:cs="宋体"/>
          <w:sz w:val="21"/>
          <w:szCs w:val="21"/>
        </w:rPr>
        <w:t>采 购 人：浙江省杭州市中级人民法院</w:t>
      </w:r>
    </w:p>
    <w:p>
      <w:pPr>
        <w:pStyle w:val="94"/>
        <w:spacing w:afterLines="0" w:line="360" w:lineRule="auto"/>
        <w:ind w:firstLine="420"/>
        <w:rPr>
          <w:rFonts w:ascii="宋体" w:hAnsi="宋体" w:cs="宋体"/>
          <w:sz w:val="21"/>
          <w:szCs w:val="21"/>
        </w:rPr>
      </w:pPr>
      <w:r>
        <w:rPr>
          <w:rFonts w:ascii="宋体" w:hAnsi="宋体" w:cs="宋体"/>
          <w:sz w:val="21"/>
          <w:szCs w:val="21"/>
        </w:rPr>
        <w:t>地点：上城区之江路768号</w:t>
      </w:r>
    </w:p>
    <w:p>
      <w:pPr>
        <w:pStyle w:val="94"/>
        <w:spacing w:afterLines="0" w:line="360" w:lineRule="auto"/>
        <w:ind w:firstLine="420"/>
        <w:rPr>
          <w:rFonts w:ascii="宋体" w:hAnsi="宋体" w:cs="宋体"/>
          <w:sz w:val="21"/>
          <w:szCs w:val="21"/>
        </w:rPr>
      </w:pPr>
      <w:r>
        <w:rPr>
          <w:rFonts w:hint="eastAsia" w:ascii="宋体" w:hAnsi="宋体" w:cs="宋体"/>
          <w:sz w:val="21"/>
          <w:szCs w:val="21"/>
        </w:rPr>
        <w:t xml:space="preserve">联 系 人：毛晓岚          </w:t>
      </w:r>
    </w:p>
    <w:p>
      <w:pPr>
        <w:pStyle w:val="94"/>
        <w:spacing w:afterLines="0" w:line="360" w:lineRule="auto"/>
        <w:ind w:firstLine="420"/>
        <w:rPr>
          <w:rFonts w:ascii="宋体" w:hAnsi="宋体" w:cs="宋体"/>
          <w:sz w:val="21"/>
          <w:szCs w:val="21"/>
        </w:rPr>
      </w:pPr>
      <w:r>
        <w:rPr>
          <w:rFonts w:hint="eastAsia" w:ascii="宋体" w:hAnsi="宋体" w:cs="宋体"/>
          <w:sz w:val="21"/>
          <w:szCs w:val="21"/>
        </w:rPr>
        <w:t>联系电话：0571-87393282</w:t>
      </w:r>
    </w:p>
    <w:p>
      <w:pPr>
        <w:pStyle w:val="94"/>
        <w:spacing w:afterLines="0" w:line="360" w:lineRule="auto"/>
        <w:ind w:firstLine="420"/>
        <w:rPr>
          <w:rFonts w:ascii="宋体" w:hAnsi="宋体" w:cs="宋体"/>
          <w:sz w:val="21"/>
          <w:szCs w:val="21"/>
        </w:rPr>
      </w:pPr>
      <w:r>
        <w:rPr>
          <w:rFonts w:ascii="宋体" w:hAnsi="宋体" w:cs="宋体"/>
          <w:sz w:val="21"/>
          <w:szCs w:val="21"/>
        </w:rPr>
        <w:t>采购人质疑答复联系人：</w:t>
      </w:r>
      <w:r>
        <w:rPr>
          <w:rFonts w:hint="eastAsia" w:ascii="宋体" w:hAnsi="宋体" w:cs="宋体"/>
          <w:sz w:val="21"/>
          <w:szCs w:val="21"/>
        </w:rPr>
        <w:t>沈兵</w:t>
      </w:r>
    </w:p>
    <w:p>
      <w:pPr>
        <w:pStyle w:val="94"/>
        <w:spacing w:afterLines="0" w:line="360" w:lineRule="auto"/>
        <w:ind w:firstLine="420"/>
        <w:rPr>
          <w:rFonts w:ascii="宋体" w:hAnsi="宋体" w:cs="宋体"/>
          <w:sz w:val="21"/>
          <w:szCs w:val="21"/>
        </w:rPr>
      </w:pPr>
      <w:r>
        <w:rPr>
          <w:rFonts w:ascii="宋体" w:hAnsi="宋体" w:cs="宋体"/>
          <w:sz w:val="21"/>
          <w:szCs w:val="21"/>
        </w:rPr>
        <w:t>采购人质疑答复联系电话：</w:t>
      </w:r>
      <w:r>
        <w:rPr>
          <w:rFonts w:ascii="宋体" w:hAnsi="宋体" w:cs="宋体"/>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0571-</w:t>
      </w:r>
      <w:r>
        <w:rPr>
          <w:rFonts w:hint="eastAsia" w:ascii="宋体" w:hAnsi="宋体" w:cs="宋体"/>
          <w:sz w:val="21"/>
          <w:szCs w:val="21"/>
        </w:rPr>
        <w:t>87393302</w:t>
      </w:r>
      <w:r>
        <w:rPr>
          <w:rFonts w:ascii="宋体" w:hAnsi="宋体" w:cs="宋体"/>
          <w:sz w:val="21"/>
          <w:szCs w:val="21"/>
        </w:rPr>
        <w:t xml:space="preserve">                           </w:t>
      </w:r>
    </w:p>
    <w:p>
      <w:pPr>
        <w:pStyle w:val="94"/>
        <w:spacing w:afterLines="0" w:line="360" w:lineRule="auto"/>
        <w:ind w:firstLine="420"/>
        <w:rPr>
          <w:rFonts w:ascii="宋体" w:hAnsi="宋体" w:cs="宋体"/>
          <w:sz w:val="21"/>
          <w:szCs w:val="21"/>
        </w:rPr>
      </w:pPr>
      <w:r>
        <w:rPr>
          <w:rFonts w:hint="eastAsia" w:ascii="宋体" w:hAnsi="宋体" w:cs="宋体"/>
          <w:sz w:val="21"/>
          <w:szCs w:val="21"/>
        </w:rPr>
        <w:t>代理公司名称：大地工程咨询有限公司</w:t>
      </w:r>
    </w:p>
    <w:p>
      <w:pPr>
        <w:pStyle w:val="94"/>
        <w:spacing w:afterLines="0" w:line="360" w:lineRule="auto"/>
        <w:ind w:firstLine="420"/>
        <w:rPr>
          <w:rFonts w:ascii="宋体" w:hAnsi="宋体" w:cs="宋体"/>
          <w:sz w:val="21"/>
          <w:szCs w:val="21"/>
        </w:rPr>
      </w:pPr>
      <w:r>
        <w:rPr>
          <w:rFonts w:hint="eastAsia" w:ascii="宋体" w:hAnsi="宋体" w:cs="宋体"/>
          <w:sz w:val="21"/>
          <w:szCs w:val="21"/>
        </w:rPr>
        <w:t>地址：杭州市杭海路238号森禾广场B座15楼</w:t>
      </w:r>
    </w:p>
    <w:p>
      <w:pPr>
        <w:pStyle w:val="94"/>
        <w:spacing w:afterLines="0" w:line="360" w:lineRule="auto"/>
        <w:ind w:firstLine="420"/>
        <w:rPr>
          <w:rFonts w:ascii="宋体" w:hAnsi="宋体" w:cs="宋体"/>
          <w:sz w:val="21"/>
          <w:szCs w:val="21"/>
        </w:rPr>
      </w:pPr>
      <w:r>
        <w:rPr>
          <w:rFonts w:hint="eastAsia" w:ascii="宋体" w:hAnsi="宋体" w:cs="宋体"/>
          <w:sz w:val="21"/>
          <w:szCs w:val="21"/>
        </w:rPr>
        <w:t>联系人：</w:t>
      </w:r>
      <w:r>
        <w:rPr>
          <w:rFonts w:hint="eastAsia" w:ascii="宋体" w:hAnsi="宋体" w:cs="宋体"/>
          <w:sz w:val="21"/>
          <w:szCs w:val="21"/>
          <w:lang w:bidi="ar"/>
        </w:rPr>
        <w:t>黄工</w:t>
      </w:r>
      <w:r>
        <w:rPr>
          <w:rFonts w:hint="eastAsia" w:ascii="宋体" w:hAnsi="宋体" w:cs="宋体"/>
          <w:sz w:val="21"/>
          <w:szCs w:val="21"/>
        </w:rPr>
        <w:t xml:space="preserve">         </w:t>
      </w:r>
    </w:p>
    <w:p>
      <w:pPr>
        <w:pStyle w:val="94"/>
        <w:spacing w:afterLines="0" w:line="360" w:lineRule="auto"/>
        <w:ind w:firstLine="420"/>
        <w:rPr>
          <w:rFonts w:ascii="宋体" w:hAnsi="宋体" w:cs="宋体"/>
          <w:sz w:val="21"/>
          <w:szCs w:val="21"/>
          <w:lang w:bidi="ar"/>
        </w:rPr>
      </w:pPr>
      <w:r>
        <w:rPr>
          <w:rFonts w:hint="eastAsia" w:ascii="宋体" w:hAnsi="宋体" w:cs="宋体"/>
          <w:sz w:val="21"/>
          <w:szCs w:val="21"/>
        </w:rPr>
        <w:t>联系电话：13705716922</w:t>
      </w:r>
    </w:p>
    <w:p>
      <w:pPr>
        <w:pStyle w:val="94"/>
        <w:spacing w:afterLines="0" w:line="360" w:lineRule="auto"/>
        <w:ind w:firstLine="420"/>
        <w:rPr>
          <w:rFonts w:ascii="宋体" w:hAnsi="宋体" w:cs="宋体"/>
          <w:sz w:val="21"/>
          <w:szCs w:val="21"/>
          <w:lang w:bidi="ar"/>
        </w:rPr>
      </w:pPr>
      <w:r>
        <w:rPr>
          <w:rFonts w:ascii="宋体" w:hAnsi="宋体" w:cs="宋体"/>
          <w:sz w:val="21"/>
          <w:szCs w:val="21"/>
          <w:lang w:bidi="ar"/>
        </w:rPr>
        <w:t>采购代理机构质疑答复联系人：</w:t>
      </w:r>
      <w:r>
        <w:rPr>
          <w:rFonts w:hint="eastAsia" w:ascii="宋体" w:hAnsi="宋体" w:cs="宋体"/>
          <w:sz w:val="21"/>
          <w:szCs w:val="21"/>
          <w:lang w:bidi="ar"/>
        </w:rPr>
        <w:t>杨洋</w:t>
      </w:r>
    </w:p>
    <w:p>
      <w:pPr>
        <w:pStyle w:val="94"/>
        <w:spacing w:afterLines="0" w:line="360" w:lineRule="auto"/>
        <w:ind w:firstLine="420"/>
        <w:rPr>
          <w:rFonts w:ascii="宋体" w:hAnsi="宋体" w:cs="宋体"/>
          <w:sz w:val="21"/>
          <w:szCs w:val="21"/>
          <w:lang w:bidi="ar"/>
        </w:rPr>
      </w:pPr>
      <w:r>
        <w:rPr>
          <w:rFonts w:ascii="宋体" w:hAnsi="宋体" w:cs="宋体"/>
          <w:sz w:val="21"/>
          <w:szCs w:val="21"/>
          <w:lang w:bidi="ar"/>
        </w:rPr>
        <w:t>采购代理机构质疑答复联系电话：</w:t>
      </w:r>
      <w:r>
        <w:rPr>
          <w:rFonts w:hint="eastAsia" w:ascii="宋体" w:hAnsi="宋体" w:cs="宋体"/>
          <w:sz w:val="21"/>
          <w:szCs w:val="21"/>
          <w:lang w:bidi="ar"/>
        </w:rPr>
        <w:t>18658165573</w:t>
      </w:r>
    </w:p>
    <w:p>
      <w:pPr>
        <w:pStyle w:val="94"/>
        <w:spacing w:afterLines="0" w:line="360" w:lineRule="auto"/>
        <w:ind w:firstLine="420"/>
        <w:rPr>
          <w:rFonts w:ascii="宋体" w:hAnsi="宋体" w:cs="宋体"/>
          <w:sz w:val="21"/>
          <w:szCs w:val="21"/>
        </w:rPr>
      </w:pPr>
      <w:r>
        <w:rPr>
          <w:rFonts w:hint="eastAsia" w:ascii="宋体" w:hAnsi="宋体" w:cs="宋体"/>
          <w:sz w:val="21"/>
          <w:szCs w:val="21"/>
        </w:rPr>
        <w:t>同级政府采购监管管理部门：杭州市财政局</w:t>
      </w:r>
    </w:p>
    <w:p>
      <w:pPr>
        <w:pStyle w:val="94"/>
        <w:spacing w:afterLines="0" w:line="360" w:lineRule="auto"/>
        <w:ind w:firstLine="420"/>
        <w:rPr>
          <w:rFonts w:ascii="宋体" w:hAnsi="宋体" w:cs="宋体"/>
          <w:sz w:val="21"/>
          <w:szCs w:val="21"/>
        </w:rPr>
      </w:pPr>
      <w:r>
        <w:rPr>
          <w:rFonts w:hint="eastAsia" w:ascii="宋体" w:hAnsi="宋体" w:cs="宋体"/>
          <w:sz w:val="21"/>
          <w:szCs w:val="21"/>
        </w:rPr>
        <w:t>联系人：吕先生</w:t>
      </w:r>
    </w:p>
    <w:p>
      <w:pPr>
        <w:pStyle w:val="94"/>
        <w:spacing w:afterLines="0" w:line="360" w:lineRule="auto"/>
        <w:ind w:firstLine="420"/>
        <w:rPr>
          <w:rFonts w:ascii="宋体" w:hAnsi="宋体" w:cs="宋体"/>
          <w:sz w:val="21"/>
          <w:szCs w:val="21"/>
        </w:rPr>
      </w:pPr>
      <w:r>
        <w:rPr>
          <w:rFonts w:hint="eastAsia" w:ascii="宋体" w:hAnsi="宋体" w:cs="宋体"/>
          <w:sz w:val="21"/>
          <w:szCs w:val="21"/>
        </w:rPr>
        <w:t xml:space="preserve">监督投诉电话：0571-87715261  </w:t>
      </w:r>
    </w:p>
    <w:p>
      <w:pPr>
        <w:pStyle w:val="94"/>
        <w:spacing w:afterLines="0" w:line="360" w:lineRule="auto"/>
        <w:ind w:firstLine="420"/>
        <w:rPr>
          <w:rFonts w:ascii="宋体" w:hAnsi="宋体" w:cs="宋体"/>
          <w:sz w:val="21"/>
          <w:szCs w:val="21"/>
        </w:rPr>
      </w:pPr>
      <w:r>
        <w:rPr>
          <w:rFonts w:hint="eastAsia" w:ascii="宋体" w:hAnsi="宋体" w:cs="宋体"/>
          <w:sz w:val="21"/>
          <w:szCs w:val="21"/>
        </w:rPr>
        <w:t>地址：中河中路152号杭州财税大楼</w:t>
      </w:r>
    </w:p>
    <w:p>
      <w:pPr>
        <w:pStyle w:val="94"/>
        <w:spacing w:afterLines="0" w:line="360" w:lineRule="auto"/>
        <w:ind w:firstLine="0" w:firstLineChars="0"/>
        <w:jc w:val="center"/>
        <w:rPr>
          <w:rFonts w:ascii="宋体" w:hAnsi="宋体" w:cs="宋体"/>
          <w:b/>
          <w:bCs/>
          <w:sz w:val="32"/>
          <w:szCs w:val="32"/>
        </w:rPr>
      </w:pPr>
    </w:p>
    <w:p>
      <w:pPr>
        <w:pStyle w:val="94"/>
        <w:spacing w:afterLines="0" w:line="360" w:lineRule="auto"/>
        <w:ind w:firstLine="0" w:firstLineChars="0"/>
        <w:jc w:val="center"/>
        <w:rPr>
          <w:rFonts w:ascii="宋体" w:hAnsi="宋体" w:cs="宋体"/>
          <w:b/>
          <w:bCs/>
          <w:sz w:val="32"/>
          <w:szCs w:val="32"/>
        </w:rPr>
      </w:pPr>
      <w:r>
        <w:rPr>
          <w:rFonts w:hint="eastAsia" w:ascii="宋体" w:hAnsi="宋体" w:cs="宋体"/>
          <w:b/>
          <w:bCs/>
          <w:sz w:val="32"/>
          <w:szCs w:val="32"/>
        </w:rPr>
        <w:t>第二章  投标人须知</w:t>
      </w:r>
      <w:bookmarkEnd w:id="2"/>
      <w:bookmarkEnd w:id="3"/>
    </w:p>
    <w:p>
      <w:pPr>
        <w:snapToGrid w:val="0"/>
        <w:jc w:val="center"/>
        <w:rPr>
          <w:rFonts w:ascii="宋体" w:hAnsi="宋体" w:cs="宋体"/>
          <w:b/>
          <w:sz w:val="28"/>
          <w:szCs w:val="28"/>
        </w:rPr>
      </w:pPr>
      <w:r>
        <w:rPr>
          <w:rFonts w:hint="eastAsia" w:ascii="宋体" w:hAnsi="宋体" w:cs="宋体"/>
          <w:b/>
          <w:sz w:val="28"/>
          <w:szCs w:val="28"/>
        </w:rPr>
        <w:t>前附表</w:t>
      </w:r>
    </w:p>
    <w:tbl>
      <w:tblPr>
        <w:tblStyle w:val="34"/>
        <w:tblW w:w="8867" w:type="dxa"/>
        <w:tblInd w:w="-11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5"/>
        <w:gridCol w:w="81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序号</w:t>
            </w:r>
          </w:p>
        </w:tc>
        <w:tc>
          <w:tcPr>
            <w:tcW w:w="81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内    容    及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w:t>
            </w:r>
          </w:p>
        </w:tc>
        <w:tc>
          <w:tcPr>
            <w:tcW w:w="81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b/>
                <w:bCs/>
                <w:szCs w:val="21"/>
              </w:rPr>
              <w:t>项目名称：</w:t>
            </w:r>
            <w:r>
              <w:rPr>
                <w:rFonts w:hint="eastAsia" w:ascii="宋体" w:hAnsi="宋体" w:cs="宋体"/>
                <w:szCs w:val="21"/>
              </w:rPr>
              <w:t>杭州市中级人民法院安防系统建设项目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2</w:t>
            </w:r>
          </w:p>
        </w:tc>
        <w:tc>
          <w:tcPr>
            <w:tcW w:w="81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
                <w:bCs/>
                <w:szCs w:val="21"/>
              </w:rPr>
            </w:pPr>
            <w:r>
              <w:rPr>
                <w:rFonts w:hint="eastAsia" w:ascii="宋体" w:hAnsi="宋体" w:cs="宋体"/>
                <w:b/>
                <w:bCs/>
                <w:szCs w:val="21"/>
              </w:rPr>
              <w:t>项目编号：</w:t>
            </w:r>
            <w:r>
              <w:rPr>
                <w:rFonts w:hint="eastAsia" w:ascii="宋体" w:hAnsi="宋体" w:cs="宋体"/>
                <w:szCs w:val="21"/>
              </w:rPr>
              <w:t>DDZX2020-GK-089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3</w:t>
            </w:r>
          </w:p>
        </w:tc>
        <w:tc>
          <w:tcPr>
            <w:tcW w:w="81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
                <w:bCs/>
                <w:szCs w:val="21"/>
              </w:rPr>
            </w:pPr>
            <w:r>
              <w:rPr>
                <w:rFonts w:hint="eastAsia" w:ascii="宋体" w:hAnsi="宋体" w:cs="宋体"/>
                <w:b/>
                <w:bCs/>
                <w:szCs w:val="21"/>
              </w:rPr>
              <w:t>采购方式：</w:t>
            </w:r>
            <w:r>
              <w:rPr>
                <w:rFonts w:hint="eastAsia" w:ascii="宋体" w:hAnsi="宋体" w:cs="宋体"/>
                <w:szCs w:val="21"/>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4</w:t>
            </w:r>
          </w:p>
        </w:tc>
        <w:tc>
          <w:tcPr>
            <w:tcW w:w="81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b/>
                <w:bCs/>
                <w:szCs w:val="21"/>
              </w:rPr>
              <w:t>项目地点：</w:t>
            </w:r>
            <w:r>
              <w:rPr>
                <w:rFonts w:hint="eastAsia" w:ascii="宋体" w:hAnsi="宋体" w:cs="宋体"/>
                <w:szCs w:val="21"/>
              </w:rPr>
              <w:t>甲方指定地点。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5</w:t>
            </w:r>
          </w:p>
        </w:tc>
        <w:tc>
          <w:tcPr>
            <w:tcW w:w="81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b/>
                <w:bCs/>
                <w:szCs w:val="21"/>
              </w:rPr>
              <w:t>资金来源及比例：</w:t>
            </w:r>
            <w:r>
              <w:rPr>
                <w:rFonts w:hint="eastAsia" w:ascii="宋体" w:hAnsi="宋体" w:cs="宋体"/>
                <w:szCs w:val="21"/>
              </w:rPr>
              <w:t>财政资金占比100%。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6</w:t>
            </w:r>
          </w:p>
        </w:tc>
        <w:tc>
          <w:tcPr>
            <w:tcW w:w="81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b/>
                <w:bCs/>
                <w:szCs w:val="21"/>
              </w:rPr>
              <w:t>招标范围：</w:t>
            </w:r>
            <w:r>
              <w:rPr>
                <w:rFonts w:hint="eastAsia" w:ascii="宋体" w:hAnsi="宋体" w:cs="宋体"/>
                <w:szCs w:val="21"/>
              </w:rPr>
              <w:t>见招标文件技术规格书。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7</w:t>
            </w:r>
          </w:p>
        </w:tc>
        <w:tc>
          <w:tcPr>
            <w:tcW w:w="8162" w:type="dxa"/>
            <w:tcBorders>
              <w:top w:val="single" w:color="auto" w:sz="4" w:space="0"/>
              <w:left w:val="single" w:color="auto" w:sz="4" w:space="0"/>
              <w:bottom w:val="single" w:color="auto" w:sz="4" w:space="0"/>
              <w:right w:val="single" w:color="auto" w:sz="4" w:space="0"/>
            </w:tcBorders>
            <w:vAlign w:val="center"/>
          </w:tcPr>
          <w:p>
            <w:pPr>
              <w:pStyle w:val="70"/>
              <w:spacing w:line="360" w:lineRule="auto"/>
              <w:ind w:left="2"/>
              <w:jc w:val="left"/>
              <w:rPr>
                <w:rFonts w:ascii="宋体" w:hAnsi="宋体" w:cs="宋体"/>
                <w:b/>
                <w:sz w:val="21"/>
                <w:szCs w:val="21"/>
              </w:rPr>
            </w:pPr>
            <w:r>
              <w:rPr>
                <w:rFonts w:hint="eastAsia" w:ascii="宋体" w:hAnsi="宋体" w:cs="宋体"/>
                <w:b/>
                <w:sz w:val="21"/>
                <w:szCs w:val="21"/>
              </w:rPr>
              <w:t>工期：</w:t>
            </w:r>
            <w:r>
              <w:rPr>
                <w:rFonts w:hint="eastAsia" w:ascii="宋体" w:hAnsi="宋体" w:cs="宋体"/>
                <w:bCs/>
                <w:sz w:val="21"/>
                <w:szCs w:val="21"/>
              </w:rPr>
              <w:t>60日历天。（合同签订后30日内完成设备供货，供货后30日内完成安装调试、系统集成，初验合格后进入试运行。）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8</w:t>
            </w:r>
          </w:p>
        </w:tc>
        <w:tc>
          <w:tcPr>
            <w:tcW w:w="8162" w:type="dxa"/>
            <w:tcBorders>
              <w:top w:val="single" w:color="auto" w:sz="4" w:space="0"/>
              <w:left w:val="single" w:color="auto" w:sz="4" w:space="0"/>
              <w:bottom w:val="single" w:color="auto" w:sz="4" w:space="0"/>
              <w:right w:val="single" w:color="auto" w:sz="4" w:space="0"/>
            </w:tcBorders>
            <w:vAlign w:val="center"/>
          </w:tcPr>
          <w:p>
            <w:pPr>
              <w:pStyle w:val="70"/>
              <w:spacing w:line="360" w:lineRule="auto"/>
              <w:ind w:left="2"/>
              <w:jc w:val="left"/>
              <w:rPr>
                <w:rFonts w:ascii="宋体" w:hAnsi="宋体" w:cs="宋体"/>
                <w:b/>
                <w:sz w:val="21"/>
                <w:szCs w:val="21"/>
              </w:rPr>
            </w:pPr>
            <w:r>
              <w:rPr>
                <w:rFonts w:hint="eastAsia" w:ascii="宋体" w:hAnsi="宋体" w:cs="宋体"/>
                <w:b/>
                <w:bCs/>
                <w:sz w:val="21"/>
                <w:szCs w:val="21"/>
              </w:rPr>
              <w:t>质量保证期：</w:t>
            </w:r>
            <w:r>
              <w:rPr>
                <w:rFonts w:hint="eastAsia" w:ascii="宋体" w:hAnsi="宋体" w:cs="宋体"/>
                <w:sz w:val="21"/>
                <w:szCs w:val="21"/>
                <w:lang w:val="en-GB"/>
              </w:rPr>
              <w:t>质量保证期：要求提供不少于三年7*24小时现场技术服务。（包括版本升级、故障排除、性能调优、技术咨询等，并负责处理、协调与各系统软件、硬件等供应商的关系）。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9</w:t>
            </w:r>
          </w:p>
        </w:tc>
        <w:tc>
          <w:tcPr>
            <w:tcW w:w="8162" w:type="dxa"/>
            <w:tcBorders>
              <w:top w:val="single" w:color="auto" w:sz="4" w:space="0"/>
              <w:left w:val="single" w:color="auto" w:sz="4" w:space="0"/>
              <w:bottom w:val="single" w:color="auto" w:sz="4" w:space="0"/>
              <w:right w:val="single" w:color="auto" w:sz="4" w:space="0"/>
            </w:tcBorders>
            <w:vAlign w:val="center"/>
          </w:tcPr>
          <w:p>
            <w:pPr>
              <w:pStyle w:val="70"/>
              <w:spacing w:line="360" w:lineRule="auto"/>
              <w:ind w:left="2"/>
              <w:jc w:val="left"/>
              <w:rPr>
                <w:rFonts w:ascii="宋体" w:hAnsi="宋体" w:cs="宋体"/>
                <w:b/>
                <w:sz w:val="21"/>
                <w:szCs w:val="21"/>
              </w:rPr>
            </w:pPr>
            <w:r>
              <w:rPr>
                <w:rFonts w:hint="eastAsia" w:ascii="宋体" w:hAnsi="宋体" w:cs="宋体"/>
                <w:b/>
                <w:sz w:val="21"/>
                <w:szCs w:val="21"/>
              </w:rPr>
              <w:t>是否接受联合体投标：</w:t>
            </w:r>
            <w:r>
              <w:rPr>
                <w:rFonts w:hint="eastAsia" w:ascii="宋体" w:hAnsi="宋体" w:cs="宋体"/>
                <w:bCs/>
                <w:sz w:val="21"/>
                <w:szCs w:val="21"/>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10</w:t>
            </w:r>
          </w:p>
        </w:tc>
        <w:tc>
          <w:tcPr>
            <w:tcW w:w="8162" w:type="dxa"/>
            <w:tcBorders>
              <w:top w:val="single" w:color="auto" w:sz="4" w:space="0"/>
              <w:left w:val="single" w:color="auto" w:sz="4" w:space="0"/>
              <w:bottom w:val="single" w:color="auto" w:sz="4" w:space="0"/>
              <w:right w:val="single" w:color="auto" w:sz="4" w:space="0"/>
            </w:tcBorders>
            <w:vAlign w:val="center"/>
          </w:tcPr>
          <w:p>
            <w:pPr>
              <w:pStyle w:val="70"/>
              <w:spacing w:line="360" w:lineRule="auto"/>
              <w:ind w:left="2"/>
              <w:jc w:val="left"/>
              <w:rPr>
                <w:rFonts w:ascii="宋体" w:hAnsi="宋体" w:cs="宋体"/>
                <w:b/>
                <w:sz w:val="21"/>
                <w:szCs w:val="21"/>
              </w:rPr>
            </w:pPr>
            <w:r>
              <w:rPr>
                <w:rFonts w:hint="eastAsia" w:ascii="宋体" w:hAnsi="宋体" w:cs="宋体"/>
                <w:b/>
                <w:sz w:val="21"/>
                <w:szCs w:val="21"/>
              </w:rPr>
              <w:t>踏勘现场：</w:t>
            </w:r>
            <w:r>
              <w:rPr>
                <w:rFonts w:hint="eastAsia" w:ascii="宋体" w:hAnsi="宋体" w:cs="宋体"/>
                <w:bCs/>
                <w:sz w:val="21"/>
                <w:szCs w:val="21"/>
              </w:rPr>
              <w:t>有</w:t>
            </w:r>
            <w:r>
              <w:rPr>
                <w:rFonts w:hint="eastAsia" w:ascii="宋体" w:hAnsi="宋体" w:cs="宋体"/>
                <w:b/>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11</w:t>
            </w:r>
          </w:p>
        </w:tc>
        <w:tc>
          <w:tcPr>
            <w:tcW w:w="8162" w:type="dxa"/>
            <w:tcBorders>
              <w:top w:val="single" w:color="auto" w:sz="4" w:space="0"/>
              <w:left w:val="single" w:color="auto" w:sz="4" w:space="0"/>
              <w:bottom w:val="single" w:color="auto" w:sz="4" w:space="0"/>
              <w:right w:val="single" w:color="auto" w:sz="4" w:space="0"/>
            </w:tcBorders>
            <w:vAlign w:val="center"/>
          </w:tcPr>
          <w:p>
            <w:pPr>
              <w:pStyle w:val="70"/>
              <w:spacing w:line="360" w:lineRule="auto"/>
              <w:ind w:left="2"/>
              <w:jc w:val="left"/>
              <w:rPr>
                <w:rFonts w:ascii="宋体" w:hAnsi="宋体" w:cs="宋体"/>
                <w:b/>
                <w:sz w:val="21"/>
                <w:szCs w:val="21"/>
              </w:rPr>
            </w:pPr>
            <w:r>
              <w:rPr>
                <w:rFonts w:hint="eastAsia" w:ascii="宋体" w:hAnsi="宋体" w:cs="宋体"/>
                <w:b/>
                <w:sz w:val="21"/>
                <w:szCs w:val="21"/>
              </w:rPr>
              <w:t>讲解方案：</w:t>
            </w:r>
            <w:r>
              <w:rPr>
                <w:rFonts w:hint="eastAsia" w:ascii="宋体" w:hAnsi="宋体" w:cs="宋体"/>
                <w:bCs/>
                <w:sz w:val="21"/>
                <w:szCs w:val="21"/>
              </w:rPr>
              <w:t>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12</w:t>
            </w:r>
          </w:p>
        </w:tc>
        <w:tc>
          <w:tcPr>
            <w:tcW w:w="8162" w:type="dxa"/>
            <w:tcBorders>
              <w:top w:val="single" w:color="auto" w:sz="4" w:space="0"/>
              <w:left w:val="single" w:color="auto" w:sz="4" w:space="0"/>
              <w:bottom w:val="single" w:color="auto" w:sz="4" w:space="0"/>
              <w:right w:val="single" w:color="auto" w:sz="4" w:space="0"/>
            </w:tcBorders>
            <w:vAlign w:val="center"/>
          </w:tcPr>
          <w:p>
            <w:pPr>
              <w:pStyle w:val="70"/>
              <w:spacing w:line="360" w:lineRule="auto"/>
              <w:ind w:left="2"/>
              <w:jc w:val="left"/>
              <w:rPr>
                <w:rFonts w:ascii="宋体" w:hAnsi="宋体" w:cs="宋体"/>
                <w:b/>
                <w:sz w:val="21"/>
                <w:szCs w:val="21"/>
              </w:rPr>
            </w:pPr>
            <w:r>
              <w:rPr>
                <w:rFonts w:hint="eastAsia" w:ascii="宋体" w:hAnsi="宋体" w:cs="宋体"/>
                <w:b/>
                <w:sz w:val="21"/>
                <w:szCs w:val="21"/>
              </w:rPr>
              <w:t>投标截止</w:t>
            </w:r>
            <w:r>
              <w:rPr>
                <w:rFonts w:hint="eastAsia" w:ascii="宋体" w:hAnsi="宋体" w:cs="宋体"/>
                <w:b/>
                <w:sz w:val="21"/>
                <w:szCs w:val="21"/>
                <w:lang w:val="zh-CN"/>
              </w:rPr>
              <w:t>时间：</w:t>
            </w:r>
            <w:r>
              <w:rPr>
                <w:rFonts w:hint="eastAsia" w:ascii="宋体" w:hAnsi="宋体" w:cs="宋体"/>
                <w:bCs/>
                <w:sz w:val="21"/>
                <w:szCs w:val="21"/>
                <w:highlight w:val="none"/>
                <w:lang w:val="zh-CN"/>
              </w:rPr>
              <w:t>20</w:t>
            </w:r>
            <w:r>
              <w:rPr>
                <w:rFonts w:hint="eastAsia" w:ascii="宋体" w:hAnsi="宋体" w:cs="宋体"/>
                <w:bCs/>
                <w:sz w:val="21"/>
                <w:szCs w:val="21"/>
                <w:highlight w:val="none"/>
              </w:rPr>
              <w:t>20</w:t>
            </w:r>
            <w:r>
              <w:rPr>
                <w:rFonts w:hint="eastAsia" w:ascii="宋体" w:hAnsi="宋体" w:cs="宋体"/>
                <w:bCs/>
                <w:sz w:val="21"/>
                <w:szCs w:val="21"/>
                <w:highlight w:val="none"/>
                <w:lang w:val="zh-CN"/>
              </w:rPr>
              <w:t>年</w:t>
            </w:r>
            <w:r>
              <w:rPr>
                <w:rFonts w:hint="eastAsia" w:ascii="宋体" w:hAnsi="宋体" w:cs="宋体"/>
                <w:bCs/>
                <w:sz w:val="21"/>
                <w:szCs w:val="21"/>
                <w:highlight w:val="none"/>
                <w:lang w:val="en-US" w:eastAsia="zh-CN"/>
              </w:rPr>
              <w:t>11</w:t>
            </w:r>
            <w:r>
              <w:rPr>
                <w:rFonts w:hint="eastAsia" w:ascii="宋体" w:hAnsi="宋体" w:cs="宋体"/>
                <w:bCs/>
                <w:sz w:val="21"/>
                <w:szCs w:val="21"/>
                <w:highlight w:val="none"/>
                <w:lang w:val="zh-CN"/>
              </w:rPr>
              <w:t>月</w:t>
            </w:r>
            <w:r>
              <w:rPr>
                <w:rFonts w:hint="eastAsia" w:ascii="宋体" w:hAnsi="宋体" w:cs="宋体"/>
                <w:bCs/>
                <w:sz w:val="21"/>
                <w:szCs w:val="21"/>
                <w:highlight w:val="none"/>
                <w:lang w:val="en-US" w:eastAsia="zh-CN"/>
              </w:rPr>
              <w:t>09</w:t>
            </w:r>
            <w:r>
              <w:rPr>
                <w:rFonts w:hint="eastAsia" w:ascii="宋体" w:hAnsi="宋体" w:cs="宋体"/>
                <w:bCs/>
                <w:sz w:val="21"/>
                <w:szCs w:val="21"/>
                <w:highlight w:val="none"/>
                <w:lang w:val="zh-CN"/>
              </w:rPr>
              <w:t>日</w:t>
            </w:r>
            <w:r>
              <w:rPr>
                <w:rFonts w:hint="eastAsia" w:ascii="宋体" w:hAnsi="宋体" w:cs="宋体"/>
                <w:bCs/>
                <w:sz w:val="21"/>
                <w:szCs w:val="21"/>
                <w:highlight w:val="none"/>
              </w:rPr>
              <w:t>14</w:t>
            </w:r>
            <w:r>
              <w:rPr>
                <w:rFonts w:hint="eastAsia" w:ascii="宋体" w:hAnsi="宋体" w:cs="宋体"/>
                <w:bCs/>
                <w:sz w:val="21"/>
                <w:szCs w:val="21"/>
                <w:highlight w:val="none"/>
                <w:lang w:val="zh-CN"/>
              </w:rPr>
              <w:t>时</w:t>
            </w:r>
            <w:r>
              <w:rPr>
                <w:rFonts w:hint="eastAsia" w:ascii="宋体" w:hAnsi="宋体" w:cs="宋体"/>
                <w:bCs/>
                <w:sz w:val="21"/>
                <w:szCs w:val="21"/>
                <w:highlight w:val="none"/>
              </w:rPr>
              <w:t>00</w:t>
            </w:r>
            <w:r>
              <w:rPr>
                <w:rFonts w:hint="eastAsia" w:ascii="宋体" w:hAnsi="宋体" w:cs="宋体"/>
                <w:bCs/>
                <w:sz w:val="21"/>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13</w:t>
            </w:r>
          </w:p>
        </w:tc>
        <w:tc>
          <w:tcPr>
            <w:tcW w:w="8162" w:type="dxa"/>
            <w:tcBorders>
              <w:top w:val="single" w:color="auto" w:sz="4" w:space="0"/>
              <w:left w:val="single" w:color="auto" w:sz="4" w:space="0"/>
              <w:bottom w:val="single" w:color="auto" w:sz="4" w:space="0"/>
              <w:right w:val="single" w:color="auto" w:sz="4" w:space="0"/>
            </w:tcBorders>
            <w:vAlign w:val="center"/>
          </w:tcPr>
          <w:p>
            <w:pPr>
              <w:pStyle w:val="70"/>
              <w:spacing w:line="360" w:lineRule="auto"/>
              <w:ind w:left="2"/>
              <w:jc w:val="left"/>
              <w:rPr>
                <w:rFonts w:ascii="宋体" w:hAnsi="宋体" w:cs="宋体"/>
                <w:b/>
                <w:sz w:val="21"/>
                <w:szCs w:val="21"/>
                <w:lang w:val="zh-CN"/>
              </w:rPr>
            </w:pPr>
            <w:r>
              <w:rPr>
                <w:rFonts w:hint="eastAsia" w:ascii="宋体" w:hAnsi="宋体" w:cs="宋体"/>
                <w:b/>
                <w:sz w:val="21"/>
                <w:szCs w:val="21"/>
              </w:rPr>
              <w:t>投标</w:t>
            </w:r>
            <w:r>
              <w:rPr>
                <w:rFonts w:hint="eastAsia" w:ascii="宋体" w:hAnsi="宋体" w:cs="宋体"/>
                <w:b/>
                <w:sz w:val="21"/>
                <w:szCs w:val="21"/>
                <w:lang w:val="zh-CN"/>
              </w:rPr>
              <w:t>地点：</w:t>
            </w:r>
            <w:r>
              <w:rPr>
                <w:rFonts w:hint="eastAsia" w:ascii="宋体" w:hAnsi="宋体" w:cs="宋体"/>
                <w:bCs/>
                <w:sz w:val="21"/>
                <w:szCs w:val="21"/>
              </w:rPr>
              <w:t>政采云线上投标</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14</w:t>
            </w:r>
          </w:p>
        </w:tc>
        <w:tc>
          <w:tcPr>
            <w:tcW w:w="8162" w:type="dxa"/>
            <w:tcBorders>
              <w:top w:val="single" w:color="auto" w:sz="4" w:space="0"/>
              <w:left w:val="single" w:color="auto" w:sz="4" w:space="0"/>
              <w:bottom w:val="single" w:color="auto" w:sz="4" w:space="0"/>
              <w:right w:val="single" w:color="auto" w:sz="4" w:space="0"/>
            </w:tcBorders>
            <w:vAlign w:val="center"/>
          </w:tcPr>
          <w:p>
            <w:pPr>
              <w:pStyle w:val="70"/>
              <w:spacing w:line="360" w:lineRule="auto"/>
              <w:ind w:left="2"/>
              <w:jc w:val="left"/>
              <w:rPr>
                <w:rFonts w:ascii="宋体" w:hAnsi="宋体" w:cs="宋体"/>
                <w:bCs/>
                <w:sz w:val="21"/>
                <w:szCs w:val="21"/>
              </w:rPr>
            </w:pPr>
            <w:r>
              <w:rPr>
                <w:rFonts w:hint="eastAsia" w:ascii="宋体" w:hAnsi="宋体" w:cs="宋体"/>
                <w:b/>
                <w:sz w:val="21"/>
                <w:szCs w:val="21"/>
              </w:rPr>
              <w:t>开标时间及地点：</w:t>
            </w:r>
            <w:r>
              <w:rPr>
                <w:rFonts w:hint="eastAsia" w:ascii="宋体" w:hAnsi="宋体" w:cs="宋体"/>
                <w:bCs/>
                <w:sz w:val="21"/>
                <w:szCs w:val="21"/>
              </w:rPr>
              <w:t>同投标截止时间及地点。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9"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15</w:t>
            </w:r>
          </w:p>
        </w:tc>
        <w:tc>
          <w:tcPr>
            <w:tcW w:w="8162" w:type="dxa"/>
            <w:tcBorders>
              <w:top w:val="single" w:color="auto" w:sz="4" w:space="0"/>
              <w:left w:val="single" w:color="auto" w:sz="4" w:space="0"/>
              <w:bottom w:val="single" w:color="auto" w:sz="4" w:space="0"/>
              <w:right w:val="single" w:color="auto" w:sz="4" w:space="0"/>
            </w:tcBorders>
            <w:vAlign w:val="center"/>
          </w:tcPr>
          <w:p>
            <w:pPr>
              <w:pStyle w:val="70"/>
              <w:spacing w:line="360" w:lineRule="auto"/>
              <w:ind w:left="2"/>
              <w:jc w:val="left"/>
              <w:rPr>
                <w:rFonts w:ascii="宋体" w:hAnsi="宋体" w:cs="宋体"/>
                <w:b/>
                <w:sz w:val="21"/>
                <w:szCs w:val="21"/>
              </w:rPr>
            </w:pPr>
            <w:r>
              <w:rPr>
                <w:rFonts w:hint="eastAsia" w:ascii="宋体" w:hAnsi="宋体" w:cs="宋体"/>
                <w:b/>
                <w:sz w:val="21"/>
                <w:szCs w:val="21"/>
              </w:rPr>
              <w:t>招标文件的澄清、补充、修改的时间：</w:t>
            </w:r>
          </w:p>
          <w:p>
            <w:pPr>
              <w:pStyle w:val="70"/>
              <w:spacing w:line="360" w:lineRule="auto"/>
              <w:ind w:left="2"/>
              <w:jc w:val="left"/>
              <w:rPr>
                <w:rFonts w:ascii="宋体" w:hAnsi="宋体" w:cs="宋体"/>
                <w:bCs/>
                <w:sz w:val="21"/>
                <w:szCs w:val="21"/>
              </w:rPr>
            </w:pPr>
            <w:r>
              <w:rPr>
                <w:rFonts w:hint="eastAsia" w:ascii="宋体" w:hAnsi="宋体" w:cs="宋体"/>
                <w:bCs/>
                <w:sz w:val="21"/>
                <w:szCs w:val="21"/>
              </w:rPr>
              <w:t xml:space="preserve">    澄清、补充、修改的内容影响投标文件编制的，招标人将在投标截止时间15日前，以电子文件/传真形式发给各投标单位，不足15天的，招标人将顺延递交投标文件的截止时间。</w:t>
            </w:r>
          </w:p>
          <w:p>
            <w:pPr>
              <w:pStyle w:val="70"/>
              <w:spacing w:line="360" w:lineRule="auto"/>
              <w:ind w:left="2"/>
              <w:jc w:val="left"/>
              <w:rPr>
                <w:rFonts w:ascii="宋体" w:hAnsi="宋体" w:cs="宋体"/>
                <w:b/>
                <w:sz w:val="21"/>
                <w:szCs w:val="21"/>
              </w:rPr>
            </w:pPr>
            <w:r>
              <w:rPr>
                <w:rFonts w:hint="eastAsia" w:ascii="宋体" w:hAnsi="宋体" w:cs="宋体"/>
                <w:bCs/>
                <w:sz w:val="21"/>
                <w:szCs w:val="21"/>
              </w:rPr>
              <w:t xml:space="preserve">    澄清、补充、修改的内容不影响投标文件编制的，将在投标文件递交截止时间 5 天前，以上款相同的形式发布。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16</w:t>
            </w:r>
          </w:p>
        </w:tc>
        <w:tc>
          <w:tcPr>
            <w:tcW w:w="8162" w:type="dxa"/>
            <w:tcBorders>
              <w:top w:val="single" w:color="auto" w:sz="4" w:space="0"/>
              <w:left w:val="single" w:color="auto" w:sz="4" w:space="0"/>
              <w:bottom w:val="single" w:color="auto" w:sz="4" w:space="0"/>
              <w:right w:val="single" w:color="auto" w:sz="4" w:space="0"/>
            </w:tcBorders>
            <w:vAlign w:val="center"/>
          </w:tcPr>
          <w:p>
            <w:pPr>
              <w:pStyle w:val="70"/>
              <w:spacing w:line="360" w:lineRule="auto"/>
              <w:ind w:left="2"/>
              <w:jc w:val="left"/>
              <w:rPr>
                <w:rFonts w:ascii="宋体" w:hAnsi="宋体" w:cs="宋体"/>
                <w:bCs/>
                <w:sz w:val="21"/>
                <w:szCs w:val="21"/>
              </w:rPr>
            </w:pPr>
            <w:r>
              <w:rPr>
                <w:rFonts w:hint="eastAsia" w:ascii="宋体" w:hAnsi="宋体" w:cs="宋体"/>
                <w:b/>
                <w:sz w:val="21"/>
                <w:szCs w:val="21"/>
              </w:rPr>
              <w:t>投标限价：人民币584万元</w:t>
            </w:r>
            <w:r>
              <w:rPr>
                <w:rFonts w:hint="eastAsia" w:ascii="宋体" w:hAnsi="宋体" w:cs="宋体"/>
                <w:bCs/>
                <w:sz w:val="21"/>
                <w:szCs w:val="21"/>
              </w:rPr>
              <w:t>，</w:t>
            </w:r>
            <w:r>
              <w:rPr>
                <w:rFonts w:hint="eastAsia" w:ascii="宋体" w:hAnsi="宋体" w:cs="宋体"/>
                <w:b/>
                <w:bCs/>
                <w:sz w:val="21"/>
                <w:szCs w:val="21"/>
              </w:rPr>
              <w:t>超出投标限价的供应商将作无效标处理。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17</w:t>
            </w:r>
          </w:p>
        </w:tc>
        <w:tc>
          <w:tcPr>
            <w:tcW w:w="8162" w:type="dxa"/>
            <w:tcBorders>
              <w:top w:val="single" w:color="auto" w:sz="4" w:space="0"/>
              <w:left w:val="single" w:color="auto" w:sz="4" w:space="0"/>
              <w:bottom w:val="single" w:color="auto" w:sz="4" w:space="0"/>
              <w:right w:val="single" w:color="auto" w:sz="4" w:space="0"/>
            </w:tcBorders>
            <w:vAlign w:val="center"/>
          </w:tcPr>
          <w:p>
            <w:pPr>
              <w:pStyle w:val="70"/>
              <w:spacing w:line="360" w:lineRule="auto"/>
              <w:ind w:left="2"/>
              <w:jc w:val="left"/>
              <w:rPr>
                <w:rFonts w:ascii="宋体" w:hAnsi="宋体" w:cs="宋体"/>
                <w:b/>
                <w:sz w:val="21"/>
                <w:szCs w:val="21"/>
              </w:rPr>
            </w:pPr>
            <w:r>
              <w:rPr>
                <w:rFonts w:hint="eastAsia" w:ascii="宋体" w:hAnsi="宋体" w:cs="宋体"/>
                <w:b/>
                <w:sz w:val="21"/>
                <w:szCs w:val="21"/>
              </w:rPr>
              <w:t>投标报价范围：</w:t>
            </w:r>
            <w:r>
              <w:rPr>
                <w:rFonts w:hint="eastAsia" w:ascii="宋体" w:hAnsi="宋体" w:cs="宋体"/>
                <w:bCs/>
                <w:sz w:val="21"/>
                <w:szCs w:val="21"/>
              </w:rPr>
              <w:t>含税全包价，包括设备、人工、维修保养、安装、调试、培训、验收、保修、税费等一切费用（即交钥匙工程）。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18</w:t>
            </w:r>
          </w:p>
        </w:tc>
        <w:tc>
          <w:tcPr>
            <w:tcW w:w="8162" w:type="dxa"/>
            <w:tcBorders>
              <w:top w:val="single" w:color="auto" w:sz="4" w:space="0"/>
              <w:left w:val="single" w:color="auto" w:sz="4" w:space="0"/>
              <w:bottom w:val="single" w:color="auto" w:sz="4" w:space="0"/>
              <w:right w:val="single" w:color="auto" w:sz="4" w:space="0"/>
            </w:tcBorders>
            <w:vAlign w:val="center"/>
          </w:tcPr>
          <w:p>
            <w:pPr>
              <w:pStyle w:val="70"/>
              <w:spacing w:line="360" w:lineRule="auto"/>
              <w:ind w:left="2"/>
              <w:jc w:val="left"/>
              <w:rPr>
                <w:rFonts w:ascii="宋体" w:hAnsi="宋体" w:cs="宋体"/>
                <w:b/>
                <w:sz w:val="21"/>
                <w:szCs w:val="21"/>
              </w:rPr>
            </w:pPr>
            <w:r>
              <w:rPr>
                <w:rFonts w:hint="eastAsia" w:ascii="宋体" w:hAnsi="宋体" w:cs="宋体"/>
                <w:b/>
                <w:sz w:val="21"/>
                <w:szCs w:val="21"/>
              </w:rPr>
              <w:t>评标办法：</w:t>
            </w:r>
            <w:r>
              <w:rPr>
                <w:rFonts w:hint="eastAsia" w:ascii="宋体" w:hAnsi="宋体" w:cs="宋体"/>
                <w:bCs/>
                <w:sz w:val="21"/>
                <w:szCs w:val="21"/>
              </w:rPr>
              <w:t>综合评分法、资格后审。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19</w:t>
            </w:r>
          </w:p>
        </w:tc>
        <w:tc>
          <w:tcPr>
            <w:tcW w:w="81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szCs w:val="21"/>
              </w:rPr>
            </w:pPr>
            <w:r>
              <w:rPr>
                <w:rFonts w:hint="eastAsia" w:ascii="宋体" w:hAnsi="宋体" w:cs="宋体"/>
                <w:b/>
                <w:bCs/>
                <w:szCs w:val="21"/>
              </w:rPr>
              <w:t>投标文件组成：</w:t>
            </w:r>
            <w:r>
              <w:rPr>
                <w:rFonts w:hint="eastAsia" w:ascii="宋体" w:hAnsi="宋体" w:cs="宋体"/>
                <w:szCs w:val="21"/>
              </w:rPr>
              <w:t>投标文件由“</w:t>
            </w:r>
            <w:r>
              <w:rPr>
                <w:rFonts w:hint="eastAsia" w:ascii="宋体" w:hAnsi="宋体" w:cs="宋体"/>
                <w:b/>
                <w:bCs/>
                <w:szCs w:val="21"/>
              </w:rPr>
              <w:t>报价文件</w:t>
            </w:r>
            <w:r>
              <w:rPr>
                <w:rFonts w:hint="eastAsia" w:ascii="宋体" w:hAnsi="宋体" w:cs="宋体"/>
                <w:szCs w:val="21"/>
              </w:rPr>
              <w:t>”、“</w:t>
            </w:r>
            <w:r>
              <w:rPr>
                <w:rFonts w:hint="eastAsia" w:ascii="宋体" w:hAnsi="宋体" w:cs="宋体"/>
                <w:b/>
                <w:bCs/>
                <w:szCs w:val="21"/>
              </w:rPr>
              <w:t>资格文件</w:t>
            </w:r>
            <w:r>
              <w:rPr>
                <w:rFonts w:hint="eastAsia" w:ascii="宋体" w:hAnsi="宋体" w:cs="宋体"/>
                <w:szCs w:val="21"/>
              </w:rPr>
              <w:t>”、“</w:t>
            </w:r>
            <w:r>
              <w:rPr>
                <w:rFonts w:hint="eastAsia" w:ascii="宋体" w:hAnsi="宋体" w:cs="宋体"/>
                <w:b/>
                <w:bCs/>
                <w:szCs w:val="21"/>
              </w:rPr>
              <w:t>商务技术文件</w:t>
            </w:r>
            <w:r>
              <w:rPr>
                <w:rFonts w:hint="eastAsia" w:ascii="宋体" w:hAnsi="宋体" w:cs="宋体"/>
                <w:szCs w:val="21"/>
              </w:rPr>
              <w:t>”组成。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20</w:t>
            </w:r>
          </w:p>
        </w:tc>
        <w:tc>
          <w:tcPr>
            <w:tcW w:w="81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szCs w:val="21"/>
              </w:rPr>
            </w:pPr>
            <w:r>
              <w:rPr>
                <w:rFonts w:hint="eastAsia" w:ascii="宋体" w:hAnsi="宋体" w:cs="宋体"/>
                <w:b/>
                <w:bCs/>
                <w:szCs w:val="21"/>
              </w:rPr>
              <w:t>投标文件编制要求：</w:t>
            </w:r>
            <w:r>
              <w:rPr>
                <w:rFonts w:hint="eastAsia" w:ascii="宋体" w:hAnsi="宋体" w:cs="宋体"/>
                <w:szCs w:val="21"/>
              </w:rPr>
              <w:t xml:space="preserve">供应商应先安装“政采云电子交易客户端”，并按照本招标文件和“政府采购云平台”的要求，通过“政采云电子交易客户端”编制并加密投标文件。  </w:t>
            </w:r>
          </w:p>
          <w:p>
            <w:pPr>
              <w:autoSpaceDE w:val="0"/>
              <w:autoSpaceDN w:val="0"/>
              <w:snapToGrid w:val="0"/>
              <w:spacing w:line="360" w:lineRule="auto"/>
              <w:textAlignment w:val="bottom"/>
              <w:rPr>
                <w:rFonts w:ascii="宋体" w:hAnsi="宋体" w:cs="宋体"/>
                <w:b/>
                <w:bCs/>
                <w:szCs w:val="21"/>
              </w:rPr>
            </w:pPr>
            <w:r>
              <w:rPr>
                <w:rFonts w:hint="eastAsia" w:ascii="宋体" w:hAnsi="宋体" w:cs="宋体"/>
                <w:b/>
                <w:bCs/>
                <w:szCs w:val="21"/>
              </w:rPr>
              <w:t>响应文件内容所需签章为电子签章。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21</w:t>
            </w:r>
          </w:p>
        </w:tc>
        <w:tc>
          <w:tcPr>
            <w:tcW w:w="81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szCs w:val="21"/>
              </w:rPr>
            </w:pPr>
            <w:r>
              <w:rPr>
                <w:rFonts w:hint="eastAsia" w:ascii="宋体" w:hAnsi="宋体" w:cs="宋体"/>
                <w:b/>
                <w:bCs/>
                <w:szCs w:val="21"/>
              </w:rPr>
              <w:t>投标文件的形式：</w:t>
            </w:r>
            <w:r>
              <w:rPr>
                <w:rFonts w:hint="eastAsia" w:ascii="宋体" w:hAnsi="宋体" w:cs="宋体"/>
                <w:szCs w:val="21"/>
              </w:rPr>
              <w:t>☑电子投标文件（包括“电子加密投标文件”和“备份投标文件”，在投标文件编制完成后同时生成）；</w:t>
            </w:r>
          </w:p>
          <w:p>
            <w:pPr>
              <w:autoSpaceDE w:val="0"/>
              <w:autoSpaceDN w:val="0"/>
              <w:snapToGrid w:val="0"/>
              <w:spacing w:line="360" w:lineRule="auto"/>
              <w:textAlignment w:val="bottom"/>
              <w:rPr>
                <w:rFonts w:ascii="宋体" w:hAnsi="宋体" w:cs="宋体"/>
                <w:szCs w:val="21"/>
              </w:rPr>
            </w:pPr>
            <w:r>
              <w:rPr>
                <w:rFonts w:hint="eastAsia" w:ascii="宋体" w:hAnsi="宋体" w:cs="宋体"/>
                <w:szCs w:val="21"/>
              </w:rPr>
              <w:t>（1）“电子加密投标文件”是指通过“政采云电子交易客户端”完成投标文件编制后生成并加密的数据电文形式的投标文件。</w:t>
            </w:r>
          </w:p>
          <w:p>
            <w:pPr>
              <w:autoSpaceDE w:val="0"/>
              <w:autoSpaceDN w:val="0"/>
              <w:snapToGrid w:val="0"/>
              <w:spacing w:line="360" w:lineRule="auto"/>
              <w:textAlignment w:val="bottom"/>
              <w:rPr>
                <w:rFonts w:ascii="宋体" w:hAnsi="宋体" w:cs="宋体"/>
                <w:szCs w:val="21"/>
              </w:rPr>
            </w:pPr>
            <w:r>
              <w:rPr>
                <w:rFonts w:hint="eastAsia" w:ascii="宋体" w:hAnsi="宋体" w:cs="宋体"/>
                <w:szCs w:val="21"/>
              </w:rPr>
              <w:t>（2）“备份投标文件”是指与“电子加密投标文件”同时生成的数据电文形式的电子文件（备份标书），其他方式编制的备份投标文件视为无效备份投标文件</w:t>
            </w:r>
            <w:r>
              <w:rPr>
                <w:rFonts w:hint="eastAsia" w:cs="Arial"/>
                <w:kern w:val="0"/>
                <w:szCs w:val="21"/>
              </w:rPr>
              <w:t>备份投标文件中须单独包含项目讲标及方案现场演示的含音频PPT文件，并在评标时播放，作为方案演示分的得分依据。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22</w:t>
            </w:r>
          </w:p>
        </w:tc>
        <w:tc>
          <w:tcPr>
            <w:tcW w:w="81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b/>
                <w:bCs/>
                <w:szCs w:val="21"/>
              </w:rPr>
            </w:pPr>
            <w:r>
              <w:rPr>
                <w:rFonts w:hint="eastAsia" w:ascii="宋体" w:hAnsi="宋体" w:cs="宋体"/>
                <w:b/>
                <w:bCs/>
                <w:szCs w:val="21"/>
              </w:rPr>
              <w:t>投标文件份数：</w:t>
            </w:r>
            <w:r>
              <w:rPr>
                <w:rFonts w:hint="eastAsia" w:ascii="宋体" w:hAnsi="宋体" w:cs="宋体"/>
                <w:szCs w:val="21"/>
              </w:rPr>
              <w:t>（1）“电子加密投标文件”：在线上传递交一份。（2）“备份投标文件”：密封包装后（邮寄形式）投标截止时间前递交一份（邮寄地址：杭州市杭海路238号森禾广场B座15楼（黄工收，13705716922））。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23</w:t>
            </w:r>
          </w:p>
        </w:tc>
        <w:tc>
          <w:tcPr>
            <w:tcW w:w="81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b/>
                <w:bCs/>
                <w:szCs w:val="21"/>
              </w:rPr>
            </w:pPr>
            <w:r>
              <w:rPr>
                <w:rFonts w:hint="eastAsia" w:ascii="宋体" w:hAnsi="宋体" w:cs="宋体"/>
                <w:b/>
                <w:bCs/>
                <w:szCs w:val="21"/>
              </w:rPr>
              <w:t>投标文件的上传和递交：</w:t>
            </w:r>
          </w:p>
          <w:p>
            <w:pPr>
              <w:autoSpaceDE w:val="0"/>
              <w:autoSpaceDN w:val="0"/>
              <w:snapToGrid w:val="0"/>
              <w:spacing w:line="360" w:lineRule="auto"/>
              <w:textAlignment w:val="bottom"/>
              <w:rPr>
                <w:rFonts w:ascii="宋体" w:hAnsi="宋体" w:cs="宋体"/>
                <w:szCs w:val="21"/>
              </w:rPr>
            </w:pPr>
            <w:r>
              <w:rPr>
                <w:rFonts w:hint="eastAsia" w:ascii="宋体" w:hAnsi="宋体" w:cs="宋体"/>
                <w:szCs w:val="21"/>
              </w:rPr>
              <w:t>（1）“电子加密投标文件”的上传、递交：</w:t>
            </w:r>
          </w:p>
          <w:p>
            <w:pPr>
              <w:autoSpaceDE w:val="0"/>
              <w:autoSpaceDN w:val="0"/>
              <w:snapToGrid w:val="0"/>
              <w:spacing w:line="360" w:lineRule="auto"/>
              <w:textAlignment w:val="bottom"/>
              <w:rPr>
                <w:rFonts w:ascii="宋体" w:hAnsi="宋体" w:cs="宋体"/>
                <w:szCs w:val="21"/>
              </w:rPr>
            </w:pPr>
            <w:r>
              <w:rPr>
                <w:rFonts w:hint="eastAsia" w:ascii="宋体" w:hAnsi="宋体" w:cs="宋体"/>
                <w:szCs w:val="21"/>
              </w:rPr>
              <w:t>a.投标供应商应在投标截止时间前将“电子加密投标文件”成功上传递交至“政府采购云平台”，否则投标无效。</w:t>
            </w:r>
          </w:p>
          <w:p>
            <w:pPr>
              <w:autoSpaceDE w:val="0"/>
              <w:autoSpaceDN w:val="0"/>
              <w:snapToGrid w:val="0"/>
              <w:spacing w:line="360" w:lineRule="auto"/>
              <w:textAlignment w:val="bottom"/>
              <w:rPr>
                <w:rFonts w:ascii="宋体" w:hAnsi="宋体" w:cs="宋体"/>
                <w:szCs w:val="21"/>
              </w:rPr>
            </w:pPr>
            <w:r>
              <w:rPr>
                <w:rFonts w:hint="eastAsia" w:ascii="宋体" w:hAnsi="宋体" w:cs="宋体"/>
                <w:szCs w:val="21"/>
              </w:rPr>
              <w:t>b.“电子加密投标文件”成功上传递交后，供应商可自行打印投标文件接收回执。</w:t>
            </w:r>
          </w:p>
          <w:p>
            <w:pPr>
              <w:autoSpaceDE w:val="0"/>
              <w:autoSpaceDN w:val="0"/>
              <w:snapToGrid w:val="0"/>
              <w:spacing w:line="360" w:lineRule="auto"/>
              <w:textAlignment w:val="bottom"/>
              <w:rPr>
                <w:rFonts w:ascii="宋体" w:hAnsi="宋体" w:cs="宋体"/>
                <w:szCs w:val="21"/>
              </w:rPr>
            </w:pPr>
            <w:r>
              <w:rPr>
                <w:rFonts w:hint="eastAsia" w:ascii="宋体" w:hAnsi="宋体" w:cs="宋体"/>
                <w:szCs w:val="21"/>
              </w:rPr>
              <w:t>（2）“备份投标文件”的密封包装、递交：</w:t>
            </w:r>
          </w:p>
          <w:p>
            <w:pPr>
              <w:autoSpaceDE w:val="0"/>
              <w:autoSpaceDN w:val="0"/>
              <w:snapToGrid w:val="0"/>
              <w:spacing w:line="360" w:lineRule="auto"/>
              <w:textAlignment w:val="bottom"/>
              <w:rPr>
                <w:rFonts w:ascii="宋体" w:hAnsi="宋体" w:cs="宋体"/>
                <w:szCs w:val="21"/>
              </w:rPr>
            </w:pPr>
            <w:r>
              <w:rPr>
                <w:rFonts w:hint="eastAsia" w:ascii="宋体" w:hAnsi="宋体" w:cs="宋体"/>
                <w:szCs w:val="21"/>
              </w:rPr>
              <w:t>a.投标供应商在“政府采购云平台”完成“电子加密投标文件”的上传递交后，还可以（邮寄形式）在投标截止时间前递交以介质（U盘）存储的 “备份投标文件”（一份）；</w:t>
            </w:r>
          </w:p>
          <w:p>
            <w:pPr>
              <w:autoSpaceDE w:val="0"/>
              <w:autoSpaceDN w:val="0"/>
              <w:snapToGrid w:val="0"/>
              <w:spacing w:line="360" w:lineRule="auto"/>
              <w:textAlignment w:val="bottom"/>
              <w:rPr>
                <w:rFonts w:ascii="宋体" w:hAnsi="宋体" w:cs="宋体"/>
                <w:szCs w:val="21"/>
              </w:rPr>
            </w:pPr>
            <w:r>
              <w:rPr>
                <w:rFonts w:hint="eastAsia" w:ascii="宋体" w:hAnsi="宋体" w:cs="宋体"/>
                <w:szCs w:val="21"/>
              </w:rPr>
              <w:t>b.“备份投标文件”应当密封包装，并在包装上标注投标项目名称、投标单位名称并加盖公章。没有密封包装或者逾期邮寄送达至投标地点的“备份投标文件”将不予接收；</w:t>
            </w:r>
          </w:p>
          <w:p>
            <w:pPr>
              <w:autoSpaceDE w:val="0"/>
              <w:autoSpaceDN w:val="0"/>
              <w:snapToGrid w:val="0"/>
              <w:spacing w:line="360" w:lineRule="auto"/>
              <w:textAlignment w:val="bottom"/>
            </w:pPr>
            <w:r>
              <w:rPr>
                <w:rFonts w:hint="eastAsia" w:ascii="宋体" w:hAnsi="宋体" w:cs="宋体"/>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24</w:t>
            </w:r>
          </w:p>
        </w:tc>
        <w:tc>
          <w:tcPr>
            <w:tcW w:w="81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b/>
                <w:bCs/>
                <w:szCs w:val="21"/>
              </w:rPr>
            </w:pPr>
            <w:r>
              <w:rPr>
                <w:rFonts w:hint="eastAsia" w:ascii="宋体" w:hAnsi="宋体" w:cs="宋体"/>
                <w:b/>
                <w:bCs/>
                <w:szCs w:val="21"/>
              </w:rPr>
              <w:t>电子加密投标文件的解密和异常情况处理：</w:t>
            </w:r>
          </w:p>
          <w:p>
            <w:pPr>
              <w:autoSpaceDE w:val="0"/>
              <w:autoSpaceDN w:val="0"/>
              <w:snapToGrid w:val="0"/>
              <w:spacing w:line="360" w:lineRule="auto"/>
              <w:textAlignment w:val="bottom"/>
              <w:rPr>
                <w:rFonts w:ascii="宋体" w:hAnsi="宋体" w:cs="宋体"/>
                <w:szCs w:val="21"/>
              </w:rPr>
            </w:pPr>
            <w:r>
              <w:rPr>
                <w:rFonts w:hint="eastAsia" w:ascii="宋体" w:hAnsi="宋体" w:cs="宋体"/>
                <w:szCs w:val="21"/>
              </w:rPr>
              <w:t>（1）开标后，采购组织机构将向各投标供应商发出“电子加密投标文件”的解密通知，各投标供应商代表应当在接到解密通知后30分钟内自行完成“电子加密投标文件”的在线解密。</w:t>
            </w:r>
          </w:p>
          <w:p>
            <w:pPr>
              <w:autoSpaceDE w:val="0"/>
              <w:autoSpaceDN w:val="0"/>
              <w:snapToGrid w:val="0"/>
              <w:spacing w:line="360" w:lineRule="auto"/>
              <w:textAlignment w:val="bottom"/>
              <w:rPr>
                <w:rFonts w:ascii="宋体" w:hAnsi="宋体" w:cs="宋体"/>
                <w:szCs w:val="21"/>
              </w:rPr>
            </w:pPr>
            <w:r>
              <w:rPr>
                <w:rFonts w:hint="eastAsia" w:ascii="宋体" w:hAnsi="宋体" w:cs="宋体"/>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autoSpaceDE w:val="0"/>
              <w:autoSpaceDN w:val="0"/>
              <w:snapToGrid w:val="0"/>
              <w:spacing w:line="360" w:lineRule="auto"/>
              <w:textAlignment w:val="bottom"/>
              <w:rPr>
                <w:rFonts w:ascii="宋体" w:hAnsi="宋体" w:cs="宋体"/>
                <w:b/>
                <w:bCs/>
                <w:szCs w:val="21"/>
              </w:rPr>
            </w:pPr>
            <w:r>
              <w:rPr>
                <w:rFonts w:hint="eastAsia" w:ascii="宋体" w:hAnsi="宋体" w:cs="宋体"/>
                <w:szCs w:val="21"/>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25</w:t>
            </w:r>
          </w:p>
        </w:tc>
        <w:tc>
          <w:tcPr>
            <w:tcW w:w="81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szCs w:val="21"/>
              </w:rPr>
            </w:pPr>
            <w:r>
              <w:rPr>
                <w:rFonts w:hint="eastAsia" w:ascii="宋体" w:hAnsi="宋体" w:cs="宋体"/>
                <w:b/>
                <w:bCs/>
                <w:szCs w:val="21"/>
              </w:rPr>
              <w:t>评标结果公示：</w:t>
            </w:r>
            <w:r>
              <w:rPr>
                <w:rFonts w:hint="eastAsia" w:ascii="宋体" w:hAnsi="宋体" w:cs="宋体"/>
                <w:szCs w:val="21"/>
              </w:rPr>
              <w:t>评标结束后7个工作日内，中标公告公示于浙江政府采购网并发出中标通知书。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26</w:t>
            </w:r>
          </w:p>
        </w:tc>
        <w:tc>
          <w:tcPr>
            <w:tcW w:w="81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szCs w:val="21"/>
              </w:rPr>
            </w:pPr>
            <w:r>
              <w:rPr>
                <w:rFonts w:hint="eastAsia" w:ascii="宋体" w:hAnsi="宋体" w:cs="宋体"/>
                <w:b/>
                <w:bCs/>
                <w:szCs w:val="21"/>
              </w:rPr>
              <w:t>签订合同时间：</w:t>
            </w:r>
            <w:r>
              <w:rPr>
                <w:rFonts w:hint="eastAsia" w:ascii="宋体" w:hAnsi="宋体" w:cs="宋体"/>
                <w:szCs w:val="21"/>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27</w:t>
            </w:r>
          </w:p>
        </w:tc>
        <w:tc>
          <w:tcPr>
            <w:tcW w:w="81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left"/>
              <w:textAlignment w:val="bottom"/>
              <w:rPr>
                <w:rFonts w:ascii="宋体" w:hAnsi="宋体" w:cs="宋体"/>
                <w:bCs/>
                <w:snapToGrid w:val="0"/>
                <w:kern w:val="0"/>
                <w:szCs w:val="21"/>
              </w:rPr>
            </w:pPr>
            <w:r>
              <w:rPr>
                <w:rFonts w:hint="eastAsia" w:ascii="宋体" w:hAnsi="宋体" w:cs="宋体"/>
                <w:b/>
                <w:bCs/>
                <w:szCs w:val="21"/>
              </w:rPr>
              <w:t>履约保证金：</w:t>
            </w:r>
            <w:r>
              <w:rPr>
                <w:rFonts w:hint="eastAsia" w:ascii="宋体" w:hAnsi="宋体" w:cs="宋体"/>
                <w:b/>
                <w:bCs/>
                <w:szCs w:val="21"/>
                <w:lang w:val="en-US" w:eastAsia="zh-CN"/>
              </w:rPr>
              <w:t>合同价的5%</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28</w:t>
            </w:r>
          </w:p>
        </w:tc>
        <w:tc>
          <w:tcPr>
            <w:tcW w:w="81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b/>
                <w:bCs/>
                <w:szCs w:val="21"/>
              </w:rPr>
              <w:t>投标文件有效期：</w:t>
            </w:r>
            <w:r>
              <w:rPr>
                <w:rFonts w:hint="eastAsia" w:ascii="宋体" w:hAnsi="宋体" w:cs="宋体"/>
                <w:szCs w:val="21"/>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29</w:t>
            </w:r>
          </w:p>
        </w:tc>
        <w:tc>
          <w:tcPr>
            <w:tcW w:w="8162" w:type="dxa"/>
            <w:tcBorders>
              <w:top w:val="single" w:color="auto" w:sz="4" w:space="0"/>
              <w:left w:val="single" w:color="auto" w:sz="4" w:space="0"/>
              <w:bottom w:val="single" w:color="auto" w:sz="4" w:space="0"/>
              <w:right w:val="single" w:color="auto" w:sz="4" w:space="0"/>
            </w:tcBorders>
            <w:vAlign w:val="center"/>
          </w:tcPr>
          <w:p>
            <w:pPr>
              <w:pStyle w:val="78"/>
              <w:numPr>
                <w:ilvl w:val="0"/>
                <w:numId w:val="4"/>
              </w:numPr>
              <w:spacing w:line="360" w:lineRule="auto"/>
              <w:rPr>
                <w:rFonts w:cs="宋体"/>
                <w:sz w:val="21"/>
                <w:szCs w:val="21"/>
                <w:lang w:val="en-US"/>
              </w:rPr>
            </w:pPr>
            <w:r>
              <w:rPr>
                <w:rFonts w:hint="eastAsia" w:cs="宋体"/>
                <w:sz w:val="21"/>
                <w:szCs w:val="21"/>
                <w:lang w:val="en-US"/>
              </w:rPr>
              <w:t>小微企业政策支持</w:t>
            </w:r>
          </w:p>
          <w:p>
            <w:pPr>
              <w:pStyle w:val="78"/>
              <w:spacing w:line="360" w:lineRule="auto"/>
              <w:rPr>
                <w:rFonts w:cs="宋体"/>
                <w:sz w:val="21"/>
                <w:szCs w:val="21"/>
                <w:lang w:val="en-US"/>
              </w:rPr>
            </w:pPr>
            <w:r>
              <w:rPr>
                <w:rFonts w:hint="eastAsia" w:cs="宋体"/>
                <w:sz w:val="21"/>
                <w:szCs w:val="21"/>
                <w:lang w:val="en-US"/>
              </w:rPr>
              <w:t>根据工信部等部委发布的《关于印发中小企业划型标准规定的通知》（工信部联企业〔2011〕300号），根据具体品目确定相应标准。符合上述条件的中小微型企业应按照招标文件附件的格式要求提供《中小企业声明函》，符合《关于促进残疾人就业政府采购政策的通知》（财库〔2017〕141号）规定的条件并提供提供《残疾人福利性单位声明函》（附件2）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78"/>
              <w:spacing w:line="360" w:lineRule="auto"/>
              <w:rPr>
                <w:rFonts w:cs="宋体"/>
                <w:sz w:val="21"/>
                <w:szCs w:val="21"/>
                <w:lang w:val="en-US"/>
              </w:rPr>
            </w:pPr>
            <w:r>
              <w:rPr>
                <w:rFonts w:hint="eastAsia" w:cs="宋体"/>
                <w:sz w:val="21"/>
                <w:szCs w:val="21"/>
                <w:lang w:val="en-US"/>
              </w:rPr>
              <w:t>根据财政部发布的《政府采购促进中小企业发展暂行办法》规定，对于非专门面向此类企业的项目，对小型和微型企业产品的投标价格给予6 %的扣除，用扣除后的价格参与评审。</w:t>
            </w:r>
          </w:p>
          <w:p>
            <w:pPr>
              <w:pStyle w:val="78"/>
              <w:spacing w:line="360" w:lineRule="auto"/>
              <w:rPr>
                <w:rFonts w:cs="宋体"/>
                <w:sz w:val="21"/>
                <w:szCs w:val="21"/>
                <w:lang w:val="en-US"/>
              </w:rPr>
            </w:pPr>
            <w:r>
              <w:rPr>
                <w:rFonts w:hint="eastAsia" w:cs="宋体"/>
                <w:sz w:val="21"/>
                <w:szCs w:val="21"/>
                <w:lang w:val="en-US"/>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w:t>
            </w:r>
          </w:p>
          <w:p>
            <w:pPr>
              <w:pStyle w:val="78"/>
              <w:spacing w:line="360" w:lineRule="auto"/>
              <w:rPr>
                <w:rFonts w:cs="宋体"/>
                <w:sz w:val="21"/>
                <w:szCs w:val="21"/>
                <w:lang w:val="en-US"/>
              </w:rPr>
            </w:pPr>
            <w:r>
              <w:rPr>
                <w:rFonts w:hint="eastAsia" w:cs="宋体"/>
                <w:sz w:val="21"/>
                <w:szCs w:val="21"/>
                <w:lang w:val="en-US"/>
              </w:rPr>
              <w:t>联合体各方均为小型、微型企业的，联合体视同为小型、微型企业。</w:t>
            </w:r>
          </w:p>
          <w:p>
            <w:pPr>
              <w:pStyle w:val="78"/>
              <w:spacing w:line="360" w:lineRule="auto"/>
              <w:rPr>
                <w:rFonts w:cs="宋体"/>
                <w:sz w:val="21"/>
                <w:szCs w:val="21"/>
                <w:lang w:val="en-US"/>
              </w:rPr>
            </w:pPr>
            <w:r>
              <w:rPr>
                <w:rFonts w:hint="eastAsia" w:cs="宋体"/>
                <w:sz w:val="21"/>
                <w:szCs w:val="21"/>
                <w:lang w:val="en-US"/>
              </w:rPr>
              <w:t>2、节能产品、环境标志产品的强制采购政策</w:t>
            </w:r>
          </w:p>
          <w:p>
            <w:pPr>
              <w:pStyle w:val="78"/>
              <w:spacing w:line="360" w:lineRule="auto"/>
              <w:rPr>
                <w:rFonts w:cs="宋体"/>
                <w:sz w:val="21"/>
                <w:szCs w:val="21"/>
                <w:lang w:val="en-US"/>
              </w:rPr>
            </w:pPr>
            <w:r>
              <w:rPr>
                <w:rFonts w:hint="eastAsia" w:cs="宋体"/>
                <w:sz w:val="21"/>
                <w:szCs w:val="21"/>
                <w:lang w:val="en-US"/>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w:t>
            </w:r>
            <w:r>
              <w:rPr>
                <w:rFonts w:hint="eastAsia" w:cs="宋体"/>
                <w:b/>
                <w:bCs/>
                <w:sz w:val="21"/>
                <w:szCs w:val="21"/>
                <w:lang w:val="en-US"/>
              </w:rPr>
              <w:t>（注：本项目不适用。）</w:t>
            </w:r>
          </w:p>
          <w:p>
            <w:pPr>
              <w:pStyle w:val="78"/>
              <w:spacing w:line="360" w:lineRule="auto"/>
              <w:rPr>
                <w:rFonts w:cs="宋体"/>
                <w:sz w:val="21"/>
                <w:szCs w:val="21"/>
                <w:lang w:val="en-US"/>
              </w:rPr>
            </w:pPr>
            <w:r>
              <w:rPr>
                <w:rFonts w:hint="eastAsia" w:cs="宋体"/>
                <w:sz w:val="21"/>
                <w:szCs w:val="21"/>
                <w:lang w:val="en-US"/>
              </w:rPr>
              <w:t>3、节能产品、环境标志产品的优先采购政策</w:t>
            </w:r>
          </w:p>
          <w:p>
            <w:pPr>
              <w:pStyle w:val="78"/>
              <w:spacing w:line="360" w:lineRule="auto"/>
              <w:rPr>
                <w:rFonts w:cs="宋体"/>
                <w:sz w:val="21"/>
                <w:szCs w:val="21"/>
                <w:lang w:val="en-US"/>
              </w:rPr>
            </w:pPr>
            <w:r>
              <w:rPr>
                <w:rFonts w:hint="eastAsia" w:cs="宋体"/>
                <w:sz w:val="21"/>
                <w:szCs w:val="21"/>
                <w:lang w:val="en-US"/>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w:t>
            </w:r>
            <w:r>
              <w:rPr>
                <w:rFonts w:hint="eastAsia" w:cs="宋体"/>
                <w:b/>
                <w:bCs/>
                <w:sz w:val="21"/>
                <w:szCs w:val="21"/>
                <w:lang w:val="en-US"/>
              </w:rPr>
              <w:t>（注：本项目不适用。）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75"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30</w:t>
            </w:r>
          </w:p>
        </w:tc>
        <w:tc>
          <w:tcPr>
            <w:tcW w:w="81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
                <w:bCs/>
                <w:szCs w:val="21"/>
              </w:rPr>
            </w:pPr>
            <w:r>
              <w:rPr>
                <w:rFonts w:hint="eastAsia" w:ascii="宋体" w:hAnsi="宋体" w:cs="宋体"/>
                <w:b/>
                <w:bCs/>
                <w:szCs w:val="21"/>
              </w:rPr>
              <w:t>信用信息查询：</w:t>
            </w:r>
          </w:p>
          <w:p>
            <w:pPr>
              <w:snapToGrid w:val="0"/>
              <w:spacing w:line="360" w:lineRule="auto"/>
              <w:rPr>
                <w:rFonts w:ascii="宋体" w:hAnsi="宋体" w:cs="宋体"/>
                <w:szCs w:val="21"/>
              </w:rPr>
            </w:pPr>
            <w:r>
              <w:rPr>
                <w:rFonts w:hint="eastAsia" w:ascii="宋体" w:hAnsi="宋体" w:cs="宋体"/>
                <w:szCs w:val="21"/>
              </w:rPr>
              <w:t>根据《关于在政府采购活动中查询及使用信用记录有关问题的通知》财库[2016]125号的规定：</w:t>
            </w:r>
          </w:p>
          <w:p>
            <w:pPr>
              <w:snapToGrid w:val="0"/>
              <w:spacing w:line="360" w:lineRule="auto"/>
              <w:rPr>
                <w:rFonts w:ascii="宋体" w:hAnsi="宋体" w:cs="宋体"/>
                <w:szCs w:val="21"/>
              </w:rPr>
            </w:pPr>
            <w:r>
              <w:rPr>
                <w:rFonts w:hint="eastAsia" w:ascii="宋体" w:hAnsi="宋体" w:cs="宋体"/>
                <w:szCs w:val="21"/>
              </w:rPr>
              <w:t>（1）采购人或采购代理机构将对本项目供应商的信用记录进行查询。查询渠道为信用中国网站（www.creditchina.gov.cn）、中国政府采购网（www.ccgp.gov.cn）；</w:t>
            </w:r>
          </w:p>
          <w:p>
            <w:pPr>
              <w:snapToGrid w:val="0"/>
              <w:spacing w:line="360" w:lineRule="auto"/>
              <w:rPr>
                <w:rFonts w:ascii="宋体" w:hAnsi="宋体" w:cs="宋体"/>
                <w:szCs w:val="21"/>
              </w:rPr>
            </w:pPr>
            <w:r>
              <w:rPr>
                <w:rFonts w:hint="eastAsia" w:ascii="宋体" w:hAnsi="宋体" w:cs="宋体"/>
                <w:szCs w:val="21"/>
              </w:rPr>
              <w:t>（2）截止时点：提交投标文件（响应文件）截止时间前3年内；</w:t>
            </w:r>
          </w:p>
          <w:p>
            <w:pPr>
              <w:snapToGrid w:val="0"/>
              <w:spacing w:line="360" w:lineRule="auto"/>
              <w:rPr>
                <w:rFonts w:ascii="宋体" w:hAnsi="宋体" w:cs="宋体"/>
                <w:szCs w:val="21"/>
              </w:rPr>
            </w:pPr>
            <w:r>
              <w:rPr>
                <w:rFonts w:hint="eastAsia" w:ascii="宋体" w:hAnsi="宋体" w:cs="宋体"/>
                <w:szCs w:val="21"/>
              </w:rPr>
              <w:t>（3）查询记录和证据的留存：信用信息查询记录和证据以网页截图等方式留存。</w:t>
            </w:r>
          </w:p>
          <w:p>
            <w:pPr>
              <w:snapToGrid w:val="0"/>
              <w:spacing w:line="360" w:lineRule="auto"/>
              <w:rPr>
                <w:rFonts w:ascii="宋体" w:hAnsi="宋体" w:cs="宋体"/>
                <w:szCs w:val="21"/>
              </w:rPr>
            </w:pPr>
            <w:r>
              <w:rPr>
                <w:rFonts w:hint="eastAsia" w:ascii="宋体" w:hAnsi="宋体" w:cs="宋体"/>
                <w:szCs w:val="21"/>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360" w:lineRule="auto"/>
              <w:rPr>
                <w:rFonts w:ascii="宋体" w:hAnsi="宋体" w:cs="宋体"/>
                <w:szCs w:val="21"/>
              </w:rPr>
            </w:pPr>
            <w:r>
              <w:rPr>
                <w:rFonts w:hint="eastAsia" w:ascii="宋体" w:hAnsi="宋体" w:cs="宋体"/>
                <w:szCs w:val="21"/>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31</w:t>
            </w:r>
          </w:p>
        </w:tc>
        <w:tc>
          <w:tcPr>
            <w:tcW w:w="81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szCs w:val="21"/>
              </w:rPr>
              <w:t>是否允许采购进口产品：</w:t>
            </w:r>
            <w:r>
              <w:rPr>
                <w:rFonts w:hint="eastAsia" w:ascii="宋体" w:hAnsi="宋体" w:cs="宋体"/>
                <w:b/>
                <w:bCs/>
                <w:szCs w:val="21"/>
              </w:rPr>
              <w:t>否</w:t>
            </w:r>
            <w:r>
              <w:rPr>
                <w:rFonts w:hint="eastAsia" w:ascii="宋体" w:hAnsi="宋体" w:cs="宋体"/>
                <w:szCs w:val="21"/>
              </w:rPr>
              <w:t>。</w:t>
            </w:r>
          </w:p>
          <w:p>
            <w:pPr>
              <w:snapToGrid w:val="0"/>
              <w:spacing w:line="360" w:lineRule="auto"/>
              <w:rPr>
                <w:rFonts w:ascii="宋体" w:hAnsi="宋体" w:cs="宋体"/>
                <w:b/>
                <w:bCs/>
                <w:szCs w:val="21"/>
              </w:rPr>
            </w:pPr>
            <w:r>
              <w:rPr>
                <w:rFonts w:hint="eastAsia" w:ascii="宋体" w:hAnsi="宋体" w:cs="宋体"/>
                <w:szCs w:val="21"/>
              </w:rPr>
              <w:t>使用综合评分法的采购项目，提供相同品牌产品（含核心产品）且通过资格审查、符合性审查的不同投标人参加同一合同项下投标的，按一家投标人计算，评审后得分最高的同品牌（含核心产品）投标人获得中标人推荐资格；评审得分相同的，随机抽取方式确定，其他同品牌投标人不作为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32</w:t>
            </w:r>
          </w:p>
        </w:tc>
        <w:tc>
          <w:tcPr>
            <w:tcW w:w="81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
                <w:bCs/>
                <w:szCs w:val="21"/>
              </w:rPr>
            </w:pPr>
            <w:r>
              <w:rPr>
                <w:rFonts w:hint="eastAsia" w:ascii="宋体" w:hAnsi="宋体" w:cs="宋体"/>
                <w:b/>
                <w:bCs/>
                <w:szCs w:val="21"/>
              </w:rPr>
              <w:t>招标代理服务费：</w:t>
            </w:r>
          </w:p>
          <w:p>
            <w:pPr>
              <w:snapToGrid w:val="0"/>
              <w:spacing w:line="360" w:lineRule="auto"/>
              <w:rPr>
                <w:rFonts w:ascii="宋体" w:hAnsi="宋体" w:cs="宋体"/>
                <w:szCs w:val="21"/>
              </w:rPr>
            </w:pPr>
            <w:r>
              <w:rPr>
                <w:rFonts w:hint="eastAsia" w:ascii="宋体" w:hAnsi="宋体" w:cs="宋体"/>
                <w:szCs w:val="21"/>
              </w:rPr>
              <w:t>本项目代理服务费以中标金额为计算基数，根据计价格【2002】1980号文规定，按照货物类标准向中标供应商收取。供应商应当自中标公告发布之日起5个工作日内一次性向采购代理机构支付代理服务费。</w:t>
            </w:r>
          </w:p>
          <w:p>
            <w:pPr>
              <w:snapToGrid w:val="0"/>
              <w:spacing w:line="360" w:lineRule="auto"/>
              <w:rPr>
                <w:rFonts w:ascii="宋体" w:hAnsi="宋体" w:cs="宋体"/>
                <w:szCs w:val="21"/>
              </w:rPr>
            </w:pPr>
            <w:r>
              <w:rPr>
                <w:rFonts w:hint="eastAsia" w:ascii="宋体" w:hAnsi="宋体" w:cs="宋体"/>
                <w:szCs w:val="21"/>
              </w:rPr>
              <w:t>代理服务费收款单位（户名）：大地工程咨询有限公司</w:t>
            </w:r>
          </w:p>
          <w:p>
            <w:pPr>
              <w:snapToGrid w:val="0"/>
              <w:spacing w:line="360" w:lineRule="auto"/>
              <w:rPr>
                <w:rFonts w:ascii="宋体" w:hAnsi="宋体" w:cs="宋体"/>
                <w:szCs w:val="21"/>
              </w:rPr>
            </w:pPr>
            <w:r>
              <w:rPr>
                <w:rFonts w:hint="eastAsia" w:ascii="宋体" w:hAnsi="宋体" w:cs="宋体"/>
                <w:szCs w:val="21"/>
              </w:rPr>
              <w:t>开  户：杭州银行江城支行</w:t>
            </w:r>
          </w:p>
          <w:p>
            <w:pPr>
              <w:snapToGrid w:val="0"/>
              <w:spacing w:line="360" w:lineRule="auto"/>
              <w:rPr>
                <w:rFonts w:ascii="宋体" w:hAnsi="宋体" w:cs="宋体"/>
                <w:b/>
                <w:bCs/>
                <w:szCs w:val="21"/>
              </w:rPr>
            </w:pPr>
            <w:r>
              <w:rPr>
                <w:rFonts w:hint="eastAsia" w:ascii="宋体" w:hAnsi="宋体" w:cs="宋体"/>
                <w:szCs w:val="21"/>
              </w:rPr>
              <w:t>账  号：3301040160007930277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34</w:t>
            </w:r>
          </w:p>
        </w:tc>
        <w:tc>
          <w:tcPr>
            <w:tcW w:w="81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b/>
                <w:bCs/>
                <w:szCs w:val="21"/>
              </w:rPr>
              <w:t>解释：</w:t>
            </w:r>
            <w:r>
              <w:rPr>
                <w:rFonts w:hint="eastAsia" w:ascii="宋体" w:hAnsi="宋体" w:cs="宋体"/>
                <w:szCs w:val="21"/>
              </w:rPr>
              <w:t>本招标文件的解释权属于浙江省杭州市中级人民法院（大地工程咨询有限公司）。</w:t>
            </w:r>
          </w:p>
        </w:tc>
      </w:tr>
    </w:tbl>
    <w:p>
      <w:pPr>
        <w:rPr>
          <w:rFonts w:ascii="宋体" w:hAnsi="宋体" w:cs="宋体"/>
          <w:b/>
          <w:szCs w:val="21"/>
        </w:rPr>
      </w:pPr>
      <w:r>
        <w:rPr>
          <w:rFonts w:hint="eastAsia" w:ascii="宋体" w:hAnsi="宋体" w:cs="宋体"/>
          <w:szCs w:val="21"/>
        </w:rPr>
        <w:t>注：以上内容如有变化将书面通知。如通知其中某一内容发生变化，未提及的将不作变动。</w:t>
      </w:r>
    </w:p>
    <w:p>
      <w:pPr>
        <w:pStyle w:val="20"/>
        <w:snapToGrid w:val="0"/>
        <w:spacing w:before="157" w:after="157" w:line="360" w:lineRule="auto"/>
        <w:outlineLvl w:val="1"/>
        <w:rPr>
          <w:rFonts w:hAnsi="宋体" w:cs="宋体"/>
          <w:b/>
          <w:sz w:val="21"/>
          <w:szCs w:val="21"/>
        </w:rPr>
      </w:pPr>
      <w:r>
        <w:rPr>
          <w:rFonts w:hint="eastAsia" w:hAnsi="宋体" w:cs="宋体"/>
          <w:sz w:val="30"/>
          <w:szCs w:val="30"/>
        </w:rPr>
        <w:br w:type="page"/>
      </w:r>
      <w:bookmarkStart w:id="4" w:name="_Toc482808157"/>
      <w:bookmarkStart w:id="5" w:name="_Toc372790138"/>
      <w:bookmarkStart w:id="6" w:name="_Toc448411046"/>
      <w:r>
        <w:rPr>
          <w:rFonts w:hint="eastAsia" w:hAnsi="宋体" w:cs="宋体"/>
          <w:b/>
          <w:sz w:val="21"/>
          <w:szCs w:val="21"/>
        </w:rPr>
        <w:t>一 、总  则</w:t>
      </w:r>
      <w:bookmarkEnd w:id="4"/>
      <w:bookmarkEnd w:id="5"/>
      <w:bookmarkEnd w:id="6"/>
    </w:p>
    <w:p>
      <w:pPr>
        <w:snapToGrid w:val="0"/>
        <w:spacing w:line="360" w:lineRule="auto"/>
        <w:ind w:firstLine="312" w:firstLineChars="148"/>
        <w:jc w:val="left"/>
        <w:rPr>
          <w:rFonts w:ascii="宋体" w:hAnsi="宋体" w:cs="宋体"/>
          <w:b/>
          <w:szCs w:val="21"/>
        </w:rPr>
      </w:pPr>
      <w:r>
        <w:rPr>
          <w:rFonts w:hint="eastAsia" w:ascii="宋体" w:hAnsi="宋体" w:cs="宋体"/>
          <w:b/>
          <w:szCs w:val="21"/>
        </w:rPr>
        <w:t>（一） 适用范围</w:t>
      </w:r>
    </w:p>
    <w:p>
      <w:pPr>
        <w:snapToGrid w:val="0"/>
        <w:spacing w:line="360" w:lineRule="auto"/>
        <w:ind w:firstLine="420" w:firstLineChars="200"/>
        <w:jc w:val="left"/>
        <w:rPr>
          <w:rFonts w:ascii="宋体" w:hAnsi="宋体" w:cs="宋体"/>
          <w:szCs w:val="21"/>
        </w:rPr>
      </w:pPr>
      <w:r>
        <w:rPr>
          <w:rFonts w:hint="eastAsia" w:ascii="宋体" w:hAnsi="宋体" w:cs="宋体"/>
          <w:szCs w:val="21"/>
        </w:rPr>
        <w:t>仅适用于本次招标文件中采购项目的的招标、投标、评标、定标、验收、合同履约、付款等行为（法律、法规另有规定的，从其规定）。</w:t>
      </w:r>
    </w:p>
    <w:p>
      <w:pPr>
        <w:snapToGrid w:val="0"/>
        <w:spacing w:before="157" w:beforeLines="50" w:line="360" w:lineRule="auto"/>
        <w:ind w:firstLine="310" w:firstLineChars="147"/>
        <w:jc w:val="left"/>
        <w:rPr>
          <w:rFonts w:ascii="宋体" w:hAnsi="宋体" w:cs="宋体"/>
          <w:b/>
          <w:szCs w:val="21"/>
        </w:rPr>
      </w:pPr>
      <w:r>
        <w:rPr>
          <w:rFonts w:hint="eastAsia" w:ascii="宋体" w:hAnsi="宋体" w:cs="宋体"/>
          <w:b/>
          <w:szCs w:val="21"/>
        </w:rPr>
        <w:t>（二）定义</w:t>
      </w:r>
    </w:p>
    <w:p>
      <w:pPr>
        <w:snapToGrid w:val="0"/>
        <w:spacing w:line="360" w:lineRule="auto"/>
        <w:ind w:firstLine="420" w:firstLineChars="200"/>
        <w:jc w:val="left"/>
        <w:rPr>
          <w:rFonts w:ascii="宋体" w:hAnsi="宋体" w:cs="宋体"/>
          <w:szCs w:val="21"/>
        </w:rPr>
      </w:pPr>
      <w:r>
        <w:rPr>
          <w:rFonts w:hint="eastAsia" w:ascii="宋体" w:hAnsi="宋体" w:cs="宋体"/>
          <w:szCs w:val="21"/>
        </w:rPr>
        <w:t>1、“招标代理方”系指组织本次招标的大地工程咨询有限公司。</w:t>
      </w:r>
    </w:p>
    <w:p>
      <w:pPr>
        <w:snapToGrid w:val="0"/>
        <w:spacing w:line="360" w:lineRule="auto"/>
        <w:ind w:firstLine="420" w:firstLineChars="200"/>
        <w:jc w:val="left"/>
        <w:rPr>
          <w:rFonts w:ascii="宋体" w:hAnsi="宋体" w:cs="宋体"/>
          <w:szCs w:val="21"/>
        </w:rPr>
      </w:pPr>
      <w:r>
        <w:rPr>
          <w:rFonts w:hint="eastAsia" w:ascii="宋体" w:hAnsi="宋体" w:cs="宋体"/>
          <w:szCs w:val="21"/>
        </w:rPr>
        <w:t>2、“投标人”系指向招标方提交投标文件的单位。</w:t>
      </w:r>
    </w:p>
    <w:p>
      <w:pPr>
        <w:snapToGrid w:val="0"/>
        <w:spacing w:line="360" w:lineRule="auto"/>
        <w:ind w:firstLine="420" w:firstLineChars="200"/>
        <w:jc w:val="left"/>
        <w:rPr>
          <w:rFonts w:ascii="宋体" w:hAnsi="宋体" w:cs="宋体"/>
          <w:szCs w:val="21"/>
        </w:rPr>
      </w:pPr>
      <w:r>
        <w:rPr>
          <w:rFonts w:hint="eastAsia" w:ascii="宋体" w:hAnsi="宋体" w:cs="宋体"/>
          <w:szCs w:val="21"/>
        </w:rPr>
        <w:t>3、“采购人”系指委托招标方采购本次项目的浙江省杭州市中级人民法院。</w:t>
      </w:r>
    </w:p>
    <w:p>
      <w:pPr>
        <w:snapToGrid w:val="0"/>
        <w:spacing w:line="360" w:lineRule="auto"/>
        <w:ind w:firstLine="420" w:firstLineChars="200"/>
        <w:jc w:val="left"/>
        <w:rPr>
          <w:rFonts w:ascii="宋体" w:hAnsi="宋体" w:cs="宋体"/>
          <w:szCs w:val="21"/>
        </w:rPr>
      </w:pPr>
      <w:r>
        <w:rPr>
          <w:rFonts w:hint="eastAsia" w:ascii="宋体" w:hAnsi="宋体" w:cs="宋体"/>
          <w:szCs w:val="21"/>
        </w:rPr>
        <w:t>4、“产品”系指供方按招标文件规定，须向采购人提供的一切设备、保险、税金、备品备件、工具、手册及其它有关技术资料和材料。</w:t>
      </w:r>
    </w:p>
    <w:p>
      <w:pPr>
        <w:snapToGrid w:val="0"/>
        <w:spacing w:line="360" w:lineRule="auto"/>
        <w:ind w:firstLine="420" w:firstLineChars="200"/>
        <w:jc w:val="left"/>
        <w:rPr>
          <w:rFonts w:ascii="宋体" w:hAnsi="宋体" w:cs="宋体"/>
          <w:szCs w:val="21"/>
        </w:rPr>
      </w:pPr>
      <w:r>
        <w:rPr>
          <w:rFonts w:hint="eastAsia" w:ascii="宋体" w:hAnsi="宋体" w:cs="宋体"/>
          <w:szCs w:val="21"/>
        </w:rPr>
        <w:t>5、“服务”系指招标文件规定投标人须承担的安装、调试、技术协助、校准、培训、技术指导以及其他类似的义务。</w:t>
      </w:r>
    </w:p>
    <w:p>
      <w:pPr>
        <w:snapToGrid w:val="0"/>
        <w:spacing w:line="360" w:lineRule="auto"/>
        <w:ind w:firstLine="420" w:firstLineChars="200"/>
        <w:jc w:val="left"/>
        <w:rPr>
          <w:rFonts w:ascii="宋体" w:hAnsi="宋体" w:cs="宋体"/>
          <w:szCs w:val="21"/>
        </w:rPr>
      </w:pPr>
      <w:r>
        <w:rPr>
          <w:rFonts w:hint="eastAsia" w:ascii="宋体" w:hAnsi="宋体" w:cs="宋体"/>
          <w:szCs w:val="21"/>
        </w:rPr>
        <w:t>6、“项目”系指投标人按招标文件规定向采购人提供的产品和服务。</w:t>
      </w:r>
    </w:p>
    <w:p>
      <w:pPr>
        <w:snapToGrid w:val="0"/>
        <w:spacing w:before="157" w:beforeLines="50" w:line="360" w:lineRule="auto"/>
        <w:ind w:firstLine="413" w:firstLineChars="196"/>
        <w:jc w:val="left"/>
        <w:rPr>
          <w:rFonts w:ascii="宋体" w:hAnsi="宋体" w:cs="宋体"/>
          <w:b/>
          <w:szCs w:val="21"/>
        </w:rPr>
      </w:pPr>
      <w:r>
        <w:rPr>
          <w:rFonts w:hint="eastAsia" w:ascii="宋体" w:hAnsi="宋体" w:cs="宋体"/>
          <w:b/>
          <w:szCs w:val="21"/>
        </w:rPr>
        <w:t>（三）投标费用</w:t>
      </w:r>
    </w:p>
    <w:p>
      <w:pPr>
        <w:snapToGrid w:val="0"/>
        <w:spacing w:line="360" w:lineRule="auto"/>
        <w:ind w:firstLine="422" w:firstLineChars="200"/>
        <w:jc w:val="left"/>
        <w:rPr>
          <w:rFonts w:ascii="宋体" w:hAnsi="宋体" w:cs="宋体"/>
          <w:b/>
          <w:bCs/>
          <w:szCs w:val="21"/>
        </w:rPr>
      </w:pPr>
      <w:r>
        <w:rPr>
          <w:rFonts w:hint="eastAsia" w:ascii="宋体" w:hAnsi="宋体" w:cs="宋体"/>
          <w:b/>
          <w:bCs/>
          <w:szCs w:val="21"/>
        </w:rPr>
        <w:t>不论投标结果如何，投标人均应自行承担所有与投标有关的全部费用。</w:t>
      </w:r>
    </w:p>
    <w:p>
      <w:pPr>
        <w:snapToGrid w:val="0"/>
        <w:spacing w:before="157" w:beforeLines="50" w:line="360" w:lineRule="auto"/>
        <w:ind w:firstLine="413" w:firstLineChars="196"/>
        <w:jc w:val="left"/>
        <w:rPr>
          <w:rFonts w:ascii="宋体" w:hAnsi="宋体" w:cs="宋体"/>
          <w:b/>
          <w:szCs w:val="21"/>
        </w:rPr>
      </w:pPr>
      <w:r>
        <w:rPr>
          <w:rFonts w:hint="eastAsia" w:ascii="宋体" w:hAnsi="宋体" w:cs="宋体"/>
          <w:b/>
          <w:szCs w:val="21"/>
        </w:rPr>
        <w:t>（四）特别说明：</w:t>
      </w:r>
    </w:p>
    <w:p>
      <w:pPr>
        <w:snapToGrid w:val="0"/>
        <w:spacing w:line="360" w:lineRule="auto"/>
        <w:ind w:firstLine="420" w:firstLineChars="200"/>
        <w:jc w:val="left"/>
        <w:rPr>
          <w:rFonts w:ascii="宋体" w:hAnsi="宋体" w:cs="宋体"/>
          <w:szCs w:val="21"/>
        </w:rPr>
      </w:pPr>
      <w:r>
        <w:rPr>
          <w:rFonts w:hint="eastAsia" w:ascii="宋体" w:hAnsi="宋体" w:cs="宋体"/>
          <w:szCs w:val="21"/>
        </w:rPr>
        <w:t>1、单位负责人为同一人或者存在直接控股、管理关系的不同供应商，不得参加同一合同项下的政府采购活动。</w:t>
      </w:r>
    </w:p>
    <w:p>
      <w:pPr>
        <w:snapToGrid w:val="0"/>
        <w:spacing w:line="360" w:lineRule="auto"/>
        <w:ind w:firstLine="420" w:firstLineChars="200"/>
        <w:rPr>
          <w:rFonts w:ascii="宋体" w:hAnsi="宋体" w:cs="宋体"/>
          <w:szCs w:val="21"/>
        </w:rPr>
      </w:pPr>
      <w:r>
        <w:rPr>
          <w:rFonts w:hint="eastAsia" w:ascii="宋体" w:hAnsi="宋体" w:cs="宋体"/>
          <w:szCs w:val="21"/>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报价低的原则确定中标人；投标报价相同的采取随机抽取方式确定，其他同品牌投标人不作为中标候选人。</w:t>
      </w:r>
    </w:p>
    <w:p>
      <w:pPr>
        <w:spacing w:line="360" w:lineRule="auto"/>
        <w:ind w:firstLine="420" w:firstLineChars="200"/>
        <w:jc w:val="left"/>
        <w:rPr>
          <w:rFonts w:ascii="宋体" w:hAnsi="宋体" w:cs="宋体"/>
          <w:szCs w:val="21"/>
        </w:rPr>
      </w:pPr>
      <w:r>
        <w:rPr>
          <w:rFonts w:hint="eastAsia" w:ascii="宋体" w:hAnsi="宋体" w:cs="宋体"/>
          <w:szCs w:val="21"/>
        </w:rPr>
        <w:t>3、投标人投标所使用的资格、信誉、荣誉、业绩与企业认证必须为本法人所拥有。投标人投标所使用的采购项目实施人员必须为本法人员工（或必须为本法人或控股公司正式员工）。</w:t>
      </w:r>
    </w:p>
    <w:p>
      <w:pPr>
        <w:spacing w:line="360" w:lineRule="auto"/>
        <w:ind w:firstLine="420" w:firstLineChars="200"/>
        <w:jc w:val="left"/>
        <w:rPr>
          <w:rFonts w:ascii="宋体" w:hAnsi="宋体" w:cs="宋体"/>
          <w:szCs w:val="21"/>
        </w:rPr>
      </w:pPr>
      <w:r>
        <w:rPr>
          <w:rFonts w:hint="eastAsia" w:ascii="宋体" w:hAnsi="宋体" w:cs="宋体"/>
          <w:szCs w:val="21"/>
        </w:rPr>
        <w:t>4、投标人应仔细阅读招标文件的所有内容，按照招标文件的要求提交投标文件，并对所提供的全部资料的真实性承担法律责任。</w:t>
      </w:r>
    </w:p>
    <w:p>
      <w:pPr>
        <w:pStyle w:val="20"/>
        <w:snapToGrid w:val="0"/>
        <w:spacing w:before="157" w:after="157" w:line="360" w:lineRule="auto"/>
        <w:outlineLvl w:val="1"/>
        <w:rPr>
          <w:rFonts w:hAnsi="宋体" w:cs="宋体"/>
          <w:b/>
          <w:sz w:val="21"/>
          <w:szCs w:val="21"/>
        </w:rPr>
      </w:pPr>
      <w:bookmarkStart w:id="7" w:name="_Toc482808158"/>
      <w:bookmarkStart w:id="8" w:name="_Toc448411047"/>
      <w:bookmarkStart w:id="9" w:name="_Toc482791891"/>
      <w:r>
        <w:rPr>
          <w:rFonts w:hint="eastAsia" w:hAnsi="宋体" w:cs="宋体"/>
          <w:b/>
          <w:sz w:val="21"/>
          <w:szCs w:val="21"/>
        </w:rPr>
        <w:t>（五）质疑和投诉</w:t>
      </w:r>
      <w:bookmarkEnd w:id="7"/>
      <w:bookmarkEnd w:id="8"/>
      <w:bookmarkEnd w:id="9"/>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1、投标人如认为招标文件、采购过程和中标结果使自身的合法权益受到损害的，可以在知道或者应知其权益受到损害之日起七个工作日内，以书面形式向采购人和采购代理机构提出质疑；投标人对采购人和采购代理机构的质疑答复不满意或者采购人和采购代理机构未在规定时间内作出答复的，可以在答复期满后十五个工作日内向同级政府采购监督管理部门投诉。</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2、质疑应当采用加盖投标人公章的书面形式，质疑书应明确阐述招标过程或中标结果中使自己合法权益受到损害的实质性内容，提供相关事实、依据和证据及其来源或线索，便于有关单位调查、答复和处理，否则，招标代理机构将不予受理。</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3、质疑和投诉必须满足《中华人民共和国政府采购法实施条例》第五十五条的规定，即“供应商质疑、投诉应当有明确的请求和必要的证明材料。供应商投诉的事项不得超出已质疑事项的范围”。</w:t>
      </w:r>
    </w:p>
    <w:p>
      <w:pPr>
        <w:pStyle w:val="12"/>
        <w:numPr>
          <w:ilvl w:val="0"/>
          <w:numId w:val="0"/>
        </w:numPr>
        <w:tabs>
          <w:tab w:val="left" w:pos="720"/>
        </w:tabs>
        <w:snapToGrid w:val="0"/>
        <w:spacing w:before="157" w:beforeLines="50" w:line="360" w:lineRule="auto"/>
        <w:rPr>
          <w:rFonts w:ascii="宋体" w:hAnsi="宋体" w:cs="宋体"/>
          <w:b/>
          <w:bCs/>
          <w:szCs w:val="21"/>
        </w:rPr>
      </w:pPr>
      <w:r>
        <w:rPr>
          <w:rFonts w:hint="eastAsia" w:ascii="宋体" w:hAnsi="宋体" w:cs="宋体"/>
          <w:b/>
          <w:bCs/>
          <w:szCs w:val="21"/>
        </w:rPr>
        <w:t xml:space="preserve">（六）招标文件的澄清与修改 </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1、投标人应认真阅读本招标文件，发现其中有误或有不合理要求的，投标人应当在投标截止时间五日前以书面形式向浙江省杭州市中级人民法院提出。浙江省杭州市中级人民法院将在规定的时间内，在财政部门指定的政府采购信息发布媒体上发布更正公告，并以书面形式通知所有招标文件收受人。</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2、招标文件澄清、答复、修改、补充的内容为招标文件的组成部分。当招标文件与招标文件的答复、澄清、修改、补充通知就同一内容的表述不一致时，以最后发出的书面文件为准。</w:t>
      </w:r>
    </w:p>
    <w:p>
      <w:pPr>
        <w:pStyle w:val="20"/>
        <w:snapToGrid w:val="0"/>
        <w:spacing w:before="157" w:after="157" w:line="360" w:lineRule="auto"/>
        <w:outlineLvl w:val="1"/>
        <w:rPr>
          <w:rFonts w:hAnsi="宋体" w:cs="宋体"/>
          <w:b/>
          <w:sz w:val="21"/>
          <w:szCs w:val="21"/>
        </w:rPr>
      </w:pPr>
      <w:bookmarkStart w:id="10" w:name="_Toc482808159"/>
      <w:bookmarkStart w:id="11" w:name="_Toc448411048"/>
      <w:bookmarkStart w:id="12" w:name="_Toc372790139"/>
      <w:r>
        <w:rPr>
          <w:rFonts w:hint="eastAsia" w:hAnsi="宋体" w:cs="宋体"/>
          <w:b/>
          <w:sz w:val="21"/>
          <w:szCs w:val="21"/>
        </w:rPr>
        <w:t>二、投标文件的编制</w:t>
      </w:r>
      <w:bookmarkEnd w:id="10"/>
      <w:bookmarkEnd w:id="11"/>
      <w:bookmarkEnd w:id="12"/>
    </w:p>
    <w:p>
      <w:pPr>
        <w:snapToGrid w:val="0"/>
        <w:spacing w:line="360" w:lineRule="auto"/>
        <w:ind w:firstLine="413" w:firstLineChars="196"/>
        <w:jc w:val="left"/>
        <w:rPr>
          <w:rFonts w:ascii="宋体" w:hAnsi="宋体" w:cs="宋体"/>
          <w:b/>
          <w:szCs w:val="21"/>
        </w:rPr>
      </w:pPr>
      <w:r>
        <w:rPr>
          <w:rFonts w:hint="eastAsia" w:ascii="宋体" w:hAnsi="宋体" w:cs="宋体"/>
          <w:b/>
          <w:szCs w:val="21"/>
        </w:rPr>
        <w:t>（一）投标文件的组成</w:t>
      </w:r>
    </w:p>
    <w:p>
      <w:pPr>
        <w:snapToGrid w:val="0"/>
        <w:spacing w:line="360" w:lineRule="auto"/>
        <w:ind w:firstLine="420" w:firstLineChars="200"/>
        <w:jc w:val="left"/>
        <w:rPr>
          <w:rFonts w:ascii="宋体" w:hAnsi="宋体" w:cs="宋体"/>
          <w:szCs w:val="21"/>
        </w:rPr>
      </w:pPr>
      <w:r>
        <w:rPr>
          <w:rFonts w:hint="eastAsia" w:ascii="宋体" w:hAnsi="宋体" w:cs="宋体"/>
          <w:szCs w:val="21"/>
        </w:rPr>
        <w:t>投标文件由</w:t>
      </w:r>
      <w:r>
        <w:rPr>
          <w:rFonts w:hint="eastAsia" w:ascii="宋体" w:hAnsi="宋体" w:cs="宋体"/>
          <w:b/>
          <w:bCs/>
          <w:szCs w:val="21"/>
        </w:rPr>
        <w:t>资格文件</w:t>
      </w:r>
      <w:r>
        <w:rPr>
          <w:rFonts w:hint="eastAsia" w:ascii="宋体" w:hAnsi="宋体" w:cs="宋体"/>
          <w:szCs w:val="21"/>
        </w:rPr>
        <w:t>、</w:t>
      </w:r>
      <w:r>
        <w:rPr>
          <w:rFonts w:hint="eastAsia" w:ascii="宋体" w:hAnsi="宋体" w:cs="宋体"/>
          <w:b/>
          <w:bCs/>
          <w:szCs w:val="21"/>
        </w:rPr>
        <w:t>商务技术文件</w:t>
      </w:r>
      <w:r>
        <w:rPr>
          <w:rFonts w:hint="eastAsia" w:ascii="宋体" w:hAnsi="宋体" w:cs="宋体"/>
          <w:szCs w:val="21"/>
        </w:rPr>
        <w:t>、</w:t>
      </w:r>
      <w:r>
        <w:rPr>
          <w:rFonts w:hint="eastAsia" w:ascii="宋体" w:hAnsi="宋体" w:cs="宋体"/>
          <w:b/>
          <w:bCs/>
          <w:szCs w:val="21"/>
        </w:rPr>
        <w:t>报价文件</w:t>
      </w:r>
      <w:r>
        <w:rPr>
          <w:rFonts w:hint="eastAsia" w:ascii="宋体" w:hAnsi="宋体" w:cs="宋体"/>
          <w:szCs w:val="21"/>
        </w:rPr>
        <w:t>三部分组成。</w:t>
      </w:r>
    </w:p>
    <w:p>
      <w:pPr>
        <w:numPr>
          <w:ilvl w:val="0"/>
          <w:numId w:val="5"/>
        </w:numPr>
        <w:snapToGrid w:val="0"/>
        <w:spacing w:line="360" w:lineRule="auto"/>
        <w:ind w:firstLine="422" w:firstLineChars="200"/>
        <w:jc w:val="left"/>
        <w:rPr>
          <w:rFonts w:ascii="宋体" w:hAnsi="宋体" w:cs="宋体"/>
          <w:b/>
          <w:bCs/>
          <w:szCs w:val="21"/>
        </w:rPr>
      </w:pPr>
      <w:r>
        <w:rPr>
          <w:rFonts w:hint="eastAsia" w:ascii="宋体" w:hAnsi="宋体" w:cs="宋体"/>
          <w:b/>
          <w:bCs/>
          <w:szCs w:val="21"/>
        </w:rPr>
        <w:t>资格文件</w:t>
      </w:r>
    </w:p>
    <w:p>
      <w:pPr>
        <w:snapToGrid w:val="0"/>
        <w:spacing w:line="360" w:lineRule="auto"/>
        <w:ind w:firstLine="420" w:firstLineChars="200"/>
        <w:jc w:val="left"/>
        <w:rPr>
          <w:rFonts w:ascii="宋体" w:hAnsi="宋体" w:cs="宋体"/>
          <w:szCs w:val="21"/>
        </w:rPr>
      </w:pPr>
      <w:r>
        <w:rPr>
          <w:rFonts w:hint="eastAsia" w:ascii="宋体" w:hAnsi="宋体" w:cs="宋体"/>
          <w:szCs w:val="21"/>
        </w:rPr>
        <w:t>基本资格条件审查材料（包括但不限于）：</w:t>
      </w:r>
    </w:p>
    <w:p>
      <w:pPr>
        <w:snapToGrid w:val="0"/>
        <w:spacing w:line="360" w:lineRule="auto"/>
        <w:ind w:firstLine="420" w:firstLineChars="200"/>
        <w:jc w:val="left"/>
        <w:rPr>
          <w:rFonts w:ascii="宋体" w:hAnsi="宋体" w:cs="宋体"/>
          <w:szCs w:val="21"/>
        </w:rPr>
      </w:pPr>
      <w:r>
        <w:rPr>
          <w:rFonts w:hint="eastAsia" w:ascii="宋体" w:hAnsi="宋体" w:cs="宋体"/>
          <w:szCs w:val="21"/>
        </w:rPr>
        <w:t>【即证明其符合《中华人民共和国政府采购法》规定的供应商基本条件的有关资格证明文件。】</w:t>
      </w:r>
    </w:p>
    <w:p>
      <w:pPr>
        <w:snapToGrid w:val="0"/>
        <w:spacing w:line="360" w:lineRule="auto"/>
        <w:ind w:firstLine="420" w:firstLineChars="200"/>
        <w:jc w:val="left"/>
        <w:rPr>
          <w:rFonts w:ascii="宋体" w:hAnsi="宋体" w:cs="宋体"/>
          <w:szCs w:val="21"/>
        </w:rPr>
      </w:pPr>
      <w:r>
        <w:rPr>
          <w:rFonts w:hint="eastAsia" w:ascii="宋体" w:hAnsi="宋体" w:cs="宋体"/>
          <w:szCs w:val="21"/>
        </w:rPr>
        <w:t>包括：</w:t>
      </w:r>
    </w:p>
    <w:p>
      <w:pPr>
        <w:snapToGrid w:val="0"/>
        <w:spacing w:line="360" w:lineRule="auto"/>
        <w:ind w:firstLine="420" w:firstLineChars="200"/>
        <w:jc w:val="left"/>
        <w:rPr>
          <w:rFonts w:ascii="宋体" w:hAnsi="宋体" w:cs="宋体"/>
          <w:szCs w:val="21"/>
        </w:rPr>
      </w:pPr>
      <w:r>
        <w:rPr>
          <w:rFonts w:hint="eastAsia" w:ascii="宋体" w:hAnsi="宋体" w:cs="宋体"/>
          <w:szCs w:val="21"/>
        </w:rPr>
        <w:t xml:space="preserve">（1）营业执照(或事业法人登记证书或其它工商等登记证明材料；自然人参与政府采购，提供身份证)复印件； </w:t>
      </w:r>
    </w:p>
    <w:p>
      <w:pPr>
        <w:snapToGrid w:val="0"/>
        <w:spacing w:line="360" w:lineRule="auto"/>
        <w:ind w:firstLine="420" w:firstLineChars="200"/>
        <w:jc w:val="left"/>
        <w:rPr>
          <w:rFonts w:ascii="宋体" w:hAnsi="宋体" w:cs="宋体"/>
          <w:szCs w:val="21"/>
        </w:rPr>
      </w:pPr>
      <w:r>
        <w:rPr>
          <w:rFonts w:hint="eastAsia" w:ascii="宋体" w:hAnsi="宋体" w:cs="宋体"/>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ind w:firstLine="420" w:firstLineChars="200"/>
        <w:jc w:val="left"/>
        <w:rPr>
          <w:rFonts w:ascii="宋体" w:hAnsi="宋体" w:cs="宋体"/>
          <w:szCs w:val="21"/>
        </w:rPr>
      </w:pPr>
      <w:r>
        <w:rPr>
          <w:rFonts w:hint="eastAsia" w:ascii="宋体" w:hAnsi="宋体" w:cs="宋体"/>
          <w:szCs w:val="21"/>
        </w:rPr>
        <w:t>（2）最近一年度财务报表(复印件，新成立的公司提供情况说明)；</w:t>
      </w:r>
    </w:p>
    <w:p>
      <w:pPr>
        <w:snapToGrid w:val="0"/>
        <w:spacing w:line="360" w:lineRule="auto"/>
        <w:ind w:firstLine="420" w:firstLineChars="200"/>
        <w:jc w:val="left"/>
        <w:rPr>
          <w:rFonts w:ascii="宋体" w:hAnsi="宋体" w:cs="宋体"/>
          <w:szCs w:val="21"/>
        </w:rPr>
      </w:pPr>
      <w:r>
        <w:rPr>
          <w:rFonts w:hint="eastAsia" w:ascii="宋体" w:hAnsi="宋体" w:cs="宋体"/>
          <w:szCs w:val="21"/>
        </w:rPr>
        <w:t>（3）具有履行合同所必需的场地、设备和专业技术能力的承诺函；</w:t>
      </w:r>
    </w:p>
    <w:p>
      <w:pPr>
        <w:snapToGrid w:val="0"/>
        <w:spacing w:line="360" w:lineRule="auto"/>
        <w:ind w:firstLine="420" w:firstLineChars="200"/>
        <w:jc w:val="left"/>
        <w:rPr>
          <w:rFonts w:ascii="宋体" w:hAnsi="宋体" w:cs="宋体"/>
          <w:szCs w:val="21"/>
        </w:rPr>
      </w:pPr>
      <w:r>
        <w:rPr>
          <w:rFonts w:hint="eastAsia" w:ascii="宋体" w:hAnsi="宋体" w:cs="宋体"/>
          <w:szCs w:val="21"/>
        </w:rPr>
        <w:t>（4）依法缴纳税收和社会保障资金的承诺函；</w:t>
      </w:r>
    </w:p>
    <w:p>
      <w:pPr>
        <w:snapToGrid w:val="0"/>
        <w:spacing w:line="360" w:lineRule="auto"/>
        <w:ind w:firstLine="420" w:firstLineChars="200"/>
        <w:jc w:val="left"/>
        <w:rPr>
          <w:rFonts w:ascii="宋体" w:hAnsi="宋体" w:cs="宋体"/>
          <w:szCs w:val="21"/>
        </w:rPr>
      </w:pPr>
      <w:r>
        <w:rPr>
          <w:rFonts w:hint="eastAsia" w:ascii="宋体" w:hAnsi="宋体" w:cs="宋体"/>
          <w:szCs w:val="21"/>
        </w:rPr>
        <w:t>（5）参加政府采购活动前3年内在经营活动中没有重大违法记录的声明函；</w:t>
      </w:r>
    </w:p>
    <w:p>
      <w:pPr>
        <w:snapToGrid w:val="0"/>
        <w:spacing w:line="360" w:lineRule="auto"/>
        <w:ind w:firstLine="420" w:firstLineChars="200"/>
        <w:jc w:val="left"/>
        <w:rPr>
          <w:rFonts w:ascii="宋体" w:hAnsi="宋体" w:cs="宋体"/>
          <w:szCs w:val="21"/>
        </w:rPr>
      </w:pPr>
      <w:r>
        <w:rPr>
          <w:rFonts w:hint="eastAsia" w:ascii="宋体" w:hAnsi="宋体" w:cs="宋体"/>
          <w:szCs w:val="21"/>
        </w:rPr>
        <w:t>（6）单位负责人为同一人或者存在直接控股、管理关系的不同供应商，不得参加同一合同项下的政府采购活动承诺函；</w:t>
      </w:r>
    </w:p>
    <w:p>
      <w:pPr>
        <w:snapToGrid w:val="0"/>
        <w:spacing w:line="360" w:lineRule="auto"/>
        <w:ind w:firstLine="420" w:firstLineChars="200"/>
        <w:jc w:val="left"/>
        <w:rPr>
          <w:rFonts w:ascii="宋体" w:hAnsi="宋体" w:cs="宋体"/>
          <w:szCs w:val="21"/>
        </w:rPr>
      </w:pPr>
      <w:r>
        <w:rPr>
          <w:rFonts w:hint="eastAsia" w:ascii="宋体" w:hAnsi="宋体" w:cs="宋体"/>
          <w:szCs w:val="21"/>
        </w:rPr>
        <w:t>（7）投标供应商没有失信记录承诺函；</w:t>
      </w:r>
    </w:p>
    <w:p>
      <w:pPr>
        <w:snapToGrid w:val="0"/>
        <w:spacing w:line="360" w:lineRule="auto"/>
        <w:ind w:firstLine="420" w:firstLineChars="200"/>
        <w:jc w:val="left"/>
        <w:rPr>
          <w:rFonts w:ascii="宋体" w:hAnsi="宋体" w:cs="宋体"/>
          <w:szCs w:val="21"/>
        </w:rPr>
      </w:pPr>
      <w:r>
        <w:rPr>
          <w:rFonts w:hint="eastAsia" w:ascii="宋体" w:hAnsi="宋体" w:cs="宋体"/>
          <w:szCs w:val="21"/>
        </w:rPr>
        <w:t>上述资格条件审查材料有一项不提供的，视为资格审查不通过。</w:t>
      </w:r>
    </w:p>
    <w:p>
      <w:pPr>
        <w:snapToGrid w:val="0"/>
        <w:spacing w:before="157" w:beforeLines="50" w:line="360" w:lineRule="auto"/>
        <w:ind w:firstLine="413" w:firstLineChars="196"/>
        <w:jc w:val="left"/>
        <w:rPr>
          <w:rFonts w:ascii="宋体" w:hAnsi="宋体" w:cs="宋体"/>
          <w:b/>
          <w:szCs w:val="21"/>
        </w:rPr>
      </w:pPr>
      <w:r>
        <w:rPr>
          <w:rFonts w:hint="eastAsia" w:ascii="宋体" w:hAnsi="宋体" w:cs="宋体"/>
          <w:b/>
          <w:szCs w:val="21"/>
        </w:rPr>
        <w:t>2、商务技术文件：</w:t>
      </w:r>
    </w:p>
    <w:p>
      <w:pPr>
        <w:snapToGrid w:val="0"/>
        <w:spacing w:line="360" w:lineRule="auto"/>
        <w:ind w:firstLine="420" w:firstLineChars="200"/>
        <w:jc w:val="left"/>
        <w:rPr>
          <w:rFonts w:ascii="宋体" w:hAnsi="宋体" w:cs="宋体"/>
          <w:szCs w:val="21"/>
        </w:rPr>
      </w:pPr>
      <w:r>
        <w:rPr>
          <w:rFonts w:hint="eastAsia" w:ascii="宋体" w:hAnsi="宋体" w:cs="宋体"/>
          <w:szCs w:val="21"/>
        </w:rPr>
        <w:t>（1）对项目总体架构的理解（整体分析：阐述对招标文件技需求的理解，分析项目的建设目标、建设任务和要求）；</w:t>
      </w:r>
    </w:p>
    <w:p>
      <w:pPr>
        <w:snapToGrid w:val="0"/>
        <w:spacing w:line="360" w:lineRule="auto"/>
        <w:ind w:firstLine="420" w:firstLineChars="200"/>
        <w:jc w:val="left"/>
        <w:rPr>
          <w:rFonts w:ascii="宋体" w:hAnsi="宋体" w:cs="宋体"/>
          <w:szCs w:val="21"/>
        </w:rPr>
      </w:pPr>
      <w:r>
        <w:rPr>
          <w:rFonts w:hint="eastAsia" w:ascii="宋体" w:hAnsi="宋体" w:cs="宋体"/>
          <w:szCs w:val="21"/>
        </w:rPr>
        <w:t>（2）招标人技术规格书中相关设备技术规格、参数的逐条答复，提供详细的参数和功能描述（格式自拟）；</w:t>
      </w:r>
    </w:p>
    <w:p>
      <w:pPr>
        <w:snapToGrid w:val="0"/>
        <w:spacing w:line="360" w:lineRule="auto"/>
        <w:ind w:firstLine="420" w:firstLineChars="200"/>
        <w:jc w:val="left"/>
        <w:rPr>
          <w:rFonts w:ascii="宋体" w:hAnsi="宋体" w:cs="宋体"/>
          <w:szCs w:val="21"/>
        </w:rPr>
      </w:pPr>
      <w:r>
        <w:rPr>
          <w:rFonts w:hint="eastAsia" w:ascii="宋体" w:hAnsi="宋体" w:cs="宋体"/>
          <w:szCs w:val="21"/>
        </w:rPr>
        <w:t>（3）项目实施方案：项目总体进度计划，并从进度管理、质量管理、风险管理等方面说明项目保障体系，对系统测试、项目验收和成果交付方案进行阐述（格式自拟）；</w:t>
      </w:r>
    </w:p>
    <w:p>
      <w:pPr>
        <w:snapToGrid w:val="0"/>
        <w:spacing w:line="360" w:lineRule="auto"/>
        <w:ind w:firstLine="420" w:firstLineChars="200"/>
        <w:jc w:val="left"/>
        <w:rPr>
          <w:rFonts w:ascii="宋体" w:hAnsi="宋体" w:cs="宋体"/>
          <w:szCs w:val="21"/>
        </w:rPr>
      </w:pPr>
      <w:r>
        <w:rPr>
          <w:rFonts w:hint="eastAsia" w:ascii="宋体" w:hAnsi="宋体" w:cs="宋体"/>
          <w:szCs w:val="21"/>
        </w:rPr>
        <w:t>（4）项目安全策略及质量管理计划，包括组织机构、人员组成、工作计划等内容（格式自拟）；</w:t>
      </w:r>
    </w:p>
    <w:p>
      <w:pPr>
        <w:snapToGrid w:val="0"/>
        <w:spacing w:line="360" w:lineRule="auto"/>
        <w:ind w:firstLine="420" w:firstLineChars="200"/>
        <w:jc w:val="left"/>
        <w:rPr>
          <w:rFonts w:ascii="宋体" w:hAnsi="宋体" w:cs="宋体"/>
          <w:szCs w:val="21"/>
        </w:rPr>
      </w:pPr>
      <w:r>
        <w:rPr>
          <w:rFonts w:hint="eastAsia" w:ascii="宋体" w:hAnsi="宋体" w:cs="宋体"/>
          <w:szCs w:val="21"/>
        </w:rPr>
        <w:t>（5）投入到本项目的项目负责人、其他人员的情况汇总表及业绩、经历、能力介绍、资格证明材料及人员到位率的承诺（格式自拟）；</w:t>
      </w:r>
    </w:p>
    <w:p>
      <w:pPr>
        <w:snapToGrid w:val="0"/>
        <w:spacing w:line="360" w:lineRule="auto"/>
        <w:ind w:firstLine="420" w:firstLineChars="200"/>
        <w:jc w:val="left"/>
        <w:rPr>
          <w:rFonts w:ascii="宋体" w:hAnsi="宋体" w:cs="宋体"/>
          <w:szCs w:val="21"/>
        </w:rPr>
      </w:pPr>
      <w:r>
        <w:rPr>
          <w:rFonts w:hint="eastAsia" w:ascii="宋体" w:hAnsi="宋体" w:cs="宋体"/>
          <w:szCs w:val="21"/>
        </w:rPr>
        <w:t>（6）售后服务计划、维保计划及应急解决措施（格式自拟）；</w:t>
      </w:r>
    </w:p>
    <w:p>
      <w:pPr>
        <w:snapToGrid w:val="0"/>
        <w:spacing w:line="360" w:lineRule="auto"/>
        <w:ind w:firstLine="420" w:firstLineChars="200"/>
        <w:jc w:val="left"/>
        <w:rPr>
          <w:rFonts w:ascii="宋体" w:hAnsi="宋体" w:cs="宋体"/>
          <w:szCs w:val="21"/>
        </w:rPr>
      </w:pPr>
      <w:r>
        <w:rPr>
          <w:rFonts w:hint="eastAsia" w:ascii="宋体" w:hAnsi="宋体" w:cs="宋体"/>
          <w:szCs w:val="21"/>
        </w:rPr>
        <w:t>（7）技术培训、技术服务和技术支持（格式自拟）；</w:t>
      </w:r>
    </w:p>
    <w:p>
      <w:pPr>
        <w:snapToGrid w:val="0"/>
        <w:spacing w:line="360" w:lineRule="auto"/>
        <w:ind w:firstLine="420" w:firstLineChars="200"/>
        <w:jc w:val="left"/>
        <w:rPr>
          <w:rFonts w:ascii="宋体" w:hAnsi="宋体" w:cs="宋体"/>
          <w:szCs w:val="21"/>
        </w:rPr>
      </w:pPr>
      <w:r>
        <w:rPr>
          <w:rFonts w:hint="eastAsia" w:ascii="宋体" w:hAnsi="宋体" w:cs="宋体"/>
          <w:szCs w:val="21"/>
        </w:rPr>
        <w:t>（8）设备清单一览表（格式自拟）；</w:t>
      </w:r>
    </w:p>
    <w:p>
      <w:pPr>
        <w:snapToGrid w:val="0"/>
        <w:spacing w:line="360" w:lineRule="auto"/>
        <w:ind w:firstLine="420" w:firstLineChars="200"/>
        <w:jc w:val="left"/>
        <w:rPr>
          <w:rFonts w:ascii="宋体" w:hAnsi="宋体" w:cs="宋体"/>
          <w:szCs w:val="21"/>
        </w:rPr>
      </w:pPr>
      <w:r>
        <w:rPr>
          <w:rFonts w:hint="eastAsia" w:ascii="宋体" w:hAnsi="宋体" w:cs="宋体"/>
          <w:szCs w:val="21"/>
        </w:rPr>
        <w:t>（9）技术响应表（格式见附件）；</w:t>
      </w:r>
    </w:p>
    <w:p>
      <w:pPr>
        <w:snapToGrid w:val="0"/>
        <w:spacing w:line="360" w:lineRule="auto"/>
        <w:ind w:firstLine="420" w:firstLineChars="200"/>
        <w:jc w:val="left"/>
        <w:rPr>
          <w:rFonts w:ascii="宋体" w:hAnsi="宋体" w:cs="宋体"/>
          <w:szCs w:val="21"/>
        </w:rPr>
      </w:pPr>
      <w:r>
        <w:rPr>
          <w:rFonts w:hint="eastAsia" w:ascii="宋体" w:hAnsi="宋体" w:cs="宋体"/>
          <w:szCs w:val="21"/>
        </w:rPr>
        <w:t>（10）优惠服务承诺（如有）；</w:t>
      </w:r>
    </w:p>
    <w:p>
      <w:pPr>
        <w:snapToGrid w:val="0"/>
        <w:spacing w:line="360" w:lineRule="auto"/>
        <w:ind w:left="-4" w:firstLine="422" w:firstLineChars="201"/>
        <w:rPr>
          <w:rFonts w:ascii="宋体" w:hAnsi="宋体" w:cs="宋体"/>
          <w:szCs w:val="21"/>
        </w:rPr>
      </w:pPr>
      <w:r>
        <w:rPr>
          <w:rFonts w:hint="eastAsia" w:ascii="宋体" w:hAnsi="宋体" w:cs="宋体"/>
          <w:szCs w:val="21"/>
        </w:rPr>
        <w:t>（11）中小企业声明函（如有，格式见附件）；</w:t>
      </w:r>
    </w:p>
    <w:p>
      <w:pPr>
        <w:snapToGrid w:val="0"/>
        <w:spacing w:line="360" w:lineRule="auto"/>
        <w:ind w:left="-4" w:firstLine="422" w:firstLineChars="201"/>
        <w:rPr>
          <w:rFonts w:ascii="宋体" w:hAnsi="宋体" w:cs="宋体"/>
          <w:szCs w:val="21"/>
        </w:rPr>
      </w:pPr>
      <w:r>
        <w:rPr>
          <w:rFonts w:hint="eastAsia" w:ascii="宋体" w:hAnsi="宋体" w:cs="宋体"/>
          <w:szCs w:val="21"/>
        </w:rPr>
        <w:t>（12）投标人的省级以上监狱管理局、戒毒管理局(含新疆生产建设兵团)出具的属于监狱企业的证明文件（如有）；</w:t>
      </w:r>
    </w:p>
    <w:p>
      <w:pPr>
        <w:snapToGrid w:val="0"/>
        <w:spacing w:line="360" w:lineRule="auto"/>
        <w:ind w:left="-4" w:firstLine="422" w:firstLineChars="201"/>
        <w:rPr>
          <w:rFonts w:ascii="宋体" w:hAnsi="宋体" w:cs="宋体"/>
          <w:szCs w:val="21"/>
        </w:rPr>
      </w:pPr>
      <w:r>
        <w:rPr>
          <w:rFonts w:hint="eastAsia" w:ascii="宋体" w:hAnsi="宋体" w:cs="宋体"/>
          <w:szCs w:val="21"/>
        </w:rPr>
        <w:t>（13）《残疾人福利性单位声明函》（如有，格式见附件）；</w:t>
      </w:r>
    </w:p>
    <w:p>
      <w:pPr>
        <w:pStyle w:val="78"/>
        <w:ind w:firstLine="420" w:firstLineChars="200"/>
        <w:rPr>
          <w:rFonts w:cs="宋体"/>
          <w:kern w:val="2"/>
          <w:sz w:val="21"/>
          <w:szCs w:val="21"/>
          <w:lang w:val="en-US"/>
        </w:rPr>
      </w:pPr>
      <w:r>
        <w:rPr>
          <w:rFonts w:hint="eastAsia" w:cs="宋体"/>
          <w:kern w:val="2"/>
          <w:sz w:val="21"/>
          <w:szCs w:val="21"/>
          <w:lang w:val="en-US"/>
        </w:rPr>
        <w:t>（14）投标人需要说明的其他文件和说明（格式自拟）。</w:t>
      </w:r>
    </w:p>
    <w:p>
      <w:pPr>
        <w:pStyle w:val="78"/>
        <w:spacing w:line="360" w:lineRule="auto"/>
        <w:ind w:firstLine="422" w:firstLineChars="200"/>
        <w:rPr>
          <w:rFonts w:cs="宋体"/>
          <w:sz w:val="21"/>
          <w:szCs w:val="21"/>
        </w:rPr>
      </w:pPr>
      <w:r>
        <w:rPr>
          <w:rFonts w:hint="eastAsia" w:cs="宋体"/>
          <w:b/>
          <w:sz w:val="21"/>
          <w:szCs w:val="21"/>
          <w:lang w:val="en-US"/>
        </w:rPr>
        <w:t>注：投标单位请结合评分要点编制技术响应文件。</w:t>
      </w:r>
    </w:p>
    <w:p>
      <w:pPr>
        <w:snapToGrid w:val="0"/>
        <w:spacing w:line="360" w:lineRule="auto"/>
        <w:ind w:firstLine="413" w:firstLineChars="196"/>
        <w:jc w:val="left"/>
        <w:rPr>
          <w:rFonts w:ascii="宋体" w:hAnsi="宋体" w:cs="宋体"/>
          <w:b/>
          <w:szCs w:val="21"/>
        </w:rPr>
      </w:pPr>
      <w:r>
        <w:rPr>
          <w:rFonts w:hint="eastAsia" w:ascii="宋体" w:hAnsi="宋体" w:cs="宋体"/>
          <w:b/>
          <w:szCs w:val="21"/>
        </w:rPr>
        <w:t>3、报价文件：</w:t>
      </w:r>
    </w:p>
    <w:p>
      <w:pPr>
        <w:pStyle w:val="21"/>
        <w:snapToGrid w:val="0"/>
        <w:spacing w:line="360" w:lineRule="auto"/>
        <w:ind w:left="-4" w:leftChars="0" w:firstLine="422" w:firstLineChars="201"/>
        <w:jc w:val="left"/>
        <w:rPr>
          <w:rFonts w:ascii="宋体" w:hAnsi="宋体" w:eastAsia="宋体" w:cs="宋体"/>
          <w:sz w:val="21"/>
          <w:szCs w:val="21"/>
        </w:rPr>
      </w:pPr>
      <w:r>
        <w:rPr>
          <w:rFonts w:hint="eastAsia" w:ascii="宋体" w:hAnsi="宋体" w:eastAsia="宋体" w:cs="宋体"/>
          <w:sz w:val="21"/>
          <w:szCs w:val="21"/>
        </w:rPr>
        <w:t>（1）开标一览表（格式见附件）；</w:t>
      </w:r>
    </w:p>
    <w:p>
      <w:pPr>
        <w:snapToGrid w:val="0"/>
        <w:spacing w:line="360" w:lineRule="auto"/>
        <w:ind w:left="-4" w:firstLine="422" w:firstLineChars="201"/>
        <w:jc w:val="left"/>
        <w:rPr>
          <w:rFonts w:ascii="宋体" w:hAnsi="宋体" w:cs="宋体"/>
          <w:szCs w:val="21"/>
        </w:rPr>
      </w:pPr>
      <w:r>
        <w:rPr>
          <w:rFonts w:hint="eastAsia" w:ascii="宋体" w:hAnsi="宋体" w:cs="宋体"/>
          <w:szCs w:val="21"/>
        </w:rPr>
        <w:t>（2）投标报价明细表（格式见附件）。</w:t>
      </w:r>
    </w:p>
    <w:p>
      <w:pPr>
        <w:snapToGrid w:val="0"/>
        <w:spacing w:line="360" w:lineRule="auto"/>
        <w:ind w:firstLine="413" w:firstLineChars="196"/>
        <w:jc w:val="left"/>
        <w:rPr>
          <w:rFonts w:ascii="宋体" w:hAnsi="宋体" w:cs="宋体"/>
          <w:b/>
          <w:szCs w:val="21"/>
        </w:rPr>
      </w:pPr>
      <w:r>
        <w:rPr>
          <w:rFonts w:hint="eastAsia" w:ascii="宋体" w:hAnsi="宋体" w:cs="宋体"/>
          <w:b/>
          <w:szCs w:val="21"/>
        </w:rPr>
        <w:t>（二）投标文件的语言及计量</w:t>
      </w:r>
    </w:p>
    <w:p>
      <w:pPr>
        <w:snapToGrid w:val="0"/>
        <w:spacing w:line="360" w:lineRule="auto"/>
        <w:ind w:left="-4" w:leftChars="-2" w:firstLine="464" w:firstLineChars="221"/>
        <w:jc w:val="left"/>
        <w:rPr>
          <w:rFonts w:ascii="宋体" w:hAnsi="宋体" w:cs="宋体"/>
          <w:szCs w:val="21"/>
        </w:rPr>
      </w:pPr>
      <w:r>
        <w:rPr>
          <w:rFonts w:hint="eastAsia" w:ascii="宋体" w:hAnsi="宋体" w:cs="宋体"/>
          <w:szCs w:val="21"/>
        </w:rPr>
        <w:t>1、投标文件以及投标人与招标方就有关投标事宜的所有来往函电，均应以中文汉语书写。除签名、盖章、专用名称等特殊情形外，以中文汉语以外的文字表述的投标文件视同未提供。</w:t>
      </w:r>
    </w:p>
    <w:p>
      <w:pPr>
        <w:snapToGrid w:val="0"/>
        <w:spacing w:line="360" w:lineRule="auto"/>
        <w:ind w:left="-4" w:leftChars="-2" w:firstLine="464" w:firstLineChars="221"/>
        <w:jc w:val="left"/>
        <w:rPr>
          <w:rFonts w:ascii="宋体" w:hAnsi="宋体" w:cs="宋体"/>
          <w:szCs w:val="21"/>
        </w:rPr>
      </w:pPr>
      <w:r>
        <w:rPr>
          <w:rFonts w:hint="eastAsia" w:ascii="宋体" w:hAnsi="宋体" w:cs="宋体"/>
          <w:szCs w:val="21"/>
        </w:rPr>
        <w:t>2、投标计量单位，招标文件已有明确规定的，使用招标文件规定的计量单位；招标文件没有规定的，应采用中华人民共和国法定计量单位（货币单位：人民币元），否则视同未响应。</w:t>
      </w:r>
    </w:p>
    <w:p>
      <w:pPr>
        <w:snapToGrid w:val="0"/>
        <w:spacing w:before="157" w:beforeLines="50" w:line="360" w:lineRule="auto"/>
        <w:ind w:firstLine="413" w:firstLineChars="196"/>
        <w:jc w:val="left"/>
        <w:rPr>
          <w:rFonts w:ascii="宋体" w:hAnsi="宋体" w:cs="宋体"/>
          <w:b/>
          <w:szCs w:val="21"/>
        </w:rPr>
      </w:pPr>
      <w:r>
        <w:rPr>
          <w:rFonts w:hint="eastAsia" w:ascii="宋体" w:hAnsi="宋体" w:cs="宋体"/>
          <w:b/>
          <w:szCs w:val="21"/>
        </w:rPr>
        <w:t>（三）投标报价</w:t>
      </w:r>
    </w:p>
    <w:p>
      <w:pPr>
        <w:snapToGrid w:val="0"/>
        <w:spacing w:line="360" w:lineRule="auto"/>
        <w:ind w:left="-4" w:leftChars="-2" w:firstLine="464" w:firstLineChars="221"/>
        <w:jc w:val="left"/>
        <w:rPr>
          <w:rFonts w:ascii="宋体" w:hAnsi="宋体" w:cs="宋体"/>
          <w:szCs w:val="21"/>
        </w:rPr>
      </w:pPr>
      <w:r>
        <w:rPr>
          <w:rFonts w:hint="eastAsia" w:ascii="宋体" w:hAnsi="宋体" w:cs="宋体"/>
          <w:szCs w:val="21"/>
        </w:rPr>
        <w:t>1、投标文件只允许有一个报价，投标报价应按招标文件中相关附表格式填报；</w:t>
      </w:r>
    </w:p>
    <w:p>
      <w:pPr>
        <w:spacing w:line="360" w:lineRule="auto"/>
        <w:ind w:left="-4" w:leftChars="-2" w:firstLine="464" w:firstLineChars="221"/>
        <w:rPr>
          <w:rFonts w:ascii="宋体" w:hAnsi="宋体" w:cs="宋体"/>
          <w:szCs w:val="21"/>
        </w:rPr>
      </w:pPr>
      <w:r>
        <w:rPr>
          <w:rFonts w:hint="eastAsia" w:ascii="宋体" w:hAnsi="宋体" w:cs="宋体"/>
          <w:szCs w:val="21"/>
        </w:rPr>
        <w:t>2、投标报价是履行合同的最终价格，应包括服务费、人工费、专用工具、保险、税金、培训、质保等一切税金和费用。</w:t>
      </w:r>
    </w:p>
    <w:p>
      <w:pPr>
        <w:pStyle w:val="12"/>
        <w:numPr>
          <w:ilvl w:val="0"/>
          <w:numId w:val="0"/>
        </w:numPr>
        <w:tabs>
          <w:tab w:val="left" w:pos="720"/>
        </w:tabs>
        <w:snapToGrid w:val="0"/>
        <w:spacing w:before="157" w:beforeLines="50" w:line="360" w:lineRule="auto"/>
        <w:ind w:left="412" w:leftChars="196"/>
        <w:rPr>
          <w:rFonts w:ascii="宋体" w:hAnsi="宋体" w:cs="宋体"/>
          <w:b/>
          <w:szCs w:val="21"/>
        </w:rPr>
      </w:pPr>
      <w:r>
        <w:rPr>
          <w:rFonts w:hint="eastAsia" w:ascii="宋体" w:hAnsi="宋体" w:cs="宋体"/>
          <w:b/>
          <w:szCs w:val="21"/>
        </w:rPr>
        <w:t>（四）投标文件的有效期</w:t>
      </w:r>
    </w:p>
    <w:p>
      <w:pPr>
        <w:spacing w:line="360" w:lineRule="auto"/>
        <w:ind w:left="-4" w:leftChars="-2" w:firstLine="464" w:firstLineChars="221"/>
        <w:jc w:val="left"/>
        <w:rPr>
          <w:rFonts w:ascii="宋体" w:hAnsi="宋体" w:cs="宋体"/>
          <w:szCs w:val="21"/>
        </w:rPr>
      </w:pPr>
      <w:r>
        <w:rPr>
          <w:rFonts w:hint="eastAsia" w:ascii="宋体" w:hAnsi="宋体" w:cs="宋体"/>
          <w:szCs w:val="21"/>
        </w:rPr>
        <w:t>1、自投标截止日起90天内投标文件应保持有效。有效期不足的投标文件将被拒绝。</w:t>
      </w:r>
    </w:p>
    <w:p>
      <w:pPr>
        <w:snapToGrid w:val="0"/>
        <w:spacing w:line="360" w:lineRule="auto"/>
        <w:ind w:left="-4" w:leftChars="-2" w:firstLine="464" w:firstLineChars="221"/>
        <w:jc w:val="left"/>
        <w:rPr>
          <w:rFonts w:ascii="宋体" w:hAnsi="宋体" w:cs="宋体"/>
          <w:szCs w:val="21"/>
        </w:rPr>
      </w:pPr>
      <w:r>
        <w:rPr>
          <w:rFonts w:hint="eastAsia" w:ascii="宋体" w:hAnsi="宋体" w:cs="宋体"/>
          <w:szCs w:val="21"/>
        </w:rPr>
        <w:t>2、中标人的投标文件自开标之日起至合同履行完毕止均应保持有效。</w:t>
      </w:r>
    </w:p>
    <w:p>
      <w:pPr>
        <w:snapToGrid w:val="0"/>
        <w:spacing w:line="360" w:lineRule="auto"/>
        <w:ind w:firstLine="417" w:firstLineChars="198"/>
        <w:rPr>
          <w:rFonts w:ascii="宋体" w:hAnsi="宋体" w:cs="宋体"/>
          <w:b/>
          <w:szCs w:val="21"/>
        </w:rPr>
      </w:pPr>
      <w:r>
        <w:rPr>
          <w:rFonts w:hint="eastAsia" w:ascii="宋体" w:hAnsi="宋体" w:cs="宋体"/>
          <w:b/>
          <w:szCs w:val="21"/>
        </w:rPr>
        <w:t>（五）履约保证金不予退还的：</w:t>
      </w:r>
    </w:p>
    <w:p>
      <w:pPr>
        <w:snapToGrid w:val="0"/>
        <w:spacing w:line="360" w:lineRule="auto"/>
        <w:ind w:left="-4" w:leftChars="-2" w:firstLine="464" w:firstLineChars="221"/>
        <w:jc w:val="left"/>
        <w:rPr>
          <w:rFonts w:ascii="宋体" w:hAnsi="宋体" w:cs="宋体"/>
          <w:szCs w:val="21"/>
        </w:rPr>
      </w:pPr>
      <w:r>
        <w:rPr>
          <w:rFonts w:hint="eastAsia" w:ascii="宋体" w:hAnsi="宋体" w:cs="宋体"/>
          <w:szCs w:val="21"/>
        </w:rPr>
        <w:t>1、拒绝履行合同义务的；</w:t>
      </w:r>
    </w:p>
    <w:p>
      <w:pPr>
        <w:snapToGrid w:val="0"/>
        <w:spacing w:line="360" w:lineRule="auto"/>
        <w:ind w:left="-4" w:leftChars="-2" w:firstLine="464" w:firstLineChars="221"/>
        <w:jc w:val="left"/>
        <w:rPr>
          <w:rFonts w:ascii="宋体" w:hAnsi="宋体" w:cs="宋体"/>
          <w:szCs w:val="21"/>
        </w:rPr>
      </w:pPr>
      <w:r>
        <w:rPr>
          <w:rFonts w:hint="eastAsia" w:ascii="宋体" w:hAnsi="宋体" w:cs="宋体"/>
          <w:szCs w:val="21"/>
        </w:rPr>
        <w:t>2、产品质量验收或测试不合格的。</w:t>
      </w:r>
    </w:p>
    <w:p>
      <w:pPr>
        <w:snapToGrid w:val="0"/>
        <w:spacing w:line="360" w:lineRule="auto"/>
        <w:ind w:firstLine="413" w:firstLineChars="196"/>
        <w:jc w:val="left"/>
        <w:rPr>
          <w:rFonts w:ascii="宋体" w:hAnsi="宋体" w:cs="宋体"/>
          <w:b/>
          <w:szCs w:val="21"/>
        </w:rPr>
      </w:pPr>
      <w:r>
        <w:rPr>
          <w:rFonts w:hint="eastAsia" w:ascii="宋体" w:hAnsi="宋体" w:cs="宋体"/>
          <w:b/>
          <w:szCs w:val="21"/>
        </w:rPr>
        <w:t>（六）投标文件的编制</w:t>
      </w:r>
    </w:p>
    <w:p>
      <w:pPr>
        <w:snapToGrid w:val="0"/>
        <w:spacing w:line="360" w:lineRule="auto"/>
        <w:ind w:left="-4" w:leftChars="-2" w:firstLine="464" w:firstLineChars="221"/>
        <w:jc w:val="left"/>
        <w:rPr>
          <w:rFonts w:ascii="宋体" w:hAnsi="宋体" w:cs="宋体"/>
          <w:szCs w:val="21"/>
        </w:rPr>
      </w:pPr>
      <w:r>
        <w:rPr>
          <w:rFonts w:hint="eastAsia" w:ascii="宋体" w:hAnsi="宋体" w:cs="宋体"/>
          <w:szCs w:val="21"/>
        </w:rPr>
        <w:t>1、本项目通过“政府采购云平台（www.zcygov.cn）”实行在线投标响应（电子投标）。供应商应通过“政采云电子交易客户端”，并按照本招标文件和“政府采购云平台”的要求编制并加密投标文件。</w:t>
      </w:r>
    </w:p>
    <w:p>
      <w:pPr>
        <w:snapToGrid w:val="0"/>
        <w:spacing w:line="360" w:lineRule="auto"/>
        <w:ind w:left="-4" w:leftChars="-2" w:firstLine="464" w:firstLineChars="221"/>
        <w:jc w:val="left"/>
        <w:rPr>
          <w:rFonts w:ascii="宋体" w:hAnsi="宋体" w:cs="宋体"/>
          <w:szCs w:val="21"/>
        </w:rPr>
      </w:pPr>
      <w:r>
        <w:rPr>
          <w:rFonts w:hint="eastAsia" w:ascii="宋体" w:hAnsi="宋体" w:cs="宋体"/>
          <w:szCs w:val="21"/>
        </w:rPr>
        <w:t>2、投标供应商应当按照本章节 “投标文件组成”规定的内容及顺序在“政采云电子交易客户端”编制投标文件。其中《资格文件》和《商务技术文件》中不得出现本项目投标报价，如因投标人原因提前泄露投标报价，是投标人的责任。</w:t>
      </w:r>
    </w:p>
    <w:p>
      <w:pPr>
        <w:snapToGrid w:val="0"/>
        <w:spacing w:line="360" w:lineRule="auto"/>
        <w:ind w:left="-4" w:leftChars="-2" w:firstLine="464" w:firstLineChars="221"/>
        <w:jc w:val="left"/>
        <w:rPr>
          <w:rFonts w:ascii="宋体" w:hAnsi="宋体" w:cs="宋体"/>
          <w:szCs w:val="21"/>
        </w:rPr>
      </w:pPr>
      <w:r>
        <w:rPr>
          <w:rFonts w:hint="eastAsia" w:ascii="宋体" w:hAnsi="宋体" w:cs="宋体"/>
          <w:szCs w:val="21"/>
        </w:rPr>
        <w:t>3、本招标文件中有提供格式的，投标供应商须参照格式进行编制（格式中要求提供相关证明材料的还需后附相关证明材料），并按格式要求在指定位置根据要求进行签章，否则视为未提供；本招标文件未提供格式的，请各投标单位自行拟定格式，并加盖单位公章并由法定代表人或其授权代表签署（签字或盖章），否则视为未提供。</w:t>
      </w:r>
    </w:p>
    <w:p>
      <w:pPr>
        <w:snapToGrid w:val="0"/>
        <w:spacing w:line="360" w:lineRule="auto"/>
        <w:ind w:left="-4" w:leftChars="-2" w:firstLine="464" w:firstLineChars="221"/>
        <w:jc w:val="left"/>
        <w:rPr>
          <w:rFonts w:ascii="宋体" w:hAnsi="宋体" w:cs="宋体"/>
          <w:szCs w:val="21"/>
        </w:rPr>
      </w:pPr>
      <w:r>
        <w:rPr>
          <w:rFonts w:hint="eastAsia" w:ascii="宋体" w:hAnsi="宋体" w:cs="宋体"/>
          <w:szCs w:val="21"/>
        </w:rPr>
        <w:t>4、《投标文件》内容不完整、编排混乱导致《投标文件》被误读、漏读或者查找不到相关内容的，是投标供应商的责任。</w:t>
      </w:r>
    </w:p>
    <w:p>
      <w:pPr>
        <w:snapToGrid w:val="0"/>
        <w:spacing w:line="360" w:lineRule="auto"/>
        <w:ind w:left="-4" w:leftChars="-2" w:firstLine="464" w:firstLineChars="221"/>
        <w:jc w:val="left"/>
        <w:rPr>
          <w:rFonts w:ascii="宋体" w:hAnsi="宋体" w:cs="宋体"/>
          <w:szCs w:val="21"/>
        </w:rPr>
      </w:pPr>
      <w:r>
        <w:rPr>
          <w:rFonts w:hint="eastAsia" w:ascii="宋体" w:hAnsi="宋体" w:cs="宋体"/>
          <w:szCs w:val="21"/>
        </w:rPr>
        <w:t>5、《投标文件》因字迹潦草或表达不清所引起的后果由投标供应商负责。</w:t>
      </w:r>
    </w:p>
    <w:p>
      <w:pPr>
        <w:snapToGrid w:val="0"/>
        <w:spacing w:line="360" w:lineRule="auto"/>
        <w:ind w:left="-4" w:leftChars="-2" w:firstLine="464" w:firstLineChars="221"/>
        <w:jc w:val="left"/>
        <w:rPr>
          <w:rFonts w:ascii="宋体" w:hAnsi="宋体" w:cs="宋体"/>
          <w:szCs w:val="21"/>
        </w:rPr>
      </w:pPr>
      <w:r>
        <w:rPr>
          <w:rFonts w:hint="eastAsia" w:ascii="宋体" w:hAnsi="宋体" w:cs="宋体"/>
          <w:szCs w:val="21"/>
        </w:rPr>
        <w:t>6、投标供应商没有按照本章节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pPr>
        <w:pStyle w:val="2"/>
        <w:spacing w:line="360" w:lineRule="auto"/>
        <w:rPr>
          <w:rFonts w:hAnsi="宋体" w:cs="宋体"/>
          <w:b/>
          <w:bCs/>
          <w:spacing w:val="0"/>
          <w:sz w:val="21"/>
          <w:szCs w:val="21"/>
        </w:rPr>
      </w:pPr>
      <w:r>
        <w:rPr>
          <w:rFonts w:hint="eastAsia" w:hAnsi="宋体" w:cs="宋体"/>
          <w:b/>
          <w:bCs/>
          <w:spacing w:val="0"/>
          <w:sz w:val="21"/>
          <w:szCs w:val="21"/>
        </w:rPr>
        <w:t>（七）投标文件的签章</w:t>
      </w:r>
    </w:p>
    <w:p>
      <w:pPr>
        <w:pStyle w:val="2"/>
        <w:spacing w:line="360" w:lineRule="auto"/>
        <w:rPr>
          <w:rFonts w:hAnsi="宋体" w:cs="宋体"/>
          <w:spacing w:val="0"/>
          <w:sz w:val="21"/>
          <w:szCs w:val="21"/>
        </w:rPr>
      </w:pPr>
      <w:r>
        <w:rPr>
          <w:rFonts w:hint="eastAsia" w:hAnsi="宋体" w:cs="宋体"/>
          <w:spacing w:val="0"/>
          <w:sz w:val="21"/>
          <w:szCs w:val="21"/>
        </w:rPr>
        <w:t>1、《投标文件》的签章：电子签章；</w:t>
      </w:r>
    </w:p>
    <w:p>
      <w:pPr>
        <w:pStyle w:val="2"/>
        <w:spacing w:line="360" w:lineRule="auto"/>
        <w:rPr>
          <w:rFonts w:hAnsi="宋体" w:cs="宋体"/>
          <w:spacing w:val="0"/>
          <w:sz w:val="21"/>
          <w:szCs w:val="21"/>
        </w:rPr>
      </w:pPr>
      <w:r>
        <w:rPr>
          <w:rFonts w:hint="eastAsia" w:hAnsi="宋体" w:cs="宋体"/>
          <w:spacing w:val="0"/>
          <w:sz w:val="21"/>
          <w:szCs w:val="21"/>
        </w:rPr>
        <w:t>2、《投标文件》应由投标供应商法定代表人或其授权代表签字（或盖章），并加盖投标供应商公章。</w:t>
      </w:r>
    </w:p>
    <w:p>
      <w:pPr>
        <w:pStyle w:val="2"/>
        <w:spacing w:line="360" w:lineRule="auto"/>
        <w:rPr>
          <w:rFonts w:hAnsi="宋体" w:cs="宋体"/>
          <w:spacing w:val="0"/>
          <w:sz w:val="21"/>
          <w:szCs w:val="21"/>
        </w:rPr>
      </w:pPr>
      <w:r>
        <w:rPr>
          <w:rFonts w:hint="eastAsia" w:hAnsi="宋体" w:cs="宋体"/>
          <w:spacing w:val="0"/>
          <w:sz w:val="21"/>
          <w:szCs w:val="21"/>
        </w:rPr>
        <w:t>3、电子签章操作指南详见采购公告附件《供应商项目采购-电子招投标操作指南》。</w:t>
      </w:r>
    </w:p>
    <w:p>
      <w:pPr>
        <w:pStyle w:val="2"/>
        <w:spacing w:line="360" w:lineRule="auto"/>
        <w:rPr>
          <w:rFonts w:hAnsi="宋体" w:cs="宋体"/>
          <w:b/>
          <w:bCs/>
          <w:spacing w:val="0"/>
          <w:sz w:val="21"/>
          <w:szCs w:val="21"/>
        </w:rPr>
      </w:pPr>
      <w:r>
        <w:rPr>
          <w:rFonts w:hint="eastAsia" w:hAnsi="宋体" w:cs="宋体"/>
          <w:b/>
          <w:bCs/>
          <w:spacing w:val="0"/>
          <w:sz w:val="21"/>
          <w:szCs w:val="21"/>
        </w:rPr>
        <w:t>（八）投标文件的形式</w:t>
      </w:r>
    </w:p>
    <w:p>
      <w:pPr>
        <w:pStyle w:val="2"/>
        <w:spacing w:line="360" w:lineRule="auto"/>
        <w:rPr>
          <w:rFonts w:hAnsi="宋体" w:cs="宋体"/>
          <w:spacing w:val="0"/>
          <w:sz w:val="21"/>
          <w:szCs w:val="21"/>
        </w:rPr>
      </w:pPr>
      <w:r>
        <w:rPr>
          <w:rFonts w:hint="eastAsia" w:hAnsi="宋体" w:cs="宋体"/>
          <w:spacing w:val="0"/>
          <w:sz w:val="21"/>
          <w:szCs w:val="21"/>
        </w:rPr>
        <w:t>1、投标文件的形式：见《前附表》；</w:t>
      </w:r>
    </w:p>
    <w:p>
      <w:pPr>
        <w:pStyle w:val="2"/>
        <w:spacing w:line="360" w:lineRule="auto"/>
        <w:rPr>
          <w:rFonts w:hAnsi="宋体" w:cs="宋体"/>
          <w:spacing w:val="0"/>
          <w:sz w:val="21"/>
          <w:szCs w:val="21"/>
        </w:rPr>
      </w:pPr>
      <w:r>
        <w:rPr>
          <w:rFonts w:hint="eastAsia" w:hAnsi="宋体" w:cs="宋体"/>
          <w:spacing w:val="0"/>
          <w:sz w:val="21"/>
          <w:szCs w:val="21"/>
        </w:rPr>
        <w:t>2、“电子加密投标文件”：“电子加密投标文件”是指通过“政采云电子交易客户端”完成投标文件编制后生成并加密的数据电文形式的投标文件。</w:t>
      </w:r>
    </w:p>
    <w:p>
      <w:pPr>
        <w:pStyle w:val="2"/>
        <w:spacing w:line="360" w:lineRule="auto"/>
        <w:rPr>
          <w:rFonts w:hAnsi="宋体" w:cs="宋体"/>
          <w:spacing w:val="0"/>
          <w:sz w:val="21"/>
          <w:szCs w:val="21"/>
        </w:rPr>
      </w:pPr>
      <w:r>
        <w:rPr>
          <w:rFonts w:hint="eastAsia" w:hAnsi="宋体" w:cs="宋体"/>
          <w:spacing w:val="0"/>
          <w:sz w:val="21"/>
          <w:szCs w:val="21"/>
        </w:rPr>
        <w:t>3、“备份投标文件”：“备份投标文件”是指与“电子加密投标文件”同时生成的数据电文形式的电子文件（备份标书），其他方式编制的“备份投标文件”视为无效的“备份投标文件”。</w:t>
      </w:r>
    </w:p>
    <w:p>
      <w:pPr>
        <w:pStyle w:val="2"/>
        <w:spacing w:line="360" w:lineRule="auto"/>
        <w:ind w:firstLine="0"/>
        <w:rPr>
          <w:rFonts w:hAnsi="宋体" w:cs="宋体"/>
          <w:b/>
          <w:bCs/>
          <w:spacing w:val="0"/>
          <w:sz w:val="21"/>
          <w:szCs w:val="21"/>
        </w:rPr>
      </w:pPr>
      <w:r>
        <w:rPr>
          <w:rFonts w:hint="eastAsia" w:hAnsi="宋体" w:cs="宋体"/>
          <w:b/>
          <w:bCs/>
          <w:spacing w:val="0"/>
          <w:sz w:val="21"/>
          <w:szCs w:val="21"/>
        </w:rPr>
        <w:t xml:space="preserve">  （九）投标文件的份数</w:t>
      </w:r>
    </w:p>
    <w:p>
      <w:pPr>
        <w:pStyle w:val="2"/>
        <w:spacing w:line="360" w:lineRule="auto"/>
        <w:rPr>
          <w:rFonts w:hAnsi="宋体" w:cs="宋体"/>
          <w:spacing w:val="0"/>
          <w:sz w:val="21"/>
          <w:szCs w:val="21"/>
        </w:rPr>
      </w:pPr>
      <w:r>
        <w:rPr>
          <w:rFonts w:hint="eastAsia" w:hAnsi="宋体" w:cs="宋体"/>
          <w:spacing w:val="0"/>
          <w:sz w:val="21"/>
          <w:szCs w:val="21"/>
        </w:rPr>
        <w:t>投标文件的份数：见《前附表》。</w:t>
      </w:r>
    </w:p>
    <w:p>
      <w:pPr>
        <w:snapToGrid w:val="0"/>
        <w:spacing w:before="157" w:beforeLines="50" w:line="360" w:lineRule="auto"/>
        <w:ind w:firstLine="310" w:firstLineChars="147"/>
        <w:jc w:val="left"/>
        <w:rPr>
          <w:rFonts w:ascii="宋体" w:hAnsi="宋体" w:cs="宋体"/>
          <w:b/>
          <w:szCs w:val="21"/>
        </w:rPr>
      </w:pPr>
      <w:r>
        <w:rPr>
          <w:rFonts w:hint="eastAsia" w:ascii="宋体" w:hAnsi="宋体" w:cs="宋体"/>
          <w:b/>
          <w:szCs w:val="21"/>
        </w:rPr>
        <w:t>三、投标</w:t>
      </w:r>
    </w:p>
    <w:p>
      <w:pPr>
        <w:snapToGrid w:val="0"/>
        <w:spacing w:line="360" w:lineRule="auto"/>
        <w:ind w:firstLine="211" w:firstLineChars="100"/>
        <w:jc w:val="left"/>
        <w:rPr>
          <w:rFonts w:ascii="宋体" w:hAnsi="宋体" w:cs="宋体"/>
          <w:b/>
          <w:bCs/>
          <w:szCs w:val="21"/>
        </w:rPr>
      </w:pPr>
      <w:r>
        <w:rPr>
          <w:rFonts w:hint="eastAsia" w:ascii="宋体" w:hAnsi="宋体" w:cs="宋体"/>
          <w:b/>
          <w:bCs/>
          <w:szCs w:val="21"/>
        </w:rPr>
        <w:t>（一）投标文件的上传和递交</w:t>
      </w:r>
    </w:p>
    <w:p>
      <w:pPr>
        <w:snapToGrid w:val="0"/>
        <w:spacing w:line="360" w:lineRule="auto"/>
        <w:ind w:firstLine="210" w:firstLineChars="100"/>
        <w:jc w:val="left"/>
        <w:rPr>
          <w:rFonts w:ascii="宋体" w:hAnsi="宋体" w:cs="宋体"/>
          <w:szCs w:val="21"/>
        </w:rPr>
      </w:pPr>
      <w:r>
        <w:rPr>
          <w:rFonts w:hint="eastAsia" w:ascii="宋体" w:hAnsi="宋体" w:cs="宋体"/>
          <w:szCs w:val="21"/>
        </w:rPr>
        <w:t>“投标文件”的上传、递交：见《前附表》。</w:t>
      </w:r>
    </w:p>
    <w:p>
      <w:pPr>
        <w:snapToGrid w:val="0"/>
        <w:spacing w:line="360" w:lineRule="auto"/>
        <w:ind w:firstLine="211" w:firstLineChars="100"/>
        <w:jc w:val="left"/>
        <w:rPr>
          <w:rFonts w:ascii="宋体" w:hAnsi="宋体" w:cs="宋体"/>
          <w:b/>
          <w:bCs/>
          <w:szCs w:val="21"/>
        </w:rPr>
      </w:pPr>
      <w:r>
        <w:rPr>
          <w:rFonts w:hint="eastAsia" w:ascii="宋体" w:hAnsi="宋体" w:cs="宋体"/>
          <w:b/>
          <w:bCs/>
          <w:szCs w:val="21"/>
        </w:rPr>
        <w:t>（二）“电子加密投标文件”解密和异常情况处理</w:t>
      </w:r>
    </w:p>
    <w:p>
      <w:pPr>
        <w:snapToGrid w:val="0"/>
        <w:spacing w:line="360" w:lineRule="auto"/>
        <w:ind w:firstLine="210" w:firstLineChars="100"/>
        <w:jc w:val="left"/>
        <w:rPr>
          <w:rFonts w:ascii="宋体" w:hAnsi="宋体" w:cs="宋体"/>
          <w:szCs w:val="21"/>
        </w:rPr>
      </w:pPr>
      <w:r>
        <w:rPr>
          <w:rFonts w:hint="eastAsia" w:ascii="宋体" w:hAnsi="宋体" w:cs="宋体"/>
          <w:szCs w:val="21"/>
        </w:rPr>
        <w:t>“电子加密投标文件”解密：见《前附表》。</w:t>
      </w:r>
    </w:p>
    <w:p>
      <w:pPr>
        <w:snapToGrid w:val="0"/>
        <w:spacing w:line="360" w:lineRule="auto"/>
        <w:ind w:firstLine="211" w:firstLineChars="100"/>
        <w:jc w:val="left"/>
        <w:rPr>
          <w:rFonts w:ascii="宋体" w:hAnsi="宋体" w:cs="宋体"/>
          <w:b/>
          <w:bCs/>
          <w:szCs w:val="21"/>
        </w:rPr>
      </w:pPr>
      <w:r>
        <w:rPr>
          <w:rFonts w:hint="eastAsia" w:ascii="宋体" w:hAnsi="宋体" w:cs="宋体"/>
          <w:b/>
          <w:bCs/>
          <w:szCs w:val="21"/>
        </w:rPr>
        <w:t>（三）投标文件的补充、修改或撤回</w:t>
      </w:r>
    </w:p>
    <w:p>
      <w:pPr>
        <w:snapToGrid w:val="0"/>
        <w:spacing w:line="360" w:lineRule="auto"/>
        <w:ind w:firstLine="420" w:firstLineChars="200"/>
        <w:jc w:val="left"/>
        <w:rPr>
          <w:rFonts w:ascii="宋体" w:hAnsi="宋体" w:cs="宋体"/>
          <w:szCs w:val="21"/>
        </w:rPr>
      </w:pPr>
      <w:r>
        <w:rPr>
          <w:rFonts w:hint="eastAsia" w:ascii="宋体" w:hAnsi="宋体" w:cs="宋体"/>
          <w:szCs w:val="21"/>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napToGrid w:val="0"/>
        <w:spacing w:line="360" w:lineRule="auto"/>
        <w:ind w:left="-4" w:leftChars="-2" w:firstLine="464" w:firstLineChars="221"/>
        <w:jc w:val="left"/>
        <w:rPr>
          <w:rFonts w:ascii="宋体" w:hAnsi="宋体" w:cs="宋体"/>
          <w:szCs w:val="21"/>
        </w:rPr>
      </w:pPr>
      <w:r>
        <w:rPr>
          <w:rFonts w:hint="eastAsia" w:ascii="宋体" w:hAnsi="宋体" w:cs="宋体"/>
          <w:szCs w:val="21"/>
        </w:rPr>
        <w:t>2、投标截止时间后，投标供应商不得撤回、修改《投标文件》。</w:t>
      </w:r>
    </w:p>
    <w:p>
      <w:pPr>
        <w:snapToGrid w:val="0"/>
        <w:spacing w:line="360" w:lineRule="auto"/>
        <w:ind w:left="-4" w:leftChars="-2" w:firstLine="466" w:firstLineChars="221"/>
        <w:jc w:val="left"/>
        <w:rPr>
          <w:rFonts w:ascii="宋体" w:hAnsi="宋体" w:cs="宋体"/>
          <w:b/>
          <w:bCs/>
          <w:szCs w:val="21"/>
        </w:rPr>
      </w:pPr>
      <w:r>
        <w:rPr>
          <w:rFonts w:hint="eastAsia" w:ascii="宋体" w:hAnsi="宋体" w:cs="宋体"/>
          <w:b/>
          <w:bCs/>
          <w:szCs w:val="21"/>
        </w:rPr>
        <w:t>（四）投标文件的备选方案</w:t>
      </w:r>
    </w:p>
    <w:p>
      <w:pPr>
        <w:snapToGrid w:val="0"/>
        <w:spacing w:line="360" w:lineRule="auto"/>
        <w:ind w:left="-4" w:leftChars="-2" w:firstLine="464" w:firstLineChars="221"/>
        <w:jc w:val="left"/>
        <w:rPr>
          <w:rFonts w:ascii="宋体" w:hAnsi="宋体" w:cs="宋体"/>
          <w:szCs w:val="21"/>
        </w:rPr>
      </w:pPr>
      <w:r>
        <w:rPr>
          <w:rFonts w:hint="eastAsia" w:ascii="宋体" w:hAnsi="宋体" w:cs="宋体"/>
          <w:szCs w:val="21"/>
        </w:rPr>
        <w:t>投标供应商不得递交任何的投标备选（替代）方案，否则其投标文件将作无效标处理。与“电子加密投标文件”同时生成的“备份投标文件”不是投标备选（替代）方案。</w:t>
      </w:r>
    </w:p>
    <w:p>
      <w:pPr>
        <w:pStyle w:val="2"/>
        <w:snapToGrid w:val="0"/>
        <w:spacing w:line="360" w:lineRule="auto"/>
        <w:ind w:firstLine="0"/>
        <w:outlineLvl w:val="1"/>
        <w:rPr>
          <w:rFonts w:hAnsi="宋体" w:cs="宋体"/>
          <w:b/>
          <w:spacing w:val="0"/>
          <w:sz w:val="21"/>
          <w:szCs w:val="21"/>
        </w:rPr>
      </w:pPr>
      <w:bookmarkStart w:id="13" w:name="_Toc372790140"/>
      <w:bookmarkStart w:id="14" w:name="_Toc482808161"/>
      <w:bookmarkStart w:id="15" w:name="_Toc448411050"/>
      <w:r>
        <w:rPr>
          <w:rFonts w:hint="eastAsia" w:hAnsi="宋体" w:cs="宋体"/>
          <w:b/>
          <w:spacing w:val="0"/>
          <w:sz w:val="21"/>
          <w:szCs w:val="21"/>
        </w:rPr>
        <w:t>四、开标</w:t>
      </w:r>
      <w:bookmarkEnd w:id="13"/>
      <w:bookmarkEnd w:id="14"/>
      <w:bookmarkEnd w:id="15"/>
    </w:p>
    <w:p>
      <w:pPr>
        <w:pStyle w:val="20"/>
        <w:snapToGrid w:val="0"/>
        <w:spacing w:before="157" w:after="157" w:line="360" w:lineRule="auto"/>
        <w:outlineLvl w:val="1"/>
        <w:rPr>
          <w:rFonts w:hAnsi="宋体" w:cs="宋体"/>
          <w:b/>
          <w:sz w:val="21"/>
          <w:szCs w:val="21"/>
        </w:rPr>
      </w:pPr>
      <w:bookmarkStart w:id="16" w:name="_Toc448411053"/>
      <w:bookmarkStart w:id="17" w:name="_Toc482808164"/>
      <w:bookmarkStart w:id="18" w:name="_Toc372790141"/>
      <w:r>
        <w:rPr>
          <w:rFonts w:hint="eastAsia" w:hAnsi="宋体" w:cs="宋体"/>
          <w:b/>
          <w:sz w:val="21"/>
          <w:szCs w:val="21"/>
        </w:rPr>
        <w:t>（一）开标形式</w:t>
      </w:r>
    </w:p>
    <w:p>
      <w:pPr>
        <w:pStyle w:val="20"/>
        <w:snapToGrid w:val="0"/>
        <w:spacing w:before="157" w:after="157" w:line="360" w:lineRule="auto"/>
        <w:ind w:firstLine="420" w:firstLineChars="200"/>
        <w:outlineLvl w:val="1"/>
        <w:rPr>
          <w:rFonts w:hAnsi="宋体" w:cs="宋体"/>
          <w:bCs/>
          <w:sz w:val="21"/>
          <w:szCs w:val="21"/>
        </w:rPr>
      </w:pPr>
      <w:r>
        <w:rPr>
          <w:rFonts w:hint="eastAsia" w:hAnsi="宋体" w:cs="宋体"/>
          <w:bCs/>
          <w:sz w:val="21"/>
          <w:szCs w:val="21"/>
        </w:rPr>
        <w:t>采购组织机构将按照招标文件规定的时间通过“政府采购云平台”组织开标、开启投标文件，所有供应商均应当准时在线参加。</w:t>
      </w:r>
    </w:p>
    <w:p>
      <w:pPr>
        <w:pStyle w:val="20"/>
        <w:snapToGrid w:val="0"/>
        <w:spacing w:before="157" w:after="157" w:line="360" w:lineRule="auto"/>
        <w:outlineLvl w:val="1"/>
        <w:rPr>
          <w:rFonts w:hAnsi="宋体" w:cs="宋体"/>
          <w:b/>
          <w:sz w:val="21"/>
          <w:szCs w:val="21"/>
        </w:rPr>
      </w:pPr>
      <w:r>
        <w:rPr>
          <w:rFonts w:hint="eastAsia" w:hAnsi="宋体" w:cs="宋体"/>
          <w:b/>
          <w:sz w:val="21"/>
          <w:szCs w:val="21"/>
        </w:rPr>
        <w:t>（二） 开标准备</w:t>
      </w:r>
    </w:p>
    <w:p>
      <w:pPr>
        <w:pStyle w:val="20"/>
        <w:snapToGrid w:val="0"/>
        <w:spacing w:before="157" w:after="157" w:line="360" w:lineRule="auto"/>
        <w:ind w:firstLine="420" w:firstLineChars="200"/>
        <w:outlineLvl w:val="1"/>
        <w:rPr>
          <w:rFonts w:hAnsi="宋体" w:cs="宋体"/>
          <w:bCs/>
          <w:sz w:val="21"/>
          <w:szCs w:val="21"/>
        </w:rPr>
      </w:pPr>
      <w:r>
        <w:rPr>
          <w:rFonts w:hint="eastAsia" w:hAnsi="宋体" w:cs="宋体"/>
          <w:bCs/>
          <w:sz w:val="21"/>
          <w:szCs w:val="21"/>
        </w:rPr>
        <w:t>1、开标的准备工作由采购组织机构负责落实；</w:t>
      </w:r>
    </w:p>
    <w:p>
      <w:pPr>
        <w:pStyle w:val="20"/>
        <w:snapToGrid w:val="0"/>
        <w:spacing w:before="157" w:after="157" w:line="360" w:lineRule="auto"/>
        <w:ind w:firstLine="420" w:firstLineChars="200"/>
        <w:outlineLvl w:val="1"/>
        <w:rPr>
          <w:rFonts w:hAnsi="宋体" w:cs="宋体"/>
          <w:bCs/>
          <w:sz w:val="21"/>
          <w:szCs w:val="21"/>
        </w:rPr>
      </w:pPr>
      <w:r>
        <w:rPr>
          <w:rFonts w:hint="eastAsia" w:hAnsi="宋体" w:cs="宋体"/>
          <w:bCs/>
          <w:sz w:val="21"/>
          <w:szCs w:val="21"/>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pStyle w:val="20"/>
        <w:snapToGrid w:val="0"/>
        <w:spacing w:before="157" w:after="157" w:line="360" w:lineRule="auto"/>
        <w:outlineLvl w:val="1"/>
        <w:rPr>
          <w:rFonts w:hAnsi="宋体" w:cs="宋体"/>
          <w:b/>
          <w:sz w:val="21"/>
          <w:szCs w:val="21"/>
        </w:rPr>
      </w:pPr>
      <w:r>
        <w:rPr>
          <w:rFonts w:hint="eastAsia" w:hAnsi="宋体" w:cs="宋体"/>
          <w:b/>
          <w:sz w:val="21"/>
          <w:szCs w:val="21"/>
        </w:rPr>
        <w:t>（三）开标流程（两阶段）</w:t>
      </w:r>
    </w:p>
    <w:p>
      <w:pPr>
        <w:pStyle w:val="20"/>
        <w:snapToGrid w:val="0"/>
        <w:spacing w:before="157" w:after="157" w:line="360" w:lineRule="auto"/>
        <w:ind w:firstLine="422" w:firstLineChars="200"/>
        <w:outlineLvl w:val="1"/>
        <w:rPr>
          <w:rFonts w:hAnsi="宋体" w:cs="宋体"/>
          <w:b/>
          <w:sz w:val="21"/>
          <w:szCs w:val="21"/>
        </w:rPr>
      </w:pPr>
      <w:r>
        <w:rPr>
          <w:rFonts w:hint="eastAsia" w:hAnsi="宋体" w:cs="宋体"/>
          <w:b/>
          <w:sz w:val="21"/>
          <w:szCs w:val="21"/>
        </w:rPr>
        <w:t>1、开标第一阶段</w:t>
      </w:r>
    </w:p>
    <w:p>
      <w:pPr>
        <w:pStyle w:val="20"/>
        <w:snapToGrid w:val="0"/>
        <w:spacing w:before="157" w:after="157" w:line="360" w:lineRule="auto"/>
        <w:ind w:firstLine="420" w:firstLineChars="200"/>
        <w:outlineLvl w:val="1"/>
        <w:rPr>
          <w:rFonts w:hAnsi="宋体" w:cs="宋体"/>
          <w:bCs/>
          <w:sz w:val="21"/>
          <w:szCs w:val="21"/>
        </w:rPr>
      </w:pPr>
      <w:r>
        <w:rPr>
          <w:rFonts w:hint="eastAsia" w:hAnsi="宋体" w:cs="宋体"/>
          <w:bCs/>
          <w:sz w:val="21"/>
          <w:szCs w:val="21"/>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pStyle w:val="20"/>
        <w:snapToGrid w:val="0"/>
        <w:spacing w:before="157" w:after="157" w:line="360" w:lineRule="auto"/>
        <w:ind w:firstLine="420" w:firstLineChars="200"/>
        <w:outlineLvl w:val="1"/>
        <w:rPr>
          <w:rFonts w:hAnsi="宋体" w:cs="宋体"/>
          <w:bCs/>
          <w:sz w:val="21"/>
          <w:szCs w:val="21"/>
        </w:rPr>
      </w:pPr>
      <w:r>
        <w:rPr>
          <w:rFonts w:hint="eastAsia" w:hAnsi="宋体" w:cs="宋体"/>
          <w:bCs/>
          <w:sz w:val="21"/>
          <w:szCs w:val="21"/>
        </w:rPr>
        <w:t>（2）投标文件解密结束，通过邮件形式发送各投标人组织签署《政府采购活动现场确认声明书》；</w:t>
      </w:r>
    </w:p>
    <w:p>
      <w:pPr>
        <w:pStyle w:val="20"/>
        <w:snapToGrid w:val="0"/>
        <w:spacing w:before="157" w:after="157" w:line="360" w:lineRule="auto"/>
        <w:ind w:firstLine="420" w:firstLineChars="200"/>
        <w:outlineLvl w:val="1"/>
        <w:rPr>
          <w:rFonts w:hAnsi="宋体" w:cs="宋体"/>
          <w:bCs/>
          <w:sz w:val="21"/>
          <w:szCs w:val="21"/>
        </w:rPr>
      </w:pPr>
      <w:r>
        <w:rPr>
          <w:rFonts w:hint="eastAsia" w:hAnsi="宋体" w:cs="宋体"/>
          <w:bCs/>
          <w:sz w:val="21"/>
          <w:szCs w:val="21"/>
        </w:rPr>
        <w:t>（3）开启投标文件，进入资格审查；</w:t>
      </w:r>
    </w:p>
    <w:p>
      <w:pPr>
        <w:pStyle w:val="20"/>
        <w:snapToGrid w:val="0"/>
        <w:spacing w:before="157" w:after="157" w:line="360" w:lineRule="auto"/>
        <w:ind w:firstLine="420" w:firstLineChars="200"/>
        <w:outlineLvl w:val="1"/>
        <w:rPr>
          <w:rFonts w:hAnsi="宋体" w:cs="宋体"/>
          <w:bCs/>
          <w:sz w:val="21"/>
          <w:szCs w:val="21"/>
        </w:rPr>
      </w:pPr>
      <w:r>
        <w:rPr>
          <w:rFonts w:hint="eastAsia" w:hAnsi="宋体" w:cs="宋体"/>
          <w:bCs/>
          <w:sz w:val="21"/>
          <w:szCs w:val="21"/>
        </w:rPr>
        <w:t>（4）开启资格审查通过的投标供应商的商务技术文件进入符合性审查、商务技术评审；</w:t>
      </w:r>
    </w:p>
    <w:p>
      <w:pPr>
        <w:pStyle w:val="20"/>
        <w:snapToGrid w:val="0"/>
        <w:spacing w:before="157" w:after="157" w:line="360" w:lineRule="auto"/>
        <w:ind w:firstLine="420" w:firstLineChars="200"/>
        <w:outlineLvl w:val="1"/>
        <w:rPr>
          <w:rFonts w:hAnsi="宋体" w:cs="宋体"/>
          <w:bCs/>
          <w:sz w:val="21"/>
          <w:szCs w:val="21"/>
        </w:rPr>
      </w:pPr>
      <w:r>
        <w:rPr>
          <w:rFonts w:hint="eastAsia" w:hAnsi="宋体" w:cs="宋体"/>
          <w:bCs/>
          <w:sz w:val="21"/>
          <w:szCs w:val="21"/>
        </w:rPr>
        <w:t>（5）第一阶段开标结束。</w:t>
      </w:r>
    </w:p>
    <w:p>
      <w:pPr>
        <w:pStyle w:val="20"/>
        <w:snapToGrid w:val="0"/>
        <w:spacing w:before="157" w:after="157" w:line="360" w:lineRule="auto"/>
        <w:ind w:firstLine="422" w:firstLineChars="200"/>
        <w:outlineLvl w:val="1"/>
        <w:rPr>
          <w:rFonts w:hAnsi="宋体" w:cs="宋体"/>
          <w:b/>
          <w:sz w:val="21"/>
          <w:szCs w:val="21"/>
        </w:rPr>
      </w:pPr>
      <w:r>
        <w:rPr>
          <w:rFonts w:hint="eastAsia" w:hAnsi="宋体" w:cs="宋体"/>
          <w:b/>
          <w:sz w:val="21"/>
          <w:szCs w:val="21"/>
        </w:rPr>
        <w:t>备注：开标第一阶段结束后，采购人或采购代理机构将对依法对投标供应商的资格进行审查，资格审查结束后进入符合性审查和商务技术的评审工作，具体见本章节“投标供应商资格审查”相关规定。</w:t>
      </w:r>
    </w:p>
    <w:p>
      <w:pPr>
        <w:pStyle w:val="20"/>
        <w:snapToGrid w:val="0"/>
        <w:spacing w:before="157" w:after="157" w:line="360" w:lineRule="auto"/>
        <w:ind w:firstLine="422" w:firstLineChars="200"/>
        <w:outlineLvl w:val="1"/>
        <w:rPr>
          <w:rFonts w:hAnsi="宋体" w:cs="宋体"/>
          <w:b/>
          <w:sz w:val="21"/>
          <w:szCs w:val="21"/>
        </w:rPr>
      </w:pPr>
      <w:r>
        <w:rPr>
          <w:rFonts w:hint="eastAsia" w:hAnsi="宋体" w:cs="宋体"/>
          <w:b/>
          <w:sz w:val="21"/>
          <w:szCs w:val="21"/>
        </w:rPr>
        <w:t>2、开标第二阶段</w:t>
      </w:r>
    </w:p>
    <w:p>
      <w:pPr>
        <w:pStyle w:val="20"/>
        <w:snapToGrid w:val="0"/>
        <w:spacing w:before="157" w:after="157" w:line="360" w:lineRule="auto"/>
        <w:ind w:firstLine="420" w:firstLineChars="200"/>
        <w:outlineLvl w:val="1"/>
        <w:rPr>
          <w:rFonts w:hAnsi="宋体" w:cs="宋体"/>
          <w:bCs/>
          <w:sz w:val="21"/>
          <w:szCs w:val="21"/>
        </w:rPr>
      </w:pPr>
      <w:r>
        <w:rPr>
          <w:rFonts w:hint="eastAsia" w:hAnsi="宋体" w:cs="宋体"/>
          <w:bCs/>
          <w:sz w:val="21"/>
          <w:szCs w:val="21"/>
        </w:rPr>
        <w:t>（1）符合性审查、商务技术评审结束后，举行开标大会第二阶段会议。首先通过政采云平台公布符合性审查、商务技术评审无效供应商名称及理由；公布经商务技术评审后有效投标供应商的名单，同时公布其商务技术部分得分情况。</w:t>
      </w:r>
    </w:p>
    <w:p>
      <w:pPr>
        <w:pStyle w:val="20"/>
        <w:snapToGrid w:val="0"/>
        <w:spacing w:before="157" w:after="157" w:line="360" w:lineRule="auto"/>
        <w:ind w:firstLine="420" w:firstLineChars="200"/>
        <w:outlineLvl w:val="1"/>
        <w:rPr>
          <w:rFonts w:hAnsi="宋体" w:cs="宋体"/>
          <w:bCs/>
          <w:sz w:val="21"/>
          <w:szCs w:val="21"/>
        </w:rPr>
      </w:pPr>
      <w:r>
        <w:rPr>
          <w:rFonts w:hint="eastAsia" w:hAnsi="宋体" w:cs="宋体"/>
          <w:bCs/>
          <w:sz w:val="21"/>
          <w:szCs w:val="21"/>
        </w:rPr>
        <w:t>（2）开启符合性审查、商务技术评审有效投标供应商的《报价文件》，通过政采云平台公布开标一览表有关内容，同时当场制作开标记录表，供应商通过政采云平台在线签字确认（不予确认的应说明理由，否则视为无异议）。唱标结束后，由评标委员会对报价的合理性、准确性等进行审查核实。</w:t>
      </w:r>
    </w:p>
    <w:p>
      <w:pPr>
        <w:pStyle w:val="20"/>
        <w:snapToGrid w:val="0"/>
        <w:spacing w:before="157" w:after="157" w:line="360" w:lineRule="auto"/>
        <w:ind w:firstLine="420" w:firstLineChars="200"/>
        <w:outlineLvl w:val="1"/>
        <w:rPr>
          <w:rFonts w:hAnsi="宋体" w:cs="宋体"/>
          <w:bCs/>
          <w:sz w:val="21"/>
          <w:szCs w:val="21"/>
        </w:rPr>
      </w:pPr>
      <w:r>
        <w:rPr>
          <w:rFonts w:hint="eastAsia" w:hAnsi="宋体" w:cs="宋体"/>
          <w:bCs/>
          <w:sz w:val="21"/>
          <w:szCs w:val="21"/>
        </w:rPr>
        <w:t>（3）评审结束后，通过政采云平台公布中标（成交）候选供应商名单，及采购人最终确定中标或成交供应商名单的时间和公告方式等。</w:t>
      </w:r>
    </w:p>
    <w:p>
      <w:pPr>
        <w:pStyle w:val="20"/>
        <w:snapToGrid w:val="0"/>
        <w:spacing w:before="157" w:after="157" w:line="360" w:lineRule="auto"/>
        <w:ind w:firstLine="422" w:firstLineChars="200"/>
        <w:outlineLvl w:val="1"/>
        <w:rPr>
          <w:rFonts w:hAnsi="宋体" w:cs="宋体"/>
          <w:b/>
          <w:sz w:val="21"/>
          <w:szCs w:val="21"/>
        </w:rPr>
      </w:pPr>
      <w:r>
        <w:rPr>
          <w:rFonts w:hint="eastAsia" w:hAnsi="宋体" w:cs="宋体"/>
          <w:b/>
          <w:sz w:val="21"/>
          <w:szCs w:val="21"/>
        </w:rPr>
        <w:t>特别说明：如遇“政府采购云平台”电子化开标或评审程序调整的，按调整后程序执行。</w:t>
      </w:r>
    </w:p>
    <w:p>
      <w:pPr>
        <w:pStyle w:val="20"/>
        <w:snapToGrid w:val="0"/>
        <w:spacing w:before="157" w:after="157" w:line="360" w:lineRule="auto"/>
        <w:outlineLvl w:val="1"/>
        <w:rPr>
          <w:rFonts w:hAnsi="宋体" w:cs="宋体"/>
          <w:b/>
          <w:sz w:val="21"/>
          <w:szCs w:val="21"/>
        </w:rPr>
      </w:pPr>
      <w:bookmarkStart w:id="19" w:name="_Toc33194393"/>
      <w:bookmarkStart w:id="20" w:name="_Toc24550037"/>
      <w:r>
        <w:rPr>
          <w:rFonts w:hint="eastAsia" w:hAnsi="宋体" w:cs="宋体"/>
          <w:b/>
          <w:sz w:val="21"/>
          <w:szCs w:val="21"/>
        </w:rPr>
        <w:t>（四）投标供应商资格审查</w:t>
      </w:r>
      <w:bookmarkEnd w:id="19"/>
      <w:bookmarkEnd w:id="20"/>
    </w:p>
    <w:p>
      <w:pPr>
        <w:pStyle w:val="20"/>
        <w:snapToGrid w:val="0"/>
        <w:spacing w:before="157" w:after="157" w:line="360" w:lineRule="auto"/>
        <w:ind w:firstLine="420" w:firstLineChars="200"/>
        <w:outlineLvl w:val="1"/>
        <w:rPr>
          <w:rFonts w:hAnsi="宋体" w:cs="宋体"/>
          <w:bCs/>
          <w:sz w:val="21"/>
          <w:szCs w:val="21"/>
        </w:rPr>
      </w:pPr>
      <w:r>
        <w:rPr>
          <w:rFonts w:hint="eastAsia" w:hAnsi="宋体" w:cs="宋体"/>
          <w:bCs/>
          <w:sz w:val="21"/>
          <w:szCs w:val="21"/>
        </w:rPr>
        <w:t>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pStyle w:val="20"/>
        <w:snapToGrid w:val="0"/>
        <w:spacing w:before="157" w:after="157" w:line="360" w:lineRule="auto"/>
        <w:ind w:firstLine="420" w:firstLineChars="200"/>
        <w:outlineLvl w:val="1"/>
        <w:rPr>
          <w:rFonts w:hAnsi="宋体" w:cs="宋体"/>
          <w:bCs/>
          <w:sz w:val="21"/>
          <w:szCs w:val="21"/>
        </w:rPr>
      </w:pPr>
      <w:r>
        <w:rPr>
          <w:rFonts w:hint="eastAsia" w:hAnsi="宋体" w:cs="宋体"/>
          <w:bCs/>
          <w:sz w:val="21"/>
          <w:szCs w:val="21"/>
        </w:rPr>
        <w:t>2、投标供应商提交的资格证明材料无法证明其符合招标文件规定的“投标供应商资格要求”的，采购人或采购代理机构将对其作资格审查不通过处理（无效投标），并不再将其投标提交评标委员会进行后续评审。</w:t>
      </w:r>
    </w:p>
    <w:p>
      <w:pPr>
        <w:pStyle w:val="20"/>
        <w:snapToGrid w:val="0"/>
        <w:spacing w:before="157" w:after="157" w:line="360" w:lineRule="auto"/>
        <w:ind w:firstLine="420" w:firstLineChars="200"/>
        <w:outlineLvl w:val="1"/>
        <w:rPr>
          <w:rFonts w:hAnsi="宋体" w:cs="宋体"/>
          <w:bCs/>
          <w:sz w:val="21"/>
          <w:szCs w:val="21"/>
        </w:rPr>
      </w:pPr>
      <w:r>
        <w:rPr>
          <w:rFonts w:hint="eastAsia" w:hAnsi="宋体" w:cs="宋体"/>
          <w:bCs/>
          <w:sz w:val="21"/>
          <w:szCs w:val="21"/>
        </w:rPr>
        <w:t>3、单位负责人为同一人或者存在直接控股、管理关系的不同供应商参加同一合同项下的政府采购活动的，相关投标供应商均作资格无效处理。</w:t>
      </w:r>
    </w:p>
    <w:p>
      <w:pPr>
        <w:pStyle w:val="20"/>
        <w:snapToGrid w:val="0"/>
        <w:spacing w:before="157" w:after="157" w:line="360" w:lineRule="auto"/>
        <w:outlineLvl w:val="1"/>
        <w:rPr>
          <w:rFonts w:hAnsi="宋体" w:cs="宋体"/>
          <w:b/>
          <w:sz w:val="21"/>
          <w:szCs w:val="21"/>
        </w:rPr>
      </w:pPr>
      <w:r>
        <w:rPr>
          <w:rFonts w:hint="eastAsia" w:hAnsi="宋体" w:cs="宋体"/>
          <w:b/>
          <w:sz w:val="21"/>
          <w:szCs w:val="21"/>
        </w:rPr>
        <w:t>五、评标</w:t>
      </w:r>
      <w:bookmarkEnd w:id="16"/>
      <w:bookmarkEnd w:id="17"/>
      <w:bookmarkEnd w:id="18"/>
    </w:p>
    <w:p>
      <w:pPr>
        <w:pStyle w:val="20"/>
        <w:snapToGrid w:val="0"/>
        <w:spacing w:before="157" w:after="157" w:line="360" w:lineRule="auto"/>
        <w:outlineLvl w:val="1"/>
        <w:rPr>
          <w:rFonts w:hAnsi="宋体" w:cs="宋体"/>
          <w:b/>
          <w:sz w:val="21"/>
          <w:szCs w:val="21"/>
        </w:rPr>
      </w:pPr>
      <w:bookmarkStart w:id="21" w:name="_Toc448411054"/>
      <w:bookmarkStart w:id="22" w:name="_Toc482808165"/>
      <w:bookmarkStart w:id="23" w:name="_Toc482791898"/>
      <w:r>
        <w:rPr>
          <w:rFonts w:hint="eastAsia" w:hAnsi="宋体" w:cs="宋体"/>
          <w:b/>
          <w:sz w:val="21"/>
          <w:szCs w:val="21"/>
        </w:rPr>
        <w:t>（一）组建评标委员会</w:t>
      </w:r>
      <w:bookmarkEnd w:id="21"/>
      <w:bookmarkEnd w:id="22"/>
      <w:bookmarkEnd w:id="23"/>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本项目评标委员会由采购代理机构按《中华人民共和国政府采购法》相关要求，在浙江省政府采购评审专家库中随机抽取，成员由5人（含）以上奇数组成，其中技术、经济等方面的专家不得少于成员总数的三分之二。</w:t>
      </w:r>
    </w:p>
    <w:p>
      <w:pPr>
        <w:pStyle w:val="20"/>
        <w:snapToGrid w:val="0"/>
        <w:spacing w:before="157" w:after="157" w:line="360" w:lineRule="auto"/>
        <w:outlineLvl w:val="1"/>
        <w:rPr>
          <w:rFonts w:hAnsi="宋体" w:cs="宋体"/>
          <w:b/>
          <w:sz w:val="21"/>
          <w:szCs w:val="21"/>
        </w:rPr>
      </w:pPr>
      <w:bookmarkStart w:id="24" w:name="_Toc482808166"/>
      <w:bookmarkStart w:id="25" w:name="_Toc448411055"/>
      <w:bookmarkStart w:id="26" w:name="_Toc482791899"/>
      <w:r>
        <w:rPr>
          <w:rFonts w:hint="eastAsia" w:hAnsi="宋体" w:cs="宋体"/>
          <w:b/>
          <w:sz w:val="21"/>
          <w:szCs w:val="21"/>
        </w:rPr>
        <w:t>（二）评标程序</w:t>
      </w:r>
      <w:bookmarkEnd w:id="24"/>
      <w:bookmarkEnd w:id="25"/>
      <w:bookmarkEnd w:id="26"/>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1、现场工作人员核验出席评审活动现场的评标委员会各成员和相关监督人员身份，并要求其分别登记、签到，按规定统一收缴、保存其通讯工具，无关人员一律拒绝其进入评审现场。</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2、主持人介绍评审现场的人员情况，宣布评审工作纪律，告知评审人员应当回避情形；组织推选评标委员会组长。</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3、主持人通报报名参加本项目采购的供应商名单，宣读最终提交采购响应文件的供应商名单，组织评审小组各位成员签订《政府采购评审人员廉洁自律承诺书》。</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4、主持人根据需要简要介绍采购文件（含补充文件）制定及质疑答复情况、按书面陈述项目基本情况及评审工作需注意事项等，让评标委员会尽快知悉和了解所评审项目的采购需求、评审依据、评审标准、工作程序等；提醒评标委员会对客观评审项目应统一评审依据和评审标准，对主观评审项目应确定大致的评审要求和评审尺度；将按规定可由采购组织机构编制发售的非招标采购文件提请评标委员会予以确认；对评审人员提出的有关采购文件、采购响应文件的问题进行必要的说明、解释或讨论。</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5、评标委员会组长组织评审人员独立评审。评审小组对拟认定为采购响应文件无效、供应商资格不符合的，应组织相关供应商代表进行陈述、澄清或申辩；采购组织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6、现场工作人员做好评审现场相关记录，协助评标委员会组长做好评审报告起草、有关内容电脑文字录入等工作，并要求评标委员会各成员签字确认。</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7、评审结束后，采购组织机构应对评标委员会各成员的专业水平、职业道德、遵纪守法等情况进行评价；同时按规定向评审人员发放评审费，并交还评审人员及其他现场相关人员的通讯工具。</w:t>
      </w:r>
    </w:p>
    <w:p>
      <w:pPr>
        <w:pStyle w:val="20"/>
        <w:snapToGrid w:val="0"/>
        <w:spacing w:beforeLines="0" w:afterLines="0" w:line="360" w:lineRule="auto"/>
        <w:ind w:firstLine="422" w:firstLineChars="200"/>
        <w:rPr>
          <w:rFonts w:hAnsi="宋体" w:cs="宋体"/>
          <w:sz w:val="21"/>
          <w:szCs w:val="21"/>
        </w:rPr>
      </w:pPr>
      <w:r>
        <w:rPr>
          <w:rFonts w:hint="eastAsia" w:hAnsi="宋体" w:cs="宋体"/>
          <w:b/>
          <w:sz w:val="21"/>
          <w:szCs w:val="21"/>
        </w:rPr>
        <w:t>8、</w:t>
      </w:r>
      <w:r>
        <w:rPr>
          <w:rFonts w:hint="eastAsia" w:hAnsi="宋体" w:cs="宋体"/>
          <w:sz w:val="21"/>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pPr>
        <w:pStyle w:val="20"/>
        <w:snapToGrid w:val="0"/>
        <w:spacing w:beforeLines="0" w:afterLines="0" w:line="360" w:lineRule="auto"/>
        <w:rPr>
          <w:rFonts w:hAnsi="宋体" w:cs="宋体"/>
          <w:b/>
          <w:sz w:val="21"/>
          <w:szCs w:val="21"/>
        </w:rPr>
      </w:pPr>
      <w:r>
        <w:rPr>
          <w:rFonts w:hint="eastAsia" w:hAnsi="宋体" w:cs="宋体"/>
          <w:b/>
          <w:sz w:val="21"/>
          <w:szCs w:val="21"/>
        </w:rPr>
        <w:t>（三）投标文件的澄清、说明或补正</w:t>
      </w:r>
    </w:p>
    <w:p>
      <w:pPr>
        <w:pStyle w:val="20"/>
        <w:snapToGrid w:val="0"/>
        <w:spacing w:beforeLines="0" w:afterLines="0" w:line="360" w:lineRule="auto"/>
        <w:ind w:firstLine="420" w:firstLineChars="200"/>
        <w:rPr>
          <w:rFonts w:hAnsi="宋体" w:cs="宋体"/>
          <w:bCs/>
          <w:sz w:val="21"/>
          <w:szCs w:val="21"/>
        </w:rPr>
      </w:pPr>
      <w:r>
        <w:rPr>
          <w:rFonts w:hint="eastAsia" w:hAnsi="宋体" w:cs="宋体"/>
          <w:bCs/>
          <w:sz w:val="21"/>
          <w:szCs w:val="21"/>
        </w:rPr>
        <w:t>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pPr>
        <w:pStyle w:val="20"/>
        <w:snapToGrid w:val="0"/>
        <w:spacing w:beforeLines="0" w:afterLines="0" w:line="360" w:lineRule="auto"/>
        <w:ind w:firstLine="420" w:firstLineChars="200"/>
        <w:rPr>
          <w:rFonts w:hAnsi="宋体" w:cs="宋体"/>
          <w:b/>
          <w:sz w:val="21"/>
          <w:szCs w:val="21"/>
        </w:rPr>
      </w:pPr>
      <w:r>
        <w:rPr>
          <w:rFonts w:hint="eastAsia" w:hAnsi="宋体" w:cs="宋体"/>
          <w:bCs/>
          <w:sz w:val="21"/>
          <w:szCs w:val="21"/>
        </w:rPr>
        <w:t>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pPr>
        <w:pStyle w:val="20"/>
        <w:snapToGrid w:val="0"/>
        <w:spacing w:beforeLines="0" w:afterLines="0" w:line="360" w:lineRule="auto"/>
        <w:outlineLvl w:val="1"/>
        <w:rPr>
          <w:rFonts w:hAnsi="宋体" w:cs="宋体"/>
          <w:b/>
          <w:sz w:val="21"/>
          <w:szCs w:val="21"/>
        </w:rPr>
      </w:pPr>
      <w:r>
        <w:rPr>
          <w:rFonts w:hint="eastAsia" w:hAnsi="宋体" w:cs="宋体"/>
          <w:b/>
          <w:sz w:val="21"/>
          <w:szCs w:val="21"/>
        </w:rPr>
        <w:t>（四）错误修正</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投标文件如果出现计算或表达上的错误，修正错误的原则如下：</w:t>
      </w:r>
    </w:p>
    <w:p>
      <w:pPr>
        <w:snapToGrid w:val="0"/>
        <w:spacing w:line="360" w:lineRule="auto"/>
        <w:ind w:firstLine="420" w:firstLineChars="200"/>
        <w:rPr>
          <w:rFonts w:ascii="宋体" w:hAnsi="宋体" w:cs="宋体"/>
          <w:szCs w:val="21"/>
        </w:rPr>
      </w:pPr>
      <w:r>
        <w:rPr>
          <w:rFonts w:hint="eastAsia" w:ascii="宋体" w:hAnsi="宋体" w:cs="宋体"/>
          <w:szCs w:val="21"/>
        </w:rPr>
        <w:t>1、开标一览表总价与投标报价明细表汇总数不一致的，以开标一览表为准；</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2、投标文件的大写金额和小写金额不一致的，以大写金额为准；</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3、总价金额与按单价汇总金额不一致的，以单价金额计算结果为准；</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4、对不同文字文本投标文件的解释发生异议的，以中文文本为准。</w:t>
      </w:r>
    </w:p>
    <w:p>
      <w:pPr>
        <w:pStyle w:val="20"/>
        <w:snapToGrid w:val="0"/>
        <w:spacing w:beforeLines="0" w:afterLines="0" w:line="360" w:lineRule="auto"/>
        <w:ind w:firstLine="422" w:firstLineChars="200"/>
        <w:rPr>
          <w:rFonts w:hAnsi="宋体" w:cs="宋体"/>
          <w:b/>
          <w:bCs/>
          <w:sz w:val="21"/>
          <w:szCs w:val="21"/>
        </w:rPr>
      </w:pPr>
      <w:r>
        <w:rPr>
          <w:rFonts w:hint="eastAsia" w:hAnsi="宋体" w:cs="宋体"/>
          <w:b/>
          <w:bCs/>
          <w:sz w:val="21"/>
          <w:szCs w:val="21"/>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20"/>
        <w:snapToGrid w:val="0"/>
        <w:spacing w:beforeLines="0" w:afterLines="0" w:line="360" w:lineRule="auto"/>
        <w:rPr>
          <w:rFonts w:hAnsi="宋体" w:cs="宋体"/>
          <w:b/>
          <w:bCs/>
          <w:sz w:val="21"/>
          <w:szCs w:val="21"/>
        </w:rPr>
      </w:pPr>
      <w:r>
        <w:rPr>
          <w:rFonts w:hint="eastAsia" w:hAnsi="宋体" w:cs="宋体"/>
          <w:b/>
          <w:bCs/>
          <w:sz w:val="21"/>
          <w:szCs w:val="21"/>
        </w:rPr>
        <w:t>（五）投标文件有下列情况之一者将视为无效：</w:t>
      </w:r>
    </w:p>
    <w:p>
      <w:pPr>
        <w:pStyle w:val="20"/>
        <w:snapToGrid w:val="0"/>
        <w:spacing w:beforeLines="0" w:afterLines="0" w:line="360" w:lineRule="auto"/>
        <w:ind w:firstLine="422" w:firstLineChars="200"/>
        <w:rPr>
          <w:rFonts w:hAnsi="宋体" w:cs="宋体"/>
          <w:b/>
          <w:bCs/>
          <w:sz w:val="21"/>
          <w:szCs w:val="21"/>
        </w:rPr>
      </w:pPr>
      <w:bookmarkStart w:id="27" w:name="_Hlk33211013"/>
      <w:r>
        <w:rPr>
          <w:rFonts w:hint="eastAsia" w:hAnsi="宋体" w:cs="宋体"/>
          <w:b/>
          <w:bCs/>
          <w:sz w:val="21"/>
          <w:szCs w:val="21"/>
        </w:rPr>
        <w:t>1、商务、技术文件符合性审查中，存在下列情形之一的，经评标委员会认定后作无效标处理：</w:t>
      </w:r>
    </w:p>
    <w:p>
      <w:pPr>
        <w:pStyle w:val="20"/>
        <w:snapToGrid w:val="0"/>
        <w:spacing w:beforeLines="0" w:afterLines="0" w:line="360" w:lineRule="auto"/>
        <w:ind w:firstLine="420" w:firstLineChars="200"/>
        <w:rPr>
          <w:rFonts w:hAnsi="宋体" w:cs="宋体"/>
          <w:sz w:val="21"/>
          <w:szCs w:val="21"/>
        </w:rPr>
      </w:pPr>
      <w:bookmarkStart w:id="28" w:name="_Toc33194396"/>
      <w:r>
        <w:rPr>
          <w:rFonts w:hint="eastAsia" w:hAnsi="宋体" w:cs="宋体"/>
          <w:sz w:val="21"/>
          <w:szCs w:val="21"/>
        </w:rPr>
        <w:t>（1）投标文件未有效授权，法定代表人授权委托书等填写不完整或有涂改的；</w:t>
      </w:r>
      <w:bookmarkEnd w:id="28"/>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（2）投标文件没有对本招标文件作出实质性响应的，或不满足（不响应）本招标文件中标注“▲”的实质性要求条款的，或存在招标文件中明确规定的其他无效标情形的；</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（3）投标文件存在一个或一个以上备选（替代）投标方案的；</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（4）仅提交“备份投标文件”的；</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（5）文件组成内容不齐全，本招标文件规定必须提供而未提供的（属于资格审查范围的除外）；</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（6）投标文件标注的响应或偏离情况与事实不符，或提供了虚假材料的；</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（7）不响应或擅自改变本招标文件要求或投标文件有采购人不能接受的附加条件的；</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（8）参加同一合同项下政府采购活动的不同供应商之间存在利害关系并且存在影响政府采购公平竞争行为的；</w:t>
      </w:r>
    </w:p>
    <w:p>
      <w:pPr>
        <w:pStyle w:val="20"/>
        <w:snapToGrid w:val="0"/>
        <w:spacing w:beforeLines="0" w:afterLines="0" w:line="360" w:lineRule="auto"/>
        <w:ind w:firstLine="420" w:firstLineChars="200"/>
        <w:rPr>
          <w:rFonts w:hAnsi="宋体" w:cs="宋体"/>
          <w:sz w:val="21"/>
          <w:szCs w:val="21"/>
        </w:rPr>
      </w:pPr>
      <w:bookmarkStart w:id="29" w:name="_Toc33194397"/>
      <w:r>
        <w:rPr>
          <w:rFonts w:hint="eastAsia" w:hAnsi="宋体" w:cs="宋体"/>
          <w:sz w:val="21"/>
          <w:szCs w:val="21"/>
        </w:rPr>
        <w:t>（9）招标人拟采购的产品如属于品目清单范围内的强制采购品目的，投标人未</w:t>
      </w:r>
      <w:bookmarkEnd w:id="29"/>
      <w:bookmarkStart w:id="30" w:name="_Toc33194398"/>
      <w:r>
        <w:rPr>
          <w:rFonts w:hint="eastAsia" w:hAnsi="宋体" w:cs="宋体"/>
          <w:sz w:val="21"/>
          <w:szCs w:val="21"/>
        </w:rPr>
        <w:t>能在响应文件中提供国家确定的认证机构出具的、处于有效期之内的该产品节能产品、环境标志产品认证证书；</w:t>
      </w:r>
      <w:bookmarkEnd w:id="30"/>
    </w:p>
    <w:bookmarkEnd w:id="27"/>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（10）投标文件未按采购文件要求签字、盖章的；</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（11）违反国家或政府部门相关法律、法规、文件规定的。</w:t>
      </w:r>
    </w:p>
    <w:p>
      <w:pPr>
        <w:pStyle w:val="20"/>
        <w:snapToGrid w:val="0"/>
        <w:spacing w:beforeLines="0" w:afterLines="0" w:line="360" w:lineRule="auto"/>
        <w:ind w:firstLine="422" w:firstLineChars="200"/>
        <w:rPr>
          <w:rFonts w:hAnsi="宋体" w:cs="宋体"/>
          <w:b/>
          <w:bCs/>
          <w:sz w:val="21"/>
          <w:szCs w:val="21"/>
        </w:rPr>
      </w:pPr>
      <w:r>
        <w:rPr>
          <w:rFonts w:hint="eastAsia" w:hAnsi="宋体" w:cs="宋体"/>
          <w:b/>
          <w:bCs/>
          <w:sz w:val="21"/>
          <w:szCs w:val="21"/>
        </w:rPr>
        <w:t>2、报价文件符合性审查中，存在下列情形之一的，经评标委员会认定后作无效标处理：</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（1）投标文件没有对本招标文件作出实质性响应的，或不满足（不响应）本招标文件中标注“▲”的实质性要求条款的，或存在招标文件中明确规定的其他无效标情形的；</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（2）投标文件存在一个或一个以上备选（替代）投标方案的；</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（3）未按照招标文件标明的币种报价的，或者投标报价涵盖的内容不符合招标文件要求的；</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（4）《开标一览表》内容与《投标报价明细表》内容不一致且拒不接受修正的；</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（5）投标报价具有选择性，唱标价格与《投标文件》承诺的优惠（折扣）后价格不一致的；</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（6）投标报价超过采购预算（或最高限价）的；</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（7）仅提交“备份投标文件”的；</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（8）投标文件组成内容不齐全，本招标文件规定必须提供而未提供的（属于资格审查范围的除外）；</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（9）投标文件标注的响应或偏离情况与事实不符，或提供了虚假材料的；</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（10）不响应或擅自改变本招标文件要求或投标文件有采购人不能接受的附加条件的；</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11）评审委员会认为供应商报价明显低于其他合格供应商的报价，有可能影响产品质量或者不能诚信履约的，应当要求其在合理时间内提供书面说明，必要时提供相关证明材料；投标人不能证明其报价合理性的，评审委员会应当将其作为无效投标或者无效响应处理；</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（12）投标文件未按采购文件要求签字、盖章的；</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（13）违反国家或政府部门相关法律、法规、文件规定的。</w:t>
      </w:r>
    </w:p>
    <w:p>
      <w:pPr>
        <w:pStyle w:val="78"/>
        <w:spacing w:line="360" w:lineRule="auto"/>
        <w:rPr>
          <w:rFonts w:cs="宋体"/>
          <w:b/>
          <w:bCs/>
          <w:sz w:val="21"/>
          <w:szCs w:val="21"/>
        </w:rPr>
      </w:pPr>
      <w:r>
        <w:rPr>
          <w:rFonts w:hint="eastAsia" w:cs="宋体"/>
          <w:b/>
          <w:sz w:val="21"/>
          <w:szCs w:val="21"/>
        </w:rPr>
        <w:t>（</w:t>
      </w:r>
      <w:r>
        <w:rPr>
          <w:rFonts w:hint="eastAsia" w:cs="宋体"/>
          <w:b/>
          <w:sz w:val="21"/>
          <w:szCs w:val="21"/>
          <w:lang w:val="en-US"/>
        </w:rPr>
        <w:t>六</w:t>
      </w:r>
      <w:r>
        <w:rPr>
          <w:rFonts w:hint="eastAsia" w:cs="宋体"/>
          <w:b/>
          <w:sz w:val="21"/>
          <w:szCs w:val="21"/>
        </w:rPr>
        <w:t>）</w:t>
      </w:r>
      <w:r>
        <w:rPr>
          <w:rFonts w:hint="eastAsia" w:cs="宋体"/>
          <w:b/>
          <w:bCs/>
          <w:sz w:val="21"/>
          <w:szCs w:val="21"/>
        </w:rPr>
        <w:t>废标</w:t>
      </w:r>
    </w:p>
    <w:p>
      <w:pPr>
        <w:pStyle w:val="78"/>
        <w:spacing w:line="360" w:lineRule="auto"/>
        <w:ind w:firstLine="480"/>
        <w:rPr>
          <w:rFonts w:cs="宋体"/>
          <w:sz w:val="21"/>
          <w:szCs w:val="21"/>
        </w:rPr>
      </w:pPr>
      <w:r>
        <w:rPr>
          <w:rFonts w:hint="eastAsia" w:cs="宋体"/>
          <w:sz w:val="21"/>
          <w:szCs w:val="21"/>
        </w:rPr>
        <w:t>根据《中华人民共和国政府采购法》第三十六条之规定，在采购中，出现下列情形之一的，应予废标：</w:t>
      </w:r>
    </w:p>
    <w:p>
      <w:pPr>
        <w:pStyle w:val="78"/>
        <w:spacing w:line="360" w:lineRule="auto"/>
        <w:ind w:firstLine="480"/>
        <w:rPr>
          <w:rFonts w:cs="宋体"/>
          <w:sz w:val="21"/>
          <w:szCs w:val="21"/>
        </w:rPr>
      </w:pPr>
      <w:r>
        <w:rPr>
          <w:rFonts w:hint="eastAsia" w:cs="宋体"/>
          <w:sz w:val="21"/>
          <w:szCs w:val="21"/>
          <w:lang w:val="en-US"/>
        </w:rPr>
        <w:t>1、</w:t>
      </w:r>
      <w:r>
        <w:rPr>
          <w:rFonts w:hint="eastAsia" w:cs="宋体"/>
          <w:sz w:val="21"/>
          <w:szCs w:val="21"/>
        </w:rPr>
        <w:t>符合专业条件的供应商或者对招标文件作实质响应的供应商不足3家的；</w:t>
      </w:r>
    </w:p>
    <w:p>
      <w:pPr>
        <w:pStyle w:val="78"/>
        <w:spacing w:line="360" w:lineRule="auto"/>
        <w:ind w:firstLine="480"/>
        <w:rPr>
          <w:rFonts w:cs="宋体"/>
          <w:sz w:val="21"/>
          <w:szCs w:val="21"/>
        </w:rPr>
      </w:pPr>
      <w:r>
        <w:rPr>
          <w:rFonts w:hint="eastAsia" w:cs="宋体"/>
          <w:sz w:val="21"/>
          <w:szCs w:val="21"/>
          <w:lang w:val="en-US"/>
        </w:rPr>
        <w:t>2、</w:t>
      </w:r>
      <w:r>
        <w:rPr>
          <w:rFonts w:hint="eastAsia" w:cs="宋体"/>
          <w:sz w:val="21"/>
          <w:szCs w:val="21"/>
        </w:rPr>
        <w:t>出现影响采购公正的违法、违规行为的；</w:t>
      </w:r>
    </w:p>
    <w:p>
      <w:pPr>
        <w:pStyle w:val="78"/>
        <w:spacing w:line="360" w:lineRule="auto"/>
        <w:ind w:firstLine="480"/>
        <w:rPr>
          <w:rFonts w:cs="宋体"/>
          <w:sz w:val="21"/>
          <w:szCs w:val="21"/>
        </w:rPr>
      </w:pPr>
      <w:r>
        <w:rPr>
          <w:rFonts w:hint="eastAsia" w:cs="宋体"/>
          <w:sz w:val="21"/>
          <w:szCs w:val="21"/>
          <w:lang w:val="en-US"/>
        </w:rPr>
        <w:t>3、</w:t>
      </w:r>
      <w:r>
        <w:rPr>
          <w:rFonts w:hint="eastAsia" w:cs="宋体"/>
          <w:sz w:val="21"/>
          <w:szCs w:val="21"/>
        </w:rPr>
        <w:t>投标人的报价均超过了采购预算，采购人不能支付的；</w:t>
      </w:r>
    </w:p>
    <w:p>
      <w:pPr>
        <w:pStyle w:val="78"/>
        <w:spacing w:line="360" w:lineRule="auto"/>
        <w:ind w:firstLine="480"/>
        <w:rPr>
          <w:rFonts w:cs="宋体"/>
          <w:sz w:val="21"/>
          <w:szCs w:val="21"/>
        </w:rPr>
      </w:pPr>
      <w:r>
        <w:rPr>
          <w:rFonts w:hint="eastAsia" w:cs="宋体"/>
          <w:sz w:val="21"/>
          <w:szCs w:val="21"/>
          <w:lang w:val="en-US"/>
        </w:rPr>
        <w:t>4、</w:t>
      </w:r>
      <w:r>
        <w:rPr>
          <w:rFonts w:hint="eastAsia" w:cs="宋体"/>
          <w:sz w:val="21"/>
          <w:szCs w:val="21"/>
        </w:rPr>
        <w:t>因重大变故，采购任务取消的。</w:t>
      </w:r>
    </w:p>
    <w:p>
      <w:pPr>
        <w:pStyle w:val="78"/>
        <w:snapToGrid w:val="0"/>
        <w:spacing w:line="360" w:lineRule="auto"/>
        <w:ind w:firstLine="420" w:firstLineChars="200"/>
        <w:rPr>
          <w:rFonts w:cs="宋体"/>
          <w:b/>
          <w:bCs/>
          <w:sz w:val="21"/>
          <w:szCs w:val="21"/>
        </w:rPr>
      </w:pPr>
      <w:r>
        <w:rPr>
          <w:rFonts w:hint="eastAsia" w:cs="宋体"/>
          <w:sz w:val="21"/>
          <w:szCs w:val="21"/>
        </w:rPr>
        <w:t>废标后，采购机构应当将废标理由通知所有投标人。</w:t>
      </w:r>
    </w:p>
    <w:p>
      <w:pPr>
        <w:pStyle w:val="20"/>
        <w:snapToGrid w:val="0"/>
        <w:spacing w:beforeLines="0" w:afterLines="0" w:line="360" w:lineRule="auto"/>
        <w:rPr>
          <w:rFonts w:hAnsi="宋体" w:cs="宋体"/>
          <w:b/>
          <w:bCs/>
          <w:sz w:val="21"/>
          <w:szCs w:val="21"/>
        </w:rPr>
      </w:pPr>
      <w:r>
        <w:rPr>
          <w:rFonts w:hint="eastAsia" w:hAnsi="宋体" w:cs="宋体"/>
          <w:b/>
          <w:bCs/>
          <w:sz w:val="21"/>
          <w:szCs w:val="21"/>
        </w:rPr>
        <w:t>（七）修改评审结果</w:t>
      </w:r>
    </w:p>
    <w:p>
      <w:pPr>
        <w:pStyle w:val="20"/>
        <w:snapToGrid w:val="0"/>
        <w:spacing w:beforeLines="0" w:afterLines="0" w:line="360" w:lineRule="auto"/>
        <w:ind w:firstLine="422" w:firstLineChars="200"/>
        <w:rPr>
          <w:rFonts w:hAnsi="宋体" w:cs="宋体"/>
          <w:b/>
          <w:bCs/>
          <w:sz w:val="21"/>
          <w:szCs w:val="21"/>
        </w:rPr>
      </w:pPr>
      <w:r>
        <w:rPr>
          <w:rFonts w:hint="eastAsia" w:hAnsi="宋体" w:cs="宋体"/>
          <w:b/>
          <w:bCs/>
          <w:sz w:val="21"/>
          <w:szCs w:val="21"/>
        </w:rPr>
        <w:t>1、评标结果汇总完成后，除下列情形外，任何人不得修改评标结果：</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（1）分值汇总计算错误的；</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（2）分项评分超出评分标准范围的；</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（3）评标委员会成员对客观评审因素评分不一致的；</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（4）经评标委员会认定评分畸高、畸低的。</w:t>
      </w:r>
    </w:p>
    <w:p>
      <w:pPr>
        <w:pStyle w:val="20"/>
        <w:snapToGrid w:val="0"/>
        <w:spacing w:beforeLines="0" w:afterLines="0" w:line="360" w:lineRule="auto"/>
        <w:ind w:firstLine="422" w:firstLineChars="200"/>
        <w:rPr>
          <w:rFonts w:hAnsi="宋体" w:cs="宋体"/>
          <w:b/>
          <w:bCs/>
          <w:sz w:val="21"/>
          <w:szCs w:val="21"/>
        </w:rPr>
      </w:pPr>
      <w:r>
        <w:rPr>
          <w:rFonts w:hint="eastAsia" w:hAnsi="宋体" w:cs="宋体"/>
          <w:b/>
          <w:bCs/>
          <w:sz w:val="21"/>
          <w:szCs w:val="21"/>
        </w:rPr>
        <w:t>2、评标报告签署前，经复核发现存在以上情形之一的，评标委员会将当场修改评标结果，并在评标报告中记载。</w:t>
      </w:r>
    </w:p>
    <w:p>
      <w:pPr>
        <w:pStyle w:val="20"/>
        <w:snapToGrid w:val="0"/>
        <w:spacing w:beforeLines="0" w:afterLines="0" w:line="360" w:lineRule="auto"/>
        <w:rPr>
          <w:rFonts w:hAnsi="宋体" w:cs="宋体"/>
          <w:b/>
          <w:bCs/>
          <w:sz w:val="21"/>
          <w:szCs w:val="21"/>
        </w:rPr>
      </w:pPr>
      <w:r>
        <w:rPr>
          <w:rFonts w:hint="eastAsia" w:hAnsi="宋体" w:cs="宋体"/>
          <w:b/>
          <w:bCs/>
          <w:sz w:val="21"/>
          <w:szCs w:val="21"/>
        </w:rPr>
        <w:t>（八）供应商排序及推荐中标（成交）候选供应商</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评标委员会根据以下规定确定供应商排名并推荐中标（成交）候选供应商。</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评标委员会根据各投标供应商的综合得分（商务技术分与报价得分之和）从高到低依次进行排名排序。特殊情形按以下原则处理：</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（1）综合得分相同的，按投标报价低的优先原则确定排名；</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（2）综合得分和投标报价均相同的，按技术资信得分从高到低确定排名；</w:t>
      </w:r>
    </w:p>
    <w:p>
      <w:pPr>
        <w:pStyle w:val="20"/>
        <w:snapToGrid w:val="0"/>
        <w:spacing w:beforeLines="0" w:afterLines="0" w:line="360" w:lineRule="auto"/>
        <w:ind w:firstLine="420" w:firstLineChars="200"/>
        <w:rPr>
          <w:rFonts w:hAnsi="宋体" w:cs="宋体"/>
          <w:sz w:val="21"/>
          <w:szCs w:val="21"/>
        </w:rPr>
      </w:pPr>
      <w:r>
        <w:rPr>
          <w:rFonts w:hint="eastAsia" w:hAnsi="宋体" w:cs="宋体"/>
          <w:sz w:val="21"/>
          <w:szCs w:val="21"/>
        </w:rPr>
        <w:t>（3）综合得分、投标报价和技术资信得分均相同的由评标委员会全体成员记名投票按少数服从多数的原则确定排名。</w:t>
      </w:r>
    </w:p>
    <w:p>
      <w:pPr>
        <w:pStyle w:val="20"/>
        <w:snapToGrid w:val="0"/>
        <w:spacing w:before="157" w:after="157" w:line="360" w:lineRule="auto"/>
        <w:outlineLvl w:val="1"/>
        <w:rPr>
          <w:rFonts w:hAnsi="宋体" w:cs="宋体"/>
          <w:b/>
          <w:sz w:val="21"/>
          <w:szCs w:val="21"/>
        </w:rPr>
      </w:pPr>
      <w:bookmarkStart w:id="31" w:name="_Toc448411056"/>
      <w:bookmarkStart w:id="32" w:name="_Toc482808167"/>
      <w:bookmarkStart w:id="33" w:name="_Toc372790142"/>
      <w:r>
        <w:rPr>
          <w:rFonts w:hint="eastAsia" w:hAnsi="宋体" w:cs="宋体"/>
          <w:b/>
          <w:sz w:val="21"/>
          <w:szCs w:val="21"/>
        </w:rPr>
        <w:t>六、定标</w:t>
      </w:r>
      <w:bookmarkEnd w:id="31"/>
      <w:bookmarkEnd w:id="32"/>
      <w:bookmarkEnd w:id="33"/>
    </w:p>
    <w:p>
      <w:pPr>
        <w:pStyle w:val="20"/>
        <w:snapToGrid w:val="0"/>
        <w:spacing w:beforeLines="0" w:afterLines="0" w:line="360" w:lineRule="auto"/>
        <w:ind w:firstLine="411" w:firstLineChars="196"/>
        <w:rPr>
          <w:rFonts w:hAnsi="宋体" w:cs="宋体"/>
          <w:sz w:val="21"/>
          <w:szCs w:val="21"/>
        </w:rPr>
      </w:pPr>
      <w:r>
        <w:rPr>
          <w:rFonts w:hint="eastAsia" w:hAnsi="宋体" w:cs="宋体"/>
          <w:sz w:val="21"/>
          <w:szCs w:val="21"/>
        </w:rPr>
        <w:t>1、本项目由评标委员会推荐经评审综合得分前两名的供应商为中标候选人，采购结果由采购人代表签字确认。</w:t>
      </w:r>
    </w:p>
    <w:p>
      <w:pPr>
        <w:snapToGrid w:val="0"/>
        <w:spacing w:line="360" w:lineRule="auto"/>
        <w:jc w:val="left"/>
        <w:rPr>
          <w:rFonts w:ascii="宋体" w:hAnsi="宋体" w:cs="宋体"/>
          <w:szCs w:val="21"/>
        </w:rPr>
      </w:pPr>
      <w:r>
        <w:rPr>
          <w:rFonts w:hint="eastAsia" w:ascii="宋体" w:hAnsi="宋体" w:cs="宋体"/>
          <w:szCs w:val="21"/>
        </w:rPr>
        <w:t xml:space="preserve">    2、采购代理机构自评审结束之日起2个工作日内将评审报告送交采购人。采购人自收到评审报告之日起5个工作日内在评审报告推荐的中标候选人中按顺序确定中标供应商。</w:t>
      </w:r>
    </w:p>
    <w:p>
      <w:pPr>
        <w:snapToGrid w:val="0"/>
        <w:spacing w:line="360" w:lineRule="auto"/>
        <w:jc w:val="left"/>
        <w:rPr>
          <w:rFonts w:ascii="宋体" w:hAnsi="宋体" w:cs="宋体"/>
          <w:szCs w:val="21"/>
        </w:rPr>
      </w:pPr>
      <w:r>
        <w:rPr>
          <w:rFonts w:hint="eastAsia" w:ascii="宋体" w:hAnsi="宋体" w:cs="宋体"/>
          <w:szCs w:val="21"/>
        </w:rPr>
        <w:t xml:space="preserve">    3、采购人或者采购代理机构自中标确定之日起2个工作日内，发出中标通知书，并在浙江政府采购网上公告中标结果。</w:t>
      </w:r>
    </w:p>
    <w:p>
      <w:pPr>
        <w:pStyle w:val="20"/>
        <w:snapToGrid w:val="0"/>
        <w:spacing w:beforeLines="0" w:afterLines="0" w:line="360" w:lineRule="auto"/>
        <w:outlineLvl w:val="1"/>
        <w:rPr>
          <w:rFonts w:hAnsi="宋体" w:cs="宋体"/>
          <w:b/>
          <w:sz w:val="21"/>
          <w:szCs w:val="21"/>
        </w:rPr>
      </w:pPr>
      <w:bookmarkStart w:id="34" w:name="_Toc372790143"/>
      <w:bookmarkStart w:id="35" w:name="_Toc482808168"/>
      <w:bookmarkStart w:id="36" w:name="_Toc448411057"/>
      <w:r>
        <w:rPr>
          <w:rFonts w:hint="eastAsia" w:hAnsi="宋体" w:cs="宋体"/>
          <w:b/>
          <w:sz w:val="21"/>
          <w:szCs w:val="21"/>
        </w:rPr>
        <w:t>七、合同授予</w:t>
      </w:r>
      <w:bookmarkEnd w:id="34"/>
      <w:bookmarkEnd w:id="35"/>
      <w:bookmarkEnd w:id="36"/>
    </w:p>
    <w:p>
      <w:pPr>
        <w:pStyle w:val="20"/>
        <w:spacing w:beforeLines="0" w:afterLines="0" w:line="360" w:lineRule="auto"/>
        <w:outlineLvl w:val="1"/>
        <w:rPr>
          <w:rFonts w:hAnsi="宋体" w:cs="宋体"/>
          <w:b/>
          <w:sz w:val="21"/>
          <w:szCs w:val="21"/>
        </w:rPr>
      </w:pPr>
      <w:bookmarkStart w:id="37" w:name="_Toc482808169"/>
      <w:bookmarkStart w:id="38" w:name="_Toc448411058"/>
      <w:bookmarkStart w:id="39" w:name="_Toc482791902"/>
      <w:r>
        <w:rPr>
          <w:rFonts w:hint="eastAsia" w:hAnsi="宋体" w:cs="宋体"/>
          <w:b/>
          <w:sz w:val="21"/>
          <w:szCs w:val="21"/>
        </w:rPr>
        <w:t>（一）签订合同</w:t>
      </w:r>
      <w:bookmarkEnd w:id="37"/>
      <w:bookmarkEnd w:id="38"/>
      <w:bookmarkEnd w:id="39"/>
    </w:p>
    <w:p>
      <w:pPr>
        <w:snapToGrid w:val="0"/>
        <w:spacing w:line="360" w:lineRule="auto"/>
        <w:ind w:left="-4" w:leftChars="-2" w:firstLine="464" w:firstLineChars="221"/>
        <w:jc w:val="left"/>
        <w:rPr>
          <w:rFonts w:ascii="宋体" w:hAnsi="宋体" w:cs="宋体"/>
          <w:szCs w:val="21"/>
        </w:rPr>
      </w:pPr>
      <w:r>
        <w:rPr>
          <w:rFonts w:hint="eastAsia" w:ascii="宋体" w:hAnsi="宋体" w:cs="宋体"/>
          <w:szCs w:val="21"/>
        </w:rPr>
        <w:t>1、采购人与中标人应当在《中标通知书》发出之日起30日内尽快签订政府采购合同，代理机构作为合同签订的鉴证方。</w:t>
      </w:r>
    </w:p>
    <w:p>
      <w:pPr>
        <w:snapToGrid w:val="0"/>
        <w:spacing w:line="360" w:lineRule="auto"/>
        <w:ind w:left="-4" w:leftChars="-2" w:firstLine="464" w:firstLineChars="221"/>
        <w:jc w:val="left"/>
        <w:rPr>
          <w:rFonts w:ascii="宋体" w:hAnsi="宋体" w:cs="宋体"/>
          <w:szCs w:val="21"/>
        </w:rPr>
      </w:pPr>
      <w:r>
        <w:rPr>
          <w:rFonts w:hint="eastAsia" w:ascii="宋体" w:hAnsi="宋体" w:cs="宋体"/>
          <w:szCs w:val="21"/>
        </w:rPr>
        <w:t>2、中标人拖延、拒签合同的,将被取消中标资格，招标人可以按照评审报告推荐的中标候选人名单排序，确定下一候选人为中标供应商，也可以重新开展政府采购活动。投标人中标后拒绝签订合同的，应对招标人进行赔偿；赔偿金额不足以弥补招标人损失的，投标人应继续承担超过部分的损失。</w:t>
      </w:r>
    </w:p>
    <w:p>
      <w:pPr>
        <w:pStyle w:val="20"/>
        <w:pageBreakBefore/>
        <w:adjustRightInd w:val="0"/>
        <w:snapToGrid w:val="0"/>
        <w:spacing w:before="157" w:after="157" w:line="360" w:lineRule="auto"/>
        <w:jc w:val="center"/>
        <w:outlineLvl w:val="0"/>
        <w:rPr>
          <w:rFonts w:hAnsi="宋体" w:cs="宋体"/>
          <w:b/>
          <w:bCs/>
          <w:sz w:val="32"/>
          <w:szCs w:val="32"/>
        </w:rPr>
      </w:pPr>
      <w:bookmarkStart w:id="40" w:name="_Toc482808172"/>
      <w:r>
        <w:rPr>
          <w:rFonts w:hint="eastAsia" w:hAnsi="宋体" w:cs="宋体"/>
          <w:b/>
          <w:bCs/>
          <w:sz w:val="32"/>
          <w:szCs w:val="32"/>
        </w:rPr>
        <w:t>第三章  评标办法及评分标准</w:t>
      </w:r>
      <w:bookmarkEnd w:id="40"/>
    </w:p>
    <w:p>
      <w:pPr>
        <w:spacing w:before="157" w:beforeLines="50" w:after="157" w:afterLines="50" w:line="360" w:lineRule="auto"/>
        <w:ind w:firstLine="420"/>
        <w:rPr>
          <w:rFonts w:ascii="宋体" w:hAnsi="宋体" w:cs="宋体"/>
          <w:szCs w:val="21"/>
        </w:rPr>
      </w:pPr>
      <w:r>
        <w:rPr>
          <w:rFonts w:hint="eastAsia" w:ascii="宋体" w:hAnsi="宋体" w:cs="宋体"/>
          <w:szCs w:val="21"/>
        </w:rPr>
        <w:t>根据《中华人民共和国政府采购法》、《中华人民共和国政府采购法实施条例》等有关法律法规，结合本项目的实际需求，制定本办法。</w:t>
      </w:r>
    </w:p>
    <w:p>
      <w:pPr>
        <w:spacing w:before="157" w:beforeLines="50" w:after="157" w:afterLines="50" w:line="360" w:lineRule="auto"/>
        <w:ind w:firstLine="413" w:firstLineChars="196"/>
        <w:rPr>
          <w:rFonts w:ascii="宋体" w:hAnsi="宋体" w:cs="宋体"/>
          <w:b/>
          <w:szCs w:val="21"/>
        </w:rPr>
      </w:pPr>
      <w:r>
        <w:rPr>
          <w:rFonts w:hint="eastAsia" w:ascii="宋体" w:hAnsi="宋体" w:cs="宋体"/>
          <w:b/>
          <w:szCs w:val="21"/>
        </w:rPr>
        <w:t>一、总则</w:t>
      </w:r>
    </w:p>
    <w:p>
      <w:pPr>
        <w:spacing w:before="157" w:beforeLines="50" w:after="157" w:afterLines="50" w:line="360" w:lineRule="auto"/>
        <w:ind w:firstLine="420"/>
        <w:rPr>
          <w:rFonts w:ascii="宋体" w:hAnsi="宋体" w:cs="宋体"/>
          <w:szCs w:val="21"/>
        </w:rPr>
      </w:pPr>
      <w:r>
        <w:rPr>
          <w:rFonts w:hint="eastAsia" w:ascii="宋体" w:hAnsi="宋体" w:cs="宋体"/>
          <w:szCs w:val="21"/>
        </w:rPr>
        <w:t>本次评标采用</w:t>
      </w:r>
      <w:r>
        <w:rPr>
          <w:rFonts w:hint="eastAsia" w:ascii="宋体" w:hAnsi="宋体" w:cs="宋体"/>
          <w:b/>
          <w:szCs w:val="21"/>
        </w:rPr>
        <w:t>综合评分法</w:t>
      </w:r>
      <w:r>
        <w:rPr>
          <w:rFonts w:hint="eastAsia" w:ascii="宋体" w:hAnsi="宋体" w:cs="宋体"/>
          <w:szCs w:val="21"/>
        </w:rPr>
        <w:t>，总分为100分。合格投标人的得分为各项目汇总得分，各标项中标候选资格按评标得分由高到低顺序排列，得分相同的，按投标报价由低到高顺序排列；得分且投标报价相同的，按技术得分由高到低顺序排列。评分过程中采用四舍五入法，并保留小数2位。</w:t>
      </w:r>
    </w:p>
    <w:p>
      <w:pPr>
        <w:spacing w:before="157" w:beforeLines="50" w:after="157" w:afterLines="50" w:line="360" w:lineRule="auto"/>
        <w:ind w:firstLine="413" w:firstLineChars="196"/>
        <w:rPr>
          <w:rFonts w:ascii="宋体" w:hAnsi="宋体" w:cs="宋体"/>
          <w:b/>
          <w:szCs w:val="21"/>
        </w:rPr>
      </w:pPr>
      <w:r>
        <w:rPr>
          <w:rFonts w:hint="eastAsia" w:ascii="宋体" w:hAnsi="宋体" w:cs="宋体"/>
          <w:b/>
          <w:szCs w:val="21"/>
        </w:rPr>
        <w:t>二、分值的计算</w:t>
      </w:r>
    </w:p>
    <w:p>
      <w:pPr>
        <w:spacing w:before="157" w:beforeLines="50" w:after="157" w:afterLines="50" w:line="360" w:lineRule="auto"/>
        <w:ind w:firstLine="420"/>
        <w:rPr>
          <w:rFonts w:ascii="宋体" w:hAnsi="宋体" w:cs="宋体"/>
          <w:szCs w:val="21"/>
        </w:rPr>
      </w:pPr>
      <w:r>
        <w:rPr>
          <w:rFonts w:hint="eastAsia" w:ascii="宋体" w:hAnsi="宋体" w:cs="宋体"/>
          <w:szCs w:val="21"/>
        </w:rPr>
        <w:t>资信分由评审小组按照少数服从多数的原则统一打分。</w:t>
      </w:r>
    </w:p>
    <w:p>
      <w:pPr>
        <w:spacing w:before="157" w:beforeLines="50" w:after="157" w:afterLines="50" w:line="360" w:lineRule="auto"/>
        <w:ind w:firstLine="420"/>
        <w:rPr>
          <w:rFonts w:ascii="宋体" w:hAnsi="宋体" w:cs="宋体"/>
          <w:szCs w:val="21"/>
        </w:rPr>
      </w:pPr>
      <w:r>
        <w:rPr>
          <w:rFonts w:hint="eastAsia" w:ascii="宋体" w:hAnsi="宋体" w:cs="宋体"/>
          <w:szCs w:val="21"/>
        </w:rPr>
        <w:t>技术分按照评审小组成员的独立评分结果汇总后的算术平均分计算，计算公式为：</w:t>
      </w:r>
    </w:p>
    <w:p>
      <w:pPr>
        <w:spacing w:before="157" w:beforeLines="50" w:after="157" w:afterLines="50" w:line="360" w:lineRule="auto"/>
        <w:ind w:firstLine="420"/>
        <w:rPr>
          <w:rFonts w:ascii="宋体" w:hAnsi="宋体" w:cs="宋体"/>
          <w:szCs w:val="21"/>
        </w:rPr>
      </w:pPr>
      <w:r>
        <w:rPr>
          <w:rFonts w:hint="eastAsia" w:ascii="宋体" w:hAnsi="宋体" w:cs="宋体"/>
          <w:szCs w:val="21"/>
        </w:rPr>
        <w:t>技术分=评审小组所有成员评分合计数/评审小组组成人员数</w:t>
      </w:r>
    </w:p>
    <w:p>
      <w:pPr>
        <w:spacing w:before="157" w:beforeLines="50" w:after="157" w:afterLines="50" w:line="360" w:lineRule="auto"/>
        <w:ind w:firstLine="420"/>
        <w:rPr>
          <w:rFonts w:ascii="宋体" w:hAnsi="宋体" w:cs="宋体"/>
          <w:szCs w:val="21"/>
        </w:rPr>
      </w:pPr>
      <w:r>
        <w:rPr>
          <w:rFonts w:hint="eastAsia" w:ascii="宋体" w:hAnsi="宋体" w:cs="宋体"/>
          <w:szCs w:val="21"/>
        </w:rPr>
        <w:t>投标人评标综合得分=技术分+资信分+价格分</w:t>
      </w:r>
    </w:p>
    <w:p>
      <w:pPr>
        <w:spacing w:before="157" w:beforeLines="50" w:after="157" w:afterLines="50" w:line="360" w:lineRule="auto"/>
        <w:ind w:firstLine="420"/>
        <w:rPr>
          <w:rFonts w:ascii="宋体" w:hAnsi="宋体" w:cs="宋体"/>
          <w:szCs w:val="21"/>
        </w:rPr>
      </w:pPr>
      <w:r>
        <w:rPr>
          <w:rFonts w:hint="eastAsia" w:ascii="宋体" w:hAnsi="宋体" w:cs="宋体"/>
          <w:szCs w:val="21"/>
        </w:rPr>
        <w:t>具体评分内容详见评分细则。</w:t>
      </w:r>
    </w:p>
    <w:p>
      <w:pPr>
        <w:spacing w:before="157" w:beforeLines="50" w:after="157" w:afterLines="50" w:line="360" w:lineRule="auto"/>
        <w:ind w:firstLine="413" w:firstLineChars="196"/>
        <w:jc w:val="center"/>
        <w:rPr>
          <w:rFonts w:ascii="宋体" w:hAnsi="宋体" w:cs="宋体"/>
          <w:b/>
          <w:bCs/>
          <w:szCs w:val="24"/>
        </w:rPr>
      </w:pPr>
      <w:r>
        <w:rPr>
          <w:rFonts w:hint="eastAsia" w:ascii="宋体" w:hAnsi="宋体" w:cs="宋体"/>
          <w:b/>
          <w:bCs/>
          <w:szCs w:val="24"/>
        </w:rPr>
        <w:br w:type="page"/>
      </w:r>
      <w:r>
        <w:rPr>
          <w:rFonts w:hint="eastAsia" w:ascii="宋体" w:hAnsi="宋体" w:cs="宋体"/>
          <w:b/>
          <w:bCs/>
          <w:szCs w:val="24"/>
        </w:rPr>
        <w:t>评 分 细 则</w:t>
      </w:r>
    </w:p>
    <w:tbl>
      <w:tblPr>
        <w:tblStyle w:val="34"/>
        <w:tblW w:w="9884" w:type="dxa"/>
        <w:tblInd w:w="0" w:type="dxa"/>
        <w:tblLayout w:type="fixed"/>
        <w:tblCellMar>
          <w:top w:w="0" w:type="dxa"/>
          <w:left w:w="0" w:type="dxa"/>
          <w:bottom w:w="0" w:type="dxa"/>
          <w:right w:w="0" w:type="dxa"/>
        </w:tblCellMar>
      </w:tblPr>
      <w:tblGrid>
        <w:gridCol w:w="994"/>
        <w:gridCol w:w="1410"/>
        <w:gridCol w:w="695"/>
        <w:gridCol w:w="6785"/>
      </w:tblGrid>
      <w:tr>
        <w:tblPrEx>
          <w:tblCellMar>
            <w:top w:w="0" w:type="dxa"/>
            <w:left w:w="0" w:type="dxa"/>
            <w:bottom w:w="0" w:type="dxa"/>
            <w:right w:w="0" w:type="dxa"/>
          </w:tblCellMar>
        </w:tblPrEx>
        <w:trPr>
          <w:trHeight w:val="23" w:hRule="atLeast"/>
        </w:trPr>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b/>
                <w:color w:val="000000"/>
                <w:szCs w:val="21"/>
              </w:rPr>
            </w:pPr>
            <w:r>
              <w:rPr>
                <w:rFonts w:hint="eastAsia" w:ascii="宋体" w:hAnsi="宋体" w:cs="宋体"/>
                <w:b/>
                <w:color w:val="000000"/>
                <w:kern w:val="0"/>
                <w:szCs w:val="21"/>
              </w:rPr>
              <w:t>评分项目</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b/>
                <w:color w:val="000000"/>
                <w:kern w:val="0"/>
                <w:szCs w:val="21"/>
              </w:rPr>
            </w:pPr>
            <w:r>
              <w:rPr>
                <w:rFonts w:hint="eastAsia" w:ascii="宋体" w:hAnsi="宋体" w:cs="宋体"/>
                <w:b/>
                <w:color w:val="000000"/>
                <w:kern w:val="0"/>
                <w:szCs w:val="21"/>
              </w:rPr>
              <w:t>要点</w:t>
            </w:r>
          </w:p>
        </w:tc>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b/>
                <w:color w:val="000000"/>
                <w:szCs w:val="21"/>
              </w:rPr>
            </w:pPr>
            <w:r>
              <w:rPr>
                <w:rFonts w:hint="eastAsia" w:ascii="宋体" w:hAnsi="宋体" w:cs="宋体"/>
                <w:b/>
                <w:color w:val="000000"/>
                <w:kern w:val="0"/>
                <w:szCs w:val="21"/>
              </w:rPr>
              <w:t>分值</w:t>
            </w:r>
          </w:p>
        </w:tc>
        <w:tc>
          <w:tcPr>
            <w:tcW w:w="6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ind w:firstLine="211" w:firstLineChars="100"/>
              <w:textAlignment w:val="center"/>
              <w:rPr>
                <w:rFonts w:ascii="宋体" w:hAnsi="宋体" w:cs="宋体"/>
                <w:b/>
                <w:color w:val="000000"/>
                <w:szCs w:val="21"/>
              </w:rPr>
            </w:pPr>
            <w:r>
              <w:rPr>
                <w:rFonts w:hint="eastAsia" w:ascii="宋体" w:hAnsi="宋体" w:cs="宋体"/>
                <w:b/>
                <w:color w:val="000000"/>
                <w:kern w:val="0"/>
                <w:szCs w:val="21"/>
              </w:rPr>
              <w:t xml:space="preserve">                   评标要点及说明</w:t>
            </w:r>
          </w:p>
        </w:tc>
      </w:tr>
      <w:tr>
        <w:tblPrEx>
          <w:tblCellMar>
            <w:top w:w="0" w:type="dxa"/>
            <w:left w:w="0" w:type="dxa"/>
            <w:bottom w:w="0" w:type="dxa"/>
            <w:right w:w="0" w:type="dxa"/>
          </w:tblCellMar>
        </w:tblPrEx>
        <w:trPr>
          <w:trHeight w:val="23" w:hRule="atLeast"/>
        </w:trPr>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价格分（30）</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ascii="宋体" w:hAnsi="宋体" w:cs="宋体"/>
                <w:color w:val="000000"/>
                <w:kern w:val="0"/>
                <w:szCs w:val="21"/>
              </w:rPr>
              <w:t>投标报价</w:t>
            </w:r>
          </w:p>
        </w:tc>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6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ascii="宋体" w:hAnsi="宋体" w:cs="宋体"/>
                <w:color w:val="000000"/>
                <w:szCs w:val="21"/>
              </w:rPr>
            </w:pPr>
            <w:r>
              <w:rPr>
                <w:rFonts w:hint="eastAsia" w:ascii="宋体" w:hAnsi="宋体" w:cs="宋体"/>
                <w:color w:val="000000"/>
                <w:kern w:val="0"/>
                <w:szCs w:val="21"/>
              </w:rPr>
              <w:t>满足招标文件要求且投标报价最低的投标报价为评标基准价，其价格分为满分。其他投标人的价格分统一按照下列公式计算：投标报价得分=（评标基准价/投标报价）*30%*100。</w:t>
            </w:r>
          </w:p>
        </w:tc>
      </w:tr>
      <w:tr>
        <w:tblPrEx>
          <w:tblCellMar>
            <w:top w:w="0" w:type="dxa"/>
            <w:left w:w="0" w:type="dxa"/>
            <w:bottom w:w="0" w:type="dxa"/>
            <w:right w:w="0" w:type="dxa"/>
          </w:tblCellMar>
        </w:tblPrEx>
        <w:trPr>
          <w:trHeight w:val="90" w:hRule="atLeast"/>
        </w:trPr>
        <w:tc>
          <w:tcPr>
            <w:tcW w:w="994" w:type="dxa"/>
            <w:vMerge w:val="restart"/>
            <w:tcBorders>
              <w:left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szCs w:val="21"/>
              </w:rPr>
              <w:t>技术分（58分）</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kern w:val="0"/>
                <w:szCs w:val="21"/>
              </w:rPr>
              <w:t>投标方案现场演示文件讲解的科学性和完整性（演示时间： 7分钟）</w:t>
            </w:r>
          </w:p>
        </w:tc>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14</w:t>
            </w:r>
          </w:p>
        </w:tc>
        <w:tc>
          <w:tcPr>
            <w:tcW w:w="6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6"/>
              </w:numPr>
              <w:spacing w:line="360" w:lineRule="auto"/>
              <w:rPr>
                <w:rFonts w:ascii="宋体" w:hAnsi="宋体" w:cs="宋体"/>
                <w:kern w:val="0"/>
                <w:szCs w:val="21"/>
              </w:rPr>
            </w:pPr>
            <w:r>
              <w:rPr>
                <w:rFonts w:hint="eastAsia" w:ascii="宋体" w:hAnsi="宋体" w:cs="宋体"/>
                <w:color w:val="000000"/>
                <w:kern w:val="0"/>
                <w:szCs w:val="21"/>
              </w:rPr>
              <w:t>需求理解：</w:t>
            </w:r>
            <w:r>
              <w:rPr>
                <w:rFonts w:hint="eastAsia" w:ascii="宋体" w:hAnsi="宋体" w:cs="宋体"/>
                <w:kern w:val="0"/>
                <w:szCs w:val="21"/>
              </w:rPr>
              <w:t>投标人对用户安防建设的现状、对用户单位的安防、门禁、电子围栏等业务需求及施工现场环境和综合管线情况是否有充分了解，对本次安防建设的特点、难点及重点分析是否透彻；（4分）</w:t>
            </w:r>
          </w:p>
          <w:p>
            <w:pPr>
              <w:widowControl/>
              <w:numPr>
                <w:ilvl w:val="0"/>
                <w:numId w:val="6"/>
              </w:numPr>
              <w:spacing w:line="360" w:lineRule="auto"/>
              <w:rPr>
                <w:rFonts w:ascii="宋体" w:hAnsi="宋体" w:cs="宋体"/>
                <w:kern w:val="0"/>
                <w:szCs w:val="21"/>
              </w:rPr>
            </w:pPr>
            <w:r>
              <w:rPr>
                <w:rFonts w:hint="eastAsia" w:ascii="宋体" w:hAnsi="宋体" w:cs="宋体"/>
                <w:kern w:val="0"/>
                <w:szCs w:val="21"/>
              </w:rPr>
              <w:t>线路设计和施工方案：整体项目管线走势是否合理、对已有管线的处理方案是否合理，线路的设计是否符合采购人需求，是否结合工程实际情况进行的设计(对比详细施工线路图及原系统线路拆除规划图进行评判)（5分）</w:t>
            </w:r>
          </w:p>
          <w:p>
            <w:pPr>
              <w:widowControl/>
              <w:spacing w:line="360" w:lineRule="auto"/>
              <w:textAlignment w:val="center"/>
              <w:rPr>
                <w:rFonts w:ascii="宋体" w:hAnsi="宋体" w:cs="宋体"/>
                <w:color w:val="000000"/>
                <w:szCs w:val="21"/>
              </w:rPr>
            </w:pPr>
            <w:r>
              <w:rPr>
                <w:rFonts w:hint="eastAsia" w:ascii="宋体" w:hAnsi="宋体" w:cs="宋体"/>
                <w:kern w:val="0"/>
                <w:szCs w:val="21"/>
              </w:rPr>
              <w:t>3、场景建设方案：对投标人提供编制的场景建设方案进行评定，包括软件对本项目的适用性、实际使用功能、是否满足用户实际的业务使用需求，符合用户方自身的功能需求、是否能提供完整的用户版相关各种界面展示，通过AR系统、</w:t>
            </w:r>
            <w:r>
              <w:rPr>
                <w:rFonts w:hint="eastAsia" w:hAnsi="宋体"/>
              </w:rPr>
              <w:t>生物探测、三维建模等多种技术手段全面实现人车智能化管从人防、物防到技防的信息化升级</w:t>
            </w:r>
            <w:r>
              <w:rPr>
                <w:rFonts w:hint="eastAsia" w:ascii="宋体" w:hAnsi="宋体" w:cs="宋体"/>
                <w:kern w:val="0"/>
                <w:szCs w:val="21"/>
              </w:rPr>
              <w:t>（根据软件的完整度、贴合度、实用度评判）（5分）</w:t>
            </w:r>
          </w:p>
        </w:tc>
      </w:tr>
      <w:tr>
        <w:tblPrEx>
          <w:tblCellMar>
            <w:top w:w="0" w:type="dxa"/>
            <w:left w:w="0" w:type="dxa"/>
            <w:bottom w:w="0" w:type="dxa"/>
            <w:right w:w="0" w:type="dxa"/>
          </w:tblCellMar>
        </w:tblPrEx>
        <w:trPr>
          <w:trHeight w:val="3012" w:hRule="atLeast"/>
        </w:trPr>
        <w:tc>
          <w:tcPr>
            <w:tcW w:w="994" w:type="dxa"/>
            <w:vMerge w:val="continue"/>
            <w:tcBorders>
              <w:left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szCs w:val="21"/>
              </w:rPr>
            </w:pPr>
          </w:p>
        </w:tc>
        <w:tc>
          <w:tcPr>
            <w:tcW w:w="141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投标产品的性能与需求的吻合程度</w:t>
            </w:r>
          </w:p>
        </w:tc>
        <w:tc>
          <w:tcPr>
            <w:tcW w:w="69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19</w:t>
            </w:r>
          </w:p>
        </w:tc>
        <w:tc>
          <w:tcPr>
            <w:tcW w:w="6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pPr>
            <w:r>
              <w:rPr>
                <w:rFonts w:hint="eastAsia"/>
              </w:rPr>
              <w:t>投标产品的基本功能、技术指标与需求的吻合程度和偏差情况（包括所投标产品的）规格型号、详细配置、主要技术参数、随机软件等），是否能够满足招标文件要求，是否体现一定先进性、可靠性、成熟性、易维护性、可扩展性等。技术指标负偏离每一项扣减1分，★每一项扣2分，扣完为止。未根据要求提供证明文件、检测报告的（证明文件需是加盖公章的电子原件），按负偏离评分（18分）</w:t>
            </w:r>
          </w:p>
        </w:tc>
      </w:tr>
      <w:tr>
        <w:tblPrEx>
          <w:tblCellMar>
            <w:top w:w="0" w:type="dxa"/>
            <w:left w:w="0" w:type="dxa"/>
            <w:bottom w:w="0" w:type="dxa"/>
            <w:right w:w="0" w:type="dxa"/>
          </w:tblCellMar>
        </w:tblPrEx>
        <w:trPr>
          <w:trHeight w:val="90" w:hRule="atLeast"/>
        </w:trPr>
        <w:tc>
          <w:tcPr>
            <w:tcW w:w="994" w:type="dxa"/>
            <w:vMerge w:val="continue"/>
            <w:tcBorders>
              <w:left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szCs w:val="21"/>
              </w:rPr>
            </w:pPr>
          </w:p>
        </w:tc>
        <w:tc>
          <w:tcPr>
            <w:tcW w:w="141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p>
        </w:tc>
        <w:tc>
          <w:tcPr>
            <w:tcW w:w="69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p>
        </w:tc>
        <w:tc>
          <w:tcPr>
            <w:tcW w:w="6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ascii="宋体" w:hAnsi="宋体" w:cs="宋体"/>
                <w:color w:val="000000"/>
                <w:szCs w:val="21"/>
              </w:rPr>
            </w:pPr>
            <w:r>
              <w:rPr>
                <w:rFonts w:hint="eastAsia" w:ascii="宋体" w:hAnsi="宋体" w:cs="宋体"/>
                <w:color w:val="000000"/>
                <w:szCs w:val="21"/>
              </w:rPr>
              <w:t>投标产品是否列入“节能产品政府采购清单”、具有环境标志认证产品等情况（1分）。</w:t>
            </w:r>
          </w:p>
        </w:tc>
      </w:tr>
      <w:tr>
        <w:tblPrEx>
          <w:tblCellMar>
            <w:top w:w="0" w:type="dxa"/>
            <w:left w:w="0" w:type="dxa"/>
            <w:bottom w:w="0" w:type="dxa"/>
            <w:right w:w="0" w:type="dxa"/>
          </w:tblCellMar>
        </w:tblPrEx>
        <w:trPr>
          <w:trHeight w:val="90" w:hRule="atLeast"/>
        </w:trPr>
        <w:tc>
          <w:tcPr>
            <w:tcW w:w="994" w:type="dxa"/>
            <w:vMerge w:val="continue"/>
            <w:tcBorders>
              <w:left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实施组织方案</w:t>
            </w:r>
          </w:p>
        </w:tc>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9</w:t>
            </w:r>
          </w:p>
        </w:tc>
        <w:tc>
          <w:tcPr>
            <w:tcW w:w="6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ascii="宋体" w:hAnsi="宋体" w:cs="宋体"/>
                <w:color w:val="000000"/>
                <w:szCs w:val="21"/>
              </w:rPr>
            </w:pPr>
            <w:r>
              <w:rPr>
                <w:rFonts w:hint="eastAsia" w:ascii="宋体" w:hAnsi="宋体" w:cs="宋体"/>
                <w:color w:val="000000"/>
                <w:szCs w:val="21"/>
              </w:rPr>
              <w:t>1、投标人组织实施方案的科学性、合理性、规范性和可操作性，包括系统集成、产品供货、验货、安装调试、试运行、测试、调优、系统管理培训、系统运行维护培训等内容，以及组织机构、工作时间进度表、工作程序和步骤、管理和协调方法、关键步骤的思路和要点等。是否能提供有效的技术建议。(2分)</w:t>
            </w:r>
          </w:p>
          <w:p>
            <w:pPr>
              <w:widowControl/>
              <w:spacing w:line="360" w:lineRule="auto"/>
              <w:textAlignment w:val="center"/>
              <w:rPr>
                <w:rFonts w:ascii="宋体" w:hAnsi="宋体" w:cs="宋体"/>
                <w:color w:val="000000"/>
                <w:szCs w:val="21"/>
              </w:rPr>
            </w:pPr>
            <w:r>
              <w:rPr>
                <w:rFonts w:hint="eastAsia" w:ascii="宋体" w:hAnsi="宋体" w:cs="宋体"/>
                <w:color w:val="000000"/>
                <w:szCs w:val="21"/>
              </w:rPr>
              <w:t>2、新旧安防系统切换的预案：对项目实施过程中如何保证无间断监控标准进行评定，主要针对于新系统的建设及上线的过程中如何保证老系统正常运行，需根据现场实际情况进行合理稳妥的方案编制（4分）</w:t>
            </w:r>
          </w:p>
          <w:p>
            <w:pPr>
              <w:widowControl/>
              <w:spacing w:line="360" w:lineRule="auto"/>
              <w:textAlignment w:val="center"/>
              <w:rPr>
                <w:rFonts w:ascii="宋体" w:hAnsi="宋体" w:cs="宋体"/>
                <w:color w:val="000000"/>
                <w:szCs w:val="21"/>
              </w:rPr>
            </w:pPr>
            <w:r>
              <w:rPr>
                <w:rFonts w:hint="eastAsia" w:ascii="宋体" w:hAnsi="宋体" w:cs="宋体"/>
                <w:color w:val="000000"/>
                <w:szCs w:val="21"/>
              </w:rPr>
              <w:t xml:space="preserve">3、投标人对法院数字法庭、审务督查系统、音视频可视化系统等是否有充分了解，制定科学的实施组织方案，确保该项目和最高院、省高院各系统平台的无缝衔接，确保上级院能实时查看各类相关音视频情况， 作出书面承诺并加盖公章(3分) </w:t>
            </w:r>
          </w:p>
        </w:tc>
      </w:tr>
      <w:tr>
        <w:tblPrEx>
          <w:tblCellMar>
            <w:top w:w="0" w:type="dxa"/>
            <w:left w:w="0" w:type="dxa"/>
            <w:bottom w:w="0" w:type="dxa"/>
            <w:right w:w="0" w:type="dxa"/>
          </w:tblCellMar>
        </w:tblPrEx>
        <w:trPr>
          <w:trHeight w:val="90" w:hRule="atLeast"/>
        </w:trPr>
        <w:tc>
          <w:tcPr>
            <w:tcW w:w="994" w:type="dxa"/>
            <w:vMerge w:val="continue"/>
            <w:tcBorders>
              <w:left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售后服务方案情况</w:t>
            </w:r>
          </w:p>
        </w:tc>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4</w:t>
            </w:r>
          </w:p>
        </w:tc>
        <w:tc>
          <w:tcPr>
            <w:tcW w:w="6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ascii="宋体" w:hAnsi="宋体" w:cs="宋体"/>
                <w:color w:val="000000"/>
                <w:kern w:val="0"/>
                <w:szCs w:val="21"/>
              </w:rPr>
            </w:pPr>
            <w:r>
              <w:rPr>
                <w:rFonts w:hint="eastAsia" w:ascii="宋体" w:hAnsi="宋体" w:cs="宋体"/>
                <w:color w:val="000000"/>
                <w:kern w:val="0"/>
                <w:szCs w:val="21"/>
              </w:rPr>
              <w:t xml:space="preserve">1、售后服务方案的详细程度及优劣情况，在浙江省杭州市范围内有售后服务网点的，得1分；提供专门的点对点24小时技术支撑电话，30分钟内响应，2小时内应对故障，且提供可行的应急预案防止用户业务中断承诺的，得1分。 (2分) </w:t>
            </w:r>
          </w:p>
          <w:p>
            <w:pPr>
              <w:widowControl/>
              <w:spacing w:line="360" w:lineRule="auto"/>
              <w:textAlignment w:val="center"/>
              <w:rPr>
                <w:rFonts w:ascii="宋体" w:hAnsi="宋体" w:cs="宋体"/>
                <w:color w:val="000000"/>
                <w:szCs w:val="21"/>
                <w:lang w:val="zh-CN"/>
              </w:rPr>
            </w:pPr>
            <w:r>
              <w:rPr>
                <w:rFonts w:hint="eastAsia" w:ascii="宋体" w:hAnsi="宋体" w:cs="宋体"/>
                <w:color w:val="000000"/>
                <w:kern w:val="0"/>
                <w:szCs w:val="21"/>
              </w:rPr>
              <w:t>2、备品备件及故障响应情况，能够提供存放在用户方的相关备品备件，提供重大活动应急保障服务(2分)</w:t>
            </w:r>
          </w:p>
        </w:tc>
      </w:tr>
      <w:tr>
        <w:tblPrEx>
          <w:tblCellMar>
            <w:top w:w="0" w:type="dxa"/>
            <w:left w:w="0" w:type="dxa"/>
            <w:bottom w:w="0" w:type="dxa"/>
            <w:right w:w="0" w:type="dxa"/>
          </w:tblCellMar>
        </w:tblPrEx>
        <w:trPr>
          <w:trHeight w:val="90" w:hRule="atLeast"/>
        </w:trPr>
        <w:tc>
          <w:tcPr>
            <w:tcW w:w="994" w:type="dxa"/>
            <w:vMerge w:val="continue"/>
            <w:tcBorders>
              <w:left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项目组成员素质情况</w:t>
            </w:r>
          </w:p>
        </w:tc>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6</w:t>
            </w:r>
          </w:p>
        </w:tc>
        <w:tc>
          <w:tcPr>
            <w:tcW w:w="6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ascii="宋体" w:hAnsi="宋体" w:cs="宋体"/>
                <w:color w:val="000000"/>
                <w:szCs w:val="21"/>
              </w:rPr>
            </w:pPr>
            <w:r>
              <w:rPr>
                <w:rFonts w:hint="eastAsia" w:ascii="宋体" w:hAnsi="宋体" w:cs="宋体"/>
                <w:color w:val="000000"/>
                <w:szCs w:val="21"/>
              </w:rPr>
              <w:t>1、▲项目经理需具有二级建造师（机电类）及以上、安防培训合格证书，项目实施过程中不得更换。（2分）</w:t>
            </w:r>
          </w:p>
          <w:p>
            <w:pPr>
              <w:widowControl/>
              <w:spacing w:line="360" w:lineRule="auto"/>
              <w:textAlignment w:val="center"/>
              <w:rPr>
                <w:rFonts w:ascii="宋体" w:hAnsi="宋体" w:cs="宋体"/>
                <w:color w:val="000000"/>
                <w:szCs w:val="21"/>
              </w:rPr>
            </w:pPr>
            <w:r>
              <w:rPr>
                <w:rFonts w:hint="eastAsia" w:ascii="宋体" w:hAnsi="宋体" w:cs="宋体"/>
                <w:color w:val="000000"/>
                <w:szCs w:val="21"/>
              </w:rPr>
              <w:t>2、投标人是否具有完备的管理组织、项目实施规范和管理制度(2分)</w:t>
            </w:r>
          </w:p>
          <w:p>
            <w:pPr>
              <w:widowControl/>
              <w:spacing w:line="360" w:lineRule="auto"/>
              <w:textAlignment w:val="center"/>
              <w:rPr>
                <w:rFonts w:ascii="宋体" w:hAnsi="宋体" w:cs="宋体"/>
                <w:color w:val="000000"/>
                <w:szCs w:val="21"/>
              </w:rPr>
            </w:pPr>
            <w:r>
              <w:rPr>
                <w:rFonts w:hint="eastAsia" w:ascii="宋体" w:hAnsi="宋体" w:cs="宋体"/>
                <w:color w:val="000000"/>
                <w:szCs w:val="21"/>
              </w:rPr>
              <w:t>3、拟投入本项目的管理与作业人员总数及相关学历、各项相关专业证书资质，综合评判(2分)</w:t>
            </w:r>
          </w:p>
          <w:p>
            <w:pPr>
              <w:widowControl/>
              <w:spacing w:line="360" w:lineRule="auto"/>
              <w:textAlignment w:val="center"/>
              <w:rPr>
                <w:rFonts w:ascii="宋体" w:hAnsi="宋体" w:cs="宋体"/>
                <w:color w:val="000000"/>
                <w:szCs w:val="21"/>
              </w:rPr>
            </w:pPr>
            <w:r>
              <w:rPr>
                <w:rFonts w:hint="eastAsia" w:hAnsi="宋体" w:cs="宋体"/>
                <w:b/>
                <w:bCs/>
                <w:kern w:val="0"/>
                <w:szCs w:val="21"/>
              </w:rPr>
              <w:t>以上资质材料要求提供原件备查</w:t>
            </w:r>
          </w:p>
        </w:tc>
      </w:tr>
      <w:tr>
        <w:tblPrEx>
          <w:tblCellMar>
            <w:top w:w="0" w:type="dxa"/>
            <w:left w:w="0" w:type="dxa"/>
            <w:bottom w:w="0" w:type="dxa"/>
            <w:right w:w="0" w:type="dxa"/>
          </w:tblCellMar>
        </w:tblPrEx>
        <w:trPr>
          <w:trHeight w:val="687" w:hRule="atLeast"/>
        </w:trPr>
        <w:tc>
          <w:tcPr>
            <w:tcW w:w="994" w:type="dxa"/>
            <w:vMerge w:val="continue"/>
            <w:tcBorders>
              <w:left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培训、测试、试运转、验收</w:t>
            </w:r>
          </w:p>
        </w:tc>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6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ind w:left="210" w:hanging="210" w:hangingChars="100"/>
              <w:rPr>
                <w:color w:val="000000"/>
              </w:rPr>
            </w:pPr>
            <w:r>
              <w:rPr>
                <w:rFonts w:hint="eastAsia"/>
                <w:color w:val="000000"/>
              </w:rPr>
              <w:t>1、投标人提出的功能测试、试运转及验收方案的合理性、可行性情况等 （0.5分）</w:t>
            </w:r>
          </w:p>
          <w:p>
            <w:pPr>
              <w:widowControl/>
              <w:spacing w:line="360" w:lineRule="auto"/>
              <w:textAlignment w:val="center"/>
              <w:rPr>
                <w:rFonts w:ascii="宋体" w:hAnsi="宋体" w:cs="宋体"/>
                <w:color w:val="000000"/>
                <w:szCs w:val="21"/>
              </w:rPr>
            </w:pPr>
            <w:r>
              <w:rPr>
                <w:rFonts w:hint="eastAsia"/>
                <w:color w:val="000000"/>
              </w:rPr>
              <w:t>2、培训计划包括培训内容、时间、地点、人次，费用计入总报价；        ( 0.5分)</w:t>
            </w:r>
          </w:p>
        </w:tc>
      </w:tr>
      <w:tr>
        <w:tblPrEx>
          <w:tblCellMar>
            <w:top w:w="0" w:type="dxa"/>
            <w:left w:w="0" w:type="dxa"/>
            <w:bottom w:w="0" w:type="dxa"/>
            <w:right w:w="0" w:type="dxa"/>
          </w:tblCellMar>
        </w:tblPrEx>
        <w:trPr>
          <w:trHeight w:val="582" w:hRule="atLeast"/>
        </w:trPr>
        <w:tc>
          <w:tcPr>
            <w:tcW w:w="994" w:type="dxa"/>
            <w:vMerge w:val="continue"/>
            <w:tcBorders>
              <w:left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szCs w:val="21"/>
              </w:rPr>
            </w:pPr>
          </w:p>
        </w:tc>
        <w:tc>
          <w:tcPr>
            <w:tcW w:w="141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优惠和承诺情况</w:t>
            </w:r>
          </w:p>
        </w:tc>
        <w:tc>
          <w:tcPr>
            <w:tcW w:w="69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4</w:t>
            </w:r>
          </w:p>
        </w:tc>
        <w:tc>
          <w:tcPr>
            <w:tcW w:w="6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ascii="宋体" w:hAnsi="宋体" w:cs="宋体"/>
                <w:color w:val="000000"/>
                <w:szCs w:val="21"/>
              </w:rPr>
            </w:pPr>
            <w:r>
              <w:rPr>
                <w:rFonts w:hint="eastAsia" w:ascii="宋体" w:hAnsi="宋体" w:cs="宋体"/>
                <w:color w:val="000000"/>
                <w:szCs w:val="21"/>
              </w:rPr>
              <w:t>1、除招标文件规定的一名驻场3年的工程师外，是否有额外工程技术力量提供驻场服务，每增加一人一年驻场服务，得1分，最高得2分</w:t>
            </w:r>
          </w:p>
          <w:p>
            <w:pPr>
              <w:widowControl/>
              <w:spacing w:line="360" w:lineRule="auto"/>
              <w:textAlignment w:val="center"/>
              <w:rPr>
                <w:rFonts w:ascii="宋体" w:hAnsi="宋体" w:cs="宋体"/>
                <w:color w:val="000000"/>
                <w:szCs w:val="21"/>
              </w:rPr>
            </w:pPr>
            <w:r>
              <w:rPr>
                <w:rFonts w:hint="eastAsia" w:ascii="宋体" w:hAnsi="宋体" w:cs="宋体"/>
                <w:color w:val="000000"/>
                <w:szCs w:val="21"/>
              </w:rPr>
              <w:t>2、在原质保基础上（项目整体质保3年），每增加一年质保期得1分，最高得2分。</w:t>
            </w:r>
          </w:p>
        </w:tc>
      </w:tr>
      <w:tr>
        <w:tblPrEx>
          <w:tblCellMar>
            <w:top w:w="0" w:type="dxa"/>
            <w:left w:w="0" w:type="dxa"/>
            <w:bottom w:w="0" w:type="dxa"/>
            <w:right w:w="0" w:type="dxa"/>
          </w:tblCellMar>
        </w:tblPrEx>
        <w:trPr>
          <w:trHeight w:val="582" w:hRule="atLeast"/>
        </w:trPr>
        <w:tc>
          <w:tcPr>
            <w:tcW w:w="994"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szCs w:val="21"/>
              </w:rPr>
            </w:pPr>
          </w:p>
        </w:tc>
        <w:tc>
          <w:tcPr>
            <w:tcW w:w="141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质量保证措施和建设工期情况</w:t>
            </w:r>
          </w:p>
        </w:tc>
        <w:tc>
          <w:tcPr>
            <w:tcW w:w="69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678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60" w:lineRule="auto"/>
              <w:textAlignment w:val="center"/>
              <w:rPr>
                <w:rFonts w:ascii="宋体" w:hAnsi="宋体" w:cs="宋体"/>
                <w:color w:val="000000"/>
                <w:szCs w:val="21"/>
              </w:rPr>
            </w:pPr>
            <w:r>
              <w:rPr>
                <w:rFonts w:hint="eastAsia"/>
                <w:color w:val="000000"/>
              </w:rPr>
              <w:t>1、投标人对采购人现状包含现安防结构、业务系统、及系统使用情况等进行调研并按采购人要求有明确的质量保证目标，质量保证措施和体系合理先进并具有详细的实施内容等（1分）</w:t>
            </w:r>
          </w:p>
        </w:tc>
      </w:tr>
      <w:tr>
        <w:tblPrEx>
          <w:tblCellMar>
            <w:top w:w="0" w:type="dxa"/>
            <w:left w:w="0" w:type="dxa"/>
            <w:bottom w:w="0" w:type="dxa"/>
            <w:right w:w="0" w:type="dxa"/>
          </w:tblCellMar>
        </w:tblPrEx>
        <w:trPr>
          <w:trHeight w:val="23" w:hRule="atLeast"/>
        </w:trPr>
        <w:tc>
          <w:tcPr>
            <w:tcW w:w="99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p>
          <w:p>
            <w:pPr>
              <w:widowControl/>
              <w:spacing w:line="360" w:lineRule="auto"/>
              <w:jc w:val="center"/>
              <w:textAlignment w:val="center"/>
              <w:rPr>
                <w:rFonts w:ascii="宋体" w:hAnsi="宋体" w:cs="宋体"/>
                <w:color w:val="000000"/>
                <w:kern w:val="0"/>
                <w:szCs w:val="21"/>
              </w:rPr>
            </w:pPr>
          </w:p>
          <w:p>
            <w:pPr>
              <w:widowControl/>
              <w:spacing w:line="360" w:lineRule="auto"/>
              <w:jc w:val="center"/>
              <w:textAlignment w:val="center"/>
              <w:rPr>
                <w:rFonts w:ascii="宋体" w:hAnsi="宋体" w:cs="宋体"/>
                <w:color w:val="000000"/>
                <w:kern w:val="0"/>
                <w:szCs w:val="21"/>
              </w:rPr>
            </w:pPr>
          </w:p>
          <w:p>
            <w:pPr>
              <w:widowControl/>
              <w:spacing w:line="360" w:lineRule="auto"/>
              <w:jc w:val="center"/>
              <w:textAlignment w:val="center"/>
              <w:rPr>
                <w:rFonts w:ascii="宋体" w:hAnsi="宋体" w:cs="宋体"/>
                <w:color w:val="000000"/>
                <w:kern w:val="0"/>
                <w:szCs w:val="21"/>
              </w:rPr>
            </w:pPr>
          </w:p>
          <w:p>
            <w:pPr>
              <w:widowControl/>
              <w:spacing w:line="360" w:lineRule="auto"/>
              <w:jc w:val="center"/>
              <w:textAlignment w:val="center"/>
              <w:rPr>
                <w:rFonts w:ascii="宋体" w:hAnsi="宋体" w:cs="宋体"/>
                <w:color w:val="000000"/>
                <w:kern w:val="0"/>
                <w:szCs w:val="21"/>
              </w:rPr>
            </w:pPr>
          </w:p>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资信分（12分）</w:t>
            </w:r>
          </w:p>
        </w:tc>
        <w:tc>
          <w:tcPr>
            <w:tcW w:w="14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业绩</w:t>
            </w:r>
          </w:p>
        </w:tc>
        <w:tc>
          <w:tcPr>
            <w:tcW w:w="6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w:t>
            </w:r>
          </w:p>
        </w:tc>
        <w:tc>
          <w:tcPr>
            <w:tcW w:w="67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szCs w:val="21"/>
              </w:rPr>
              <w:t>截止投标时间近三年以来投标人承担类似项目（以合同签订时间为准）实施的成功经验情况，每个成功案例得1分，本项最高得2分。</w:t>
            </w:r>
            <w:r>
              <w:rPr>
                <w:rFonts w:hint="eastAsia" w:ascii="宋体" w:hAnsi="宋体" w:cs="宋体"/>
                <w:b/>
                <w:bCs/>
                <w:color w:val="000000"/>
                <w:szCs w:val="21"/>
              </w:rPr>
              <w:t>提供合同复印件，原件备查。</w:t>
            </w:r>
          </w:p>
        </w:tc>
      </w:tr>
      <w:tr>
        <w:tblPrEx>
          <w:tblCellMar>
            <w:top w:w="0" w:type="dxa"/>
            <w:left w:w="0" w:type="dxa"/>
            <w:bottom w:w="0" w:type="dxa"/>
            <w:right w:w="0" w:type="dxa"/>
          </w:tblCellMar>
        </w:tblPrEx>
        <w:trPr>
          <w:trHeight w:val="23" w:hRule="atLeast"/>
        </w:trPr>
        <w:tc>
          <w:tcPr>
            <w:tcW w:w="99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p>
        </w:tc>
        <w:tc>
          <w:tcPr>
            <w:tcW w:w="14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企业信誉</w:t>
            </w:r>
          </w:p>
        </w:tc>
        <w:tc>
          <w:tcPr>
            <w:tcW w:w="6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9</w:t>
            </w:r>
          </w:p>
        </w:tc>
        <w:tc>
          <w:tcPr>
            <w:tcW w:w="67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szCs w:val="21"/>
              </w:rPr>
              <w:t>1、投标人需同时具备安防资信等级二级及以上资质和电子与智能化工程专业二级及以上资质得2分，缺任何一个不得分；</w:t>
            </w:r>
          </w:p>
          <w:p>
            <w:pPr>
              <w:widowControl/>
              <w:spacing w:line="360" w:lineRule="auto"/>
              <w:jc w:val="left"/>
              <w:textAlignment w:val="center"/>
              <w:rPr>
                <w:rFonts w:ascii="宋体" w:hAnsi="宋体" w:cs="宋体"/>
                <w:color w:val="000000"/>
                <w:szCs w:val="21"/>
              </w:rPr>
            </w:pPr>
            <w:r>
              <w:rPr>
                <w:rFonts w:hint="eastAsia" w:ascii="宋体" w:hAnsi="宋体" w:cs="宋体"/>
                <w:color w:val="000000"/>
                <w:szCs w:val="21"/>
              </w:rPr>
              <w:t>2、投标人具有IOS45001健康管理体系证书、ISO9001质量管理体系认证证书、ISO14001环境管理体系证书、国家级高新技术企业,每个得1分，缺任何一个不得分；</w:t>
            </w:r>
          </w:p>
          <w:p>
            <w:pPr>
              <w:widowControl/>
              <w:spacing w:line="360" w:lineRule="auto"/>
              <w:jc w:val="left"/>
              <w:textAlignment w:val="center"/>
              <w:rPr>
                <w:rFonts w:ascii="宋体" w:hAnsi="宋体" w:cs="宋体"/>
                <w:color w:val="000000"/>
                <w:szCs w:val="21"/>
              </w:rPr>
            </w:pPr>
            <w:r>
              <w:rPr>
                <w:rFonts w:hint="eastAsia" w:ascii="宋体" w:hAnsi="宋体" w:cs="宋体"/>
                <w:color w:val="000000"/>
                <w:szCs w:val="21"/>
              </w:rPr>
              <w:t>3、投标人具有自主研发的设备综合运维管理系统、安防监控集成管理系统、智能化运维管理系统，每个得1分，最高得3分（提供国家版权局颁发的著作权证书）</w:t>
            </w:r>
          </w:p>
        </w:tc>
      </w:tr>
      <w:tr>
        <w:tblPrEx>
          <w:tblCellMar>
            <w:top w:w="0" w:type="dxa"/>
            <w:left w:w="0" w:type="dxa"/>
            <w:bottom w:w="0" w:type="dxa"/>
            <w:right w:w="0" w:type="dxa"/>
          </w:tblCellMar>
        </w:tblPrEx>
        <w:trPr>
          <w:trHeight w:val="23" w:hRule="atLeast"/>
        </w:trPr>
        <w:tc>
          <w:tcPr>
            <w:tcW w:w="99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p>
        </w:tc>
        <w:tc>
          <w:tcPr>
            <w:tcW w:w="14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投标文件的制作情况</w:t>
            </w:r>
          </w:p>
        </w:tc>
        <w:tc>
          <w:tcPr>
            <w:tcW w:w="6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67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rPr>
              <w:t>相关资料的提供情况，是否真实、完整、清晰、有序、合理；</w:t>
            </w:r>
            <w:r>
              <w:rPr>
                <w:rFonts w:hint="eastAsia" w:ascii="宋体" w:hAnsi="宋体" w:cs="宋体"/>
                <w:kern w:val="0"/>
                <w:szCs w:val="21"/>
              </w:rPr>
              <w:t>投标文件是否编制完整、格式规范、内容齐全、表述准确、条理清晰，内容无前后矛盾，符合招标文件要求（1分）。</w:t>
            </w:r>
          </w:p>
        </w:tc>
      </w:tr>
    </w:tbl>
    <w:p>
      <w:pPr>
        <w:rPr>
          <w:rFonts w:ascii="宋体" w:hAnsi="宋体" w:cs="宋体"/>
          <w:b/>
          <w:szCs w:val="21"/>
        </w:rPr>
      </w:pPr>
      <w:r>
        <w:rPr>
          <w:rFonts w:hint="eastAsia" w:ascii="宋体" w:hAnsi="宋体" w:cs="宋体"/>
          <w:b/>
          <w:szCs w:val="21"/>
        </w:rPr>
        <w:t>注：合同复印件（必须包括合同首页、含有项目名称的页面以及签章页）</w:t>
      </w:r>
    </w:p>
    <w:p>
      <w:pPr>
        <w:pStyle w:val="20"/>
        <w:snapToGrid w:val="0"/>
        <w:spacing w:before="157" w:after="157" w:line="360" w:lineRule="auto"/>
        <w:rPr>
          <w:rFonts w:hAnsi="宋体" w:cs="宋体"/>
          <w:b/>
          <w:sz w:val="21"/>
          <w:szCs w:val="21"/>
        </w:rPr>
      </w:pPr>
      <w:r>
        <w:rPr>
          <w:rFonts w:hint="eastAsia" w:hAnsi="宋体" w:cs="宋体"/>
          <w:b/>
          <w:bCs/>
          <w:sz w:val="21"/>
          <w:szCs w:val="21"/>
        </w:rPr>
        <w:t>备注：本项目采用综合评分法确定最终评价得分，并不保证最低投标价格的供应商一定中标。</w:t>
      </w:r>
      <w:r>
        <w:rPr>
          <w:rFonts w:hint="eastAsia" w:hAnsi="宋体" w:cs="宋体"/>
          <w:b/>
          <w:sz w:val="21"/>
          <w:szCs w:val="21"/>
        </w:rPr>
        <w:t>投标报价超过采购人的预算价的将作废标处理；若全部投标报价均超过预算价的，招标人将重新组织招标。</w:t>
      </w:r>
    </w:p>
    <w:p>
      <w:pPr>
        <w:adjustRightInd w:val="0"/>
        <w:snapToGrid w:val="0"/>
        <w:spacing w:line="360" w:lineRule="auto"/>
        <w:rPr>
          <w:rFonts w:ascii="宋体" w:hAnsi="宋体" w:cs="宋体"/>
          <w:b/>
          <w:bCs/>
          <w:szCs w:val="21"/>
        </w:rPr>
      </w:pPr>
      <w:r>
        <w:rPr>
          <w:rFonts w:hint="eastAsia" w:ascii="宋体" w:hAnsi="宋体" w:cs="宋体"/>
          <w:b/>
          <w:bCs/>
          <w:szCs w:val="21"/>
        </w:rPr>
        <w:t>注：</w:t>
      </w:r>
    </w:p>
    <w:p>
      <w:pPr>
        <w:tabs>
          <w:tab w:val="left" w:pos="8820"/>
        </w:tabs>
        <w:adjustRightInd w:val="0"/>
        <w:snapToGrid w:val="0"/>
        <w:spacing w:line="360" w:lineRule="auto"/>
        <w:ind w:firstLine="420" w:firstLineChars="200"/>
        <w:rPr>
          <w:rFonts w:ascii="宋体" w:hAnsi="宋体" w:cs="宋体"/>
          <w:szCs w:val="21"/>
        </w:rPr>
      </w:pPr>
      <w:r>
        <w:rPr>
          <w:rFonts w:hint="eastAsia" w:ascii="宋体" w:hAnsi="宋体" w:cs="宋体"/>
          <w:szCs w:val="21"/>
        </w:rPr>
        <w:t>①根据《政府采购促进中小企业发展暂行办法》（财库[2011]181号）的规定，响应单位为小型或微型企业且所投产品为小型或微型企业生产的，其投标报价扣除6%后参与评审。</w:t>
      </w:r>
    </w:p>
    <w:p>
      <w:pPr>
        <w:tabs>
          <w:tab w:val="left" w:pos="8820"/>
        </w:tabs>
        <w:adjustRightInd w:val="0"/>
        <w:snapToGrid w:val="0"/>
        <w:spacing w:line="360" w:lineRule="auto"/>
        <w:ind w:firstLine="420" w:firstLineChars="200"/>
        <w:rPr>
          <w:rFonts w:ascii="宋体" w:hAnsi="宋体" w:cs="宋体"/>
          <w:szCs w:val="21"/>
        </w:rPr>
      </w:pPr>
      <w:r>
        <w:rPr>
          <w:rFonts w:hint="eastAsia" w:ascii="宋体" w:hAnsi="宋体" w:cs="宋体"/>
          <w:szCs w:val="21"/>
        </w:rPr>
        <w:t>响应文件中须提供：中小企业声明函否则不被认定为中小企业，即投标报价不予扣减。</w:t>
      </w:r>
    </w:p>
    <w:p>
      <w:pPr>
        <w:tabs>
          <w:tab w:val="left" w:pos="8820"/>
        </w:tabs>
        <w:adjustRightInd w:val="0"/>
        <w:snapToGrid w:val="0"/>
        <w:spacing w:line="360" w:lineRule="auto"/>
        <w:ind w:firstLine="420" w:firstLineChars="200"/>
        <w:rPr>
          <w:rFonts w:ascii="宋体" w:hAnsi="宋体" w:cs="宋体"/>
          <w:szCs w:val="21"/>
        </w:rPr>
      </w:pPr>
      <w:r>
        <w:rPr>
          <w:rFonts w:hint="eastAsia" w:ascii="宋体" w:hAnsi="宋体" w:cs="宋体"/>
          <w:szCs w:val="21"/>
        </w:rPr>
        <w:t>②根据《关于政府采购支持监狱企业发展有关问题的通知》（财库[2014]68号）的规定，响应单位如为监狱企业且所投产品为小型或微型企业生产的，其投标报价扣除6%后参与评审。</w:t>
      </w:r>
    </w:p>
    <w:p>
      <w:pPr>
        <w:tabs>
          <w:tab w:val="left" w:pos="8820"/>
        </w:tabs>
        <w:adjustRightInd w:val="0"/>
        <w:snapToGrid w:val="0"/>
        <w:spacing w:line="360" w:lineRule="auto"/>
        <w:ind w:firstLine="420" w:firstLineChars="200"/>
        <w:rPr>
          <w:rFonts w:ascii="宋体" w:hAnsi="宋体" w:cs="宋体"/>
          <w:szCs w:val="21"/>
        </w:rPr>
      </w:pPr>
      <w:r>
        <w:rPr>
          <w:rFonts w:hint="eastAsia" w:ascii="宋体" w:hAnsi="宋体" w:cs="宋体"/>
          <w:szCs w:val="21"/>
        </w:rPr>
        <w:t>响应文件中须同时提供：响应单位的省级以上监狱管理局、戒毒管理局(含新疆生产建设兵团)出具的属于监狱企业的证明文件，投标产品制造商的小微企业证明（当地中小企业行政主管部门出具的中小企业资格确认意见书或者投标截止时间前7日内“国家企业信用信息公示系统—小微企业名录”页面查询结果），未提供完整证明材料的，投标报价不予扣减。</w:t>
      </w:r>
    </w:p>
    <w:p>
      <w:pPr>
        <w:tabs>
          <w:tab w:val="left" w:pos="8820"/>
        </w:tabs>
        <w:spacing w:line="360" w:lineRule="auto"/>
        <w:ind w:firstLine="420" w:firstLineChars="200"/>
        <w:rPr>
          <w:rFonts w:ascii="宋体" w:hAnsi="宋体" w:cs="宋体"/>
          <w:szCs w:val="21"/>
        </w:rPr>
      </w:pPr>
      <w:r>
        <w:rPr>
          <w:rFonts w:hint="eastAsia" w:ascii="宋体" w:hAnsi="宋体" w:cs="宋体"/>
          <w:szCs w:val="21"/>
        </w:rPr>
        <w:t>③根据《财政部、民政部、中国残疾人联合会关于促进残疾人就业政府采购政策的通知》（财库〔2017〕141号）的规定响应单位如为符合条件的残疾人福利性单位，其投标报价扣除6%后参与评审。</w:t>
      </w:r>
      <w:bookmarkStart w:id="41" w:name="_Toc290387327"/>
      <w:bookmarkStart w:id="42" w:name="_Toc372790161"/>
    </w:p>
    <w:p>
      <w:pPr>
        <w:tabs>
          <w:tab w:val="left" w:pos="8820"/>
        </w:tabs>
        <w:spacing w:line="360" w:lineRule="auto"/>
        <w:ind w:firstLine="422" w:firstLineChars="200"/>
        <w:rPr>
          <w:rFonts w:ascii="宋体" w:hAnsi="宋体" w:cs="宋体"/>
          <w:b/>
          <w:bCs/>
          <w:szCs w:val="21"/>
        </w:rPr>
      </w:pPr>
      <w:r>
        <w:rPr>
          <w:rFonts w:hint="eastAsia" w:ascii="宋体" w:hAnsi="宋体" w:cs="宋体"/>
          <w:b/>
          <w:bCs/>
          <w:szCs w:val="21"/>
        </w:rPr>
        <w:t>三、可中止电子交易活动的情形</w:t>
      </w:r>
    </w:p>
    <w:p>
      <w:pPr>
        <w:tabs>
          <w:tab w:val="left" w:pos="8820"/>
        </w:tabs>
        <w:spacing w:line="360" w:lineRule="auto"/>
        <w:ind w:firstLine="420" w:firstLineChars="200"/>
        <w:rPr>
          <w:rFonts w:ascii="宋体" w:hAnsi="宋体" w:cs="宋体"/>
          <w:szCs w:val="21"/>
        </w:rPr>
      </w:pPr>
      <w:r>
        <w:rPr>
          <w:rFonts w:hint="eastAsia" w:ascii="宋体" w:hAnsi="宋体" w:cs="宋体"/>
          <w:szCs w:val="21"/>
        </w:rPr>
        <w:t>采购过程中出现以下情形，导致电子交易平台无法正常运行，或者无法保证电子交易的公平、公正和安全时，采购组织机构可中止电子交易活动：</w:t>
      </w:r>
    </w:p>
    <w:p>
      <w:pPr>
        <w:tabs>
          <w:tab w:val="left" w:pos="8820"/>
        </w:tabs>
        <w:spacing w:line="360" w:lineRule="auto"/>
        <w:ind w:firstLine="420" w:firstLineChars="200"/>
        <w:rPr>
          <w:rFonts w:ascii="宋体" w:hAnsi="宋体" w:cs="宋体"/>
          <w:szCs w:val="21"/>
        </w:rPr>
      </w:pPr>
      <w:r>
        <w:rPr>
          <w:rFonts w:hint="eastAsia" w:ascii="宋体" w:hAnsi="宋体" w:cs="宋体"/>
          <w:szCs w:val="21"/>
        </w:rPr>
        <w:t>1、电子交易平台发生故障而无法登录访问的；</w:t>
      </w:r>
    </w:p>
    <w:p>
      <w:pPr>
        <w:tabs>
          <w:tab w:val="left" w:pos="8820"/>
        </w:tabs>
        <w:spacing w:line="360" w:lineRule="auto"/>
        <w:ind w:firstLine="420" w:firstLineChars="200"/>
        <w:rPr>
          <w:rFonts w:ascii="宋体" w:hAnsi="宋体" w:cs="宋体"/>
          <w:szCs w:val="21"/>
        </w:rPr>
      </w:pPr>
      <w:r>
        <w:rPr>
          <w:rFonts w:hint="eastAsia" w:ascii="宋体" w:hAnsi="宋体" w:cs="宋体"/>
          <w:szCs w:val="21"/>
        </w:rPr>
        <w:t>2、电子交易平台应用或数据库出现错误，不能进行正常操作的；</w:t>
      </w:r>
    </w:p>
    <w:p>
      <w:pPr>
        <w:tabs>
          <w:tab w:val="left" w:pos="8820"/>
        </w:tabs>
        <w:spacing w:line="360" w:lineRule="auto"/>
        <w:ind w:firstLine="420" w:firstLineChars="200"/>
        <w:rPr>
          <w:rFonts w:ascii="宋体" w:hAnsi="宋体" w:cs="宋体"/>
          <w:szCs w:val="21"/>
        </w:rPr>
      </w:pPr>
      <w:r>
        <w:rPr>
          <w:rFonts w:hint="eastAsia" w:ascii="宋体" w:hAnsi="宋体" w:cs="宋体"/>
          <w:szCs w:val="21"/>
        </w:rPr>
        <w:t>3、电子交易平台发现严重安全漏洞，有潜在泄密危险的；</w:t>
      </w:r>
    </w:p>
    <w:p>
      <w:pPr>
        <w:tabs>
          <w:tab w:val="left" w:pos="8820"/>
        </w:tabs>
        <w:spacing w:line="360" w:lineRule="auto"/>
        <w:ind w:firstLine="420" w:firstLineChars="200"/>
        <w:rPr>
          <w:rFonts w:ascii="宋体" w:hAnsi="宋体" w:cs="宋体"/>
          <w:szCs w:val="21"/>
        </w:rPr>
      </w:pPr>
      <w:r>
        <w:rPr>
          <w:rFonts w:hint="eastAsia" w:ascii="宋体" w:hAnsi="宋体" w:cs="宋体"/>
          <w:szCs w:val="21"/>
        </w:rPr>
        <w:t>4、病毒发作导致不能进行正常操作的；</w:t>
      </w:r>
    </w:p>
    <w:p>
      <w:pPr>
        <w:tabs>
          <w:tab w:val="left" w:pos="8820"/>
        </w:tabs>
        <w:spacing w:line="360" w:lineRule="auto"/>
        <w:ind w:firstLine="420" w:firstLineChars="200"/>
        <w:rPr>
          <w:rFonts w:ascii="宋体" w:hAnsi="宋体" w:cs="宋体"/>
          <w:szCs w:val="21"/>
        </w:rPr>
      </w:pPr>
      <w:r>
        <w:rPr>
          <w:rFonts w:hint="eastAsia" w:ascii="宋体" w:hAnsi="宋体" w:cs="宋体"/>
          <w:szCs w:val="21"/>
        </w:rPr>
        <w:t>5、其他无法保证电子交易的公平、公正和安全的情况。</w:t>
      </w:r>
    </w:p>
    <w:p>
      <w:pPr>
        <w:tabs>
          <w:tab w:val="left" w:pos="8820"/>
        </w:tabs>
        <w:spacing w:line="360" w:lineRule="auto"/>
        <w:ind w:firstLine="420" w:firstLineChars="200"/>
        <w:rPr>
          <w:rFonts w:ascii="宋体" w:hAnsi="宋体" w:cs="宋体"/>
          <w:b/>
          <w:bCs/>
          <w:szCs w:val="21"/>
        </w:rPr>
      </w:pPr>
      <w:r>
        <w:rPr>
          <w:rFonts w:hint="eastAsia" w:ascii="宋体" w:hAnsi="宋体" w:cs="宋体"/>
          <w:szCs w:val="21"/>
        </w:rPr>
        <w:t>出现前款规定情形，不影响采购公平、公正性的，采购组织机构可以待上述情形消除后继续组织电子交易活动；影响或可能影响采购公平、公正性的，应当重新采购。</w:t>
      </w:r>
      <w:r>
        <w:rPr>
          <w:rFonts w:hint="eastAsia" w:ascii="宋体" w:hAnsi="宋体" w:cs="宋体"/>
          <w:b/>
          <w:bCs/>
          <w:szCs w:val="21"/>
        </w:rPr>
        <w:t xml:space="preserve">    </w:t>
      </w:r>
    </w:p>
    <w:p>
      <w:pPr>
        <w:tabs>
          <w:tab w:val="left" w:pos="8820"/>
        </w:tabs>
        <w:spacing w:line="360" w:lineRule="auto"/>
        <w:ind w:firstLine="422" w:firstLineChars="200"/>
        <w:rPr>
          <w:rFonts w:ascii="宋体" w:hAnsi="宋体" w:cs="宋体"/>
          <w:b/>
          <w:bCs/>
          <w:szCs w:val="21"/>
        </w:rPr>
      </w:pPr>
    </w:p>
    <w:p>
      <w:pPr>
        <w:tabs>
          <w:tab w:val="left" w:pos="8820"/>
        </w:tabs>
        <w:spacing w:line="360" w:lineRule="auto"/>
        <w:ind w:firstLine="422" w:firstLineChars="200"/>
        <w:rPr>
          <w:rFonts w:ascii="宋体" w:hAnsi="宋体" w:cs="宋体"/>
          <w:b/>
          <w:bCs/>
          <w:szCs w:val="21"/>
        </w:rPr>
      </w:pPr>
    </w:p>
    <w:p>
      <w:pPr>
        <w:tabs>
          <w:tab w:val="left" w:pos="8820"/>
        </w:tabs>
        <w:spacing w:line="360" w:lineRule="auto"/>
        <w:ind w:firstLine="422" w:firstLineChars="200"/>
        <w:rPr>
          <w:rFonts w:ascii="宋体" w:hAnsi="宋体" w:cs="宋体"/>
          <w:b/>
          <w:bCs/>
          <w:szCs w:val="21"/>
        </w:rPr>
      </w:pPr>
    </w:p>
    <w:p>
      <w:pPr>
        <w:tabs>
          <w:tab w:val="left" w:pos="8820"/>
        </w:tabs>
        <w:spacing w:line="360" w:lineRule="auto"/>
        <w:ind w:firstLine="422" w:firstLineChars="200"/>
        <w:rPr>
          <w:rFonts w:ascii="宋体" w:hAnsi="宋体" w:cs="宋体"/>
          <w:b/>
          <w:bCs/>
          <w:szCs w:val="21"/>
        </w:rPr>
      </w:pPr>
    </w:p>
    <w:p>
      <w:pPr>
        <w:tabs>
          <w:tab w:val="left" w:pos="8820"/>
        </w:tabs>
        <w:spacing w:line="360" w:lineRule="auto"/>
        <w:ind w:firstLine="422" w:firstLineChars="200"/>
        <w:rPr>
          <w:rFonts w:ascii="宋体" w:hAnsi="宋体" w:cs="宋体"/>
          <w:b/>
          <w:bCs/>
          <w:szCs w:val="21"/>
        </w:rPr>
      </w:pPr>
    </w:p>
    <w:p>
      <w:pPr>
        <w:pStyle w:val="78"/>
        <w:rPr>
          <w:rFonts w:cs="宋体"/>
          <w:b/>
          <w:bCs/>
          <w:szCs w:val="21"/>
        </w:rPr>
      </w:pPr>
    </w:p>
    <w:p>
      <w:pPr>
        <w:pStyle w:val="78"/>
        <w:rPr>
          <w:rFonts w:cs="宋体"/>
          <w:b/>
          <w:bCs/>
          <w:szCs w:val="21"/>
        </w:rPr>
      </w:pPr>
    </w:p>
    <w:p>
      <w:pPr>
        <w:pStyle w:val="78"/>
        <w:rPr>
          <w:rFonts w:cs="宋体"/>
          <w:b/>
          <w:bCs/>
          <w:szCs w:val="21"/>
        </w:rPr>
      </w:pPr>
    </w:p>
    <w:p>
      <w:pPr>
        <w:pStyle w:val="78"/>
        <w:rPr>
          <w:rFonts w:cs="宋体"/>
          <w:b/>
          <w:bCs/>
          <w:szCs w:val="21"/>
        </w:rPr>
      </w:pPr>
    </w:p>
    <w:p>
      <w:pPr>
        <w:pStyle w:val="78"/>
        <w:rPr>
          <w:rFonts w:cs="宋体"/>
          <w:b/>
          <w:bCs/>
          <w:szCs w:val="21"/>
        </w:rPr>
      </w:pPr>
    </w:p>
    <w:p>
      <w:pPr>
        <w:pStyle w:val="78"/>
        <w:rPr>
          <w:rFonts w:cs="宋体"/>
          <w:b/>
          <w:bCs/>
          <w:szCs w:val="21"/>
        </w:rPr>
      </w:pPr>
    </w:p>
    <w:p>
      <w:pPr>
        <w:pStyle w:val="78"/>
        <w:rPr>
          <w:rFonts w:cs="宋体"/>
          <w:b/>
          <w:bCs/>
          <w:szCs w:val="21"/>
        </w:rPr>
      </w:pPr>
    </w:p>
    <w:p>
      <w:pPr>
        <w:pStyle w:val="78"/>
        <w:rPr>
          <w:rFonts w:cs="宋体"/>
          <w:b/>
          <w:bCs/>
          <w:szCs w:val="21"/>
        </w:rPr>
      </w:pPr>
    </w:p>
    <w:p>
      <w:pPr>
        <w:pStyle w:val="78"/>
        <w:rPr>
          <w:rFonts w:cs="宋体"/>
          <w:b/>
          <w:bCs/>
          <w:szCs w:val="21"/>
        </w:rPr>
      </w:pPr>
    </w:p>
    <w:p>
      <w:pPr>
        <w:pStyle w:val="78"/>
        <w:rPr>
          <w:rFonts w:cs="宋体"/>
          <w:b/>
          <w:bCs/>
          <w:szCs w:val="21"/>
        </w:rPr>
      </w:pPr>
    </w:p>
    <w:p>
      <w:pPr>
        <w:pStyle w:val="78"/>
        <w:rPr>
          <w:rFonts w:cs="宋体"/>
          <w:b/>
          <w:bCs/>
          <w:szCs w:val="21"/>
        </w:rPr>
      </w:pPr>
    </w:p>
    <w:p>
      <w:pPr>
        <w:pStyle w:val="78"/>
        <w:rPr>
          <w:rFonts w:cs="宋体"/>
          <w:b/>
          <w:bCs/>
          <w:szCs w:val="21"/>
        </w:rPr>
      </w:pPr>
    </w:p>
    <w:p>
      <w:pPr>
        <w:pStyle w:val="78"/>
        <w:rPr>
          <w:rFonts w:cs="宋体"/>
          <w:b/>
          <w:bCs/>
          <w:szCs w:val="21"/>
        </w:rPr>
      </w:pPr>
    </w:p>
    <w:p>
      <w:pPr>
        <w:pStyle w:val="78"/>
        <w:rPr>
          <w:rFonts w:cs="宋体"/>
          <w:b/>
          <w:bCs/>
          <w:szCs w:val="21"/>
        </w:rPr>
      </w:pPr>
    </w:p>
    <w:p>
      <w:pPr>
        <w:pStyle w:val="78"/>
        <w:rPr>
          <w:rFonts w:cs="宋体"/>
          <w:b/>
          <w:bCs/>
          <w:szCs w:val="21"/>
        </w:rPr>
      </w:pPr>
    </w:p>
    <w:p>
      <w:pPr>
        <w:pStyle w:val="78"/>
        <w:rPr>
          <w:rFonts w:cs="宋体"/>
          <w:b/>
          <w:bCs/>
          <w:szCs w:val="21"/>
        </w:rPr>
      </w:pPr>
    </w:p>
    <w:p>
      <w:pPr>
        <w:pStyle w:val="78"/>
        <w:rPr>
          <w:rFonts w:cs="宋体"/>
          <w:b/>
          <w:bCs/>
          <w:szCs w:val="21"/>
        </w:rPr>
      </w:pPr>
    </w:p>
    <w:p>
      <w:pPr>
        <w:tabs>
          <w:tab w:val="left" w:pos="8820"/>
        </w:tabs>
        <w:spacing w:line="360" w:lineRule="auto"/>
        <w:ind w:firstLine="1285" w:firstLineChars="400"/>
        <w:rPr>
          <w:rFonts w:hAnsi="宋体" w:cs="宋体"/>
          <w:b/>
          <w:bCs/>
          <w:sz w:val="32"/>
          <w:szCs w:val="32"/>
        </w:rPr>
      </w:pPr>
    </w:p>
    <w:p>
      <w:pPr>
        <w:tabs>
          <w:tab w:val="left" w:pos="8820"/>
        </w:tabs>
        <w:spacing w:line="360" w:lineRule="auto"/>
        <w:ind w:firstLine="1285" w:firstLineChars="400"/>
        <w:rPr>
          <w:rFonts w:hAnsi="宋体" w:cs="宋体"/>
          <w:b/>
          <w:bCs/>
          <w:sz w:val="32"/>
          <w:szCs w:val="32"/>
        </w:rPr>
      </w:pPr>
    </w:p>
    <w:p>
      <w:pPr>
        <w:tabs>
          <w:tab w:val="left" w:pos="8820"/>
        </w:tabs>
        <w:spacing w:line="360" w:lineRule="auto"/>
        <w:rPr>
          <w:rFonts w:hAnsi="宋体" w:cs="宋体"/>
          <w:b/>
          <w:bCs/>
          <w:sz w:val="32"/>
          <w:szCs w:val="32"/>
        </w:rPr>
      </w:pPr>
    </w:p>
    <w:p>
      <w:pPr>
        <w:tabs>
          <w:tab w:val="left" w:pos="8820"/>
        </w:tabs>
        <w:spacing w:line="360" w:lineRule="auto"/>
        <w:ind w:firstLine="1285" w:firstLineChars="400"/>
        <w:rPr>
          <w:rFonts w:ascii="宋体" w:hAnsi="宋体" w:cs="宋体"/>
          <w:b/>
          <w:bCs/>
          <w:szCs w:val="21"/>
        </w:rPr>
      </w:pPr>
      <w:r>
        <w:rPr>
          <w:rFonts w:hint="eastAsia" w:hAnsi="宋体" w:cs="宋体"/>
          <w:b/>
          <w:bCs/>
          <w:sz w:val="32"/>
          <w:szCs w:val="32"/>
        </w:rPr>
        <w:t xml:space="preserve">第四章  招标内容及技术需求（技术规格书）                    </w:t>
      </w:r>
      <w:r>
        <w:rPr>
          <w:rFonts w:hint="eastAsia" w:ascii="宋体" w:hAnsi="宋体" w:cs="宋体"/>
          <w:b/>
          <w:bCs/>
          <w:szCs w:val="21"/>
        </w:rPr>
        <w:t xml:space="preserve"> </w:t>
      </w:r>
    </w:p>
    <w:p>
      <w:pPr>
        <w:tabs>
          <w:tab w:val="left" w:pos="8820"/>
        </w:tabs>
        <w:ind w:firstLine="420" w:firstLineChars="200"/>
        <w:jc w:val="left"/>
        <w:rPr>
          <w:rFonts w:ascii="宋体" w:hAnsi="宋体" w:cs="宋体"/>
          <w:szCs w:val="21"/>
        </w:rPr>
      </w:pPr>
    </w:p>
    <w:p>
      <w:pPr>
        <w:tabs>
          <w:tab w:val="left" w:pos="8820"/>
        </w:tabs>
        <w:ind w:firstLine="422" w:firstLineChars="200"/>
        <w:jc w:val="left"/>
        <w:rPr>
          <w:rFonts w:ascii="宋体" w:hAnsi="宋体" w:cs="宋体"/>
          <w:b/>
          <w:bCs/>
          <w:szCs w:val="21"/>
        </w:rPr>
      </w:pPr>
      <w:r>
        <w:rPr>
          <w:rFonts w:hint="eastAsia" w:ascii="宋体" w:hAnsi="宋体" w:cs="宋体"/>
          <w:b/>
          <w:bCs/>
          <w:szCs w:val="21"/>
        </w:rPr>
        <w:t>供应商须知：指标按重要性分为“▲”、 “★”和一般无标示指标。▲代表实质性指标，不满足该指标将做无效标处理， ★代表重要指标，无标识则表示一般指标项。</w:t>
      </w:r>
    </w:p>
    <w:p>
      <w:pPr>
        <w:tabs>
          <w:tab w:val="left" w:pos="8820"/>
        </w:tabs>
        <w:spacing w:line="360" w:lineRule="auto"/>
        <w:jc w:val="left"/>
        <w:rPr>
          <w:rFonts w:ascii="宋体" w:hAnsi="宋体" w:cs="宋体"/>
          <w:szCs w:val="21"/>
        </w:rPr>
      </w:pPr>
    </w:p>
    <w:p>
      <w:pPr>
        <w:tabs>
          <w:tab w:val="left" w:pos="8820"/>
        </w:tabs>
        <w:spacing w:line="360" w:lineRule="auto"/>
        <w:jc w:val="left"/>
        <w:rPr>
          <w:rFonts w:ascii="宋体" w:hAnsi="宋体" w:cs="宋体"/>
          <w:b/>
          <w:sz w:val="22"/>
          <w:szCs w:val="21"/>
        </w:rPr>
      </w:pPr>
      <w:r>
        <w:rPr>
          <w:rFonts w:hint="eastAsia" w:ascii="宋体" w:hAnsi="宋体" w:cs="宋体"/>
          <w:szCs w:val="21"/>
        </w:rPr>
        <w:t>一、</w:t>
      </w:r>
      <w:r>
        <w:rPr>
          <w:rFonts w:hint="eastAsia" w:ascii="宋体" w:hAnsi="宋体" w:cs="宋体"/>
          <w:b/>
          <w:sz w:val="22"/>
          <w:szCs w:val="21"/>
        </w:rPr>
        <w:t>项目概况及建设需求</w:t>
      </w:r>
    </w:p>
    <w:p>
      <w:pPr>
        <w:spacing w:line="360" w:lineRule="auto"/>
        <w:ind w:firstLine="420"/>
      </w:pPr>
      <w:r>
        <w:rPr>
          <w:rFonts w:hint="eastAsia"/>
        </w:rPr>
        <w:t>目前杭州市中级人民法院的安全防范系统</w:t>
      </w:r>
      <w:r>
        <w:t>运行时间已10</w:t>
      </w:r>
      <w:r>
        <w:rPr>
          <w:rFonts w:hint="eastAsia"/>
        </w:rPr>
        <w:t>余</w:t>
      </w:r>
      <w:r>
        <w:t>年，因</w:t>
      </w:r>
      <w:r>
        <w:rPr>
          <w:rFonts w:hint="eastAsia"/>
        </w:rPr>
        <w:t>安全防范</w:t>
      </w:r>
      <w:r>
        <w:t>系统的老化与磨损，已陆续开始出现问题</w:t>
      </w:r>
      <w:r>
        <w:rPr>
          <w:rFonts w:hint="eastAsia"/>
        </w:rPr>
        <w:t>。</w:t>
      </w:r>
      <w:r>
        <w:t>虽运维公司对其进行了维修与保养，但自然原因造成的设备老化、线路损坏、使用寿命、院区施工改造等原因造成设备经常故障，同时</w:t>
      </w:r>
      <w:r>
        <w:rPr>
          <w:rFonts w:hint="eastAsia"/>
        </w:rPr>
        <w:t>维修的</w:t>
      </w:r>
      <w:r>
        <w:t>配件（国外品牌）限制问题，对出现的问题很难进行及时的根治，如此长期以往会对其他设备造成损坏，更严重会造成整个</w:t>
      </w:r>
      <w:r>
        <w:rPr>
          <w:rFonts w:hint="eastAsia"/>
        </w:rPr>
        <w:t>安防</w:t>
      </w:r>
      <w:r>
        <w:t>系统的瘫痪</w:t>
      </w:r>
      <w:r>
        <w:rPr>
          <w:rFonts w:hint="eastAsia"/>
        </w:rPr>
        <w:t>。因此杭州市中级人民法院的安全防范体系已逐渐无法满足法院整体的信息化进程，针对安防系统的全面建设已经迫在眉睫。</w:t>
      </w:r>
    </w:p>
    <w:p>
      <w:pPr>
        <w:spacing w:line="360" w:lineRule="auto"/>
        <w:ind w:firstLine="420"/>
        <w:rPr>
          <w:rFonts w:hAnsi="宋体"/>
        </w:rPr>
      </w:pPr>
      <w:r>
        <w:rPr>
          <w:rFonts w:hint="eastAsia" w:hAnsi="宋体"/>
        </w:rPr>
        <w:t>本次院区安防建设主要包含三个部分。</w:t>
      </w:r>
    </w:p>
    <w:p>
      <w:pPr>
        <w:spacing w:line="360" w:lineRule="auto"/>
        <w:ind w:firstLine="420"/>
      </w:pPr>
      <w:r>
        <w:rPr>
          <w:rFonts w:hint="eastAsia"/>
        </w:rPr>
        <w:t>1、对于周界防范系统进行全面信息化建设，运用视频智能分析(通过软件平台结合前端智能摄像机的方式)、生物探测等多种方式打造立体防控圈。包括：电子围栏系统、雷球联动系统、热成像区域入侵监测系统。</w:t>
      </w:r>
    </w:p>
    <w:p>
      <w:pPr>
        <w:spacing w:line="360" w:lineRule="auto"/>
        <w:ind w:firstLine="420"/>
      </w:pPr>
      <w:r>
        <w:rPr>
          <w:rFonts w:hint="eastAsia"/>
        </w:rPr>
        <w:t>2、对于视频监控系统进行全面的覆盖式设计，需要实现在出入口、周界、楼主干道、办案区、办公区、停车场、</w:t>
      </w:r>
      <w:r>
        <w:t>电梯</w:t>
      </w:r>
      <w:r>
        <w:rPr>
          <w:rFonts w:hint="eastAsia"/>
        </w:rPr>
        <w:t>、羁押区等地点进行实时全天候监控。此外借助人脸识别及三维建模等多种技术手段全面实现人车智能化管从人防、物防到技防的信息化升级。</w:t>
      </w:r>
    </w:p>
    <w:p>
      <w:pPr>
        <w:spacing w:line="360" w:lineRule="auto"/>
        <w:ind w:firstLine="420"/>
      </w:pPr>
      <w:r>
        <w:rPr>
          <w:rFonts w:hint="eastAsia"/>
        </w:rPr>
        <w:t>3、对法庭安保系统进行覆盖建设，建设全区域音视频监控系统、法庭一键报警系统。</w:t>
      </w:r>
    </w:p>
    <w:p>
      <w:pPr>
        <w:spacing w:line="360" w:lineRule="auto"/>
        <w:ind w:firstLine="420"/>
      </w:pPr>
      <w:r>
        <w:rPr>
          <w:rFonts w:hint="eastAsia"/>
        </w:rPr>
        <w:t>项目按照目前国内领先技术的产品进行设计，同时运用数字计算、三维感知、A</w:t>
      </w:r>
      <w:r>
        <w:t>R</w:t>
      </w:r>
      <w:r>
        <w:rPr>
          <w:rFonts w:hint="eastAsia"/>
        </w:rPr>
        <w:t>分析等前沿技术，打造一个全新的安防体系。</w:t>
      </w:r>
    </w:p>
    <w:p>
      <w:pPr>
        <w:spacing w:line="360" w:lineRule="auto"/>
        <w:ind w:firstLine="420"/>
      </w:pPr>
      <w:r>
        <w:rPr>
          <w:rFonts w:hint="eastAsia"/>
        </w:rPr>
        <w:t>通过对法院外围区域的三维建模，在安防设备的实际安装位置上，同样放置摄像机三维模型，按类型放置枪机、球机、半球机等的设备1:1比例模型。</w:t>
      </w:r>
    </w:p>
    <w:p>
      <w:pPr>
        <w:spacing w:line="360" w:lineRule="auto"/>
        <w:ind w:firstLine="420"/>
      </w:pPr>
      <w:r>
        <w:rPr>
          <w:rFonts w:hint="eastAsia"/>
        </w:rPr>
        <w:t>实现对区域的所有图上摄像机可通过视频图标方式查看综合分布情况；支持对室外、室内的相机分布区分。</w:t>
      </w:r>
    </w:p>
    <w:p>
      <w:pPr>
        <w:spacing w:line="360" w:lineRule="auto"/>
        <w:ind w:firstLine="420"/>
      </w:pPr>
      <w:r>
        <w:rPr>
          <w:rFonts w:hint="eastAsia"/>
        </w:rPr>
        <w:t>通过相机的预览画面，构建该相机的视景可视区域，数字化表达监控的盲区、盲点。</w:t>
      </w:r>
    </w:p>
    <w:p>
      <w:pPr>
        <w:spacing w:line="360" w:lineRule="auto"/>
        <w:ind w:firstLine="420"/>
      </w:pPr>
      <w:r>
        <w:rPr>
          <w:rFonts w:hint="eastAsia"/>
        </w:rPr>
        <w:t>实现点击相机模型，弹出该相机的实时预览及回放；支持鼠标移动到相机图标，显示该相机的可视区域，辅助操作人员对相机监控范围的直观图形化表达。</w:t>
      </w:r>
    </w:p>
    <w:p>
      <w:pPr>
        <w:spacing w:line="360" w:lineRule="auto"/>
        <w:ind w:firstLine="420"/>
      </w:pPr>
      <w:r>
        <w:rPr>
          <w:rFonts w:hint="eastAsia"/>
        </w:rPr>
        <w:t>实现对接人脸报警，周界电子围栏等报警信息；对各类报警信息能够按照不同地图响应方式来对报警信号划分报警等级；支持报警按照数量、类型及已/未处理进行统计。</w:t>
      </w:r>
    </w:p>
    <w:p>
      <w:pPr>
        <w:spacing w:line="360" w:lineRule="auto"/>
        <w:ind w:firstLine="420"/>
      </w:pPr>
      <w:r>
        <w:rPr>
          <w:rFonts w:hint="eastAsia"/>
        </w:rPr>
        <w:t>实现人脸相机分布查看；支持人员黑名单告警，重点人员布控，主动弹出相应人脸相机预览；支持以图搜图查询人像对比结果，并对查询结果形成人脸轨迹。</w:t>
      </w:r>
    </w:p>
    <w:p>
      <w:pPr>
        <w:spacing w:line="360" w:lineRule="auto"/>
        <w:ind w:firstLine="420"/>
      </w:pPr>
      <w:r>
        <w:rPr>
          <w:rFonts w:hint="eastAsia"/>
        </w:rPr>
        <w:t>根据建模内的道路路网，进行智能分段，在区域内根据分段的道路路网，模拟巡逻人员沿着道路行走，对沿线的视频点位进行自动巡逻；对分段道路无限制，可以模拟巡逻人员走到任意的分段道路，无死角的进行自动巡逻。</w:t>
      </w:r>
    </w:p>
    <w:p>
      <w:pPr>
        <w:spacing w:line="360" w:lineRule="auto"/>
        <w:ind w:firstLine="420"/>
      </w:pPr>
      <w:r>
        <w:rPr>
          <w:rFonts w:hint="eastAsia"/>
        </w:rPr>
        <w:t>实现所有的视频都基于地面可视区域的地理结构化数据进行准确分析，在三维场景中通过鼠标模拟勾画一条人员逃跑路线，分析出能够看到该路线上的所有相机画面</w:t>
      </w:r>
    </w:p>
    <w:p>
      <w:pPr>
        <w:spacing w:line="360" w:lineRule="auto"/>
        <w:ind w:firstLine="420"/>
      </w:pPr>
      <w:r>
        <w:rPr>
          <w:rFonts w:hint="eastAsia"/>
        </w:rPr>
        <w:t>根据最高院的建设规划，实现杭州中院“六专四室”的建设内容。</w:t>
      </w:r>
    </w:p>
    <w:p>
      <w:pPr>
        <w:ind w:firstLine="420"/>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firstLine="0"/>
      </w:pPr>
    </w:p>
    <w:p>
      <w:pPr>
        <w:pStyle w:val="2"/>
        <w:ind w:firstLine="0"/>
      </w:pPr>
    </w:p>
    <w:p>
      <w:pPr>
        <w:tabs>
          <w:tab w:val="left" w:pos="8820"/>
        </w:tabs>
        <w:jc w:val="left"/>
        <w:rPr>
          <w:rFonts w:ascii="宋体" w:hAnsi="宋体" w:cs="宋体"/>
          <w:szCs w:val="21"/>
        </w:rPr>
      </w:pPr>
    </w:p>
    <w:p>
      <w:pPr>
        <w:tabs>
          <w:tab w:val="left" w:pos="8820"/>
        </w:tabs>
        <w:jc w:val="left"/>
        <w:rPr>
          <w:rFonts w:ascii="宋体" w:hAnsi="宋体" w:cs="宋体"/>
          <w:szCs w:val="21"/>
        </w:rPr>
      </w:pPr>
    </w:p>
    <w:p>
      <w:pPr>
        <w:tabs>
          <w:tab w:val="left" w:pos="8820"/>
        </w:tabs>
        <w:jc w:val="left"/>
        <w:rPr>
          <w:rFonts w:ascii="宋体" w:hAnsi="宋体" w:cs="宋体"/>
          <w:szCs w:val="21"/>
        </w:rPr>
      </w:pPr>
    </w:p>
    <w:p>
      <w:pPr>
        <w:tabs>
          <w:tab w:val="left" w:pos="8820"/>
        </w:tabs>
        <w:jc w:val="left"/>
        <w:rPr>
          <w:rFonts w:ascii="宋体" w:hAnsi="宋体" w:cs="宋体"/>
          <w:szCs w:val="21"/>
        </w:rPr>
      </w:pPr>
    </w:p>
    <w:p>
      <w:pPr>
        <w:tabs>
          <w:tab w:val="left" w:pos="8820"/>
        </w:tabs>
        <w:jc w:val="left"/>
        <w:rPr>
          <w:rFonts w:ascii="宋体" w:hAnsi="宋体" w:cs="宋体"/>
          <w:szCs w:val="21"/>
        </w:rPr>
      </w:pPr>
    </w:p>
    <w:p>
      <w:pPr>
        <w:tabs>
          <w:tab w:val="left" w:pos="8820"/>
        </w:tabs>
        <w:jc w:val="left"/>
        <w:rPr>
          <w:rFonts w:ascii="宋体" w:hAnsi="宋体" w:cs="宋体"/>
          <w:szCs w:val="21"/>
        </w:rPr>
      </w:pPr>
    </w:p>
    <w:p>
      <w:pPr>
        <w:tabs>
          <w:tab w:val="left" w:pos="8820"/>
        </w:tabs>
        <w:jc w:val="left"/>
        <w:rPr>
          <w:rFonts w:ascii="宋体" w:hAnsi="宋体" w:cs="宋体"/>
          <w:szCs w:val="21"/>
        </w:rPr>
      </w:pPr>
    </w:p>
    <w:p>
      <w:pPr>
        <w:tabs>
          <w:tab w:val="left" w:pos="8820"/>
        </w:tabs>
        <w:jc w:val="left"/>
        <w:rPr>
          <w:rFonts w:ascii="宋体" w:hAnsi="宋体" w:cs="宋体"/>
          <w:szCs w:val="21"/>
        </w:rPr>
      </w:pPr>
    </w:p>
    <w:p>
      <w:pPr>
        <w:tabs>
          <w:tab w:val="left" w:pos="8820"/>
        </w:tabs>
        <w:jc w:val="left"/>
        <w:rPr>
          <w:rFonts w:ascii="宋体" w:hAnsi="宋体" w:cs="宋体"/>
          <w:szCs w:val="21"/>
        </w:rPr>
      </w:pPr>
    </w:p>
    <w:p>
      <w:pPr>
        <w:tabs>
          <w:tab w:val="left" w:pos="8820"/>
        </w:tabs>
        <w:jc w:val="left"/>
        <w:rPr>
          <w:rFonts w:ascii="宋体" w:hAnsi="宋体" w:cs="宋体"/>
          <w:szCs w:val="21"/>
        </w:rPr>
      </w:pPr>
    </w:p>
    <w:p>
      <w:pPr>
        <w:tabs>
          <w:tab w:val="left" w:pos="8820"/>
        </w:tabs>
        <w:jc w:val="left"/>
        <w:rPr>
          <w:rFonts w:ascii="宋体" w:hAnsi="宋体" w:cs="宋体"/>
          <w:szCs w:val="21"/>
        </w:rPr>
      </w:pPr>
    </w:p>
    <w:p>
      <w:pPr>
        <w:tabs>
          <w:tab w:val="left" w:pos="8820"/>
        </w:tabs>
        <w:jc w:val="left"/>
        <w:rPr>
          <w:rFonts w:ascii="宋体" w:hAnsi="宋体" w:cs="宋体"/>
          <w:szCs w:val="21"/>
        </w:rPr>
      </w:pPr>
    </w:p>
    <w:p>
      <w:pPr>
        <w:tabs>
          <w:tab w:val="left" w:pos="8820"/>
        </w:tabs>
        <w:jc w:val="left"/>
        <w:rPr>
          <w:rFonts w:ascii="宋体" w:hAnsi="宋体" w:cs="宋体"/>
          <w:szCs w:val="21"/>
        </w:rPr>
      </w:pPr>
    </w:p>
    <w:p>
      <w:pPr>
        <w:tabs>
          <w:tab w:val="left" w:pos="8820"/>
        </w:tabs>
        <w:jc w:val="left"/>
        <w:rPr>
          <w:rFonts w:ascii="宋体" w:hAnsi="宋体" w:cs="宋体"/>
          <w:szCs w:val="21"/>
        </w:rPr>
      </w:pPr>
    </w:p>
    <w:p>
      <w:pPr>
        <w:tabs>
          <w:tab w:val="left" w:pos="8820"/>
        </w:tabs>
        <w:jc w:val="left"/>
        <w:rPr>
          <w:rFonts w:ascii="宋体" w:hAnsi="宋体" w:cs="宋体"/>
          <w:szCs w:val="21"/>
        </w:rPr>
      </w:pPr>
    </w:p>
    <w:p>
      <w:pPr>
        <w:tabs>
          <w:tab w:val="left" w:pos="8820"/>
        </w:tabs>
        <w:jc w:val="left"/>
        <w:rPr>
          <w:rFonts w:ascii="宋体" w:hAnsi="宋体" w:cs="宋体"/>
          <w:szCs w:val="21"/>
        </w:rPr>
      </w:pPr>
    </w:p>
    <w:p>
      <w:pPr>
        <w:tabs>
          <w:tab w:val="left" w:pos="8820"/>
        </w:tabs>
        <w:jc w:val="left"/>
        <w:rPr>
          <w:rFonts w:ascii="宋体" w:hAnsi="宋体" w:cs="宋体"/>
          <w:szCs w:val="21"/>
        </w:rPr>
      </w:pPr>
    </w:p>
    <w:p>
      <w:pPr>
        <w:tabs>
          <w:tab w:val="left" w:pos="8820"/>
        </w:tabs>
        <w:jc w:val="left"/>
        <w:rPr>
          <w:rFonts w:ascii="宋体" w:hAnsi="宋体" w:cs="宋体"/>
          <w:szCs w:val="21"/>
        </w:rPr>
      </w:pPr>
    </w:p>
    <w:p>
      <w:pPr>
        <w:tabs>
          <w:tab w:val="left" w:pos="8820"/>
        </w:tabs>
        <w:jc w:val="left"/>
        <w:rPr>
          <w:rFonts w:ascii="宋体" w:hAnsi="宋体" w:cs="宋体"/>
          <w:szCs w:val="21"/>
        </w:rPr>
      </w:pPr>
    </w:p>
    <w:p>
      <w:pPr>
        <w:tabs>
          <w:tab w:val="left" w:pos="8820"/>
        </w:tabs>
        <w:jc w:val="left"/>
        <w:rPr>
          <w:rFonts w:ascii="宋体" w:hAnsi="宋体" w:cs="宋体"/>
          <w:szCs w:val="21"/>
        </w:rPr>
      </w:pPr>
    </w:p>
    <w:p>
      <w:pPr>
        <w:tabs>
          <w:tab w:val="left" w:pos="8820"/>
        </w:tabs>
        <w:jc w:val="left"/>
        <w:rPr>
          <w:rFonts w:ascii="宋体" w:hAnsi="宋体" w:cs="宋体"/>
          <w:szCs w:val="21"/>
        </w:rPr>
      </w:pPr>
    </w:p>
    <w:p>
      <w:pPr>
        <w:tabs>
          <w:tab w:val="left" w:pos="8820"/>
        </w:tabs>
        <w:jc w:val="left"/>
        <w:rPr>
          <w:rFonts w:ascii="宋体" w:hAnsi="宋体" w:cs="宋体"/>
          <w:szCs w:val="21"/>
        </w:rPr>
      </w:pPr>
    </w:p>
    <w:p>
      <w:pPr>
        <w:tabs>
          <w:tab w:val="left" w:pos="8820"/>
        </w:tabs>
        <w:jc w:val="left"/>
        <w:rPr>
          <w:rFonts w:ascii="宋体" w:hAnsi="宋体" w:cs="宋体"/>
          <w:szCs w:val="21"/>
        </w:rPr>
      </w:pPr>
    </w:p>
    <w:p>
      <w:pPr>
        <w:tabs>
          <w:tab w:val="left" w:pos="8820"/>
        </w:tabs>
        <w:jc w:val="left"/>
        <w:rPr>
          <w:rFonts w:ascii="宋体" w:hAnsi="宋体" w:cs="宋体"/>
          <w:b/>
          <w:sz w:val="32"/>
          <w:szCs w:val="32"/>
        </w:rPr>
      </w:pPr>
      <w:r>
        <w:rPr>
          <w:rFonts w:hint="eastAsia" w:ascii="宋体" w:hAnsi="宋体" w:cs="宋体"/>
          <w:sz w:val="32"/>
          <w:szCs w:val="32"/>
        </w:rPr>
        <w:t>二、</w:t>
      </w:r>
      <w:r>
        <w:rPr>
          <w:rFonts w:hint="eastAsia" w:ascii="宋体" w:hAnsi="宋体" w:cs="宋体"/>
          <w:b/>
          <w:sz w:val="32"/>
          <w:szCs w:val="32"/>
        </w:rPr>
        <w:t>设备购置清单及参数要求</w:t>
      </w:r>
    </w:p>
    <w:p>
      <w:pPr>
        <w:pStyle w:val="20"/>
        <w:snapToGrid w:val="0"/>
        <w:spacing w:before="157" w:after="157" w:line="360" w:lineRule="auto"/>
        <w:ind w:firstLine="422"/>
      </w:pPr>
      <w:r>
        <w:rPr>
          <w:rFonts w:hint="eastAsia" w:hAnsi="宋体" w:cs="宋体"/>
          <w:sz w:val="21"/>
          <w:szCs w:val="21"/>
        </w:rPr>
        <w:t>▲质保期内（从验收之日起算三年时间），提供驻场维护人员一名(计算机本科毕业，具有3年相关工作经验，技术娴熟，工作责任心强，有良好的沟通能力)。</w:t>
      </w:r>
    </w:p>
    <w:tbl>
      <w:tblPr>
        <w:tblStyle w:val="34"/>
        <w:tblW w:w="9265" w:type="dxa"/>
        <w:tblInd w:w="93" w:type="dxa"/>
        <w:tblLayout w:type="autofit"/>
        <w:tblCellMar>
          <w:top w:w="0" w:type="dxa"/>
          <w:left w:w="108" w:type="dxa"/>
          <w:bottom w:w="0" w:type="dxa"/>
          <w:right w:w="108" w:type="dxa"/>
        </w:tblCellMar>
      </w:tblPr>
      <w:tblGrid>
        <w:gridCol w:w="615"/>
        <w:gridCol w:w="33"/>
        <w:gridCol w:w="1428"/>
        <w:gridCol w:w="277"/>
        <w:gridCol w:w="5294"/>
        <w:gridCol w:w="177"/>
        <w:gridCol w:w="331"/>
        <w:gridCol w:w="244"/>
        <w:gridCol w:w="760"/>
        <w:gridCol w:w="216"/>
      </w:tblGrid>
      <w:tr>
        <w:tblPrEx>
          <w:tblCellMar>
            <w:top w:w="0" w:type="dxa"/>
            <w:left w:w="108" w:type="dxa"/>
            <w:bottom w:w="0" w:type="dxa"/>
            <w:right w:w="108" w:type="dxa"/>
          </w:tblCellMar>
        </w:tblPrEx>
        <w:trPr>
          <w:trHeight w:val="288" w:hRule="atLeast"/>
        </w:trPr>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序号</w:t>
            </w:r>
          </w:p>
        </w:tc>
        <w:tc>
          <w:tcPr>
            <w:tcW w:w="16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产品类别</w:t>
            </w:r>
          </w:p>
        </w:tc>
        <w:tc>
          <w:tcPr>
            <w:tcW w:w="5373"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技术规格</w:t>
            </w:r>
          </w:p>
        </w:tc>
        <w:tc>
          <w:tcPr>
            <w:tcW w:w="56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单位</w:t>
            </w:r>
          </w:p>
        </w:tc>
        <w:tc>
          <w:tcPr>
            <w:tcW w:w="103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数量</w:t>
            </w:r>
          </w:p>
        </w:tc>
      </w:tr>
      <w:tr>
        <w:tblPrEx>
          <w:tblCellMar>
            <w:top w:w="0" w:type="dxa"/>
            <w:left w:w="108" w:type="dxa"/>
            <w:bottom w:w="0" w:type="dxa"/>
            <w:right w:w="108" w:type="dxa"/>
          </w:tblCellMar>
        </w:tblPrEx>
        <w:trPr>
          <w:trHeight w:val="408" w:hRule="atLeast"/>
        </w:trPr>
        <w:tc>
          <w:tcPr>
            <w:tcW w:w="926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一、视频监控系统</w:t>
            </w:r>
          </w:p>
        </w:tc>
      </w:tr>
      <w:tr>
        <w:tblPrEx>
          <w:tblCellMar>
            <w:top w:w="0" w:type="dxa"/>
            <w:left w:w="108" w:type="dxa"/>
            <w:bottom w:w="0" w:type="dxa"/>
            <w:right w:w="108" w:type="dxa"/>
          </w:tblCellMar>
        </w:tblPrEx>
        <w:trPr>
          <w:trHeight w:val="8064"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室内400W智能网络半球（院区办公区域、审判区域）</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★具有400万像素CMOS传感器；</w:t>
            </w:r>
            <w:r>
              <w:rPr>
                <w:rFonts w:hint="eastAsia" w:ascii="宋体" w:hAnsi="宋体" w:cs="宋体"/>
                <w:color w:val="000000"/>
                <w:kern w:val="0"/>
                <w:sz w:val="22"/>
              </w:rPr>
              <w:br w:type="textWrapping"/>
            </w:r>
            <w:r>
              <w:rPr>
                <w:rFonts w:hint="eastAsia" w:ascii="宋体" w:hAnsi="宋体" w:cs="宋体"/>
                <w:color w:val="000000"/>
                <w:kern w:val="0"/>
                <w:sz w:val="22"/>
              </w:rPr>
              <w:t>不小于1/1.8"靶面尺寸；</w:t>
            </w:r>
            <w:r>
              <w:rPr>
                <w:rFonts w:hint="eastAsia" w:ascii="宋体" w:hAnsi="宋体" w:cs="宋体"/>
                <w:color w:val="000000"/>
                <w:kern w:val="0"/>
                <w:sz w:val="22"/>
              </w:rPr>
              <w:br w:type="textWrapping"/>
            </w:r>
            <w:r>
              <w:rPr>
                <w:rFonts w:hint="eastAsia" w:ascii="宋体" w:hAnsi="宋体" w:cs="宋体"/>
                <w:color w:val="000000"/>
                <w:kern w:val="0"/>
                <w:sz w:val="22"/>
              </w:rPr>
              <w:t>像元尺寸不小于2.9um×2.9um；</w:t>
            </w:r>
            <w:r>
              <w:rPr>
                <w:rFonts w:hint="eastAsia" w:ascii="宋体" w:hAnsi="宋体" w:cs="宋体"/>
                <w:color w:val="000000"/>
                <w:kern w:val="0"/>
                <w:sz w:val="22"/>
              </w:rPr>
              <w:br w:type="textWrapping"/>
            </w:r>
            <w:r>
              <w:rPr>
                <w:rFonts w:hint="eastAsia" w:ascii="宋体" w:hAnsi="宋体" w:cs="宋体"/>
                <w:color w:val="000000"/>
                <w:kern w:val="0"/>
                <w:sz w:val="22"/>
              </w:rPr>
              <w:t>内置GPU芯片，最低照度彩色不大于0.0002 lx，黑白不大于0.0001 lx；</w:t>
            </w:r>
            <w:r>
              <w:rPr>
                <w:rFonts w:hint="eastAsia" w:ascii="宋体" w:hAnsi="宋体" w:cs="宋体"/>
                <w:color w:val="000000"/>
                <w:kern w:val="0"/>
                <w:sz w:val="22"/>
              </w:rPr>
              <w:br w:type="textWrapping"/>
            </w:r>
            <w:r>
              <w:rPr>
                <w:rFonts w:hint="eastAsia" w:ascii="宋体" w:hAnsi="宋体" w:cs="宋体"/>
                <w:color w:val="000000"/>
                <w:kern w:val="0"/>
                <w:sz w:val="22"/>
              </w:rPr>
              <w:t>宽动态能力不小于120dB，红外补光距离不小于50米；</w:t>
            </w:r>
            <w:r>
              <w:rPr>
                <w:rFonts w:hint="eastAsia" w:ascii="宋体" w:hAnsi="宋体" w:cs="宋体"/>
                <w:color w:val="000000"/>
                <w:kern w:val="0"/>
                <w:sz w:val="22"/>
              </w:rPr>
              <w:br w:type="textWrapping"/>
            </w:r>
            <w:r>
              <w:rPr>
                <w:rFonts w:hint="eastAsia" w:ascii="宋体" w:hAnsi="宋体" w:cs="宋体"/>
                <w:color w:val="000000"/>
                <w:kern w:val="0"/>
                <w:sz w:val="22"/>
              </w:rPr>
              <w:t>需实现三码流技术，主码流最高2560x1440@25fps，子码流704x576@25fps，第三码流最大分辨率为1920x1080@25fps；</w:t>
            </w:r>
            <w:r>
              <w:rPr>
                <w:rFonts w:hint="eastAsia" w:ascii="宋体" w:hAnsi="宋体" w:cs="宋体"/>
                <w:color w:val="000000"/>
                <w:kern w:val="0"/>
                <w:sz w:val="22"/>
              </w:rPr>
              <w:br w:type="textWrapping"/>
            </w:r>
            <w:r>
              <w:rPr>
                <w:rFonts w:hint="eastAsia" w:ascii="宋体" w:hAnsi="宋体" w:cs="宋体"/>
                <w:color w:val="000000"/>
                <w:kern w:val="0"/>
                <w:sz w:val="22"/>
              </w:rPr>
              <w:t>支持H.264、H.265、MJPEG视频编码格式；</w:t>
            </w:r>
            <w:r>
              <w:rPr>
                <w:rFonts w:hint="eastAsia" w:ascii="宋体" w:hAnsi="宋体" w:cs="宋体"/>
                <w:color w:val="000000"/>
                <w:kern w:val="0"/>
                <w:sz w:val="22"/>
              </w:rPr>
              <w:br w:type="textWrapping"/>
            </w:r>
            <w:r>
              <w:rPr>
                <w:rFonts w:hint="eastAsia" w:ascii="宋体" w:hAnsi="宋体" w:cs="宋体"/>
                <w:color w:val="000000"/>
                <w:kern w:val="0"/>
                <w:sz w:val="22"/>
              </w:rPr>
              <w:t>信噪比不小于58dB；</w:t>
            </w:r>
            <w:r>
              <w:rPr>
                <w:rFonts w:hint="eastAsia" w:ascii="宋体" w:hAnsi="宋体" w:cs="宋体"/>
                <w:color w:val="000000"/>
                <w:kern w:val="0"/>
                <w:sz w:val="22"/>
              </w:rPr>
              <w:br w:type="textWrapping"/>
            </w:r>
            <w:r>
              <w:rPr>
                <w:rFonts w:hint="eastAsia" w:ascii="宋体" w:hAnsi="宋体" w:cs="宋体"/>
                <w:color w:val="000000"/>
                <w:kern w:val="0"/>
                <w:sz w:val="22"/>
              </w:rPr>
              <w:t>在分辨率1920x1080 @ 25fps，延时不大于70ms；实现亮度异常、清晰度异常等故障报警功能；</w:t>
            </w:r>
            <w:r>
              <w:rPr>
                <w:rFonts w:hint="eastAsia" w:ascii="宋体" w:hAnsi="宋体" w:cs="宋体"/>
                <w:color w:val="000000"/>
                <w:kern w:val="0"/>
                <w:sz w:val="22"/>
              </w:rPr>
              <w:br w:type="textWrapping"/>
            </w:r>
            <w:r>
              <w:rPr>
                <w:rFonts w:hint="eastAsia" w:ascii="宋体" w:hAnsi="宋体" w:cs="宋体"/>
                <w:color w:val="000000"/>
                <w:kern w:val="0"/>
                <w:sz w:val="22"/>
              </w:rPr>
              <w:t>实现自动变焦、自动调节光圈；</w:t>
            </w:r>
            <w:r>
              <w:rPr>
                <w:rFonts w:hint="eastAsia" w:ascii="宋体" w:hAnsi="宋体" w:cs="宋体"/>
                <w:color w:val="000000"/>
                <w:kern w:val="0"/>
                <w:sz w:val="22"/>
              </w:rPr>
              <w:br w:type="textWrapping"/>
            </w:r>
            <w:r>
              <w:rPr>
                <w:rFonts w:hint="eastAsia" w:ascii="宋体" w:hAnsi="宋体" w:cs="宋体"/>
                <w:color w:val="000000"/>
                <w:kern w:val="0"/>
                <w:sz w:val="22"/>
              </w:rPr>
              <w:t>支持检出两眼瞳距40像素点以上的人脸图片；支持单场景同时检出不少于30张人脸图片，并支持面部跟踪；</w:t>
            </w:r>
            <w:r>
              <w:rPr>
                <w:rFonts w:hint="eastAsia" w:ascii="宋体" w:hAnsi="宋体" w:cs="宋体"/>
                <w:color w:val="000000"/>
                <w:kern w:val="0"/>
                <w:sz w:val="22"/>
              </w:rPr>
              <w:br w:type="textWrapping"/>
            </w:r>
            <w:r>
              <w:rPr>
                <w:rFonts w:hint="eastAsia" w:ascii="宋体" w:hAnsi="宋体" w:cs="宋体"/>
                <w:color w:val="000000"/>
                <w:kern w:val="0"/>
                <w:sz w:val="22"/>
              </w:rPr>
              <w:t>人脸检出率不小于99%；</w:t>
            </w:r>
            <w:r>
              <w:rPr>
                <w:rFonts w:hint="eastAsia" w:ascii="宋体" w:hAnsi="宋体" w:cs="宋体"/>
                <w:color w:val="000000"/>
                <w:kern w:val="0"/>
                <w:sz w:val="22"/>
              </w:rPr>
              <w:br w:type="textWrapping"/>
            </w:r>
            <w:r>
              <w:rPr>
                <w:rFonts w:hint="eastAsia" w:ascii="宋体" w:hAnsi="宋体" w:cs="宋体"/>
                <w:color w:val="000000"/>
                <w:kern w:val="0"/>
                <w:sz w:val="22"/>
              </w:rPr>
              <w:t>支持人脸区域自动曝光功能；</w:t>
            </w:r>
            <w:r>
              <w:rPr>
                <w:rFonts w:hint="eastAsia" w:ascii="宋体" w:hAnsi="宋体" w:cs="宋体"/>
                <w:color w:val="000000"/>
                <w:kern w:val="0"/>
                <w:sz w:val="22"/>
              </w:rPr>
              <w:br w:type="textWrapping"/>
            </w:r>
            <w:r>
              <w:rPr>
                <w:rFonts w:hint="eastAsia" w:ascii="宋体" w:hAnsi="宋体" w:cs="宋体"/>
                <w:color w:val="000000"/>
                <w:kern w:val="0"/>
                <w:sz w:val="22"/>
              </w:rPr>
              <w:t>需具有1个RJ45网络接口、1路CVBS视频输出、1路报警输入、1路报警输出接口、1个音频输入、1个音频输出接口、1个RS485接口、1个SD卡槽、1个复位键；</w:t>
            </w:r>
            <w:r>
              <w:rPr>
                <w:rFonts w:hint="eastAsia" w:ascii="宋体" w:hAnsi="宋体" w:cs="宋体"/>
                <w:color w:val="000000"/>
                <w:kern w:val="0"/>
                <w:sz w:val="22"/>
              </w:rPr>
              <w:br w:type="textWrapping"/>
            </w:r>
            <w:r>
              <w:rPr>
                <w:rFonts w:hint="eastAsia" w:ascii="宋体" w:hAnsi="宋体" w:cs="宋体"/>
                <w:color w:val="000000"/>
                <w:kern w:val="0"/>
                <w:sz w:val="22"/>
              </w:rPr>
              <w:t>需具有1个RJ-45 10M/100M/1000M自适应网络接口。支持POE供电；</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shd w:val="clear" w:color="auto" w:fill="auto"/>
              </w:rPr>
              <w:t>2</w:t>
            </w:r>
            <w:r>
              <w:rPr>
                <w:rFonts w:ascii="宋体" w:hAnsi="宋体" w:cs="宋体"/>
                <w:color w:val="000000"/>
                <w:kern w:val="0"/>
                <w:sz w:val="22"/>
                <w:shd w:val="clear" w:color="auto" w:fill="auto"/>
              </w:rPr>
              <w:t>9</w:t>
            </w:r>
            <w:r>
              <w:rPr>
                <w:rFonts w:hint="eastAsia" w:ascii="宋体" w:hAnsi="宋体" w:cs="宋体"/>
                <w:color w:val="FF0000"/>
                <w:kern w:val="0"/>
                <w:sz w:val="22"/>
                <w:shd w:val="clear" w:color="auto" w:fill="auto"/>
              </w:rPr>
              <w:t>4</w:t>
            </w:r>
          </w:p>
        </w:tc>
      </w:tr>
      <w:tr>
        <w:tblPrEx>
          <w:tblCellMar>
            <w:top w:w="0" w:type="dxa"/>
            <w:left w:w="108" w:type="dxa"/>
            <w:bottom w:w="0" w:type="dxa"/>
            <w:right w:w="108" w:type="dxa"/>
          </w:tblCellMar>
        </w:tblPrEx>
        <w:trPr>
          <w:trHeight w:val="604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室内球机(主楼、辅楼电梯厅)</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★支持23倍光学变倍，16倍数字变倍；</w:t>
            </w:r>
          </w:p>
          <w:p>
            <w:pPr>
              <w:widowControl/>
              <w:jc w:val="left"/>
              <w:rPr>
                <w:rFonts w:ascii="宋体" w:hAnsi="宋体" w:cs="宋体"/>
                <w:color w:val="000000"/>
                <w:kern w:val="0"/>
                <w:sz w:val="22"/>
              </w:rPr>
            </w:pPr>
            <w:r>
              <w:rPr>
                <w:rFonts w:hint="eastAsia" w:ascii="宋体" w:hAnsi="宋体" w:cs="宋体"/>
                <w:color w:val="000000"/>
                <w:kern w:val="0"/>
                <w:sz w:val="22"/>
              </w:rPr>
              <w:t>视频输出支持1920×1080@60fps，红外距离可达100米；</w:t>
            </w:r>
            <w:r>
              <w:rPr>
                <w:rFonts w:hint="eastAsia" w:ascii="宋体" w:hAnsi="宋体" w:cs="宋体"/>
                <w:color w:val="000000"/>
                <w:kern w:val="0"/>
                <w:sz w:val="22"/>
              </w:rPr>
              <w:br w:type="textWrapping"/>
            </w:r>
            <w:r>
              <w:rPr>
                <w:rFonts w:hint="eastAsia" w:ascii="宋体" w:hAnsi="宋体" w:cs="宋体"/>
                <w:color w:val="000000"/>
                <w:kern w:val="0"/>
                <w:sz w:val="22"/>
              </w:rPr>
              <w:t>支持同时抓拍多张人脸，支持对运动人脸进行检测、跟踪、抓拍、评分、筛选，输出最优的人脸抓图；</w:t>
            </w:r>
            <w:r>
              <w:rPr>
                <w:rFonts w:hint="eastAsia" w:ascii="宋体" w:hAnsi="宋体" w:cs="宋体"/>
                <w:color w:val="000000"/>
                <w:kern w:val="0"/>
                <w:sz w:val="22"/>
              </w:rPr>
              <w:br w:type="textWrapping"/>
            </w:r>
            <w:r>
              <w:rPr>
                <w:rFonts w:hint="eastAsia" w:ascii="宋体" w:hAnsi="宋体" w:cs="宋体"/>
                <w:color w:val="000000"/>
                <w:kern w:val="0"/>
                <w:sz w:val="22"/>
              </w:rPr>
              <w:t>可转动对多场景进行人脸抓拍，可配置多个场景</w:t>
            </w:r>
            <w:r>
              <w:rPr>
                <w:rFonts w:hint="eastAsia" w:ascii="宋体" w:hAnsi="宋体" w:cs="宋体"/>
                <w:color w:val="000000"/>
                <w:kern w:val="0"/>
                <w:sz w:val="22"/>
              </w:rPr>
              <w:br w:type="textWrapping"/>
            </w:r>
            <w:r>
              <w:rPr>
                <w:rFonts w:hint="eastAsia" w:ascii="宋体" w:hAnsi="宋体" w:cs="宋体"/>
                <w:color w:val="000000"/>
                <w:kern w:val="0"/>
                <w:sz w:val="22"/>
              </w:rPr>
              <w:t>支持最低照度可达彩色0.001Lux，黑白0.0001Lux;</w:t>
            </w:r>
            <w:r>
              <w:rPr>
                <w:rFonts w:hint="eastAsia" w:ascii="宋体" w:hAnsi="宋体" w:cs="宋体"/>
                <w:color w:val="000000"/>
                <w:kern w:val="0"/>
                <w:sz w:val="22"/>
              </w:rPr>
              <w:br w:type="textWrapping"/>
            </w:r>
            <w:r>
              <w:rPr>
                <w:rFonts w:hint="eastAsia" w:ascii="宋体" w:hAnsi="宋体" w:cs="宋体"/>
                <w:color w:val="000000"/>
                <w:kern w:val="0"/>
                <w:sz w:val="22"/>
              </w:rPr>
              <w:t>水平旋转范围为0°~360°;</w:t>
            </w:r>
            <w:r>
              <w:rPr>
                <w:rFonts w:hint="eastAsia" w:ascii="宋体" w:hAnsi="宋体" w:cs="宋体"/>
                <w:color w:val="000000"/>
                <w:kern w:val="0"/>
                <w:sz w:val="22"/>
              </w:rPr>
              <w:br w:type="textWrapping"/>
            </w:r>
            <w:r>
              <w:rPr>
                <w:rFonts w:hint="eastAsia" w:ascii="宋体" w:hAnsi="宋体" w:cs="宋体"/>
                <w:color w:val="000000"/>
                <w:kern w:val="0"/>
                <w:sz w:val="22"/>
              </w:rPr>
              <w:t>支持预置位，支持巡航路径，支持模式路径设置，支持预置位视频冻结功能</w:t>
            </w:r>
            <w:r>
              <w:rPr>
                <w:rFonts w:hint="eastAsia" w:ascii="宋体" w:hAnsi="宋体" w:cs="宋体"/>
                <w:color w:val="000000"/>
                <w:kern w:val="0"/>
                <w:sz w:val="22"/>
              </w:rPr>
              <w:br w:type="textWrapping"/>
            </w:r>
            <w:r>
              <w:rPr>
                <w:rFonts w:hint="eastAsia" w:ascii="宋体" w:hAnsi="宋体" w:cs="宋体"/>
                <w:color w:val="000000"/>
                <w:kern w:val="0"/>
                <w:sz w:val="22"/>
              </w:rPr>
              <w:t>信噪比≥56dB，网络延时不大于130ms;</w:t>
            </w:r>
            <w:r>
              <w:rPr>
                <w:rFonts w:hint="eastAsia" w:ascii="宋体" w:hAnsi="宋体" w:cs="宋体"/>
                <w:color w:val="000000"/>
                <w:kern w:val="0"/>
                <w:sz w:val="22"/>
              </w:rPr>
              <w:br w:type="textWrapping"/>
            </w:r>
            <w:r>
              <w:rPr>
                <w:rFonts w:hint="eastAsia" w:ascii="宋体" w:hAnsi="宋体" w:cs="宋体"/>
                <w:color w:val="000000"/>
                <w:kern w:val="0"/>
                <w:sz w:val="22"/>
              </w:rPr>
              <w:t>动态范围不小于106dB，照度适应范围不小于121dB，宽动态能力综合得分不小于129;</w:t>
            </w:r>
            <w:r>
              <w:rPr>
                <w:rFonts w:hint="eastAsia" w:ascii="宋体" w:hAnsi="宋体" w:cs="宋体"/>
                <w:color w:val="000000"/>
                <w:kern w:val="0"/>
                <w:sz w:val="22"/>
              </w:rPr>
              <w:br w:type="textWrapping"/>
            </w:r>
            <w:r>
              <w:rPr>
                <w:rFonts w:hint="eastAsia" w:ascii="宋体" w:hAnsi="宋体" w:cs="宋体"/>
                <w:color w:val="000000"/>
                <w:kern w:val="0"/>
                <w:sz w:val="22"/>
              </w:rPr>
              <w:t>支持SD卡热插拔，最大支持128GB;</w:t>
            </w:r>
            <w:r>
              <w:rPr>
                <w:rFonts w:hint="eastAsia" w:ascii="宋体" w:hAnsi="宋体" w:cs="宋体"/>
                <w:color w:val="000000"/>
                <w:kern w:val="0"/>
                <w:sz w:val="22"/>
              </w:rPr>
              <w:br w:type="textWrapping"/>
            </w:r>
            <w:r>
              <w:rPr>
                <w:rFonts w:hint="eastAsia" w:ascii="宋体" w:hAnsi="宋体" w:cs="宋体"/>
                <w:color w:val="000000"/>
                <w:kern w:val="0"/>
                <w:sz w:val="22"/>
              </w:rPr>
              <w:t>当红外开启后，透明罩出现水雾、灰尘、刮痕时，采集的图像不应出现重影、模糊及光反射现象;</w:t>
            </w:r>
            <w:r>
              <w:rPr>
                <w:rFonts w:hint="eastAsia" w:ascii="宋体" w:hAnsi="宋体" w:cs="宋体"/>
                <w:color w:val="000000"/>
                <w:kern w:val="0"/>
                <w:sz w:val="22"/>
              </w:rPr>
              <w:br w:type="textWrapping"/>
            </w:r>
            <w:r>
              <w:rPr>
                <w:rFonts w:hint="eastAsia" w:ascii="宋体" w:hAnsi="宋体" w:cs="宋体"/>
                <w:color w:val="000000"/>
                <w:kern w:val="0"/>
                <w:sz w:val="22"/>
              </w:rPr>
              <w:t>支持采用H.265、H.264视频编码标准;</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40</w:t>
            </w:r>
          </w:p>
        </w:tc>
      </w:tr>
      <w:tr>
        <w:tblPrEx>
          <w:tblCellMar>
            <w:top w:w="0" w:type="dxa"/>
            <w:left w:w="108" w:type="dxa"/>
            <w:bottom w:w="0" w:type="dxa"/>
            <w:right w:w="108" w:type="dxa"/>
          </w:tblCellMar>
        </w:tblPrEx>
        <w:trPr>
          <w:trHeight w:val="431"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w:t>
            </w:r>
          </w:p>
        </w:tc>
        <w:tc>
          <w:tcPr>
            <w:tcW w:w="1663"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rPr>
            </w:pPr>
            <w:r>
              <w:rPr>
                <w:rFonts w:hint="eastAsia" w:ascii="宋体" w:hAnsi="宋体" w:cs="宋体"/>
                <w:color w:val="000000"/>
                <w:kern w:val="0"/>
                <w:sz w:val="22"/>
              </w:rPr>
              <w:t>法庭360度全景监控摄像机(全院34个法庭)</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★全景画面360°全覆盖，监控无盲区，特写画面提供细节，采用一体化设计，可实现单IP同时输出3路不同方向的全景画面和1路特写画面；</w:t>
            </w:r>
            <w:r>
              <w:rPr>
                <w:rFonts w:hint="eastAsia" w:ascii="宋体" w:hAnsi="宋体" w:cs="宋体"/>
                <w:color w:val="000000"/>
                <w:kern w:val="0"/>
                <w:sz w:val="22"/>
              </w:rPr>
              <w:br w:type="textWrapping"/>
            </w:r>
            <w:r>
              <w:rPr>
                <w:rFonts w:hint="eastAsia" w:ascii="宋体" w:hAnsi="宋体" w:cs="宋体"/>
                <w:color w:val="000000"/>
                <w:kern w:val="0"/>
                <w:sz w:val="22"/>
              </w:rPr>
              <w:t>★摄像机具有4个图像采集模块，可输出1路主视频图像和3路辅视频图像;</w:t>
            </w:r>
            <w:r>
              <w:rPr>
                <w:rFonts w:hint="eastAsia" w:ascii="宋体" w:hAnsi="宋体" w:cs="宋体"/>
                <w:color w:val="000000"/>
                <w:kern w:val="0"/>
                <w:sz w:val="22"/>
              </w:rPr>
              <w:br w:type="textWrapping"/>
            </w:r>
            <w:r>
              <w:rPr>
                <w:rFonts w:hint="eastAsia" w:ascii="宋体" w:hAnsi="宋体" w:cs="宋体"/>
                <w:color w:val="000000"/>
                <w:kern w:val="0"/>
                <w:sz w:val="22"/>
              </w:rPr>
              <w:t>主码流分辨率和帧率可设置为全景通道1920x1080，25帧/秒；球型摄像机通道1920x1080，25帧/秒;</w:t>
            </w:r>
            <w:r>
              <w:rPr>
                <w:rFonts w:hint="eastAsia" w:ascii="宋体" w:hAnsi="宋体" w:cs="宋体"/>
                <w:color w:val="000000"/>
                <w:kern w:val="0"/>
                <w:sz w:val="22"/>
              </w:rPr>
              <w:br w:type="textWrapping"/>
            </w:r>
            <w:r>
              <w:rPr>
                <w:rFonts w:hint="eastAsia" w:ascii="宋体" w:hAnsi="宋体" w:cs="宋体"/>
                <w:color w:val="000000"/>
                <w:kern w:val="0"/>
                <w:sz w:val="22"/>
              </w:rPr>
              <w:t>视频输出支持在分辨率1920x1080，帧率设置为25fps下，分辨力不小于1100TVL;</w:t>
            </w:r>
            <w:r>
              <w:rPr>
                <w:rFonts w:hint="eastAsia" w:ascii="宋体" w:hAnsi="宋体" w:cs="宋体"/>
                <w:color w:val="000000"/>
                <w:kern w:val="0"/>
                <w:sz w:val="22"/>
              </w:rPr>
              <w:br w:type="textWrapping"/>
            </w:r>
            <w:r>
              <w:rPr>
                <w:rFonts w:hint="eastAsia" w:ascii="宋体" w:hAnsi="宋体" w:cs="宋体"/>
                <w:color w:val="000000"/>
                <w:kern w:val="0"/>
                <w:sz w:val="22"/>
              </w:rPr>
              <w:t>红外作用距离：可识别距设备20m处的人脸轮廓;</w:t>
            </w:r>
            <w:r>
              <w:rPr>
                <w:rFonts w:hint="eastAsia" w:ascii="宋体" w:hAnsi="宋体" w:cs="宋体"/>
                <w:color w:val="000000"/>
                <w:kern w:val="0"/>
                <w:sz w:val="22"/>
              </w:rPr>
              <w:br w:type="textWrapping"/>
            </w:r>
            <w:r>
              <w:rPr>
                <w:rFonts w:hint="eastAsia" w:ascii="宋体" w:hAnsi="宋体" w:cs="宋体"/>
                <w:color w:val="000000"/>
                <w:kern w:val="0"/>
                <w:sz w:val="22"/>
              </w:rPr>
              <w:t>支持宽动态、数字降噪、强光抑制、透雾功能;</w:t>
            </w:r>
            <w:r>
              <w:rPr>
                <w:rFonts w:hint="eastAsia" w:ascii="宋体" w:hAnsi="宋体" w:cs="宋体"/>
                <w:color w:val="000000"/>
                <w:kern w:val="0"/>
                <w:sz w:val="22"/>
              </w:rPr>
              <w:br w:type="textWrapping"/>
            </w:r>
            <w:r>
              <w:rPr>
                <w:rFonts w:hint="eastAsia" w:ascii="宋体" w:hAnsi="宋体" w:cs="宋体"/>
                <w:color w:val="000000"/>
                <w:kern w:val="0"/>
                <w:sz w:val="22"/>
              </w:rPr>
              <w:t>支持采用H.264、MJPEG、H.265视频编码格式，H.264编码支持Main/HighProfile，音频编码支持MP2L2/G.711ulaw/G.711alaw/G.726/G.722.1;</w:t>
            </w:r>
            <w:r>
              <w:rPr>
                <w:rFonts w:hint="eastAsia" w:ascii="宋体" w:hAnsi="宋体" w:cs="宋体"/>
                <w:color w:val="000000"/>
                <w:kern w:val="0"/>
                <w:sz w:val="22"/>
              </w:rPr>
              <w:br w:type="textWrapping"/>
            </w:r>
            <w:r>
              <w:rPr>
                <w:rFonts w:hint="eastAsia" w:ascii="宋体" w:hAnsi="宋体" w:cs="宋体"/>
                <w:color w:val="000000"/>
                <w:kern w:val="0"/>
                <w:sz w:val="22"/>
              </w:rPr>
              <w:t>摄像机与客户端之间用250m五类非屏蔽网线直接连接，网络传输能力满足发送3500个数据包，重复测试3次，无丢包;</w:t>
            </w:r>
            <w:r>
              <w:rPr>
                <w:rFonts w:hint="eastAsia" w:ascii="宋体" w:hAnsi="宋体" w:cs="宋体"/>
                <w:color w:val="000000"/>
                <w:kern w:val="0"/>
                <w:sz w:val="22"/>
              </w:rPr>
              <w:br w:type="textWrapping"/>
            </w:r>
            <w:r>
              <w:rPr>
                <w:rFonts w:hint="eastAsia" w:ascii="宋体" w:hAnsi="宋体" w:cs="宋体"/>
                <w:color w:val="000000"/>
                <w:kern w:val="0"/>
                <w:sz w:val="22"/>
              </w:rPr>
              <w:t>全景通道和球机通道录像可同步回放;</w:t>
            </w:r>
            <w:r>
              <w:rPr>
                <w:rFonts w:hint="eastAsia" w:ascii="宋体" w:hAnsi="宋体" w:cs="宋体"/>
                <w:color w:val="000000"/>
                <w:kern w:val="0"/>
                <w:sz w:val="22"/>
              </w:rPr>
              <w:br w:type="textWrapping"/>
            </w:r>
            <w:r>
              <w:rPr>
                <w:rFonts w:hint="eastAsia" w:ascii="宋体" w:hAnsi="宋体" w:cs="宋体"/>
                <w:color w:val="000000"/>
                <w:kern w:val="0"/>
                <w:sz w:val="22"/>
              </w:rPr>
              <w:t>支持300个预置点，具有存预置位和调预置位功能;</w:t>
            </w:r>
            <w:r>
              <w:rPr>
                <w:rFonts w:hint="eastAsia" w:ascii="宋体" w:hAnsi="宋体" w:cs="宋体"/>
                <w:color w:val="000000"/>
                <w:kern w:val="0"/>
                <w:sz w:val="22"/>
              </w:rPr>
              <w:br w:type="textWrapping"/>
            </w:r>
            <w:r>
              <w:rPr>
                <w:rFonts w:hint="eastAsia" w:ascii="宋体" w:hAnsi="宋体" w:cs="宋体"/>
                <w:color w:val="000000"/>
                <w:kern w:val="0"/>
                <w:sz w:val="22"/>
              </w:rPr>
              <w:t>具备SD卡槽，支持SD卡热插拔，SD卡最大支持256GB;</w:t>
            </w:r>
            <w:r>
              <w:rPr>
                <w:rFonts w:hint="eastAsia" w:ascii="宋体" w:hAnsi="宋体" w:cs="宋体"/>
                <w:color w:val="000000"/>
                <w:kern w:val="0"/>
                <w:sz w:val="22"/>
              </w:rPr>
              <w:br w:type="textWrapping"/>
            </w:r>
            <w:r>
              <w:rPr>
                <w:rFonts w:hint="eastAsia" w:ascii="宋体" w:hAnsi="宋体" w:cs="宋体"/>
                <w:color w:val="000000"/>
                <w:kern w:val="0"/>
                <w:sz w:val="22"/>
              </w:rPr>
              <w:t>可监控环绕设备360°范围视场角，垂直方向上可监视120°范围视场角;</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34</w:t>
            </w:r>
          </w:p>
        </w:tc>
      </w:tr>
      <w:tr>
        <w:tblPrEx>
          <w:tblCellMar>
            <w:top w:w="0" w:type="dxa"/>
            <w:left w:w="108" w:type="dxa"/>
            <w:bottom w:w="0" w:type="dxa"/>
            <w:right w:w="108" w:type="dxa"/>
          </w:tblCellMar>
        </w:tblPrEx>
        <w:trPr>
          <w:trHeight w:val="1152"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法庭、调解室拾音器(34个法庭+全院调解室)</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★拾音范围: 5-150平方米可调;</w:t>
            </w:r>
            <w:r>
              <w:rPr>
                <w:rFonts w:hint="eastAsia" w:ascii="宋体" w:hAnsi="宋体" w:cs="宋体"/>
                <w:color w:val="000000"/>
                <w:kern w:val="0"/>
                <w:sz w:val="22"/>
              </w:rPr>
              <w:br w:type="textWrapping"/>
            </w:r>
            <w:r>
              <w:rPr>
                <w:rFonts w:hint="eastAsia" w:ascii="宋体" w:hAnsi="宋体" w:cs="宋体"/>
                <w:color w:val="000000"/>
                <w:kern w:val="0"/>
                <w:sz w:val="22"/>
              </w:rPr>
              <w:t>灵敏度: -33dB;</w:t>
            </w:r>
            <w:r>
              <w:rPr>
                <w:rFonts w:hint="eastAsia" w:ascii="宋体" w:hAnsi="宋体" w:cs="宋体"/>
                <w:color w:val="000000"/>
                <w:kern w:val="0"/>
                <w:sz w:val="22"/>
              </w:rPr>
              <w:br w:type="textWrapping"/>
            </w:r>
            <w:r>
              <w:rPr>
                <w:rFonts w:hint="eastAsia" w:ascii="宋体" w:hAnsi="宋体" w:cs="宋体"/>
                <w:color w:val="000000"/>
                <w:kern w:val="0"/>
                <w:sz w:val="22"/>
              </w:rPr>
              <w:t>频率响应: 20Hz ～ 20kHz;</w:t>
            </w:r>
            <w:r>
              <w:rPr>
                <w:rFonts w:hint="eastAsia" w:ascii="宋体" w:hAnsi="宋体" w:cs="宋体"/>
                <w:color w:val="000000"/>
                <w:kern w:val="0"/>
                <w:sz w:val="22"/>
              </w:rPr>
              <w:br w:type="textWrapping"/>
            </w:r>
            <w:r>
              <w:rPr>
                <w:rFonts w:hint="eastAsia" w:ascii="宋体" w:hAnsi="宋体" w:cs="宋体"/>
                <w:color w:val="000000"/>
                <w:kern w:val="0"/>
                <w:sz w:val="22"/>
              </w:rPr>
              <w:t>指向特性: 全向型;</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68</w:t>
            </w:r>
          </w:p>
        </w:tc>
      </w:tr>
      <w:tr>
        <w:tblPrEx>
          <w:tblCellMar>
            <w:top w:w="0" w:type="dxa"/>
            <w:left w:w="108" w:type="dxa"/>
            <w:bottom w:w="0" w:type="dxa"/>
            <w:right w:w="108" w:type="dxa"/>
          </w:tblCellMar>
        </w:tblPrEx>
        <w:trPr>
          <w:trHeight w:val="8192"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5</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室内400W人脸枪机（室内过道、楼梯、地下车库）</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★具有400万像素 CMOS传感器;</w:t>
            </w:r>
            <w:r>
              <w:rPr>
                <w:rFonts w:hint="eastAsia" w:ascii="宋体" w:hAnsi="宋体" w:cs="宋体"/>
                <w:color w:val="000000"/>
                <w:kern w:val="0"/>
                <w:sz w:val="22"/>
              </w:rPr>
              <w:br w:type="textWrapping"/>
            </w:r>
            <w:r>
              <w:rPr>
                <w:rFonts w:hint="eastAsia" w:ascii="宋体" w:hAnsi="宋体" w:cs="宋体"/>
                <w:color w:val="000000"/>
                <w:kern w:val="0"/>
                <w:sz w:val="22"/>
              </w:rPr>
              <w:t>具有不小于1/1.8"靶面尺寸;</w:t>
            </w:r>
            <w:r>
              <w:rPr>
                <w:rFonts w:hint="eastAsia" w:ascii="宋体" w:hAnsi="宋体" w:cs="宋体"/>
                <w:color w:val="000000"/>
                <w:kern w:val="0"/>
                <w:sz w:val="22"/>
              </w:rPr>
              <w:br w:type="textWrapping"/>
            </w:r>
            <w:r>
              <w:rPr>
                <w:rFonts w:hint="eastAsia" w:ascii="宋体" w:hAnsi="宋体" w:cs="宋体"/>
                <w:color w:val="000000"/>
                <w:kern w:val="0"/>
                <w:sz w:val="22"/>
              </w:rPr>
              <w:t>像元尺寸不小于2.9um×2.9um;</w:t>
            </w:r>
            <w:r>
              <w:rPr>
                <w:rFonts w:hint="eastAsia" w:ascii="宋体" w:hAnsi="宋体" w:cs="宋体"/>
                <w:color w:val="000000"/>
                <w:kern w:val="0"/>
                <w:sz w:val="22"/>
              </w:rPr>
              <w:br w:type="textWrapping"/>
            </w:r>
            <w:r>
              <w:rPr>
                <w:rFonts w:hint="eastAsia" w:ascii="宋体" w:hAnsi="宋体" w:cs="宋体"/>
                <w:color w:val="000000"/>
                <w:kern w:val="0"/>
                <w:sz w:val="22"/>
              </w:rPr>
              <w:t>内置GPU芯片;</w:t>
            </w:r>
            <w:r>
              <w:rPr>
                <w:rFonts w:hint="eastAsia" w:ascii="宋体" w:hAnsi="宋体" w:cs="宋体"/>
                <w:color w:val="000000"/>
                <w:kern w:val="0"/>
                <w:sz w:val="22"/>
              </w:rPr>
              <w:br w:type="textWrapping"/>
            </w:r>
            <w:r>
              <w:rPr>
                <w:rFonts w:hint="eastAsia" w:ascii="宋体" w:hAnsi="宋体" w:cs="宋体"/>
                <w:color w:val="000000"/>
                <w:kern w:val="0"/>
                <w:sz w:val="22"/>
              </w:rPr>
              <w:t>支持MD5、SHA256加密算法;</w:t>
            </w:r>
            <w:r>
              <w:rPr>
                <w:rFonts w:hint="eastAsia" w:ascii="宋体" w:hAnsi="宋体" w:cs="宋体"/>
                <w:color w:val="000000"/>
                <w:kern w:val="0"/>
                <w:sz w:val="22"/>
              </w:rPr>
              <w:br w:type="textWrapping"/>
            </w:r>
            <w:r>
              <w:rPr>
                <w:rFonts w:hint="eastAsia" w:ascii="宋体" w:hAnsi="宋体" w:cs="宋体"/>
                <w:color w:val="000000"/>
                <w:kern w:val="0"/>
                <w:sz w:val="22"/>
              </w:rPr>
              <w:t>最低照度彩色不大于0.0002 lx，黑白不大于0.0001 lx;</w:t>
            </w:r>
            <w:r>
              <w:rPr>
                <w:rFonts w:hint="eastAsia" w:ascii="宋体" w:hAnsi="宋体" w:cs="宋体"/>
                <w:color w:val="000000"/>
                <w:kern w:val="0"/>
                <w:sz w:val="22"/>
              </w:rPr>
              <w:br w:type="textWrapping"/>
            </w:r>
            <w:r>
              <w:rPr>
                <w:rFonts w:hint="eastAsia" w:ascii="宋体" w:hAnsi="宋体" w:cs="宋体"/>
                <w:color w:val="000000"/>
                <w:kern w:val="0"/>
                <w:sz w:val="22"/>
              </w:rPr>
              <w:t>宽动态能力不小于120dB;</w:t>
            </w:r>
            <w:r>
              <w:rPr>
                <w:rFonts w:hint="eastAsia" w:ascii="宋体" w:hAnsi="宋体" w:cs="宋体"/>
                <w:color w:val="000000"/>
                <w:kern w:val="0"/>
                <w:sz w:val="22"/>
              </w:rPr>
              <w:br w:type="textWrapping"/>
            </w:r>
            <w:r>
              <w:rPr>
                <w:rFonts w:hint="eastAsia" w:ascii="宋体" w:hAnsi="宋体" w:cs="宋体"/>
                <w:color w:val="000000"/>
                <w:kern w:val="0"/>
                <w:sz w:val="22"/>
              </w:rPr>
              <w:t>支持H.264、H.265、MJPEG视频编码格式;</w:t>
            </w:r>
            <w:r>
              <w:rPr>
                <w:rFonts w:hint="eastAsia" w:ascii="宋体" w:hAnsi="宋体" w:cs="宋体"/>
                <w:color w:val="000000"/>
                <w:kern w:val="0"/>
                <w:sz w:val="22"/>
              </w:rPr>
              <w:br w:type="textWrapping"/>
            </w:r>
            <w:r>
              <w:rPr>
                <w:rFonts w:hint="eastAsia" w:ascii="宋体" w:hAnsi="宋体" w:cs="宋体"/>
                <w:color w:val="000000"/>
                <w:kern w:val="0"/>
                <w:sz w:val="22"/>
              </w:rPr>
              <w:t>信噪比不小于58dB;</w:t>
            </w:r>
            <w:r>
              <w:rPr>
                <w:rFonts w:hint="eastAsia" w:ascii="宋体" w:hAnsi="宋体" w:cs="宋体"/>
                <w:color w:val="000000"/>
                <w:kern w:val="0"/>
                <w:sz w:val="22"/>
              </w:rPr>
              <w:br w:type="textWrapping"/>
            </w:r>
            <w:r>
              <w:rPr>
                <w:rFonts w:hint="eastAsia" w:ascii="宋体" w:hAnsi="宋体" w:cs="宋体"/>
                <w:color w:val="000000"/>
                <w:kern w:val="0"/>
                <w:sz w:val="22"/>
              </w:rPr>
              <w:t>在分辨率1920x1080 @ 25fps，延时不大于70ms;</w:t>
            </w:r>
            <w:r>
              <w:rPr>
                <w:rFonts w:hint="eastAsia" w:ascii="宋体" w:hAnsi="宋体" w:cs="宋体"/>
                <w:color w:val="000000"/>
                <w:kern w:val="0"/>
                <w:sz w:val="22"/>
              </w:rPr>
              <w:br w:type="textWrapping"/>
            </w:r>
            <w:r>
              <w:rPr>
                <w:rFonts w:hint="eastAsia" w:ascii="宋体" w:hAnsi="宋体" w:cs="宋体"/>
                <w:color w:val="000000"/>
                <w:kern w:val="0"/>
                <w:sz w:val="22"/>
              </w:rPr>
              <w:t>需实现四码流技术，主码流分辨率不小于2560x1440@25fps，子码流不小于704x576@25fps，第三码流不小于1920x1080@25fps，第四码流不小于704x576@25fps;</w:t>
            </w:r>
            <w:r>
              <w:rPr>
                <w:rFonts w:hint="eastAsia" w:ascii="宋体" w:hAnsi="宋体" w:cs="宋体"/>
                <w:color w:val="000000"/>
                <w:kern w:val="0"/>
                <w:sz w:val="22"/>
              </w:rPr>
              <w:br w:type="textWrapping"/>
            </w:r>
            <w:r>
              <w:rPr>
                <w:rFonts w:hint="eastAsia" w:ascii="宋体" w:hAnsi="宋体" w:cs="宋体"/>
                <w:color w:val="000000"/>
                <w:kern w:val="0"/>
                <w:sz w:val="22"/>
              </w:rPr>
              <w:t>支持检出两眼瞳距40像素点以上的人脸图片;</w:t>
            </w:r>
            <w:r>
              <w:rPr>
                <w:rFonts w:hint="eastAsia" w:ascii="宋体" w:hAnsi="宋体" w:cs="宋体"/>
                <w:color w:val="000000"/>
                <w:kern w:val="0"/>
                <w:sz w:val="22"/>
              </w:rPr>
              <w:br w:type="textWrapping"/>
            </w:r>
            <w:r>
              <w:rPr>
                <w:rFonts w:hint="eastAsia" w:ascii="宋体" w:hAnsi="宋体" w:cs="宋体"/>
                <w:color w:val="000000"/>
                <w:kern w:val="0"/>
                <w:sz w:val="22"/>
              </w:rPr>
              <w:t>支持单场景同时检出不少于30张人脸图片，并支持面部跟踪;</w:t>
            </w:r>
            <w:r>
              <w:rPr>
                <w:rFonts w:hint="eastAsia" w:ascii="宋体" w:hAnsi="宋体" w:cs="宋体"/>
                <w:color w:val="000000"/>
                <w:kern w:val="0"/>
                <w:sz w:val="22"/>
              </w:rPr>
              <w:br w:type="textWrapping"/>
            </w:r>
            <w:r>
              <w:rPr>
                <w:rFonts w:hint="eastAsia" w:ascii="宋体" w:hAnsi="宋体" w:cs="宋体"/>
                <w:color w:val="000000"/>
                <w:kern w:val="0"/>
                <w:sz w:val="22"/>
              </w:rPr>
              <w:t>人脸检出率不小于99%;</w:t>
            </w:r>
            <w:r>
              <w:rPr>
                <w:rFonts w:hint="eastAsia" w:ascii="宋体" w:hAnsi="宋体" w:cs="宋体"/>
                <w:color w:val="000000"/>
                <w:kern w:val="0"/>
                <w:sz w:val="22"/>
              </w:rPr>
              <w:br w:type="textWrapping"/>
            </w:r>
            <w:r>
              <w:rPr>
                <w:rFonts w:hint="eastAsia" w:ascii="宋体" w:hAnsi="宋体" w:cs="宋体"/>
                <w:color w:val="000000"/>
                <w:kern w:val="0"/>
                <w:sz w:val="22"/>
              </w:rPr>
              <w:t>支持侧脸过滤功能;</w:t>
            </w:r>
            <w:r>
              <w:rPr>
                <w:rFonts w:hint="eastAsia" w:ascii="宋体" w:hAnsi="宋体" w:cs="宋体"/>
                <w:color w:val="000000"/>
                <w:kern w:val="0"/>
                <w:sz w:val="22"/>
              </w:rPr>
              <w:br w:type="textWrapping"/>
            </w:r>
            <w:r>
              <w:rPr>
                <w:rFonts w:hint="eastAsia" w:ascii="宋体" w:hAnsi="宋体" w:cs="宋体"/>
                <w:color w:val="000000"/>
                <w:kern w:val="0"/>
                <w:sz w:val="22"/>
              </w:rPr>
              <w:t>支持人脸区域自动曝光功能，可根据外部不同场景和光照变化自动调节人脸区域曝光参数;</w:t>
            </w:r>
            <w:r>
              <w:rPr>
                <w:rFonts w:hint="eastAsia" w:ascii="宋体" w:hAnsi="宋体" w:cs="宋体"/>
                <w:color w:val="000000"/>
                <w:kern w:val="0"/>
                <w:sz w:val="22"/>
              </w:rPr>
              <w:br w:type="textWrapping"/>
            </w:r>
            <w:r>
              <w:rPr>
                <w:rFonts w:hint="eastAsia" w:ascii="宋体" w:hAnsi="宋体" w:cs="宋体"/>
                <w:color w:val="000000"/>
                <w:kern w:val="0"/>
                <w:sz w:val="22"/>
              </w:rPr>
              <w:t>可识别11种车辆颜色;</w:t>
            </w:r>
            <w:r>
              <w:rPr>
                <w:rFonts w:hint="eastAsia" w:ascii="宋体" w:hAnsi="宋体" w:cs="宋体"/>
                <w:color w:val="000000"/>
                <w:kern w:val="0"/>
                <w:sz w:val="22"/>
              </w:rPr>
              <w:br w:type="textWrapping"/>
            </w:r>
            <w:r>
              <w:rPr>
                <w:rFonts w:hint="eastAsia" w:ascii="宋体" w:hAnsi="宋体" w:cs="宋体"/>
                <w:color w:val="000000"/>
                <w:kern w:val="0"/>
                <w:sz w:val="22"/>
              </w:rPr>
              <w:t>车辆车身颜色识别准确率不小于95%;</w:t>
            </w:r>
            <w:r>
              <w:rPr>
                <w:rFonts w:hint="eastAsia" w:ascii="宋体" w:hAnsi="宋体" w:cs="宋体"/>
                <w:color w:val="000000"/>
                <w:kern w:val="0"/>
                <w:sz w:val="22"/>
              </w:rPr>
              <w:br w:type="textWrapping"/>
            </w:r>
            <w:r>
              <w:rPr>
                <w:rFonts w:hint="eastAsia" w:ascii="宋体" w:hAnsi="宋体" w:cs="宋体"/>
                <w:color w:val="000000"/>
                <w:kern w:val="0"/>
                <w:sz w:val="22"/>
              </w:rPr>
              <w:t>车型识别白天准确率不小于99%，晚上准确率不小于95%;</w:t>
            </w:r>
            <w:r>
              <w:rPr>
                <w:rFonts w:hint="eastAsia" w:ascii="宋体" w:hAnsi="宋体" w:cs="宋体"/>
                <w:color w:val="000000"/>
                <w:kern w:val="0"/>
                <w:sz w:val="22"/>
              </w:rPr>
              <w:br w:type="textWrapping"/>
            </w:r>
            <w:r>
              <w:rPr>
                <w:rFonts w:hint="eastAsia" w:ascii="宋体" w:hAnsi="宋体" w:cs="宋体"/>
                <w:color w:val="000000"/>
                <w:kern w:val="0"/>
                <w:sz w:val="22"/>
              </w:rPr>
              <w:t>需支持本地SD卡存储，最大支持256G，并支持存储卡可使用时长显示。支持POE供电;</w:t>
            </w:r>
          </w:p>
          <w:p>
            <w:pPr>
              <w:widowControl/>
              <w:jc w:val="left"/>
            </w:pPr>
            <w:r>
              <w:rPr>
                <w:rFonts w:hint="eastAsia" w:ascii="宋体" w:hAnsi="宋体" w:cs="宋体"/>
                <w:kern w:val="0"/>
                <w:sz w:val="22"/>
              </w:rPr>
              <w:t>配支架；</w:t>
            </w:r>
          </w:p>
          <w:p>
            <w:pPr>
              <w:pStyle w:val="2"/>
            </w:pP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220</w:t>
            </w:r>
          </w:p>
        </w:tc>
      </w:tr>
      <w:tr>
        <w:tblPrEx>
          <w:tblCellMar>
            <w:top w:w="0" w:type="dxa"/>
            <w:left w:w="108" w:type="dxa"/>
            <w:bottom w:w="0" w:type="dxa"/>
            <w:right w:w="108" w:type="dxa"/>
          </w:tblCellMar>
        </w:tblPrEx>
        <w:trPr>
          <w:trHeight w:val="1849"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6</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室外400w人脸枪机(办公楼外、院区内走道)</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★具有400万像素 CMOS传感器;</w:t>
            </w:r>
            <w:r>
              <w:rPr>
                <w:rFonts w:hint="eastAsia" w:ascii="宋体" w:hAnsi="宋体" w:cs="宋体"/>
                <w:color w:val="000000"/>
                <w:kern w:val="0"/>
                <w:sz w:val="22"/>
              </w:rPr>
              <w:br w:type="textWrapping"/>
            </w:r>
            <w:r>
              <w:rPr>
                <w:rFonts w:hint="eastAsia" w:ascii="宋体" w:hAnsi="宋体" w:cs="宋体"/>
                <w:color w:val="000000"/>
                <w:kern w:val="0"/>
                <w:sz w:val="22"/>
              </w:rPr>
              <w:t>具有不小于1/1.8"靶面尺寸;</w:t>
            </w:r>
            <w:r>
              <w:rPr>
                <w:rFonts w:hint="eastAsia" w:ascii="宋体" w:hAnsi="宋体" w:cs="宋体"/>
                <w:color w:val="000000"/>
                <w:kern w:val="0"/>
                <w:sz w:val="22"/>
              </w:rPr>
              <w:br w:type="textWrapping"/>
            </w:r>
            <w:r>
              <w:rPr>
                <w:rFonts w:hint="eastAsia" w:ascii="宋体" w:hAnsi="宋体" w:cs="宋体"/>
                <w:color w:val="000000"/>
                <w:kern w:val="0"/>
                <w:sz w:val="22"/>
              </w:rPr>
              <w:t>像元尺寸不小于2.9um×2.9um;</w:t>
            </w:r>
            <w:r>
              <w:rPr>
                <w:rFonts w:hint="eastAsia" w:ascii="宋体" w:hAnsi="宋体" w:cs="宋体"/>
                <w:color w:val="000000"/>
                <w:kern w:val="0"/>
                <w:sz w:val="22"/>
              </w:rPr>
              <w:br w:type="textWrapping"/>
            </w:r>
            <w:r>
              <w:rPr>
                <w:rFonts w:hint="eastAsia" w:ascii="宋体" w:hAnsi="宋体" w:cs="宋体"/>
                <w:color w:val="000000"/>
                <w:kern w:val="0"/>
                <w:sz w:val="22"/>
              </w:rPr>
              <w:t>内置GPU芯片;</w:t>
            </w:r>
            <w:r>
              <w:rPr>
                <w:rFonts w:hint="eastAsia" w:ascii="宋体" w:hAnsi="宋体" w:cs="宋体"/>
                <w:color w:val="000000"/>
                <w:kern w:val="0"/>
                <w:sz w:val="22"/>
              </w:rPr>
              <w:br w:type="textWrapping"/>
            </w:r>
            <w:r>
              <w:rPr>
                <w:rFonts w:hint="eastAsia" w:ascii="宋体" w:hAnsi="宋体" w:cs="宋体"/>
                <w:color w:val="000000"/>
                <w:kern w:val="0"/>
                <w:sz w:val="22"/>
              </w:rPr>
              <w:t>内置混合补光灯，可对红外灯及白光灯功率进行调节;</w:t>
            </w:r>
            <w:r>
              <w:rPr>
                <w:rFonts w:hint="eastAsia" w:ascii="宋体" w:hAnsi="宋体" w:cs="宋体"/>
                <w:color w:val="000000"/>
                <w:kern w:val="0"/>
                <w:sz w:val="22"/>
              </w:rPr>
              <w:br w:type="textWrapping"/>
            </w:r>
            <w:r>
              <w:rPr>
                <w:rFonts w:hint="eastAsia" w:ascii="宋体" w:hAnsi="宋体" w:cs="宋体"/>
                <w:color w:val="000000"/>
                <w:kern w:val="0"/>
                <w:sz w:val="22"/>
              </w:rPr>
              <w:t>最低照度彩色不大于0.0002 lx，黑白不大于0.0001 lx;</w:t>
            </w:r>
            <w:r>
              <w:rPr>
                <w:rFonts w:hint="eastAsia" w:ascii="宋体" w:hAnsi="宋体" w:cs="宋体"/>
                <w:color w:val="000000"/>
                <w:kern w:val="0"/>
                <w:sz w:val="22"/>
              </w:rPr>
              <w:br w:type="textWrapping"/>
            </w:r>
            <w:r>
              <w:rPr>
                <w:rFonts w:hint="eastAsia" w:ascii="宋体" w:hAnsi="宋体" w:cs="宋体"/>
                <w:color w:val="000000"/>
                <w:kern w:val="0"/>
                <w:sz w:val="22"/>
              </w:rPr>
              <w:t>宽动态能力不小于120dB;</w:t>
            </w:r>
            <w:r>
              <w:rPr>
                <w:rFonts w:hint="eastAsia" w:ascii="宋体" w:hAnsi="宋体" w:cs="宋体"/>
                <w:color w:val="000000"/>
                <w:kern w:val="0"/>
                <w:sz w:val="22"/>
              </w:rPr>
              <w:br w:type="textWrapping"/>
            </w:r>
            <w:r>
              <w:rPr>
                <w:rFonts w:hint="eastAsia" w:ascii="宋体" w:hAnsi="宋体" w:cs="宋体"/>
                <w:color w:val="000000"/>
                <w:kern w:val="0"/>
                <w:sz w:val="22"/>
              </w:rPr>
              <w:t>支持H.264、H.265、MJPEG视频编码格式;</w:t>
            </w:r>
            <w:r>
              <w:rPr>
                <w:rFonts w:hint="eastAsia" w:ascii="宋体" w:hAnsi="宋体" w:cs="宋体"/>
                <w:color w:val="000000"/>
                <w:kern w:val="0"/>
                <w:sz w:val="22"/>
              </w:rPr>
              <w:br w:type="textWrapping"/>
            </w:r>
            <w:r>
              <w:rPr>
                <w:rFonts w:hint="eastAsia" w:ascii="宋体" w:hAnsi="宋体" w:cs="宋体"/>
                <w:color w:val="000000"/>
                <w:kern w:val="0"/>
                <w:sz w:val="22"/>
              </w:rPr>
              <w:t>信噪比不小于58dB;</w:t>
            </w:r>
            <w:r>
              <w:rPr>
                <w:rFonts w:hint="eastAsia" w:ascii="宋体" w:hAnsi="宋体" w:cs="宋体"/>
                <w:color w:val="000000"/>
                <w:kern w:val="0"/>
                <w:sz w:val="22"/>
              </w:rPr>
              <w:br w:type="textWrapping"/>
            </w:r>
            <w:r>
              <w:rPr>
                <w:rFonts w:hint="eastAsia" w:ascii="宋体" w:hAnsi="宋体" w:cs="宋体"/>
                <w:color w:val="000000"/>
                <w:kern w:val="0"/>
                <w:sz w:val="22"/>
              </w:rPr>
              <w:t>在分辨率1920x1080 @ 25fps，延时不大于70ms;</w:t>
            </w:r>
            <w:r>
              <w:rPr>
                <w:rFonts w:hint="eastAsia" w:ascii="宋体" w:hAnsi="宋体" w:cs="宋体"/>
                <w:color w:val="000000"/>
                <w:kern w:val="0"/>
                <w:sz w:val="22"/>
              </w:rPr>
              <w:br w:type="textWrapping"/>
            </w:r>
            <w:r>
              <w:rPr>
                <w:rFonts w:hint="eastAsia" w:ascii="宋体" w:hAnsi="宋体" w:cs="宋体"/>
                <w:color w:val="000000"/>
                <w:kern w:val="0"/>
                <w:sz w:val="22"/>
              </w:rPr>
              <w:t>实现亮度异常、清晰度异常、花屏、雪花、偏色、画面冻结、增益失衡、画面抖动、条纹干扰、信号丢失、视频遮挡、光晕、紫边等故障报警功能。</w:t>
            </w:r>
            <w:r>
              <w:rPr>
                <w:rFonts w:hint="eastAsia" w:ascii="宋体" w:hAnsi="宋体" w:cs="宋体"/>
                <w:color w:val="000000"/>
                <w:kern w:val="0"/>
                <w:sz w:val="22"/>
              </w:rPr>
              <w:br w:type="textWrapping"/>
            </w:r>
            <w:r>
              <w:rPr>
                <w:rFonts w:hint="eastAsia" w:ascii="宋体" w:hAnsi="宋体" w:cs="宋体"/>
                <w:color w:val="000000"/>
                <w:kern w:val="0"/>
                <w:sz w:val="22"/>
              </w:rPr>
              <w:t>需支持四码流技术，主码流分辨率不小于2560x1440@25fps，子码流不小于704x576@25fps，第三码流不小于1920x1080@25fps，第四码流不小于704x576@25fps;</w:t>
            </w:r>
            <w:r>
              <w:rPr>
                <w:rFonts w:hint="eastAsia" w:ascii="宋体" w:hAnsi="宋体" w:cs="宋体"/>
                <w:color w:val="000000"/>
                <w:kern w:val="0"/>
                <w:sz w:val="22"/>
              </w:rPr>
              <w:br w:type="textWrapping"/>
            </w:r>
            <w:r>
              <w:rPr>
                <w:rFonts w:hint="eastAsia" w:ascii="宋体" w:hAnsi="宋体" w:cs="宋体"/>
                <w:color w:val="000000"/>
                <w:kern w:val="0"/>
                <w:sz w:val="22"/>
              </w:rPr>
              <w:t>支持检出两眼瞳距40像素点以上的人脸图片。</w:t>
            </w:r>
            <w:r>
              <w:rPr>
                <w:rFonts w:hint="eastAsia" w:ascii="宋体" w:hAnsi="宋体" w:cs="宋体"/>
                <w:color w:val="000000"/>
                <w:kern w:val="0"/>
                <w:sz w:val="22"/>
              </w:rPr>
              <w:br w:type="textWrapping"/>
            </w:r>
            <w:r>
              <w:rPr>
                <w:rFonts w:hint="eastAsia" w:ascii="宋体" w:hAnsi="宋体" w:cs="宋体"/>
                <w:color w:val="000000"/>
                <w:kern w:val="0"/>
                <w:sz w:val="22"/>
              </w:rPr>
              <w:t>支持单场景同时检出不少于30张人脸图片，并支持面部跟踪;</w:t>
            </w:r>
            <w:r>
              <w:rPr>
                <w:rFonts w:hint="eastAsia" w:ascii="宋体" w:hAnsi="宋体" w:cs="宋体"/>
                <w:color w:val="000000"/>
                <w:kern w:val="0"/>
                <w:sz w:val="22"/>
              </w:rPr>
              <w:br w:type="textWrapping"/>
            </w:r>
            <w:r>
              <w:rPr>
                <w:rFonts w:hint="eastAsia" w:ascii="宋体" w:hAnsi="宋体" w:cs="宋体"/>
                <w:color w:val="000000"/>
                <w:kern w:val="0"/>
                <w:sz w:val="22"/>
              </w:rPr>
              <w:t>人脸检出率不小于99%;</w:t>
            </w:r>
            <w:r>
              <w:rPr>
                <w:rFonts w:hint="eastAsia" w:ascii="宋体" w:hAnsi="宋体" w:cs="宋体"/>
                <w:color w:val="000000"/>
                <w:kern w:val="0"/>
                <w:sz w:val="22"/>
              </w:rPr>
              <w:br w:type="textWrapping"/>
            </w:r>
            <w:r>
              <w:rPr>
                <w:rFonts w:hint="eastAsia" w:ascii="宋体" w:hAnsi="宋体" w:cs="宋体"/>
                <w:color w:val="000000"/>
                <w:kern w:val="0"/>
                <w:sz w:val="22"/>
              </w:rPr>
              <w:t>支持侧脸过滤功能，可过滤上下、左右角度达到预设值的人脸;</w:t>
            </w:r>
            <w:r>
              <w:rPr>
                <w:rFonts w:hint="eastAsia" w:ascii="宋体" w:hAnsi="宋体" w:cs="宋体"/>
                <w:color w:val="000000"/>
                <w:kern w:val="0"/>
                <w:sz w:val="22"/>
              </w:rPr>
              <w:br w:type="textWrapping"/>
            </w:r>
            <w:r>
              <w:rPr>
                <w:rFonts w:hint="eastAsia" w:ascii="宋体" w:hAnsi="宋体" w:cs="宋体"/>
                <w:color w:val="000000"/>
                <w:kern w:val="0"/>
                <w:sz w:val="22"/>
              </w:rPr>
              <w:t>支持人脸区域自动曝光功能，可根据外部不同场景和光照变化自动调节人脸区域曝光参数;</w:t>
            </w:r>
            <w:r>
              <w:rPr>
                <w:rFonts w:hint="eastAsia" w:ascii="宋体" w:hAnsi="宋体" w:cs="宋体"/>
                <w:color w:val="000000"/>
                <w:kern w:val="0"/>
                <w:sz w:val="22"/>
              </w:rPr>
              <w:br w:type="textWrapping"/>
            </w:r>
            <w:r>
              <w:rPr>
                <w:rFonts w:hint="eastAsia" w:ascii="宋体" w:hAnsi="宋体" w:cs="宋体"/>
                <w:color w:val="000000"/>
                <w:kern w:val="0"/>
                <w:sz w:val="22"/>
              </w:rPr>
              <w:t>可识别不低于170种车辆品牌;</w:t>
            </w:r>
            <w:r>
              <w:rPr>
                <w:rFonts w:hint="eastAsia" w:ascii="宋体" w:hAnsi="宋体" w:cs="宋体"/>
                <w:color w:val="000000"/>
                <w:kern w:val="0"/>
                <w:sz w:val="22"/>
              </w:rPr>
              <w:br w:type="textWrapping"/>
            </w:r>
            <w:r>
              <w:rPr>
                <w:rFonts w:hint="eastAsia" w:ascii="宋体" w:hAnsi="宋体" w:cs="宋体"/>
                <w:color w:val="000000"/>
                <w:kern w:val="0"/>
                <w:sz w:val="22"/>
              </w:rPr>
              <w:t>车辆品牌识别白天准确率不小于99%，晚上准确率不小于97%。可识别不低于3600种车辆子品牌。车辆子品牌识别白天准确率不小于97%，晚上准确率不小于93%;</w:t>
            </w:r>
            <w:r>
              <w:rPr>
                <w:rFonts w:hint="eastAsia" w:ascii="宋体" w:hAnsi="宋体" w:cs="宋体"/>
                <w:color w:val="000000"/>
                <w:kern w:val="0"/>
                <w:sz w:val="22"/>
              </w:rPr>
              <w:br w:type="textWrapping"/>
            </w:r>
            <w:r>
              <w:rPr>
                <w:rFonts w:hint="eastAsia" w:ascii="宋体" w:hAnsi="宋体" w:cs="宋体"/>
                <w:color w:val="000000"/>
                <w:kern w:val="0"/>
                <w:sz w:val="22"/>
              </w:rPr>
              <w:t>需具有1个RJ45网络接口、1路CVBS视频输出、1路报警输入、1路报警输出接口、1个音频输入、1个音频输出接口;</w:t>
            </w:r>
            <w:r>
              <w:rPr>
                <w:rFonts w:hint="eastAsia" w:ascii="宋体" w:hAnsi="宋体" w:cs="宋体"/>
                <w:color w:val="000000"/>
                <w:kern w:val="0"/>
                <w:sz w:val="22"/>
              </w:rPr>
              <w:br w:type="textWrapping"/>
            </w:r>
            <w:r>
              <w:rPr>
                <w:rFonts w:hint="eastAsia" w:ascii="宋体" w:hAnsi="宋体" w:cs="宋体"/>
                <w:color w:val="000000"/>
                <w:kern w:val="0"/>
                <w:sz w:val="22"/>
              </w:rPr>
              <w:t>需支持IP67防尘防水。支持POE供电;</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30</w:t>
            </w:r>
          </w:p>
        </w:tc>
      </w:tr>
      <w:tr>
        <w:tblPrEx>
          <w:tblCellMar>
            <w:top w:w="0" w:type="dxa"/>
            <w:left w:w="108" w:type="dxa"/>
            <w:bottom w:w="0" w:type="dxa"/>
            <w:right w:w="108" w:type="dxa"/>
          </w:tblCellMar>
        </w:tblPrEx>
        <w:trPr>
          <w:trHeight w:val="5472"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7</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室外球机(院区外围过道)</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★具体两个图像传感器，靶面尺寸不小于1/1.8英寸，视频图像分辨率不小于2560×1440,支持35倍光学变倍;</w:t>
            </w:r>
            <w:r>
              <w:rPr>
                <w:rFonts w:hint="eastAsia" w:ascii="宋体" w:hAnsi="宋体" w:cs="宋体"/>
                <w:color w:val="000000"/>
                <w:kern w:val="0"/>
                <w:sz w:val="22"/>
              </w:rPr>
              <w:br w:type="textWrapping"/>
            </w:r>
            <w:r>
              <w:rPr>
                <w:rFonts w:hint="eastAsia" w:ascii="宋体" w:hAnsi="宋体" w:cs="宋体"/>
                <w:color w:val="000000"/>
                <w:kern w:val="0"/>
                <w:sz w:val="22"/>
              </w:rPr>
              <w:t>摄像机具有双路视频融合功能，可分别输出黑白及彩色图像，并对视频图像进行融合输出;内置GPU芯片;</w:t>
            </w:r>
            <w:r>
              <w:rPr>
                <w:rFonts w:hint="eastAsia" w:ascii="宋体" w:hAnsi="宋体" w:cs="宋体"/>
                <w:color w:val="000000"/>
                <w:kern w:val="0"/>
                <w:sz w:val="22"/>
              </w:rPr>
              <w:br w:type="textWrapping"/>
            </w:r>
            <w:r>
              <w:rPr>
                <w:rFonts w:hint="eastAsia" w:ascii="宋体" w:hAnsi="宋体" w:cs="宋体"/>
                <w:color w:val="000000"/>
                <w:kern w:val="0"/>
                <w:sz w:val="22"/>
              </w:rPr>
              <w:t>最低照度：彩色0.0002 lx，黑白0.0001 lx;</w:t>
            </w:r>
            <w:r>
              <w:rPr>
                <w:rFonts w:hint="eastAsia" w:ascii="宋体" w:hAnsi="宋体" w:cs="宋体"/>
                <w:color w:val="000000"/>
                <w:kern w:val="0"/>
                <w:sz w:val="22"/>
              </w:rPr>
              <w:br w:type="textWrapping"/>
            </w:r>
            <w:r>
              <w:rPr>
                <w:rFonts w:hint="eastAsia" w:ascii="宋体" w:hAnsi="宋体" w:cs="宋体"/>
                <w:color w:val="000000"/>
                <w:kern w:val="0"/>
                <w:sz w:val="22"/>
              </w:rPr>
              <w:t>设备运动结束静止时，其水平和垂直角度方向受到外力作用发生偏移时，能够检测角度改变并产生报警信息，报警信息可在OSD上叠加;</w:t>
            </w:r>
            <w:r>
              <w:rPr>
                <w:rFonts w:hint="eastAsia" w:ascii="宋体" w:hAnsi="宋体" w:cs="宋体"/>
                <w:color w:val="000000"/>
                <w:kern w:val="0"/>
                <w:sz w:val="22"/>
              </w:rPr>
              <w:br w:type="textWrapping"/>
            </w:r>
            <w:r>
              <w:rPr>
                <w:rFonts w:hint="eastAsia" w:ascii="宋体" w:hAnsi="宋体" w:cs="宋体"/>
                <w:color w:val="000000"/>
                <w:kern w:val="0"/>
                <w:sz w:val="22"/>
              </w:rPr>
              <w:t>设备具备偏移自动校正功能。设备运动结束静止时，其水平和垂直角度方向受到外力作用发生偏移时，设备可进行偏移自动校正，校正后与原位置偏差角度应不大于0.05°;</w:t>
            </w:r>
            <w:r>
              <w:rPr>
                <w:rFonts w:hint="eastAsia" w:ascii="宋体" w:hAnsi="宋体" w:cs="宋体"/>
                <w:color w:val="000000"/>
                <w:kern w:val="0"/>
                <w:sz w:val="22"/>
              </w:rPr>
              <w:br w:type="textWrapping"/>
            </w:r>
            <w:r>
              <w:rPr>
                <w:rFonts w:hint="eastAsia" w:ascii="宋体" w:hAnsi="宋体" w:cs="宋体"/>
                <w:color w:val="000000"/>
                <w:kern w:val="0"/>
                <w:sz w:val="22"/>
              </w:rPr>
              <w:t>水平旋转范围为360°连续旋转，垂直旋转范围为-20°~90°;</w:t>
            </w:r>
            <w:r>
              <w:rPr>
                <w:rFonts w:hint="eastAsia" w:ascii="宋体" w:hAnsi="宋体" w:cs="宋体"/>
                <w:color w:val="000000"/>
                <w:kern w:val="0"/>
                <w:sz w:val="22"/>
              </w:rPr>
              <w:br w:type="textWrapping"/>
            </w:r>
            <w:r>
              <w:rPr>
                <w:rFonts w:hint="eastAsia" w:ascii="宋体" w:hAnsi="宋体" w:cs="宋体"/>
                <w:color w:val="000000"/>
                <w:kern w:val="0"/>
                <w:sz w:val="22"/>
              </w:rPr>
              <w:t>支持7路报警输入，2路报警输出，支持1路音频输入和输出接口。最大支持512GB SD卡;</w:t>
            </w:r>
            <w:r>
              <w:rPr>
                <w:rFonts w:hint="eastAsia" w:ascii="宋体" w:hAnsi="宋体" w:cs="宋体"/>
                <w:color w:val="000000"/>
                <w:kern w:val="0"/>
                <w:sz w:val="22"/>
              </w:rPr>
              <w:br w:type="textWrapping"/>
            </w:r>
            <w:r>
              <w:rPr>
                <w:rFonts w:hint="eastAsia" w:ascii="宋体" w:hAnsi="宋体" w:cs="宋体"/>
                <w:color w:val="000000"/>
                <w:kern w:val="0"/>
                <w:sz w:val="22"/>
              </w:rPr>
              <w:t>室外球机应具备较好防护性能，支持IP67;</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20</w:t>
            </w:r>
          </w:p>
        </w:tc>
      </w:tr>
      <w:tr>
        <w:tblPrEx>
          <w:tblCellMar>
            <w:top w:w="0" w:type="dxa"/>
            <w:left w:w="108" w:type="dxa"/>
            <w:bottom w:w="0" w:type="dxa"/>
            <w:right w:w="108" w:type="dxa"/>
          </w:tblCellMar>
        </w:tblPrEx>
        <w:trPr>
          <w:trHeight w:val="5393"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8</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AR鹰眼（主楼、辅楼顶，全院高空覆盖）</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★自带镜头，另配6个图像采集模块，可输出1路主视频图像和6路辅视频图像。可将辅视频图像进行无缝拼接，拼接后的辅视频图像：水平视场角为270°，垂直视场角为80°;</w:t>
            </w:r>
          </w:p>
          <w:p>
            <w:pPr>
              <w:widowControl/>
              <w:jc w:val="left"/>
              <w:rPr>
                <w:rFonts w:ascii="宋体" w:hAnsi="宋体" w:cs="宋体"/>
                <w:color w:val="000000"/>
                <w:kern w:val="0"/>
                <w:sz w:val="22"/>
              </w:rPr>
            </w:pPr>
            <w:r>
              <w:rPr>
                <w:rFonts w:hint="eastAsia" w:ascii="宋体" w:hAnsi="宋体" w:cs="宋体"/>
                <w:color w:val="000000"/>
                <w:kern w:val="0"/>
                <w:sz w:val="22"/>
              </w:rPr>
              <w:t>具备AR视频标签添加，修改，删除和标注等系列管理功能，支持全景通道添加不少于800个标签，细节通道添加不少于400个标签；标签类型包括：**站视频标签，建筑物视频标签，卡口视频标签，普通视频标签等（以公安部形式检验报告为准）;</w:t>
            </w:r>
            <w:r>
              <w:rPr>
                <w:rFonts w:hint="eastAsia" w:ascii="宋体" w:hAnsi="宋体" w:cs="宋体"/>
                <w:color w:val="000000"/>
                <w:kern w:val="0"/>
                <w:sz w:val="22"/>
              </w:rPr>
              <w:br w:type="textWrapping"/>
            </w:r>
            <w:r>
              <w:rPr>
                <w:rFonts w:hint="eastAsia" w:ascii="宋体" w:hAnsi="宋体" w:cs="宋体"/>
                <w:color w:val="000000"/>
                <w:kern w:val="0"/>
                <w:sz w:val="22"/>
              </w:rPr>
              <w:t>具备添加定点标签，区域标签，矢量标签，方向标签，并支持标签联动操作。（以公安部形式检验报告为准）;</w:t>
            </w:r>
            <w:r>
              <w:rPr>
                <w:rFonts w:hint="eastAsia" w:ascii="宋体" w:hAnsi="宋体" w:cs="宋体"/>
                <w:color w:val="000000"/>
                <w:kern w:val="0"/>
                <w:sz w:val="22"/>
              </w:rPr>
              <w:br w:type="textWrapping"/>
            </w:r>
            <w:r>
              <w:rPr>
                <w:rFonts w:hint="eastAsia" w:ascii="宋体" w:hAnsi="宋体" w:cs="宋体"/>
                <w:color w:val="000000"/>
                <w:kern w:val="0"/>
                <w:sz w:val="22"/>
              </w:rPr>
              <w:t>具备AR标签防漂移功能，设备调教或者转动时，AR标签与标记物体保持相对静止。;</w:t>
            </w:r>
            <w:r>
              <w:rPr>
                <w:rFonts w:hint="eastAsia" w:ascii="宋体" w:hAnsi="宋体" w:cs="宋体"/>
                <w:color w:val="000000"/>
                <w:kern w:val="0"/>
                <w:sz w:val="22"/>
              </w:rPr>
              <w:br w:type="textWrapping"/>
            </w:r>
            <w:r>
              <w:rPr>
                <w:rFonts w:hint="eastAsia" w:ascii="宋体" w:hAnsi="宋体" w:cs="宋体"/>
                <w:color w:val="000000"/>
                <w:kern w:val="0"/>
                <w:sz w:val="22"/>
              </w:rPr>
              <w:t>具备AR视频标签联动功能;</w:t>
            </w:r>
            <w:r>
              <w:rPr>
                <w:rFonts w:hint="eastAsia" w:ascii="宋体" w:hAnsi="宋体" w:cs="宋体"/>
                <w:color w:val="000000"/>
                <w:kern w:val="0"/>
                <w:sz w:val="22"/>
              </w:rPr>
              <w:br w:type="textWrapping"/>
            </w:r>
            <w:r>
              <w:rPr>
                <w:rFonts w:hint="eastAsia" w:ascii="宋体" w:hAnsi="宋体" w:cs="宋体"/>
                <w:color w:val="000000"/>
                <w:kern w:val="0"/>
                <w:sz w:val="22"/>
              </w:rPr>
              <w:t>具备标签跟踪功能，可对全景和细节通道的移动标签进行跟踪，移动标签始终位于画面中心，且跟踪时间和倍率可设置;</w:t>
            </w:r>
            <w:r>
              <w:rPr>
                <w:rFonts w:hint="eastAsia" w:ascii="宋体" w:hAnsi="宋体" w:cs="宋体"/>
                <w:color w:val="000000"/>
                <w:kern w:val="0"/>
                <w:sz w:val="22"/>
              </w:rPr>
              <w:br w:type="textWrapping"/>
            </w:r>
            <w:r>
              <w:rPr>
                <w:rFonts w:hint="eastAsia" w:ascii="宋体" w:hAnsi="宋体" w:cs="宋体"/>
                <w:color w:val="000000"/>
                <w:kern w:val="0"/>
                <w:sz w:val="22"/>
              </w:rPr>
              <w:t>主视频图像：2560×1440@25fps，辅视频图像：8160×2400@30fps，其中主视频图像分辨力不小于1600线;</w:t>
            </w:r>
            <w:r>
              <w:rPr>
                <w:rFonts w:hint="eastAsia" w:ascii="宋体" w:hAnsi="宋体" w:cs="宋体"/>
                <w:color w:val="000000"/>
                <w:kern w:val="0"/>
                <w:sz w:val="22"/>
              </w:rPr>
              <w:br w:type="textWrapping"/>
            </w:r>
            <w:r>
              <w:rPr>
                <w:rFonts w:hint="eastAsia" w:ascii="宋体" w:hAnsi="宋体" w:cs="宋体"/>
                <w:color w:val="000000"/>
                <w:kern w:val="0"/>
                <w:sz w:val="22"/>
              </w:rPr>
              <w:t>内置GPU芯片;</w:t>
            </w:r>
            <w:r>
              <w:rPr>
                <w:rFonts w:hint="eastAsia" w:ascii="宋体" w:hAnsi="宋体" w:cs="宋体"/>
                <w:color w:val="000000"/>
                <w:kern w:val="0"/>
                <w:sz w:val="22"/>
              </w:rPr>
              <w:br w:type="textWrapping"/>
            </w:r>
            <w:r>
              <w:rPr>
                <w:rFonts w:hint="eastAsia" w:ascii="宋体" w:hAnsi="宋体" w:cs="宋体"/>
                <w:color w:val="000000"/>
                <w:kern w:val="0"/>
                <w:sz w:val="22"/>
              </w:rPr>
              <w:t>全景通道采用6个靶面尺寸为 1/1.8＂的镜头，分辨率为均为2560×1440，细节通道采用1个 1/1.8＂4MP CMOS，分辨率为均为2560×1440。</w:t>
            </w:r>
            <w:r>
              <w:rPr>
                <w:rFonts w:hint="eastAsia" w:ascii="宋体" w:hAnsi="宋体" w:cs="宋体"/>
                <w:color w:val="000000"/>
                <w:kern w:val="0"/>
                <w:sz w:val="22"/>
              </w:rPr>
              <w:br w:type="textWrapping"/>
            </w:r>
            <w:r>
              <w:rPr>
                <w:rFonts w:hint="eastAsia" w:ascii="宋体" w:hAnsi="宋体" w:cs="宋体"/>
                <w:color w:val="000000"/>
                <w:kern w:val="0"/>
                <w:sz w:val="22"/>
              </w:rPr>
              <w:t>主视频支持不小于40倍光学变倍;</w:t>
            </w:r>
            <w:r>
              <w:rPr>
                <w:rFonts w:hint="eastAsia" w:ascii="宋体" w:hAnsi="宋体" w:cs="宋体"/>
                <w:color w:val="000000"/>
                <w:kern w:val="0"/>
                <w:sz w:val="22"/>
              </w:rPr>
              <w:br w:type="textWrapping"/>
            </w:r>
            <w:r>
              <w:rPr>
                <w:rFonts w:hint="eastAsia" w:ascii="宋体" w:hAnsi="宋体" w:cs="宋体"/>
                <w:color w:val="000000"/>
                <w:kern w:val="0"/>
                <w:sz w:val="22"/>
              </w:rPr>
              <w:t>彩色：0.0003lux；黑白：0.0001lux;</w:t>
            </w:r>
            <w:r>
              <w:rPr>
                <w:rFonts w:hint="eastAsia" w:ascii="宋体" w:hAnsi="宋体" w:cs="宋体"/>
                <w:color w:val="000000"/>
                <w:kern w:val="0"/>
                <w:sz w:val="22"/>
              </w:rPr>
              <w:br w:type="textWrapping"/>
            </w:r>
            <w:r>
              <w:rPr>
                <w:rFonts w:hint="eastAsia" w:ascii="宋体" w:hAnsi="宋体" w:cs="宋体"/>
                <w:color w:val="000000"/>
                <w:kern w:val="0"/>
                <w:sz w:val="22"/>
              </w:rPr>
              <w:t>支持宽动态不小于106dB;</w:t>
            </w:r>
            <w:r>
              <w:rPr>
                <w:rFonts w:hint="eastAsia" w:ascii="宋体" w:hAnsi="宋体" w:cs="宋体"/>
                <w:color w:val="000000"/>
                <w:kern w:val="0"/>
                <w:sz w:val="22"/>
              </w:rPr>
              <w:br w:type="textWrapping"/>
            </w:r>
            <w:r>
              <w:rPr>
                <w:rFonts w:hint="eastAsia" w:ascii="宋体" w:hAnsi="宋体" w:cs="宋体"/>
                <w:color w:val="000000"/>
                <w:kern w:val="0"/>
                <w:sz w:val="22"/>
              </w:rPr>
              <w:t>支持水平手控速度不小于240°/S，云台定位精度为不大于0.1°。垂直手控速度不小于200°/S;</w:t>
            </w:r>
            <w:r>
              <w:rPr>
                <w:rFonts w:hint="eastAsia" w:ascii="宋体" w:hAnsi="宋体" w:cs="宋体"/>
                <w:color w:val="000000"/>
                <w:kern w:val="0"/>
                <w:sz w:val="22"/>
              </w:rPr>
              <w:br w:type="textWrapping"/>
            </w:r>
            <w:r>
              <w:rPr>
                <w:rFonts w:hint="eastAsia" w:ascii="宋体" w:hAnsi="宋体" w:cs="宋体"/>
                <w:color w:val="000000"/>
                <w:kern w:val="0"/>
                <w:sz w:val="22"/>
              </w:rPr>
              <w:t>水平连续360°旋转。垂直旋转范围为-20°~90°;</w:t>
            </w:r>
            <w:r>
              <w:rPr>
                <w:rFonts w:hint="eastAsia" w:ascii="宋体" w:hAnsi="宋体" w:cs="宋体"/>
                <w:color w:val="000000"/>
                <w:kern w:val="0"/>
                <w:sz w:val="22"/>
              </w:rPr>
              <w:br w:type="textWrapping"/>
            </w:r>
            <w:r>
              <w:rPr>
                <w:rFonts w:hint="eastAsia" w:ascii="宋体" w:hAnsi="宋体" w:cs="宋体"/>
                <w:color w:val="000000"/>
                <w:kern w:val="0"/>
                <w:sz w:val="22"/>
              </w:rPr>
              <w:t>支持7路报警输入接口，2路报警输出接口，支持1路音频输入，1路输出接口;</w:t>
            </w:r>
            <w:r>
              <w:rPr>
                <w:rFonts w:hint="eastAsia" w:ascii="宋体" w:hAnsi="宋体" w:cs="宋体"/>
                <w:color w:val="000000"/>
                <w:kern w:val="0"/>
                <w:sz w:val="22"/>
              </w:rPr>
              <w:br w:type="textWrapping"/>
            </w:r>
            <w:r>
              <w:rPr>
                <w:rFonts w:hint="eastAsia" w:ascii="宋体" w:hAnsi="宋体" w:cs="宋体"/>
                <w:color w:val="000000"/>
                <w:kern w:val="0"/>
                <w:sz w:val="22"/>
              </w:rPr>
              <w:t>支持500个预置位，支持32条巡航扫描，每条巡航路径可设置16个预置点;</w:t>
            </w:r>
            <w:r>
              <w:rPr>
                <w:rFonts w:hint="eastAsia" w:ascii="宋体" w:hAnsi="宋体" w:cs="宋体"/>
                <w:color w:val="000000"/>
                <w:kern w:val="0"/>
                <w:sz w:val="22"/>
              </w:rPr>
              <w:br w:type="textWrapping"/>
            </w:r>
            <w:r>
              <w:rPr>
                <w:rFonts w:hint="eastAsia" w:ascii="宋体" w:hAnsi="宋体" w:cs="宋体"/>
                <w:color w:val="000000"/>
                <w:kern w:val="0"/>
                <w:sz w:val="22"/>
              </w:rPr>
              <w:t>支持三码流输出，主码流球机摄像机通道支持输出2560×1440@25fps图像、全景通道支持输出8160×2400@25fps图像；第三码流球机摄像机通道支持输出1920×1080@25ps图像、全景通道支持输出4096×1200@25fps图像;</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w:t>
            </w:r>
          </w:p>
        </w:tc>
      </w:tr>
      <w:tr>
        <w:tblPrEx>
          <w:tblCellMar>
            <w:top w:w="0" w:type="dxa"/>
            <w:left w:w="108" w:type="dxa"/>
            <w:bottom w:w="0" w:type="dxa"/>
            <w:right w:w="108" w:type="dxa"/>
          </w:tblCellMar>
        </w:tblPrEx>
        <w:trPr>
          <w:trHeight w:val="10779"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9</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脸谱服务器(自动分辨敏感人员，提醒安保人员重点关注)</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★1U机架式标准机箱,大数据写入情况下，人脸图片建模速度不低于80张/S，人脸图片建模成功率不低于99%;;</w:t>
            </w:r>
            <w:r>
              <w:rPr>
                <w:rFonts w:hint="eastAsia" w:ascii="宋体" w:hAnsi="宋体" w:cs="宋体"/>
                <w:color w:val="000000"/>
                <w:kern w:val="0"/>
                <w:sz w:val="22"/>
              </w:rPr>
              <w:br w:type="textWrapping"/>
            </w:r>
            <w:r>
              <w:rPr>
                <w:rFonts w:hint="eastAsia" w:ascii="宋体" w:hAnsi="宋体" w:cs="宋体"/>
                <w:color w:val="000000"/>
                <w:kern w:val="0"/>
                <w:sz w:val="22"/>
              </w:rPr>
              <w:t>支持热拔插高效1+1冗余电源模块;</w:t>
            </w:r>
            <w:r>
              <w:rPr>
                <w:rFonts w:hint="eastAsia" w:ascii="宋体" w:hAnsi="宋体" w:cs="宋体"/>
                <w:color w:val="000000"/>
                <w:kern w:val="0"/>
                <w:sz w:val="22"/>
              </w:rPr>
              <w:br w:type="textWrapping"/>
            </w:r>
            <w:r>
              <w:rPr>
                <w:rFonts w:hint="eastAsia" w:ascii="宋体" w:hAnsi="宋体" w:cs="宋体"/>
                <w:color w:val="000000"/>
                <w:kern w:val="0"/>
                <w:sz w:val="22"/>
              </w:rPr>
              <w:t>支持多机集群运行;</w:t>
            </w:r>
            <w:r>
              <w:rPr>
                <w:rFonts w:hint="eastAsia" w:ascii="宋体" w:hAnsi="宋体" w:cs="宋体"/>
                <w:color w:val="000000"/>
                <w:kern w:val="0"/>
                <w:sz w:val="22"/>
              </w:rPr>
              <w:br w:type="textWrapping"/>
            </w:r>
            <w:r>
              <w:rPr>
                <w:rFonts w:hint="eastAsia" w:ascii="宋体" w:hAnsi="宋体" w:cs="宋体"/>
                <w:color w:val="000000"/>
                <w:kern w:val="0"/>
                <w:sz w:val="22"/>
              </w:rPr>
              <w:t>支持添加、修改、删除人脸抓拍机，在标准环境下通过模拟测试可模拟接入80路人脸抓拍机，支持实时预览人脸抓拍机界面;</w:t>
            </w:r>
            <w:r>
              <w:rPr>
                <w:rFonts w:hint="eastAsia" w:ascii="宋体" w:hAnsi="宋体" w:cs="宋体"/>
                <w:color w:val="000000"/>
                <w:kern w:val="0"/>
                <w:sz w:val="22"/>
              </w:rPr>
              <w:br w:type="textWrapping"/>
            </w:r>
            <w:r>
              <w:rPr>
                <w:rFonts w:hint="eastAsia" w:ascii="宋体" w:hAnsi="宋体" w:cs="宋体"/>
                <w:color w:val="000000"/>
                <w:kern w:val="0"/>
                <w:sz w:val="22"/>
              </w:rPr>
              <w:t>支持单场景同时检出不少于45个人脸;</w:t>
            </w:r>
            <w:r>
              <w:rPr>
                <w:rFonts w:hint="eastAsia" w:ascii="宋体" w:hAnsi="宋体" w:cs="宋体"/>
                <w:color w:val="000000"/>
                <w:kern w:val="0"/>
                <w:sz w:val="22"/>
              </w:rPr>
              <w:br w:type="textWrapping"/>
            </w:r>
            <w:r>
              <w:rPr>
                <w:rFonts w:hint="eastAsia" w:ascii="宋体" w:hAnsi="宋体" w:cs="宋体"/>
                <w:color w:val="000000"/>
                <w:kern w:val="0"/>
                <w:sz w:val="22"/>
              </w:rPr>
              <w:t>支持检出不同角度、不同表情、不同遮挡方式、不同人种、不同光照条件下的人脸;</w:t>
            </w:r>
            <w:r>
              <w:rPr>
                <w:rFonts w:hint="eastAsia" w:ascii="宋体" w:hAnsi="宋体" w:cs="宋体"/>
                <w:color w:val="000000"/>
                <w:kern w:val="0"/>
                <w:sz w:val="22"/>
              </w:rPr>
              <w:br w:type="textWrapping"/>
            </w:r>
            <w:r>
              <w:rPr>
                <w:rFonts w:hint="eastAsia" w:ascii="宋体" w:hAnsi="宋体" w:cs="宋体"/>
                <w:color w:val="000000"/>
                <w:kern w:val="0"/>
                <w:sz w:val="22"/>
              </w:rPr>
              <w:t>支持识别不同像素人脸图片;</w:t>
            </w:r>
            <w:r>
              <w:rPr>
                <w:rFonts w:hint="eastAsia" w:ascii="宋体" w:hAnsi="宋体" w:cs="宋体"/>
                <w:color w:val="000000"/>
                <w:kern w:val="0"/>
                <w:sz w:val="22"/>
              </w:rPr>
              <w:br w:type="textWrapping"/>
            </w:r>
            <w:r>
              <w:rPr>
                <w:rFonts w:hint="eastAsia" w:ascii="宋体" w:hAnsi="宋体" w:cs="宋体"/>
                <w:color w:val="000000"/>
                <w:kern w:val="0"/>
                <w:sz w:val="22"/>
              </w:rPr>
              <w:t>名单报警：支持在特定条件下，设备对抓拍的人脸图片进行分析，将分析后的结果与关联的名单库进行比较，比对成功时触发报警，并产生报警提示;</w:t>
            </w:r>
            <w:r>
              <w:rPr>
                <w:rFonts w:hint="eastAsia" w:ascii="宋体" w:hAnsi="宋体" w:cs="宋体"/>
                <w:color w:val="000000"/>
                <w:kern w:val="0"/>
                <w:sz w:val="22"/>
              </w:rPr>
              <w:br w:type="textWrapping"/>
            </w:r>
            <w:r>
              <w:rPr>
                <w:rFonts w:hint="eastAsia" w:ascii="宋体" w:hAnsi="宋体" w:cs="宋体"/>
                <w:color w:val="000000"/>
                <w:kern w:val="0"/>
                <w:sz w:val="22"/>
              </w:rPr>
              <w:t>支持单张或批量导入/导出名单图片及信息，支持对名单图片、姓名、性别、省份、城市、身份证号码、起止生日、截止生日、自定义标签4个、报警相似度阈值、报警时间、名单库选择进行编辑，支持按照姓名、性别、省份、城市、身份证号、起始生日、截止生日查询名单库中人脸图片;</w:t>
            </w:r>
            <w:r>
              <w:rPr>
                <w:rFonts w:hint="eastAsia" w:ascii="宋体" w:hAnsi="宋体" w:cs="宋体"/>
                <w:color w:val="000000"/>
                <w:kern w:val="0"/>
                <w:sz w:val="22"/>
              </w:rPr>
              <w:br w:type="textWrapping"/>
            </w:r>
            <w:r>
              <w:rPr>
                <w:rFonts w:hint="eastAsia" w:ascii="宋体" w:hAnsi="宋体" w:cs="宋体"/>
                <w:color w:val="000000"/>
                <w:kern w:val="0"/>
                <w:sz w:val="22"/>
              </w:rPr>
              <w:t>支持名单库容量120万张图片，支持将名单库分为100个库分别管理，每个库设置不同报警阈值或关联相机，120万名单库实时报警响应速度不超过1秒;</w:t>
            </w:r>
            <w:r>
              <w:rPr>
                <w:rFonts w:hint="eastAsia" w:ascii="宋体" w:hAnsi="宋体" w:cs="宋体"/>
                <w:color w:val="000000"/>
                <w:kern w:val="0"/>
                <w:sz w:val="22"/>
              </w:rPr>
              <w:br w:type="textWrapping"/>
            </w:r>
            <w:r>
              <w:rPr>
                <w:rFonts w:hint="eastAsia" w:ascii="宋体" w:hAnsi="宋体" w:cs="宋体"/>
                <w:color w:val="000000"/>
                <w:kern w:val="0"/>
                <w:sz w:val="22"/>
              </w:rPr>
              <w:t>支持在界面上添加名称为人车分析，人脸图片分析、人脸视频分析和卡口车辆图片分析的算法，并支持通过分析源类型或分析目标进行算法查询;</w:t>
            </w:r>
            <w:r>
              <w:rPr>
                <w:rFonts w:hint="eastAsia" w:ascii="宋体" w:hAnsi="宋体" w:cs="宋体"/>
                <w:color w:val="000000"/>
                <w:kern w:val="0"/>
                <w:sz w:val="22"/>
              </w:rPr>
              <w:br w:type="textWrapping"/>
            </w:r>
            <w:r>
              <w:rPr>
                <w:rFonts w:hint="eastAsia" w:ascii="宋体" w:hAnsi="宋体" w:cs="宋体"/>
                <w:color w:val="000000"/>
                <w:kern w:val="0"/>
                <w:sz w:val="22"/>
              </w:rPr>
              <w:t>支持NTP校时服务器配置，并支持手动校时；</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7405"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10</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人证核验终端(与脸谱分析功能匹配使用，确定人员信息)</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★设备具有以下接口：LAN*1、WiFi*1、USB、喇叭扬声器、I/O输出*1、I/O输入*1、红绿双色LED状态灯、开关机键*1、RS485*1;</w:t>
            </w:r>
            <w:r>
              <w:rPr>
                <w:rFonts w:hint="eastAsia" w:ascii="宋体" w:hAnsi="宋体" w:cs="宋体"/>
                <w:color w:val="000000"/>
                <w:kern w:val="0"/>
                <w:sz w:val="22"/>
              </w:rPr>
              <w:br w:type="textWrapping"/>
            </w:r>
            <w:r>
              <w:rPr>
                <w:rFonts w:hint="eastAsia" w:ascii="宋体" w:hAnsi="宋体" w:cs="宋体"/>
                <w:color w:val="000000"/>
                <w:kern w:val="0"/>
                <w:sz w:val="22"/>
              </w:rPr>
              <w:t>设备采用Android系统，双屏设计，10.1英寸LCD触摸显示屏+10.1英寸显示屏，分辨率不小于1280*800;</w:t>
            </w:r>
            <w:r>
              <w:rPr>
                <w:rFonts w:hint="eastAsia" w:ascii="宋体" w:hAnsi="宋体" w:cs="宋体"/>
                <w:color w:val="000000"/>
                <w:kern w:val="0"/>
                <w:sz w:val="22"/>
              </w:rPr>
              <w:br w:type="textWrapping"/>
            </w:r>
            <w:r>
              <w:rPr>
                <w:rFonts w:hint="eastAsia" w:ascii="宋体" w:hAnsi="宋体" w:cs="宋体"/>
                <w:color w:val="000000"/>
                <w:kern w:val="0"/>
                <w:sz w:val="22"/>
              </w:rPr>
              <w:t>设备内置身份证阅读器，支持通过身份证内照片与现场抓拍人员照片比对，进行身份核验；支持通过拍照提取护照、驾照等其他证件照片与现场抓拍人员照片比对，实现人证比对身份核验;</w:t>
            </w:r>
            <w:r>
              <w:rPr>
                <w:rFonts w:hint="eastAsia" w:ascii="宋体" w:hAnsi="宋体" w:cs="宋体"/>
                <w:color w:val="000000"/>
                <w:kern w:val="0"/>
                <w:sz w:val="22"/>
              </w:rPr>
              <w:br w:type="textWrapping"/>
            </w:r>
            <w:r>
              <w:rPr>
                <w:rFonts w:hint="eastAsia" w:ascii="宋体" w:hAnsi="宋体" w:cs="宋体"/>
                <w:color w:val="000000"/>
                <w:kern w:val="0"/>
                <w:sz w:val="22"/>
              </w:rPr>
              <w:t>设备采用高清双目相机（可见光摄像头*1，红外摄像头*1），最大分辨率1920*1080，上下调节角度可达38°，适应强光、逆光、暗光等条件的人脸识别;</w:t>
            </w:r>
            <w:r>
              <w:rPr>
                <w:rFonts w:hint="eastAsia" w:ascii="宋体" w:hAnsi="宋体" w:cs="宋体"/>
                <w:color w:val="000000"/>
                <w:kern w:val="0"/>
                <w:sz w:val="22"/>
              </w:rPr>
              <w:br w:type="textWrapping"/>
            </w:r>
            <w:r>
              <w:rPr>
                <w:rFonts w:hint="eastAsia" w:ascii="宋体" w:hAnsi="宋体" w:cs="宋体"/>
                <w:color w:val="000000"/>
                <w:kern w:val="0"/>
                <w:sz w:val="22"/>
              </w:rPr>
              <w:t>设备支持存储100000名黑名单人员，抓拍照片容量10000张，本地记录（刷脸刷卡）存储容量10000条;</w:t>
            </w:r>
            <w:r>
              <w:rPr>
                <w:rFonts w:hint="eastAsia" w:ascii="宋体" w:hAnsi="宋体" w:cs="宋体"/>
                <w:color w:val="000000"/>
                <w:kern w:val="0"/>
                <w:sz w:val="22"/>
              </w:rPr>
              <w:br w:type="textWrapping"/>
            </w:r>
            <w:r>
              <w:rPr>
                <w:rFonts w:hint="eastAsia" w:ascii="宋体" w:hAnsi="宋体" w:cs="宋体"/>
                <w:color w:val="000000"/>
                <w:kern w:val="0"/>
                <w:sz w:val="22"/>
              </w:rPr>
              <w:t>支持在0.001lux低照度无补光环境下实现人脸识别;</w:t>
            </w:r>
            <w:r>
              <w:rPr>
                <w:rFonts w:hint="eastAsia" w:ascii="宋体" w:hAnsi="宋体" w:cs="宋体"/>
                <w:color w:val="000000"/>
                <w:kern w:val="0"/>
                <w:sz w:val="22"/>
              </w:rPr>
              <w:br w:type="textWrapping"/>
            </w:r>
            <w:r>
              <w:rPr>
                <w:rFonts w:hint="eastAsia" w:ascii="宋体" w:hAnsi="宋体" w:cs="宋体"/>
                <w:color w:val="000000"/>
                <w:kern w:val="0"/>
                <w:sz w:val="22"/>
              </w:rPr>
              <w:t>设备支持比对结果通过语音及文字提示，对于比对结果支持自定义文字，自动转换为语音播报。</w:t>
            </w:r>
            <w:r>
              <w:rPr>
                <w:rFonts w:hint="eastAsia" w:ascii="宋体" w:hAnsi="宋体" w:cs="宋体"/>
                <w:color w:val="000000"/>
                <w:kern w:val="0"/>
                <w:sz w:val="22"/>
              </w:rPr>
              <w:br w:type="textWrapping"/>
            </w:r>
            <w:r>
              <w:rPr>
                <w:rFonts w:hint="eastAsia" w:ascii="宋体" w:hAnsi="宋体" w:cs="宋体"/>
                <w:color w:val="000000"/>
                <w:kern w:val="0"/>
                <w:sz w:val="22"/>
              </w:rPr>
              <w:t>设备支持本地黑名单信息比对，并可将本地黑名单事件，黑名单事件信息可上传平台;</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FF0000"/>
                <w:kern w:val="0"/>
                <w:sz w:val="22"/>
              </w:rPr>
              <w:t>1</w:t>
            </w:r>
          </w:p>
        </w:tc>
      </w:tr>
      <w:tr>
        <w:tblPrEx>
          <w:tblCellMar>
            <w:top w:w="0" w:type="dxa"/>
            <w:left w:w="108" w:type="dxa"/>
            <w:bottom w:w="0" w:type="dxa"/>
            <w:right w:w="108" w:type="dxa"/>
          </w:tblCellMar>
        </w:tblPrEx>
        <w:trPr>
          <w:trHeight w:val="6101"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11</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全景摄像机</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★600万1/1.8"CMOS 全景日夜型网络摄像机</w:t>
            </w:r>
            <w:r>
              <w:rPr>
                <w:rFonts w:hint="eastAsia" w:ascii="宋体" w:hAnsi="宋体" w:cs="宋体"/>
                <w:color w:val="000000"/>
                <w:kern w:val="0"/>
                <w:sz w:val="22"/>
              </w:rPr>
              <w:br w:type="textWrapping"/>
            </w:r>
            <w:r>
              <w:rPr>
                <w:rFonts w:hint="eastAsia" w:ascii="宋体" w:hAnsi="宋体" w:cs="宋体"/>
                <w:color w:val="000000"/>
                <w:kern w:val="0"/>
                <w:sz w:val="22"/>
              </w:rPr>
              <w:t>水平视场角180度（壁装）,360度环视（吸顶）</w:t>
            </w:r>
            <w:r>
              <w:rPr>
                <w:rFonts w:hint="eastAsia" w:ascii="宋体" w:hAnsi="宋体" w:cs="宋体"/>
                <w:color w:val="000000"/>
                <w:kern w:val="0"/>
                <w:sz w:val="22"/>
              </w:rPr>
              <w:br w:type="textWrapping"/>
            </w:r>
            <w:r>
              <w:rPr>
                <w:rFonts w:hint="eastAsia" w:ascii="宋体" w:hAnsi="宋体" w:cs="宋体"/>
                <w:color w:val="000000"/>
                <w:kern w:val="0"/>
                <w:sz w:val="22"/>
              </w:rPr>
              <w:t>宽动态范围: 数字宽动态</w:t>
            </w:r>
            <w:r>
              <w:rPr>
                <w:rFonts w:hint="eastAsia" w:ascii="宋体" w:hAnsi="宋体" w:cs="宋体"/>
                <w:color w:val="000000"/>
                <w:kern w:val="0"/>
                <w:sz w:val="22"/>
              </w:rPr>
              <w:br w:type="textWrapping"/>
            </w:r>
            <w:r>
              <w:rPr>
                <w:rFonts w:hint="eastAsia" w:ascii="宋体" w:hAnsi="宋体" w:cs="宋体"/>
                <w:color w:val="000000"/>
                <w:kern w:val="0"/>
                <w:sz w:val="22"/>
              </w:rPr>
              <w:t>视频压缩标准: H.265 /H.264 / MJPEG</w:t>
            </w:r>
            <w:r>
              <w:rPr>
                <w:rFonts w:hint="eastAsia" w:ascii="宋体" w:hAnsi="宋体" w:cs="宋体"/>
                <w:color w:val="000000"/>
                <w:kern w:val="0"/>
                <w:sz w:val="22"/>
              </w:rPr>
              <w:br w:type="textWrapping"/>
            </w:r>
            <w:r>
              <w:rPr>
                <w:rFonts w:hint="eastAsia" w:ascii="宋体" w:hAnsi="宋体" w:cs="宋体"/>
                <w:color w:val="000000"/>
                <w:kern w:val="0"/>
                <w:sz w:val="22"/>
              </w:rPr>
              <w:t>安装方式: 桌面式,墙装,吸顶装</w:t>
            </w:r>
            <w:r>
              <w:rPr>
                <w:rFonts w:hint="eastAsia" w:ascii="宋体" w:hAnsi="宋体" w:cs="宋体"/>
                <w:color w:val="000000"/>
                <w:kern w:val="0"/>
                <w:sz w:val="22"/>
              </w:rPr>
              <w:br w:type="textWrapping"/>
            </w:r>
            <w:r>
              <w:rPr>
                <w:rFonts w:hint="eastAsia" w:ascii="宋体" w:hAnsi="宋体" w:cs="宋体"/>
                <w:color w:val="000000"/>
                <w:kern w:val="0"/>
                <w:sz w:val="22"/>
              </w:rPr>
              <w:t>通讯接口: 1 个 RJ45 10M / 100M / 1000MB 自适应以太网口</w:t>
            </w:r>
            <w:r>
              <w:rPr>
                <w:rFonts w:hint="eastAsia" w:ascii="宋体" w:hAnsi="宋体" w:cs="宋体"/>
                <w:color w:val="000000"/>
                <w:kern w:val="0"/>
                <w:sz w:val="22"/>
              </w:rPr>
              <w:br w:type="textWrapping"/>
            </w:r>
            <w:r>
              <w:rPr>
                <w:rFonts w:hint="eastAsia" w:ascii="宋体" w:hAnsi="宋体" w:cs="宋体"/>
                <w:color w:val="000000"/>
                <w:kern w:val="0"/>
                <w:sz w:val="22"/>
              </w:rPr>
              <w:t>音频接口: 内置麦克风,内置扬声器</w:t>
            </w:r>
            <w:r>
              <w:rPr>
                <w:rFonts w:hint="eastAsia" w:ascii="宋体" w:hAnsi="宋体" w:cs="宋体"/>
                <w:color w:val="000000"/>
                <w:kern w:val="0"/>
                <w:sz w:val="22"/>
              </w:rPr>
              <w:br w:type="textWrapping"/>
            </w:r>
            <w:r>
              <w:rPr>
                <w:rFonts w:hint="eastAsia" w:ascii="宋体" w:hAnsi="宋体" w:cs="宋体"/>
                <w:color w:val="000000"/>
                <w:kern w:val="0"/>
                <w:sz w:val="22"/>
              </w:rPr>
              <w:t>防护等级: IP67</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31</w:t>
            </w:r>
          </w:p>
        </w:tc>
      </w:tr>
      <w:tr>
        <w:tblPrEx>
          <w:tblCellMar>
            <w:top w:w="0" w:type="dxa"/>
            <w:left w:w="108" w:type="dxa"/>
            <w:bottom w:w="0" w:type="dxa"/>
            <w:right w:w="108" w:type="dxa"/>
          </w:tblCellMar>
        </w:tblPrEx>
        <w:trPr>
          <w:trHeight w:val="408" w:hRule="atLeast"/>
        </w:trPr>
        <w:tc>
          <w:tcPr>
            <w:tcW w:w="926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32"/>
                <w:szCs w:val="32"/>
              </w:rPr>
            </w:pPr>
          </w:p>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二、周界热成像</w:t>
            </w:r>
          </w:p>
        </w:tc>
      </w:tr>
      <w:tr>
        <w:tblPrEx>
          <w:tblCellMar>
            <w:top w:w="0" w:type="dxa"/>
            <w:left w:w="108" w:type="dxa"/>
            <w:bottom w:w="0" w:type="dxa"/>
            <w:right w:w="108" w:type="dxa"/>
          </w:tblCellMar>
        </w:tblPrEx>
        <w:trPr>
          <w:trHeight w:val="8192"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c>
          <w:tcPr>
            <w:tcW w:w="1663"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rPr>
            </w:pPr>
            <w:r>
              <w:rPr>
                <w:rFonts w:hint="eastAsia" w:ascii="宋体" w:hAnsi="宋体" w:cs="宋体"/>
                <w:color w:val="000000"/>
                <w:kern w:val="0"/>
                <w:sz w:val="22"/>
              </w:rPr>
              <w:t>雷球一体机(南北大厅外露天区域布防的全景跟踪摄像机)</w:t>
            </w:r>
          </w:p>
        </w:tc>
        <w:tc>
          <w:tcPr>
            <w:tcW w:w="5373"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rPr>
            </w:pPr>
            <w:r>
              <w:rPr>
                <w:rFonts w:hint="eastAsia" w:ascii="宋体" w:hAnsi="宋体" w:cs="宋体"/>
                <w:color w:val="000000"/>
                <w:kern w:val="0"/>
                <w:sz w:val="22"/>
              </w:rPr>
              <w:t>★支持三个不同优先级别的区域设置，分优先级跟踪抓拍不同区域内的活动人员目标；抓拍区域的形状可以任意设置；每一级抓拍区可设置区域不少于20个，跟踪灵敏度可设置范围为1~5级；目标跟踪时间可在2秒至999秒之间任意设置，设备出厂前完成定标，任意场景无需重新定标（提供公安部检测机构出具的检验报告）;</w:t>
            </w:r>
          </w:p>
          <w:p>
            <w:pPr>
              <w:widowControl/>
              <w:jc w:val="left"/>
              <w:rPr>
                <w:rFonts w:ascii="宋体" w:hAnsi="宋体" w:cs="宋体"/>
                <w:color w:val="000000"/>
                <w:kern w:val="0"/>
                <w:sz w:val="22"/>
              </w:rPr>
            </w:pPr>
            <w:r>
              <w:rPr>
                <w:rFonts w:hint="eastAsia" w:ascii="宋体" w:hAnsi="宋体" w:cs="宋体"/>
                <w:color w:val="000000"/>
                <w:kern w:val="0"/>
                <w:sz w:val="22"/>
              </w:rPr>
              <w:t>水平视场角≥180°,垂直视角≥140°;</w:t>
            </w:r>
            <w:r>
              <w:rPr>
                <w:rFonts w:hint="eastAsia" w:ascii="宋体" w:hAnsi="宋体" w:cs="宋体"/>
                <w:color w:val="000000"/>
                <w:kern w:val="0"/>
                <w:sz w:val="22"/>
              </w:rPr>
              <w:br w:type="textWrapping"/>
            </w:r>
            <w:r>
              <w:rPr>
                <w:rFonts w:hint="eastAsia" w:ascii="宋体" w:hAnsi="宋体" w:cs="宋体"/>
                <w:color w:val="000000"/>
                <w:kern w:val="0"/>
                <w:sz w:val="22"/>
              </w:rPr>
              <w:t>最远可跟踪100米的活动人员目标并抓拍目标人脸图片,抓拍80米远的活动人员人脸图片像素大于120*120;</w:t>
            </w:r>
            <w:r>
              <w:rPr>
                <w:rFonts w:hint="eastAsia" w:ascii="宋体" w:hAnsi="宋体" w:cs="宋体"/>
                <w:color w:val="000000"/>
                <w:kern w:val="0"/>
                <w:sz w:val="22"/>
              </w:rPr>
              <w:br w:type="textWrapping"/>
            </w:r>
            <w:r>
              <w:rPr>
                <w:rFonts w:hint="eastAsia" w:ascii="宋体" w:hAnsi="宋体" w:cs="宋体"/>
                <w:color w:val="000000"/>
                <w:kern w:val="0"/>
                <w:sz w:val="22"/>
              </w:rPr>
              <w:t>在设置的抓拍区域内可设置屏蔽区，屏蔽区目标不会被检测；每一级抓拍区域内允许设置屏蔽区个数不少于20个（提供公安部检测机构出具的检验报告）;</w:t>
            </w:r>
            <w:r>
              <w:rPr>
                <w:rFonts w:hint="eastAsia" w:ascii="宋体" w:hAnsi="宋体" w:cs="宋体"/>
                <w:color w:val="000000"/>
                <w:kern w:val="0"/>
                <w:sz w:val="22"/>
              </w:rPr>
              <w:br w:type="textWrapping"/>
            </w:r>
            <w:r>
              <w:rPr>
                <w:rFonts w:hint="eastAsia" w:ascii="宋体" w:hAnsi="宋体" w:cs="宋体"/>
                <w:color w:val="000000"/>
                <w:kern w:val="0"/>
                <w:sz w:val="22"/>
              </w:rPr>
              <w:t>可对相距300米处速度大于80km/h的移动目标进行检测并驱使球机跟踪；支持手动对指定区域或目标的特写进行抓图，所抓拍的图片包含全景摄像机的画面和球型摄像机的特写画面（提供公安部检测机构出具的检验报告）</w:t>
            </w:r>
            <w:r>
              <w:rPr>
                <w:rFonts w:hint="eastAsia" w:ascii="宋体" w:hAnsi="宋体" w:cs="宋体"/>
                <w:color w:val="000000"/>
                <w:kern w:val="0"/>
                <w:sz w:val="22"/>
              </w:rPr>
              <w:br w:type="textWrapping"/>
            </w:r>
            <w:r>
              <w:rPr>
                <w:rFonts w:hint="eastAsia" w:ascii="宋体" w:hAnsi="宋体" w:cs="宋体"/>
                <w:color w:val="000000"/>
                <w:kern w:val="0"/>
                <w:sz w:val="22"/>
              </w:rPr>
              <w:t>支持一点即视功能，鼠标点击枪机画面中任意区域，球机在0.3秒内转到该区域（提供公安部检测机构出具的检验报告）</w:t>
            </w:r>
            <w:r>
              <w:rPr>
                <w:rFonts w:hint="eastAsia" w:ascii="宋体" w:hAnsi="宋体" w:cs="宋体"/>
                <w:color w:val="000000"/>
                <w:kern w:val="0"/>
                <w:sz w:val="22"/>
              </w:rPr>
              <w:br w:type="textWrapping"/>
            </w:r>
            <w:r>
              <w:rPr>
                <w:rFonts w:hint="eastAsia" w:ascii="宋体" w:hAnsi="宋体" w:cs="宋体"/>
                <w:color w:val="000000"/>
                <w:kern w:val="0"/>
                <w:sz w:val="22"/>
              </w:rPr>
              <w:t>对摄像机画面中的目标从单向或双向触发警戒线的行为进行锁定跟踪并提示。系统最大支持设置50条警戒线</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w:t>
            </w:r>
          </w:p>
        </w:tc>
      </w:tr>
      <w:tr>
        <w:tblPrEx>
          <w:tblCellMar>
            <w:top w:w="0" w:type="dxa"/>
            <w:left w:w="108" w:type="dxa"/>
            <w:bottom w:w="0" w:type="dxa"/>
            <w:right w:w="108" w:type="dxa"/>
          </w:tblCellMar>
        </w:tblPrEx>
        <w:trPr>
          <w:trHeight w:val="8192"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热成像摄像机（沿围墙）</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★400万声光报警</w:t>
            </w:r>
          </w:p>
          <w:p>
            <w:pPr>
              <w:widowControl/>
              <w:jc w:val="left"/>
              <w:rPr>
                <w:rFonts w:ascii="宋体" w:hAnsi="宋体" w:cs="宋体"/>
                <w:color w:val="000000"/>
                <w:kern w:val="0"/>
                <w:sz w:val="22"/>
              </w:rPr>
            </w:pPr>
            <w:r>
              <w:rPr>
                <w:rFonts w:hint="eastAsia" w:ascii="宋体" w:hAnsi="宋体" w:cs="宋体"/>
                <w:color w:val="000000"/>
                <w:kern w:val="0"/>
                <w:sz w:val="22"/>
              </w:rPr>
              <w:t>外壳防护等级：IP67，电源电压在DC12V±20%范围内变化时，能正常工作 支持SD卡热拔插，最大支持512GBSD卡</w:t>
            </w:r>
            <w:r>
              <w:rPr>
                <w:rFonts w:hint="eastAsia" w:ascii="宋体" w:hAnsi="宋体" w:cs="宋体"/>
                <w:color w:val="000000"/>
                <w:kern w:val="0"/>
                <w:sz w:val="22"/>
              </w:rPr>
              <w:br w:type="textWrapping"/>
            </w:r>
            <w:r>
              <w:rPr>
                <w:rFonts w:hint="eastAsia" w:ascii="宋体" w:hAnsi="宋体" w:cs="宋体"/>
                <w:color w:val="000000"/>
                <w:kern w:val="0"/>
                <w:sz w:val="22"/>
              </w:rPr>
              <w:t>具有双向语音对讲和单向语音广播功能</w:t>
            </w:r>
            <w:r>
              <w:rPr>
                <w:rFonts w:hint="eastAsia" w:ascii="宋体" w:hAnsi="宋体" w:cs="宋体"/>
                <w:color w:val="000000"/>
                <w:kern w:val="0"/>
                <w:sz w:val="22"/>
              </w:rPr>
              <w:br w:type="textWrapping"/>
            </w:r>
            <w:r>
              <w:rPr>
                <w:rFonts w:hint="eastAsia" w:ascii="宋体" w:hAnsi="宋体" w:cs="宋体"/>
                <w:color w:val="000000"/>
                <w:kern w:val="0"/>
                <w:sz w:val="22"/>
              </w:rPr>
              <w:t>最低可用照度，0.01lx（彩色）；0.001lx（黑白）</w:t>
            </w:r>
            <w:r>
              <w:rPr>
                <w:rFonts w:hint="eastAsia" w:ascii="宋体" w:hAnsi="宋体" w:cs="宋体"/>
                <w:color w:val="000000"/>
                <w:kern w:val="0"/>
                <w:sz w:val="22"/>
              </w:rPr>
              <w:br w:type="textWrapping"/>
            </w:r>
            <w:r>
              <w:rPr>
                <w:rFonts w:hint="eastAsia" w:ascii="宋体" w:hAnsi="宋体" w:cs="宋体"/>
                <w:color w:val="000000"/>
                <w:kern w:val="0"/>
                <w:sz w:val="22"/>
              </w:rPr>
              <w:t>设备支持在-50℃-80℃范围内正常工作</w:t>
            </w:r>
            <w:r>
              <w:rPr>
                <w:rFonts w:hint="eastAsia" w:ascii="宋体" w:hAnsi="宋体" w:cs="宋体"/>
                <w:color w:val="000000"/>
                <w:kern w:val="0"/>
                <w:sz w:val="22"/>
              </w:rPr>
              <w:br w:type="textWrapping"/>
            </w:r>
            <w:r>
              <w:rPr>
                <w:rFonts w:hint="eastAsia" w:ascii="宋体" w:hAnsi="宋体" w:cs="宋体"/>
                <w:color w:val="000000"/>
                <w:kern w:val="0"/>
                <w:sz w:val="22"/>
              </w:rPr>
              <w:t>热成像图像尺寸（1920×1080、1280*720、704*576、640*512、384*288、352*288、320*240）</w:t>
            </w:r>
            <w:r>
              <w:rPr>
                <w:rFonts w:hint="eastAsia" w:ascii="宋体" w:hAnsi="宋体" w:cs="宋体"/>
                <w:color w:val="000000"/>
                <w:kern w:val="0"/>
                <w:sz w:val="22"/>
              </w:rPr>
              <w:br w:type="textWrapping"/>
            </w:r>
            <w:r>
              <w:rPr>
                <w:rFonts w:hint="eastAsia" w:ascii="宋体" w:hAnsi="宋体" w:cs="宋体"/>
                <w:color w:val="000000"/>
                <w:kern w:val="0"/>
                <w:sz w:val="22"/>
              </w:rPr>
              <w:t>能进行黑白名单设置控制访问的IP地址和MAC地址</w:t>
            </w:r>
            <w:r>
              <w:rPr>
                <w:rFonts w:hint="eastAsia" w:ascii="宋体" w:hAnsi="宋体" w:cs="宋体"/>
                <w:color w:val="000000"/>
                <w:kern w:val="0"/>
                <w:sz w:val="22"/>
              </w:rPr>
              <w:br w:type="textWrapping"/>
            </w:r>
            <w:r>
              <w:rPr>
                <w:rFonts w:hint="eastAsia" w:ascii="宋体" w:hAnsi="宋体" w:cs="宋体"/>
                <w:color w:val="000000"/>
                <w:kern w:val="0"/>
                <w:sz w:val="22"/>
              </w:rPr>
              <w:t>CPU、GPU占用超过预设值或内存可用容量低于预设值时,可通过客户端软件或IE浏览器给出报警信息</w:t>
            </w:r>
            <w:r>
              <w:rPr>
                <w:rFonts w:hint="eastAsia" w:ascii="宋体" w:hAnsi="宋体" w:cs="宋体"/>
                <w:color w:val="000000"/>
                <w:kern w:val="0"/>
                <w:sz w:val="22"/>
              </w:rPr>
              <w:br w:type="textWrapping"/>
            </w:r>
            <w:r>
              <w:rPr>
                <w:rFonts w:hint="eastAsia" w:ascii="宋体" w:hAnsi="宋体" w:cs="宋体"/>
                <w:color w:val="000000"/>
                <w:kern w:val="0"/>
                <w:sz w:val="22"/>
              </w:rPr>
              <w:t>热成像视频图像支持多种颜色模式</w:t>
            </w:r>
            <w:r>
              <w:rPr>
                <w:rFonts w:hint="eastAsia" w:ascii="宋体" w:hAnsi="宋体" w:cs="宋体"/>
                <w:color w:val="000000"/>
                <w:kern w:val="0"/>
                <w:sz w:val="22"/>
              </w:rPr>
              <w:br w:type="textWrapping"/>
            </w:r>
            <w:r>
              <w:rPr>
                <w:rFonts w:hint="eastAsia" w:ascii="宋体" w:hAnsi="宋体" w:cs="宋体"/>
                <w:color w:val="000000"/>
                <w:kern w:val="0"/>
                <w:sz w:val="22"/>
              </w:rPr>
              <w:t>可通过IE浏览器在热成像画面中设置点、线段、区域测温规则，最多可设置35个点，35个区域和11条线</w:t>
            </w:r>
            <w:r>
              <w:rPr>
                <w:rFonts w:hint="eastAsia" w:ascii="宋体" w:hAnsi="宋体" w:cs="宋体"/>
                <w:color w:val="000000"/>
                <w:kern w:val="0"/>
                <w:sz w:val="22"/>
              </w:rPr>
              <w:br w:type="textWrapping"/>
            </w:r>
            <w:r>
              <w:rPr>
                <w:rFonts w:hint="eastAsia" w:ascii="宋体" w:hAnsi="宋体" w:cs="宋体"/>
                <w:color w:val="000000"/>
                <w:kern w:val="0"/>
                <w:sz w:val="22"/>
              </w:rPr>
              <w:t>点测温、线测温、区域测温中存在高于或者低于报警或预报警温度时，可在客户端显示不同的报警颜色进行报警提示，联动报警输出并发送邮件，联动录像及联动抓拍</w:t>
            </w:r>
            <w:r>
              <w:rPr>
                <w:rFonts w:hint="eastAsia" w:ascii="宋体" w:hAnsi="宋体" w:cs="宋体"/>
                <w:color w:val="000000"/>
                <w:kern w:val="0"/>
                <w:sz w:val="22"/>
              </w:rPr>
              <w:br w:type="textWrapping"/>
            </w:r>
            <w:r>
              <w:rPr>
                <w:rFonts w:hint="eastAsia" w:ascii="宋体" w:hAnsi="宋体" w:cs="宋体"/>
                <w:color w:val="000000"/>
                <w:kern w:val="0"/>
                <w:sz w:val="22"/>
              </w:rPr>
              <w:t>可对热成像视频图像监视画面上最高探测温度和最低探测温度的目标进行跟踪和标注</w:t>
            </w:r>
            <w:r>
              <w:rPr>
                <w:rFonts w:hint="eastAsia" w:ascii="宋体" w:hAnsi="宋体" w:cs="宋体"/>
                <w:color w:val="000000"/>
                <w:kern w:val="0"/>
                <w:sz w:val="22"/>
              </w:rPr>
              <w:br w:type="textWrapping"/>
            </w:r>
            <w:r>
              <w:rPr>
                <w:rFonts w:hint="eastAsia" w:ascii="宋体" w:hAnsi="宋体" w:cs="宋体"/>
                <w:color w:val="000000"/>
                <w:kern w:val="0"/>
                <w:sz w:val="22"/>
              </w:rPr>
              <w:t>可将热成像视频图像和可见光视频图像进行融合预览，并在可见光视频图像上相同比例位置处叠加热成像测温信息</w:t>
            </w:r>
            <w:r>
              <w:rPr>
                <w:rFonts w:hint="eastAsia" w:ascii="宋体" w:hAnsi="宋体" w:cs="宋体"/>
                <w:color w:val="000000"/>
                <w:kern w:val="0"/>
                <w:sz w:val="22"/>
              </w:rPr>
              <w:br w:type="textWrapping"/>
            </w:r>
            <w:r>
              <w:rPr>
                <w:rFonts w:hint="eastAsia" w:ascii="宋体" w:hAnsi="宋体" w:cs="宋体"/>
                <w:color w:val="000000"/>
                <w:kern w:val="0"/>
                <w:sz w:val="22"/>
              </w:rPr>
              <w:t>可通过IE浏览器设置温度信息的字体大小、及点、线、区域的颜色</w:t>
            </w:r>
            <w:r>
              <w:rPr>
                <w:rFonts w:hint="eastAsia" w:ascii="宋体" w:hAnsi="宋体" w:cs="宋体"/>
                <w:color w:val="000000"/>
                <w:kern w:val="0"/>
                <w:sz w:val="22"/>
              </w:rPr>
              <w:br w:type="textWrapping"/>
            </w:r>
            <w:r>
              <w:rPr>
                <w:rFonts w:hint="eastAsia" w:ascii="宋体" w:hAnsi="宋体" w:cs="宋体"/>
                <w:color w:val="000000"/>
                <w:kern w:val="0"/>
                <w:sz w:val="22"/>
              </w:rPr>
              <w:t>支持声音、灯光联动报警功能。可对智能行为、温度超过阈值、出现高温点、出现吸烟动作等行为进行检测并报警，报警声音可设置，同时支持自定义；</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18</w:t>
            </w:r>
          </w:p>
        </w:tc>
      </w:tr>
      <w:tr>
        <w:tblPrEx>
          <w:tblCellMar>
            <w:top w:w="0" w:type="dxa"/>
            <w:left w:w="108" w:type="dxa"/>
            <w:bottom w:w="0" w:type="dxa"/>
            <w:right w:w="108" w:type="dxa"/>
          </w:tblCellMar>
        </w:tblPrEx>
        <w:trPr>
          <w:trHeight w:val="8192"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16路解码器(消控中心)</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采用嵌入式架构，专用Linux系统，使用DSP解码。为了设备稳定可靠运行，不得采用工控机或者PC机的X86架构,具有16个HDMI输出接口、1个VGA输入接口、1个DVI输入接口、2个USB口、1个语音对讲输入、1个语音对讲输出、16个音频输出、8个报警输入、8个报警输出、1个RS485接口、8个CVBS输出接口（通过转接头实现）、1个RS232接口，2个千兆网口、2个光口。样机采用AC220V电源供电;</w:t>
            </w:r>
            <w:r>
              <w:rPr>
                <w:rFonts w:hint="eastAsia" w:ascii="宋体" w:hAnsi="宋体" w:cs="宋体"/>
                <w:color w:val="000000"/>
                <w:kern w:val="0"/>
                <w:sz w:val="22"/>
              </w:rPr>
              <w:br w:type="textWrapping"/>
            </w:r>
            <w:r>
              <w:rPr>
                <w:rFonts w:hint="eastAsia" w:ascii="宋体" w:hAnsi="宋体" w:cs="宋体"/>
                <w:color w:val="000000"/>
                <w:kern w:val="0"/>
                <w:sz w:val="22"/>
              </w:rPr>
              <w:t>具有1个电源指示灯、1个VGA信号接入指示灯和1个DVI信号接入指示灯;</w:t>
            </w:r>
            <w:r>
              <w:rPr>
                <w:rFonts w:hint="eastAsia" w:ascii="宋体" w:hAnsi="宋体" w:cs="宋体"/>
                <w:color w:val="000000"/>
                <w:kern w:val="0"/>
                <w:sz w:val="22"/>
              </w:rPr>
              <w:br w:type="textWrapping"/>
            </w:r>
            <w:r>
              <w:rPr>
                <w:rFonts w:hint="eastAsia" w:ascii="宋体" w:hAnsi="宋体" w:cs="宋体"/>
                <w:color w:val="000000"/>
                <w:kern w:val="0"/>
                <w:sz w:val="22"/>
              </w:rPr>
              <w:t>支持对输入的视频画面进行90°、180°、270°旋转显示;</w:t>
            </w:r>
            <w:r>
              <w:rPr>
                <w:rFonts w:hint="eastAsia" w:ascii="宋体" w:hAnsi="宋体" w:cs="宋体"/>
                <w:color w:val="000000"/>
                <w:kern w:val="0"/>
                <w:sz w:val="22"/>
              </w:rPr>
              <w:br w:type="textWrapping"/>
            </w:r>
            <w:r>
              <w:rPr>
                <w:rFonts w:hint="eastAsia" w:ascii="宋体" w:hAnsi="宋体" w:cs="宋体"/>
                <w:color w:val="000000"/>
                <w:kern w:val="0"/>
                <w:sz w:val="22"/>
              </w:rPr>
              <w:t>设备接入具有智能行为分析功能的摄像机，可解码显示智能行为分析信息，包括移动侦测、越界入侵、区域入侵、起身离开等，并上传报警信息。</w:t>
            </w:r>
            <w:r>
              <w:rPr>
                <w:rFonts w:hint="eastAsia" w:ascii="宋体" w:hAnsi="宋体" w:cs="宋体"/>
                <w:color w:val="000000"/>
                <w:kern w:val="0"/>
                <w:sz w:val="22"/>
              </w:rPr>
              <w:br w:type="textWrapping"/>
            </w:r>
            <w:r>
              <w:rPr>
                <w:rFonts w:hint="eastAsia" w:ascii="宋体" w:hAnsi="宋体" w:cs="宋体"/>
                <w:color w:val="000000"/>
                <w:kern w:val="0"/>
                <w:sz w:val="22"/>
              </w:rPr>
              <w:t>支持前端接入智能摄像机，直连前端人脸检测设备，可实时展示人脸检测结果，包括年龄、性别、是否戴眼镜等人脸属性信息；属性直接叠加画面显示;</w:t>
            </w:r>
            <w:r>
              <w:rPr>
                <w:rFonts w:hint="eastAsia" w:ascii="宋体" w:hAnsi="宋体" w:cs="宋体"/>
                <w:color w:val="000000"/>
                <w:kern w:val="0"/>
                <w:sz w:val="22"/>
              </w:rPr>
              <w:br w:type="textWrapping"/>
            </w:r>
            <w:r>
              <w:rPr>
                <w:rFonts w:hint="eastAsia" w:ascii="宋体" w:hAnsi="宋体" w:cs="宋体"/>
                <w:color w:val="000000"/>
                <w:kern w:val="0"/>
                <w:sz w:val="22"/>
              </w:rPr>
              <w:t>支持黑白名单功能，可设置256个黑白名单；当设置白名单时，只允许白名单IP访问设备；当设置黑名单时，黑名单内IP无法访问设备</w:t>
            </w:r>
            <w:r>
              <w:rPr>
                <w:rFonts w:hint="eastAsia" w:ascii="宋体" w:hAnsi="宋体" w:cs="宋体"/>
                <w:color w:val="000000"/>
                <w:kern w:val="0"/>
                <w:sz w:val="22"/>
              </w:rPr>
              <w:br w:type="textWrapping"/>
            </w:r>
            <w:r>
              <w:rPr>
                <w:rFonts w:hint="eastAsia" w:ascii="宋体" w:hAnsi="宋体" w:cs="宋体"/>
                <w:color w:val="000000"/>
                <w:kern w:val="0"/>
                <w:sz w:val="22"/>
              </w:rPr>
              <w:t>输入信号接入解码器后上墙显示，支持YUV422上墙显示;</w:t>
            </w:r>
            <w:r>
              <w:rPr>
                <w:rFonts w:hint="eastAsia" w:ascii="宋体" w:hAnsi="宋体" w:cs="宋体"/>
                <w:color w:val="000000"/>
                <w:kern w:val="0"/>
                <w:sz w:val="22"/>
              </w:rPr>
              <w:br w:type="textWrapping"/>
            </w:r>
            <w:r>
              <w:rPr>
                <w:rFonts w:hint="eastAsia" w:ascii="宋体" w:hAnsi="宋体" w:cs="宋体"/>
                <w:color w:val="000000"/>
                <w:kern w:val="0"/>
                <w:sz w:val="22"/>
              </w:rPr>
              <w:t>支持PC 软件客户端、WEB 浏览器客户端、平台客户端、IPAD、可视化触控平台方式访问管理。</w:t>
            </w:r>
            <w:r>
              <w:rPr>
                <w:rFonts w:hint="eastAsia" w:ascii="宋体" w:hAnsi="宋体" w:cs="宋体"/>
                <w:color w:val="000000"/>
                <w:kern w:val="0"/>
                <w:sz w:val="22"/>
              </w:rPr>
              <w:br w:type="textWrapping"/>
            </w:r>
            <w:r>
              <w:rPr>
                <w:rFonts w:hint="eastAsia" w:ascii="宋体" w:hAnsi="宋体" w:cs="宋体"/>
                <w:color w:val="000000"/>
                <w:kern w:val="0"/>
                <w:sz w:val="22"/>
              </w:rPr>
              <w:t>支持通过IE浏览器进行网络模式设置，包括设置为流畅性优先/实时性优先;</w:t>
            </w:r>
            <w:r>
              <w:rPr>
                <w:rFonts w:hint="eastAsia" w:ascii="宋体" w:hAnsi="宋体" w:cs="宋体"/>
                <w:color w:val="000000"/>
                <w:kern w:val="0"/>
                <w:sz w:val="22"/>
              </w:rPr>
              <w:br w:type="textWrapping"/>
            </w:r>
            <w:r>
              <w:rPr>
                <w:rFonts w:hint="eastAsia" w:ascii="宋体" w:hAnsi="宋体" w:cs="宋体"/>
                <w:color w:val="000000"/>
                <w:kern w:val="0"/>
                <w:sz w:val="22"/>
              </w:rPr>
              <w:t>可通过设备抓屏软件，将远程电脑桌面实时解码上墙显示，画面帧率可达30fps;</w:t>
            </w:r>
            <w:r>
              <w:rPr>
                <w:rFonts w:hint="eastAsia" w:ascii="宋体" w:hAnsi="宋体" w:cs="宋体"/>
                <w:color w:val="000000"/>
                <w:kern w:val="0"/>
                <w:sz w:val="22"/>
              </w:rPr>
              <w:br w:type="textWrapping"/>
            </w:r>
            <w:r>
              <w:rPr>
                <w:rFonts w:hint="eastAsia" w:ascii="宋体" w:hAnsi="宋体" w:cs="宋体"/>
                <w:color w:val="000000"/>
                <w:kern w:val="0"/>
                <w:sz w:val="22"/>
              </w:rPr>
              <w:t>可通过客户端软件导入和导出设备配置参数。(提供封面具有CNAS认证标识的公安部报告证明);</w:t>
            </w:r>
            <w:r>
              <w:rPr>
                <w:rFonts w:hint="eastAsia" w:ascii="宋体" w:hAnsi="宋体" w:cs="宋体"/>
                <w:color w:val="000000"/>
                <w:kern w:val="0"/>
                <w:sz w:val="22"/>
              </w:rPr>
              <w:br w:type="textWrapping"/>
            </w:r>
            <w:r>
              <w:rPr>
                <w:rFonts w:hint="eastAsia" w:ascii="宋体" w:hAnsi="宋体" w:cs="宋体"/>
                <w:color w:val="000000"/>
                <w:kern w:val="0"/>
                <w:sz w:val="22"/>
              </w:rPr>
              <w:t>可通过客户端软件设置HDMI接口输出分辨率为3840*2160(30Hz、1920*1080(50Hz)、1920*1080(60Hz))、1680*1050(60Hz)、1600*1200(60Hz)、1280*1024(60Hz)、1280*720(60Hz)、1280*720(50Hz)、1024*768(60Hz) ;</w:t>
            </w:r>
            <w:r>
              <w:rPr>
                <w:rFonts w:hint="eastAsia" w:ascii="宋体" w:hAnsi="宋体" w:cs="宋体"/>
                <w:color w:val="000000"/>
                <w:kern w:val="0"/>
                <w:sz w:val="22"/>
              </w:rPr>
              <w:br w:type="textWrapping"/>
            </w:r>
            <w:r>
              <w:rPr>
                <w:rFonts w:hint="eastAsia" w:ascii="宋体" w:hAnsi="宋体" w:cs="宋体"/>
                <w:color w:val="000000"/>
                <w:kern w:val="0"/>
                <w:sz w:val="22"/>
              </w:rPr>
              <w:t>支持1、2、4、6、8、9、10、12、16、25、36画面分割显示,支持平均分割,支持分割线开启/关闭设置，支持底色设置功能;</w:t>
            </w:r>
            <w:r>
              <w:rPr>
                <w:rFonts w:hint="eastAsia" w:ascii="宋体" w:hAnsi="宋体" w:cs="宋体"/>
                <w:color w:val="000000"/>
                <w:kern w:val="0"/>
                <w:sz w:val="22"/>
              </w:rPr>
              <w:br w:type="textWrapping"/>
            </w:r>
            <w:r>
              <w:rPr>
                <w:rFonts w:hint="eastAsia" w:ascii="宋体" w:hAnsi="宋体" w:cs="宋体"/>
                <w:color w:val="000000"/>
                <w:kern w:val="0"/>
                <w:sz w:val="22"/>
              </w:rPr>
              <w:t>支持通过客户端软件将1路输入视频图像发送至多个输出接口拼接显示，支持1x2、1x3、1x4、1x5、1x6、1x7、1x8、1x9、1x10、1x11,1x12、1x13、1x14、1x15、1X16、2x1、2x2、2x3、2x4、2x5、2x6、2x7、2x8、3x1、3x2、3x3、3x4、3x5、4x1、4x2、4x3、4x4、5x1、5x2、5x3、6x1、6x2、7x1、7x2、8x1、8x2、9x1、10x1、11x1、12x1、13xh14x1、15x1、16x1的拼接显示;</w:t>
            </w:r>
            <w:r>
              <w:rPr>
                <w:rFonts w:hint="eastAsia" w:ascii="宋体" w:hAnsi="宋体" w:cs="宋体"/>
                <w:color w:val="000000"/>
                <w:kern w:val="0"/>
                <w:sz w:val="22"/>
              </w:rPr>
              <w:br w:type="textWrapping"/>
            </w:r>
            <w:r>
              <w:rPr>
                <w:rFonts w:hint="eastAsia" w:ascii="宋体" w:hAnsi="宋体" w:cs="宋体"/>
                <w:color w:val="000000"/>
                <w:kern w:val="0"/>
                <w:sz w:val="22"/>
              </w:rPr>
              <w:t>可将样机当前的解码输出模式设置为一个场景，样机可保存多个场景，并可通过客户端软件切换样机场景;</w:t>
            </w:r>
            <w:r>
              <w:rPr>
                <w:rFonts w:hint="eastAsia" w:ascii="宋体" w:hAnsi="宋体" w:cs="宋体"/>
                <w:color w:val="000000"/>
                <w:kern w:val="0"/>
                <w:sz w:val="22"/>
              </w:rPr>
              <w:br w:type="textWrapping"/>
            </w:r>
            <w:r>
              <w:rPr>
                <w:rFonts w:hint="eastAsia" w:ascii="宋体" w:hAnsi="宋体" w:cs="宋体"/>
                <w:color w:val="000000"/>
                <w:kern w:val="0"/>
                <w:sz w:val="22"/>
              </w:rPr>
              <w:t>可对以下分辨率及编码格式的视频图像进行解码后输出：128路分辨率为1920×1080（30fps）的MJPEG视频图像;</w:t>
            </w:r>
            <w:r>
              <w:rPr>
                <w:rFonts w:hint="eastAsia" w:ascii="宋体" w:hAnsi="宋体" w:cs="宋体"/>
                <w:color w:val="000000"/>
                <w:kern w:val="0"/>
                <w:sz w:val="22"/>
              </w:rPr>
              <w:br w:type="textWrapping"/>
            </w:r>
            <w:r>
              <w:rPr>
                <w:rFonts w:hint="eastAsia" w:ascii="宋体" w:hAnsi="宋体" w:cs="宋体"/>
                <w:color w:val="000000"/>
                <w:kern w:val="0"/>
                <w:sz w:val="22"/>
              </w:rPr>
              <w:t>支持通过DVI-I视频输入接口接入分辨率为1920*1080(60Hz)、1680*1050(60Hz)、1600*1200(60Hz)、1440*900(60Hz)、1366*768(60Hz)、1280*1024(60Hz)、1280*1024(50Hz)、1280*960(60Hz)、1280*800(60Hz)、1024*768(60Hz)、1280*720(60Hz)、1280*720(50Hz)、800*600(60Hz)的视频图像并显示</w:t>
            </w:r>
            <w:r>
              <w:rPr>
                <w:rFonts w:hint="eastAsia" w:ascii="宋体" w:hAnsi="宋体" w:cs="宋体"/>
                <w:color w:val="000000"/>
                <w:kern w:val="0"/>
                <w:sz w:val="22"/>
              </w:rPr>
              <w:br w:type="textWrapping"/>
            </w:r>
            <w:r>
              <w:rPr>
                <w:rFonts w:hint="eastAsia" w:ascii="宋体" w:hAnsi="宋体" w:cs="宋体"/>
                <w:color w:val="000000"/>
                <w:kern w:val="0"/>
                <w:sz w:val="22"/>
              </w:rPr>
              <w:t>支持通过VGA视频输入接口接入分辨率为1920*1080(60Hz)、1680*1050(60Hz)、1600*1200(60Hz)、1440*900(60Hz)、1366*768(60Hz)、1280*1024(60Hz)、1280*960(60Hz)、1280*1024(50Hz)、1280*800(60Hz)、1024*768(60Hz)、1280*720(60Hz)、1280*720(50Hz)、800*600(60Hz)的视频图像并显示;</w:t>
            </w:r>
            <w:r>
              <w:rPr>
                <w:rFonts w:hint="eastAsia" w:ascii="宋体" w:hAnsi="宋体" w:cs="宋体"/>
                <w:color w:val="000000"/>
                <w:kern w:val="0"/>
                <w:sz w:val="22"/>
              </w:rPr>
              <w:br w:type="textWrapping"/>
            </w:r>
            <w:r>
              <w:rPr>
                <w:rFonts w:hint="eastAsia" w:ascii="宋体" w:hAnsi="宋体" w:cs="宋体"/>
                <w:color w:val="000000"/>
                <w:kern w:val="0"/>
                <w:sz w:val="22"/>
              </w:rPr>
              <w:t>支持客户端软件设置底色，当无解码画面时，设置输出显示该底色;</w:t>
            </w:r>
            <w:r>
              <w:rPr>
                <w:rFonts w:hint="eastAsia" w:ascii="宋体" w:hAnsi="宋体" w:cs="宋体"/>
                <w:color w:val="000000"/>
                <w:kern w:val="0"/>
                <w:sz w:val="22"/>
              </w:rPr>
              <w:br w:type="textWrapping"/>
            </w:r>
            <w:r>
              <w:rPr>
                <w:rFonts w:hint="eastAsia" w:ascii="宋体" w:hAnsi="宋体" w:cs="宋体"/>
                <w:color w:val="000000"/>
                <w:kern w:val="0"/>
                <w:sz w:val="22"/>
              </w:rPr>
              <w:t>可通过客户端软件将显示窗口在多个显示屏间进行拖动或跨屏显示，并可调节显示窗口大小。</w:t>
            </w:r>
            <w:r>
              <w:rPr>
                <w:rFonts w:hint="eastAsia" w:ascii="宋体" w:hAnsi="宋体" w:cs="宋体"/>
                <w:color w:val="000000"/>
                <w:kern w:val="0"/>
                <w:sz w:val="22"/>
              </w:rPr>
              <w:br w:type="textWrapping"/>
            </w:r>
            <w:r>
              <w:rPr>
                <w:rFonts w:hint="eastAsia" w:ascii="宋体" w:hAnsi="宋体" w:cs="宋体"/>
                <w:color w:val="000000"/>
                <w:kern w:val="0"/>
                <w:sz w:val="22"/>
              </w:rPr>
              <w:t>支持视频轮巡功能，并可在客户端软件设置轮巡计划;</w:t>
            </w:r>
            <w:r>
              <w:rPr>
                <w:rFonts w:hint="eastAsia" w:ascii="宋体" w:hAnsi="宋体" w:cs="宋体"/>
                <w:color w:val="000000"/>
                <w:kern w:val="0"/>
                <w:sz w:val="22"/>
              </w:rPr>
              <w:br w:type="textWrapping"/>
            </w:r>
            <w:r>
              <w:rPr>
                <w:rFonts w:hint="eastAsia" w:ascii="宋体" w:hAnsi="宋体" w:cs="宋体"/>
                <w:color w:val="000000"/>
                <w:kern w:val="0"/>
                <w:sz w:val="22"/>
              </w:rPr>
              <w:t>支持通过客户端软件对接入的云台进行控制；通过RS-485接口连接键盘实现键盘接入的云台进行控制;</w:t>
            </w:r>
            <w:r>
              <w:rPr>
                <w:rFonts w:hint="eastAsia" w:ascii="宋体" w:hAnsi="宋体" w:cs="宋体"/>
                <w:color w:val="000000"/>
                <w:kern w:val="0"/>
                <w:sz w:val="22"/>
              </w:rPr>
              <w:br w:type="textWrapping"/>
            </w:r>
            <w:r>
              <w:rPr>
                <w:rFonts w:hint="eastAsia" w:ascii="宋体" w:hAnsi="宋体" w:cs="宋体"/>
                <w:color w:val="000000"/>
                <w:kern w:val="0"/>
                <w:sz w:val="22"/>
              </w:rPr>
              <w:t>可通过客户端软件对设备进行恢复出厂设置。</w:t>
            </w:r>
            <w:r>
              <w:rPr>
                <w:rFonts w:hint="eastAsia" w:ascii="宋体" w:hAnsi="宋体" w:cs="宋体"/>
                <w:color w:val="000000"/>
                <w:kern w:val="0"/>
                <w:sz w:val="22"/>
              </w:rPr>
              <w:br w:type="textWrapping"/>
            </w:r>
            <w:r>
              <w:rPr>
                <w:rFonts w:hint="eastAsia" w:ascii="宋体" w:hAnsi="宋体" w:cs="宋体"/>
                <w:color w:val="000000"/>
                <w:kern w:val="0"/>
                <w:sz w:val="22"/>
              </w:rPr>
              <w:t>支持NTP校时及客户端软件手动校时两种校时方式;</w:t>
            </w:r>
            <w:r>
              <w:rPr>
                <w:rFonts w:hint="eastAsia" w:ascii="宋体" w:hAnsi="宋体" w:cs="宋体"/>
                <w:color w:val="000000"/>
                <w:kern w:val="0"/>
                <w:sz w:val="22"/>
              </w:rPr>
              <w:br w:type="textWrapping"/>
            </w:r>
            <w:r>
              <w:rPr>
                <w:rFonts w:hint="eastAsia" w:ascii="宋体" w:hAnsi="宋体" w:cs="宋体"/>
                <w:color w:val="000000"/>
                <w:kern w:val="0"/>
                <w:sz w:val="22"/>
              </w:rPr>
              <w:t>音频解码格式支持G.722、G.711A、G.726、G711U、MPEG2-L2、AAC;</w:t>
            </w:r>
            <w:r>
              <w:rPr>
                <w:rFonts w:hint="eastAsia" w:ascii="宋体" w:hAnsi="宋体" w:cs="宋体"/>
                <w:color w:val="000000"/>
                <w:kern w:val="0"/>
                <w:sz w:val="22"/>
              </w:rPr>
              <w:br w:type="textWrapping"/>
            </w:r>
            <w:r>
              <w:rPr>
                <w:rFonts w:hint="eastAsia" w:ascii="宋体" w:hAnsi="宋体" w:cs="宋体"/>
                <w:color w:val="000000"/>
                <w:kern w:val="0"/>
                <w:sz w:val="22"/>
              </w:rPr>
              <w:t>设备通过高温、低温、恒定湿热试验（高温55±2℃，低温-10±3℃，持续时间2H；相对湿度90%~95%、温度40±2℃，持续时间48H）;</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8192"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4路解码器(安检中心)</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高清视音频解码器，采用Linux操作系统，运行稳定可靠;</w:t>
            </w:r>
            <w:r>
              <w:rPr>
                <w:rFonts w:hint="eastAsia" w:ascii="宋体" w:hAnsi="宋体" w:cs="宋体"/>
                <w:color w:val="000000"/>
                <w:kern w:val="0"/>
                <w:sz w:val="22"/>
              </w:rPr>
              <w:br w:type="textWrapping"/>
            </w:r>
            <w:r>
              <w:rPr>
                <w:rFonts w:hint="eastAsia" w:ascii="宋体" w:hAnsi="宋体" w:cs="宋体"/>
                <w:color w:val="000000"/>
                <w:kern w:val="0"/>
                <w:sz w:val="22"/>
              </w:rPr>
              <w:t>输入接口：1路HDMI, 1路DVI;</w:t>
            </w:r>
            <w:r>
              <w:rPr>
                <w:rFonts w:hint="eastAsia" w:ascii="宋体" w:hAnsi="宋体" w:cs="宋体"/>
                <w:color w:val="000000"/>
                <w:kern w:val="0"/>
                <w:sz w:val="22"/>
              </w:rPr>
              <w:br w:type="textWrapping"/>
            </w:r>
            <w:r>
              <w:rPr>
                <w:rFonts w:hint="eastAsia" w:ascii="宋体" w:hAnsi="宋体" w:cs="宋体"/>
                <w:color w:val="000000"/>
                <w:kern w:val="0"/>
                <w:sz w:val="22"/>
              </w:rPr>
              <w:t>输出接口：4路HDMI，2路BNC;</w:t>
            </w:r>
            <w:r>
              <w:rPr>
                <w:rFonts w:hint="eastAsia" w:ascii="宋体" w:hAnsi="宋体" w:cs="宋体"/>
                <w:color w:val="000000"/>
                <w:kern w:val="0"/>
                <w:sz w:val="22"/>
              </w:rPr>
              <w:br w:type="textWrapping"/>
            </w:r>
            <w:r>
              <w:rPr>
                <w:rFonts w:hint="eastAsia" w:ascii="宋体" w:hAnsi="宋体" w:cs="宋体"/>
                <w:color w:val="000000"/>
                <w:kern w:val="0"/>
                <w:sz w:val="22"/>
              </w:rPr>
              <w:t>输入分辨率：4K: 3840 × 2160@30Hz, WSXGA: 1680 × 1050/60 Hz, WXGA: 1440 × 900/60 Hz, WXGA: 1280 × 800/60 Hz, 1366 × 768/60 Hz, 1080p: 1920 × 1080@50/60 Hz, UXGA: 1600 × 1200@ 60Hz, XVGA: 1280 × 960@60 Hz, 720p: 1280 × 720@50 Hz/60 Hz, SXGA: 1280 × 1024@60 Hz, XGA: 1024 × 768@60 Hz</w:t>
            </w:r>
            <w:r>
              <w:rPr>
                <w:rFonts w:hint="eastAsia" w:ascii="宋体" w:hAnsi="宋体" w:cs="宋体"/>
                <w:color w:val="000000"/>
                <w:kern w:val="0"/>
                <w:sz w:val="22"/>
              </w:rPr>
              <w:br w:type="textWrapping"/>
            </w:r>
            <w:r>
              <w:rPr>
                <w:rFonts w:hint="eastAsia" w:ascii="宋体" w:hAnsi="宋体" w:cs="宋体"/>
                <w:color w:val="000000"/>
                <w:kern w:val="0"/>
                <w:sz w:val="22"/>
              </w:rPr>
              <w:t>输出分辨率：</w:t>
            </w:r>
            <w:r>
              <w:rPr>
                <w:rFonts w:hint="eastAsia" w:ascii="宋体" w:hAnsi="宋体" w:cs="宋体"/>
                <w:color w:val="000000"/>
                <w:kern w:val="0"/>
                <w:sz w:val="22"/>
              </w:rPr>
              <w:br w:type="textWrapping"/>
            </w:r>
            <w:r>
              <w:rPr>
                <w:rFonts w:hint="eastAsia" w:ascii="宋体" w:hAnsi="宋体" w:cs="宋体"/>
                <w:color w:val="000000"/>
                <w:kern w:val="0"/>
                <w:sz w:val="22"/>
              </w:rPr>
              <w:t>HDMI：4K: 3840 × 2160@30 Hz(仅奇数口), 1080p: 1920 × 1080@50/60 Hz, WSXGA: 1680×1050/60Hz, UXGA: 1600 × 1200@60 Hz (仅奇数口), 720p: 1280 × 720@50 Hz/60 Hz, SXGA: 1280 × 1024@60 Hz, XGA: 1024 × 768@60 Hz;</w:t>
            </w:r>
            <w:r>
              <w:rPr>
                <w:rFonts w:hint="eastAsia" w:ascii="宋体" w:hAnsi="宋体" w:cs="宋体"/>
                <w:color w:val="000000"/>
                <w:kern w:val="0"/>
                <w:sz w:val="22"/>
              </w:rPr>
              <w:br w:type="textWrapping"/>
            </w:r>
            <w:r>
              <w:rPr>
                <w:rFonts w:hint="eastAsia" w:ascii="宋体" w:hAnsi="宋体" w:cs="宋体"/>
                <w:color w:val="000000"/>
                <w:kern w:val="0"/>
                <w:sz w:val="22"/>
              </w:rPr>
              <w:t>BNC：支持PAL、NTSC制式;</w:t>
            </w:r>
            <w:r>
              <w:rPr>
                <w:rFonts w:hint="eastAsia" w:ascii="宋体" w:hAnsi="宋体" w:cs="宋体"/>
                <w:color w:val="000000"/>
                <w:kern w:val="0"/>
                <w:sz w:val="22"/>
              </w:rPr>
              <w:br w:type="textWrapping"/>
            </w:r>
            <w:r>
              <w:rPr>
                <w:rFonts w:hint="eastAsia" w:ascii="宋体" w:hAnsi="宋体" w:cs="宋体"/>
                <w:color w:val="000000"/>
                <w:kern w:val="0"/>
                <w:sz w:val="22"/>
              </w:rPr>
              <w:t>编码格式：支持H.265、H.264、MPEG4、MJPEG等主流的编码格式；</w:t>
            </w:r>
            <w:r>
              <w:rPr>
                <w:rFonts w:hint="eastAsia" w:ascii="宋体" w:hAnsi="宋体" w:cs="宋体"/>
                <w:color w:val="000000"/>
                <w:kern w:val="0"/>
                <w:sz w:val="22"/>
              </w:rPr>
              <w:br w:type="textWrapping"/>
            </w:r>
            <w:r>
              <w:rPr>
                <w:rFonts w:hint="eastAsia" w:ascii="宋体" w:hAnsi="宋体" w:cs="宋体"/>
                <w:color w:val="000000"/>
                <w:kern w:val="0"/>
                <w:sz w:val="22"/>
              </w:rPr>
              <w:t>封装格式：支持PS、RTP、TS、ES等主流的封装格式；</w:t>
            </w:r>
            <w:r>
              <w:rPr>
                <w:rFonts w:hint="eastAsia" w:ascii="宋体" w:hAnsi="宋体" w:cs="宋体"/>
                <w:color w:val="000000"/>
                <w:kern w:val="0"/>
                <w:sz w:val="22"/>
              </w:rPr>
              <w:br w:type="textWrapping"/>
            </w:r>
            <w:r>
              <w:rPr>
                <w:rFonts w:hint="eastAsia" w:ascii="宋体" w:hAnsi="宋体" w:cs="宋体"/>
                <w:color w:val="000000"/>
                <w:kern w:val="0"/>
                <w:sz w:val="22"/>
              </w:rPr>
              <w:t>音频解码：支持G.722、G.711A、G.726、G.711U、MPEG2-L2、AAC音频格式的解码；</w:t>
            </w:r>
            <w:r>
              <w:rPr>
                <w:rFonts w:hint="eastAsia" w:ascii="宋体" w:hAnsi="宋体" w:cs="宋体"/>
                <w:color w:val="000000"/>
                <w:kern w:val="0"/>
                <w:sz w:val="22"/>
              </w:rPr>
              <w:br w:type="textWrapping"/>
            </w:r>
            <w:r>
              <w:rPr>
                <w:rFonts w:hint="eastAsia" w:ascii="宋体" w:hAnsi="宋体" w:cs="宋体"/>
                <w:color w:val="000000"/>
                <w:kern w:val="0"/>
                <w:sz w:val="22"/>
              </w:rPr>
              <w:t>解码能力：支持4路1200W，或8路800W，或12路500W，或20路300W，或32路1080P及以下分辨率同时实时解码；</w:t>
            </w:r>
            <w:r>
              <w:rPr>
                <w:rFonts w:hint="eastAsia" w:ascii="宋体" w:hAnsi="宋体" w:cs="宋体"/>
                <w:color w:val="000000"/>
                <w:kern w:val="0"/>
                <w:sz w:val="22"/>
              </w:rPr>
              <w:br w:type="textWrapping"/>
            </w:r>
            <w:r>
              <w:rPr>
                <w:rFonts w:hint="eastAsia" w:ascii="宋体" w:hAnsi="宋体" w:cs="宋体"/>
                <w:color w:val="000000"/>
                <w:kern w:val="0"/>
                <w:sz w:val="22"/>
              </w:rPr>
              <w:t>画面分割：支持1、2、4、6、8、9、10、12、16画面分割显示。(基线16路，最大支持定制到32画面);</w:t>
            </w:r>
            <w:r>
              <w:rPr>
                <w:rFonts w:hint="eastAsia" w:ascii="宋体" w:hAnsi="宋体" w:cs="宋体"/>
                <w:color w:val="000000"/>
                <w:kern w:val="0"/>
                <w:sz w:val="22"/>
              </w:rPr>
              <w:br w:type="textWrapping"/>
            </w:r>
            <w:r>
              <w:rPr>
                <w:rFonts w:hint="eastAsia" w:ascii="宋体" w:hAnsi="宋体" w:cs="宋体"/>
                <w:color w:val="000000"/>
                <w:kern w:val="0"/>
                <w:sz w:val="22"/>
              </w:rPr>
              <w:t>接口参数：</w:t>
            </w:r>
            <w:r>
              <w:rPr>
                <w:rFonts w:hint="eastAsia" w:ascii="宋体" w:hAnsi="宋体" w:cs="宋体"/>
                <w:color w:val="000000"/>
                <w:kern w:val="0"/>
                <w:sz w:val="22"/>
              </w:rPr>
              <w:br w:type="textWrapping"/>
            </w:r>
            <w:r>
              <w:rPr>
                <w:rFonts w:hint="eastAsia" w:ascii="宋体" w:hAnsi="宋体" w:cs="宋体"/>
                <w:color w:val="000000"/>
                <w:kern w:val="0"/>
                <w:sz w:val="22"/>
              </w:rPr>
              <w:t>网口：1个 RJ45  10M/100M/1000Mbps 自适应以太网接口;</w:t>
            </w:r>
            <w:r>
              <w:rPr>
                <w:rFonts w:hint="eastAsia" w:ascii="宋体" w:hAnsi="宋体" w:cs="宋体"/>
                <w:color w:val="000000"/>
                <w:kern w:val="0"/>
                <w:sz w:val="22"/>
              </w:rPr>
              <w:br w:type="textWrapping"/>
            </w:r>
            <w:r>
              <w:rPr>
                <w:rFonts w:hint="eastAsia" w:ascii="宋体" w:hAnsi="宋体" w:cs="宋体"/>
                <w:color w:val="000000"/>
                <w:kern w:val="0"/>
                <w:sz w:val="22"/>
              </w:rPr>
              <w:t>1个光口 100base-FX/1000base-X;</w:t>
            </w:r>
            <w:r>
              <w:rPr>
                <w:rFonts w:hint="eastAsia" w:ascii="宋体" w:hAnsi="宋体" w:cs="宋体"/>
                <w:color w:val="000000"/>
                <w:kern w:val="0"/>
                <w:sz w:val="22"/>
              </w:rPr>
              <w:br w:type="textWrapping"/>
            </w:r>
            <w:r>
              <w:rPr>
                <w:rFonts w:hint="eastAsia" w:ascii="宋体" w:hAnsi="宋体" w:cs="宋体"/>
                <w:color w:val="000000"/>
                <w:kern w:val="0"/>
                <w:sz w:val="22"/>
              </w:rPr>
              <w:t>支持光电自适应;</w:t>
            </w:r>
            <w:r>
              <w:rPr>
                <w:rFonts w:hint="eastAsia" w:ascii="宋体" w:hAnsi="宋体" w:cs="宋体"/>
                <w:color w:val="000000"/>
                <w:kern w:val="0"/>
                <w:sz w:val="22"/>
              </w:rPr>
              <w:br w:type="textWrapping"/>
            </w:r>
            <w:r>
              <w:rPr>
                <w:rFonts w:hint="eastAsia" w:ascii="宋体" w:hAnsi="宋体" w:cs="宋体"/>
                <w:color w:val="000000"/>
                <w:kern w:val="0"/>
                <w:sz w:val="22"/>
              </w:rPr>
              <w:t>串行接口：1个RS-232接口（RJ45）, 1个RS-485/RS232复用接口（RJ45）;</w:t>
            </w:r>
            <w:r>
              <w:rPr>
                <w:rFonts w:hint="eastAsia" w:ascii="宋体" w:hAnsi="宋体" w:cs="宋体"/>
                <w:color w:val="000000"/>
                <w:kern w:val="0"/>
                <w:sz w:val="22"/>
              </w:rPr>
              <w:br w:type="textWrapping"/>
            </w:r>
            <w:r>
              <w:rPr>
                <w:rFonts w:hint="eastAsia" w:ascii="宋体" w:hAnsi="宋体" w:cs="宋体"/>
                <w:color w:val="000000"/>
                <w:kern w:val="0"/>
                <w:sz w:val="22"/>
              </w:rPr>
              <w:t>音频输出接口：4个3.5mm接口独立音频输出</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576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5</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1路解码(审判楼层)</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高清视音频解码器，采用Linux操作系统，运行稳定可靠;</w:t>
            </w:r>
            <w:r>
              <w:rPr>
                <w:rFonts w:hint="eastAsia" w:ascii="宋体" w:hAnsi="宋体" w:cs="宋体"/>
                <w:color w:val="000000"/>
                <w:kern w:val="0"/>
                <w:sz w:val="22"/>
              </w:rPr>
              <w:br w:type="textWrapping"/>
            </w:r>
            <w:r>
              <w:rPr>
                <w:rFonts w:hint="eastAsia" w:ascii="宋体" w:hAnsi="宋体" w:cs="宋体"/>
                <w:color w:val="000000"/>
                <w:kern w:val="0"/>
                <w:sz w:val="22"/>
              </w:rPr>
              <w:t>输出接口：支持1路HDMI、VGA、BNC三种输出接口;</w:t>
            </w:r>
            <w:r>
              <w:rPr>
                <w:rFonts w:hint="eastAsia" w:ascii="宋体" w:hAnsi="宋体" w:cs="宋体"/>
                <w:color w:val="000000"/>
                <w:kern w:val="0"/>
                <w:sz w:val="22"/>
              </w:rPr>
              <w:br w:type="textWrapping"/>
            </w:r>
            <w:r>
              <w:rPr>
                <w:rFonts w:hint="eastAsia" w:ascii="宋体" w:hAnsi="宋体" w:cs="宋体"/>
                <w:color w:val="000000"/>
                <w:kern w:val="0"/>
                <w:sz w:val="22"/>
              </w:rPr>
              <w:t>编码格式：支持H.265、H.264、MPEG4、MJPEG等主流的编码格式；</w:t>
            </w:r>
            <w:r>
              <w:rPr>
                <w:rFonts w:hint="eastAsia" w:ascii="宋体" w:hAnsi="宋体" w:cs="宋体"/>
                <w:color w:val="000000"/>
                <w:kern w:val="0"/>
                <w:sz w:val="22"/>
              </w:rPr>
              <w:br w:type="textWrapping"/>
            </w:r>
            <w:r>
              <w:rPr>
                <w:rFonts w:hint="eastAsia" w:ascii="宋体" w:hAnsi="宋体" w:cs="宋体"/>
                <w:color w:val="000000"/>
                <w:kern w:val="0"/>
                <w:sz w:val="22"/>
              </w:rPr>
              <w:t>封装格式：支持PS、RTP、TS、ES等主流的封装格式；</w:t>
            </w:r>
            <w:r>
              <w:rPr>
                <w:rFonts w:hint="eastAsia" w:ascii="宋体" w:hAnsi="宋体" w:cs="宋体"/>
                <w:color w:val="000000"/>
                <w:kern w:val="0"/>
                <w:sz w:val="22"/>
              </w:rPr>
              <w:br w:type="textWrapping"/>
            </w:r>
            <w:r>
              <w:rPr>
                <w:rFonts w:hint="eastAsia" w:ascii="宋体" w:hAnsi="宋体" w:cs="宋体"/>
                <w:color w:val="000000"/>
                <w:kern w:val="0"/>
                <w:sz w:val="22"/>
              </w:rPr>
              <w:t>音频解码：支持G.722、G.711A、G.726、G.711U、MPEG2-L2、AAC音频格式的解码；</w:t>
            </w:r>
            <w:r>
              <w:rPr>
                <w:rFonts w:hint="eastAsia" w:ascii="宋体" w:hAnsi="宋体" w:cs="宋体"/>
                <w:color w:val="000000"/>
                <w:kern w:val="0"/>
                <w:sz w:val="22"/>
              </w:rPr>
              <w:br w:type="textWrapping"/>
            </w:r>
            <w:r>
              <w:rPr>
                <w:rFonts w:hint="eastAsia" w:ascii="宋体" w:hAnsi="宋体" w:cs="宋体"/>
                <w:color w:val="000000"/>
                <w:kern w:val="0"/>
                <w:sz w:val="22"/>
              </w:rPr>
              <w:t>解码能力：支持2路1200W，或4路800W，或6路500W，或10路300W，或16路1080P及以下分辨率同时实时解码；</w:t>
            </w:r>
            <w:r>
              <w:rPr>
                <w:rFonts w:hint="eastAsia" w:ascii="宋体" w:hAnsi="宋体" w:cs="宋体"/>
                <w:color w:val="000000"/>
                <w:kern w:val="0"/>
                <w:sz w:val="22"/>
              </w:rPr>
              <w:br w:type="textWrapping"/>
            </w:r>
            <w:r>
              <w:rPr>
                <w:rFonts w:hint="eastAsia" w:ascii="宋体" w:hAnsi="宋体" w:cs="宋体"/>
                <w:color w:val="000000"/>
                <w:kern w:val="0"/>
                <w:sz w:val="22"/>
              </w:rPr>
              <w:t>画面分割：支持1、2、4、6、8、9、10、12、16画面分割显示;</w:t>
            </w:r>
            <w:r>
              <w:rPr>
                <w:rFonts w:hint="eastAsia" w:ascii="宋体" w:hAnsi="宋体" w:cs="宋体"/>
                <w:color w:val="000000"/>
                <w:kern w:val="0"/>
                <w:sz w:val="22"/>
              </w:rPr>
              <w:br w:type="textWrapping"/>
            </w:r>
            <w:r>
              <w:rPr>
                <w:rFonts w:hint="eastAsia" w:ascii="宋体" w:hAnsi="宋体" w:cs="宋体"/>
                <w:color w:val="000000"/>
                <w:kern w:val="0"/>
                <w:sz w:val="22"/>
              </w:rPr>
              <w:t>网络接口：支持1个RJ45网络接口;</w:t>
            </w:r>
            <w:r>
              <w:rPr>
                <w:rFonts w:hint="eastAsia" w:ascii="宋体" w:hAnsi="宋体" w:cs="宋体"/>
                <w:color w:val="000000"/>
                <w:kern w:val="0"/>
                <w:sz w:val="22"/>
              </w:rPr>
              <w:br w:type="textWrapping"/>
            </w:r>
            <w:r>
              <w:rPr>
                <w:rFonts w:hint="eastAsia" w:ascii="宋体" w:hAnsi="宋体" w:cs="宋体"/>
                <w:color w:val="000000"/>
                <w:kern w:val="0"/>
                <w:sz w:val="22"/>
              </w:rPr>
              <w:t>音频接口：1路音频输出、1路对讲输入、1路对讲输出;</w:t>
            </w:r>
            <w:r>
              <w:rPr>
                <w:rFonts w:hint="eastAsia" w:ascii="宋体" w:hAnsi="宋体" w:cs="宋体"/>
                <w:color w:val="000000"/>
                <w:kern w:val="0"/>
                <w:sz w:val="22"/>
              </w:rPr>
              <w:br w:type="textWrapping"/>
            </w:r>
            <w:r>
              <w:rPr>
                <w:rFonts w:hint="eastAsia" w:ascii="宋体" w:hAnsi="宋体" w:cs="宋体"/>
                <w:color w:val="000000"/>
                <w:kern w:val="0"/>
                <w:sz w:val="22"/>
              </w:rPr>
              <w:t>串行接口：一个标准232接口（RJ45）、一个标准485接口;</w:t>
            </w:r>
            <w:r>
              <w:rPr>
                <w:rFonts w:hint="eastAsia" w:ascii="宋体" w:hAnsi="宋体" w:cs="宋体"/>
                <w:color w:val="000000"/>
                <w:kern w:val="0"/>
                <w:sz w:val="22"/>
              </w:rPr>
              <w:br w:type="textWrapping"/>
            </w:r>
            <w:r>
              <w:rPr>
                <w:rFonts w:hint="eastAsia" w:ascii="宋体" w:hAnsi="宋体" w:cs="宋体"/>
                <w:color w:val="000000"/>
                <w:kern w:val="0"/>
                <w:sz w:val="22"/>
              </w:rPr>
              <w:t>报警接口：8路报警输入，8路报警输出;</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5</w:t>
            </w:r>
          </w:p>
        </w:tc>
      </w:tr>
      <w:tr>
        <w:tblPrEx>
          <w:tblCellMar>
            <w:top w:w="0" w:type="dxa"/>
            <w:left w:w="108" w:type="dxa"/>
            <w:bottom w:w="0" w:type="dxa"/>
            <w:right w:w="108" w:type="dxa"/>
          </w:tblCellMar>
        </w:tblPrEx>
        <w:trPr>
          <w:trHeight w:val="408" w:hRule="atLeast"/>
        </w:trPr>
        <w:tc>
          <w:tcPr>
            <w:tcW w:w="926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三、周界电子围栏</w:t>
            </w:r>
          </w:p>
        </w:tc>
      </w:tr>
      <w:tr>
        <w:tblPrEx>
          <w:tblCellMar>
            <w:top w:w="0" w:type="dxa"/>
            <w:left w:w="108" w:type="dxa"/>
            <w:bottom w:w="0" w:type="dxa"/>
            <w:right w:w="108" w:type="dxa"/>
          </w:tblCellMar>
        </w:tblPrEx>
        <w:trPr>
          <w:trHeight w:val="288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单防区脉冲主机</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6线制/单防区脉冲主机/显示每个防区的工作电压值/电压值可无级调控/显示每个防区的工作电流值/防区报警显示/实时监控每个防区情况/脉冲频率可调控/报警响应时间调控/继电器报警输出时间可调控/采用4.3寸真彩屏设计/内置拨码式单地址码模块，自带拨码开关，使用多防区时无须另外增加地址码模块，可以直接接入485总线与中心控制设备通信。6线制单防区脉冲主机:1台/避雷器:1个/室外声光报警器:1个/涂塑主机防雨箱:1个</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包</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288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双防区脉冲主机</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6线制/双防区脉冲主机/显示每个防区的工作电压值/电压值可无级调控/显示每个防区的工作电流值/防区报警显示/实时监控每个防区情况/脉冲频率可调控/报警响应时间调控/继电器报警输出时间可调控/采用4.3寸真彩屏设计/内置拨码式单地址码模块，自带拨码开关，使用多防区时无须另外增加地址码模块，可以直接接入485总线与中心控制设备通信。</w:t>
            </w:r>
            <w:r>
              <w:rPr>
                <w:rFonts w:hint="eastAsia" w:ascii="宋体" w:hAnsi="宋体" w:cs="宋体"/>
                <w:color w:val="000000"/>
                <w:kern w:val="0"/>
                <w:sz w:val="22"/>
              </w:rPr>
              <w:br w:type="textWrapping"/>
            </w:r>
            <w:r>
              <w:rPr>
                <w:rFonts w:hint="eastAsia" w:ascii="宋体" w:hAnsi="宋体" w:cs="宋体"/>
                <w:color w:val="000000"/>
                <w:kern w:val="0"/>
                <w:sz w:val="22"/>
              </w:rPr>
              <w:t>6线制双防区脉冲主机:1台/避雷器:2个/室外声光报警器:2个/涂塑主机防雨箱:1个</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包</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终端杆</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6线国标终端杆 材质：铝合金；6线制；</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根</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29</w:t>
            </w:r>
          </w:p>
        </w:tc>
      </w:tr>
      <w:tr>
        <w:tblPrEx>
          <w:tblCellMar>
            <w:top w:w="0" w:type="dxa"/>
            <w:left w:w="108" w:type="dxa"/>
            <w:bottom w:w="0" w:type="dxa"/>
            <w:right w:w="108" w:type="dxa"/>
          </w:tblCellMar>
        </w:tblPrEx>
        <w:trPr>
          <w:trHeight w:val="57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终端杆附件包</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6线国标终端杆 含终端杆帽子、终端杆绝缘子、终端杆底座、收紧器、线线连接器</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包</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29</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5</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承力杆</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6线国标承力杆 材质：铝合金</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根</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14</w:t>
            </w:r>
          </w:p>
        </w:tc>
      </w:tr>
      <w:tr>
        <w:tblPrEx>
          <w:tblCellMar>
            <w:top w:w="0" w:type="dxa"/>
            <w:left w:w="108" w:type="dxa"/>
            <w:bottom w:w="0" w:type="dxa"/>
            <w:right w:w="108" w:type="dxa"/>
          </w:tblCellMar>
        </w:tblPrEx>
        <w:trPr>
          <w:trHeight w:val="57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6</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承力杆附件包</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6线国标承力杆附件包 含承力杆帽子、承力杆绝缘子、承力杆万向底座</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包</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14</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7</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中间杆</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4/6线通用中间杆</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根</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150</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8</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中间杆附件包</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6线中间杆</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包</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150</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9</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前端其他组件</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20#合金线</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盘</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10</w:t>
            </w:r>
          </w:p>
        </w:tc>
      </w:tr>
      <w:tr>
        <w:tblPrEx>
          <w:tblCellMar>
            <w:top w:w="0" w:type="dxa"/>
            <w:left w:w="108" w:type="dxa"/>
            <w:bottom w:w="0" w:type="dxa"/>
            <w:right w:w="108" w:type="dxa"/>
          </w:tblCellMar>
        </w:tblPrEx>
        <w:trPr>
          <w:trHeight w:val="57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10</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前端其他组件</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20#合金线，优良导电率，抗氧化、耐腐蚀,去火功能，多股，每100米一欧姆阻值，100m一盘。</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盘</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11</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高压绝缘导线</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线径、材质符合国标优质要求</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盘</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w:t>
            </w:r>
          </w:p>
        </w:tc>
      </w:tr>
      <w:tr>
        <w:tblPrEx>
          <w:tblCellMar>
            <w:top w:w="0" w:type="dxa"/>
            <w:left w:w="108" w:type="dxa"/>
            <w:bottom w:w="0" w:type="dxa"/>
            <w:right w:w="108" w:type="dxa"/>
          </w:tblCellMar>
        </w:tblPrEx>
        <w:trPr>
          <w:trHeight w:val="57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12</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警示牌</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100*200MM/采用稀土发光材料制造/在阴雨天气同样可吸光/双面印刷/夜光显示/每10米挂一块</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块</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70</w:t>
            </w:r>
          </w:p>
        </w:tc>
      </w:tr>
      <w:tr>
        <w:tblPrEx>
          <w:tblCellMar>
            <w:top w:w="0" w:type="dxa"/>
            <w:left w:w="108" w:type="dxa"/>
            <w:bottom w:w="0" w:type="dxa"/>
            <w:right w:w="108" w:type="dxa"/>
          </w:tblCellMar>
        </w:tblPrEx>
        <w:trPr>
          <w:trHeight w:val="57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13</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接地桩</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用于将电子围栏主机和避雷器的接地；角钢，厚度2mm，长1.5米</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根</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11</w:t>
            </w:r>
          </w:p>
        </w:tc>
      </w:tr>
      <w:tr>
        <w:tblPrEx>
          <w:tblCellMar>
            <w:top w:w="0" w:type="dxa"/>
            <w:left w:w="108" w:type="dxa"/>
            <w:bottom w:w="0" w:type="dxa"/>
            <w:right w:w="108" w:type="dxa"/>
          </w:tblCellMar>
        </w:tblPrEx>
        <w:trPr>
          <w:trHeight w:val="57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14</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报警灯</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声光报警器(红/白双色外观),12VDC 压电警号,防火ABS阻燃外壳</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57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15</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报警主机</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br w:type="textWrapping"/>
            </w:r>
            <w:r>
              <w:rPr>
                <w:rFonts w:hint="eastAsia" w:ascii="宋体" w:hAnsi="宋体" w:cs="宋体"/>
                <w:color w:val="000000"/>
                <w:kern w:val="0"/>
                <w:sz w:val="22"/>
              </w:rPr>
              <w:t>LCD键盘主机一体化结构/40个485方式防区输入</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57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16</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线材一批</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RVV2*1.5电源线、光纤、RVV2*1.5或RVV2*1.0485信号线</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米</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1500</w:t>
            </w:r>
          </w:p>
        </w:tc>
      </w:tr>
      <w:tr>
        <w:tblPrEx>
          <w:tblCellMar>
            <w:top w:w="0" w:type="dxa"/>
            <w:left w:w="108" w:type="dxa"/>
            <w:bottom w:w="0" w:type="dxa"/>
            <w:right w:w="108" w:type="dxa"/>
          </w:tblCellMar>
        </w:tblPrEx>
        <w:trPr>
          <w:trHeight w:val="408" w:hRule="atLeast"/>
        </w:trPr>
        <w:tc>
          <w:tcPr>
            <w:tcW w:w="926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四、门禁管理系统</w:t>
            </w:r>
          </w:p>
        </w:tc>
      </w:tr>
      <w:tr>
        <w:tblPrEx>
          <w:tblCellMar>
            <w:top w:w="0" w:type="dxa"/>
            <w:left w:w="108" w:type="dxa"/>
            <w:bottom w:w="0" w:type="dxa"/>
            <w:right w:w="108" w:type="dxa"/>
          </w:tblCellMar>
        </w:tblPrEx>
        <w:trPr>
          <w:trHeight w:val="1152"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四门门禁控制器</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★处理器：32位处理器</w:t>
            </w:r>
            <w:r>
              <w:rPr>
                <w:rFonts w:hint="eastAsia" w:ascii="宋体" w:hAnsi="宋体" w:cs="宋体"/>
                <w:color w:val="000000"/>
                <w:kern w:val="0"/>
                <w:sz w:val="22"/>
              </w:rPr>
              <w:br w:type="textWrapping"/>
            </w:r>
            <w:r>
              <w:rPr>
                <w:rFonts w:hint="eastAsia" w:ascii="宋体" w:hAnsi="宋体" w:cs="宋体"/>
                <w:color w:val="000000"/>
                <w:kern w:val="0"/>
                <w:sz w:val="22"/>
              </w:rPr>
              <w:t>管控门数：4门</w:t>
            </w:r>
            <w:r>
              <w:rPr>
                <w:rFonts w:hint="eastAsia" w:ascii="宋体" w:hAnsi="宋体" w:cs="宋体"/>
                <w:color w:val="000000"/>
                <w:kern w:val="0"/>
                <w:sz w:val="22"/>
              </w:rPr>
              <w:br w:type="textWrapping"/>
            </w:r>
            <w:r>
              <w:rPr>
                <w:rFonts w:hint="eastAsia" w:ascii="宋体" w:hAnsi="宋体" w:cs="宋体"/>
                <w:color w:val="000000"/>
                <w:kern w:val="0"/>
                <w:sz w:val="22"/>
              </w:rPr>
              <w:t>通讯方式：上行TCP/IP、RS485</w:t>
            </w:r>
            <w:r>
              <w:rPr>
                <w:rFonts w:hint="eastAsia" w:ascii="宋体" w:hAnsi="宋体" w:cs="宋体"/>
                <w:color w:val="000000"/>
                <w:kern w:val="0"/>
                <w:sz w:val="22"/>
              </w:rPr>
              <w:br w:type="textWrapping"/>
            </w:r>
            <w:r>
              <w:rPr>
                <w:rFonts w:hint="eastAsia" w:ascii="宋体" w:hAnsi="宋体" w:cs="宋体"/>
                <w:color w:val="000000"/>
                <w:kern w:val="0"/>
                <w:sz w:val="22"/>
              </w:rPr>
              <w:t>读卡器接口：RS485和Wiegand双通讯接口</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40</w:t>
            </w:r>
          </w:p>
        </w:tc>
      </w:tr>
      <w:tr>
        <w:tblPrEx>
          <w:tblCellMar>
            <w:top w:w="0" w:type="dxa"/>
            <w:left w:w="108" w:type="dxa"/>
            <w:bottom w:w="0" w:type="dxa"/>
            <w:right w:w="108" w:type="dxa"/>
          </w:tblCellMar>
        </w:tblPrEx>
        <w:trPr>
          <w:trHeight w:val="57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Mifare读卡器</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读卡频率：13.56MHz</w:t>
            </w:r>
            <w:r>
              <w:rPr>
                <w:rFonts w:hint="eastAsia" w:ascii="宋体" w:hAnsi="宋体" w:cs="宋体"/>
                <w:color w:val="000000"/>
                <w:kern w:val="0"/>
                <w:sz w:val="22"/>
              </w:rPr>
              <w:br w:type="textWrapping"/>
            </w:r>
            <w:r>
              <w:rPr>
                <w:rFonts w:hint="eastAsia" w:ascii="宋体" w:hAnsi="宋体" w:cs="宋体"/>
                <w:color w:val="000000"/>
                <w:kern w:val="0"/>
                <w:sz w:val="22"/>
              </w:rPr>
              <w:t>按键方式：触摸按键</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260</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Mifare卡</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卡片类型：mifare卡</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张</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1000</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卡片发卡器</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支持发卡类型：ID卡</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w:t>
            </w:r>
          </w:p>
        </w:tc>
      </w:tr>
      <w:tr>
        <w:tblPrEx>
          <w:tblCellMar>
            <w:top w:w="0" w:type="dxa"/>
            <w:left w:w="108" w:type="dxa"/>
            <w:bottom w:w="0" w:type="dxa"/>
            <w:right w:w="108" w:type="dxa"/>
          </w:tblCellMar>
        </w:tblPrEx>
        <w:trPr>
          <w:trHeight w:val="1152"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5</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双门磁力锁</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最大拉力：280kg(600Lbs)*2静态直线拉力；</w:t>
            </w:r>
            <w:r>
              <w:rPr>
                <w:rFonts w:hint="eastAsia" w:ascii="宋体" w:hAnsi="宋体" w:cs="宋体"/>
                <w:color w:val="000000"/>
                <w:kern w:val="0"/>
                <w:sz w:val="22"/>
              </w:rPr>
              <w:br w:type="textWrapping"/>
            </w:r>
            <w:r>
              <w:rPr>
                <w:rFonts w:hint="eastAsia" w:ascii="宋体" w:hAnsi="宋体" w:cs="宋体"/>
                <w:color w:val="000000"/>
                <w:kern w:val="0"/>
                <w:sz w:val="22"/>
              </w:rPr>
              <w:t>支持锁状态反馈，门磁输出；</w:t>
            </w:r>
            <w:r>
              <w:rPr>
                <w:rFonts w:hint="eastAsia" w:ascii="宋体" w:hAnsi="宋体" w:cs="宋体"/>
                <w:color w:val="000000"/>
                <w:kern w:val="0"/>
                <w:sz w:val="22"/>
              </w:rPr>
              <w:br w:type="textWrapping"/>
            </w:r>
            <w:r>
              <w:rPr>
                <w:rFonts w:hint="eastAsia" w:ascii="宋体" w:hAnsi="宋体" w:cs="宋体"/>
                <w:color w:val="000000"/>
                <w:kern w:val="0"/>
                <w:sz w:val="22"/>
              </w:rPr>
              <w:t>断电开锁；</w:t>
            </w:r>
            <w:r>
              <w:rPr>
                <w:rFonts w:hint="eastAsia" w:ascii="宋体" w:hAnsi="宋体" w:cs="宋体"/>
                <w:color w:val="000000"/>
                <w:kern w:val="0"/>
                <w:sz w:val="22"/>
              </w:rPr>
              <w:br w:type="textWrapping"/>
            </w:r>
            <w:r>
              <w:rPr>
                <w:rFonts w:hint="eastAsia" w:ascii="宋体" w:hAnsi="宋体" w:cs="宋体"/>
                <w:color w:val="000000"/>
                <w:kern w:val="0"/>
                <w:sz w:val="22"/>
              </w:rPr>
              <w:t>具有电锁状态指示灯；</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w:t>
            </w:r>
            <w:r>
              <w:rPr>
                <w:rFonts w:hint="eastAsia" w:ascii="宋体" w:hAnsi="宋体" w:cs="宋体"/>
                <w:color w:val="FF0000"/>
                <w:kern w:val="0"/>
                <w:sz w:val="22"/>
              </w:rPr>
              <w:t>2</w:t>
            </w:r>
          </w:p>
        </w:tc>
      </w:tr>
      <w:tr>
        <w:tblPrEx>
          <w:tblCellMar>
            <w:top w:w="0" w:type="dxa"/>
            <w:left w:w="108" w:type="dxa"/>
            <w:bottom w:w="0" w:type="dxa"/>
            <w:right w:w="108" w:type="dxa"/>
          </w:tblCellMar>
        </w:tblPrEx>
        <w:trPr>
          <w:trHeight w:val="1152"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6</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单门磁力锁</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最大拉力：280kg(600Lbs)静态直线拉力；</w:t>
            </w:r>
            <w:r>
              <w:rPr>
                <w:rFonts w:hint="eastAsia" w:ascii="宋体" w:hAnsi="宋体" w:cs="宋体"/>
                <w:color w:val="000000"/>
                <w:kern w:val="0"/>
                <w:sz w:val="22"/>
              </w:rPr>
              <w:br w:type="textWrapping"/>
            </w:r>
            <w:r>
              <w:rPr>
                <w:rFonts w:hint="eastAsia" w:ascii="宋体" w:hAnsi="宋体" w:cs="宋体"/>
                <w:color w:val="000000"/>
                <w:kern w:val="0"/>
                <w:sz w:val="22"/>
              </w:rPr>
              <w:t>支持锁状态反馈，门磁输出；</w:t>
            </w:r>
            <w:r>
              <w:rPr>
                <w:rFonts w:hint="eastAsia" w:ascii="宋体" w:hAnsi="宋体" w:cs="宋体"/>
                <w:color w:val="000000"/>
                <w:kern w:val="0"/>
                <w:sz w:val="22"/>
              </w:rPr>
              <w:br w:type="textWrapping"/>
            </w:r>
            <w:r>
              <w:rPr>
                <w:rFonts w:hint="eastAsia" w:ascii="宋体" w:hAnsi="宋体" w:cs="宋体"/>
                <w:color w:val="000000"/>
                <w:kern w:val="0"/>
                <w:sz w:val="22"/>
              </w:rPr>
              <w:t>断电开锁；</w:t>
            </w:r>
            <w:r>
              <w:rPr>
                <w:rFonts w:hint="eastAsia" w:ascii="宋体" w:hAnsi="宋体" w:cs="宋体"/>
                <w:color w:val="000000"/>
                <w:kern w:val="0"/>
                <w:sz w:val="22"/>
              </w:rPr>
              <w:br w:type="textWrapping"/>
            </w:r>
            <w:r>
              <w:rPr>
                <w:rFonts w:hint="eastAsia" w:ascii="宋体" w:hAnsi="宋体" w:cs="宋体"/>
                <w:color w:val="000000"/>
                <w:kern w:val="0"/>
                <w:sz w:val="22"/>
              </w:rPr>
              <w:t>具有电锁状态指示灯；</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80</w:t>
            </w:r>
          </w:p>
        </w:tc>
      </w:tr>
      <w:tr>
        <w:tblPrEx>
          <w:tblCellMar>
            <w:top w:w="0" w:type="dxa"/>
            <w:left w:w="108" w:type="dxa"/>
            <w:bottom w:w="0" w:type="dxa"/>
            <w:right w:w="108" w:type="dxa"/>
          </w:tblCellMar>
        </w:tblPrEx>
        <w:trPr>
          <w:trHeight w:val="57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7</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门禁电源</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输入电压：100-240VAC；</w:t>
            </w:r>
            <w:r>
              <w:rPr>
                <w:rFonts w:hint="eastAsia" w:ascii="宋体" w:hAnsi="宋体" w:cs="宋体"/>
                <w:color w:val="000000"/>
                <w:kern w:val="0"/>
                <w:sz w:val="22"/>
              </w:rPr>
              <w:br w:type="textWrapping"/>
            </w:r>
            <w:r>
              <w:rPr>
                <w:rFonts w:hint="eastAsia" w:ascii="宋体" w:hAnsi="宋体" w:cs="宋体"/>
                <w:color w:val="000000"/>
                <w:kern w:val="0"/>
                <w:sz w:val="22"/>
              </w:rPr>
              <w:t>输出电压：12VDC；</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40</w:t>
            </w:r>
          </w:p>
        </w:tc>
      </w:tr>
      <w:tr>
        <w:tblPrEx>
          <w:tblCellMar>
            <w:top w:w="0" w:type="dxa"/>
            <w:left w:w="108" w:type="dxa"/>
            <w:bottom w:w="0" w:type="dxa"/>
            <w:right w:w="108" w:type="dxa"/>
          </w:tblCellMar>
        </w:tblPrEx>
        <w:trPr>
          <w:trHeight w:val="57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8</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电池组</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标准电压：12V；</w:t>
            </w:r>
            <w:r>
              <w:rPr>
                <w:rFonts w:hint="eastAsia" w:ascii="宋体" w:hAnsi="宋体" w:cs="宋体"/>
                <w:color w:val="000000"/>
                <w:kern w:val="0"/>
                <w:sz w:val="22"/>
              </w:rPr>
              <w:br w:type="textWrapping"/>
            </w:r>
            <w:r>
              <w:rPr>
                <w:rFonts w:hint="eastAsia" w:ascii="宋体" w:hAnsi="宋体" w:cs="宋体"/>
                <w:color w:val="000000"/>
                <w:kern w:val="0"/>
                <w:sz w:val="22"/>
              </w:rPr>
              <w:t>额定容量：7.0Ah；</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组</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40</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9</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4芯电源</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RVV4*1.0</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米</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5000</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10</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2芯电源</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RVV2*1.0</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米</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5000</w:t>
            </w:r>
          </w:p>
        </w:tc>
      </w:tr>
      <w:tr>
        <w:tblPrEx>
          <w:tblCellMar>
            <w:top w:w="0" w:type="dxa"/>
            <w:left w:w="108" w:type="dxa"/>
            <w:bottom w:w="0" w:type="dxa"/>
            <w:right w:w="108" w:type="dxa"/>
          </w:tblCellMar>
        </w:tblPrEx>
        <w:trPr>
          <w:trHeight w:val="408" w:hRule="atLeast"/>
        </w:trPr>
        <w:tc>
          <w:tcPr>
            <w:tcW w:w="926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五、法庭一键报警</w:t>
            </w:r>
          </w:p>
        </w:tc>
      </w:tr>
      <w:tr>
        <w:tblPrEx>
          <w:tblCellMar>
            <w:top w:w="0" w:type="dxa"/>
            <w:left w:w="108" w:type="dxa"/>
            <w:bottom w:w="0" w:type="dxa"/>
            <w:right w:w="108" w:type="dxa"/>
          </w:tblCellMar>
        </w:tblPrEx>
        <w:trPr>
          <w:trHeight w:val="57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紧急按钮</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紧急按钮面板式（适合86底盒）钥匙复位, 无钉孔,86*86*32mm</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34</w:t>
            </w:r>
          </w:p>
        </w:tc>
      </w:tr>
      <w:tr>
        <w:tblPrEx>
          <w:tblCellMar>
            <w:top w:w="0" w:type="dxa"/>
            <w:left w:w="108" w:type="dxa"/>
            <w:bottom w:w="0" w:type="dxa"/>
            <w:right w:w="108" w:type="dxa"/>
          </w:tblCellMar>
        </w:tblPrEx>
        <w:trPr>
          <w:trHeight w:val="57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防区扩展模块</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总线网络报警主机单防区扩展模块/1个扩展防区数/248最大级联数/0.8mA静态电流</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34</w:t>
            </w:r>
          </w:p>
        </w:tc>
      </w:tr>
      <w:tr>
        <w:tblPrEx>
          <w:tblCellMar>
            <w:top w:w="0" w:type="dxa"/>
            <w:left w:w="108" w:type="dxa"/>
            <w:bottom w:w="0" w:type="dxa"/>
            <w:right w:w="108" w:type="dxa"/>
          </w:tblCellMar>
        </w:tblPrEx>
        <w:trPr>
          <w:trHeight w:val="57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报警主机</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专业级总线制网络报警主机，自带8防区，可扩展至256防区/自带4路继电器</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57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备用电池</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标准电压 12V</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额定容量 7.0Ah</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57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继电器输出模板</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总线网络报警主机四路继电器输出模块（支持强电联动）；</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408" w:hRule="atLeast"/>
        </w:trPr>
        <w:tc>
          <w:tcPr>
            <w:tcW w:w="926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六、存储系统</w:t>
            </w:r>
          </w:p>
        </w:tc>
      </w:tr>
      <w:tr>
        <w:tblPrEx>
          <w:tblCellMar>
            <w:top w:w="0" w:type="dxa"/>
            <w:left w:w="108" w:type="dxa"/>
            <w:bottom w:w="0" w:type="dxa"/>
            <w:right w:w="108" w:type="dxa"/>
          </w:tblCellMar>
        </w:tblPrEx>
        <w:trPr>
          <w:trHeight w:val="406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存储管理平台</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★2U双路标准机架式服务器,CPU：1颗Xeon® Silver 4210（10核，2.2GHz）,内存：16G*2 DDR4，16根内存插槽，最大支持扩展至2TB内存;</w:t>
            </w:r>
            <w:r>
              <w:rPr>
                <w:rFonts w:hint="eastAsia" w:ascii="宋体" w:hAnsi="宋体" w:cs="宋体"/>
                <w:color w:val="000000"/>
                <w:kern w:val="0"/>
                <w:sz w:val="22"/>
              </w:rPr>
              <w:br w:type="textWrapping"/>
            </w:r>
            <w:r>
              <w:rPr>
                <w:rFonts w:hint="eastAsia" w:ascii="宋体" w:hAnsi="宋体" w:cs="宋体"/>
                <w:color w:val="000000"/>
                <w:kern w:val="0"/>
                <w:sz w:val="22"/>
              </w:rPr>
              <w:t>硬盘：2块1.2T 10K 2.5寸 SAS硬盘;</w:t>
            </w:r>
            <w:r>
              <w:rPr>
                <w:rFonts w:hint="eastAsia" w:ascii="宋体" w:hAnsi="宋体" w:cs="宋体"/>
                <w:color w:val="000000"/>
                <w:kern w:val="0"/>
                <w:sz w:val="22"/>
              </w:rPr>
              <w:br w:type="textWrapping"/>
            </w:r>
            <w:r>
              <w:rPr>
                <w:rFonts w:hint="eastAsia" w:ascii="宋体" w:hAnsi="宋体" w:cs="宋体"/>
                <w:color w:val="000000"/>
                <w:kern w:val="0"/>
                <w:sz w:val="22"/>
              </w:rPr>
              <w:t>阵列卡：SAS_HBA卡, 支持RAID 0/1/10;</w:t>
            </w:r>
            <w:r>
              <w:rPr>
                <w:rFonts w:hint="eastAsia" w:ascii="宋体" w:hAnsi="宋体" w:cs="宋体"/>
                <w:color w:val="000000"/>
                <w:kern w:val="0"/>
                <w:sz w:val="22"/>
              </w:rPr>
              <w:br w:type="textWrapping"/>
            </w:r>
            <w:r>
              <w:rPr>
                <w:rFonts w:hint="eastAsia" w:ascii="宋体" w:hAnsi="宋体" w:cs="宋体"/>
                <w:color w:val="000000"/>
                <w:kern w:val="0"/>
                <w:sz w:val="22"/>
              </w:rPr>
              <w:t>PCIE扩展：最大可支持6个PCIE扩展插槽</w:t>
            </w:r>
            <w:r>
              <w:rPr>
                <w:rFonts w:hint="eastAsia" w:ascii="宋体" w:hAnsi="宋体" w:cs="宋体"/>
                <w:color w:val="000000"/>
                <w:kern w:val="0"/>
                <w:sz w:val="22"/>
              </w:rPr>
              <w:br w:type="textWrapping"/>
            </w:r>
            <w:r>
              <w:rPr>
                <w:rFonts w:hint="eastAsia" w:ascii="宋体" w:hAnsi="宋体" w:cs="宋体"/>
                <w:color w:val="000000"/>
                <w:kern w:val="0"/>
                <w:sz w:val="22"/>
              </w:rPr>
              <w:t>网口：2个千兆电口;</w:t>
            </w:r>
            <w:r>
              <w:rPr>
                <w:rFonts w:hint="eastAsia" w:ascii="宋体" w:hAnsi="宋体" w:cs="宋体"/>
                <w:color w:val="000000"/>
                <w:kern w:val="0"/>
                <w:sz w:val="22"/>
              </w:rPr>
              <w:br w:type="textWrapping"/>
            </w:r>
            <w:r>
              <w:rPr>
                <w:rFonts w:hint="eastAsia" w:ascii="宋体" w:hAnsi="宋体" w:cs="宋体"/>
                <w:color w:val="000000"/>
                <w:kern w:val="0"/>
                <w:sz w:val="22"/>
              </w:rPr>
              <w:t>其他接口：1个RJ45管理接口，4个USB 3.0接口，1个VGA接口;</w:t>
            </w:r>
            <w:r>
              <w:rPr>
                <w:rFonts w:hint="eastAsia" w:ascii="宋体" w:hAnsi="宋体" w:cs="宋体"/>
                <w:color w:val="000000"/>
                <w:kern w:val="0"/>
                <w:sz w:val="22"/>
              </w:rPr>
              <w:br w:type="textWrapping"/>
            </w:r>
            <w:r>
              <w:rPr>
                <w:rFonts w:hint="eastAsia" w:ascii="宋体" w:hAnsi="宋体" w:cs="宋体"/>
                <w:color w:val="000000"/>
                <w:kern w:val="0"/>
                <w:sz w:val="22"/>
              </w:rPr>
              <w:t>电源：标配550W（1+1）高效铂金CRPS冗余电源 ;</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w:t>
            </w:r>
          </w:p>
        </w:tc>
      </w:tr>
      <w:tr>
        <w:tblPrEx>
          <w:tblCellMar>
            <w:top w:w="0" w:type="dxa"/>
            <w:left w:w="108" w:type="dxa"/>
            <w:bottom w:w="0" w:type="dxa"/>
            <w:right w:w="108" w:type="dxa"/>
          </w:tblCellMar>
        </w:tblPrEx>
        <w:trPr>
          <w:trHeight w:val="8192"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存储阵列</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★64位多核处理器，≥8GB内存，内存支持扩展到≥256GB，≥4个千兆网口，内置128GSSD固态硬盘;</w:t>
            </w:r>
            <w:r>
              <w:rPr>
                <w:rFonts w:hint="eastAsia" w:ascii="宋体" w:hAnsi="宋体" w:cs="宋体"/>
                <w:color w:val="000000"/>
                <w:kern w:val="0"/>
                <w:sz w:val="22"/>
              </w:rPr>
              <w:br w:type="textWrapping"/>
            </w:r>
            <w:r>
              <w:rPr>
                <w:rFonts w:hint="eastAsia" w:ascii="宋体" w:hAnsi="宋体" w:cs="宋体"/>
                <w:color w:val="000000"/>
                <w:kern w:val="0"/>
                <w:sz w:val="22"/>
              </w:rPr>
              <w:t>可接入2T/3T/4T/6T/8T/10TSATA/SAS磁盘，支持磁盘交错启动和漫游，并支持在线热插拔；</w:t>
            </w:r>
            <w:r>
              <w:rPr>
                <w:rFonts w:hint="eastAsia" w:ascii="宋体" w:hAnsi="宋体" w:cs="宋体"/>
                <w:color w:val="000000"/>
                <w:kern w:val="0"/>
                <w:sz w:val="22"/>
              </w:rPr>
              <w:br w:type="textWrapping"/>
            </w:r>
            <w:r>
              <w:rPr>
                <w:rFonts w:hint="eastAsia" w:ascii="宋体" w:hAnsi="宋体" w:cs="宋体"/>
                <w:color w:val="000000"/>
                <w:kern w:val="0"/>
                <w:sz w:val="22"/>
              </w:rPr>
              <w:t>3个12GB SAS3.0接口、2个USB3.0、1个USB2.0接口;</w:t>
            </w:r>
            <w:r>
              <w:rPr>
                <w:rFonts w:hint="eastAsia" w:ascii="宋体" w:hAnsi="宋体" w:cs="宋体"/>
                <w:color w:val="000000"/>
                <w:kern w:val="0"/>
                <w:sz w:val="22"/>
              </w:rPr>
              <w:br w:type="textWrapping"/>
            </w:r>
            <w:r>
              <w:rPr>
                <w:rFonts w:hint="eastAsia" w:ascii="宋体" w:hAnsi="宋体" w:cs="宋体"/>
                <w:color w:val="000000"/>
                <w:kern w:val="0"/>
                <w:sz w:val="22"/>
              </w:rPr>
              <w:t>可接入硬盘≥36块，支持SATA和SAS混插，并支持≥12级扩展柜级联扩展；（以公安部检测报告为准）;</w:t>
            </w:r>
            <w:r>
              <w:rPr>
                <w:rFonts w:hint="eastAsia" w:ascii="宋体" w:hAnsi="宋体" w:cs="宋体"/>
                <w:color w:val="000000"/>
                <w:kern w:val="0"/>
                <w:sz w:val="22"/>
              </w:rPr>
              <w:br w:type="textWrapping"/>
            </w:r>
            <w:r>
              <w:rPr>
                <w:rFonts w:hint="eastAsia" w:ascii="宋体" w:hAnsi="宋体" w:cs="宋体"/>
                <w:color w:val="000000"/>
                <w:kern w:val="0"/>
                <w:sz w:val="22"/>
              </w:rPr>
              <w:t>应能对视音频、图片及智能分析录像的混合直存，节省存储服务器和图片服务器；</w:t>
            </w:r>
            <w:r>
              <w:rPr>
                <w:rFonts w:hint="eastAsia" w:ascii="宋体" w:hAnsi="宋体" w:cs="宋体"/>
                <w:color w:val="000000"/>
                <w:kern w:val="0"/>
                <w:sz w:val="22"/>
              </w:rPr>
              <w:br w:type="textWrapping"/>
            </w:r>
            <w:r>
              <w:rPr>
                <w:rFonts w:hint="eastAsia" w:ascii="宋体" w:hAnsi="宋体" w:cs="宋体"/>
                <w:color w:val="000000"/>
                <w:kern w:val="0"/>
                <w:sz w:val="22"/>
              </w:rPr>
              <w:t>单台存储设备组建网络RAID,允许每组RAID中任意9个磁盘发生故障，数据不丢失，存储服务不中断。（以公安部检测报告为准）;</w:t>
            </w:r>
            <w:r>
              <w:rPr>
                <w:rFonts w:hint="eastAsia" w:ascii="宋体" w:hAnsi="宋体" w:cs="宋体"/>
                <w:color w:val="000000"/>
                <w:kern w:val="0"/>
                <w:sz w:val="22"/>
              </w:rPr>
              <w:br w:type="textWrapping"/>
            </w:r>
            <w:r>
              <w:rPr>
                <w:rFonts w:hint="eastAsia" w:ascii="宋体" w:hAnsi="宋体" w:cs="宋体"/>
                <w:color w:val="000000"/>
                <w:kern w:val="0"/>
                <w:sz w:val="22"/>
              </w:rPr>
              <w:t>应能接入并存储2048Mbps视频图像，同时转发2048Mbps的视频图像；同时回放512Mbps的视频图像；</w:t>
            </w:r>
            <w:r>
              <w:rPr>
                <w:rFonts w:hint="eastAsia" w:ascii="宋体" w:hAnsi="宋体" w:cs="宋体"/>
                <w:color w:val="000000"/>
                <w:kern w:val="0"/>
                <w:sz w:val="22"/>
              </w:rPr>
              <w:br w:type="textWrapping"/>
            </w:r>
            <w:r>
              <w:rPr>
                <w:rFonts w:hint="eastAsia" w:ascii="宋体" w:hAnsi="宋体" w:cs="宋体"/>
                <w:color w:val="000000"/>
                <w:kern w:val="0"/>
                <w:sz w:val="22"/>
              </w:rPr>
              <w:t>支持不低于700Mbps图片并发输入，同时不低于700Mbps图片并发输出；</w:t>
            </w:r>
            <w:r>
              <w:rPr>
                <w:rFonts w:hint="eastAsia" w:ascii="宋体" w:hAnsi="宋体" w:cs="宋体"/>
                <w:color w:val="000000"/>
                <w:kern w:val="0"/>
                <w:sz w:val="22"/>
              </w:rPr>
              <w:br w:type="textWrapping"/>
            </w:r>
            <w:r>
              <w:rPr>
                <w:rFonts w:hint="eastAsia" w:ascii="宋体" w:hAnsi="宋体" w:cs="宋体"/>
                <w:color w:val="000000"/>
                <w:kern w:val="0"/>
                <w:sz w:val="22"/>
              </w:rPr>
              <w:t>录像报表生成功能检验，可生成EXCEL录像报表文件，文件信息包括录像读/写状态，起始、结束时间；</w:t>
            </w:r>
            <w:r>
              <w:rPr>
                <w:rFonts w:hint="eastAsia" w:ascii="宋体" w:hAnsi="宋体" w:cs="宋体"/>
                <w:color w:val="000000"/>
                <w:kern w:val="0"/>
                <w:sz w:val="22"/>
              </w:rPr>
              <w:br w:type="textWrapping"/>
            </w:r>
            <w:r>
              <w:rPr>
                <w:rFonts w:hint="eastAsia" w:ascii="宋体" w:hAnsi="宋体" w:cs="宋体"/>
                <w:color w:val="000000"/>
                <w:kern w:val="0"/>
                <w:sz w:val="22"/>
              </w:rPr>
              <w:t>当开启智能录像时，样机可根据前端接入路数、存储周期、码率等参数，自动选择N+M冗余级别较高的数据保护方式；</w:t>
            </w:r>
            <w:r>
              <w:rPr>
                <w:rFonts w:hint="eastAsia" w:ascii="宋体" w:hAnsi="宋体" w:cs="宋体"/>
                <w:color w:val="000000"/>
                <w:kern w:val="0"/>
                <w:sz w:val="22"/>
              </w:rPr>
              <w:br w:type="textWrapping"/>
            </w:r>
            <w:r>
              <w:rPr>
                <w:rFonts w:hint="eastAsia" w:ascii="宋体" w:hAnsi="宋体" w:cs="宋体"/>
                <w:color w:val="000000"/>
                <w:kern w:val="0"/>
                <w:sz w:val="22"/>
              </w:rPr>
              <w:t>可将损坏RAID按照RAID损坏等级进行重构；</w:t>
            </w:r>
            <w:r>
              <w:rPr>
                <w:rFonts w:hint="eastAsia" w:ascii="宋体" w:hAnsi="宋体" w:cs="宋体"/>
                <w:color w:val="000000"/>
                <w:kern w:val="0"/>
                <w:sz w:val="22"/>
              </w:rPr>
              <w:br w:type="textWrapping"/>
            </w:r>
            <w:r>
              <w:rPr>
                <w:rFonts w:hint="eastAsia" w:ascii="宋体" w:hAnsi="宋体" w:cs="宋体"/>
                <w:color w:val="000000"/>
                <w:kern w:val="0"/>
                <w:sz w:val="22"/>
              </w:rPr>
              <w:t>业务故障隔离功能检验，存储的业务模块可以放在不同的容器中，一个业务模块故障时，不影响其它业务模块。系统可自动重启业务模块并恢复原有业务；</w:t>
            </w:r>
            <w:r>
              <w:rPr>
                <w:rFonts w:hint="eastAsia" w:ascii="宋体" w:hAnsi="宋体" w:cs="宋体"/>
                <w:color w:val="000000"/>
                <w:kern w:val="0"/>
                <w:sz w:val="22"/>
              </w:rPr>
              <w:br w:type="textWrapping"/>
            </w:r>
            <w:r>
              <w:rPr>
                <w:rFonts w:hint="eastAsia" w:ascii="宋体" w:hAnsi="宋体" w:cs="宋体"/>
                <w:color w:val="000000"/>
                <w:kern w:val="0"/>
                <w:sz w:val="22"/>
              </w:rPr>
              <w:t>可在操作界面查看数据重构状态，样机的磁盘或节点离线并重新插回后，可在界面显示离线磁盘或节点的数据重构过程，离线前数据不丢失;</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6</w:t>
            </w:r>
          </w:p>
        </w:tc>
      </w:tr>
      <w:tr>
        <w:tblPrEx>
          <w:tblCellMar>
            <w:top w:w="0" w:type="dxa"/>
            <w:left w:w="108" w:type="dxa"/>
            <w:bottom w:w="0" w:type="dxa"/>
            <w:right w:w="108" w:type="dxa"/>
          </w:tblCellMar>
        </w:tblPrEx>
        <w:trPr>
          <w:trHeight w:val="8511"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视频数据管理平台</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★处理器：主频≥1.8GHZ 核心数量≥8,内存：32G；备份策略：raid0、1、5、10。一级文件压缩（5倍压缩）:H.264视频文件转码压缩为原文件大小的20%左右，平均PSNR值不小于33dB,压缩前后帧率、分辨率及时长不变(需提供符合国家GB/T28181标准的权威机构检测报告)。二级文件压缩（10倍压缩）: H.264视频文件转码压缩为原文件大小的10%左右,平均PSNR值不小于30dB, 压缩前后帧率、分辨率及时长不变(需提供符合国家GB/T28181标准的权威机构检测报告);</w:t>
            </w:r>
            <w:r>
              <w:rPr>
                <w:rFonts w:hint="eastAsia" w:ascii="宋体" w:hAnsi="宋体" w:cs="宋体"/>
                <w:color w:val="000000"/>
                <w:kern w:val="0"/>
                <w:sz w:val="22"/>
              </w:rPr>
              <w:br w:type="textWrapping"/>
            </w:r>
            <w:r>
              <w:rPr>
                <w:rFonts w:hint="eastAsia" w:ascii="宋体" w:hAnsi="宋体" w:cs="宋体"/>
                <w:color w:val="000000"/>
                <w:kern w:val="0"/>
                <w:sz w:val="22"/>
              </w:rPr>
              <w:t>存储：1TB硬盘≥2、硬盘扩展槽位≥8；</w:t>
            </w:r>
            <w:r>
              <w:rPr>
                <w:rFonts w:hint="eastAsia" w:ascii="宋体" w:hAnsi="宋体" w:cs="宋体"/>
                <w:color w:val="000000"/>
                <w:kern w:val="0"/>
                <w:sz w:val="22"/>
              </w:rPr>
              <w:br w:type="textWrapping"/>
            </w:r>
            <w:r>
              <w:rPr>
                <w:rFonts w:hint="eastAsia" w:ascii="宋体" w:hAnsi="宋体" w:cs="宋体"/>
                <w:color w:val="000000"/>
                <w:kern w:val="0"/>
                <w:sz w:val="22"/>
              </w:rPr>
              <w:t>传输协议：ONVIF、国标、私有；</w:t>
            </w:r>
            <w:r>
              <w:rPr>
                <w:rFonts w:hint="eastAsia" w:ascii="宋体" w:hAnsi="宋体" w:cs="宋体"/>
                <w:color w:val="000000"/>
                <w:kern w:val="0"/>
                <w:sz w:val="22"/>
              </w:rPr>
              <w:br w:type="textWrapping"/>
            </w:r>
            <w:r>
              <w:rPr>
                <w:rFonts w:hint="eastAsia" w:ascii="宋体" w:hAnsi="宋体" w:cs="宋体"/>
                <w:color w:val="000000"/>
                <w:kern w:val="0"/>
                <w:sz w:val="22"/>
              </w:rPr>
              <w:t>功率：≤500W；</w:t>
            </w:r>
            <w:r>
              <w:rPr>
                <w:rFonts w:hint="eastAsia" w:ascii="宋体" w:hAnsi="宋体" w:cs="宋体"/>
                <w:color w:val="000000"/>
                <w:kern w:val="0"/>
                <w:sz w:val="22"/>
              </w:rPr>
              <w:br w:type="textWrapping"/>
            </w:r>
            <w:r>
              <w:rPr>
                <w:rFonts w:hint="eastAsia" w:ascii="宋体" w:hAnsi="宋体" w:cs="宋体"/>
                <w:color w:val="000000"/>
                <w:kern w:val="0"/>
                <w:sz w:val="22"/>
              </w:rPr>
              <w:t>电源：双电；</w:t>
            </w:r>
            <w:r>
              <w:rPr>
                <w:rFonts w:hint="eastAsia" w:ascii="宋体" w:hAnsi="宋体" w:cs="宋体"/>
                <w:color w:val="000000"/>
                <w:kern w:val="0"/>
                <w:sz w:val="22"/>
              </w:rPr>
              <w:br w:type="textWrapping"/>
            </w:r>
            <w:r>
              <w:rPr>
                <w:rFonts w:hint="eastAsia" w:ascii="宋体" w:hAnsi="宋体" w:cs="宋体"/>
                <w:color w:val="000000"/>
                <w:kern w:val="0"/>
                <w:sz w:val="22"/>
              </w:rPr>
              <w:t>平台控制：与上级平台注册、注销、设备目录查询、心跳、录像文件检索、视频回放及控制、视频文件下载；</w:t>
            </w:r>
            <w:r>
              <w:rPr>
                <w:rFonts w:hint="eastAsia" w:ascii="宋体" w:hAnsi="宋体" w:cs="宋体"/>
                <w:color w:val="000000"/>
                <w:kern w:val="0"/>
                <w:sz w:val="22"/>
              </w:rPr>
              <w:br w:type="textWrapping"/>
            </w:r>
            <w:r>
              <w:rPr>
                <w:rFonts w:hint="eastAsia" w:ascii="宋体" w:hAnsi="宋体" w:cs="宋体"/>
                <w:color w:val="000000"/>
                <w:kern w:val="0"/>
                <w:sz w:val="22"/>
              </w:rPr>
              <w:t>安全管理：安全管理员管理、安全操作员管理、安全审计员管理、安全管理用户身份认证。(需提供符合国家GB35114标准的权威机构检测报告)；</w:t>
            </w:r>
            <w:r>
              <w:rPr>
                <w:rFonts w:hint="eastAsia" w:ascii="宋体" w:hAnsi="宋体" w:cs="宋体"/>
                <w:color w:val="000000"/>
                <w:kern w:val="0"/>
                <w:sz w:val="22"/>
              </w:rPr>
              <w:br w:type="textWrapping"/>
            </w:r>
            <w:r>
              <w:rPr>
                <w:rFonts w:hint="eastAsia" w:ascii="宋体" w:hAnsi="宋体" w:cs="宋体"/>
                <w:color w:val="000000"/>
                <w:kern w:val="0"/>
                <w:sz w:val="22"/>
              </w:rPr>
              <w:t>日志管理：平台安全操作日志、异常安全事件日志、FDWSF异常安全事件日志管理；</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411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视频压缩服务器</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★压缩性能：184路1080P视频实时压缩，8路转码；</w:t>
            </w:r>
            <w:r>
              <w:rPr>
                <w:rFonts w:hint="eastAsia" w:ascii="宋体" w:hAnsi="宋体" w:cs="宋体"/>
                <w:color w:val="000000"/>
                <w:kern w:val="0"/>
                <w:sz w:val="22"/>
              </w:rPr>
              <w:br w:type="textWrapping"/>
            </w:r>
            <w:r>
              <w:rPr>
                <w:rFonts w:hint="eastAsia" w:ascii="宋体" w:hAnsi="宋体" w:cs="宋体"/>
                <w:color w:val="000000"/>
                <w:kern w:val="0"/>
                <w:sz w:val="22"/>
              </w:rPr>
              <w:t>机架：标准4U式机架；</w:t>
            </w:r>
            <w:r>
              <w:rPr>
                <w:rFonts w:hint="eastAsia" w:ascii="宋体" w:hAnsi="宋体" w:cs="宋体"/>
                <w:color w:val="000000"/>
                <w:kern w:val="0"/>
                <w:sz w:val="22"/>
              </w:rPr>
              <w:br w:type="textWrapping"/>
            </w:r>
            <w:r>
              <w:rPr>
                <w:rFonts w:hint="eastAsia" w:ascii="宋体" w:hAnsi="宋体" w:cs="宋体"/>
                <w:color w:val="000000"/>
                <w:kern w:val="0"/>
                <w:sz w:val="22"/>
              </w:rPr>
              <w:t>压缩板卡槽位：≥24，支持热插拔；</w:t>
            </w:r>
            <w:r>
              <w:rPr>
                <w:rFonts w:hint="eastAsia" w:ascii="宋体" w:hAnsi="宋体" w:cs="宋体"/>
                <w:color w:val="000000"/>
                <w:kern w:val="0"/>
                <w:sz w:val="22"/>
              </w:rPr>
              <w:br w:type="textWrapping"/>
            </w:r>
            <w:r>
              <w:rPr>
                <w:rFonts w:hint="eastAsia" w:ascii="宋体" w:hAnsi="宋体" w:cs="宋体"/>
                <w:color w:val="000000"/>
                <w:kern w:val="0"/>
                <w:sz w:val="22"/>
              </w:rPr>
              <w:t>视频输入格式：支持H.264、H.265；</w:t>
            </w:r>
            <w:r>
              <w:rPr>
                <w:rFonts w:hint="eastAsia" w:ascii="宋体" w:hAnsi="宋体" w:cs="宋体"/>
                <w:color w:val="000000"/>
                <w:kern w:val="0"/>
                <w:sz w:val="22"/>
              </w:rPr>
              <w:br w:type="textWrapping"/>
            </w:r>
            <w:r>
              <w:rPr>
                <w:rFonts w:hint="eastAsia" w:ascii="宋体" w:hAnsi="宋体" w:cs="宋体"/>
                <w:color w:val="000000"/>
                <w:kern w:val="0"/>
                <w:sz w:val="22"/>
              </w:rPr>
              <w:t>存储对接协议：NFS；</w:t>
            </w:r>
            <w:r>
              <w:rPr>
                <w:rFonts w:hint="eastAsia" w:ascii="宋体" w:hAnsi="宋体" w:cs="宋体"/>
                <w:color w:val="000000"/>
                <w:kern w:val="0"/>
                <w:sz w:val="22"/>
              </w:rPr>
              <w:br w:type="textWrapping"/>
            </w:r>
            <w:r>
              <w:rPr>
                <w:rFonts w:hint="eastAsia" w:ascii="宋体" w:hAnsi="宋体" w:cs="宋体"/>
                <w:color w:val="000000"/>
                <w:kern w:val="0"/>
                <w:sz w:val="22"/>
              </w:rPr>
              <w:t>存储类型：存储服务器、存储阵列、云存储；</w:t>
            </w:r>
            <w:r>
              <w:rPr>
                <w:rFonts w:hint="eastAsia" w:ascii="宋体" w:hAnsi="宋体" w:cs="宋体"/>
                <w:color w:val="000000"/>
                <w:kern w:val="0"/>
                <w:sz w:val="22"/>
              </w:rPr>
              <w:br w:type="textWrapping"/>
            </w:r>
            <w:r>
              <w:rPr>
                <w:rFonts w:hint="eastAsia" w:ascii="宋体" w:hAnsi="宋体" w:cs="宋体"/>
                <w:color w:val="000000"/>
                <w:kern w:val="0"/>
                <w:sz w:val="22"/>
              </w:rPr>
              <w:t>网络接口：千兆网络接口≥4；</w:t>
            </w:r>
            <w:r>
              <w:rPr>
                <w:rFonts w:hint="eastAsia" w:ascii="宋体" w:hAnsi="宋体" w:cs="宋体"/>
                <w:color w:val="000000"/>
                <w:kern w:val="0"/>
                <w:sz w:val="22"/>
              </w:rPr>
              <w:br w:type="textWrapping"/>
            </w:r>
            <w:r>
              <w:rPr>
                <w:rFonts w:hint="eastAsia" w:ascii="宋体" w:hAnsi="宋体" w:cs="宋体"/>
                <w:color w:val="000000"/>
                <w:kern w:val="0"/>
                <w:sz w:val="22"/>
              </w:rPr>
              <w:t xml:space="preserve">电源：双电,功率：≤800W。； </w:t>
            </w:r>
            <w:r>
              <w:rPr>
                <w:rFonts w:hint="eastAsia" w:ascii="宋体" w:hAnsi="宋体" w:cs="宋体"/>
                <w:color w:val="000000"/>
                <w:kern w:val="0"/>
                <w:sz w:val="22"/>
              </w:rPr>
              <w:br w:type="textWrapping"/>
            </w:r>
            <w:r>
              <w:rPr>
                <w:rFonts w:hint="eastAsia" w:ascii="宋体" w:hAnsi="宋体" w:cs="宋体"/>
                <w:color w:val="000000"/>
                <w:kern w:val="0"/>
                <w:sz w:val="22"/>
              </w:rPr>
              <w:t xml:space="preserve">安全策略：负载均衡、故障迁移； </w:t>
            </w:r>
            <w:r>
              <w:rPr>
                <w:rFonts w:hint="eastAsia" w:ascii="宋体" w:hAnsi="宋体" w:cs="宋体"/>
                <w:color w:val="000000"/>
                <w:kern w:val="0"/>
                <w:sz w:val="22"/>
              </w:rPr>
              <w:br w:type="textWrapping"/>
            </w:r>
            <w:r>
              <w:rPr>
                <w:rFonts w:hint="eastAsia" w:ascii="宋体" w:hAnsi="宋体" w:cs="宋体"/>
                <w:color w:val="000000"/>
                <w:kern w:val="0"/>
                <w:sz w:val="22"/>
              </w:rPr>
              <w:t>传输协议：ONVIF、国标、私有；</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5</w:t>
            </w:r>
          </w:p>
        </w:tc>
      </w:tr>
      <w:tr>
        <w:tblPrEx>
          <w:tblCellMar>
            <w:top w:w="0" w:type="dxa"/>
            <w:left w:w="108" w:type="dxa"/>
            <w:bottom w:w="0" w:type="dxa"/>
            <w:right w:w="108" w:type="dxa"/>
          </w:tblCellMar>
        </w:tblPrEx>
        <w:trPr>
          <w:trHeight w:val="1297"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5</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硬盘</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4T,7200RPM,3.5寸,SATA</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块</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C00000"/>
                <w:kern w:val="0"/>
                <w:sz w:val="22"/>
              </w:rPr>
              <w:t>21</w:t>
            </w:r>
            <w:r>
              <w:rPr>
                <w:rFonts w:hint="eastAsia" w:ascii="宋体" w:hAnsi="宋体" w:cs="宋体"/>
                <w:color w:val="C00000"/>
                <w:kern w:val="0"/>
                <w:sz w:val="22"/>
              </w:rPr>
              <w:t>6</w:t>
            </w:r>
          </w:p>
        </w:tc>
      </w:tr>
      <w:tr>
        <w:tblPrEx>
          <w:tblCellMar>
            <w:top w:w="0" w:type="dxa"/>
            <w:left w:w="108" w:type="dxa"/>
            <w:bottom w:w="0" w:type="dxa"/>
            <w:right w:w="108" w:type="dxa"/>
          </w:tblCellMar>
        </w:tblPrEx>
        <w:trPr>
          <w:trHeight w:val="408" w:hRule="atLeast"/>
        </w:trPr>
        <w:tc>
          <w:tcPr>
            <w:tcW w:w="926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七、管控平台及安全加固</w:t>
            </w:r>
          </w:p>
        </w:tc>
      </w:tr>
      <w:tr>
        <w:tblPrEx>
          <w:tblCellMar>
            <w:top w:w="0" w:type="dxa"/>
            <w:left w:w="108" w:type="dxa"/>
            <w:bottom w:w="0" w:type="dxa"/>
            <w:right w:w="108" w:type="dxa"/>
          </w:tblCellMar>
        </w:tblPrEx>
        <w:trPr>
          <w:trHeight w:val="1192"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APT监控</w:t>
            </w:r>
          </w:p>
          <w:p>
            <w:pPr>
              <w:widowControl/>
              <w:jc w:val="left"/>
              <w:rPr>
                <w:rFonts w:ascii="宋体" w:hAnsi="宋体" w:cs="宋体"/>
                <w:color w:val="000000"/>
                <w:kern w:val="0"/>
                <w:sz w:val="22"/>
              </w:rPr>
            </w:pPr>
            <w:r>
              <w:rPr>
                <w:rFonts w:hint="eastAsia" w:ascii="宋体" w:hAnsi="宋体" w:cs="宋体"/>
                <w:color w:val="000000"/>
                <w:kern w:val="0"/>
                <w:sz w:val="22"/>
              </w:rPr>
              <w:t>防御服务</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见下表</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套</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1192" w:hRule="atLeast"/>
        </w:trPr>
        <w:tc>
          <w:tcPr>
            <w:tcW w:w="9265" w:type="dxa"/>
            <w:gridSpan w:val="10"/>
            <w:tcBorders>
              <w:top w:val="nil"/>
              <w:left w:val="single" w:color="auto" w:sz="4" w:space="0"/>
              <w:bottom w:val="single" w:color="auto" w:sz="4" w:space="0"/>
              <w:right w:val="single" w:color="auto" w:sz="4" w:space="0"/>
            </w:tcBorders>
            <w:shd w:val="clear" w:color="auto" w:fill="auto"/>
            <w:vAlign w:val="center"/>
          </w:tcPr>
          <w:tbl>
            <w:tblPr>
              <w:tblStyle w:val="34"/>
              <w:tblW w:w="9159" w:type="dxa"/>
              <w:tblInd w:w="-120" w:type="dxa"/>
              <w:tblLayout w:type="autofit"/>
              <w:tblCellMar>
                <w:top w:w="0" w:type="dxa"/>
                <w:left w:w="108" w:type="dxa"/>
                <w:bottom w:w="0" w:type="dxa"/>
                <w:right w:w="108" w:type="dxa"/>
              </w:tblCellMar>
            </w:tblPr>
            <w:tblGrid>
              <w:gridCol w:w="1019"/>
              <w:gridCol w:w="1499"/>
              <w:gridCol w:w="6641"/>
            </w:tblGrid>
            <w:tr>
              <w:tblPrEx>
                <w:tblCellMar>
                  <w:top w:w="0" w:type="dxa"/>
                  <w:left w:w="108" w:type="dxa"/>
                  <w:bottom w:w="0" w:type="dxa"/>
                  <w:right w:w="108" w:type="dxa"/>
                </w:tblCellMar>
              </w:tblPrEx>
              <w:trPr>
                <w:trHeight w:val="270" w:hRule="atLeast"/>
              </w:trPr>
              <w:tc>
                <w:tcPr>
                  <w:tcW w:w="1019" w:type="dxa"/>
                  <w:vMerge w:val="restart"/>
                  <w:tcBorders>
                    <w:top w:val="single" w:color="auto" w:sz="4" w:space="0"/>
                    <w:left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服务内容</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事前</w:t>
                  </w:r>
                </w:p>
              </w:tc>
              <w:tc>
                <w:tcPr>
                  <w:tcW w:w="6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szCs w:val="21"/>
                    </w:rPr>
                  </w:pPr>
                  <w:r>
                    <w:rPr>
                      <w:rFonts w:hint="eastAsia" w:ascii="宋体" w:hAnsi="宋体" w:cs="宋体"/>
                      <w:szCs w:val="21"/>
                    </w:rPr>
                    <w:t>及时通报国内安全事件，协助处理潜在安全风险。依据服务工具的告警数据，查漏补缺，协调各软件开发商、硬件维护方，排查风险点。</w:t>
                  </w:r>
                </w:p>
              </w:tc>
            </w:tr>
            <w:tr>
              <w:tblPrEx>
                <w:tblCellMar>
                  <w:top w:w="0" w:type="dxa"/>
                  <w:left w:w="108" w:type="dxa"/>
                  <w:bottom w:w="0" w:type="dxa"/>
                  <w:right w:w="108" w:type="dxa"/>
                </w:tblCellMar>
              </w:tblPrEx>
              <w:trPr>
                <w:trHeight w:val="128" w:hRule="atLeast"/>
              </w:trPr>
              <w:tc>
                <w:tcPr>
                  <w:tcW w:w="1019" w:type="dxa"/>
                  <w:vMerge w:val="continue"/>
                  <w:tcBorders>
                    <w:left w:val="single" w:color="auto" w:sz="4" w:space="0"/>
                    <w:right w:val="single" w:color="auto" w:sz="4" w:space="0"/>
                  </w:tcBorders>
                  <w:vAlign w:val="center"/>
                </w:tcPr>
                <w:p>
                  <w:pPr>
                    <w:widowControl/>
                    <w:rPr>
                      <w:rFonts w:ascii="宋体" w:hAnsi="宋体" w:cs="宋体"/>
                      <w:color w:val="000000"/>
                      <w:kern w:val="0"/>
                      <w:szCs w:val="21"/>
                    </w:rPr>
                  </w:pP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事件响应</w:t>
                  </w:r>
                </w:p>
              </w:tc>
              <w:tc>
                <w:tcPr>
                  <w:tcW w:w="6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szCs w:val="21"/>
                    </w:rPr>
                  </w:pPr>
                  <w:r>
                    <w:rPr>
                      <w:rFonts w:hint="eastAsia" w:ascii="宋体" w:hAnsi="宋体" w:cs="宋体"/>
                      <w:szCs w:val="21"/>
                    </w:rPr>
                    <w:t>对用户上报的安全事件进行响应</w:t>
                  </w:r>
                </w:p>
              </w:tc>
            </w:tr>
            <w:tr>
              <w:tblPrEx>
                <w:tblCellMar>
                  <w:top w:w="0" w:type="dxa"/>
                  <w:left w:w="108" w:type="dxa"/>
                  <w:bottom w:w="0" w:type="dxa"/>
                  <w:right w:w="108" w:type="dxa"/>
                </w:tblCellMar>
              </w:tblPrEx>
              <w:trPr>
                <w:trHeight w:val="167" w:hRule="atLeast"/>
              </w:trPr>
              <w:tc>
                <w:tcPr>
                  <w:tcW w:w="1019" w:type="dxa"/>
                  <w:vMerge w:val="continue"/>
                  <w:tcBorders>
                    <w:left w:val="single" w:color="auto" w:sz="4" w:space="0"/>
                    <w:right w:val="single" w:color="auto" w:sz="4" w:space="0"/>
                  </w:tcBorders>
                  <w:vAlign w:val="center"/>
                </w:tcPr>
                <w:p>
                  <w:pPr>
                    <w:widowControl/>
                    <w:rPr>
                      <w:rFonts w:ascii="宋体" w:hAnsi="宋体" w:cs="宋体"/>
                      <w:color w:val="000000"/>
                      <w:kern w:val="0"/>
                      <w:szCs w:val="21"/>
                    </w:rPr>
                  </w:pP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ascii="宋体" w:hAnsi="宋体" w:cs="宋体"/>
                      <w:szCs w:val="21"/>
                    </w:rPr>
                    <w:t>安全威胁分析</w:t>
                  </w:r>
                </w:p>
              </w:tc>
              <w:tc>
                <w:tcPr>
                  <w:tcW w:w="6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szCs w:val="21"/>
                    </w:rPr>
                  </w:pPr>
                  <w:r>
                    <w:rPr>
                      <w:rFonts w:hint="eastAsia" w:ascii="宋体" w:hAnsi="宋体" w:cs="宋体"/>
                      <w:szCs w:val="21"/>
                    </w:rPr>
                    <w:t>安全</w:t>
                  </w:r>
                  <w:r>
                    <w:rPr>
                      <w:rFonts w:ascii="宋体" w:hAnsi="宋体" w:cs="宋体"/>
                      <w:szCs w:val="21"/>
                    </w:rPr>
                    <w:t>服务工程师</w:t>
                  </w:r>
                  <w:r>
                    <w:rPr>
                      <w:rFonts w:hint="eastAsia" w:ascii="宋体" w:hAnsi="宋体" w:cs="宋体"/>
                      <w:szCs w:val="21"/>
                    </w:rPr>
                    <w:t>结合告警信息及日志进行深度分析，研判服务器及网络中存在的威胁和攻击行为，明确对业务的影响和危害</w:t>
                  </w:r>
                  <w:r>
                    <w:rPr>
                      <w:rFonts w:ascii="宋体" w:hAnsi="宋体" w:cs="宋体"/>
                      <w:szCs w:val="21"/>
                    </w:rPr>
                    <w:t>；</w:t>
                  </w:r>
                </w:p>
              </w:tc>
            </w:tr>
            <w:tr>
              <w:tblPrEx>
                <w:tblCellMar>
                  <w:top w:w="0" w:type="dxa"/>
                  <w:left w:w="108" w:type="dxa"/>
                  <w:bottom w:w="0" w:type="dxa"/>
                  <w:right w:w="108" w:type="dxa"/>
                </w:tblCellMar>
              </w:tblPrEx>
              <w:trPr>
                <w:trHeight w:val="270" w:hRule="atLeast"/>
              </w:trPr>
              <w:tc>
                <w:tcPr>
                  <w:tcW w:w="1019" w:type="dxa"/>
                  <w:vMerge w:val="continue"/>
                  <w:tcBorders>
                    <w:left w:val="single" w:color="auto" w:sz="4" w:space="0"/>
                    <w:right w:val="single" w:color="auto" w:sz="4" w:space="0"/>
                  </w:tcBorders>
                  <w:vAlign w:val="center"/>
                </w:tcPr>
                <w:p>
                  <w:pPr>
                    <w:widowControl/>
                    <w:rPr>
                      <w:rFonts w:ascii="宋体" w:hAnsi="宋体" w:cs="宋体"/>
                      <w:color w:val="000000"/>
                      <w:kern w:val="0"/>
                      <w:szCs w:val="21"/>
                    </w:rPr>
                  </w:pP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问题总结</w:t>
                  </w:r>
                  <w:r>
                    <w:rPr>
                      <w:rFonts w:ascii="宋体" w:hAnsi="宋体" w:cs="宋体"/>
                      <w:szCs w:val="21"/>
                    </w:rPr>
                    <w:t>和汇报</w:t>
                  </w:r>
                </w:p>
              </w:tc>
              <w:tc>
                <w:tcPr>
                  <w:tcW w:w="664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总结</w:t>
                  </w:r>
                  <w:r>
                    <w:rPr>
                      <w:rFonts w:ascii="宋体" w:hAnsi="宋体" w:cs="宋体"/>
                      <w:szCs w:val="21"/>
                    </w:rPr>
                    <w:t>发现的风险问题</w:t>
                  </w:r>
                  <w:r>
                    <w:rPr>
                      <w:rFonts w:hint="eastAsia" w:ascii="宋体" w:hAnsi="宋体" w:cs="宋体"/>
                      <w:szCs w:val="21"/>
                    </w:rPr>
                    <w:t>，并面向客户</w:t>
                  </w:r>
                  <w:r>
                    <w:rPr>
                      <w:rFonts w:ascii="宋体" w:hAnsi="宋体" w:cs="宋体"/>
                      <w:szCs w:val="21"/>
                    </w:rPr>
                    <w:t>汇报</w:t>
                  </w:r>
                </w:p>
              </w:tc>
            </w:tr>
            <w:tr>
              <w:tblPrEx>
                <w:tblCellMar>
                  <w:top w:w="0" w:type="dxa"/>
                  <w:left w:w="108" w:type="dxa"/>
                  <w:bottom w:w="0" w:type="dxa"/>
                  <w:right w:w="108" w:type="dxa"/>
                </w:tblCellMar>
              </w:tblPrEx>
              <w:trPr>
                <w:trHeight w:val="94" w:hRule="atLeast"/>
              </w:trPr>
              <w:tc>
                <w:tcPr>
                  <w:tcW w:w="1019" w:type="dxa"/>
                  <w:vMerge w:val="continue"/>
                  <w:tcBorders>
                    <w:left w:val="single" w:color="auto" w:sz="4" w:space="0"/>
                    <w:right w:val="single" w:color="auto" w:sz="4" w:space="0"/>
                  </w:tcBorders>
                  <w:vAlign w:val="center"/>
                </w:tcPr>
                <w:p>
                  <w:pPr>
                    <w:widowControl/>
                    <w:rPr>
                      <w:rFonts w:ascii="宋体" w:hAnsi="宋体" w:cs="宋体"/>
                      <w:color w:val="000000"/>
                      <w:kern w:val="0"/>
                      <w:szCs w:val="21"/>
                    </w:rPr>
                  </w:pP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ascii="宋体" w:hAnsi="宋体" w:cs="宋体"/>
                      <w:szCs w:val="21"/>
                    </w:rPr>
                    <w:t>安全威胁处置</w:t>
                  </w:r>
                </w:p>
              </w:tc>
              <w:tc>
                <w:tcPr>
                  <w:tcW w:w="6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szCs w:val="21"/>
                    </w:rPr>
                  </w:pPr>
                  <w:r>
                    <w:rPr>
                      <w:rFonts w:hint="eastAsia" w:ascii="宋体" w:hAnsi="宋体" w:cs="宋体"/>
                      <w:szCs w:val="21"/>
                    </w:rPr>
                    <w:t>安全</w:t>
                  </w:r>
                  <w:r>
                    <w:rPr>
                      <w:rFonts w:ascii="宋体" w:hAnsi="宋体" w:cs="宋体"/>
                      <w:szCs w:val="21"/>
                    </w:rPr>
                    <w:t>服务工程师</w:t>
                  </w:r>
                  <w:r>
                    <w:rPr>
                      <w:rFonts w:hint="eastAsia" w:ascii="宋体" w:hAnsi="宋体" w:cs="宋体"/>
                      <w:szCs w:val="21"/>
                    </w:rPr>
                    <w:t>综合分析服务工具呈现的数据，发现风险，</w:t>
                  </w:r>
                  <w:r>
                    <w:rPr>
                      <w:rFonts w:ascii="宋体" w:hAnsi="宋体" w:cs="宋体"/>
                      <w:szCs w:val="21"/>
                    </w:rPr>
                    <w:t>与用户确认 “</w:t>
                  </w:r>
                  <w:r>
                    <w:rPr>
                      <w:rFonts w:hint="eastAsia" w:ascii="宋体" w:hAnsi="宋体" w:cs="宋体"/>
                      <w:szCs w:val="21"/>
                    </w:rPr>
                    <w:t>高级</w:t>
                  </w:r>
                  <w:r>
                    <w:rPr>
                      <w:rFonts w:ascii="宋体" w:hAnsi="宋体" w:cs="宋体"/>
                      <w:szCs w:val="21"/>
                    </w:rPr>
                    <w:t>威胁”</w:t>
                  </w:r>
                  <w:r>
                    <w:rPr>
                      <w:rFonts w:hint="eastAsia" w:ascii="宋体" w:hAnsi="宋体" w:cs="宋体"/>
                      <w:szCs w:val="21"/>
                    </w:rPr>
                    <w:t>、</w:t>
                  </w:r>
                  <w:r>
                    <w:rPr>
                      <w:rFonts w:ascii="宋体" w:hAnsi="宋体" w:cs="宋体"/>
                      <w:szCs w:val="21"/>
                    </w:rPr>
                    <w:t>“中级威胁”</w:t>
                  </w:r>
                  <w:r>
                    <w:rPr>
                      <w:rFonts w:hint="eastAsia" w:ascii="宋体" w:hAnsi="宋体" w:cs="宋体"/>
                      <w:szCs w:val="21"/>
                    </w:rPr>
                    <w:t>、“低级威胁”的相关软件、进程、文件等类型及所属软件后做处置</w:t>
                  </w:r>
                  <w:r>
                    <w:rPr>
                      <w:rFonts w:ascii="宋体" w:hAnsi="宋体" w:cs="宋体"/>
                      <w:szCs w:val="21"/>
                    </w:rPr>
                    <w:t>；</w:t>
                  </w:r>
                </w:p>
                <w:p>
                  <w:pPr>
                    <w:widowControl/>
                    <w:rPr>
                      <w:rFonts w:ascii="宋体" w:hAnsi="宋体" w:cs="宋体"/>
                      <w:szCs w:val="21"/>
                    </w:rPr>
                  </w:pPr>
                  <w:r>
                    <w:rPr>
                      <w:rFonts w:ascii="宋体" w:hAnsi="宋体" w:cs="宋体"/>
                      <w:szCs w:val="21"/>
                    </w:rPr>
                    <w:t>通过工具和方法应</w:t>
                  </w:r>
                  <w:r>
                    <w:rPr>
                      <w:rFonts w:hint="eastAsia" w:ascii="宋体" w:hAnsi="宋体" w:cs="宋体"/>
                      <w:szCs w:val="21"/>
                    </w:rPr>
                    <w:t>对</w:t>
                  </w:r>
                  <w:r>
                    <w:rPr>
                      <w:rFonts w:hint="eastAsia" w:ascii="宋体" w:hAnsi="宋体" w:cs="宋体"/>
                      <w:kern w:val="0"/>
                      <w:szCs w:val="21"/>
                    </w:rPr>
                    <w:t>未知网页木马、勒索工具、挖矿木马、黑客工具、提权工具及恶意软件</w:t>
                  </w:r>
                  <w:r>
                    <w:rPr>
                      <w:rFonts w:ascii="宋体" w:hAnsi="宋体" w:cs="宋体"/>
                      <w:szCs w:val="21"/>
                    </w:rPr>
                    <w:t>，</w:t>
                  </w:r>
                  <w:r>
                    <w:rPr>
                      <w:rFonts w:hint="eastAsia" w:ascii="宋体" w:hAnsi="宋体" w:cs="宋体"/>
                      <w:szCs w:val="21"/>
                    </w:rPr>
                    <w:t>帮助</w:t>
                  </w:r>
                  <w:r>
                    <w:rPr>
                      <w:rFonts w:ascii="宋体" w:hAnsi="宋体" w:cs="宋体"/>
                      <w:szCs w:val="21"/>
                    </w:rPr>
                    <w:t>客户</w:t>
                  </w:r>
                  <w:r>
                    <w:rPr>
                      <w:rFonts w:hint="eastAsia" w:ascii="宋体" w:hAnsi="宋体" w:cs="宋体"/>
                      <w:szCs w:val="21"/>
                    </w:rPr>
                    <w:t>快速处置风险</w:t>
                  </w:r>
                  <w:r>
                    <w:rPr>
                      <w:rFonts w:ascii="宋体" w:hAnsi="宋体" w:cs="宋体"/>
                      <w:szCs w:val="21"/>
                    </w:rPr>
                    <w:t>，</w:t>
                  </w:r>
                  <w:r>
                    <w:rPr>
                      <w:rFonts w:hint="eastAsia" w:ascii="宋体" w:hAnsi="宋体" w:cs="宋体"/>
                      <w:szCs w:val="21"/>
                    </w:rPr>
                    <w:t>消除或减轻影响</w:t>
                  </w:r>
                </w:p>
              </w:tc>
            </w:tr>
            <w:tr>
              <w:tblPrEx>
                <w:tblCellMar>
                  <w:top w:w="0" w:type="dxa"/>
                  <w:left w:w="108" w:type="dxa"/>
                  <w:bottom w:w="0" w:type="dxa"/>
                  <w:right w:w="108" w:type="dxa"/>
                </w:tblCellMar>
              </w:tblPrEx>
              <w:trPr>
                <w:trHeight w:val="128" w:hRule="atLeast"/>
              </w:trPr>
              <w:tc>
                <w:tcPr>
                  <w:tcW w:w="1019" w:type="dxa"/>
                  <w:vMerge w:val="continue"/>
                  <w:tcBorders>
                    <w:left w:val="single" w:color="auto" w:sz="4" w:space="0"/>
                    <w:right w:val="single" w:color="auto" w:sz="4" w:space="0"/>
                  </w:tcBorders>
                  <w:vAlign w:val="center"/>
                </w:tcPr>
                <w:p>
                  <w:pPr>
                    <w:widowControl/>
                    <w:rPr>
                      <w:rFonts w:ascii="宋体" w:hAnsi="宋体" w:cs="宋体"/>
                      <w:color w:val="000000"/>
                      <w:kern w:val="0"/>
                      <w:szCs w:val="21"/>
                    </w:rPr>
                  </w:pP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hint="eastAsia" w:ascii="宋体" w:hAnsi="宋体" w:cs="宋体"/>
                      <w:szCs w:val="21"/>
                    </w:rPr>
                    <w:t>事件</w:t>
                  </w:r>
                  <w:r>
                    <w:rPr>
                      <w:rFonts w:ascii="宋体" w:hAnsi="宋体" w:cs="宋体"/>
                      <w:szCs w:val="21"/>
                    </w:rPr>
                    <w:t>溯源分析</w:t>
                  </w:r>
                </w:p>
              </w:tc>
              <w:tc>
                <w:tcPr>
                  <w:tcW w:w="6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szCs w:val="21"/>
                    </w:rPr>
                  </w:pPr>
                  <w:r>
                    <w:rPr>
                      <w:rFonts w:hint="eastAsia" w:ascii="宋体" w:hAnsi="宋体" w:cs="宋体"/>
                      <w:szCs w:val="21"/>
                    </w:rPr>
                    <w:t>安全</w:t>
                  </w:r>
                  <w:r>
                    <w:rPr>
                      <w:rFonts w:ascii="宋体" w:hAnsi="宋体" w:cs="宋体"/>
                      <w:szCs w:val="21"/>
                    </w:rPr>
                    <w:t>服务工程师通过现象</w:t>
                  </w:r>
                  <w:r>
                    <w:rPr>
                      <w:rFonts w:hint="eastAsia" w:ascii="宋体" w:hAnsi="宋体" w:cs="宋体"/>
                      <w:szCs w:val="21"/>
                    </w:rPr>
                    <w:t>深入分析安全事件的成因，发现</w:t>
                  </w:r>
                  <w:r>
                    <w:rPr>
                      <w:rFonts w:ascii="宋体" w:hAnsi="宋体" w:cs="宋体"/>
                      <w:szCs w:val="21"/>
                    </w:rPr>
                    <w:t>用户网络</w:t>
                  </w:r>
                  <w:r>
                    <w:rPr>
                      <w:rFonts w:hint="eastAsia" w:ascii="宋体" w:hAnsi="宋体" w:cs="宋体"/>
                      <w:szCs w:val="21"/>
                    </w:rPr>
                    <w:t>中存在的薄弱点，</w:t>
                  </w:r>
                  <w:r>
                    <w:rPr>
                      <w:rFonts w:ascii="宋体" w:hAnsi="宋体" w:cs="宋体"/>
                      <w:szCs w:val="21"/>
                    </w:rPr>
                    <w:t>通过技术手段和</w:t>
                  </w:r>
                  <w:r>
                    <w:rPr>
                      <w:rFonts w:hint="eastAsia" w:ascii="宋体" w:hAnsi="宋体" w:cs="宋体"/>
                      <w:szCs w:val="21"/>
                    </w:rPr>
                    <w:t>方法溯源攻击路径；</w:t>
                  </w:r>
                </w:p>
              </w:tc>
            </w:tr>
            <w:tr>
              <w:tblPrEx>
                <w:tblCellMar>
                  <w:top w:w="0" w:type="dxa"/>
                  <w:left w:w="108" w:type="dxa"/>
                  <w:bottom w:w="0" w:type="dxa"/>
                  <w:right w:w="108" w:type="dxa"/>
                </w:tblCellMar>
              </w:tblPrEx>
              <w:trPr>
                <w:trHeight w:val="167" w:hRule="atLeast"/>
              </w:trPr>
              <w:tc>
                <w:tcPr>
                  <w:tcW w:w="1019" w:type="dxa"/>
                  <w:vMerge w:val="continue"/>
                  <w:tcBorders>
                    <w:left w:val="single" w:color="auto" w:sz="4" w:space="0"/>
                    <w:right w:val="single" w:color="auto" w:sz="4" w:space="0"/>
                  </w:tcBorders>
                  <w:vAlign w:val="center"/>
                </w:tcPr>
                <w:p>
                  <w:pPr>
                    <w:widowControl/>
                    <w:rPr>
                      <w:rFonts w:ascii="宋体" w:hAnsi="宋体" w:cs="宋体"/>
                      <w:color w:val="000000"/>
                      <w:kern w:val="0"/>
                      <w:szCs w:val="21"/>
                    </w:rPr>
                  </w:pP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ascii="宋体" w:hAnsi="宋体" w:cs="宋体"/>
                      <w:szCs w:val="21"/>
                    </w:rPr>
                    <w:t>根因分析</w:t>
                  </w:r>
                  <w:r>
                    <w:rPr>
                      <w:rFonts w:hint="eastAsia" w:ascii="宋体" w:hAnsi="宋体" w:cs="宋体"/>
                      <w:szCs w:val="21"/>
                    </w:rPr>
                    <w:t>&amp;加固</w:t>
                  </w:r>
                </w:p>
              </w:tc>
              <w:tc>
                <w:tcPr>
                  <w:tcW w:w="6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szCs w:val="21"/>
                    </w:rPr>
                  </w:pPr>
                  <w:r>
                    <w:rPr>
                      <w:rFonts w:hint="eastAsia" w:ascii="宋体" w:hAnsi="宋体" w:cs="宋体"/>
                      <w:szCs w:val="21"/>
                    </w:rPr>
                    <w:t>根据事件发生的根因、影响范围，针对性给出安全加固方案</w:t>
                  </w:r>
                </w:p>
              </w:tc>
            </w:tr>
            <w:tr>
              <w:tblPrEx>
                <w:tblCellMar>
                  <w:top w:w="0" w:type="dxa"/>
                  <w:left w:w="108" w:type="dxa"/>
                  <w:bottom w:w="0" w:type="dxa"/>
                  <w:right w:w="108" w:type="dxa"/>
                </w:tblCellMar>
              </w:tblPrEx>
              <w:trPr>
                <w:trHeight w:val="270" w:hRule="atLeast"/>
              </w:trPr>
              <w:tc>
                <w:tcPr>
                  <w:tcW w:w="1019" w:type="dxa"/>
                  <w:vMerge w:val="continue"/>
                  <w:tcBorders>
                    <w:left w:val="single" w:color="auto" w:sz="4" w:space="0"/>
                    <w:right w:val="single" w:color="auto" w:sz="4" w:space="0"/>
                  </w:tcBorders>
                  <w:vAlign w:val="center"/>
                </w:tcPr>
                <w:p>
                  <w:pPr>
                    <w:widowControl/>
                    <w:rPr>
                      <w:rFonts w:ascii="宋体" w:hAnsi="宋体" w:cs="宋体"/>
                      <w:color w:val="000000"/>
                      <w:kern w:val="0"/>
                      <w:szCs w:val="21"/>
                    </w:rPr>
                  </w:pP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ascii="宋体" w:hAnsi="宋体" w:cs="宋体"/>
                      <w:szCs w:val="21"/>
                    </w:rPr>
                    <w:t>服务次数</w:t>
                  </w:r>
                </w:p>
              </w:tc>
              <w:tc>
                <w:tcPr>
                  <w:tcW w:w="6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szCs w:val="21"/>
                    </w:rPr>
                  </w:pPr>
                  <w:r>
                    <w:rPr>
                      <w:rFonts w:ascii="宋体" w:hAnsi="宋体"/>
                      <w:szCs w:val="21"/>
                    </w:rPr>
                    <w:t>每</w:t>
                  </w:r>
                  <w:r>
                    <w:rPr>
                      <w:rFonts w:hint="eastAsia" w:ascii="宋体" w:hAnsi="宋体"/>
                      <w:szCs w:val="21"/>
                    </w:rPr>
                    <w:t>季度</w:t>
                  </w:r>
                  <w:r>
                    <w:rPr>
                      <w:rFonts w:ascii="宋体" w:hAnsi="宋体"/>
                      <w:szCs w:val="21"/>
                    </w:rPr>
                    <w:t>安全服务</w:t>
                  </w:r>
                  <w:r>
                    <w:rPr>
                      <w:rFonts w:hint="eastAsia" w:ascii="宋体" w:hAnsi="宋体"/>
                      <w:szCs w:val="21"/>
                    </w:rPr>
                    <w:t>工程师</w:t>
                  </w:r>
                  <w:r>
                    <w:rPr>
                      <w:rFonts w:ascii="宋体" w:hAnsi="宋体"/>
                      <w:szCs w:val="21"/>
                    </w:rPr>
                    <w:t>上门回访检查</w:t>
                  </w:r>
                  <w:r>
                    <w:rPr>
                      <w:rFonts w:hint="eastAsia" w:ascii="宋体" w:hAnsi="宋体"/>
                      <w:szCs w:val="21"/>
                    </w:rPr>
                    <w:t>、</w:t>
                  </w:r>
                  <w:r>
                    <w:rPr>
                      <w:rFonts w:ascii="宋体" w:hAnsi="宋体"/>
                      <w:szCs w:val="21"/>
                    </w:rPr>
                    <w:t>协助处置出现的问题，并</w:t>
                  </w:r>
                  <w:r>
                    <w:rPr>
                      <w:rFonts w:hint="eastAsia" w:ascii="宋体" w:hAnsi="宋体"/>
                      <w:szCs w:val="21"/>
                    </w:rPr>
                    <w:t>输出安全巡检汇报</w:t>
                  </w:r>
                  <w:r>
                    <w:rPr>
                      <w:rFonts w:ascii="宋体" w:hAnsi="宋体"/>
                      <w:szCs w:val="21"/>
                    </w:rPr>
                    <w:t>；</w:t>
                  </w:r>
                  <w:r>
                    <w:rPr>
                      <w:rFonts w:hint="eastAsia" w:ascii="宋体" w:hAnsi="宋体"/>
                      <w:szCs w:val="21"/>
                    </w:rPr>
                    <w:t>每周</w:t>
                  </w:r>
                  <w:r>
                    <w:rPr>
                      <w:rFonts w:ascii="宋体" w:hAnsi="宋体"/>
                      <w:szCs w:val="21"/>
                    </w:rPr>
                    <w:t>技术工程师不定时巡查服务工具的告警情况</w:t>
                  </w:r>
                  <w:r>
                    <w:rPr>
                      <w:rFonts w:hint="eastAsia" w:ascii="宋体" w:hAnsi="宋体"/>
                      <w:szCs w:val="21"/>
                    </w:rPr>
                    <w:t>，</w:t>
                  </w:r>
                  <w:r>
                    <w:rPr>
                      <w:rFonts w:ascii="宋体" w:hAnsi="宋体"/>
                      <w:szCs w:val="21"/>
                    </w:rPr>
                    <w:t>并及时沟通处置。</w:t>
                  </w:r>
                </w:p>
              </w:tc>
            </w:tr>
            <w:tr>
              <w:tblPrEx>
                <w:tblCellMar>
                  <w:top w:w="0" w:type="dxa"/>
                  <w:left w:w="108" w:type="dxa"/>
                  <w:bottom w:w="0" w:type="dxa"/>
                  <w:right w:w="108" w:type="dxa"/>
                </w:tblCellMar>
              </w:tblPrEx>
              <w:trPr>
                <w:trHeight w:val="270" w:hRule="atLeast"/>
              </w:trPr>
              <w:tc>
                <w:tcPr>
                  <w:tcW w:w="1019" w:type="dxa"/>
                  <w:vMerge w:val="continue"/>
                  <w:tcBorders>
                    <w:left w:val="single" w:color="auto" w:sz="4" w:space="0"/>
                    <w:right w:val="single" w:color="auto" w:sz="4" w:space="0"/>
                  </w:tcBorders>
                  <w:vAlign w:val="center"/>
                </w:tcPr>
                <w:p>
                  <w:pPr>
                    <w:widowControl/>
                    <w:rPr>
                      <w:rFonts w:ascii="宋体" w:hAnsi="宋体" w:cs="宋体"/>
                      <w:color w:val="000000"/>
                      <w:kern w:val="0"/>
                      <w:szCs w:val="21"/>
                    </w:rPr>
                  </w:pP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Cs w:val="21"/>
                    </w:rPr>
                  </w:pPr>
                  <w:r>
                    <w:rPr>
                      <w:rFonts w:ascii="宋体" w:hAnsi="宋体" w:cs="宋体"/>
                      <w:szCs w:val="21"/>
                    </w:rPr>
                    <w:t>服务方式与响应时间</w:t>
                  </w:r>
                </w:p>
              </w:tc>
              <w:tc>
                <w:tcPr>
                  <w:tcW w:w="6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szCs w:val="21"/>
                    </w:rPr>
                  </w:pPr>
                  <w:r>
                    <w:rPr>
                      <w:rFonts w:hint="eastAsia" w:ascii="宋体" w:hAnsi="宋体"/>
                      <w:szCs w:val="21"/>
                    </w:rPr>
                    <w:t>以远程安全分析、处置为主，重大安全事件上门处置，授权服务期限内不限服务次数、不限时间以处理问题结束为准。</w:t>
                  </w:r>
                </w:p>
                <w:p>
                  <w:pPr>
                    <w:widowControl/>
                    <w:rPr>
                      <w:rFonts w:ascii="宋体" w:hAnsi="宋体" w:cs="宋体"/>
                      <w:szCs w:val="21"/>
                    </w:rPr>
                  </w:pPr>
                  <w:r>
                    <w:rPr>
                      <w:rFonts w:ascii="宋体" w:hAnsi="宋体" w:cs="宋体"/>
                      <w:szCs w:val="21"/>
                    </w:rPr>
                    <w:t>远程时间服务响应时间：</w:t>
                  </w:r>
                  <w:r>
                    <w:rPr>
                      <w:rFonts w:hint="eastAsia" w:ascii="宋体" w:hAnsi="宋体" w:cs="宋体"/>
                      <w:szCs w:val="21"/>
                    </w:rPr>
                    <w:t>7*24小时安全咨询服务、远程调试服务</w:t>
                  </w:r>
                </w:p>
              </w:tc>
            </w:tr>
            <w:tr>
              <w:tblPrEx>
                <w:tblCellMar>
                  <w:top w:w="0" w:type="dxa"/>
                  <w:left w:w="108" w:type="dxa"/>
                  <w:bottom w:w="0" w:type="dxa"/>
                  <w:right w:w="108" w:type="dxa"/>
                </w:tblCellMar>
              </w:tblPrEx>
              <w:trPr>
                <w:trHeight w:val="97" w:hRule="atLeast"/>
              </w:trPr>
              <w:tc>
                <w:tcPr>
                  <w:tcW w:w="1019" w:type="dxa"/>
                  <w:vMerge w:val="restart"/>
                  <w:tcBorders>
                    <w:top w:val="single" w:color="auto" w:sz="4" w:space="0"/>
                    <w:left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服务工具要求</w:t>
                  </w:r>
                </w:p>
              </w:tc>
              <w:tc>
                <w:tcPr>
                  <w:tcW w:w="14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总体架构</w:t>
                  </w: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系统基于全新的EDR技术（Endpoint Detection and Response）技术，非杀毒软件EPP技术。</w:t>
                  </w:r>
                </w:p>
              </w:tc>
            </w:tr>
            <w:tr>
              <w:tblPrEx>
                <w:tblCellMar>
                  <w:top w:w="0" w:type="dxa"/>
                  <w:left w:w="108" w:type="dxa"/>
                  <w:bottom w:w="0" w:type="dxa"/>
                  <w:right w:w="108" w:type="dxa"/>
                </w:tblCellMar>
              </w:tblPrEx>
              <w:trPr>
                <w:trHeight w:val="540" w:hRule="atLeast"/>
              </w:trPr>
              <w:tc>
                <w:tcPr>
                  <w:tcW w:w="101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14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系统架构分为控制中心及探针部分；探针部署在操作系统端收集数据并上传至控制中心作统一分析计算。</w:t>
                  </w:r>
                </w:p>
              </w:tc>
            </w:tr>
            <w:tr>
              <w:tblPrEx>
                <w:tblCellMar>
                  <w:top w:w="0" w:type="dxa"/>
                  <w:left w:w="108" w:type="dxa"/>
                  <w:bottom w:w="0" w:type="dxa"/>
                  <w:right w:w="108" w:type="dxa"/>
                </w:tblCellMar>
              </w:tblPrEx>
              <w:trPr>
                <w:trHeight w:val="203" w:hRule="atLeast"/>
              </w:trPr>
              <w:tc>
                <w:tcPr>
                  <w:tcW w:w="101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14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控制中心环境及管理要求</w:t>
                  </w: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支持B/S访问方式。</w:t>
                  </w:r>
                </w:p>
              </w:tc>
            </w:tr>
            <w:tr>
              <w:tblPrEx>
                <w:tblCellMar>
                  <w:top w:w="0" w:type="dxa"/>
                  <w:left w:w="108" w:type="dxa"/>
                  <w:bottom w:w="0" w:type="dxa"/>
                  <w:right w:w="108" w:type="dxa"/>
                </w:tblCellMar>
              </w:tblPrEx>
              <w:trPr>
                <w:trHeight w:val="540" w:hRule="atLeast"/>
              </w:trPr>
              <w:tc>
                <w:tcPr>
                  <w:tcW w:w="101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14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系统采用基于角色的权限管理机制，所有的用户的权限都通过角色来赋予。内置系统管理员、用户管理员。</w:t>
                  </w:r>
                </w:p>
              </w:tc>
            </w:tr>
            <w:tr>
              <w:tblPrEx>
                <w:tblCellMar>
                  <w:top w:w="0" w:type="dxa"/>
                  <w:left w:w="108" w:type="dxa"/>
                  <w:bottom w:w="0" w:type="dxa"/>
                  <w:right w:w="108" w:type="dxa"/>
                </w:tblCellMar>
              </w:tblPrEx>
              <w:trPr>
                <w:trHeight w:val="540" w:hRule="atLeast"/>
              </w:trPr>
              <w:tc>
                <w:tcPr>
                  <w:tcW w:w="101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14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系统具有丰富的自身配置管理功能，系统具有智能运行监控与告警、系统日志记录等功能。</w:t>
                  </w:r>
                </w:p>
              </w:tc>
            </w:tr>
            <w:tr>
              <w:tblPrEx>
                <w:tblCellMar>
                  <w:top w:w="0" w:type="dxa"/>
                  <w:left w:w="108" w:type="dxa"/>
                  <w:bottom w:w="0" w:type="dxa"/>
                  <w:right w:w="108" w:type="dxa"/>
                </w:tblCellMar>
              </w:tblPrEx>
              <w:trPr>
                <w:trHeight w:val="540" w:hRule="atLeast"/>
              </w:trPr>
              <w:tc>
                <w:tcPr>
                  <w:tcW w:w="101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14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系统采用基于角色的权限管理机制，所有的用户的权限都通过角色来赋予。内置系统管理员、用户管理员。</w:t>
                  </w:r>
                </w:p>
              </w:tc>
            </w:tr>
            <w:tr>
              <w:tblPrEx>
                <w:tblCellMar>
                  <w:top w:w="0" w:type="dxa"/>
                  <w:left w:w="108" w:type="dxa"/>
                  <w:bottom w:w="0" w:type="dxa"/>
                  <w:right w:w="108" w:type="dxa"/>
                </w:tblCellMar>
              </w:tblPrEx>
              <w:trPr>
                <w:trHeight w:val="540" w:hRule="atLeast"/>
              </w:trPr>
              <w:tc>
                <w:tcPr>
                  <w:tcW w:w="101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14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系统具有丰富的自身配置管理功能，系统具有智能运行监控与告警、系统日志记录等功能。</w:t>
                  </w:r>
                </w:p>
              </w:tc>
            </w:tr>
            <w:tr>
              <w:tblPrEx>
                <w:tblCellMar>
                  <w:top w:w="0" w:type="dxa"/>
                  <w:left w:w="108" w:type="dxa"/>
                  <w:bottom w:w="0" w:type="dxa"/>
                  <w:right w:w="108" w:type="dxa"/>
                </w:tblCellMar>
              </w:tblPrEx>
              <w:trPr>
                <w:trHeight w:val="274" w:hRule="atLeast"/>
              </w:trPr>
              <w:tc>
                <w:tcPr>
                  <w:tcW w:w="101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1499" w:type="dxa"/>
                  <w:vMerge w:val="restart"/>
                  <w:tcBorders>
                    <w:top w:val="nil"/>
                    <w:left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探针要求</w:t>
                  </w: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探针支持操作系统操作系统支持windows</w:t>
                  </w:r>
                  <w:r>
                    <w:rPr>
                      <w:rFonts w:ascii="宋体" w:hAnsi="宋体" w:cs="宋体"/>
                      <w:color w:val="000000"/>
                      <w:kern w:val="0"/>
                      <w:szCs w:val="21"/>
                    </w:rPr>
                    <w:t xml:space="preserve"> </w:t>
                  </w:r>
                  <w:r>
                    <w:rPr>
                      <w:rFonts w:hint="eastAsia" w:ascii="宋体" w:hAnsi="宋体" w:cs="宋体"/>
                      <w:color w:val="000000"/>
                      <w:kern w:val="0"/>
                      <w:szCs w:val="21"/>
                    </w:rPr>
                    <w:t>2008 R2全版本 64位，windows2012全版版本 64位，</w:t>
                  </w:r>
                  <w:r>
                    <w:rPr>
                      <w:rFonts w:ascii="宋体" w:hAnsi="宋体" w:cs="宋体"/>
                      <w:color w:val="000000"/>
                      <w:kern w:val="0"/>
                      <w:szCs w:val="21"/>
                    </w:rPr>
                    <w:t>和</w:t>
                  </w:r>
                  <w:r>
                    <w:rPr>
                      <w:rFonts w:hint="eastAsia" w:ascii="宋体" w:hAnsi="宋体" w:cs="宋体"/>
                      <w:color w:val="000000"/>
                      <w:kern w:val="0"/>
                      <w:szCs w:val="21"/>
                    </w:rPr>
                    <w:t>Linux</w:t>
                  </w:r>
                  <w:r>
                    <w:rPr>
                      <w:rFonts w:ascii="宋体" w:hAnsi="宋体" w:cs="宋体"/>
                      <w:color w:val="000000"/>
                      <w:kern w:val="0"/>
                      <w:szCs w:val="21"/>
                    </w:rPr>
                    <w:t xml:space="preserve"> </w:t>
                  </w:r>
                  <w:r>
                    <w:rPr>
                      <w:rFonts w:hint="eastAsia" w:ascii="宋体" w:hAnsi="宋体" w:cs="宋体"/>
                      <w:color w:val="000000"/>
                      <w:kern w:val="0"/>
                      <w:szCs w:val="21"/>
                    </w:rPr>
                    <w:t>2.6.32 及以上全</w:t>
                  </w:r>
                  <w:r>
                    <w:rPr>
                      <w:rFonts w:ascii="宋体" w:hAnsi="宋体" w:cs="宋体"/>
                      <w:color w:val="000000"/>
                      <w:kern w:val="0"/>
                      <w:szCs w:val="21"/>
                    </w:rPr>
                    <w:t>版本</w:t>
                  </w: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270" w:hRule="atLeast"/>
              </w:trPr>
              <w:tc>
                <w:tcPr>
                  <w:tcW w:w="101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149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探针应为轻量级程序</w:t>
                  </w:r>
                </w:p>
              </w:tc>
            </w:tr>
            <w:tr>
              <w:tblPrEx>
                <w:tblCellMar>
                  <w:top w:w="0" w:type="dxa"/>
                  <w:left w:w="108" w:type="dxa"/>
                  <w:bottom w:w="0" w:type="dxa"/>
                  <w:right w:w="108" w:type="dxa"/>
                </w:tblCellMar>
              </w:tblPrEx>
              <w:trPr>
                <w:trHeight w:val="270" w:hRule="atLeast"/>
              </w:trPr>
              <w:tc>
                <w:tcPr>
                  <w:tcW w:w="101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149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szCs w:val="21"/>
                    </w:rPr>
                    <w:t>▲</w:t>
                  </w:r>
                  <w:r>
                    <w:rPr>
                      <w:rFonts w:hint="eastAsia" w:ascii="宋体" w:hAnsi="宋体" w:cs="宋体"/>
                      <w:color w:val="000000"/>
                      <w:kern w:val="0"/>
                      <w:szCs w:val="21"/>
                    </w:rPr>
                    <w:t>与省高院现有内网APT监控防御系统无缝对接。（投标时提供无缝对接证明文件。并于预中标后5日内做现场无缝对接测试，不能完成与省院统一管理的作无效标处理。）</w:t>
                  </w:r>
                </w:p>
              </w:tc>
            </w:tr>
            <w:tr>
              <w:tblPrEx>
                <w:tblCellMar>
                  <w:top w:w="0" w:type="dxa"/>
                  <w:left w:w="108" w:type="dxa"/>
                  <w:bottom w:w="0" w:type="dxa"/>
                  <w:right w:w="108" w:type="dxa"/>
                </w:tblCellMar>
              </w:tblPrEx>
              <w:trPr>
                <w:trHeight w:val="810" w:hRule="atLeast"/>
              </w:trPr>
              <w:tc>
                <w:tcPr>
                  <w:tcW w:w="101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14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核心框架</w:t>
                  </w: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szCs w:val="21"/>
                    </w:rPr>
                    <w:t>▲</w:t>
                  </w:r>
                  <w:r>
                    <w:rPr>
                      <w:rFonts w:hint="eastAsia" w:ascii="宋体" w:hAnsi="宋体" w:cs="宋体"/>
                      <w:kern w:val="0"/>
                      <w:szCs w:val="21"/>
                    </w:rPr>
                    <w:t>检测未知入侵威胁不依赖于传统防病毒软件的匹配特征码+签名方式，威胁特征变动或未发现不影响系统对威胁的预警，支持以攻防行为及恶意操作行为算法专业的行为模型系统，简要说明先进性及原理。（中标后提供基于用户行为分析的异常行为检测专利证明文件并加盖原厂公章）。</w:t>
                  </w:r>
                </w:p>
              </w:tc>
            </w:tr>
            <w:tr>
              <w:tblPrEx>
                <w:tblCellMar>
                  <w:top w:w="0" w:type="dxa"/>
                  <w:left w:w="108" w:type="dxa"/>
                  <w:bottom w:w="0" w:type="dxa"/>
                  <w:right w:w="108" w:type="dxa"/>
                </w:tblCellMar>
              </w:tblPrEx>
              <w:trPr>
                <w:trHeight w:val="540" w:hRule="atLeast"/>
              </w:trPr>
              <w:tc>
                <w:tcPr>
                  <w:tcW w:w="101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14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攻击行为库</w:t>
                  </w: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支持黑客行为库，支持包含方法、思路、工具、漏洞入侵链路等多种纬度全面的攻击者模型。</w:t>
                  </w:r>
                </w:p>
              </w:tc>
            </w:tr>
            <w:tr>
              <w:tblPrEx>
                <w:tblCellMar>
                  <w:top w:w="0" w:type="dxa"/>
                  <w:left w:w="108" w:type="dxa"/>
                  <w:bottom w:w="0" w:type="dxa"/>
                  <w:right w:w="108" w:type="dxa"/>
                </w:tblCellMar>
              </w:tblPrEx>
              <w:trPr>
                <w:trHeight w:val="270" w:hRule="atLeast"/>
              </w:trPr>
              <w:tc>
                <w:tcPr>
                  <w:tcW w:w="1019" w:type="dxa"/>
                  <w:vMerge w:val="continue"/>
                  <w:tcBorders>
                    <w:left w:val="single" w:color="auto" w:sz="4" w:space="0"/>
                    <w:right w:val="single" w:color="auto" w:sz="4" w:space="0"/>
                  </w:tcBorders>
                  <w:vAlign w:val="center"/>
                </w:tcPr>
                <w:p>
                  <w:pPr>
                    <w:widowControl/>
                    <w:rPr>
                      <w:rFonts w:ascii="宋体" w:hAnsi="宋体" w:cs="宋体"/>
                      <w:color w:val="000000"/>
                      <w:kern w:val="0"/>
                      <w:szCs w:val="21"/>
                    </w:rPr>
                  </w:pPr>
                </w:p>
              </w:tc>
              <w:tc>
                <w:tcPr>
                  <w:tcW w:w="1499"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机器学习</w:t>
                  </w: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支持人工智能多维度威胁认知、对于主机业务和行为画像，进行深度学习。</w:t>
                  </w:r>
                </w:p>
              </w:tc>
            </w:tr>
            <w:tr>
              <w:tblPrEx>
                <w:tblCellMar>
                  <w:top w:w="0" w:type="dxa"/>
                  <w:left w:w="108" w:type="dxa"/>
                  <w:bottom w:w="0" w:type="dxa"/>
                  <w:right w:w="108" w:type="dxa"/>
                </w:tblCellMar>
              </w:tblPrEx>
              <w:trPr>
                <w:trHeight w:val="540" w:hRule="atLeast"/>
              </w:trPr>
              <w:tc>
                <w:tcPr>
                  <w:tcW w:w="101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14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支持盖网络异常行为感知、漏洞利用感知、终端黑客操作行为感知、攻击源感知、威胁情报关联感知。</w:t>
                  </w:r>
                </w:p>
              </w:tc>
            </w:tr>
            <w:tr>
              <w:tblPrEx>
                <w:tblCellMar>
                  <w:top w:w="0" w:type="dxa"/>
                  <w:left w:w="108" w:type="dxa"/>
                  <w:bottom w:w="0" w:type="dxa"/>
                  <w:right w:w="108" w:type="dxa"/>
                </w:tblCellMar>
              </w:tblPrEx>
              <w:trPr>
                <w:trHeight w:val="540" w:hRule="atLeast"/>
              </w:trPr>
              <w:tc>
                <w:tcPr>
                  <w:tcW w:w="101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14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免疫算法</w:t>
                  </w: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利用大数据对APT攻击进行取证和分析，系统拥有实时免疫防御体系，一旦节点检测受攻击或已有潜伏，控制中心发出警告指令，使其他端点自动免疫。</w:t>
                  </w:r>
                </w:p>
              </w:tc>
            </w:tr>
            <w:tr>
              <w:tblPrEx>
                <w:tblCellMar>
                  <w:top w:w="0" w:type="dxa"/>
                  <w:left w:w="108" w:type="dxa"/>
                  <w:bottom w:w="0" w:type="dxa"/>
                  <w:right w:w="108" w:type="dxa"/>
                </w:tblCellMar>
              </w:tblPrEx>
              <w:trPr>
                <w:trHeight w:val="1080" w:hRule="atLeast"/>
              </w:trPr>
              <w:tc>
                <w:tcPr>
                  <w:tcW w:w="101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14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证据链模型</w:t>
                  </w: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由取证状态和响应动作构成的证据链，能够为更好地还原整个攻击的完整过程提供帮助。同时，取证状态和响应动作相互配合，可以最大限度地减小攻击的危害程度。证据链的形成过程主要是以端点取证和响应发生的时间节点作为依据，充分运用证据链在恢复攻击场景时的作用。</w:t>
                  </w:r>
                </w:p>
              </w:tc>
            </w:tr>
            <w:tr>
              <w:tblPrEx>
                <w:tblCellMar>
                  <w:top w:w="0" w:type="dxa"/>
                  <w:left w:w="108" w:type="dxa"/>
                  <w:bottom w:w="0" w:type="dxa"/>
                  <w:right w:w="108" w:type="dxa"/>
                </w:tblCellMar>
              </w:tblPrEx>
              <w:trPr>
                <w:trHeight w:val="270" w:hRule="atLeast"/>
              </w:trPr>
              <w:tc>
                <w:tcPr>
                  <w:tcW w:w="1019"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Cs w:val="21"/>
                    </w:rPr>
                  </w:pPr>
                </w:p>
              </w:tc>
              <w:tc>
                <w:tcPr>
                  <w:tcW w:w="149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异常模型</w:t>
                  </w: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采用有差别的异常行为模型评分机制</w:t>
                  </w:r>
                </w:p>
              </w:tc>
            </w:tr>
            <w:tr>
              <w:tblPrEx>
                <w:tblCellMar>
                  <w:top w:w="0" w:type="dxa"/>
                  <w:left w:w="108" w:type="dxa"/>
                  <w:bottom w:w="0" w:type="dxa"/>
                  <w:right w:w="108" w:type="dxa"/>
                </w:tblCellMar>
              </w:tblPrEx>
              <w:trPr>
                <w:trHeight w:val="540" w:hRule="atLeast"/>
              </w:trPr>
              <w:tc>
                <w:tcPr>
                  <w:tcW w:w="101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14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支持自定义的异常行为模型评分，异常行为模块种类包括但不限于网络、文件、进程、登录、异常窗口。</w:t>
                  </w:r>
                </w:p>
              </w:tc>
            </w:tr>
            <w:tr>
              <w:tblPrEx>
                <w:tblCellMar>
                  <w:top w:w="0" w:type="dxa"/>
                  <w:left w:w="108" w:type="dxa"/>
                  <w:bottom w:w="0" w:type="dxa"/>
                  <w:right w:w="108" w:type="dxa"/>
                </w:tblCellMar>
              </w:tblPrEx>
              <w:trPr>
                <w:trHeight w:val="319" w:hRule="atLeast"/>
              </w:trPr>
              <w:tc>
                <w:tcPr>
                  <w:tcW w:w="101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14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风险集中展示</w:t>
                  </w: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系统可按需分级、分组、分时对监控主机进行统一的风险集中展示。</w:t>
                  </w:r>
                </w:p>
              </w:tc>
            </w:tr>
            <w:tr>
              <w:tblPrEx>
                <w:tblCellMar>
                  <w:top w:w="0" w:type="dxa"/>
                  <w:left w:w="108" w:type="dxa"/>
                  <w:bottom w:w="0" w:type="dxa"/>
                  <w:right w:w="108" w:type="dxa"/>
                </w:tblCellMar>
              </w:tblPrEx>
              <w:trPr>
                <w:trHeight w:val="270" w:hRule="atLeast"/>
              </w:trPr>
              <w:tc>
                <w:tcPr>
                  <w:tcW w:w="1019"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Cs w:val="21"/>
                    </w:rPr>
                  </w:pPr>
                </w:p>
              </w:tc>
              <w:tc>
                <w:tcPr>
                  <w:tcW w:w="14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策略集中管理</w:t>
                  </w: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可对监控主机进行分组策略；</w:t>
                  </w:r>
                </w:p>
              </w:tc>
            </w:tr>
            <w:tr>
              <w:tblPrEx>
                <w:tblCellMar>
                  <w:top w:w="0" w:type="dxa"/>
                  <w:left w:w="108" w:type="dxa"/>
                  <w:bottom w:w="0" w:type="dxa"/>
                  <w:right w:w="108" w:type="dxa"/>
                </w:tblCellMar>
              </w:tblPrEx>
              <w:trPr>
                <w:trHeight w:val="270" w:hRule="atLeast"/>
              </w:trPr>
              <w:tc>
                <w:tcPr>
                  <w:tcW w:w="101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14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可在控制中心对探针进行远程更新、卸载等便捷的集中管理</w:t>
                  </w:r>
                </w:p>
              </w:tc>
            </w:tr>
            <w:tr>
              <w:tblPrEx>
                <w:tblCellMar>
                  <w:top w:w="0" w:type="dxa"/>
                  <w:left w:w="108" w:type="dxa"/>
                  <w:bottom w:w="0" w:type="dxa"/>
                  <w:right w:w="108" w:type="dxa"/>
                </w:tblCellMar>
              </w:tblPrEx>
              <w:trPr>
                <w:trHeight w:val="270" w:hRule="atLeast"/>
              </w:trPr>
              <w:tc>
                <w:tcPr>
                  <w:tcW w:w="1019" w:type="dxa"/>
                  <w:vMerge w:val="continue"/>
                  <w:tcBorders>
                    <w:left w:val="single" w:color="auto" w:sz="4" w:space="0"/>
                    <w:right w:val="single" w:color="auto" w:sz="4" w:space="0"/>
                  </w:tcBorders>
                  <w:vAlign w:val="center"/>
                </w:tcPr>
                <w:p>
                  <w:pPr>
                    <w:widowControl/>
                    <w:rPr>
                      <w:rFonts w:ascii="宋体" w:hAnsi="宋体" w:cs="宋体"/>
                      <w:color w:val="000000"/>
                      <w:kern w:val="0"/>
                      <w:szCs w:val="21"/>
                    </w:rPr>
                  </w:pPr>
                </w:p>
              </w:tc>
              <w:tc>
                <w:tcPr>
                  <w:tcW w:w="1499"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策略分组</w:t>
                  </w: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支持基于不同场景的策略分组，至少支持普通策略、应急策略、自定义策略等分组</w:t>
                  </w:r>
                </w:p>
              </w:tc>
            </w:tr>
            <w:tr>
              <w:tblPrEx>
                <w:tblCellMar>
                  <w:top w:w="0" w:type="dxa"/>
                  <w:left w:w="108" w:type="dxa"/>
                  <w:bottom w:w="0" w:type="dxa"/>
                  <w:right w:w="108" w:type="dxa"/>
                </w:tblCellMar>
              </w:tblPrEx>
              <w:trPr>
                <w:trHeight w:val="540" w:hRule="atLeast"/>
              </w:trPr>
              <w:tc>
                <w:tcPr>
                  <w:tcW w:w="1019" w:type="dxa"/>
                  <w:vMerge w:val="continue"/>
                  <w:tcBorders>
                    <w:left w:val="single" w:color="auto" w:sz="4" w:space="0"/>
                    <w:right w:val="single" w:color="auto" w:sz="4" w:space="0"/>
                  </w:tcBorders>
                  <w:vAlign w:val="center"/>
                </w:tcPr>
                <w:p>
                  <w:pPr>
                    <w:widowControl/>
                    <w:rPr>
                      <w:rFonts w:ascii="宋体" w:hAnsi="宋体" w:cs="宋体"/>
                      <w:color w:val="000000"/>
                      <w:kern w:val="0"/>
                      <w:szCs w:val="21"/>
                    </w:rPr>
                  </w:pPr>
                </w:p>
              </w:tc>
              <w:tc>
                <w:tcPr>
                  <w:tcW w:w="1499"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支持策略</w:t>
                  </w: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szCs w:val="21"/>
                    </w:rPr>
                    <w:t>▲</w:t>
                  </w:r>
                  <w:r>
                    <w:rPr>
                      <w:rFonts w:hint="eastAsia" w:ascii="宋体" w:hAnsi="宋体" w:cs="宋体"/>
                      <w:color w:val="000000"/>
                      <w:kern w:val="0"/>
                      <w:szCs w:val="21"/>
                    </w:rPr>
                    <w:t>策略支持网络防火墙、未知网页木马、勒索工具、挖矿木马防护、黑客工具防护、提权工具防护、后门程序、恶意软件，客户无需复杂自定义一键可选。。</w:t>
                  </w:r>
                </w:p>
              </w:tc>
            </w:tr>
            <w:tr>
              <w:tblPrEx>
                <w:tblCellMar>
                  <w:top w:w="0" w:type="dxa"/>
                  <w:left w:w="108" w:type="dxa"/>
                  <w:bottom w:w="0" w:type="dxa"/>
                  <w:right w:w="108" w:type="dxa"/>
                </w:tblCellMar>
              </w:tblPrEx>
              <w:trPr>
                <w:trHeight w:val="690" w:hRule="atLeast"/>
              </w:trPr>
              <w:tc>
                <w:tcPr>
                  <w:tcW w:w="1019" w:type="dxa"/>
                  <w:vMerge w:val="continue"/>
                  <w:tcBorders>
                    <w:left w:val="single" w:color="auto" w:sz="4" w:space="0"/>
                    <w:right w:val="single" w:color="auto" w:sz="4" w:space="0"/>
                  </w:tcBorders>
                  <w:vAlign w:val="center"/>
                </w:tcPr>
                <w:p>
                  <w:pPr>
                    <w:widowControl/>
                    <w:rPr>
                      <w:rFonts w:ascii="宋体" w:hAnsi="宋体" w:cs="宋体"/>
                      <w:color w:val="000000"/>
                      <w:kern w:val="0"/>
                      <w:szCs w:val="21"/>
                    </w:rPr>
                  </w:pPr>
                </w:p>
              </w:tc>
              <w:tc>
                <w:tcPr>
                  <w:tcW w:w="1499"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账户登录</w:t>
                  </w: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对全局的登录服务器的行为用户利用基于恶意操作行为的大数据模式分析，至少可以展现客户登录的IP点阵图和用户点阵图。</w:t>
                  </w:r>
                </w:p>
              </w:tc>
            </w:tr>
            <w:tr>
              <w:tblPrEx>
                <w:tblCellMar>
                  <w:top w:w="0" w:type="dxa"/>
                  <w:left w:w="108" w:type="dxa"/>
                  <w:bottom w:w="0" w:type="dxa"/>
                  <w:right w:w="108" w:type="dxa"/>
                </w:tblCellMar>
              </w:tblPrEx>
              <w:trPr>
                <w:trHeight w:val="70" w:hRule="atLeast"/>
              </w:trPr>
              <w:tc>
                <w:tcPr>
                  <w:tcW w:w="101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149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态势感知图</w:t>
                  </w: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支持动态的全景态势感知展现。</w:t>
                  </w:r>
                </w:p>
              </w:tc>
            </w:tr>
            <w:tr>
              <w:tblPrEx>
                <w:tblCellMar>
                  <w:top w:w="0" w:type="dxa"/>
                  <w:left w:w="108" w:type="dxa"/>
                  <w:bottom w:w="0" w:type="dxa"/>
                  <w:right w:w="108" w:type="dxa"/>
                </w:tblCellMar>
              </w:tblPrEx>
              <w:trPr>
                <w:trHeight w:val="149" w:hRule="atLeast"/>
              </w:trPr>
              <w:tc>
                <w:tcPr>
                  <w:tcW w:w="1019"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14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支持实时、精确的态势感知展示，请说明实时、精确的原因</w:t>
                  </w:r>
                </w:p>
              </w:tc>
            </w:tr>
            <w:tr>
              <w:tblPrEx>
                <w:tblCellMar>
                  <w:top w:w="0" w:type="dxa"/>
                  <w:left w:w="108" w:type="dxa"/>
                  <w:bottom w:w="0" w:type="dxa"/>
                  <w:right w:w="108" w:type="dxa"/>
                </w:tblCellMar>
              </w:tblPrEx>
              <w:trPr>
                <w:trHeight w:val="70" w:hRule="atLeast"/>
              </w:trPr>
              <w:tc>
                <w:tcPr>
                  <w:tcW w:w="1019" w:type="dxa"/>
                  <w:vMerge w:val="continue"/>
                  <w:tcBorders>
                    <w:left w:val="single" w:color="auto" w:sz="4" w:space="0"/>
                    <w:right w:val="single" w:color="auto" w:sz="4" w:space="0"/>
                  </w:tcBorders>
                  <w:vAlign w:val="center"/>
                </w:tcPr>
                <w:p>
                  <w:pPr>
                    <w:widowControl/>
                    <w:rPr>
                      <w:rFonts w:ascii="宋体" w:hAnsi="宋体" w:cs="宋体"/>
                      <w:color w:val="000000"/>
                      <w:kern w:val="0"/>
                      <w:szCs w:val="21"/>
                    </w:rPr>
                  </w:pPr>
                </w:p>
              </w:tc>
              <w:tc>
                <w:tcPr>
                  <w:tcW w:w="1499"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风险预警</w:t>
                  </w: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智能分析系统风险程度，事件分高、中、低级别预警</w:t>
                  </w:r>
                </w:p>
              </w:tc>
            </w:tr>
            <w:tr>
              <w:tblPrEx>
                <w:tblCellMar>
                  <w:top w:w="0" w:type="dxa"/>
                  <w:left w:w="108" w:type="dxa"/>
                  <w:bottom w:w="0" w:type="dxa"/>
                  <w:right w:w="108" w:type="dxa"/>
                </w:tblCellMar>
              </w:tblPrEx>
              <w:trPr>
                <w:trHeight w:val="70" w:hRule="atLeast"/>
              </w:trPr>
              <w:tc>
                <w:tcPr>
                  <w:tcW w:w="1019" w:type="dxa"/>
                  <w:vMerge w:val="continue"/>
                  <w:tcBorders>
                    <w:left w:val="single" w:color="auto" w:sz="4" w:space="0"/>
                    <w:right w:val="single" w:color="auto" w:sz="4" w:space="0"/>
                  </w:tcBorders>
                  <w:vAlign w:val="center"/>
                </w:tcPr>
                <w:p>
                  <w:pPr>
                    <w:widowControl/>
                    <w:rPr>
                      <w:rFonts w:ascii="宋体" w:hAnsi="宋体" w:cs="宋体"/>
                      <w:color w:val="000000"/>
                      <w:kern w:val="0"/>
                      <w:szCs w:val="21"/>
                    </w:rPr>
                  </w:pPr>
                </w:p>
              </w:tc>
              <w:tc>
                <w:tcPr>
                  <w:tcW w:w="1499"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登录热度</w:t>
                  </w: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支持IP点阵图和用户点阵图报警</w:t>
                  </w:r>
                </w:p>
              </w:tc>
            </w:tr>
            <w:tr>
              <w:tblPrEx>
                <w:tblCellMar>
                  <w:top w:w="0" w:type="dxa"/>
                  <w:left w:w="108" w:type="dxa"/>
                  <w:bottom w:w="0" w:type="dxa"/>
                  <w:right w:w="108" w:type="dxa"/>
                </w:tblCellMar>
              </w:tblPrEx>
              <w:trPr>
                <w:trHeight w:val="179" w:hRule="atLeast"/>
              </w:trPr>
              <w:tc>
                <w:tcPr>
                  <w:tcW w:w="1019" w:type="dxa"/>
                  <w:vMerge w:val="continue"/>
                  <w:tcBorders>
                    <w:left w:val="single" w:color="auto" w:sz="4" w:space="0"/>
                    <w:right w:val="single" w:color="auto" w:sz="4" w:space="0"/>
                  </w:tcBorders>
                  <w:vAlign w:val="center"/>
                </w:tcPr>
                <w:p>
                  <w:pPr>
                    <w:widowControl/>
                    <w:rPr>
                      <w:rFonts w:ascii="宋体" w:hAnsi="宋体" w:cs="宋体"/>
                      <w:color w:val="000000"/>
                      <w:kern w:val="0"/>
                      <w:szCs w:val="21"/>
                    </w:rPr>
                  </w:pPr>
                </w:p>
              </w:tc>
              <w:tc>
                <w:tcPr>
                  <w:tcW w:w="1499"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进程风险</w:t>
                  </w: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szCs w:val="21"/>
                    </w:rPr>
                    <w:t>▲</w:t>
                  </w:r>
                  <w:r>
                    <w:rPr>
                      <w:rFonts w:hint="eastAsia" w:ascii="宋体" w:hAnsi="宋体" w:cs="宋体"/>
                      <w:color w:val="000000"/>
                      <w:kern w:val="0"/>
                      <w:szCs w:val="21"/>
                    </w:rPr>
                    <w:t>针对服务器进程报警可以展示可疑进程的对外连接网络、文件、关联IP、关联进程。（投标时提供截图并加盖原厂公章）</w:t>
                  </w:r>
                </w:p>
              </w:tc>
            </w:tr>
            <w:tr>
              <w:tblPrEx>
                <w:tblCellMar>
                  <w:top w:w="0" w:type="dxa"/>
                  <w:left w:w="108" w:type="dxa"/>
                  <w:bottom w:w="0" w:type="dxa"/>
                  <w:right w:w="108" w:type="dxa"/>
                </w:tblCellMar>
              </w:tblPrEx>
              <w:trPr>
                <w:trHeight w:val="70" w:hRule="atLeast"/>
              </w:trPr>
              <w:tc>
                <w:tcPr>
                  <w:tcW w:w="1019" w:type="dxa"/>
                  <w:vMerge w:val="continue"/>
                  <w:tcBorders>
                    <w:left w:val="single" w:color="auto" w:sz="4" w:space="0"/>
                    <w:right w:val="single" w:color="auto" w:sz="4" w:space="0"/>
                  </w:tcBorders>
                  <w:vAlign w:val="center"/>
                </w:tcPr>
                <w:p>
                  <w:pPr>
                    <w:widowControl/>
                    <w:rPr>
                      <w:rFonts w:ascii="宋体" w:hAnsi="宋体" w:cs="宋体"/>
                      <w:color w:val="000000"/>
                      <w:kern w:val="0"/>
                      <w:szCs w:val="21"/>
                    </w:rPr>
                  </w:pPr>
                </w:p>
              </w:tc>
              <w:tc>
                <w:tcPr>
                  <w:tcW w:w="1499"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预警通知</w:t>
                  </w: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在发现攻击行为后，实时短信、邮件、微信等方式通知安全管理员</w:t>
                  </w:r>
                </w:p>
              </w:tc>
            </w:tr>
            <w:tr>
              <w:tblPrEx>
                <w:tblCellMar>
                  <w:top w:w="0" w:type="dxa"/>
                  <w:left w:w="108" w:type="dxa"/>
                  <w:bottom w:w="0" w:type="dxa"/>
                  <w:right w:w="108" w:type="dxa"/>
                </w:tblCellMar>
              </w:tblPrEx>
              <w:trPr>
                <w:trHeight w:val="317" w:hRule="atLeast"/>
              </w:trPr>
              <w:tc>
                <w:tcPr>
                  <w:tcW w:w="1019" w:type="dxa"/>
                  <w:vMerge w:val="continue"/>
                  <w:tcBorders>
                    <w:left w:val="single" w:color="auto" w:sz="4" w:space="0"/>
                    <w:right w:val="single" w:color="auto" w:sz="4" w:space="0"/>
                  </w:tcBorders>
                  <w:vAlign w:val="center"/>
                </w:tcPr>
                <w:p>
                  <w:pPr>
                    <w:widowControl/>
                    <w:rPr>
                      <w:rFonts w:ascii="宋体" w:hAnsi="宋体" w:cs="宋体"/>
                      <w:color w:val="000000"/>
                      <w:kern w:val="0"/>
                      <w:szCs w:val="21"/>
                    </w:rPr>
                  </w:pPr>
                </w:p>
              </w:tc>
              <w:tc>
                <w:tcPr>
                  <w:tcW w:w="1499"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可视化工具</w:t>
                  </w: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支持导航式溯源调查工具，多维度可视化调查方式，关联全网端点</w:t>
                  </w:r>
                </w:p>
              </w:tc>
            </w:tr>
            <w:tr>
              <w:tblPrEx>
                <w:tblCellMar>
                  <w:top w:w="0" w:type="dxa"/>
                  <w:left w:w="108" w:type="dxa"/>
                  <w:bottom w:w="0" w:type="dxa"/>
                  <w:right w:w="108" w:type="dxa"/>
                </w:tblCellMar>
              </w:tblPrEx>
              <w:trPr>
                <w:trHeight w:val="690" w:hRule="atLeast"/>
              </w:trPr>
              <w:tc>
                <w:tcPr>
                  <w:tcW w:w="1019" w:type="dxa"/>
                  <w:vMerge w:val="continue"/>
                  <w:tcBorders>
                    <w:left w:val="single" w:color="auto" w:sz="4" w:space="0"/>
                    <w:right w:val="single" w:color="auto" w:sz="4" w:space="0"/>
                  </w:tcBorders>
                  <w:vAlign w:val="center"/>
                </w:tcPr>
                <w:p>
                  <w:pPr>
                    <w:widowControl/>
                    <w:rPr>
                      <w:rFonts w:ascii="宋体" w:hAnsi="宋体" w:cs="宋体"/>
                      <w:color w:val="000000"/>
                      <w:kern w:val="0"/>
                      <w:szCs w:val="21"/>
                    </w:rPr>
                  </w:pPr>
                </w:p>
              </w:tc>
              <w:tc>
                <w:tcPr>
                  <w:tcW w:w="1499"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安全事件调查</w:t>
                  </w: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用户可自定义查询策略，基于时间，关键字，类型等组合查询，提供原始日志数据进行安全事件调查</w:t>
                  </w:r>
                </w:p>
              </w:tc>
            </w:tr>
            <w:tr>
              <w:tblPrEx>
                <w:tblCellMar>
                  <w:top w:w="0" w:type="dxa"/>
                  <w:left w:w="108" w:type="dxa"/>
                  <w:bottom w:w="0" w:type="dxa"/>
                  <w:right w:w="108" w:type="dxa"/>
                </w:tblCellMar>
              </w:tblPrEx>
              <w:trPr>
                <w:trHeight w:val="70" w:hRule="atLeast"/>
              </w:trPr>
              <w:tc>
                <w:tcPr>
                  <w:tcW w:w="101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产品</w:t>
                  </w:r>
                  <w:r>
                    <w:rPr>
                      <w:rFonts w:ascii="宋体" w:hAnsi="宋体" w:cs="宋体"/>
                      <w:color w:val="000000"/>
                      <w:kern w:val="0"/>
                      <w:szCs w:val="21"/>
                    </w:rPr>
                    <w:t>资质</w:t>
                  </w:r>
                </w:p>
              </w:tc>
              <w:tc>
                <w:tcPr>
                  <w:tcW w:w="664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szCs w:val="21"/>
                    </w:rPr>
                    <w:t>▲</w:t>
                  </w:r>
                  <w:r>
                    <w:rPr>
                      <w:rFonts w:hint="eastAsia" w:ascii="宋体" w:hAnsi="宋体" w:cs="宋体"/>
                      <w:color w:val="000000"/>
                      <w:kern w:val="0"/>
                      <w:szCs w:val="21"/>
                    </w:rPr>
                    <w:t>具</w:t>
                  </w:r>
                  <w:r>
                    <w:rPr>
                      <w:rFonts w:ascii="宋体" w:hAnsi="宋体" w:cs="宋体"/>
                      <w:color w:val="000000"/>
                      <w:kern w:val="0"/>
                      <w:szCs w:val="21"/>
                    </w:rPr>
                    <w:t>有公安部颁发的</w:t>
                  </w:r>
                  <w:r>
                    <w:rPr>
                      <w:rFonts w:hint="eastAsia" w:ascii="宋体" w:hAnsi="宋体"/>
                      <w:color w:val="000000"/>
                      <w:szCs w:val="21"/>
                    </w:rPr>
                    <w:t>计算机信息系统安全专用产品销售许可证</w:t>
                  </w:r>
                </w:p>
              </w:tc>
            </w:tr>
          </w:tbl>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857"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安防接入</w:t>
            </w:r>
          </w:p>
          <w:p>
            <w:pPr>
              <w:widowControl/>
              <w:jc w:val="left"/>
              <w:rPr>
                <w:rFonts w:ascii="宋体" w:hAnsi="宋体" w:cs="宋体"/>
                <w:color w:val="000000"/>
                <w:kern w:val="0"/>
                <w:sz w:val="22"/>
              </w:rPr>
            </w:pPr>
            <w:r>
              <w:rPr>
                <w:rFonts w:hint="eastAsia" w:ascii="宋体" w:hAnsi="宋体" w:cs="宋体"/>
                <w:color w:val="000000"/>
                <w:kern w:val="0"/>
                <w:sz w:val="22"/>
              </w:rPr>
              <w:t>防火墙</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★防火墙吞吐≥32Gbps，最大并发≥800万；</w:t>
            </w:r>
          </w:p>
          <w:p>
            <w:pPr>
              <w:widowControl/>
              <w:jc w:val="left"/>
              <w:rPr>
                <w:rFonts w:ascii="宋体" w:hAnsi="宋体" w:cs="宋体"/>
                <w:color w:val="000000"/>
                <w:kern w:val="0"/>
                <w:sz w:val="22"/>
              </w:rPr>
            </w:pPr>
            <w:r>
              <w:rPr>
                <w:rFonts w:hint="eastAsia" w:ascii="宋体" w:hAnsi="宋体" w:cs="宋体"/>
                <w:color w:val="000000"/>
                <w:kern w:val="0"/>
                <w:sz w:val="22"/>
              </w:rPr>
              <w:t>为使保证安全产品做到安全自主可控，要求为国产品牌。为保证系统软件设计全面性、保密性、完整性，要求招标产品系统遵从行业标准和政府法规，产品符合 CNITSEC-SP-01 测评准则，提供第三方权威证明材料；</w:t>
            </w:r>
          </w:p>
          <w:p>
            <w:pPr>
              <w:widowControl/>
              <w:jc w:val="left"/>
              <w:rPr>
                <w:rFonts w:ascii="宋体" w:hAnsi="宋体" w:cs="宋体"/>
                <w:color w:val="000000"/>
                <w:kern w:val="0"/>
                <w:sz w:val="22"/>
              </w:rPr>
            </w:pPr>
            <w:r>
              <w:rPr>
                <w:rFonts w:hint="eastAsia" w:ascii="宋体" w:hAnsi="宋体" w:cs="宋体"/>
                <w:color w:val="000000"/>
                <w:kern w:val="0"/>
                <w:sz w:val="22"/>
              </w:rPr>
              <w:t>产品由专用的硬件平台、安全操作系统及功能软件构成。设备采用自主知识产权的专用安全操作系统，（提供相应资质证明）；</w:t>
            </w:r>
          </w:p>
          <w:p>
            <w:pPr>
              <w:widowControl/>
              <w:jc w:val="left"/>
              <w:rPr>
                <w:rFonts w:ascii="宋体" w:hAnsi="宋体" w:cs="宋体"/>
                <w:color w:val="000000"/>
                <w:kern w:val="0"/>
                <w:sz w:val="22"/>
              </w:rPr>
            </w:pPr>
            <w:r>
              <w:rPr>
                <w:rFonts w:hint="eastAsia" w:ascii="宋体" w:hAnsi="宋体" w:cs="宋体"/>
                <w:color w:val="000000"/>
                <w:kern w:val="0"/>
                <w:sz w:val="22"/>
              </w:rPr>
              <w:t>采用多核多平台并行处理特性；（提供相应资质证明），为保证产品功能健壮性，要求具备产品成熟度CMMI5认证；</w:t>
            </w:r>
          </w:p>
          <w:p>
            <w:pPr>
              <w:widowControl/>
              <w:jc w:val="left"/>
              <w:rPr>
                <w:rFonts w:ascii="宋体" w:hAnsi="宋体" w:cs="宋体"/>
                <w:color w:val="000000"/>
                <w:kern w:val="0"/>
                <w:sz w:val="22"/>
              </w:rPr>
            </w:pPr>
            <w:r>
              <w:rPr>
                <w:rFonts w:hint="eastAsia" w:ascii="宋体" w:hAnsi="宋体" w:cs="宋体"/>
                <w:color w:val="000000"/>
                <w:kern w:val="0"/>
                <w:sz w:val="22"/>
              </w:rPr>
              <w:t>安全操作系统采用冗余设计，出于安全性考虑，多系统需在设备启动过程中进行选择不得在WEB维护界面中设置系统切换选项；</w:t>
            </w:r>
          </w:p>
          <w:p>
            <w:pPr>
              <w:widowControl/>
              <w:jc w:val="left"/>
              <w:rPr>
                <w:rFonts w:ascii="宋体" w:hAnsi="宋体" w:cs="宋体"/>
                <w:color w:val="000000"/>
                <w:kern w:val="0"/>
                <w:sz w:val="22"/>
              </w:rPr>
            </w:pPr>
            <w:r>
              <w:rPr>
                <w:rFonts w:hint="eastAsia" w:ascii="宋体" w:hAnsi="宋体" w:cs="宋体"/>
                <w:color w:val="000000"/>
                <w:kern w:val="0"/>
                <w:sz w:val="22"/>
              </w:rPr>
              <w:t>★为保障系统运行的可靠性与稳定性，要求信息安全设备、系统软件的开发、生产符合TL9000-HSV R5.0/5.0标准，提供相关证明；</w:t>
            </w:r>
          </w:p>
          <w:p>
            <w:pPr>
              <w:widowControl/>
              <w:jc w:val="left"/>
              <w:rPr>
                <w:rFonts w:ascii="宋体" w:hAnsi="宋体" w:cs="宋体"/>
                <w:color w:val="000000"/>
                <w:kern w:val="0"/>
                <w:sz w:val="22"/>
              </w:rPr>
            </w:pPr>
            <w:r>
              <w:rPr>
                <w:rFonts w:hint="eastAsia" w:ascii="宋体" w:hAnsi="宋体" w:cs="宋体"/>
                <w:color w:val="000000"/>
                <w:kern w:val="0"/>
                <w:sz w:val="22"/>
              </w:rPr>
              <w:t>2U标准机架式，为了便于维护，所有扩展卡插槽均要求位于设备前面板，并且在维护现场即可进行扩展（无需返厂）；</w:t>
            </w:r>
          </w:p>
          <w:p>
            <w:pPr>
              <w:widowControl/>
              <w:jc w:val="left"/>
              <w:rPr>
                <w:rFonts w:ascii="宋体" w:hAnsi="宋体" w:cs="宋体"/>
                <w:color w:val="000000"/>
                <w:kern w:val="0"/>
                <w:sz w:val="22"/>
              </w:rPr>
            </w:pPr>
            <w:r>
              <w:rPr>
                <w:rFonts w:hint="eastAsia" w:ascii="宋体" w:hAnsi="宋体" w:cs="宋体"/>
                <w:color w:val="000000"/>
                <w:kern w:val="0"/>
                <w:sz w:val="22"/>
              </w:rPr>
              <w:t>最大配置为34个接口， 本次配置至少6个10/100/1000BASE-T接口、4个千兆光口，2个SFP+插槽，仍可提供不少于2个可插拨的扩展槽。配置模块化双冗余电源；</w:t>
            </w:r>
          </w:p>
          <w:p>
            <w:pPr>
              <w:widowControl/>
              <w:jc w:val="left"/>
              <w:rPr>
                <w:rFonts w:ascii="宋体" w:hAnsi="宋体" w:cs="宋体"/>
                <w:color w:val="000000"/>
                <w:kern w:val="0"/>
                <w:sz w:val="22"/>
              </w:rPr>
            </w:pPr>
            <w:r>
              <w:rPr>
                <w:rFonts w:hint="eastAsia" w:ascii="宋体" w:hAnsi="宋体" w:cs="宋体"/>
                <w:color w:val="000000"/>
                <w:kern w:val="0"/>
                <w:sz w:val="22"/>
              </w:rPr>
              <w:t>支持路由、交换、混合、虚拟线（提供虚拟线功能截图）工作模式；</w:t>
            </w:r>
          </w:p>
          <w:p>
            <w:pPr>
              <w:widowControl/>
              <w:jc w:val="left"/>
              <w:rPr>
                <w:rFonts w:ascii="宋体" w:hAnsi="宋体" w:cs="宋体"/>
                <w:color w:val="000000"/>
                <w:kern w:val="0"/>
                <w:sz w:val="22"/>
              </w:rPr>
            </w:pPr>
            <w:r>
              <w:rPr>
                <w:rFonts w:hint="eastAsia" w:ascii="宋体" w:hAnsi="宋体" w:cs="宋体"/>
                <w:color w:val="000000"/>
                <w:kern w:val="0"/>
                <w:sz w:val="22"/>
              </w:rPr>
              <w:t>防火墙在链路高数据量情况下，可以实现防火墙网络地址转换动态负载均衡（提供第三方证明文件）</w:t>
            </w:r>
          </w:p>
          <w:p>
            <w:pPr>
              <w:widowControl/>
              <w:jc w:val="left"/>
              <w:rPr>
                <w:rFonts w:ascii="宋体" w:hAnsi="宋体" w:cs="宋体"/>
                <w:color w:val="000000"/>
                <w:kern w:val="0"/>
                <w:sz w:val="22"/>
              </w:rPr>
            </w:pPr>
            <w:r>
              <w:rPr>
                <w:rFonts w:hint="eastAsia" w:ascii="宋体" w:hAnsi="宋体" w:cs="宋体"/>
                <w:color w:val="000000"/>
                <w:kern w:val="0"/>
                <w:sz w:val="22"/>
              </w:rPr>
              <w:t>支持静态路由、ISP路由及动态路由协议，支持802.1q、QinQ模式；</w:t>
            </w:r>
          </w:p>
          <w:p>
            <w:pPr>
              <w:widowControl/>
              <w:jc w:val="left"/>
              <w:rPr>
                <w:rFonts w:ascii="宋体" w:hAnsi="宋体" w:cs="宋体"/>
                <w:color w:val="000000"/>
                <w:kern w:val="0"/>
                <w:sz w:val="22"/>
              </w:rPr>
            </w:pPr>
            <w:r>
              <w:rPr>
                <w:rFonts w:hint="eastAsia" w:ascii="宋体" w:hAnsi="宋体" w:cs="宋体"/>
                <w:color w:val="000000"/>
                <w:kern w:val="0"/>
                <w:sz w:val="22"/>
              </w:rPr>
              <w:t>支持基于源/目的地址、源/目的端口、用户、应用的策略路由，保证关键业务流量通过优质链路转发；</w:t>
            </w:r>
          </w:p>
          <w:p>
            <w:pPr>
              <w:widowControl/>
              <w:jc w:val="left"/>
              <w:rPr>
                <w:rFonts w:ascii="宋体" w:hAnsi="宋体" w:cs="宋体"/>
                <w:color w:val="000000"/>
                <w:kern w:val="0"/>
                <w:sz w:val="22"/>
              </w:rPr>
            </w:pPr>
            <w:r>
              <w:rPr>
                <w:rFonts w:hint="eastAsia" w:ascii="宋体" w:hAnsi="宋体" w:cs="宋体"/>
                <w:color w:val="000000"/>
                <w:kern w:val="0"/>
                <w:sz w:val="22"/>
              </w:rPr>
              <w:t>支持手动和LACP链路聚合，可根据源/目的mac、源/目的IP、源/目的端口、五元组、端口轮询等条件提供不少于10种链路负载算法；</w:t>
            </w:r>
          </w:p>
          <w:p>
            <w:pPr>
              <w:widowControl/>
              <w:jc w:val="left"/>
              <w:rPr>
                <w:rFonts w:ascii="宋体" w:hAnsi="宋体" w:cs="宋体"/>
                <w:color w:val="000000"/>
                <w:kern w:val="0"/>
                <w:sz w:val="22"/>
              </w:rPr>
            </w:pPr>
            <w:r>
              <w:rPr>
                <w:rFonts w:hint="eastAsia" w:ascii="宋体" w:hAnsi="宋体" w:cs="宋体"/>
                <w:color w:val="000000"/>
                <w:kern w:val="0"/>
                <w:sz w:val="22"/>
              </w:rPr>
              <w:t>支持一对一SNAT、多对一SNAT、一对一DNAT、双向NAT、NoNAT等多种转换方式；支持Sticky NAT开关，使相同源IP的数据包经过地址转换后为其转换的源 IP 地址相同；</w:t>
            </w:r>
          </w:p>
          <w:p>
            <w:pPr>
              <w:widowControl/>
              <w:jc w:val="left"/>
              <w:rPr>
                <w:rFonts w:ascii="宋体" w:hAnsi="宋体" w:cs="宋体"/>
                <w:color w:val="000000"/>
                <w:kern w:val="0"/>
                <w:sz w:val="22"/>
              </w:rPr>
            </w:pPr>
            <w:r>
              <w:rPr>
                <w:rFonts w:hint="eastAsia" w:ascii="宋体" w:hAnsi="宋体" w:cs="宋体"/>
                <w:color w:val="000000"/>
                <w:kern w:val="0"/>
                <w:sz w:val="22"/>
              </w:rPr>
              <w:t>支持MAP66功能，将从内部发往Internet的数据包的源IPv6地址修改为全球单播源IPv6地址，实现IPv6网络间的地址转换；</w:t>
            </w:r>
          </w:p>
          <w:p>
            <w:pPr>
              <w:widowControl/>
              <w:jc w:val="left"/>
              <w:rPr>
                <w:rFonts w:ascii="宋体" w:hAnsi="宋体" w:cs="宋体"/>
                <w:color w:val="000000"/>
                <w:kern w:val="0"/>
                <w:sz w:val="22"/>
              </w:rPr>
            </w:pPr>
            <w:r>
              <w:rPr>
                <w:rFonts w:hint="eastAsia" w:ascii="宋体" w:hAnsi="宋体" w:cs="宋体"/>
                <w:color w:val="000000"/>
                <w:kern w:val="0"/>
                <w:sz w:val="22"/>
              </w:rPr>
              <w:t>支持智能DNS及DNS Docting功能，能够将来自内部网络的域名解析请求定向到真实内网资源，提高访问效率，同时支持通过配置多条 DNS Doctoring，实现内网资源服务器的负载均衡</w:t>
            </w:r>
          </w:p>
          <w:p>
            <w:pPr>
              <w:widowControl/>
              <w:jc w:val="left"/>
              <w:rPr>
                <w:rFonts w:ascii="宋体" w:hAnsi="宋体" w:cs="宋体"/>
                <w:color w:val="000000"/>
                <w:kern w:val="0"/>
                <w:sz w:val="22"/>
              </w:rPr>
            </w:pPr>
            <w:r>
              <w:rPr>
                <w:rFonts w:hint="eastAsia" w:ascii="宋体" w:hAnsi="宋体" w:cs="宋体"/>
                <w:color w:val="000000"/>
                <w:kern w:val="0"/>
                <w:sz w:val="22"/>
              </w:rPr>
              <w:t>支持一体化安全策略配置，可以通过一条策略实现五元组信息源MAC、域名、地理区域、应用、服务、时间、长连接、并发会话、WEB认证、IPS、AV、URL过滤、WAF、邮件安全、数据过滤、文件过滤、审计、防代理、APT等功能配置,简化用户管理；（提供截图）</w:t>
            </w:r>
          </w:p>
          <w:p>
            <w:pPr>
              <w:widowControl/>
              <w:jc w:val="left"/>
              <w:rPr>
                <w:rFonts w:ascii="宋体" w:hAnsi="宋体" w:cs="宋体"/>
                <w:color w:val="000000"/>
                <w:kern w:val="0"/>
                <w:sz w:val="22"/>
              </w:rPr>
            </w:pPr>
            <w:r>
              <w:rPr>
                <w:rFonts w:hint="eastAsia" w:ascii="宋体" w:hAnsi="宋体" w:cs="宋体"/>
                <w:color w:val="000000"/>
                <w:kern w:val="0"/>
                <w:sz w:val="22"/>
              </w:rPr>
              <w:t>访问控制策略执行动作支持允许、禁止及认证，对符合条件的流量进行Web认证，在策略中可设置用户 Web 认证的门户地址；</w:t>
            </w:r>
          </w:p>
          <w:p>
            <w:pPr>
              <w:widowControl/>
              <w:jc w:val="left"/>
              <w:rPr>
                <w:rFonts w:ascii="宋体" w:hAnsi="宋体" w:cs="宋体"/>
                <w:color w:val="000000"/>
                <w:kern w:val="0"/>
                <w:sz w:val="22"/>
              </w:rPr>
            </w:pPr>
            <w:r>
              <w:rPr>
                <w:rFonts w:hint="eastAsia" w:ascii="宋体" w:hAnsi="宋体" w:cs="宋体"/>
                <w:color w:val="000000"/>
                <w:kern w:val="0"/>
                <w:sz w:val="22"/>
              </w:rPr>
              <w:t>提供策略查询功能，支持五元组快速查询以及针对策略名、源/目的区域、源/目的地址、服务、对象、未命中时间等条件进行细粒度查询；</w:t>
            </w:r>
          </w:p>
          <w:p>
            <w:pPr>
              <w:widowControl/>
              <w:jc w:val="left"/>
              <w:rPr>
                <w:rFonts w:ascii="宋体" w:hAnsi="宋体" w:cs="宋体"/>
                <w:color w:val="000000"/>
                <w:kern w:val="0"/>
                <w:sz w:val="22"/>
              </w:rPr>
            </w:pPr>
            <w:r>
              <w:rPr>
                <w:rFonts w:hint="eastAsia" w:ascii="宋体" w:hAnsi="宋体" w:cs="宋体"/>
                <w:color w:val="000000"/>
                <w:kern w:val="0"/>
                <w:sz w:val="22"/>
              </w:rPr>
              <w:t>提供策略分析功能，支持策略命中分析、策略冗余分析、策略冲突检查、策略包含分析，可在WEB界面显示检测结果；</w:t>
            </w:r>
          </w:p>
          <w:p>
            <w:pPr>
              <w:widowControl/>
              <w:jc w:val="left"/>
              <w:rPr>
                <w:rFonts w:ascii="宋体" w:hAnsi="宋体" w:cs="宋体"/>
                <w:color w:val="000000"/>
                <w:kern w:val="0"/>
                <w:sz w:val="22"/>
              </w:rPr>
            </w:pPr>
            <w:r>
              <w:rPr>
                <w:rFonts w:hint="eastAsia" w:ascii="宋体" w:hAnsi="宋体" w:cs="宋体"/>
                <w:color w:val="000000"/>
                <w:kern w:val="0"/>
                <w:sz w:val="22"/>
              </w:rPr>
              <w:t>支持IPv4/IPv6双栈工作模式；</w:t>
            </w:r>
          </w:p>
          <w:p>
            <w:pPr>
              <w:widowControl/>
              <w:jc w:val="left"/>
              <w:rPr>
                <w:rFonts w:ascii="宋体" w:hAnsi="宋体" w:cs="宋体"/>
                <w:color w:val="000000"/>
                <w:kern w:val="0"/>
                <w:sz w:val="22"/>
              </w:rPr>
            </w:pPr>
            <w:r>
              <w:rPr>
                <w:rFonts w:hint="eastAsia" w:ascii="宋体" w:hAnsi="宋体" w:cs="宋体"/>
                <w:color w:val="000000"/>
                <w:kern w:val="0"/>
                <w:sz w:val="22"/>
              </w:rPr>
              <w:t>支持IPv6安全控制策略设置，能针对IPv6的目的/源地址、目的/源服务端口、区域、服务、时间、扩展头属性等条件进行安全访问规则的设置；</w:t>
            </w:r>
          </w:p>
          <w:p>
            <w:pPr>
              <w:widowControl/>
              <w:jc w:val="left"/>
              <w:rPr>
                <w:rFonts w:ascii="宋体" w:hAnsi="宋体" w:cs="宋体"/>
                <w:color w:val="000000"/>
                <w:kern w:val="0"/>
                <w:sz w:val="22"/>
              </w:rPr>
            </w:pPr>
            <w:r>
              <w:rPr>
                <w:rFonts w:hint="eastAsia" w:ascii="宋体" w:hAnsi="宋体" w:cs="宋体"/>
                <w:color w:val="000000"/>
                <w:kern w:val="0"/>
                <w:sz w:val="22"/>
              </w:rPr>
              <w:t>防火墙系统支持IPV6，并且能够在IPv6网络中发现活跃IP地址，采用网络协议IP地址扫描方法，获取并记录以该IPv6地址为中心预定范围内的其他活跃的IPv6地址，并采用路由发现方法获取到达记录的IPv6地址所经过的中间设备的IPv6地址；（提供第三方证明文件）。</w:t>
            </w:r>
          </w:p>
          <w:p>
            <w:pPr>
              <w:widowControl/>
              <w:jc w:val="left"/>
              <w:rPr>
                <w:rFonts w:ascii="宋体" w:hAnsi="宋体" w:cs="宋体"/>
                <w:color w:val="000000"/>
                <w:kern w:val="0"/>
                <w:sz w:val="22"/>
              </w:rPr>
            </w:pPr>
            <w:r>
              <w:rPr>
                <w:rFonts w:hint="eastAsia" w:ascii="宋体" w:hAnsi="宋体" w:cs="宋体"/>
                <w:color w:val="000000"/>
                <w:kern w:val="0"/>
                <w:sz w:val="22"/>
              </w:rPr>
              <w:t>支持基于IPv6的应用层检测（FTP\TFTP）、病毒过滤、URL过滤、ADS、IPS检测（提供截图,所截图片需体现上述全部功能）；</w:t>
            </w:r>
          </w:p>
          <w:p>
            <w:pPr>
              <w:widowControl/>
              <w:jc w:val="left"/>
              <w:rPr>
                <w:rFonts w:ascii="宋体" w:hAnsi="宋体" w:cs="宋体"/>
                <w:color w:val="000000"/>
                <w:kern w:val="0"/>
                <w:sz w:val="22"/>
              </w:rPr>
            </w:pPr>
            <w:r>
              <w:rPr>
                <w:rFonts w:hint="eastAsia" w:ascii="宋体" w:hAnsi="宋体" w:cs="宋体"/>
                <w:color w:val="000000"/>
                <w:kern w:val="0"/>
                <w:sz w:val="22"/>
              </w:rPr>
              <w:t>支持在一台物理设备上划分出最大128个相互独立的虚拟系统，可根据连接配额及连接新建速率为每个虚拟系统分配资源；（提供截图）</w:t>
            </w:r>
          </w:p>
          <w:p>
            <w:pPr>
              <w:widowControl/>
              <w:jc w:val="left"/>
              <w:rPr>
                <w:rFonts w:ascii="宋体" w:hAnsi="宋体" w:cs="宋体"/>
                <w:color w:val="000000"/>
                <w:kern w:val="0"/>
                <w:sz w:val="22"/>
              </w:rPr>
            </w:pPr>
            <w:r>
              <w:rPr>
                <w:rFonts w:hint="eastAsia" w:ascii="宋体" w:hAnsi="宋体" w:cs="宋体"/>
                <w:color w:val="000000"/>
                <w:kern w:val="0"/>
                <w:sz w:val="22"/>
              </w:rPr>
              <w:t>支持配置文件、系统服务等系统功能虚拟化，支持路由、链路聚合等网络功能虚拟化，支持安全策略、NAT策略、带宽管理、认证策略、IPV6功能、URL过滤、异常行为分析、病毒过滤、内容过滤、审计、报表等安全功能虚拟化；（提供截图）</w:t>
            </w:r>
          </w:p>
          <w:p>
            <w:pPr>
              <w:widowControl/>
              <w:jc w:val="left"/>
              <w:rPr>
                <w:rFonts w:ascii="宋体" w:hAnsi="宋体" w:cs="宋体"/>
                <w:color w:val="000000"/>
                <w:kern w:val="0"/>
                <w:sz w:val="22"/>
              </w:rPr>
            </w:pPr>
            <w:r>
              <w:rPr>
                <w:rFonts w:hint="eastAsia" w:ascii="宋体" w:hAnsi="宋体" w:cs="宋体"/>
                <w:color w:val="000000"/>
                <w:kern w:val="0"/>
                <w:sz w:val="22"/>
              </w:rPr>
              <w:t>虚拟系统之间的用户流量相互隔离，同时可在web页面上通过配置实现虚拟系统之间也可以进行安全互访（提供截图）</w:t>
            </w:r>
          </w:p>
          <w:p>
            <w:pPr>
              <w:widowControl/>
              <w:jc w:val="left"/>
              <w:rPr>
                <w:rFonts w:ascii="宋体" w:hAnsi="宋体" w:cs="宋体"/>
                <w:color w:val="000000"/>
                <w:kern w:val="0"/>
                <w:sz w:val="22"/>
              </w:rPr>
            </w:pPr>
            <w:r>
              <w:rPr>
                <w:rFonts w:hint="eastAsia" w:ascii="宋体" w:hAnsi="宋体" w:cs="宋体"/>
                <w:color w:val="000000"/>
                <w:kern w:val="0"/>
                <w:sz w:val="22"/>
              </w:rPr>
              <w:t>内置P2P应用、网页应用、加密应用、数据库应用、工控物联网协议等应用特征库；（提供截图）；</w:t>
            </w:r>
          </w:p>
          <w:p>
            <w:pPr>
              <w:widowControl/>
              <w:jc w:val="left"/>
              <w:rPr>
                <w:rFonts w:ascii="宋体" w:hAnsi="宋体" w:cs="宋体"/>
                <w:color w:val="000000"/>
                <w:kern w:val="0"/>
                <w:sz w:val="22"/>
              </w:rPr>
            </w:pPr>
            <w:r>
              <w:rPr>
                <w:rFonts w:hint="eastAsia" w:ascii="宋体" w:hAnsi="宋体" w:cs="宋体"/>
                <w:color w:val="000000"/>
                <w:kern w:val="0"/>
                <w:sz w:val="22"/>
              </w:rPr>
              <w:t>同时能够识别P2P流量和加密流量，对于SSL/TLS加密流量，以及私有协议强加密流量，如https流量、BT加密流量、迅雷加密流量、网络视频加密流量或Skype加密流量均能实现完全识别，提供第三方证明文件</w:t>
            </w:r>
          </w:p>
          <w:p>
            <w:pPr>
              <w:widowControl/>
              <w:jc w:val="left"/>
              <w:rPr>
                <w:rFonts w:ascii="宋体" w:hAnsi="宋体" w:cs="宋体"/>
                <w:color w:val="000000"/>
                <w:kern w:val="0"/>
                <w:sz w:val="22"/>
              </w:rPr>
            </w:pPr>
            <w:r>
              <w:rPr>
                <w:rFonts w:hint="eastAsia" w:ascii="宋体" w:hAnsi="宋体" w:cs="宋体"/>
                <w:color w:val="000000"/>
                <w:kern w:val="0"/>
                <w:sz w:val="22"/>
              </w:rPr>
              <w:t>支持对单条访问控制策略进行最大并发连接数限制（提供截图）；</w:t>
            </w:r>
          </w:p>
          <w:p>
            <w:pPr>
              <w:widowControl/>
              <w:jc w:val="left"/>
              <w:rPr>
                <w:rFonts w:ascii="宋体" w:hAnsi="宋体" w:cs="宋体"/>
                <w:color w:val="000000"/>
                <w:kern w:val="0"/>
                <w:sz w:val="22"/>
              </w:rPr>
            </w:pPr>
            <w:r>
              <w:rPr>
                <w:rFonts w:hint="eastAsia" w:ascii="宋体" w:hAnsi="宋体" w:cs="宋体"/>
                <w:color w:val="000000"/>
                <w:kern w:val="0"/>
                <w:sz w:val="22"/>
              </w:rPr>
              <w:t>为保护内部网络资源以及合理分配设备系统资源，需支持对指定的源/目的IP地址、MAC地址、应用制定相应的连接限制策略，策略包含三种限制类型：单个IP每秒新建连接限制、单个IP连接数限制及连接总数限制；（提供截图）</w:t>
            </w:r>
          </w:p>
          <w:p>
            <w:pPr>
              <w:widowControl/>
              <w:jc w:val="left"/>
              <w:rPr>
                <w:rFonts w:ascii="宋体" w:hAnsi="宋体" w:cs="宋体"/>
                <w:color w:val="000000"/>
                <w:kern w:val="0"/>
                <w:sz w:val="22"/>
              </w:rPr>
            </w:pPr>
            <w:r>
              <w:rPr>
                <w:rFonts w:hint="eastAsia" w:ascii="宋体" w:hAnsi="宋体" w:cs="宋体"/>
                <w:color w:val="000000"/>
                <w:kern w:val="0"/>
                <w:sz w:val="22"/>
              </w:rPr>
              <w:t>支持APT防御扩展，不依赖于攻击、恶意代码等特征库进行检测，通过沙箱技术对于未知漏洞攻击（0day/1day漏洞）、木马、病毒具有检测能力；可根据用户环境，将APT工作模式设置为深度模式或者智能模式（提供截图）；</w:t>
            </w:r>
          </w:p>
          <w:p>
            <w:pPr>
              <w:widowControl/>
              <w:jc w:val="left"/>
              <w:rPr>
                <w:rFonts w:ascii="宋体" w:hAnsi="宋体" w:cs="宋体"/>
                <w:color w:val="000000"/>
                <w:kern w:val="0"/>
                <w:sz w:val="22"/>
              </w:rPr>
            </w:pPr>
            <w:r>
              <w:rPr>
                <w:rFonts w:hint="eastAsia" w:ascii="宋体" w:hAnsi="宋体" w:cs="宋体"/>
                <w:color w:val="000000"/>
                <w:kern w:val="0"/>
                <w:sz w:val="22"/>
              </w:rPr>
              <w:t>支持异常行为检测，内置统计智能学习算法，对特定地址对象建立监控策略，基于新建、并发、流量等数据与上一周期记录值进行比较判定是否异常，如果存在异常则报警；</w:t>
            </w:r>
          </w:p>
          <w:p>
            <w:pPr>
              <w:widowControl/>
              <w:jc w:val="left"/>
              <w:rPr>
                <w:rFonts w:ascii="宋体" w:hAnsi="宋体" w:cs="宋体"/>
                <w:color w:val="000000"/>
                <w:kern w:val="0"/>
                <w:sz w:val="22"/>
              </w:rPr>
            </w:pPr>
            <w:r>
              <w:rPr>
                <w:rFonts w:hint="eastAsia" w:ascii="宋体" w:hAnsi="宋体" w:cs="宋体"/>
                <w:color w:val="000000"/>
                <w:kern w:val="0"/>
                <w:sz w:val="22"/>
              </w:rPr>
              <w:t>内置流量检测清洗引擎，支持基于IP、ICMP、TCP、UDP、DNS、HTTP、NTP等众多协议类型的防护策略；提供丰富的策略模板，且支持策略模板自定义；（提供截图）</w:t>
            </w:r>
          </w:p>
          <w:p>
            <w:pPr>
              <w:widowControl/>
              <w:jc w:val="left"/>
              <w:rPr>
                <w:rFonts w:ascii="宋体" w:hAnsi="宋体" w:cs="宋体"/>
                <w:color w:val="000000"/>
                <w:kern w:val="0"/>
                <w:sz w:val="22"/>
              </w:rPr>
            </w:pPr>
            <w:r>
              <w:rPr>
                <w:rFonts w:hint="eastAsia" w:ascii="宋体" w:hAnsi="宋体" w:cs="宋体"/>
                <w:color w:val="000000"/>
                <w:kern w:val="0"/>
                <w:sz w:val="22"/>
              </w:rPr>
              <w:t>支持基于HTTP协议的检测清洗，包括但不限于：HTTP Flood、HTTP新建连接Flood、HTTP并发连接Flood、HTTP URI CC等攻击检测，同时支持对HTTP slow-header和HTTP slow-post设置最大传输时间以及异常会话数阈值，有效防御慢速攻击；（提供截图）</w:t>
            </w:r>
          </w:p>
          <w:p>
            <w:pPr>
              <w:widowControl/>
              <w:jc w:val="left"/>
              <w:rPr>
                <w:rFonts w:ascii="宋体" w:hAnsi="宋体" w:cs="宋体"/>
                <w:color w:val="000000"/>
                <w:kern w:val="0"/>
                <w:sz w:val="22"/>
              </w:rPr>
            </w:pPr>
            <w:r>
              <w:rPr>
                <w:rFonts w:hint="eastAsia" w:ascii="宋体" w:hAnsi="宋体" w:cs="宋体"/>
                <w:color w:val="000000"/>
                <w:kern w:val="0"/>
                <w:sz w:val="22"/>
              </w:rPr>
              <w:t>支持基于NTP协议的检测清洗，包括NTP REQUEST FLOOD、NTP REPLY FLOOD等攻击检测，支持基于NTP请求限速、NTP响应限速、源认证、会话认证的防御策略；（提供截图）</w:t>
            </w:r>
          </w:p>
          <w:p>
            <w:pPr>
              <w:widowControl/>
              <w:jc w:val="left"/>
              <w:rPr>
                <w:rFonts w:ascii="宋体" w:hAnsi="宋体" w:cs="宋体"/>
                <w:color w:val="000000"/>
                <w:kern w:val="0"/>
                <w:sz w:val="22"/>
              </w:rPr>
            </w:pPr>
            <w:r>
              <w:rPr>
                <w:rFonts w:hint="eastAsia" w:ascii="宋体" w:hAnsi="宋体" w:cs="宋体"/>
                <w:color w:val="000000"/>
                <w:kern w:val="0"/>
                <w:sz w:val="22"/>
              </w:rPr>
              <w:t>支持基于IP协议的检测清洗，包括但不限于：IP Flood、IP Frag Flood、端口扫描、IP 地址扫描；（提供截图）</w:t>
            </w:r>
          </w:p>
          <w:p>
            <w:pPr>
              <w:widowControl/>
              <w:jc w:val="left"/>
              <w:rPr>
                <w:rFonts w:ascii="宋体" w:hAnsi="宋体" w:cs="宋体"/>
                <w:color w:val="000000"/>
                <w:kern w:val="0"/>
                <w:sz w:val="22"/>
              </w:rPr>
            </w:pPr>
            <w:r>
              <w:rPr>
                <w:rFonts w:hint="eastAsia" w:ascii="宋体" w:hAnsi="宋体" w:cs="宋体"/>
                <w:color w:val="000000"/>
                <w:kern w:val="0"/>
                <w:sz w:val="22"/>
              </w:rPr>
              <w:t>支持基于TCP协议的检测清洗，支持SYN源认证技术，认证模式可设置为基本模式或者高级模式，以防止虚假源攻击；</w:t>
            </w:r>
          </w:p>
          <w:p>
            <w:pPr>
              <w:widowControl/>
              <w:jc w:val="left"/>
              <w:rPr>
                <w:rFonts w:ascii="宋体" w:hAnsi="宋体" w:cs="宋体"/>
                <w:color w:val="000000"/>
                <w:kern w:val="0"/>
                <w:sz w:val="22"/>
              </w:rPr>
            </w:pPr>
            <w:r>
              <w:rPr>
                <w:rFonts w:hint="eastAsia" w:ascii="宋体" w:hAnsi="宋体" w:cs="宋体"/>
                <w:color w:val="000000"/>
                <w:kern w:val="0"/>
                <w:sz w:val="22"/>
              </w:rPr>
              <w:t>内置内容过滤功能，支持基于http、ftp、telnet、smtp、pop3等协议的内容过滤策略，可对FTP上传/下载的文件名进行过滤，同时支持过滤FTP信令：上传文件、下载文件、删除文件、重命名文件、创建目录、删除目录、列出目录等，邮件过滤支持对发件人、收件人、主题、内容、附件等进行过滤（提供截图）；防火墙内置内容加速系统，系统利用内容加速卡实现内容检测（提供第三方证明文件加盖原厂公章）；</w:t>
            </w:r>
          </w:p>
          <w:p>
            <w:pPr>
              <w:widowControl/>
              <w:jc w:val="left"/>
              <w:rPr>
                <w:rFonts w:ascii="宋体" w:hAnsi="宋体" w:cs="宋体"/>
                <w:color w:val="000000"/>
                <w:kern w:val="0"/>
                <w:sz w:val="22"/>
              </w:rPr>
            </w:pPr>
            <w:r>
              <w:rPr>
                <w:rFonts w:hint="eastAsia" w:ascii="宋体" w:hAnsi="宋体" w:cs="宋体"/>
                <w:color w:val="000000"/>
                <w:kern w:val="0"/>
                <w:sz w:val="22"/>
              </w:rPr>
              <w:t>支持独立配置审计策略，同时也可将指定的 IP 地址、 URL、 应用加入白名单，不进行数据审计；</w:t>
            </w:r>
          </w:p>
          <w:p>
            <w:pPr>
              <w:widowControl/>
              <w:jc w:val="left"/>
              <w:rPr>
                <w:rFonts w:ascii="宋体" w:hAnsi="宋体" w:cs="宋体"/>
                <w:color w:val="000000"/>
                <w:kern w:val="0"/>
                <w:sz w:val="22"/>
              </w:rPr>
            </w:pPr>
            <w:r>
              <w:rPr>
                <w:rFonts w:hint="eastAsia" w:ascii="宋体" w:hAnsi="宋体" w:cs="宋体"/>
                <w:color w:val="000000"/>
                <w:kern w:val="0"/>
                <w:sz w:val="22"/>
              </w:rPr>
              <w:t>支持网站访问审计：审计指定类别的URL 地址、审计命中指定关键字的网页标题和网页内容；</w:t>
            </w:r>
          </w:p>
          <w:p>
            <w:pPr>
              <w:widowControl/>
              <w:jc w:val="left"/>
              <w:rPr>
                <w:rFonts w:ascii="宋体" w:hAnsi="宋体" w:cs="宋体"/>
                <w:color w:val="000000"/>
                <w:kern w:val="0"/>
                <w:sz w:val="22"/>
              </w:rPr>
            </w:pPr>
            <w:r>
              <w:rPr>
                <w:rFonts w:hint="eastAsia" w:ascii="宋体" w:hAnsi="宋体" w:cs="宋体"/>
                <w:color w:val="000000"/>
                <w:kern w:val="0"/>
                <w:sz w:val="22"/>
              </w:rPr>
              <w:t>内置防代理功能，防止网络用户通过代理主机实现攻击、避免计费等行为；</w:t>
            </w:r>
          </w:p>
          <w:p>
            <w:pPr>
              <w:widowControl/>
              <w:jc w:val="left"/>
              <w:rPr>
                <w:rFonts w:ascii="宋体" w:hAnsi="宋体" w:cs="宋体"/>
                <w:color w:val="000000"/>
                <w:kern w:val="0"/>
                <w:sz w:val="22"/>
              </w:rPr>
            </w:pPr>
            <w:r>
              <w:rPr>
                <w:rFonts w:hint="eastAsia" w:ascii="宋体" w:hAnsi="宋体" w:cs="宋体"/>
                <w:color w:val="000000"/>
                <w:kern w:val="0"/>
                <w:sz w:val="22"/>
              </w:rPr>
              <w:t>内置邮件安全防护功能，可进行匿名发件人、收发件人同名、非标客户端、收/发件人频率、收/发件IP频率、邮件长度、附件名称、附件数量检测，支持黑、白名单检测；</w:t>
            </w:r>
          </w:p>
          <w:p>
            <w:pPr>
              <w:widowControl/>
              <w:jc w:val="left"/>
              <w:rPr>
                <w:rFonts w:ascii="宋体" w:hAnsi="宋体" w:cs="宋体"/>
                <w:color w:val="000000"/>
                <w:kern w:val="0"/>
                <w:sz w:val="22"/>
              </w:rPr>
            </w:pPr>
            <w:r>
              <w:rPr>
                <w:rFonts w:hint="eastAsia" w:ascii="宋体" w:hAnsi="宋体" w:cs="宋体"/>
                <w:color w:val="000000"/>
                <w:kern w:val="0"/>
                <w:sz w:val="22"/>
              </w:rPr>
              <w:t>在WEB界面提供资源监控开关，可对cpu占用率、内存占用率、磁盘占用率设置阈值；（提供截图）</w:t>
            </w:r>
          </w:p>
          <w:p>
            <w:pPr>
              <w:widowControl/>
              <w:jc w:val="left"/>
              <w:rPr>
                <w:rFonts w:ascii="宋体" w:hAnsi="宋体" w:cs="宋体"/>
                <w:color w:val="000000"/>
                <w:kern w:val="0"/>
                <w:sz w:val="22"/>
              </w:rPr>
            </w:pPr>
            <w:r>
              <w:rPr>
                <w:rFonts w:hint="eastAsia" w:ascii="宋体" w:hAnsi="宋体" w:cs="宋体"/>
                <w:color w:val="000000"/>
                <w:kern w:val="0"/>
                <w:sz w:val="22"/>
              </w:rPr>
              <w:t>支持根据应用对通过设备的数据报文流量进行统计，包括应用总流量排名和各个应用的协议名称、总流量、上行流量、下行流量、新建连接数、当前会话数以及流速；</w:t>
            </w:r>
          </w:p>
          <w:p>
            <w:pPr>
              <w:widowControl/>
              <w:jc w:val="left"/>
              <w:rPr>
                <w:rFonts w:ascii="宋体" w:hAnsi="宋体" w:cs="宋体"/>
                <w:color w:val="000000"/>
                <w:kern w:val="0"/>
                <w:sz w:val="22"/>
              </w:rPr>
            </w:pPr>
            <w:r>
              <w:rPr>
                <w:rFonts w:hint="eastAsia" w:ascii="宋体" w:hAnsi="宋体" w:cs="宋体"/>
                <w:color w:val="000000"/>
                <w:kern w:val="0"/>
                <w:sz w:val="22"/>
              </w:rPr>
              <w:t>支持根据用户/用户组对通过设备的数据报文流量进行统计，包括用户总流量排名和各个用户的用户名、认证类型、上行流量、下行流量、新建会话数、当前会话数以及流速；</w:t>
            </w:r>
          </w:p>
          <w:p>
            <w:pPr>
              <w:widowControl/>
              <w:jc w:val="left"/>
              <w:rPr>
                <w:rFonts w:ascii="宋体" w:hAnsi="宋体" w:cs="宋体"/>
                <w:color w:val="000000"/>
                <w:kern w:val="0"/>
                <w:sz w:val="22"/>
              </w:rPr>
            </w:pPr>
            <w:r>
              <w:rPr>
                <w:rFonts w:hint="eastAsia" w:ascii="宋体" w:hAnsi="宋体" w:cs="宋体"/>
                <w:color w:val="000000"/>
                <w:kern w:val="0"/>
                <w:sz w:val="22"/>
              </w:rPr>
              <w:t>支持根据按照病毒防御、入侵防御、APT防御、ADS攻击进行威胁统计，可按照威胁类型/攻击者/受害者三种方式进行威胁排名，（提供截图）</w:t>
            </w:r>
          </w:p>
          <w:p>
            <w:pPr>
              <w:widowControl/>
              <w:jc w:val="left"/>
              <w:rPr>
                <w:rFonts w:ascii="宋体" w:hAnsi="宋体" w:cs="宋体"/>
                <w:color w:val="000000"/>
                <w:kern w:val="0"/>
                <w:sz w:val="22"/>
              </w:rPr>
            </w:pPr>
            <w:r>
              <w:rPr>
                <w:rFonts w:hint="eastAsia" w:ascii="宋体" w:hAnsi="宋体" w:cs="宋体"/>
                <w:color w:val="000000"/>
                <w:kern w:val="0"/>
                <w:sz w:val="22"/>
              </w:rPr>
              <w:t>具备防火墙密码检测证书；</w:t>
            </w:r>
          </w:p>
          <w:p>
            <w:pPr>
              <w:widowControl/>
              <w:jc w:val="left"/>
              <w:rPr>
                <w:rFonts w:ascii="宋体" w:hAnsi="宋体" w:cs="宋体"/>
                <w:color w:val="000000"/>
                <w:kern w:val="0"/>
                <w:sz w:val="22"/>
              </w:rPr>
            </w:pPr>
            <w:r>
              <w:rPr>
                <w:rFonts w:hint="eastAsia" w:ascii="宋体" w:hAnsi="宋体" w:cs="宋体"/>
                <w:color w:val="000000"/>
                <w:kern w:val="0"/>
                <w:sz w:val="22"/>
              </w:rPr>
              <w:t>提供信息技术产品安全测评EAL4+证书，保障产品符合GB/T 18336信息技术安全性评估标准</w:t>
            </w:r>
          </w:p>
          <w:p>
            <w:pPr>
              <w:widowControl/>
              <w:jc w:val="left"/>
              <w:rPr>
                <w:rFonts w:ascii="宋体" w:hAnsi="宋体" w:cs="宋体"/>
                <w:color w:val="000000"/>
                <w:kern w:val="0"/>
                <w:sz w:val="22"/>
              </w:rPr>
            </w:pPr>
            <w:r>
              <w:rPr>
                <w:rFonts w:hint="eastAsia" w:ascii="宋体" w:hAnsi="宋体" w:cs="宋体"/>
                <w:color w:val="000000"/>
                <w:kern w:val="0"/>
                <w:sz w:val="22"/>
              </w:rPr>
              <w:t>具备国家信息安全漏洞库兼容性资质；</w:t>
            </w:r>
          </w:p>
          <w:p>
            <w:pPr>
              <w:widowControl/>
              <w:jc w:val="left"/>
              <w:rPr>
                <w:rFonts w:ascii="宋体" w:hAnsi="宋体" w:cs="宋体"/>
                <w:color w:val="000000"/>
                <w:kern w:val="0"/>
                <w:sz w:val="22"/>
              </w:rPr>
            </w:pPr>
            <w:r>
              <w:rPr>
                <w:rFonts w:hint="eastAsia" w:ascii="宋体" w:hAnsi="宋体" w:cs="宋体"/>
                <w:color w:val="000000"/>
                <w:kern w:val="0"/>
                <w:sz w:val="22"/>
              </w:rPr>
              <w:t>原厂商具备涉及国家秘密的计算机信息系统集成资质证书（甲级）要求可开展的业务类型必须包括系统集成、软件开发、运行维护</w:t>
            </w:r>
          </w:p>
          <w:p>
            <w:pPr>
              <w:widowControl/>
              <w:jc w:val="left"/>
              <w:rPr>
                <w:rFonts w:ascii="宋体" w:hAnsi="宋体" w:cs="宋体"/>
                <w:color w:val="000000"/>
                <w:kern w:val="0"/>
                <w:sz w:val="22"/>
              </w:rPr>
            </w:pPr>
            <w:r>
              <w:rPr>
                <w:rFonts w:hint="eastAsia" w:ascii="宋体" w:hAnsi="宋体" w:cs="宋体"/>
                <w:color w:val="000000"/>
                <w:kern w:val="0"/>
                <w:sz w:val="22"/>
              </w:rPr>
              <w:t>原厂商具备中国信息安全测评中心颁发的安全工程类三级证书</w:t>
            </w:r>
          </w:p>
          <w:p>
            <w:pPr>
              <w:widowControl/>
              <w:jc w:val="left"/>
              <w:rPr>
                <w:rFonts w:ascii="宋体" w:hAnsi="宋体" w:cs="宋体"/>
                <w:color w:val="000000"/>
                <w:kern w:val="0"/>
                <w:sz w:val="22"/>
              </w:rPr>
            </w:pPr>
            <w:r>
              <w:rPr>
                <w:rFonts w:hint="eastAsia" w:ascii="宋体" w:hAnsi="宋体" w:cs="宋体"/>
                <w:color w:val="000000"/>
                <w:kern w:val="0"/>
                <w:sz w:val="22"/>
              </w:rPr>
              <w:t>原厂商需具备信息技术服务管理体系认证ISO/IEC 20000认证</w:t>
            </w:r>
          </w:p>
          <w:p>
            <w:pPr>
              <w:widowControl/>
              <w:jc w:val="left"/>
              <w:rPr>
                <w:rFonts w:ascii="宋体" w:hAnsi="宋体" w:cs="宋体"/>
                <w:color w:val="000000"/>
                <w:kern w:val="0"/>
                <w:sz w:val="22"/>
              </w:rPr>
            </w:pPr>
            <w:r>
              <w:rPr>
                <w:rFonts w:hint="eastAsia" w:ascii="宋体" w:hAnsi="宋体" w:cs="宋体"/>
                <w:color w:val="000000"/>
                <w:kern w:val="0"/>
                <w:sz w:val="22"/>
              </w:rPr>
              <w:t>属于国家级应急服务支撑单位；</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套</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2313"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防病毒安全网关</w:t>
            </w:r>
          </w:p>
        </w:tc>
        <w:tc>
          <w:tcPr>
            <w:tcW w:w="5373" w:type="dxa"/>
            <w:gridSpan w:val="3"/>
            <w:tcBorders>
              <w:top w:val="nil"/>
              <w:left w:val="nil"/>
              <w:bottom w:val="single" w:color="auto" w:sz="4" w:space="0"/>
              <w:right w:val="single" w:color="auto" w:sz="4" w:space="0"/>
            </w:tcBorders>
            <w:shd w:val="clear" w:color="auto" w:fill="auto"/>
            <w:vAlign w:val="center"/>
          </w:tcPr>
          <w:p>
            <w:r>
              <w:rPr>
                <w:rFonts w:hint="eastAsia"/>
                <w:szCs w:val="21"/>
              </w:rPr>
              <w:t>★</w:t>
            </w:r>
            <w:r>
              <w:rPr>
                <w:rFonts w:hint="eastAsia"/>
              </w:rPr>
              <w:t>标准</w:t>
            </w:r>
            <w:r>
              <w:t>2U</w:t>
            </w:r>
            <w:r>
              <w:rPr>
                <w:rFonts w:hint="eastAsia"/>
              </w:rPr>
              <w:t>硬件，单交流电源；网络层吞吐量≥</w:t>
            </w:r>
            <w:r>
              <w:t>10G</w:t>
            </w:r>
            <w:r>
              <w:rPr>
                <w:rFonts w:hint="eastAsia"/>
              </w:rPr>
              <w:t>，并发连接≥</w:t>
            </w:r>
            <w:r>
              <w:t>260</w:t>
            </w:r>
            <w:r>
              <w:rPr>
                <w:rFonts w:hint="eastAsia"/>
              </w:rPr>
              <w:t>万，每秒新建连接数≥</w:t>
            </w:r>
            <w:r>
              <w:t>18</w:t>
            </w:r>
            <w:r>
              <w:rPr>
                <w:rFonts w:hint="eastAsia"/>
              </w:rPr>
              <w:t>万，标准配置</w:t>
            </w:r>
            <w:r>
              <w:t>6</w:t>
            </w:r>
            <w:r>
              <w:rPr>
                <w:rFonts w:hint="eastAsia"/>
              </w:rPr>
              <w:t>个</w:t>
            </w:r>
            <w:r>
              <w:t>10/100/1000M</w:t>
            </w:r>
            <w:r>
              <w:rPr>
                <w:rFonts w:hint="eastAsia"/>
              </w:rPr>
              <w:t>自适应电口，另</w:t>
            </w:r>
            <w:r>
              <w:t>4</w:t>
            </w:r>
            <w:r>
              <w:rPr>
                <w:rFonts w:hint="eastAsia"/>
              </w:rPr>
              <w:t>个</w:t>
            </w:r>
            <w:r>
              <w:t>SFP</w:t>
            </w:r>
            <w:r>
              <w:rPr>
                <w:rFonts w:hint="eastAsia"/>
              </w:rPr>
              <w:t>插槽。支持两个扩展槽，</w:t>
            </w:r>
            <w:r>
              <w:t>1</w:t>
            </w:r>
            <w:r>
              <w:rPr>
                <w:rFonts w:hint="eastAsia"/>
              </w:rPr>
              <w:t>个</w:t>
            </w:r>
            <w:r>
              <w:t>Console</w:t>
            </w:r>
            <w:r>
              <w:rPr>
                <w:rFonts w:hint="eastAsia"/>
              </w:rPr>
              <w:t>口，支持液晶屏。</w:t>
            </w:r>
            <w:r>
              <w:t>1TB</w:t>
            </w:r>
            <w:r>
              <w:rPr>
                <w:rFonts w:hint="eastAsia"/>
              </w:rPr>
              <w:t>硬盘，含三年硬件维保服务。本次配置病毒防护特征库以及三年的升级服务；</w:t>
            </w:r>
          </w:p>
          <w:p>
            <w:r>
              <w:rPr>
                <w:rFonts w:hint="eastAsia"/>
              </w:rPr>
              <w:t>系统要求为下一代防火墙产品，原厂商要求参与第二代防火墙标准</w:t>
            </w:r>
            <w:r>
              <w:t>GA/T1177-2014</w:t>
            </w:r>
            <w:r>
              <w:rPr>
                <w:rFonts w:hint="eastAsia"/>
              </w:rPr>
              <w:t>《信息安全技术</w:t>
            </w:r>
            <w:r>
              <w:t xml:space="preserve"> </w:t>
            </w:r>
            <w:r>
              <w:rPr>
                <w:rFonts w:hint="eastAsia"/>
              </w:rPr>
              <w:t>第二代防火墙安全技术要求》标准编制，</w:t>
            </w:r>
            <w:r>
              <w:t>(</w:t>
            </w:r>
            <w:r>
              <w:rPr>
                <w:rFonts w:hint="eastAsia"/>
              </w:rPr>
              <w:t>提供相关证明复印件</w:t>
            </w:r>
            <w:r>
              <w:t>);</w:t>
            </w:r>
          </w:p>
          <w:p>
            <w:r>
              <w:rPr>
                <w:rFonts w:hint="eastAsia"/>
              </w:rPr>
              <w:t>系统采用多核</w:t>
            </w:r>
            <w:r>
              <w:t>AMP+</w:t>
            </w:r>
            <w:r>
              <w:rPr>
                <w:rFonts w:hint="eastAsia"/>
              </w:rPr>
              <w:t>架构架构，硬件设计采用高性能一体化智能安全处理引擎，</w:t>
            </w:r>
            <w:r>
              <w:t>(</w:t>
            </w:r>
            <w:r>
              <w:rPr>
                <w:rFonts w:hint="eastAsia"/>
              </w:rPr>
              <w:t>提供计算机软件著作权登记证书，证书上要求有“高性能一体化智能安全处理引擎”字样</w:t>
            </w:r>
            <w:r>
              <w:t>);</w:t>
            </w:r>
          </w:p>
          <w:p>
            <w:r>
              <w:rPr>
                <w:rFonts w:hint="eastAsia"/>
              </w:rPr>
              <w:t>所投产品必须支持</w:t>
            </w:r>
            <w:r>
              <w:t>VTEP</w:t>
            </w:r>
            <w:r>
              <w:rPr>
                <w:rFonts w:hint="eastAsia"/>
              </w:rPr>
              <w:t>（</w:t>
            </w:r>
            <w:r>
              <w:t>VxLan Tunnel EndPoint</w:t>
            </w:r>
            <w:r>
              <w:rPr>
                <w:rFonts w:hint="eastAsia"/>
              </w:rPr>
              <w:t>）模式接入</w:t>
            </w:r>
            <w:r>
              <w:t>VxLAN</w:t>
            </w:r>
            <w:r>
              <w:rPr>
                <w:rFonts w:hint="eastAsia"/>
              </w:rPr>
              <w:t>网络，并可作为</w:t>
            </w:r>
            <w:r>
              <w:t>VXLAN</w:t>
            </w:r>
            <w:r>
              <w:rPr>
                <w:rFonts w:hint="eastAsia"/>
              </w:rPr>
              <w:t>二层、三层网关实现</w:t>
            </w:r>
            <w:r>
              <w:t>VxLan</w:t>
            </w:r>
            <w:r>
              <w:rPr>
                <w:rFonts w:hint="eastAsia"/>
              </w:rPr>
              <w:t>网络与传统以太网的相同子网内、跨子网间互联互通；支持通过绑定</w:t>
            </w:r>
            <w:r>
              <w:t>VLAN</w:t>
            </w:r>
            <w:r>
              <w:rPr>
                <w:rFonts w:hint="eastAsia"/>
              </w:rPr>
              <w:t>、</w:t>
            </w:r>
            <w:r>
              <w:t>VNI</w:t>
            </w:r>
            <w:r>
              <w:rPr>
                <w:rFonts w:hint="eastAsia"/>
              </w:rPr>
              <w:t>（</w:t>
            </w:r>
            <w:r>
              <w:t>VXLAN Network Identifier</w:t>
            </w:r>
            <w:r>
              <w:rPr>
                <w:rFonts w:hint="eastAsia"/>
              </w:rPr>
              <w:t>）、远程</w:t>
            </w:r>
            <w:r>
              <w:t>VTEP</w:t>
            </w:r>
            <w:r>
              <w:rPr>
                <w:rFonts w:hint="eastAsia"/>
              </w:rPr>
              <w:t>，手动管理</w:t>
            </w:r>
            <w:r>
              <w:t>VxLan</w:t>
            </w:r>
            <w:r>
              <w:rPr>
                <w:rFonts w:hint="eastAsia"/>
              </w:rPr>
              <w:t>网络；支持</w:t>
            </w:r>
            <w:r>
              <w:t>MAC</w:t>
            </w:r>
            <w:r>
              <w:rPr>
                <w:rFonts w:hint="eastAsia"/>
              </w:rPr>
              <w:t>、</w:t>
            </w:r>
            <w:r>
              <w:t>VNI</w:t>
            </w:r>
            <w:r>
              <w:rPr>
                <w:rFonts w:hint="eastAsia"/>
              </w:rPr>
              <w:t>、</w:t>
            </w:r>
            <w:r>
              <w:t>VTEP</w:t>
            </w:r>
            <w:r>
              <w:rPr>
                <w:rFonts w:hint="eastAsia"/>
              </w:rPr>
              <w:t>静态绑定；</w:t>
            </w:r>
          </w:p>
          <w:p>
            <w:r>
              <w:rPr>
                <w:rFonts w:hint="eastAsia"/>
              </w:rPr>
              <w:t>支持</w:t>
            </w:r>
            <w:r>
              <w:t>MPLS</w:t>
            </w:r>
            <w:r>
              <w:rPr>
                <w:rFonts w:hint="eastAsia"/>
              </w:rPr>
              <w:t>流量透传；支持针对</w:t>
            </w:r>
            <w:r>
              <w:t>MPLS</w:t>
            </w:r>
            <w:r>
              <w:rPr>
                <w:rFonts w:hint="eastAsia"/>
              </w:rPr>
              <w:t>流量的安全审查，包括入侵防护、反病毒、</w:t>
            </w:r>
            <w:r>
              <w:t>URL</w:t>
            </w:r>
            <w:r>
              <w:rPr>
                <w:rFonts w:hint="eastAsia"/>
              </w:rPr>
              <w:t>过滤、基于终端状态访问控制功能</w:t>
            </w:r>
            <w:r>
              <w:t>;</w:t>
            </w:r>
          </w:p>
          <w:p>
            <w:r>
              <w:rPr>
                <w:rFonts w:hint="eastAsia"/>
              </w:rPr>
              <w:t>支持支持静态路由、策略路由及动态路由。策略路由支持用户自定义其优先级，动态路由应至少支持</w:t>
            </w:r>
            <w:r>
              <w:t>RIP v1/v2/ng</w:t>
            </w:r>
            <w:r>
              <w:rPr>
                <w:rFonts w:hint="eastAsia"/>
              </w:rPr>
              <w:t>，</w:t>
            </w:r>
            <w:r>
              <w:t xml:space="preserve"> OSPFv2/v3</w:t>
            </w:r>
            <w:r>
              <w:rPr>
                <w:rFonts w:hint="eastAsia"/>
              </w:rPr>
              <w:t>，</w:t>
            </w:r>
            <w:r>
              <w:t>BGP4/4+</w:t>
            </w:r>
            <w:r>
              <w:rPr>
                <w:rFonts w:hint="eastAsia"/>
              </w:rPr>
              <w:t>协议；</w:t>
            </w:r>
          </w:p>
          <w:p>
            <w:r>
              <w:rPr>
                <w:rFonts w:hint="eastAsia"/>
              </w:rPr>
              <w:t>所投产品必须支持</w:t>
            </w:r>
            <w:r>
              <w:t>ISP</w:t>
            </w:r>
            <w:r>
              <w:rPr>
                <w:rFonts w:hint="eastAsia"/>
              </w:rPr>
              <w:t>路由负载均衡，最大可支持</w:t>
            </w:r>
            <w:r>
              <w:t>8</w:t>
            </w:r>
            <w:r>
              <w:rPr>
                <w:rFonts w:hint="eastAsia"/>
              </w:rPr>
              <w:t>条链路负载，支持自定义负载权重，支持基于优先级的</w:t>
            </w:r>
            <w:r>
              <w:t>ISP</w:t>
            </w:r>
            <w:r>
              <w:rPr>
                <w:rFonts w:hint="eastAsia"/>
              </w:rPr>
              <w:t>路由链路备份；支持基于</w:t>
            </w:r>
            <w:r>
              <w:t>IPv4</w:t>
            </w:r>
            <w:r>
              <w:rPr>
                <w:rFonts w:hint="eastAsia"/>
              </w:rPr>
              <w:t>或</w:t>
            </w:r>
            <w:r>
              <w:t>IPv6</w:t>
            </w:r>
            <w:r>
              <w:rPr>
                <w:rFonts w:hint="eastAsia"/>
              </w:rPr>
              <w:t>的</w:t>
            </w:r>
            <w:r>
              <w:t>TCP</w:t>
            </w:r>
            <w:r>
              <w:rPr>
                <w:rFonts w:hint="eastAsia"/>
              </w:rPr>
              <w:t>、</w:t>
            </w:r>
            <w:r>
              <w:t>HTTP</w:t>
            </w:r>
            <w:r>
              <w:rPr>
                <w:rFonts w:hint="eastAsia"/>
              </w:rPr>
              <w:t>、</w:t>
            </w:r>
            <w:r>
              <w:t>DNS</w:t>
            </w:r>
            <w:r>
              <w:rPr>
                <w:rFonts w:hint="eastAsia"/>
              </w:rPr>
              <w:t>、</w:t>
            </w:r>
            <w:r>
              <w:t>ICMP</w:t>
            </w:r>
            <w:r>
              <w:rPr>
                <w:rFonts w:hint="eastAsia"/>
              </w:rPr>
              <w:t>等方式的链路探测，同时</w:t>
            </w:r>
            <w:r>
              <w:t>TCP</w:t>
            </w:r>
            <w:r>
              <w:rPr>
                <w:rFonts w:hint="eastAsia"/>
              </w:rPr>
              <w:t>与</w:t>
            </w:r>
            <w:r>
              <w:t>HTTP</w:t>
            </w:r>
            <w:r>
              <w:rPr>
                <w:rFonts w:hint="eastAsia"/>
              </w:rPr>
              <w:t>可使用自定义目标端口进行测试</w:t>
            </w:r>
            <w:r>
              <w:t>;</w:t>
            </w:r>
            <w:r>
              <w:br w:type="textWrapping"/>
            </w:r>
            <w:r>
              <w:rPr>
                <w:rFonts w:hint="eastAsia"/>
              </w:rPr>
              <w:t>所投产品必须支持基于策略的路由负载，支持根据应用和服务进行智能选路，支持源地址目的地址哈希、源地址哈希、轮询、时延负载、备份、随机、流量均衡、源地址轮询、目的地址哈希、最优链路带宽负载、最优链路带宽备份、跳数负载等不少于</w:t>
            </w:r>
            <w:r>
              <w:t>12</w:t>
            </w:r>
            <w:r>
              <w:rPr>
                <w:rFonts w:hint="eastAsia"/>
              </w:rPr>
              <w:t>种路由负载均衡方式，支持基于</w:t>
            </w:r>
            <w:r>
              <w:t>IPv4</w:t>
            </w:r>
            <w:r>
              <w:rPr>
                <w:rFonts w:hint="eastAsia"/>
              </w:rPr>
              <w:t>或</w:t>
            </w:r>
            <w:r>
              <w:t>IPv6</w:t>
            </w:r>
            <w:r>
              <w:rPr>
                <w:rFonts w:hint="eastAsia"/>
              </w:rPr>
              <w:t>的</w:t>
            </w:r>
            <w:r>
              <w:t>TCP</w:t>
            </w:r>
            <w:r>
              <w:rPr>
                <w:rFonts w:hint="eastAsia"/>
              </w:rPr>
              <w:t>、</w:t>
            </w:r>
            <w:r>
              <w:t>HTTP</w:t>
            </w:r>
            <w:r>
              <w:rPr>
                <w:rFonts w:hint="eastAsia"/>
              </w:rPr>
              <w:t>、</w:t>
            </w:r>
            <w:r>
              <w:t>DNS</w:t>
            </w:r>
            <w:r>
              <w:rPr>
                <w:rFonts w:hint="eastAsia"/>
              </w:rPr>
              <w:t>、</w:t>
            </w:r>
            <w:r>
              <w:t>ICMP</w:t>
            </w:r>
            <w:r>
              <w:rPr>
                <w:rFonts w:hint="eastAsia"/>
              </w:rPr>
              <w:t>等方式的链路探测，同时</w:t>
            </w:r>
            <w:r>
              <w:t>TCP</w:t>
            </w:r>
            <w:r>
              <w:rPr>
                <w:rFonts w:hint="eastAsia"/>
              </w:rPr>
              <w:t>与</w:t>
            </w:r>
            <w:r>
              <w:t>HTTP</w:t>
            </w:r>
            <w:r>
              <w:rPr>
                <w:rFonts w:hint="eastAsia"/>
              </w:rPr>
              <w:t>可使用自定义目标端口进行测试</w:t>
            </w:r>
            <w:r>
              <w:t>;</w:t>
            </w:r>
          </w:p>
          <w:p>
            <w:r>
              <w:rPr>
                <w:rFonts w:hint="eastAsia"/>
              </w:rPr>
              <w:t>所投产品必须支持路由模式、透明模式的</w:t>
            </w:r>
            <w:r>
              <w:t>HA</w:t>
            </w:r>
            <w:r>
              <w:rPr>
                <w:rFonts w:hint="eastAsia"/>
              </w:rPr>
              <w:t>高可靠性部署，可工作于主备、主主模式，会话、用户、配置可实时同步；</w:t>
            </w:r>
            <w:r>
              <w:t>HA</w:t>
            </w:r>
            <w:r>
              <w:rPr>
                <w:rFonts w:hint="eastAsia"/>
              </w:rPr>
              <w:t>高可靠性部署支持接口联动，某个端口失效（</w:t>
            </w:r>
            <w:r>
              <w:t>DOWN</w:t>
            </w:r>
            <w:r>
              <w:rPr>
                <w:rFonts w:hint="eastAsia"/>
              </w:rPr>
              <w:t>），属于同一接口组中其他端口都会进入失效状态（</w:t>
            </w:r>
            <w:r>
              <w:t>DOWN</w:t>
            </w:r>
            <w:r>
              <w:rPr>
                <w:rFonts w:hint="eastAsia"/>
              </w:rPr>
              <w:t>）；</w:t>
            </w:r>
            <w:r>
              <w:t>HA</w:t>
            </w:r>
            <w:r>
              <w:rPr>
                <w:rFonts w:hint="eastAsia"/>
              </w:rPr>
              <w:t>高可靠性部署支持配置接口权重；支持链路探测</w:t>
            </w:r>
            <w:r>
              <w:t>;</w:t>
            </w:r>
          </w:p>
          <w:p>
            <w:r>
              <w:rPr>
                <w:rFonts w:hint="eastAsia"/>
              </w:rPr>
              <w:t>所投产品必须支持应用识别，应用特征库包含的应用数量（非应用协议的规则总数）大于</w:t>
            </w:r>
            <w:r>
              <w:t>2800</w:t>
            </w:r>
            <w:r>
              <w:rPr>
                <w:rFonts w:hint="eastAsia"/>
              </w:rPr>
              <w:t>种，可深度识别每种应用的属性，为每种应用提供预定义的风险系数，并将应用基于类型、使用场景、数据传输、风险等级等特征分类，为每种应用提供预定义的风险系数，并将应用基于类型、使用场景、数据传输、风险等级等特征分类</w:t>
            </w:r>
            <w:r>
              <w:t>;</w:t>
            </w:r>
          </w:p>
          <w:p>
            <w:r>
              <w:rPr>
                <w:rFonts w:hint="eastAsia"/>
              </w:rPr>
              <w:t>所投产品必须支持基于用户的访问控制，可与</w:t>
            </w:r>
            <w:r>
              <w:t>LDAP/Radius/</w:t>
            </w:r>
            <w:r>
              <w:rPr>
                <w:rFonts w:hint="eastAsia"/>
              </w:rPr>
              <w:t>证书</w:t>
            </w:r>
            <w:r>
              <w:t>/Active Directory/TACACS+/POP3</w:t>
            </w:r>
            <w:r>
              <w:rPr>
                <w:rFonts w:hint="eastAsia"/>
              </w:rPr>
              <w:t>等用户认证系统联动</w:t>
            </w:r>
            <w:r>
              <w:t>;</w:t>
            </w:r>
          </w:p>
          <w:p>
            <w:r>
              <w:rPr>
                <w:rFonts w:hint="eastAsia"/>
              </w:rPr>
              <w:t>所投产品必须支持对应用的文件传输行为进行上传、下载、双向的文件类型过滤，应用至少包含即时通讯、常用协议、文件共享、论坛、博客、网页邮件五种分类</w:t>
            </w:r>
            <w:r>
              <w:t>;</w:t>
            </w:r>
          </w:p>
          <w:p>
            <w:r>
              <w:rPr>
                <w:rFonts w:hint="eastAsia"/>
              </w:rPr>
              <w:t>所投产品必须支持上传、下载、双向的文件内容过滤；内容过滤支持手工及文件批量导入两种方式进行敏感信息定义；内容过滤至少支持</w:t>
            </w:r>
            <w:r>
              <w:t>html</w:t>
            </w:r>
            <w:r>
              <w:rPr>
                <w:rFonts w:hint="eastAsia"/>
              </w:rPr>
              <w:t>、</w:t>
            </w:r>
            <w:r>
              <w:t>doc</w:t>
            </w:r>
            <w:r>
              <w:rPr>
                <w:rFonts w:hint="eastAsia"/>
              </w:rPr>
              <w:t>、</w:t>
            </w:r>
            <w:r>
              <w:t>docx</w:t>
            </w:r>
            <w:r>
              <w:rPr>
                <w:rFonts w:hint="eastAsia"/>
              </w:rPr>
              <w:t>、</w:t>
            </w:r>
            <w:r>
              <w:t>xls</w:t>
            </w:r>
            <w:r>
              <w:rPr>
                <w:rFonts w:hint="eastAsia"/>
              </w:rPr>
              <w:t>、</w:t>
            </w:r>
            <w:r>
              <w:t>xlsx</w:t>
            </w:r>
            <w:r>
              <w:rPr>
                <w:rFonts w:hint="eastAsia"/>
              </w:rPr>
              <w:t>、</w:t>
            </w:r>
            <w:r>
              <w:t>ppt</w:t>
            </w:r>
            <w:r>
              <w:rPr>
                <w:rFonts w:hint="eastAsia"/>
              </w:rPr>
              <w:t>、</w:t>
            </w:r>
            <w:r>
              <w:t>pptx</w:t>
            </w:r>
            <w:r>
              <w:rPr>
                <w:rFonts w:hint="eastAsia"/>
              </w:rPr>
              <w:t>、</w:t>
            </w:r>
            <w:r>
              <w:t>chm</w:t>
            </w:r>
            <w:r>
              <w:rPr>
                <w:rFonts w:hint="eastAsia"/>
              </w:rPr>
              <w:t>、</w:t>
            </w:r>
            <w:r>
              <w:t>7z</w:t>
            </w:r>
            <w:r>
              <w:rPr>
                <w:rFonts w:hint="eastAsia"/>
              </w:rPr>
              <w:t>等</w:t>
            </w:r>
            <w:r>
              <w:t>30</w:t>
            </w:r>
            <w:r>
              <w:rPr>
                <w:rFonts w:hint="eastAsia"/>
              </w:rPr>
              <w:t>种常见文件类型；文件类型识别基于文件特征而非扩展名，更改文件扩展名后仍可有效识别</w:t>
            </w:r>
            <w:r>
              <w:t>;</w:t>
            </w:r>
          </w:p>
          <w:p>
            <w:r>
              <w:rPr>
                <w:rFonts w:hint="eastAsia"/>
              </w:rPr>
              <w:t>所投产品必须能够对</w:t>
            </w:r>
            <w:r>
              <w:t>HTTP/FTP/POP3/SMTP</w:t>
            </w:r>
          </w:p>
          <w:p>
            <w:r>
              <w:t>/IMAP/SMB</w:t>
            </w:r>
            <w:r>
              <w:rPr>
                <w:rFonts w:hint="eastAsia"/>
              </w:rPr>
              <w:t>六种协议进行病毒查杀</w:t>
            </w:r>
            <w:r>
              <w:rPr>
                <w:rFonts w:hint="eastAsia"/>
                <w:szCs w:val="21"/>
              </w:rPr>
              <w:t>（需提供支持的应用分类和对应的设备配置截图）</w:t>
            </w:r>
            <w:r>
              <w:rPr>
                <w:rFonts w:hint="eastAsia"/>
              </w:rPr>
              <w:t>；</w:t>
            </w:r>
          </w:p>
          <w:p>
            <w:r>
              <w:rPr>
                <w:rFonts w:hint="eastAsia"/>
              </w:rPr>
              <w:t>本地病毒库规模大于</w:t>
            </w:r>
            <w:r>
              <w:t>3000</w:t>
            </w:r>
            <w:r>
              <w:rPr>
                <w:rFonts w:hint="eastAsia"/>
              </w:rPr>
              <w:t>万，支持对最多</w:t>
            </w:r>
            <w:r>
              <w:t>6</w:t>
            </w:r>
            <w:r>
              <w:rPr>
                <w:rFonts w:hint="eastAsia"/>
              </w:rPr>
              <w:t>级的压缩文件进行解压查杀，支持基于</w:t>
            </w:r>
            <w:r>
              <w:t>MD5</w:t>
            </w:r>
            <w:r>
              <w:rPr>
                <w:rFonts w:hint="eastAsia"/>
              </w:rPr>
              <w:t>的自定义病毒签名，支持设置例外特征，对特定的病毒特征不进行查杀；</w:t>
            </w:r>
          </w:p>
          <w:p>
            <w:r>
              <w:rPr>
                <w:rFonts w:hint="eastAsia"/>
              </w:rPr>
              <w:t>所投产品必须支持漏洞防护功能，同时将漏洞防护特征库分类，至少包括缓冲区溢出、跨站脚本、拒绝服务、恶意扫描、</w:t>
            </w:r>
            <w:r>
              <w:t>SQL</w:t>
            </w:r>
            <w:r>
              <w:rPr>
                <w:rFonts w:hint="eastAsia"/>
              </w:rPr>
              <w:t>注入、</w:t>
            </w:r>
            <w:r>
              <w:t>WEB</w:t>
            </w:r>
            <w:r>
              <w:rPr>
                <w:rFonts w:hint="eastAsia"/>
              </w:rPr>
              <w:t>攻击等六种分类；漏洞防护支持日志、阻断、放行、重置等执行动作</w:t>
            </w:r>
            <w:r>
              <w:t>,</w:t>
            </w:r>
            <w:r>
              <w:rPr>
                <w:rFonts w:hint="eastAsia"/>
              </w:rPr>
              <w:t>可批量设置针对某一分类或全部攻击签名的执行动作；支持基于</w:t>
            </w:r>
            <w:r>
              <w:t>FTP</w:t>
            </w:r>
            <w:r>
              <w:rPr>
                <w:rFonts w:hint="eastAsia"/>
              </w:rPr>
              <w:t>、</w:t>
            </w:r>
            <w:r>
              <w:t>HTTP</w:t>
            </w:r>
            <w:r>
              <w:rPr>
                <w:rFonts w:hint="eastAsia"/>
              </w:rPr>
              <w:t>、</w:t>
            </w:r>
            <w:r>
              <w:t>IMAP</w:t>
            </w:r>
            <w:r>
              <w:rPr>
                <w:rFonts w:hint="eastAsia"/>
              </w:rPr>
              <w:t>、</w:t>
            </w:r>
            <w:r>
              <w:t>OTHER_APP</w:t>
            </w:r>
            <w:r>
              <w:rPr>
                <w:rFonts w:hint="eastAsia"/>
              </w:rPr>
              <w:t>、</w:t>
            </w:r>
            <w:r>
              <w:t>POP3</w:t>
            </w:r>
            <w:r>
              <w:rPr>
                <w:rFonts w:hint="eastAsia"/>
              </w:rPr>
              <w:t>、</w:t>
            </w:r>
            <w:r>
              <w:t>SMB</w:t>
            </w:r>
            <w:r>
              <w:rPr>
                <w:rFonts w:hint="eastAsia"/>
              </w:rPr>
              <w:t>、</w:t>
            </w:r>
            <w:r>
              <w:t>SMTP</w:t>
            </w:r>
            <w:r>
              <w:rPr>
                <w:rFonts w:hint="eastAsia"/>
              </w:rPr>
              <w:t>等应用协议的漏洞防护</w:t>
            </w:r>
            <w:r>
              <w:t>;</w:t>
            </w:r>
          </w:p>
          <w:p>
            <w:r>
              <w:rPr>
                <w:rFonts w:hint="eastAsia"/>
              </w:rPr>
              <w:t>所投产品必须支持在设备漏洞防护特征库直接查阅攻击的名称、</w:t>
            </w:r>
            <w:r>
              <w:t>CVEID</w:t>
            </w:r>
            <w:r>
              <w:rPr>
                <w:rFonts w:hint="eastAsia"/>
              </w:rPr>
              <w:t>、</w:t>
            </w:r>
            <w:r>
              <w:t>CNNVDID</w:t>
            </w:r>
            <w:r>
              <w:rPr>
                <w:rFonts w:hint="eastAsia"/>
              </w:rPr>
              <w:t>、严重性、影响的平台、类型、描述等详细信息；</w:t>
            </w:r>
          </w:p>
          <w:p>
            <w:r>
              <w:rPr>
                <w:rFonts w:hint="eastAsia"/>
              </w:rPr>
              <w:t>所投产品的漏洞防护特征库包含高危漏洞攻击特征，至少包括“永恒之蓝”、“震网三代”、“暗云</w:t>
            </w:r>
            <w:r>
              <w:t>3</w:t>
            </w:r>
            <w:r>
              <w:rPr>
                <w:rFonts w:hint="eastAsia"/>
              </w:rPr>
              <w:t>”、“</w:t>
            </w:r>
            <w:r>
              <w:t>Struts</w:t>
            </w:r>
            <w:r>
              <w:rPr>
                <w:rFonts w:hint="eastAsia"/>
              </w:rPr>
              <w:t>”、“</w:t>
            </w:r>
            <w:r>
              <w:t>Struts2</w:t>
            </w:r>
            <w:r>
              <w:rPr>
                <w:rFonts w:hint="eastAsia"/>
              </w:rPr>
              <w:t>”、“</w:t>
            </w:r>
            <w:r>
              <w:t>Xshell</w:t>
            </w:r>
            <w:r>
              <w:rPr>
                <w:rFonts w:hint="eastAsia"/>
              </w:rPr>
              <w:t>后门代码”以及对应的攻击的名称：</w:t>
            </w:r>
            <w:r>
              <w:t>CVEID</w:t>
            </w:r>
            <w:r>
              <w:rPr>
                <w:rFonts w:hint="eastAsia"/>
              </w:rPr>
              <w:t>、</w:t>
            </w:r>
            <w:r>
              <w:t>CNNVDID</w:t>
            </w:r>
            <w:r>
              <w:rPr>
                <w:rFonts w:hint="eastAsia"/>
              </w:rPr>
              <w:t>、严重性、影响的平台、类型、描述等详细信息；</w:t>
            </w:r>
            <w:r>
              <w:t xml:space="preserve"> </w:t>
            </w:r>
          </w:p>
          <w:p>
            <w:r>
              <w:rPr>
                <w:rFonts w:hint="eastAsia"/>
              </w:rPr>
              <w:t>所投产品必须支持自定义</w:t>
            </w:r>
            <w:r>
              <w:t>TCP</w:t>
            </w:r>
            <w:r>
              <w:rPr>
                <w:rFonts w:hint="eastAsia"/>
              </w:rPr>
              <w:t>、</w:t>
            </w:r>
            <w:r>
              <w:t>UDP</w:t>
            </w:r>
            <w:r>
              <w:rPr>
                <w:rFonts w:hint="eastAsia"/>
              </w:rPr>
              <w:t>、</w:t>
            </w:r>
            <w:r>
              <w:t>HTTP</w:t>
            </w:r>
            <w:r>
              <w:rPr>
                <w:rFonts w:hint="eastAsia"/>
              </w:rPr>
              <w:t>协议的漏洞特征，漏洞特征可通过多个字段以文本或正则表达式的形式进行有序和无序匹配，并可自定义漏洞的源、目的端口范围；同时可标识自定义漏洞的</w:t>
            </w:r>
            <w:r>
              <w:t>CVE</w:t>
            </w:r>
            <w:r>
              <w:rPr>
                <w:rFonts w:hint="eastAsia"/>
              </w:rPr>
              <w:t>编号或</w:t>
            </w:r>
            <w:r>
              <w:t>CNNVD</w:t>
            </w:r>
            <w:r>
              <w:rPr>
                <w:rFonts w:hint="eastAsia"/>
              </w:rPr>
              <w:t>编号（需要提供能够体现上述功能及配置选项的截图）；</w:t>
            </w:r>
          </w:p>
          <w:p>
            <w:r>
              <w:rPr>
                <w:rFonts w:hint="eastAsia"/>
              </w:rPr>
              <w:t>所投产品必须支持基于主机或威胁情报视图，统计网络中确认被入侵、攻破的主机数量，至少可查看被入侵、攻破的时间、威胁类别、情报来源、威胁简介、被入侵、攻破的主机</w:t>
            </w:r>
            <w:r>
              <w:t>IP</w:t>
            </w:r>
            <w:r>
              <w:rPr>
                <w:rFonts w:hint="eastAsia"/>
              </w:rPr>
              <w:t>、用户名、资产等信息；并对威胁情报发现的恶意主机执行自动阻断；</w:t>
            </w:r>
          </w:p>
          <w:p>
            <w:r>
              <w:rPr>
                <w:rFonts w:hint="eastAsia"/>
              </w:rPr>
              <w:t>所投产品必须支持基于主机或威胁情报视图，统计网络中存在安全风险的主机数量以及对应的风险等级，至少可查看遭遇风险的时间、威胁类别、情报来源、威胁简介、失陷主机</w:t>
            </w:r>
            <w:r>
              <w:t>IP</w:t>
            </w:r>
            <w:r>
              <w:rPr>
                <w:rFonts w:hint="eastAsia"/>
              </w:rPr>
              <w:t>、用户名、资产等信息；</w:t>
            </w:r>
          </w:p>
          <w:p>
            <w:r>
              <w:rPr>
                <w:rFonts w:hint="eastAsia"/>
              </w:rPr>
              <w:t>所投产品必须支持统计网络内威胁事件的数量及对应的风险等级；支持一键跳转查看详情并自动显示关联日志；可基于网络连接、应用名称、威胁事件处置威胁事件；</w:t>
            </w:r>
            <w:r>
              <w:t xml:space="preserve"> </w:t>
            </w:r>
          </w:p>
          <w:p>
            <w:r>
              <w:rPr>
                <w:rFonts w:hint="eastAsia"/>
              </w:rPr>
              <w:t>所投产品必须支持用户自定义重点</w:t>
            </w:r>
            <w:r>
              <w:t>URL</w:t>
            </w:r>
            <w:r>
              <w:rPr>
                <w:rFonts w:hint="eastAsia"/>
              </w:rPr>
              <w:t>分类和应用，并可基于定义的重点关注对象进行用户维度关联，并结合分析中心进行基于关联的用户</w:t>
            </w:r>
            <w:r>
              <w:t>/</w:t>
            </w:r>
            <w:r>
              <w:rPr>
                <w:rFonts w:hint="eastAsia"/>
              </w:rPr>
              <w:t>地址、</w:t>
            </w:r>
            <w:r>
              <w:t>URL</w:t>
            </w:r>
            <w:r>
              <w:rPr>
                <w:rFonts w:hint="eastAsia"/>
              </w:rPr>
              <w:t>分类、应用进行二次递进式深度分析，挖掘异常用户及异常网络行为；</w:t>
            </w:r>
          </w:p>
          <w:p>
            <w:r>
              <w:rPr>
                <w:rFonts w:hint="eastAsia"/>
              </w:rPr>
              <w:t>所投设备必须提供关联分析面板，可将</w:t>
            </w:r>
            <w:r>
              <w:t>Top</w:t>
            </w:r>
            <w:r>
              <w:rPr>
                <w:rFonts w:hint="eastAsia"/>
              </w:rPr>
              <w:t>应用、</w:t>
            </w:r>
            <w:r>
              <w:t>Top</w:t>
            </w:r>
            <w:r>
              <w:rPr>
                <w:rFonts w:hint="eastAsia"/>
              </w:rPr>
              <w:t>威胁、</w:t>
            </w:r>
            <w:r>
              <w:t>Top URL</w:t>
            </w:r>
            <w:r>
              <w:rPr>
                <w:rFonts w:hint="eastAsia"/>
              </w:rPr>
              <w:t>分类、</w:t>
            </w:r>
            <w:r>
              <w:t>Top</w:t>
            </w:r>
            <w:r>
              <w:rPr>
                <w:rFonts w:hint="eastAsia"/>
              </w:rPr>
              <w:t>源地址、</w:t>
            </w:r>
            <w:r>
              <w:t>Top</w:t>
            </w:r>
            <w:r>
              <w:rPr>
                <w:rFonts w:hint="eastAsia"/>
              </w:rPr>
              <w:t>目的地址等信息关联，并支持以任意元素于为过滤条件且不少于</w:t>
            </w:r>
            <w:r>
              <w:t>35</w:t>
            </w:r>
            <w:r>
              <w:rPr>
                <w:rFonts w:hint="eastAsia"/>
              </w:rPr>
              <w:t>个维度进行数据钻取；</w:t>
            </w:r>
          </w:p>
          <w:p>
            <w:r>
              <w:rPr>
                <w:rFonts w:hint="eastAsia"/>
              </w:rPr>
              <w:t>所投设备必须提供关联的威胁事件日志，系统可自动将产生威胁事件的连接经过防病毒、防漏洞、防间谍软件、</w:t>
            </w:r>
            <w:r>
              <w:t>URL</w:t>
            </w:r>
            <w:r>
              <w:rPr>
                <w:rFonts w:hint="eastAsia"/>
              </w:rPr>
              <w:t>过滤、文件过滤等安全模块检查的日志集中显示；</w:t>
            </w:r>
            <w:r>
              <w:t xml:space="preserve"> </w:t>
            </w:r>
          </w:p>
          <w:p>
            <w:r>
              <w:rPr>
                <w:rFonts w:hint="eastAsia"/>
              </w:rPr>
              <w:t>所投产品必须支持基于受害主机的一键式阻断链接、记录日志等处置动作，处置周期至少包括</w:t>
            </w:r>
            <w:r>
              <w:t>1</w:t>
            </w:r>
            <w:r>
              <w:rPr>
                <w:rFonts w:hint="eastAsia"/>
              </w:rPr>
              <w:t>天、</w:t>
            </w:r>
            <w:r>
              <w:t>7</w:t>
            </w:r>
            <w:r>
              <w:rPr>
                <w:rFonts w:hint="eastAsia"/>
              </w:rPr>
              <w:t>天、</w:t>
            </w:r>
            <w:r>
              <w:t>30</w:t>
            </w:r>
            <w:r>
              <w:rPr>
                <w:rFonts w:hint="eastAsia"/>
              </w:rPr>
              <w:t>天、</w:t>
            </w:r>
            <w:r>
              <w:t>90</w:t>
            </w:r>
            <w:r>
              <w:rPr>
                <w:rFonts w:hint="eastAsia"/>
              </w:rPr>
              <w:t>天、永久等；</w:t>
            </w:r>
          </w:p>
          <w:p>
            <w:r>
              <w:rPr>
                <w:rFonts w:hint="eastAsia"/>
              </w:rPr>
              <w:t>所投产品必须支持接收针对突发重大安全事件的“应急响应消息”，并至少在界面显示安全事件名称、类型、当前防护状态、处置状态以及相应的操作等信息；并可根据设备安全配置的变化动态显示应急响应的处理结果；</w:t>
            </w:r>
          </w:p>
          <w:p>
            <w:r>
              <w:rPr>
                <w:rFonts w:hint="eastAsia"/>
              </w:rPr>
              <w:t>所投产品必须支持针对“应急响应消息”的手动或自动处置，处置方法至少包括基于漏洞的处置和基于威胁情报的处置（需要提供能够体现上述功能及配置选项的截图）</w:t>
            </w:r>
            <w:r>
              <w:t>;</w:t>
            </w:r>
          </w:p>
          <w:p>
            <w:r>
              <w:rPr>
                <w:rFonts w:hint="eastAsia"/>
              </w:rPr>
              <w:t>具有独立审计用户，支持标准</w:t>
            </w:r>
            <w:r>
              <w:t>Syslog</w:t>
            </w:r>
            <w:r>
              <w:rPr>
                <w:rFonts w:hint="eastAsia"/>
              </w:rPr>
              <w:t>日志审计方式，支持</w:t>
            </w:r>
            <w:r>
              <w:t>Syslog</w:t>
            </w:r>
            <w:r>
              <w:rPr>
                <w:rFonts w:hint="eastAsia"/>
              </w:rPr>
              <w:t>端口自定义（支持内外端机主机名更改，强化日志审计及集中管理功能，能够对功能访问模块拒绝访问进行日志记录，支持对日志的高性能处理和存储，提供高性能</w:t>
            </w:r>
            <w:r>
              <w:t>Syslog</w:t>
            </w:r>
            <w:r>
              <w:rPr>
                <w:rFonts w:hint="eastAsia"/>
              </w:rPr>
              <w:t>日志处理和存储证书。）；</w:t>
            </w:r>
          </w:p>
          <w:p>
            <w:r>
              <w:rPr>
                <w:rFonts w:hint="eastAsia"/>
                <w:szCs w:val="21"/>
              </w:rPr>
              <w:t>所投产品必须提供可明文或加密方式调用的</w:t>
            </w:r>
            <w:r>
              <w:rPr>
                <w:szCs w:val="21"/>
              </w:rPr>
              <w:t>Restful API</w:t>
            </w:r>
            <w:r>
              <w:rPr>
                <w:rFonts w:hint="eastAsia"/>
                <w:szCs w:val="21"/>
              </w:rPr>
              <w:t>，并可指定</w:t>
            </w:r>
            <w:r>
              <w:rPr>
                <w:szCs w:val="21"/>
              </w:rPr>
              <w:t>Restful API</w:t>
            </w:r>
            <w:r>
              <w:rPr>
                <w:rFonts w:hint="eastAsia"/>
                <w:szCs w:val="21"/>
              </w:rPr>
              <w:t>使用的本地端口；为确保设备管理的安全性，所投产品必须支持限制特定主机调用</w:t>
            </w:r>
            <w:r>
              <w:rPr>
                <w:szCs w:val="21"/>
              </w:rPr>
              <w:t>Restful API</w:t>
            </w:r>
            <w:r>
              <w:rPr>
                <w:rFonts w:hint="eastAsia"/>
                <w:szCs w:val="21"/>
              </w:rPr>
              <w:t>（投标文件需要提供能够体现上述功能及配置选项的截图）支持定义第三方设备、平台通过调用</w:t>
            </w:r>
            <w:r>
              <w:rPr>
                <w:szCs w:val="21"/>
              </w:rPr>
              <w:t xml:space="preserve">Restful API </w:t>
            </w:r>
            <w:r>
              <w:rPr>
                <w:rFonts w:hint="eastAsia"/>
                <w:szCs w:val="21"/>
              </w:rPr>
              <w:t>至少可配置所投设备的访问控制策略、源</w:t>
            </w:r>
            <w:r>
              <w:rPr>
                <w:szCs w:val="21"/>
              </w:rPr>
              <w:t>NAT</w:t>
            </w:r>
            <w:r>
              <w:rPr>
                <w:rFonts w:hint="eastAsia"/>
                <w:szCs w:val="21"/>
              </w:rPr>
              <w:t>策略、目的</w:t>
            </w:r>
            <w:r>
              <w:rPr>
                <w:szCs w:val="21"/>
              </w:rPr>
              <w:t>NAT</w:t>
            </w:r>
            <w:r>
              <w:rPr>
                <w:rFonts w:hint="eastAsia"/>
                <w:szCs w:val="21"/>
              </w:rPr>
              <w:t>策略、静态路由、高可用以及区域、地址、服务、时间、用户对象等功能；</w:t>
            </w:r>
          </w:p>
          <w:p>
            <w:pPr>
              <w:rPr>
                <w:szCs w:val="21"/>
              </w:rPr>
            </w:pPr>
            <w:r>
              <w:rPr>
                <w:rFonts w:hint="eastAsia"/>
                <w:szCs w:val="21"/>
              </w:rPr>
              <w:t>所投产品必须支持与云端联动，至少实现病毒云查杀、</w:t>
            </w:r>
            <w:r>
              <w:rPr>
                <w:szCs w:val="21"/>
              </w:rPr>
              <w:t>URL</w:t>
            </w:r>
            <w:r>
              <w:rPr>
                <w:rFonts w:hint="eastAsia"/>
                <w:szCs w:val="21"/>
              </w:rPr>
              <w:t>云识别、应用云识别、云沙箱、威胁情报云检测等功能（需提供能够体现上述功能及配置选项截图）；</w:t>
            </w:r>
          </w:p>
          <w:p>
            <w:r>
              <w:rPr>
                <w:rFonts w:hint="eastAsia"/>
                <w:bCs/>
                <w:szCs w:val="21"/>
              </w:rPr>
              <w:t>所投产品必须支持作为轻量级“探针”与同品牌网络威胁感知系统联动，上报网络活动产生的数据至网络威胁感知系统；并支持接收来自网络威胁感知系统推送的处置策略，及时拦截绕过防御措施产生的高级威胁。（需要提供能够体现上述功能的截图以及对应的功能介绍）；</w:t>
            </w:r>
          </w:p>
          <w:p>
            <w:r>
              <w:rPr>
                <w:rFonts w:hint="eastAsia"/>
                <w:szCs w:val="21"/>
              </w:rPr>
              <w:t>所投产品必须支持与本地以及云端沙箱联动，检测文件中携带的未知威胁，并接受沙箱下发的处置策略（投标文件需要提供能够体现上述功能的截图以及对应的功能介绍）；</w:t>
            </w:r>
            <w:r>
              <w:br w:type="textWrapping"/>
            </w:r>
            <w:r>
              <w:rPr>
                <w:rFonts w:hint="eastAsia"/>
              </w:rPr>
              <w:t>考虑产品主流性、成熟度，要求提供</w:t>
            </w:r>
            <w:r>
              <w:t>IDC</w:t>
            </w:r>
            <w:r>
              <w:rPr>
                <w:rFonts w:hint="eastAsia"/>
              </w:rPr>
              <w:t>出具的</w:t>
            </w:r>
            <w:r>
              <w:t>2017</w:t>
            </w:r>
            <w:r>
              <w:rPr>
                <w:rFonts w:hint="eastAsia"/>
              </w:rPr>
              <w:t>、</w:t>
            </w:r>
            <w:r>
              <w:t>2018</w:t>
            </w:r>
            <w:r>
              <w:rPr>
                <w:rFonts w:hint="eastAsia"/>
              </w:rPr>
              <w:t>年防火墙市场排名前</w:t>
            </w:r>
            <w:r>
              <w:t>3</w:t>
            </w:r>
            <w:r>
              <w:rPr>
                <w:rFonts w:hint="eastAsia"/>
              </w:rPr>
              <w:t>名的证明文件复印件</w:t>
            </w:r>
            <w:r>
              <w:t>;</w:t>
            </w:r>
            <w:r>
              <w:br w:type="textWrapping"/>
            </w:r>
            <w:r>
              <w:rPr>
                <w:rFonts w:hint="eastAsia"/>
              </w:rPr>
              <w:t>计算机信息系统安全专用产品销售许可证</w:t>
            </w:r>
            <w:r>
              <w:t>(</w:t>
            </w:r>
            <w:r>
              <w:rPr>
                <w:rFonts w:hint="eastAsia"/>
              </w:rPr>
              <w:t>增强级</w:t>
            </w:r>
            <w:r>
              <w:t>);</w:t>
            </w:r>
            <w:r>
              <w:br w:type="textWrapping"/>
            </w:r>
            <w:r>
              <w:rPr>
                <w:rFonts w:hint="eastAsia"/>
              </w:rPr>
              <w:t>中国信息安全测评中心颁发的《国家信息安全漏洞库兼容性资质证书》</w:t>
            </w:r>
            <w:r>
              <w:t>;</w:t>
            </w:r>
            <w:r>
              <w:br w:type="textWrapping"/>
            </w:r>
            <w:r>
              <w:rPr>
                <w:rFonts w:hint="eastAsia"/>
              </w:rPr>
              <w:t>高性能</w:t>
            </w:r>
            <w:r>
              <w:t>IPv6</w:t>
            </w:r>
            <w:r>
              <w:rPr>
                <w:rFonts w:hint="eastAsia"/>
              </w:rPr>
              <w:t>防火墙系统计算机软件著作权登记证书</w:t>
            </w:r>
            <w:r>
              <w:t>;</w:t>
            </w:r>
            <w:r>
              <w:br w:type="textWrapping"/>
            </w:r>
            <w:r>
              <w:rPr>
                <w:rFonts w:hint="eastAsia"/>
              </w:rPr>
              <w:t>国家信息安全测评信息技术产品安全测评证书（</w:t>
            </w:r>
            <w:r>
              <w:t>EAL4+</w:t>
            </w:r>
            <w:r>
              <w:rPr>
                <w:rFonts w:hint="eastAsia"/>
              </w:rPr>
              <w:t>级）</w:t>
            </w:r>
            <w:r>
              <w:t>;</w:t>
            </w:r>
            <w:r>
              <w:br w:type="textWrapping"/>
            </w:r>
            <w:r>
              <w:t>CCRC</w:t>
            </w:r>
            <w:r>
              <w:rPr>
                <w:rFonts w:hint="eastAsia"/>
              </w:rPr>
              <w:t>信息安全服务资质</w:t>
            </w:r>
            <w:r>
              <w:t>-</w:t>
            </w:r>
            <w:r>
              <w:rPr>
                <w:rFonts w:hint="eastAsia"/>
              </w:rPr>
              <w:t>信息系统安全集成服务（一级）</w:t>
            </w:r>
            <w:r>
              <w:t>;</w:t>
            </w:r>
            <w:r>
              <w:br w:type="textWrapping"/>
            </w:r>
            <w:r>
              <w:rPr>
                <w:rFonts w:hint="eastAsia"/>
              </w:rPr>
              <w:t>通信网络安全服务能力评定证书</w:t>
            </w:r>
            <w:r>
              <w:t>-</w:t>
            </w:r>
            <w:r>
              <w:rPr>
                <w:rFonts w:hint="eastAsia"/>
              </w:rPr>
              <w:t>应急响应（二级）</w:t>
            </w:r>
            <w:r>
              <w:t>;</w:t>
            </w:r>
            <w:r>
              <w:br w:type="textWrapping"/>
            </w:r>
            <w:r>
              <w:rPr>
                <w:rFonts w:hint="eastAsia"/>
              </w:rPr>
              <w:t>设备制造商要求为“信息安全等级保护关键技术国家工程实验室”理事单位</w:t>
            </w:r>
            <w:r>
              <w:t>;</w:t>
            </w:r>
            <w:r>
              <w:br w:type="textWrapping"/>
            </w:r>
            <w:r>
              <w:rPr>
                <w:rFonts w:hint="eastAsia"/>
              </w:rPr>
              <w:t>设备厂商是</w:t>
            </w:r>
            <w:r>
              <w:t>CNNVD</w:t>
            </w:r>
            <w:r>
              <w:rPr>
                <w:rFonts w:hint="eastAsia"/>
              </w:rPr>
              <w:t>技术支撑单位</w:t>
            </w:r>
            <w:r>
              <w:t>(</w:t>
            </w:r>
            <w:r>
              <w:rPr>
                <w:rFonts w:hint="eastAsia"/>
              </w:rPr>
              <w:t>一级</w:t>
            </w:r>
            <w:r>
              <w:t>)</w:t>
            </w:r>
            <w:r>
              <w:rPr>
                <w:rFonts w:hint="eastAsia"/>
              </w:rPr>
              <w:t>、信息化建设及服务能力评价资质</w:t>
            </w:r>
            <w:r>
              <w:t>(</w:t>
            </w:r>
            <w:r>
              <w:rPr>
                <w:rFonts w:hint="eastAsia"/>
              </w:rPr>
              <w:t>一级</w:t>
            </w:r>
            <w:r>
              <w:t>);</w:t>
            </w:r>
            <w:r>
              <w:br w:type="textWrapping"/>
            </w:r>
            <w:r>
              <w:rPr>
                <w:rFonts w:hint="eastAsia"/>
              </w:rPr>
              <w:t>设备厂商具备国家信息安全测评授权单位（注册信息安全人员培训机构）</w:t>
            </w:r>
            <w:r>
              <w:t>;</w:t>
            </w:r>
          </w:p>
          <w:p>
            <w:pPr>
              <w:widowControl/>
              <w:jc w:val="left"/>
              <w:rPr>
                <w:rFonts w:ascii="宋体" w:hAnsi="宋体" w:cs="宋体"/>
                <w:color w:val="000000"/>
                <w:kern w:val="0"/>
                <w:sz w:val="22"/>
              </w:rPr>
            </w:pP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套</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w:t>
            </w:r>
          </w:p>
        </w:tc>
      </w:tr>
      <w:tr>
        <w:tblPrEx>
          <w:tblCellMar>
            <w:top w:w="0" w:type="dxa"/>
            <w:left w:w="108" w:type="dxa"/>
            <w:bottom w:w="0" w:type="dxa"/>
            <w:right w:w="108" w:type="dxa"/>
          </w:tblCellMar>
        </w:tblPrEx>
        <w:trPr>
          <w:trHeight w:val="4114"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综合管控平台</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★支持预览取流模式切换、监控画面放大、监控画面实时抓图、预览点位的报警IO输入输出反控；</w:t>
            </w:r>
            <w:r>
              <w:rPr>
                <w:rFonts w:hint="eastAsia" w:ascii="宋体" w:hAnsi="宋体" w:cs="宋体"/>
                <w:color w:val="000000"/>
                <w:kern w:val="0"/>
                <w:sz w:val="22"/>
              </w:rPr>
              <w:br w:type="textWrapping"/>
            </w:r>
            <w:r>
              <w:rPr>
                <w:rFonts w:hint="eastAsia" w:ascii="宋体" w:hAnsi="宋体" w:cs="宋体"/>
                <w:color w:val="000000"/>
                <w:kern w:val="0"/>
                <w:sz w:val="22"/>
              </w:rPr>
              <w:t>支持监控画面云台控制，可实现云台锁定，用户云台抢占；</w:t>
            </w:r>
            <w:r>
              <w:rPr>
                <w:rFonts w:hint="eastAsia" w:ascii="宋体" w:hAnsi="宋体" w:cs="宋体"/>
                <w:color w:val="000000"/>
                <w:kern w:val="0"/>
                <w:sz w:val="22"/>
              </w:rPr>
              <w:br w:type="textWrapping"/>
            </w:r>
            <w:r>
              <w:rPr>
                <w:rFonts w:hint="eastAsia" w:ascii="宋体" w:hAnsi="宋体" w:cs="宋体"/>
                <w:color w:val="000000"/>
                <w:kern w:val="0"/>
                <w:sz w:val="22"/>
              </w:rPr>
              <w:t>支持预置点、巡航、轨迹设置，支持预置点、巡航，轨迹切换；</w:t>
            </w:r>
            <w:r>
              <w:rPr>
                <w:rFonts w:hint="eastAsia" w:ascii="宋体" w:hAnsi="宋体" w:cs="宋体"/>
                <w:color w:val="000000"/>
                <w:kern w:val="0"/>
                <w:sz w:val="22"/>
              </w:rPr>
              <w:br w:type="textWrapping"/>
            </w:r>
            <w:r>
              <w:rPr>
                <w:rFonts w:hint="eastAsia" w:ascii="宋体" w:hAnsi="宋体" w:cs="宋体"/>
                <w:color w:val="000000"/>
                <w:kern w:val="0"/>
                <w:sz w:val="22"/>
              </w:rPr>
              <w:t>支持对监控点画面亮度、色度、对比度、饱和度设置</w:t>
            </w:r>
            <w:r>
              <w:rPr>
                <w:rFonts w:hint="eastAsia" w:ascii="宋体" w:hAnsi="宋体" w:cs="宋体"/>
                <w:color w:val="000000"/>
                <w:kern w:val="0"/>
                <w:sz w:val="22"/>
              </w:rPr>
              <w:br w:type="textWrapping"/>
            </w:r>
            <w:r>
              <w:rPr>
                <w:rFonts w:hint="eastAsia" w:ascii="宋体" w:hAnsi="宋体" w:cs="宋体"/>
                <w:color w:val="000000"/>
                <w:kern w:val="0"/>
                <w:sz w:val="22"/>
              </w:rPr>
              <w:t>支持预览窗口布局切换，，可实现预览画面自适应和全屏切换设置；</w:t>
            </w:r>
            <w:r>
              <w:rPr>
                <w:rFonts w:hint="eastAsia" w:ascii="宋体" w:hAnsi="宋体" w:cs="宋体"/>
                <w:color w:val="000000"/>
                <w:kern w:val="0"/>
                <w:sz w:val="22"/>
              </w:rPr>
              <w:br w:type="textWrapping"/>
            </w:r>
            <w:r>
              <w:rPr>
                <w:rFonts w:hint="eastAsia" w:ascii="宋体" w:hAnsi="宋体" w:cs="宋体"/>
                <w:color w:val="000000"/>
                <w:kern w:val="0"/>
                <w:sz w:val="22"/>
              </w:rPr>
              <w:t>支持监控画面中紧急录像、即时回放、主子码流切换、声音开启/关闭；</w:t>
            </w:r>
            <w:r>
              <w:rPr>
                <w:rFonts w:hint="eastAsia" w:ascii="宋体" w:hAnsi="宋体" w:cs="宋体"/>
                <w:color w:val="000000"/>
                <w:kern w:val="0"/>
                <w:sz w:val="22"/>
              </w:rPr>
              <w:br w:type="textWrapping"/>
            </w:r>
            <w:r>
              <w:rPr>
                <w:rFonts w:hint="eastAsia" w:ascii="宋体" w:hAnsi="宋体" w:cs="宋体"/>
                <w:color w:val="000000"/>
                <w:kern w:val="0"/>
                <w:sz w:val="22"/>
              </w:rPr>
              <w:t>支持监控画面显示码流信息（帧率，分辨率，编码格式分装格式、主子码流类型）；</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套</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2259"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5</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安全应用服务器</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★2*Xeon Gold 5218 12C 105W 2.3G ,2*32G DDR4, 4*1.2T 2.5寸 SAS硬盘 1*240G M.2 硬盘 1*480GSSD硬盘 ,支持RAID 0,1,5 , 2GB缓存。4x1000M网卡, 6*双口万兆带光纤模块 配置RTX5000专业图形显卡×2双口16G  HBA卡*2  2*550W；</w:t>
            </w:r>
          </w:p>
          <w:p>
            <w:pPr>
              <w:widowControl/>
              <w:jc w:val="left"/>
              <w:rPr>
                <w:rFonts w:ascii="宋体" w:hAnsi="宋体" w:cs="宋体"/>
                <w:color w:val="000000"/>
                <w:kern w:val="0"/>
                <w:sz w:val="22"/>
              </w:rPr>
            </w:pPr>
            <w:r>
              <w:rPr>
                <w:rFonts w:hint="eastAsia" w:ascii="宋体" w:hAnsi="宋体" w:cs="宋体"/>
                <w:color w:val="000000"/>
                <w:kern w:val="0"/>
                <w:sz w:val="22"/>
              </w:rPr>
              <w:t>5年原厂硬盘不返还；</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w:t>
            </w:r>
          </w:p>
        </w:tc>
      </w:tr>
      <w:tr>
        <w:tblPrEx>
          <w:tblCellMar>
            <w:top w:w="0" w:type="dxa"/>
            <w:left w:w="108" w:type="dxa"/>
            <w:bottom w:w="0" w:type="dxa"/>
            <w:right w:w="108" w:type="dxa"/>
          </w:tblCellMar>
        </w:tblPrEx>
        <w:trPr>
          <w:trHeight w:val="857"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6</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三维建模平台（大楼以外区域）</w:t>
            </w:r>
          </w:p>
        </w:tc>
        <w:tc>
          <w:tcPr>
            <w:tcW w:w="5373" w:type="dxa"/>
            <w:gridSpan w:val="3"/>
            <w:tcBorders>
              <w:top w:val="nil"/>
              <w:left w:val="nil"/>
              <w:bottom w:val="single" w:color="auto" w:sz="4" w:space="0"/>
              <w:right w:val="single" w:color="auto" w:sz="4" w:space="0"/>
            </w:tcBorders>
            <w:shd w:val="clear" w:color="auto" w:fill="auto"/>
            <w:vAlign w:val="center"/>
          </w:tcPr>
          <w:p>
            <w:pPr>
              <w:pStyle w:val="85"/>
              <w:widowControl/>
              <w:spacing w:after="240"/>
              <w:ind w:left="432" w:firstLine="0" w:firstLineChars="0"/>
              <w:jc w:val="left"/>
              <w:rPr>
                <w:rFonts w:ascii="宋体" w:hAnsi="宋体" w:cs="宋体"/>
                <w:color w:val="000000"/>
                <w:kern w:val="0"/>
                <w:sz w:val="22"/>
              </w:rPr>
            </w:pPr>
            <w:r>
              <w:rPr>
                <w:rFonts w:hint="eastAsia" w:ascii="宋体" w:hAnsi="宋体" w:cs="宋体"/>
                <w:b/>
                <w:color w:val="000000"/>
                <w:kern w:val="0"/>
                <w:sz w:val="22"/>
              </w:rPr>
              <w:t>三维地图数据</w:t>
            </w:r>
            <w:r>
              <w:rPr>
                <w:rFonts w:hint="eastAsia" w:ascii="宋体" w:hAnsi="宋体" w:cs="宋体"/>
                <w:color w:val="000000"/>
                <w:kern w:val="0"/>
                <w:sz w:val="22"/>
              </w:rPr>
              <w:br w:type="textWrapping"/>
            </w:r>
            <w:r>
              <w:rPr>
                <w:rFonts w:hint="eastAsia" w:ascii="宋体" w:hAnsi="宋体" w:cs="宋体"/>
                <w:color w:val="000000"/>
                <w:kern w:val="0"/>
                <w:sz w:val="22"/>
              </w:rPr>
              <w:t>项目招标主体座落区域，含四至范围道路包围的完整地块区域；</w:t>
            </w:r>
            <w:r>
              <w:rPr>
                <w:rFonts w:hint="eastAsia" w:ascii="宋体" w:hAnsi="宋体" w:cs="宋体"/>
                <w:color w:val="000000"/>
                <w:kern w:val="0"/>
                <w:sz w:val="22"/>
              </w:rPr>
              <w:br w:type="textWrapping"/>
            </w:r>
            <w:r>
              <w:rPr>
                <w:rFonts w:hint="eastAsia" w:ascii="宋体" w:hAnsi="宋体" w:cs="宋体"/>
                <w:color w:val="000000"/>
                <w:kern w:val="0"/>
                <w:sz w:val="22"/>
              </w:rPr>
              <w:t>数据内容：</w:t>
            </w:r>
            <w:r>
              <w:rPr>
                <w:rFonts w:hint="eastAsia" w:ascii="宋体" w:hAnsi="宋体" w:cs="宋体"/>
                <w:color w:val="000000"/>
                <w:kern w:val="0"/>
                <w:sz w:val="22"/>
              </w:rPr>
              <w:br w:type="textWrapping"/>
            </w:r>
            <w:r>
              <w:rPr>
                <w:rFonts w:hint="eastAsia" w:ascii="宋体" w:hAnsi="宋体" w:cs="宋体"/>
                <w:color w:val="000000"/>
                <w:kern w:val="0"/>
                <w:sz w:val="22"/>
              </w:rPr>
              <w:t>含室外的围墙、道路、建筑、绿化、水系及各类小品；</w:t>
            </w:r>
            <w:r>
              <w:rPr>
                <w:rFonts w:hint="eastAsia" w:ascii="宋体" w:hAnsi="宋体" w:cs="宋体"/>
                <w:color w:val="000000"/>
                <w:kern w:val="0"/>
                <w:sz w:val="22"/>
              </w:rPr>
              <w:br w:type="textWrapping"/>
            </w:r>
            <w:r>
              <w:rPr>
                <w:rFonts w:hint="eastAsia" w:ascii="宋体" w:hAnsi="宋体" w:cs="宋体"/>
                <w:color w:val="000000"/>
                <w:kern w:val="0"/>
                <w:sz w:val="22"/>
              </w:rPr>
              <w:t>数据建设要求：</w:t>
            </w:r>
            <w:r>
              <w:rPr>
                <w:rFonts w:hint="eastAsia" w:ascii="宋体" w:hAnsi="宋体" w:cs="宋体"/>
                <w:color w:val="000000"/>
                <w:kern w:val="0"/>
                <w:sz w:val="22"/>
              </w:rPr>
              <w:br w:type="textWrapping"/>
            </w:r>
            <w:r>
              <w:rPr>
                <w:rFonts w:hint="eastAsia" w:ascii="宋体" w:hAnsi="宋体" w:cs="宋体"/>
                <w:color w:val="000000"/>
                <w:kern w:val="0"/>
                <w:sz w:val="22"/>
              </w:rPr>
              <w:t>采用两套数据模式输出：带实景贴图的三维场景和半透明虚拟三维场景；</w:t>
            </w:r>
            <w:r>
              <w:rPr>
                <w:rFonts w:hint="eastAsia" w:ascii="宋体" w:hAnsi="宋体" w:cs="宋体"/>
                <w:color w:val="000000"/>
                <w:kern w:val="0"/>
                <w:sz w:val="22"/>
              </w:rPr>
              <w:br w:type="textWrapping"/>
            </w:r>
            <w:r>
              <w:rPr>
                <w:rFonts w:hint="eastAsia" w:ascii="宋体" w:hAnsi="宋体" w:cs="宋体"/>
                <w:color w:val="000000"/>
                <w:kern w:val="0"/>
                <w:sz w:val="22"/>
              </w:rPr>
              <w:t>支持完整场景的数据类融合，包含底图高清影像数据、生产的三维模型数据，及业务图层数据的融合；</w:t>
            </w:r>
            <w:r>
              <w:rPr>
                <w:rFonts w:hint="eastAsia" w:ascii="宋体" w:hAnsi="宋体" w:cs="宋体"/>
                <w:color w:val="000000"/>
                <w:kern w:val="0"/>
                <w:sz w:val="22"/>
              </w:rPr>
              <w:br w:type="textWrapping"/>
            </w:r>
            <w:r>
              <w:rPr>
                <w:rFonts w:hint="eastAsia" w:ascii="宋体" w:hAnsi="宋体" w:cs="宋体"/>
                <w:color w:val="000000"/>
                <w:kern w:val="0"/>
                <w:sz w:val="22"/>
              </w:rPr>
              <w:t>采用标准的三维建模工具进行数据生产，数据格式需通用且包含完整的结构数据及各类资源数据，数据生产需符合《CH/T 9015-2012 三维地理信息模型数据产品规范》要求；</w:t>
            </w:r>
            <w:r>
              <w:rPr>
                <w:rFonts w:hint="eastAsia" w:ascii="宋体" w:hAnsi="宋体" w:cs="宋体"/>
                <w:color w:val="000000"/>
                <w:kern w:val="0"/>
                <w:sz w:val="22"/>
              </w:rPr>
              <w:br w:type="textWrapping"/>
            </w:r>
            <w:r>
              <w:rPr>
                <w:rFonts w:hint="eastAsia" w:ascii="宋体" w:hAnsi="宋体" w:cs="宋体"/>
                <w:color w:val="000000"/>
                <w:kern w:val="0"/>
                <w:sz w:val="22"/>
              </w:rPr>
              <w:t>三维建模所需的纹理贴图，需与实际现状一致；</w:t>
            </w:r>
            <w:r>
              <w:rPr>
                <w:rFonts w:hint="eastAsia" w:ascii="宋体" w:hAnsi="宋体" w:cs="宋体"/>
                <w:color w:val="000000"/>
                <w:kern w:val="0"/>
                <w:sz w:val="22"/>
              </w:rPr>
              <w:br w:type="textWrapping"/>
            </w:r>
            <w:r>
              <w:rPr>
                <w:rFonts w:hint="eastAsia" w:ascii="宋体" w:hAnsi="宋体" w:cs="宋体"/>
                <w:color w:val="000000"/>
                <w:kern w:val="0"/>
                <w:sz w:val="22"/>
              </w:rPr>
              <w:t>数据精度要求控制在20cm以内；</w:t>
            </w:r>
            <w:r>
              <w:rPr>
                <w:rFonts w:hint="eastAsia" w:ascii="宋体" w:hAnsi="宋体" w:cs="宋体"/>
                <w:color w:val="000000"/>
                <w:kern w:val="0"/>
                <w:sz w:val="22"/>
              </w:rPr>
              <w:br w:type="textWrapping"/>
            </w:r>
            <w:r>
              <w:rPr>
                <w:rFonts w:hint="eastAsia" w:ascii="宋体" w:hAnsi="宋体" w:cs="宋体"/>
                <w:color w:val="000000"/>
                <w:kern w:val="0"/>
                <w:sz w:val="22"/>
              </w:rPr>
              <w:t>对与各类管理单元所对应的模型对象，需建设标准模型库及独立模型文件，作为最终成果数据一并提交；</w:t>
            </w:r>
            <w:r>
              <w:rPr>
                <w:rFonts w:hint="eastAsia" w:ascii="宋体" w:hAnsi="宋体" w:cs="宋体"/>
                <w:color w:val="000000"/>
                <w:kern w:val="0"/>
                <w:sz w:val="22"/>
              </w:rPr>
              <w:br w:type="textWrapping"/>
            </w:r>
            <w:r>
              <w:rPr>
                <w:rFonts w:hint="eastAsia" w:ascii="宋体" w:hAnsi="宋体" w:cs="宋体"/>
                <w:color w:val="000000"/>
                <w:kern w:val="0"/>
                <w:sz w:val="22"/>
              </w:rPr>
              <w:t>对最终应用数据，需建设实效的模型数据库，满足网络分发和共享应用，需符合《CH/T 9017-2012 三维地理信息模型数据库规范》建设要求；</w:t>
            </w:r>
            <w:r>
              <w:rPr>
                <w:rFonts w:hint="eastAsia" w:ascii="宋体" w:hAnsi="宋体" w:cs="宋体"/>
                <w:color w:val="000000"/>
                <w:kern w:val="0"/>
                <w:sz w:val="22"/>
              </w:rPr>
              <w:br w:type="textWrapping"/>
            </w:r>
            <w:r>
              <w:rPr>
                <w:rFonts w:hint="eastAsia" w:ascii="宋体" w:hAnsi="宋体" w:cs="宋体"/>
                <w:b/>
                <w:color w:val="000000"/>
                <w:kern w:val="0"/>
                <w:sz w:val="22"/>
              </w:rPr>
              <w:t>三维地图引擎</w:t>
            </w:r>
            <w:r>
              <w:rPr>
                <w:rFonts w:hint="eastAsia" w:ascii="宋体" w:hAnsi="宋体" w:cs="宋体"/>
                <w:color w:val="000000"/>
                <w:kern w:val="0"/>
                <w:sz w:val="22"/>
              </w:rPr>
              <w:br w:type="textWrapping"/>
            </w:r>
            <w:r>
              <w:rPr>
                <w:rFonts w:hint="eastAsia" w:ascii="宋体" w:hAnsi="宋体" w:cs="宋体"/>
                <w:color w:val="000000"/>
                <w:kern w:val="0"/>
                <w:sz w:val="22"/>
              </w:rPr>
              <w:t>基本要求：</w:t>
            </w:r>
            <w:r>
              <w:rPr>
                <w:rFonts w:hint="eastAsia" w:ascii="宋体" w:hAnsi="宋体" w:cs="宋体"/>
                <w:color w:val="000000"/>
                <w:kern w:val="0"/>
                <w:sz w:val="22"/>
              </w:rPr>
              <w:br w:type="textWrapping"/>
            </w:r>
            <w:r>
              <w:rPr>
                <w:rFonts w:hint="eastAsia" w:ascii="宋体" w:hAnsi="宋体" w:cs="宋体"/>
                <w:color w:val="000000"/>
                <w:kern w:val="0"/>
                <w:sz w:val="22"/>
              </w:rPr>
              <w:t>采用B/S构架，用户端应用不需要下载及安装任何插件，直接用WEB浏览器使用平台的所有功能；</w:t>
            </w:r>
            <w:r>
              <w:rPr>
                <w:rFonts w:hint="eastAsia" w:ascii="宋体" w:hAnsi="宋体" w:cs="宋体"/>
                <w:color w:val="000000"/>
                <w:kern w:val="0"/>
                <w:sz w:val="22"/>
              </w:rPr>
              <w:br w:type="textWrapping"/>
            </w:r>
            <w:r>
              <w:rPr>
                <w:rFonts w:hint="eastAsia" w:ascii="宋体" w:hAnsi="宋体" w:cs="宋体"/>
                <w:color w:val="000000"/>
                <w:kern w:val="0"/>
                <w:sz w:val="22"/>
              </w:rPr>
              <w:t>具有国产自主知识产权，支持应用功能定制及开发；</w:t>
            </w:r>
            <w:r>
              <w:rPr>
                <w:rFonts w:hint="eastAsia" w:ascii="宋体" w:hAnsi="宋体" w:cs="宋体"/>
                <w:color w:val="000000"/>
                <w:kern w:val="0"/>
                <w:sz w:val="22"/>
              </w:rPr>
              <w:br w:type="textWrapping"/>
            </w:r>
            <w:r>
              <w:rPr>
                <w:rFonts w:hint="eastAsia" w:ascii="宋体" w:hAnsi="宋体" w:cs="宋体"/>
                <w:color w:val="000000"/>
                <w:kern w:val="0"/>
                <w:sz w:val="22"/>
              </w:rPr>
              <w:t>支持室外、室内一体化的三维地图可视化应用，实现基于空间位置的调用和交互；</w:t>
            </w:r>
            <w:r>
              <w:rPr>
                <w:rFonts w:hint="eastAsia" w:ascii="宋体" w:hAnsi="宋体" w:cs="宋体"/>
                <w:color w:val="000000"/>
                <w:kern w:val="0"/>
                <w:sz w:val="22"/>
              </w:rPr>
              <w:br w:type="textWrapping"/>
            </w:r>
            <w:r>
              <w:rPr>
                <w:rFonts w:hint="eastAsia" w:ascii="宋体" w:hAnsi="宋体" w:cs="宋体"/>
                <w:color w:val="000000"/>
                <w:kern w:val="0"/>
                <w:sz w:val="22"/>
              </w:rPr>
              <w:t>支持多种类的数据融合，包含影像数据、三维模型数据、实景模型数据、矢量图层数据及业务图层数据的融合；</w:t>
            </w:r>
            <w:r>
              <w:rPr>
                <w:rFonts w:hint="eastAsia" w:ascii="宋体" w:hAnsi="宋体" w:cs="宋体"/>
                <w:color w:val="000000"/>
                <w:kern w:val="0"/>
                <w:sz w:val="22"/>
              </w:rPr>
              <w:br w:type="textWrapping"/>
            </w:r>
            <w:r>
              <w:rPr>
                <w:rFonts w:hint="eastAsia" w:ascii="宋体" w:hAnsi="宋体" w:cs="宋体"/>
                <w:color w:val="000000"/>
                <w:kern w:val="0"/>
                <w:sz w:val="22"/>
              </w:rPr>
              <w:t>支持多种类骨骼动画模拟，如巡逻人员、车辆及作战指挥动态图标等；</w:t>
            </w:r>
            <w:r>
              <w:rPr>
                <w:rFonts w:hint="eastAsia" w:ascii="宋体" w:hAnsi="宋体" w:cs="宋体"/>
                <w:color w:val="000000"/>
                <w:kern w:val="0"/>
                <w:sz w:val="22"/>
              </w:rPr>
              <w:br w:type="textWrapping"/>
            </w:r>
            <w:r>
              <w:rPr>
                <w:rFonts w:hint="eastAsia" w:ascii="宋体" w:hAnsi="宋体" w:cs="宋体"/>
                <w:color w:val="000000"/>
                <w:kern w:val="0"/>
                <w:sz w:val="22"/>
              </w:rPr>
              <w:t xml:space="preserve">同平台支持数据可视化应用，对综合应用平台中的统计数据、分析数据及实时数据，进行数据可视化应用； </w:t>
            </w:r>
            <w:r>
              <w:rPr>
                <w:rFonts w:hint="eastAsia" w:ascii="宋体" w:hAnsi="宋体" w:cs="宋体"/>
                <w:color w:val="000000"/>
                <w:kern w:val="0"/>
                <w:sz w:val="22"/>
              </w:rPr>
              <w:br w:type="textWrapping"/>
            </w:r>
            <w:r>
              <w:rPr>
                <w:rFonts w:hint="eastAsia" w:ascii="宋体" w:hAnsi="宋体" w:cs="宋体"/>
                <w:color w:val="000000"/>
                <w:kern w:val="0"/>
                <w:sz w:val="22"/>
              </w:rPr>
              <w:t>支持键盘操作；支持触摸屏操作；</w:t>
            </w:r>
            <w:r>
              <w:rPr>
                <w:rFonts w:hint="eastAsia" w:ascii="宋体" w:hAnsi="宋体" w:cs="宋体"/>
                <w:color w:val="000000"/>
                <w:kern w:val="0"/>
                <w:sz w:val="22"/>
              </w:rPr>
              <w:br w:type="textWrapping"/>
            </w:r>
            <w:r>
              <w:rPr>
                <w:rFonts w:hint="eastAsia" w:ascii="宋体" w:hAnsi="宋体" w:cs="宋体"/>
                <w:color w:val="000000"/>
                <w:kern w:val="0"/>
                <w:sz w:val="22"/>
              </w:rPr>
              <w:t>性能要求：</w:t>
            </w:r>
            <w:r>
              <w:rPr>
                <w:rFonts w:hint="eastAsia" w:ascii="宋体" w:hAnsi="宋体" w:cs="宋体"/>
                <w:color w:val="000000"/>
                <w:kern w:val="0"/>
                <w:sz w:val="22"/>
              </w:rPr>
              <w:br w:type="textWrapping"/>
            </w:r>
            <w:r>
              <w:rPr>
                <w:rFonts w:hint="eastAsia" w:ascii="宋体" w:hAnsi="宋体" w:cs="宋体"/>
                <w:color w:val="000000"/>
                <w:kern w:val="0"/>
                <w:sz w:val="22"/>
              </w:rPr>
              <w:t>不限并发用户数量；</w:t>
            </w:r>
            <w:r>
              <w:rPr>
                <w:rFonts w:hint="eastAsia" w:ascii="宋体" w:hAnsi="宋体" w:cs="宋体"/>
                <w:color w:val="000000"/>
                <w:kern w:val="0"/>
                <w:sz w:val="22"/>
              </w:rPr>
              <w:br w:type="textWrapping"/>
            </w:r>
            <w:r>
              <w:rPr>
                <w:rFonts w:hint="eastAsia" w:ascii="宋体" w:hAnsi="宋体" w:cs="宋体"/>
                <w:color w:val="000000"/>
                <w:kern w:val="0"/>
                <w:sz w:val="22"/>
              </w:rPr>
              <w:t>不限数据承载量；</w:t>
            </w:r>
            <w:r>
              <w:rPr>
                <w:rFonts w:hint="eastAsia" w:ascii="宋体" w:hAnsi="宋体" w:cs="宋体"/>
                <w:color w:val="000000"/>
                <w:kern w:val="0"/>
                <w:sz w:val="22"/>
              </w:rPr>
              <w:br w:type="textWrapping"/>
            </w:r>
            <w:r>
              <w:rPr>
                <w:rFonts w:hint="eastAsia" w:ascii="宋体" w:hAnsi="宋体" w:cs="宋体"/>
                <w:color w:val="000000"/>
                <w:kern w:val="0"/>
                <w:sz w:val="22"/>
              </w:rPr>
              <w:t>地图加载服务响应完成时间低于3s；</w:t>
            </w:r>
            <w:r>
              <w:rPr>
                <w:rFonts w:hint="eastAsia" w:ascii="宋体" w:hAnsi="宋体" w:cs="宋体"/>
                <w:color w:val="000000"/>
                <w:kern w:val="0"/>
                <w:sz w:val="22"/>
              </w:rPr>
              <w:br w:type="textWrapping"/>
            </w:r>
            <w:r>
              <w:rPr>
                <w:rFonts w:hint="eastAsia" w:ascii="宋体" w:hAnsi="宋体" w:cs="宋体"/>
                <w:color w:val="000000"/>
                <w:kern w:val="0"/>
                <w:sz w:val="22"/>
              </w:rPr>
              <w:t>平均三维渲染帧率不低于15帧/秒；</w:t>
            </w:r>
            <w:r>
              <w:rPr>
                <w:rFonts w:hint="eastAsia" w:ascii="宋体" w:hAnsi="宋体" w:cs="宋体"/>
                <w:color w:val="000000"/>
                <w:kern w:val="0"/>
                <w:sz w:val="22"/>
              </w:rPr>
              <w:br w:type="textWrapping"/>
            </w:r>
            <w:r>
              <w:rPr>
                <w:rFonts w:hint="eastAsia" w:ascii="宋体" w:hAnsi="宋体" w:cs="宋体"/>
                <w:color w:val="000000"/>
                <w:kern w:val="0"/>
                <w:sz w:val="22"/>
              </w:rPr>
              <w:t>地图前端应用支持不低于99999个设备管理；</w:t>
            </w:r>
            <w:r>
              <w:rPr>
                <w:rFonts w:hint="eastAsia" w:ascii="宋体" w:hAnsi="宋体" w:cs="宋体"/>
                <w:color w:val="000000"/>
                <w:kern w:val="0"/>
                <w:sz w:val="22"/>
              </w:rPr>
              <w:br w:type="textWrapping"/>
            </w:r>
            <w:r>
              <w:rPr>
                <w:rFonts w:hint="eastAsia" w:ascii="宋体" w:hAnsi="宋体" w:cs="宋体"/>
                <w:color w:val="000000"/>
                <w:kern w:val="0"/>
                <w:sz w:val="22"/>
              </w:rPr>
              <w:t>地图前端在不明显影响地图响应效率情况下，支持同时打开不低于8路相机实时预览画面；</w:t>
            </w:r>
            <w:r>
              <w:rPr>
                <w:rFonts w:hint="eastAsia" w:ascii="宋体" w:hAnsi="宋体" w:cs="宋体"/>
                <w:color w:val="000000"/>
                <w:kern w:val="0"/>
                <w:sz w:val="22"/>
              </w:rPr>
              <w:br w:type="textWrapping"/>
            </w:r>
            <w:r>
              <w:rPr>
                <w:rFonts w:hint="eastAsia" w:ascii="宋体" w:hAnsi="宋体" w:cs="宋体"/>
                <w:b/>
                <w:color w:val="000000"/>
                <w:kern w:val="0"/>
                <w:sz w:val="22"/>
              </w:rPr>
              <w:t>智慧安防三维地图应用平台</w:t>
            </w:r>
            <w:r>
              <w:rPr>
                <w:rFonts w:hint="eastAsia" w:ascii="宋体" w:hAnsi="宋体" w:cs="宋体"/>
                <w:b/>
                <w:color w:val="000000"/>
                <w:kern w:val="0"/>
                <w:sz w:val="22"/>
              </w:rPr>
              <w:br w:type="textWrapping"/>
            </w:r>
            <w:r>
              <w:rPr>
                <w:rFonts w:hint="eastAsia" w:ascii="宋体" w:hAnsi="宋体" w:cs="宋体"/>
                <w:color w:val="000000"/>
                <w:kern w:val="0"/>
                <w:sz w:val="22"/>
              </w:rPr>
              <w:t>管理服务要求：</w:t>
            </w:r>
            <w:r>
              <w:rPr>
                <w:rFonts w:hint="eastAsia" w:ascii="宋体" w:hAnsi="宋体" w:cs="宋体"/>
                <w:color w:val="000000"/>
                <w:kern w:val="0"/>
                <w:sz w:val="22"/>
              </w:rPr>
              <w:br w:type="textWrapping"/>
            </w:r>
            <w:r>
              <w:rPr>
                <w:rFonts w:hint="eastAsia" w:ascii="宋体" w:hAnsi="宋体" w:cs="宋体"/>
                <w:color w:val="000000"/>
                <w:kern w:val="0"/>
                <w:sz w:val="22"/>
              </w:rPr>
              <w:t xml:space="preserve">权限管理服务：支持独立用户登录、与综合安防平台同步帐号方式两种登录方式； </w:t>
            </w:r>
            <w:r>
              <w:rPr>
                <w:rFonts w:hint="eastAsia" w:ascii="宋体" w:hAnsi="宋体" w:cs="宋体"/>
                <w:color w:val="000000"/>
                <w:kern w:val="0"/>
                <w:sz w:val="22"/>
              </w:rPr>
              <w:br w:type="textWrapping"/>
            </w:r>
            <w:r>
              <w:rPr>
                <w:rFonts w:hint="eastAsia" w:ascii="宋体" w:hAnsi="宋体" w:cs="宋体"/>
                <w:color w:val="000000"/>
                <w:kern w:val="0"/>
                <w:sz w:val="22"/>
              </w:rPr>
              <w:t>点位上图管理服务：支持各类物联网设备快速、便捷添加上图功能；支持点位列表更新同步功能；支持监控点的地面可视区域生成及手动位置调整功能；</w:t>
            </w:r>
            <w:r>
              <w:rPr>
                <w:rFonts w:hint="eastAsia" w:ascii="宋体" w:hAnsi="宋体" w:cs="宋体"/>
                <w:color w:val="000000"/>
                <w:kern w:val="0"/>
                <w:sz w:val="22"/>
              </w:rPr>
              <w:br w:type="textWrapping"/>
            </w:r>
            <w:r>
              <w:rPr>
                <w:rFonts w:hint="eastAsia" w:ascii="宋体" w:hAnsi="宋体" w:cs="宋体"/>
                <w:color w:val="000000"/>
                <w:kern w:val="0"/>
                <w:sz w:val="22"/>
              </w:rPr>
              <w:t>信号接入存储分发服务：支持GB/T 28181协议标准，与其他国标平台实现对接；支持获取第三方厂商设备信息、报警信息等；</w:t>
            </w:r>
            <w:r>
              <w:rPr>
                <w:rFonts w:hint="eastAsia" w:ascii="宋体" w:hAnsi="宋体" w:cs="宋体"/>
                <w:color w:val="000000"/>
                <w:kern w:val="0"/>
                <w:sz w:val="22"/>
              </w:rPr>
              <w:br w:type="textWrapping"/>
            </w:r>
            <w:r>
              <w:rPr>
                <w:rFonts w:hint="eastAsia" w:ascii="宋体" w:hAnsi="宋体" w:cs="宋体"/>
                <w:color w:val="000000"/>
                <w:kern w:val="0"/>
                <w:sz w:val="22"/>
              </w:rPr>
              <w:t>功能要求：</w:t>
            </w:r>
            <w:r>
              <w:rPr>
                <w:rFonts w:hint="eastAsia" w:ascii="宋体" w:hAnsi="宋体" w:cs="宋体"/>
                <w:color w:val="000000"/>
                <w:kern w:val="0"/>
                <w:sz w:val="22"/>
              </w:rPr>
              <w:br w:type="textWrapping"/>
            </w:r>
            <w:r>
              <w:rPr>
                <w:rFonts w:hint="eastAsia" w:ascii="宋体" w:hAnsi="宋体" w:cs="宋体"/>
                <w:color w:val="000000"/>
                <w:kern w:val="0"/>
                <w:sz w:val="22"/>
              </w:rPr>
              <w:t>相机图标分布应用：对区域的所有图上摄像机可通过视频图标方式查看综合分布情况；支持对室外、室内的相机分布区分；</w:t>
            </w:r>
            <w:r>
              <w:rPr>
                <w:rFonts w:hint="eastAsia" w:ascii="宋体" w:hAnsi="宋体" w:cs="宋体"/>
                <w:color w:val="000000"/>
                <w:kern w:val="0"/>
                <w:sz w:val="22"/>
              </w:rPr>
              <w:br w:type="textWrapping"/>
            </w:r>
            <w:r>
              <w:rPr>
                <w:rFonts w:hint="eastAsia" w:ascii="宋体" w:hAnsi="宋体" w:cs="宋体"/>
                <w:color w:val="000000"/>
                <w:kern w:val="0"/>
                <w:sz w:val="22"/>
              </w:rPr>
              <w:t>相机可视区域：通过相机的预览画面，构建该相机的视景可视区域，数字化表达监控的盲区、盲点；</w:t>
            </w:r>
            <w:r>
              <w:rPr>
                <w:rFonts w:hint="eastAsia" w:ascii="宋体" w:hAnsi="宋体" w:cs="宋体"/>
                <w:color w:val="000000"/>
                <w:kern w:val="0"/>
                <w:sz w:val="22"/>
              </w:rPr>
              <w:br w:type="textWrapping"/>
            </w:r>
            <w:r>
              <w:rPr>
                <w:rFonts w:hint="eastAsia" w:ascii="宋体" w:hAnsi="宋体" w:cs="宋体"/>
                <w:color w:val="000000"/>
                <w:kern w:val="0"/>
                <w:sz w:val="22"/>
              </w:rPr>
              <w:t>视频联动功能：支持点击相机模型，弹出该相机的实时预览及回放；支持鼠标移动到相机图标，显示该相机的可视区域，辅助操作人员对相机监控范围的直观图形化表达；</w:t>
            </w:r>
            <w:r>
              <w:rPr>
                <w:rFonts w:hint="eastAsia" w:ascii="宋体" w:hAnsi="宋体" w:cs="宋体"/>
                <w:color w:val="000000"/>
                <w:kern w:val="0"/>
                <w:sz w:val="22"/>
              </w:rPr>
              <w:br w:type="textWrapping"/>
            </w:r>
            <w:r>
              <w:rPr>
                <w:rFonts w:hint="eastAsia" w:ascii="宋体" w:hAnsi="宋体" w:cs="宋体"/>
                <w:color w:val="000000"/>
                <w:kern w:val="0"/>
                <w:sz w:val="22"/>
              </w:rPr>
              <w:t xml:space="preserve">报警应用：支持对接人脸报警，周界电子围栏等报警信息；对各类报警信息能够按照不同地图响应方式来对报警信号划分报警等级；支持报警按照数量、类型及已/未处理进行统计； </w:t>
            </w:r>
            <w:r>
              <w:rPr>
                <w:rFonts w:hint="eastAsia" w:ascii="宋体" w:hAnsi="宋体" w:cs="宋体"/>
                <w:color w:val="000000"/>
                <w:kern w:val="0"/>
                <w:sz w:val="22"/>
              </w:rPr>
              <w:br w:type="textWrapping"/>
            </w:r>
            <w:r>
              <w:rPr>
                <w:rFonts w:hint="eastAsia" w:ascii="宋体" w:hAnsi="宋体" w:cs="宋体"/>
                <w:color w:val="000000"/>
                <w:kern w:val="0"/>
                <w:sz w:val="22"/>
              </w:rPr>
              <w:t xml:space="preserve">人脸识别应用：支持人脸相机分布查看；支持人员黑名单告警，重点人员布控，主动弹出相应人脸相机预览；支持以图搜图查询人像对比结果，并对查询结果形成人脸轨迹； </w:t>
            </w:r>
            <w:r>
              <w:rPr>
                <w:rFonts w:hint="eastAsia" w:ascii="宋体" w:hAnsi="宋体" w:cs="宋体"/>
                <w:color w:val="000000"/>
                <w:kern w:val="0"/>
                <w:sz w:val="22"/>
              </w:rPr>
              <w:br w:type="textWrapping"/>
            </w:r>
            <w:r>
              <w:rPr>
                <w:rFonts w:hint="eastAsia" w:ascii="宋体" w:hAnsi="宋体" w:cs="宋体"/>
                <w:color w:val="000000"/>
                <w:kern w:val="0"/>
                <w:sz w:val="22"/>
              </w:rPr>
              <w:t>无限制视频巡逻：根据建模内的道路路网，进行智能分段，在区域内根据分段的道路路网，模拟巡逻人员沿着道路行走，对沿线的视频点位进行自动巡逻；对分段道路无限制，可以模拟巡逻人员走到任意的分段道路，无死角的进行自动巡逻。</w:t>
            </w:r>
            <w:r>
              <w:rPr>
                <w:rFonts w:hint="eastAsia" w:ascii="宋体" w:hAnsi="宋体" w:cs="宋体"/>
                <w:color w:val="000000"/>
                <w:kern w:val="0"/>
                <w:sz w:val="22"/>
              </w:rPr>
              <w:br w:type="textWrapping"/>
            </w:r>
            <w:r>
              <w:rPr>
                <w:rFonts w:hint="eastAsia" w:ascii="宋体" w:hAnsi="宋体" w:cs="宋体"/>
                <w:color w:val="000000"/>
                <w:kern w:val="0"/>
                <w:sz w:val="22"/>
              </w:rPr>
              <w:t>视频追查：所有的视频都基于它的地面可视区域的地理结构化数据进行准确分析；点查，点击三维场景中的任意位置，分析出能看到该位置的相机画面；线查：在三维场景中通过鼠标模拟勾画一条人员逃跑路线，分析出能够看到该路线上的所有相机画面；</w:t>
            </w:r>
          </w:p>
          <w:p>
            <w:pPr>
              <w:pStyle w:val="85"/>
              <w:widowControl/>
              <w:spacing w:after="240"/>
              <w:ind w:left="432" w:firstLine="0" w:firstLineChars="0"/>
              <w:jc w:val="left"/>
              <w:rPr>
                <w:rFonts w:ascii="宋体" w:hAnsi="宋体" w:cs="宋体"/>
                <w:color w:val="000000"/>
                <w:kern w:val="0"/>
                <w:sz w:val="22"/>
              </w:rPr>
            </w:pPr>
            <w:r>
              <w:rPr>
                <w:rFonts w:hint="eastAsia" w:ascii="宋体" w:hAnsi="宋体" w:cs="宋体"/>
                <w:color w:val="000000"/>
                <w:kern w:val="0"/>
                <w:sz w:val="22"/>
              </w:rPr>
              <w:t>★具有三维场景应用、三维可视化应用、三维集成应用、地图追查功能、全景地图指挥、视频围堵、人员轨迹跟踪、视频巡逻功能(提供第三方专业机构提供的软件测评报告)</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套</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2274"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7</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三维服务器</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★2*Xeon Gold 5218 12C 105W 2.3G ,2*32G DDR4, 4*1.2T 2.5寸 SAS硬盘 1*240G M.2 硬盘 1*480GSSD硬盘 ,支持RAID 0,1,5 , 2GB缓存。4x1000M网卡, 6*双口万兆带光纤模块 配置RTX5000专业图形显卡×2双口16G  HBA卡*2  2*550W；</w:t>
            </w:r>
          </w:p>
          <w:p>
            <w:pPr>
              <w:widowControl/>
              <w:jc w:val="left"/>
              <w:rPr>
                <w:rFonts w:ascii="宋体" w:hAnsi="宋体" w:cs="宋体"/>
                <w:color w:val="000000"/>
                <w:kern w:val="0"/>
                <w:sz w:val="22"/>
              </w:rPr>
            </w:pPr>
            <w:r>
              <w:rPr>
                <w:rFonts w:hint="eastAsia" w:ascii="宋体" w:hAnsi="宋体" w:cs="宋体"/>
                <w:color w:val="000000"/>
                <w:kern w:val="0"/>
                <w:sz w:val="22"/>
              </w:rPr>
              <w:t>5年原厂硬盘不返还；</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14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8</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三维平台显示终端</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处理器 i7-10700及以上</w:t>
            </w:r>
            <w:r>
              <w:rPr>
                <w:rFonts w:hint="eastAsia" w:ascii="宋体" w:hAnsi="宋体" w:cs="宋体"/>
                <w:color w:val="000000"/>
                <w:kern w:val="0"/>
                <w:sz w:val="22"/>
              </w:rPr>
              <w:br w:type="textWrapping"/>
            </w:r>
            <w:r>
              <w:rPr>
                <w:rFonts w:hint="eastAsia" w:ascii="宋体" w:hAnsi="宋体" w:cs="宋体"/>
                <w:color w:val="000000"/>
                <w:kern w:val="0"/>
                <w:sz w:val="22"/>
              </w:rPr>
              <w:t>显卡 GTX1660及以上</w:t>
            </w:r>
            <w:r>
              <w:rPr>
                <w:rFonts w:hint="eastAsia" w:ascii="宋体" w:hAnsi="宋体" w:cs="宋体"/>
                <w:color w:val="000000"/>
                <w:kern w:val="0"/>
                <w:sz w:val="22"/>
              </w:rPr>
              <w:br w:type="textWrapping"/>
            </w:r>
            <w:r>
              <w:rPr>
                <w:rFonts w:hint="eastAsia" w:ascii="宋体" w:hAnsi="宋体" w:cs="宋体"/>
                <w:color w:val="000000"/>
                <w:kern w:val="0"/>
                <w:sz w:val="22"/>
              </w:rPr>
              <w:t>内存 DDR4≥16G</w:t>
            </w:r>
            <w:r>
              <w:rPr>
                <w:rFonts w:hint="eastAsia" w:ascii="宋体" w:hAnsi="宋体" w:cs="宋体"/>
                <w:color w:val="000000"/>
                <w:kern w:val="0"/>
                <w:sz w:val="22"/>
              </w:rPr>
              <w:br w:type="textWrapping"/>
            </w:r>
            <w:r>
              <w:rPr>
                <w:rFonts w:hint="eastAsia" w:ascii="宋体" w:hAnsi="宋体" w:cs="宋体"/>
                <w:color w:val="000000"/>
                <w:kern w:val="0"/>
                <w:sz w:val="22"/>
              </w:rPr>
              <w:t>硬盘≥500G SSD</w:t>
            </w:r>
            <w:r>
              <w:rPr>
                <w:rFonts w:hint="eastAsia" w:ascii="宋体" w:hAnsi="宋体" w:cs="宋体"/>
                <w:color w:val="000000"/>
                <w:kern w:val="0"/>
                <w:sz w:val="22"/>
              </w:rPr>
              <w:br w:type="textWrapping"/>
            </w:r>
            <w:r>
              <w:rPr>
                <w:rFonts w:hint="eastAsia" w:ascii="宋体" w:hAnsi="宋体" w:cs="宋体"/>
                <w:color w:val="000000"/>
                <w:kern w:val="0"/>
                <w:sz w:val="22"/>
              </w:rPr>
              <w:t>显示器23.8寸</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408" w:hRule="atLeast"/>
        </w:trPr>
        <w:tc>
          <w:tcPr>
            <w:tcW w:w="926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八、网络设备</w:t>
            </w:r>
          </w:p>
        </w:tc>
      </w:tr>
      <w:tr>
        <w:tblPrEx>
          <w:tblCellMar>
            <w:top w:w="0" w:type="dxa"/>
            <w:left w:w="108" w:type="dxa"/>
            <w:bottom w:w="0" w:type="dxa"/>
            <w:right w:w="108" w:type="dxa"/>
          </w:tblCellMar>
        </w:tblPrEx>
        <w:trPr>
          <w:trHeight w:val="1707"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汇聚交换机</w:t>
            </w:r>
          </w:p>
        </w:tc>
        <w:tc>
          <w:tcPr>
            <w:tcW w:w="5373" w:type="dxa"/>
            <w:gridSpan w:val="3"/>
            <w:tcBorders>
              <w:top w:val="nil"/>
              <w:left w:val="nil"/>
              <w:bottom w:val="single" w:color="auto" w:sz="4" w:space="0"/>
              <w:right w:val="single" w:color="auto" w:sz="4" w:space="0"/>
            </w:tcBorders>
            <w:shd w:val="clear" w:color="auto" w:fill="auto"/>
            <w:vAlign w:val="center"/>
          </w:tcPr>
          <w:p>
            <w:pPr>
              <w:widowControl/>
              <w:spacing w:after="240"/>
              <w:jc w:val="left"/>
              <w:rPr>
                <w:rFonts w:ascii="宋体" w:hAnsi="宋体" w:cs="宋体"/>
                <w:color w:val="000000"/>
                <w:kern w:val="0"/>
                <w:sz w:val="22"/>
              </w:rPr>
            </w:pPr>
            <w:r>
              <w:rPr>
                <w:rFonts w:hint="eastAsia" w:ascii="宋体" w:hAnsi="宋体" w:cs="宋体"/>
                <w:color w:val="000000"/>
                <w:kern w:val="0"/>
                <w:sz w:val="22"/>
              </w:rPr>
              <w:t>★交换容量≥15Tbps，包转发率≥2800Mpps，主控引擎≥2整机业务板槽位数≥6，千兆以太网电接口≥16，千兆以太网光口≥16，万兆以太网光接口≥8</w:t>
            </w:r>
          </w:p>
          <w:p>
            <w:pPr>
              <w:widowControl/>
              <w:spacing w:after="240"/>
              <w:jc w:val="left"/>
              <w:rPr>
                <w:rFonts w:ascii="宋体" w:hAnsi="宋体" w:cs="宋体"/>
                <w:color w:val="000000"/>
                <w:kern w:val="0"/>
                <w:sz w:val="22"/>
              </w:rPr>
            </w:pPr>
            <w:r>
              <w:rPr>
                <w:rFonts w:hint="eastAsia" w:ascii="宋体" w:hAnsi="宋体" w:cs="宋体"/>
                <w:color w:val="000000"/>
                <w:kern w:val="0"/>
                <w:sz w:val="22"/>
              </w:rPr>
              <w:t>为保证设备散热效果和可靠性，要求设备支持模块化风扇框，可热插拔，独立风扇框数≥2，</w:t>
            </w:r>
          </w:p>
          <w:p>
            <w:pPr>
              <w:widowControl/>
              <w:spacing w:after="240"/>
              <w:jc w:val="left"/>
              <w:rPr>
                <w:rFonts w:ascii="宋体" w:hAnsi="宋体" w:cs="宋体"/>
                <w:color w:val="000000"/>
                <w:kern w:val="0"/>
                <w:sz w:val="22"/>
              </w:rPr>
            </w:pPr>
            <w:r>
              <w:rPr>
                <w:rFonts w:hint="eastAsia" w:ascii="宋体" w:hAnsi="宋体" w:cs="宋体"/>
                <w:color w:val="000000"/>
                <w:kern w:val="0"/>
                <w:sz w:val="22"/>
              </w:rPr>
              <w:t>支持颗粒化电源，整机电源槽位数&gt;2，</w:t>
            </w:r>
          </w:p>
          <w:p>
            <w:pPr>
              <w:widowControl/>
              <w:spacing w:after="240"/>
              <w:jc w:val="left"/>
              <w:rPr>
                <w:rFonts w:ascii="宋体" w:hAnsi="宋体" w:cs="宋体"/>
                <w:color w:val="000000"/>
                <w:kern w:val="0"/>
                <w:sz w:val="22"/>
              </w:rPr>
            </w:pPr>
            <w:r>
              <w:rPr>
                <w:rFonts w:hint="eastAsia" w:ascii="宋体" w:hAnsi="宋体" w:cs="宋体"/>
                <w:color w:val="000000"/>
                <w:kern w:val="0"/>
                <w:sz w:val="22"/>
              </w:rPr>
              <w:t>支持独立的硬件监控板卡, 控制平面和监控平面物理槽位分离，支持1+1备份，能集中监控风扇、电源等模块，能调节能耗，支持静态路由、RIP、RIPng、OSPF、OSPFv3、BGP、BGP4+、ISIS、ISISv6；支持路由协议多实例；</w:t>
            </w:r>
          </w:p>
          <w:p>
            <w:pPr>
              <w:widowControl/>
              <w:spacing w:after="240"/>
              <w:jc w:val="left"/>
              <w:rPr>
                <w:rFonts w:ascii="宋体" w:hAnsi="宋体" w:cs="宋体"/>
                <w:color w:val="000000"/>
                <w:kern w:val="0"/>
                <w:sz w:val="22"/>
              </w:rPr>
            </w:pPr>
            <w:r>
              <w:rPr>
                <w:rFonts w:hint="eastAsia" w:ascii="宋体" w:hAnsi="宋体" w:cs="宋体"/>
                <w:color w:val="000000"/>
                <w:kern w:val="0"/>
                <w:sz w:val="22"/>
              </w:rPr>
              <w:t>支持MPLS L3VPN、MPLS L2VPN(VPLS，VLL)、MPLS-TE、MPLS QoS，支持G.8032标准环网协议，(提供权威第三方测试报告);</w:t>
            </w:r>
          </w:p>
          <w:p>
            <w:pPr>
              <w:widowControl/>
              <w:spacing w:after="240"/>
              <w:jc w:val="left"/>
              <w:rPr>
                <w:rFonts w:ascii="宋体" w:hAnsi="宋体" w:cs="宋体"/>
                <w:color w:val="000000"/>
                <w:kern w:val="0"/>
                <w:sz w:val="22"/>
              </w:rPr>
            </w:pPr>
            <w:r>
              <w:rPr>
                <w:rFonts w:hint="eastAsia" w:ascii="宋体" w:hAnsi="宋体" w:cs="宋体"/>
                <w:color w:val="000000"/>
                <w:kern w:val="0"/>
                <w:sz w:val="22"/>
              </w:rPr>
              <w:t>支持业务板集成AC功能，实现对AP的接入控制和管理，实现对有线无线用户的统一认证管理、用户数据报文的隧道集中转发。</w:t>
            </w:r>
          </w:p>
          <w:p>
            <w:pPr>
              <w:pStyle w:val="2"/>
              <w:ind w:firstLine="0"/>
            </w:pPr>
            <w:r>
              <w:rPr>
                <w:rFonts w:hint="eastAsia" w:hAnsi="宋体" w:cs="宋体"/>
                <w:color w:val="000000"/>
                <w:kern w:val="0"/>
                <w:sz w:val="22"/>
              </w:rPr>
              <w:t>投标产品须是国内外主流厂商产品，所投厂商的交换机产品在中国区市场占有率排名前三，提供权威的国际咨询机构证明报告</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99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24全光口交换机</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★24个千兆SFP,8个10/100/1000BASE-T以太网端口,4个万兆SFP+,交换容量≥336Gbps，包转发率≥120Mpps, 与汇聚交换机同品牌;</w:t>
            </w:r>
          </w:p>
          <w:p>
            <w:pPr>
              <w:widowControl/>
              <w:jc w:val="left"/>
              <w:rPr>
                <w:rFonts w:ascii="宋体" w:hAnsi="宋体" w:cs="宋体"/>
                <w:color w:val="000000"/>
                <w:kern w:val="0"/>
                <w:sz w:val="22"/>
              </w:rPr>
            </w:pPr>
            <w:r>
              <w:rPr>
                <w:rFonts w:hint="eastAsia" w:ascii="宋体" w:hAnsi="宋体" w:cs="宋体"/>
                <w:color w:val="000000"/>
                <w:kern w:val="0"/>
                <w:sz w:val="22"/>
              </w:rPr>
              <w:t>含1个60W交流电源,支持模块化可插拔双电源;配置标准USB接口，支持U盘快速开局，支持RIP、RIPng、OSPF、OSPFv3、ISIS、BGP等路由协议，支持VRRP，支持三层IPv4组播路由协议PIM，三层IPv6组播路由协议MLD ，支持DHCPv6 snooping、ND snooping、SAVI、MFF ，支持G.8032开放环保护协议;</w:t>
            </w:r>
          </w:p>
          <w:p>
            <w:pPr>
              <w:widowControl/>
              <w:jc w:val="left"/>
              <w:rPr>
                <w:rFonts w:ascii="宋体" w:hAnsi="宋体" w:cs="宋体"/>
                <w:color w:val="000000"/>
                <w:kern w:val="0"/>
                <w:sz w:val="22"/>
              </w:rPr>
            </w:pPr>
            <w:r>
              <w:rPr>
                <w:rFonts w:hint="eastAsia" w:ascii="宋体" w:hAnsi="宋体" w:cs="宋体"/>
                <w:color w:val="000000"/>
                <w:kern w:val="0"/>
                <w:sz w:val="22"/>
              </w:rPr>
              <w:t>支持能效以太网EEE节能环保，</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w:t>
            </w:r>
          </w:p>
        </w:tc>
      </w:tr>
      <w:tr>
        <w:tblPrEx>
          <w:tblCellMar>
            <w:top w:w="0" w:type="dxa"/>
            <w:left w:w="108" w:type="dxa"/>
            <w:bottom w:w="0" w:type="dxa"/>
            <w:right w:w="108" w:type="dxa"/>
          </w:tblCellMar>
        </w:tblPrEx>
        <w:trPr>
          <w:trHeight w:val="201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24口交换机</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★24个10/100/1000BASE-T以太网端口,4个千兆SFP,交流供电，交换容量≥336Gbps，包转发率≥50Mpps,与汇聚交换机同品牌;</w:t>
            </w:r>
          </w:p>
          <w:p>
            <w:pPr>
              <w:widowControl/>
              <w:jc w:val="left"/>
              <w:rPr>
                <w:rFonts w:ascii="宋体" w:hAnsi="宋体" w:cs="宋体"/>
                <w:color w:val="000000"/>
                <w:kern w:val="0"/>
                <w:sz w:val="22"/>
              </w:rPr>
            </w:pPr>
            <w:r>
              <w:rPr>
                <w:rFonts w:hint="eastAsia" w:ascii="宋体" w:hAnsi="宋体" w:cs="宋体"/>
                <w:color w:val="000000"/>
                <w:kern w:val="0"/>
                <w:sz w:val="22"/>
              </w:rPr>
              <w:t>支持RIP、RIPng、OSPF、OSPFv3路由协议 ，支持DHCP Snooping，动态ARP检测，源地址认证SAVI等安全特性，支持G.8032开放环网协议，支持能效以太网EEE，节能环保;</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36</w:t>
            </w:r>
          </w:p>
        </w:tc>
      </w:tr>
      <w:tr>
        <w:tblPrEx>
          <w:tblCellMar>
            <w:top w:w="0" w:type="dxa"/>
            <w:left w:w="108" w:type="dxa"/>
            <w:bottom w:w="0" w:type="dxa"/>
            <w:right w:w="108" w:type="dxa"/>
          </w:tblCellMar>
        </w:tblPrEx>
        <w:trPr>
          <w:trHeight w:val="14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8口交换机</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★10/100/1000BASE-T以太网端口≥8,4个千兆SFP,交流供电，交换容量≥336Gbps，包转发率≥30Mpps,与汇聚交换机同品牌;</w:t>
            </w:r>
          </w:p>
          <w:p>
            <w:pPr>
              <w:widowControl/>
              <w:jc w:val="left"/>
              <w:rPr>
                <w:rFonts w:ascii="宋体" w:hAnsi="宋体" w:cs="宋体"/>
                <w:color w:val="000000"/>
                <w:kern w:val="0"/>
                <w:sz w:val="22"/>
              </w:rPr>
            </w:pPr>
            <w:r>
              <w:rPr>
                <w:rFonts w:hint="eastAsia" w:ascii="宋体" w:hAnsi="宋体" w:cs="宋体"/>
                <w:color w:val="000000"/>
                <w:kern w:val="0"/>
                <w:sz w:val="22"/>
              </w:rPr>
              <w:t>支持RIP、RIPng、OSPF、OSPFv3路由协议 ，支持VRRP，支持DHCP Snooping，动态ARP检测，源地址认证SAVI等安全特性，支持G.8032开放环网协议，支持能效以太网EEE，节能环保，</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10</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5</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万兆光模块</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光模块-SFP+-10G-单模模块(1310nm,10km,LC)</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8</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6</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千兆光模块</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光模块-eSFP-GE-单模模块(1310nm,10km,LC)</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100</w:t>
            </w:r>
          </w:p>
        </w:tc>
      </w:tr>
      <w:tr>
        <w:tblPrEx>
          <w:tblCellMar>
            <w:top w:w="0" w:type="dxa"/>
            <w:left w:w="108" w:type="dxa"/>
            <w:bottom w:w="0" w:type="dxa"/>
            <w:right w:w="108" w:type="dxa"/>
          </w:tblCellMar>
        </w:tblPrEx>
        <w:trPr>
          <w:trHeight w:val="348" w:hRule="atLeast"/>
        </w:trPr>
        <w:tc>
          <w:tcPr>
            <w:tcW w:w="926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九、UPS系统(新增安防设备后，</w:t>
            </w: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中院现有UPS功率不足，部署UPS独立供电)</w:t>
            </w:r>
          </w:p>
        </w:tc>
      </w:tr>
      <w:tr>
        <w:tblPrEx>
          <w:tblCellMar>
            <w:top w:w="0" w:type="dxa"/>
            <w:left w:w="108" w:type="dxa"/>
            <w:bottom w:w="0" w:type="dxa"/>
            <w:right w:w="108" w:type="dxa"/>
          </w:tblCellMar>
        </w:tblPrEx>
        <w:trPr>
          <w:trHeight w:val="999"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UPS主机</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运行方式：UPS可以单机运行也可直接并联，并机时无需其他旁路柜，最大并机台数不少于6台；</w:t>
            </w:r>
          </w:p>
          <w:p>
            <w:pPr>
              <w:widowControl/>
              <w:jc w:val="left"/>
              <w:rPr>
                <w:rFonts w:ascii="宋体" w:hAnsi="宋体" w:cs="宋体"/>
                <w:color w:val="000000"/>
                <w:kern w:val="0"/>
                <w:sz w:val="22"/>
              </w:rPr>
            </w:pPr>
            <w:r>
              <w:rPr>
                <w:rFonts w:hint="eastAsia" w:ascii="宋体" w:hAnsi="宋体" w:cs="宋体"/>
                <w:color w:val="000000"/>
                <w:kern w:val="0"/>
                <w:sz w:val="22"/>
              </w:rPr>
              <w:t>物理架构：U</w:t>
            </w:r>
            <w:r>
              <w:rPr>
                <w:rFonts w:ascii="宋体" w:hAnsi="宋体" w:cs="宋体"/>
                <w:color w:val="000000"/>
                <w:kern w:val="0"/>
                <w:sz w:val="22"/>
              </w:rPr>
              <w:t>PS</w:t>
            </w:r>
            <w:r>
              <w:rPr>
                <w:rFonts w:hint="eastAsia" w:ascii="宋体" w:hAnsi="宋体" w:cs="宋体"/>
                <w:color w:val="000000"/>
                <w:kern w:val="0"/>
                <w:sz w:val="22"/>
              </w:rPr>
              <w:t>由功率模块、旁路模块及其它组件组成，方便维护，提供UPS内部物理结构图以供查验。支持功率模块容错运行，某个功率模块故障时，其余功率模块满足供电容量时可继续在线供电。现场测试验证；</w:t>
            </w:r>
          </w:p>
          <w:p>
            <w:pPr>
              <w:widowControl/>
              <w:jc w:val="left"/>
              <w:rPr>
                <w:rFonts w:ascii="宋体" w:hAnsi="宋体" w:cs="宋体"/>
                <w:color w:val="000000"/>
                <w:kern w:val="0"/>
                <w:sz w:val="22"/>
              </w:rPr>
            </w:pPr>
            <w:r>
              <w:rPr>
                <w:rFonts w:hint="eastAsia" w:ascii="宋体" w:hAnsi="宋体" w:cs="宋体"/>
                <w:color w:val="000000"/>
                <w:kern w:val="0"/>
                <w:sz w:val="22"/>
              </w:rPr>
              <w:t>安全性：U</w:t>
            </w:r>
            <w:r>
              <w:rPr>
                <w:rFonts w:ascii="宋体" w:hAnsi="宋体" w:cs="宋体"/>
                <w:color w:val="000000"/>
                <w:kern w:val="0"/>
                <w:sz w:val="22"/>
              </w:rPr>
              <w:t>PS</w:t>
            </w:r>
            <w:r>
              <w:rPr>
                <w:rFonts w:hint="eastAsia" w:ascii="宋体" w:hAnsi="宋体" w:cs="宋体"/>
                <w:color w:val="000000"/>
                <w:kern w:val="0"/>
                <w:sz w:val="22"/>
              </w:rPr>
              <w:t>须内置主输入开关、旁路输入开关、维修旁路开关、输出开关，开关须为A</w:t>
            </w:r>
            <w:r>
              <w:rPr>
                <w:rFonts w:ascii="宋体" w:hAnsi="宋体" w:cs="宋体"/>
                <w:color w:val="000000"/>
                <w:kern w:val="0"/>
                <w:sz w:val="22"/>
              </w:rPr>
              <w:t>BB</w:t>
            </w:r>
            <w:r>
              <w:rPr>
                <w:rFonts w:hint="eastAsia" w:ascii="宋体" w:hAnsi="宋体" w:cs="宋体"/>
                <w:color w:val="000000"/>
                <w:kern w:val="0"/>
                <w:sz w:val="22"/>
              </w:rPr>
              <w:t>、施耐德或西门子品牌，确保设备维修时可妥善隔离供电电源，保障人身安全。提供开关布局图及开关型号说明；</w:t>
            </w:r>
          </w:p>
          <w:p>
            <w:pPr>
              <w:widowControl/>
              <w:jc w:val="left"/>
              <w:rPr>
                <w:rFonts w:ascii="宋体" w:hAnsi="宋体" w:cs="宋体"/>
                <w:color w:val="000000"/>
                <w:kern w:val="0"/>
                <w:sz w:val="22"/>
              </w:rPr>
            </w:pPr>
            <w:r>
              <w:rPr>
                <w:rFonts w:hint="eastAsia" w:ascii="宋体" w:hAnsi="宋体" w:cs="宋体"/>
                <w:color w:val="000000"/>
                <w:kern w:val="0"/>
                <w:sz w:val="22"/>
              </w:rPr>
              <w:t>可靠性：应具有保证系统可靠性的控制逻辑及架构，从软件及硬件上整体提升系统可靠性。提供可靠性设计的相关说明；</w:t>
            </w:r>
          </w:p>
          <w:p>
            <w:pPr>
              <w:widowControl/>
              <w:jc w:val="left"/>
              <w:rPr>
                <w:rFonts w:ascii="宋体" w:hAnsi="宋体" w:cs="宋体"/>
                <w:color w:val="000000"/>
                <w:kern w:val="0"/>
                <w:sz w:val="22"/>
              </w:rPr>
            </w:pPr>
            <w:r>
              <w:rPr>
                <w:rFonts w:hint="eastAsia" w:ascii="宋体" w:hAnsi="宋体" w:cs="宋体"/>
                <w:color w:val="000000"/>
                <w:kern w:val="0"/>
                <w:sz w:val="22"/>
              </w:rPr>
              <w:t>运行环境要求：环境温度：0～＋40</w:t>
            </w:r>
            <w:r>
              <w:rPr>
                <w:rFonts w:ascii="宋体" w:hAnsi="宋体" w:cs="宋体"/>
                <w:color w:val="000000"/>
                <w:kern w:val="0"/>
                <w:sz w:val="22"/>
              </w:rPr>
              <w:sym w:font="Symbol" w:char="F0B0"/>
            </w:r>
            <w:r>
              <w:rPr>
                <w:rFonts w:ascii="宋体" w:hAnsi="宋体" w:cs="宋体"/>
                <w:color w:val="000000"/>
                <w:kern w:val="0"/>
                <w:sz w:val="22"/>
              </w:rPr>
              <w:t>C</w:t>
            </w:r>
            <w:r>
              <w:rPr>
                <w:rFonts w:hint="eastAsia" w:ascii="宋体" w:hAnsi="宋体" w:cs="宋体"/>
                <w:color w:val="000000"/>
                <w:kern w:val="0"/>
                <w:sz w:val="22"/>
              </w:rPr>
              <w:t>。相对湿度：≤</w:t>
            </w:r>
            <w:r>
              <w:rPr>
                <w:rFonts w:ascii="宋体" w:hAnsi="宋体" w:cs="宋体"/>
                <w:color w:val="000000"/>
                <w:kern w:val="0"/>
                <w:sz w:val="22"/>
              </w:rPr>
              <w:t>9</w:t>
            </w:r>
            <w:r>
              <w:rPr>
                <w:rFonts w:hint="eastAsia" w:ascii="宋体" w:hAnsi="宋体" w:cs="宋体"/>
                <w:color w:val="000000"/>
                <w:kern w:val="0"/>
                <w:sz w:val="22"/>
              </w:rPr>
              <w:t>5％，</w:t>
            </w:r>
            <w:r>
              <w:rPr>
                <w:rFonts w:ascii="宋体" w:hAnsi="宋体" w:cs="宋体"/>
                <w:color w:val="000000"/>
                <w:kern w:val="0"/>
                <w:sz w:val="22"/>
              </w:rPr>
              <w:t>无凝</w:t>
            </w:r>
            <w:r>
              <w:rPr>
                <w:rFonts w:hint="eastAsia" w:ascii="宋体" w:hAnsi="宋体" w:cs="宋体"/>
                <w:color w:val="000000"/>
                <w:kern w:val="0"/>
                <w:sz w:val="22"/>
              </w:rPr>
              <w:t>露；</w:t>
            </w:r>
          </w:p>
          <w:p>
            <w:pPr>
              <w:widowControl/>
              <w:jc w:val="left"/>
              <w:rPr>
                <w:rFonts w:ascii="宋体" w:hAnsi="宋体" w:cs="宋体"/>
                <w:color w:val="000000"/>
                <w:kern w:val="0"/>
                <w:sz w:val="22"/>
              </w:rPr>
            </w:pPr>
            <w:r>
              <w:rPr>
                <w:rFonts w:hint="eastAsia" w:ascii="宋体" w:hAnsi="宋体" w:cs="宋体"/>
                <w:color w:val="000000"/>
                <w:kern w:val="0"/>
                <w:sz w:val="22"/>
              </w:rPr>
              <w:t>输入要求：输入电压范围：3</w:t>
            </w:r>
            <w:r>
              <w:rPr>
                <w:rFonts w:ascii="宋体" w:hAnsi="宋体" w:cs="宋体"/>
                <w:color w:val="000000"/>
                <w:kern w:val="0"/>
                <w:sz w:val="22"/>
              </w:rPr>
              <w:t>42</w:t>
            </w:r>
            <w:r>
              <w:rPr>
                <w:rFonts w:hint="eastAsia" w:ascii="宋体" w:hAnsi="宋体" w:cs="宋体"/>
                <w:color w:val="000000"/>
                <w:kern w:val="0"/>
                <w:sz w:val="22"/>
              </w:rPr>
              <w:t>-477V（满载）</w:t>
            </w:r>
            <w:r>
              <w:rPr>
                <w:rFonts w:ascii="宋体" w:hAnsi="宋体" w:cs="宋体"/>
                <w:color w:val="000000"/>
                <w:kern w:val="0"/>
                <w:sz w:val="22"/>
              </w:rPr>
              <w:t>，</w:t>
            </w:r>
            <w:r>
              <w:rPr>
                <w:rFonts w:hint="eastAsia" w:ascii="宋体" w:hAnsi="宋体" w:cs="宋体"/>
                <w:color w:val="000000"/>
                <w:kern w:val="0"/>
                <w:sz w:val="22"/>
              </w:rPr>
              <w:t>1</w:t>
            </w:r>
            <w:r>
              <w:rPr>
                <w:rFonts w:ascii="宋体" w:hAnsi="宋体" w:cs="宋体"/>
                <w:color w:val="000000"/>
                <w:kern w:val="0"/>
                <w:sz w:val="22"/>
              </w:rPr>
              <w:t>50</w:t>
            </w:r>
            <w:r>
              <w:rPr>
                <w:rFonts w:hint="eastAsia" w:ascii="宋体" w:hAnsi="宋体" w:cs="宋体"/>
                <w:color w:val="000000"/>
                <w:kern w:val="0"/>
                <w:sz w:val="22"/>
              </w:rPr>
              <w:t>-</w:t>
            </w:r>
            <w:r>
              <w:rPr>
                <w:rFonts w:ascii="宋体" w:hAnsi="宋体" w:cs="宋体"/>
                <w:color w:val="000000"/>
                <w:kern w:val="0"/>
                <w:sz w:val="22"/>
              </w:rPr>
              <w:t>477V</w:t>
            </w:r>
            <w:r>
              <w:rPr>
                <w:rFonts w:hint="eastAsia" w:ascii="宋体" w:hAnsi="宋体" w:cs="宋体"/>
                <w:color w:val="000000"/>
                <w:kern w:val="0"/>
                <w:sz w:val="22"/>
              </w:rPr>
              <w:t>（3</w:t>
            </w:r>
            <w:r>
              <w:rPr>
                <w:rFonts w:ascii="宋体" w:hAnsi="宋体" w:cs="宋体"/>
                <w:color w:val="000000"/>
                <w:kern w:val="0"/>
                <w:sz w:val="22"/>
              </w:rPr>
              <w:t>0</w:t>
            </w:r>
            <w:r>
              <w:rPr>
                <w:rFonts w:hint="eastAsia" w:ascii="宋体" w:hAnsi="宋体" w:cs="宋体"/>
                <w:color w:val="000000"/>
                <w:kern w:val="0"/>
                <w:sz w:val="22"/>
              </w:rPr>
              <w:t>%负载以下）；</w:t>
            </w:r>
          </w:p>
          <w:p>
            <w:pPr>
              <w:widowControl/>
              <w:jc w:val="left"/>
              <w:rPr>
                <w:rFonts w:ascii="宋体" w:hAnsi="宋体" w:cs="宋体"/>
                <w:color w:val="000000"/>
                <w:kern w:val="0"/>
                <w:sz w:val="22"/>
              </w:rPr>
            </w:pPr>
            <w:r>
              <w:rPr>
                <w:rFonts w:hint="eastAsia" w:ascii="宋体" w:hAnsi="宋体" w:cs="宋体"/>
                <w:color w:val="000000"/>
                <w:kern w:val="0"/>
                <w:sz w:val="22"/>
              </w:rPr>
              <w:t>输出要求：输出功率因数：</w:t>
            </w:r>
            <w:r>
              <w:rPr>
                <w:rFonts w:ascii="宋体" w:hAnsi="宋体" w:cs="宋体"/>
                <w:color w:val="000000"/>
                <w:kern w:val="0"/>
                <w:sz w:val="22"/>
              </w:rPr>
              <w:t>1</w:t>
            </w:r>
            <w:r>
              <w:rPr>
                <w:rFonts w:hint="eastAsia" w:ascii="宋体" w:hAnsi="宋体" w:cs="宋体"/>
                <w:color w:val="000000"/>
                <w:kern w:val="0"/>
                <w:sz w:val="22"/>
              </w:rPr>
              <w:t>。负载功率因数：超前0.5-滞后0.5不降容，可适应不同负载。整机效率： 高达9</w:t>
            </w:r>
            <w:r>
              <w:rPr>
                <w:rFonts w:ascii="宋体" w:hAnsi="宋体" w:cs="宋体"/>
                <w:color w:val="000000"/>
                <w:kern w:val="0"/>
                <w:sz w:val="22"/>
              </w:rPr>
              <w:t>5.5</w:t>
            </w:r>
            <w:r>
              <w:rPr>
                <w:rFonts w:hint="eastAsia" w:ascii="宋体" w:hAnsi="宋体" w:cs="宋体"/>
                <w:color w:val="000000"/>
                <w:kern w:val="0"/>
                <w:sz w:val="22"/>
              </w:rPr>
              <w:t>%，</w:t>
            </w:r>
            <w:r>
              <w:rPr>
                <w:rFonts w:ascii="宋体" w:hAnsi="宋体" w:cs="宋体"/>
                <w:color w:val="000000"/>
                <w:kern w:val="0"/>
                <w:sz w:val="22"/>
              </w:rPr>
              <w:t>ECO</w:t>
            </w:r>
            <w:r>
              <w:rPr>
                <w:rFonts w:hint="eastAsia" w:ascii="宋体" w:hAnsi="宋体" w:cs="宋体"/>
                <w:color w:val="000000"/>
                <w:kern w:val="0"/>
                <w:sz w:val="22"/>
              </w:rPr>
              <w:t>模式时效率高达9</w:t>
            </w:r>
            <w:r>
              <w:rPr>
                <w:rFonts w:ascii="宋体" w:hAnsi="宋体" w:cs="宋体"/>
                <w:color w:val="000000"/>
                <w:kern w:val="0"/>
                <w:sz w:val="22"/>
              </w:rPr>
              <w:t>9</w:t>
            </w:r>
            <w:r>
              <w:rPr>
                <w:rFonts w:hint="eastAsia" w:ascii="宋体" w:hAnsi="宋体" w:cs="宋体"/>
                <w:color w:val="000000"/>
                <w:kern w:val="0"/>
                <w:sz w:val="22"/>
              </w:rPr>
              <w:t>%；</w:t>
            </w:r>
          </w:p>
          <w:p>
            <w:pPr>
              <w:widowControl/>
              <w:jc w:val="left"/>
              <w:rPr>
                <w:rFonts w:ascii="宋体" w:hAnsi="宋体" w:cs="宋体"/>
                <w:color w:val="000000"/>
                <w:kern w:val="0"/>
                <w:sz w:val="22"/>
              </w:rPr>
            </w:pPr>
            <w:r>
              <w:rPr>
                <w:rFonts w:hint="eastAsia" w:ascii="宋体" w:hAnsi="宋体" w:cs="宋体"/>
                <w:color w:val="000000"/>
                <w:kern w:val="0"/>
                <w:sz w:val="22"/>
              </w:rPr>
              <w:t>过载能力：逆变器过载能力：</w:t>
            </w:r>
            <w:r>
              <w:rPr>
                <w:rFonts w:ascii="宋体" w:hAnsi="宋体" w:cs="宋体"/>
                <w:color w:val="000000"/>
                <w:kern w:val="0"/>
                <w:sz w:val="22"/>
              </w:rPr>
              <w:t>过载110</w:t>
            </w:r>
            <w:r>
              <w:rPr>
                <w:rFonts w:hint="eastAsia" w:ascii="宋体" w:hAnsi="宋体" w:cs="宋体"/>
                <w:color w:val="000000"/>
                <w:kern w:val="0"/>
                <w:sz w:val="22"/>
              </w:rPr>
              <w:t>％</w:t>
            </w:r>
            <w:r>
              <w:rPr>
                <w:rFonts w:ascii="宋体" w:hAnsi="宋体" w:cs="宋体"/>
                <w:color w:val="000000"/>
                <w:kern w:val="0"/>
                <w:sz w:val="22"/>
              </w:rPr>
              <w:t>支持60</w:t>
            </w:r>
            <w:r>
              <w:rPr>
                <w:rFonts w:hint="eastAsia" w:ascii="宋体" w:hAnsi="宋体" w:cs="宋体"/>
                <w:color w:val="000000"/>
                <w:kern w:val="0"/>
                <w:sz w:val="22"/>
              </w:rPr>
              <w:t>min运行，</w:t>
            </w:r>
            <w:r>
              <w:rPr>
                <w:rFonts w:ascii="宋体" w:hAnsi="宋体" w:cs="宋体"/>
                <w:color w:val="000000"/>
                <w:kern w:val="0"/>
                <w:sz w:val="22"/>
              </w:rPr>
              <w:t>过载125</w:t>
            </w:r>
            <w:r>
              <w:rPr>
                <w:rFonts w:hint="eastAsia" w:ascii="宋体" w:hAnsi="宋体" w:cs="宋体"/>
                <w:color w:val="000000"/>
                <w:kern w:val="0"/>
                <w:sz w:val="22"/>
              </w:rPr>
              <w:t>％</w:t>
            </w:r>
            <w:r>
              <w:rPr>
                <w:rFonts w:ascii="宋体" w:hAnsi="宋体" w:cs="宋体"/>
                <w:color w:val="000000"/>
                <w:kern w:val="0"/>
                <w:sz w:val="22"/>
              </w:rPr>
              <w:t>支持10</w:t>
            </w:r>
            <w:r>
              <w:rPr>
                <w:rFonts w:hint="eastAsia" w:ascii="宋体" w:hAnsi="宋体" w:cs="宋体"/>
                <w:color w:val="000000"/>
                <w:kern w:val="0"/>
                <w:sz w:val="22"/>
              </w:rPr>
              <w:t>min运行，过载</w:t>
            </w:r>
            <w:r>
              <w:rPr>
                <w:rFonts w:ascii="宋体" w:hAnsi="宋体" w:cs="宋体"/>
                <w:color w:val="000000"/>
                <w:kern w:val="0"/>
                <w:sz w:val="22"/>
              </w:rPr>
              <w:t>150</w:t>
            </w:r>
            <w:r>
              <w:rPr>
                <w:rFonts w:hint="eastAsia" w:ascii="宋体" w:hAnsi="宋体" w:cs="宋体"/>
                <w:color w:val="000000"/>
                <w:kern w:val="0"/>
                <w:sz w:val="22"/>
              </w:rPr>
              <w:t>％</w:t>
            </w:r>
            <w:r>
              <w:rPr>
                <w:rFonts w:ascii="宋体" w:hAnsi="宋体" w:cs="宋体"/>
                <w:color w:val="000000"/>
                <w:kern w:val="0"/>
                <w:sz w:val="22"/>
              </w:rPr>
              <w:t>支持60</w:t>
            </w:r>
            <w:r>
              <w:rPr>
                <w:rFonts w:hint="eastAsia" w:ascii="宋体" w:hAnsi="宋体" w:cs="宋体"/>
                <w:color w:val="000000"/>
                <w:kern w:val="0"/>
                <w:sz w:val="22"/>
              </w:rPr>
              <w:t>s运行。旁路过载能力：</w:t>
            </w:r>
            <w:r>
              <w:rPr>
                <w:rFonts w:ascii="宋体" w:hAnsi="宋体" w:cs="宋体"/>
                <w:color w:val="000000"/>
                <w:kern w:val="0"/>
                <w:sz w:val="22"/>
              </w:rPr>
              <w:t>过载110</w:t>
            </w:r>
            <w:r>
              <w:rPr>
                <w:rFonts w:hint="eastAsia" w:ascii="宋体" w:hAnsi="宋体" w:cs="宋体"/>
                <w:color w:val="000000"/>
                <w:kern w:val="0"/>
                <w:sz w:val="22"/>
              </w:rPr>
              <w:t>％</w:t>
            </w:r>
            <w:r>
              <w:rPr>
                <w:rFonts w:ascii="宋体" w:hAnsi="宋体" w:cs="宋体"/>
                <w:color w:val="000000"/>
                <w:kern w:val="0"/>
                <w:sz w:val="22"/>
              </w:rPr>
              <w:t>支持60</w:t>
            </w:r>
            <w:r>
              <w:rPr>
                <w:rFonts w:hint="eastAsia" w:ascii="宋体" w:hAnsi="宋体" w:cs="宋体"/>
                <w:color w:val="000000"/>
                <w:kern w:val="0"/>
                <w:sz w:val="22"/>
              </w:rPr>
              <w:t>min运行，</w:t>
            </w:r>
            <w:r>
              <w:rPr>
                <w:rFonts w:ascii="宋体" w:hAnsi="宋体" w:cs="宋体"/>
                <w:color w:val="000000"/>
                <w:kern w:val="0"/>
                <w:sz w:val="22"/>
              </w:rPr>
              <w:t>过载130</w:t>
            </w:r>
            <w:r>
              <w:rPr>
                <w:rFonts w:hint="eastAsia" w:ascii="宋体" w:hAnsi="宋体" w:cs="宋体"/>
                <w:color w:val="000000"/>
                <w:kern w:val="0"/>
                <w:sz w:val="22"/>
              </w:rPr>
              <w:t>％</w:t>
            </w:r>
            <w:r>
              <w:rPr>
                <w:rFonts w:ascii="宋体" w:hAnsi="宋体" w:cs="宋体"/>
                <w:color w:val="000000"/>
                <w:kern w:val="0"/>
                <w:sz w:val="22"/>
              </w:rPr>
              <w:t>支持10</w:t>
            </w:r>
            <w:r>
              <w:rPr>
                <w:rFonts w:hint="eastAsia" w:ascii="宋体" w:hAnsi="宋体" w:cs="宋体"/>
                <w:color w:val="000000"/>
                <w:kern w:val="0"/>
                <w:sz w:val="22"/>
              </w:rPr>
              <w:t>min运行，过载</w:t>
            </w:r>
            <w:r>
              <w:rPr>
                <w:rFonts w:ascii="宋体" w:hAnsi="宋体" w:cs="宋体"/>
                <w:color w:val="000000"/>
                <w:kern w:val="0"/>
                <w:sz w:val="22"/>
              </w:rPr>
              <w:t>150</w:t>
            </w:r>
            <w:r>
              <w:rPr>
                <w:rFonts w:hint="eastAsia" w:ascii="宋体" w:hAnsi="宋体" w:cs="宋体"/>
                <w:color w:val="000000"/>
                <w:kern w:val="0"/>
                <w:sz w:val="22"/>
              </w:rPr>
              <w:t>％</w:t>
            </w:r>
            <w:r>
              <w:rPr>
                <w:rFonts w:ascii="宋体" w:hAnsi="宋体" w:cs="宋体"/>
                <w:color w:val="000000"/>
                <w:kern w:val="0"/>
                <w:sz w:val="22"/>
              </w:rPr>
              <w:t>支持60</w:t>
            </w:r>
            <w:r>
              <w:rPr>
                <w:rFonts w:hint="eastAsia" w:ascii="宋体" w:hAnsi="宋体" w:cs="宋体"/>
                <w:color w:val="000000"/>
                <w:kern w:val="0"/>
                <w:sz w:val="22"/>
              </w:rPr>
              <w:t>s运行，＞1</w:t>
            </w:r>
            <w:r>
              <w:rPr>
                <w:rFonts w:ascii="宋体" w:hAnsi="宋体" w:cs="宋体"/>
                <w:color w:val="000000"/>
                <w:kern w:val="0"/>
                <w:sz w:val="22"/>
              </w:rPr>
              <w:t>50</w:t>
            </w:r>
            <w:r>
              <w:rPr>
                <w:rFonts w:hint="eastAsia" w:ascii="宋体" w:hAnsi="宋体" w:cs="宋体"/>
                <w:color w:val="000000"/>
                <w:kern w:val="0"/>
                <w:sz w:val="22"/>
              </w:rPr>
              <w:t>％支持1</w:t>
            </w:r>
            <w:r>
              <w:rPr>
                <w:rFonts w:ascii="宋体" w:hAnsi="宋体" w:cs="宋体"/>
                <w:color w:val="000000"/>
                <w:kern w:val="0"/>
                <w:sz w:val="22"/>
              </w:rPr>
              <w:t>200m</w:t>
            </w:r>
            <w:r>
              <w:rPr>
                <w:rFonts w:hint="eastAsia" w:ascii="宋体" w:hAnsi="宋体" w:cs="宋体"/>
                <w:color w:val="000000"/>
                <w:kern w:val="0"/>
                <w:sz w:val="22"/>
              </w:rPr>
              <w:t>s运行。市电电池切换时间：0ms，旁路逆变切换时间：＜0ms；</w:t>
            </w:r>
          </w:p>
          <w:p>
            <w:pPr>
              <w:widowControl/>
              <w:jc w:val="left"/>
              <w:rPr>
                <w:rFonts w:ascii="宋体" w:hAnsi="宋体" w:cs="宋体"/>
                <w:color w:val="000000"/>
                <w:kern w:val="0"/>
                <w:sz w:val="22"/>
              </w:rPr>
            </w:pPr>
            <w:r>
              <w:rPr>
                <w:rFonts w:hint="eastAsia" w:ascii="宋体" w:hAnsi="宋体" w:cs="宋体"/>
                <w:color w:val="000000"/>
                <w:kern w:val="0"/>
                <w:sz w:val="22"/>
              </w:rPr>
              <w:t>须配置防尘滤网，电路板采用防水、防尘、防静电的三防漆保护；</w:t>
            </w:r>
          </w:p>
          <w:p>
            <w:pPr>
              <w:widowControl/>
              <w:jc w:val="left"/>
              <w:rPr>
                <w:rFonts w:ascii="宋体" w:hAnsi="宋体" w:cs="宋体"/>
                <w:color w:val="000000"/>
                <w:kern w:val="0"/>
                <w:sz w:val="22"/>
              </w:rPr>
            </w:pPr>
            <w:r>
              <w:rPr>
                <w:rFonts w:hint="eastAsia" w:ascii="宋体" w:hAnsi="宋体" w:cs="宋体"/>
                <w:color w:val="000000"/>
                <w:kern w:val="0"/>
                <w:sz w:val="22"/>
              </w:rPr>
              <w:t xml:space="preserve">自带滚轮，方便移动。配有卸货滑板，安装简便。单人可完成卸货到安装整个流程。提供相关示意图说明； </w:t>
            </w:r>
          </w:p>
          <w:p>
            <w:pPr>
              <w:widowControl/>
              <w:jc w:val="left"/>
              <w:rPr>
                <w:rFonts w:ascii="宋体" w:hAnsi="宋体" w:cs="宋体"/>
                <w:color w:val="000000"/>
                <w:kern w:val="0"/>
                <w:sz w:val="22"/>
              </w:rPr>
            </w:pPr>
            <w:r>
              <w:rPr>
                <w:rFonts w:hint="eastAsia" w:ascii="宋体" w:hAnsi="宋体" w:cs="宋体"/>
                <w:color w:val="000000"/>
                <w:kern w:val="0"/>
                <w:sz w:val="22"/>
              </w:rPr>
              <w:t>支持主路和旁路分开输入，可根据需要灵活选择单路输入或双路输入，U</w:t>
            </w:r>
            <w:r>
              <w:rPr>
                <w:rFonts w:ascii="宋体" w:hAnsi="宋体" w:cs="宋体"/>
                <w:color w:val="000000"/>
                <w:kern w:val="0"/>
                <w:sz w:val="22"/>
              </w:rPr>
              <w:t>PS</w:t>
            </w:r>
            <w:r>
              <w:rPr>
                <w:rFonts w:hint="eastAsia" w:ascii="宋体" w:hAnsi="宋体" w:cs="宋体"/>
                <w:color w:val="000000"/>
                <w:kern w:val="0"/>
                <w:sz w:val="22"/>
              </w:rPr>
              <w:t>出厂时标配主路和旁路短接铜排。提供相关实物图或示意图；</w:t>
            </w:r>
          </w:p>
          <w:p>
            <w:pPr>
              <w:widowControl/>
              <w:jc w:val="left"/>
              <w:rPr>
                <w:rFonts w:ascii="宋体" w:hAnsi="宋体" w:cs="宋体"/>
                <w:color w:val="000000"/>
                <w:kern w:val="0"/>
                <w:sz w:val="22"/>
              </w:rPr>
            </w:pPr>
            <w:r>
              <w:rPr>
                <w:rFonts w:hint="eastAsia" w:ascii="宋体" w:hAnsi="宋体" w:cs="宋体"/>
                <w:color w:val="000000"/>
                <w:kern w:val="0"/>
                <w:sz w:val="22"/>
              </w:rPr>
              <w:t>操作面板： 采用不小于5英寸彩色触摸屏</w:t>
            </w:r>
            <w:r>
              <w:rPr>
                <w:rFonts w:ascii="宋体" w:hAnsi="宋体" w:cs="宋体"/>
                <w:color w:val="000000"/>
                <w:kern w:val="0"/>
                <w:sz w:val="22"/>
              </w:rPr>
              <w:t>，</w:t>
            </w:r>
            <w:r>
              <w:rPr>
                <w:rFonts w:hint="eastAsia" w:ascii="宋体" w:hAnsi="宋体" w:cs="宋体"/>
                <w:color w:val="000000"/>
                <w:kern w:val="0"/>
                <w:sz w:val="22"/>
              </w:rPr>
              <w:t>并具有L</w:t>
            </w:r>
            <w:r>
              <w:rPr>
                <w:rFonts w:ascii="宋体" w:hAnsi="宋体" w:cs="宋体"/>
                <w:color w:val="000000"/>
                <w:kern w:val="0"/>
                <w:sz w:val="22"/>
              </w:rPr>
              <w:t>ED</w:t>
            </w:r>
            <w:r>
              <w:rPr>
                <w:rFonts w:hint="eastAsia" w:ascii="宋体" w:hAnsi="宋体" w:cs="宋体"/>
                <w:color w:val="000000"/>
                <w:kern w:val="0"/>
                <w:sz w:val="22"/>
              </w:rPr>
              <w:t>状态显示，</w:t>
            </w:r>
            <w:r>
              <w:rPr>
                <w:rFonts w:ascii="宋体" w:hAnsi="宋体" w:cs="宋体"/>
                <w:color w:val="000000"/>
                <w:kern w:val="0"/>
                <w:sz w:val="22"/>
              </w:rPr>
              <w:t>方便操作维护。</w:t>
            </w:r>
            <w:r>
              <w:rPr>
                <w:rFonts w:hint="eastAsia" w:ascii="宋体" w:hAnsi="宋体" w:cs="宋体"/>
                <w:color w:val="000000"/>
                <w:kern w:val="0"/>
                <w:sz w:val="22"/>
              </w:rPr>
              <w:t>具备U</w:t>
            </w:r>
            <w:r>
              <w:rPr>
                <w:rFonts w:ascii="宋体" w:hAnsi="宋体" w:cs="宋体"/>
                <w:color w:val="000000"/>
                <w:kern w:val="0"/>
                <w:sz w:val="22"/>
              </w:rPr>
              <w:t>PS</w:t>
            </w:r>
            <w:r>
              <w:rPr>
                <w:rFonts w:hint="eastAsia" w:ascii="宋体" w:hAnsi="宋体" w:cs="宋体"/>
                <w:color w:val="000000"/>
                <w:kern w:val="0"/>
                <w:sz w:val="22"/>
              </w:rPr>
              <w:t xml:space="preserve">运行模拟图和中文显示，具有事件记录； </w:t>
            </w:r>
          </w:p>
          <w:p>
            <w:pPr>
              <w:widowControl/>
              <w:jc w:val="left"/>
              <w:rPr>
                <w:rFonts w:ascii="宋体" w:hAnsi="宋体" w:cs="宋体"/>
                <w:color w:val="000000"/>
                <w:kern w:val="0"/>
                <w:sz w:val="22"/>
              </w:rPr>
            </w:pPr>
            <w:r>
              <w:rPr>
                <w:rFonts w:hint="eastAsia" w:ascii="宋体" w:hAnsi="宋体" w:cs="宋体"/>
                <w:color w:val="000000"/>
                <w:kern w:val="0"/>
                <w:sz w:val="22"/>
              </w:rPr>
              <w:t>具有EPO紧急停机按钮，同时提供1个E</w:t>
            </w:r>
            <w:r>
              <w:rPr>
                <w:rFonts w:ascii="宋体" w:hAnsi="宋体" w:cs="宋体"/>
                <w:color w:val="000000"/>
                <w:kern w:val="0"/>
                <w:sz w:val="22"/>
              </w:rPr>
              <w:t>PO</w:t>
            </w:r>
            <w:r>
              <w:rPr>
                <w:rFonts w:hint="eastAsia" w:ascii="宋体" w:hAnsi="宋体" w:cs="宋体"/>
                <w:color w:val="000000"/>
                <w:kern w:val="0"/>
                <w:sz w:val="22"/>
              </w:rPr>
              <w:t>干接点可连接至远程E</w:t>
            </w:r>
            <w:r>
              <w:rPr>
                <w:rFonts w:ascii="宋体" w:hAnsi="宋体" w:cs="宋体"/>
                <w:color w:val="000000"/>
                <w:kern w:val="0"/>
                <w:sz w:val="22"/>
              </w:rPr>
              <w:t>PO</w:t>
            </w:r>
            <w:r>
              <w:rPr>
                <w:rFonts w:hint="eastAsia" w:ascii="宋体" w:hAnsi="宋体" w:cs="宋体"/>
                <w:color w:val="000000"/>
                <w:kern w:val="0"/>
                <w:sz w:val="22"/>
              </w:rPr>
              <w:t>紧急停机按钮使用；</w:t>
            </w:r>
          </w:p>
          <w:p>
            <w:pPr>
              <w:widowControl/>
              <w:jc w:val="left"/>
              <w:rPr>
                <w:rFonts w:ascii="宋体" w:hAnsi="宋体" w:cs="宋体"/>
                <w:color w:val="000000"/>
                <w:kern w:val="0"/>
                <w:sz w:val="22"/>
              </w:rPr>
            </w:pPr>
            <w:r>
              <w:rPr>
                <w:rFonts w:hint="eastAsia" w:ascii="宋体" w:hAnsi="宋体" w:cs="宋体"/>
                <w:color w:val="000000"/>
                <w:kern w:val="0"/>
                <w:sz w:val="22"/>
              </w:rPr>
              <w:t>标准配置R</w:t>
            </w:r>
            <w:r>
              <w:rPr>
                <w:rFonts w:ascii="宋体" w:hAnsi="宋体" w:cs="宋体"/>
                <w:color w:val="000000"/>
                <w:kern w:val="0"/>
                <w:sz w:val="22"/>
              </w:rPr>
              <w:t>S485</w:t>
            </w:r>
            <w:r>
              <w:rPr>
                <w:rFonts w:hint="eastAsia" w:ascii="宋体" w:hAnsi="宋体" w:cs="宋体"/>
                <w:color w:val="000000"/>
                <w:kern w:val="0"/>
                <w:sz w:val="22"/>
              </w:rPr>
              <w:t>接口和干接点接口，干接点接口应不少于1</w:t>
            </w:r>
            <w:r>
              <w:rPr>
                <w:rFonts w:ascii="宋体" w:hAnsi="宋体" w:cs="宋体"/>
                <w:color w:val="000000"/>
                <w:kern w:val="0"/>
                <w:sz w:val="22"/>
              </w:rPr>
              <w:t>3</w:t>
            </w:r>
            <w:r>
              <w:rPr>
                <w:rFonts w:hint="eastAsia" w:ascii="宋体" w:hAnsi="宋体" w:cs="宋体"/>
                <w:color w:val="000000"/>
                <w:kern w:val="0"/>
                <w:sz w:val="22"/>
              </w:rPr>
              <w:t>组，其中4组输入干接点、4组输出干接点共8组干接点可根据需要设置不同干接点信号。提供干接点相关选择设置详细说明；</w:t>
            </w:r>
          </w:p>
          <w:p>
            <w:pPr>
              <w:widowControl/>
              <w:jc w:val="left"/>
              <w:rPr>
                <w:rFonts w:ascii="宋体" w:hAnsi="宋体" w:cs="宋体"/>
                <w:color w:val="000000"/>
                <w:kern w:val="0"/>
                <w:sz w:val="22"/>
              </w:rPr>
            </w:pPr>
            <w:r>
              <w:rPr>
                <w:rFonts w:hint="eastAsia" w:ascii="宋体" w:hAnsi="宋体" w:cs="宋体"/>
                <w:color w:val="000000"/>
                <w:kern w:val="0"/>
                <w:sz w:val="22"/>
              </w:rPr>
              <w:t>具备负载自测试功能。设备安装调试完成后需要现场测试负载自测试功能，负载测试容量可根据U</w:t>
            </w:r>
            <w:r>
              <w:rPr>
                <w:rFonts w:ascii="宋体" w:hAnsi="宋体" w:cs="宋体"/>
                <w:color w:val="000000"/>
                <w:kern w:val="0"/>
                <w:sz w:val="22"/>
              </w:rPr>
              <w:t>PS</w:t>
            </w:r>
            <w:r>
              <w:rPr>
                <w:rFonts w:hint="eastAsia" w:ascii="宋体" w:hAnsi="宋体" w:cs="宋体"/>
                <w:color w:val="000000"/>
                <w:kern w:val="0"/>
                <w:sz w:val="22"/>
              </w:rPr>
              <w:t>功率的1</w:t>
            </w:r>
            <w:r>
              <w:rPr>
                <w:rFonts w:ascii="宋体" w:hAnsi="宋体" w:cs="宋体"/>
                <w:color w:val="000000"/>
                <w:kern w:val="0"/>
                <w:sz w:val="22"/>
              </w:rPr>
              <w:t>8</w:t>
            </w:r>
            <w:r>
              <w:rPr>
                <w:rFonts w:hint="eastAsia" w:ascii="宋体" w:hAnsi="宋体" w:cs="宋体"/>
                <w:color w:val="000000"/>
                <w:kern w:val="0"/>
                <w:sz w:val="22"/>
              </w:rPr>
              <w:t>-</w:t>
            </w:r>
            <w:r>
              <w:rPr>
                <w:rFonts w:ascii="宋体" w:hAnsi="宋体" w:cs="宋体"/>
                <w:color w:val="000000"/>
                <w:kern w:val="0"/>
                <w:sz w:val="22"/>
              </w:rPr>
              <w:t>100</w:t>
            </w:r>
            <w:r>
              <w:rPr>
                <w:rFonts w:hint="eastAsia" w:ascii="宋体" w:hAnsi="宋体" w:cs="宋体"/>
                <w:color w:val="000000"/>
                <w:kern w:val="0"/>
                <w:sz w:val="22"/>
              </w:rPr>
              <w:t>%调节以验证不同负载率下U</w:t>
            </w:r>
            <w:r>
              <w:rPr>
                <w:rFonts w:ascii="宋体" w:hAnsi="宋体" w:cs="宋体"/>
                <w:color w:val="000000"/>
                <w:kern w:val="0"/>
                <w:sz w:val="22"/>
              </w:rPr>
              <w:t>PS</w:t>
            </w:r>
            <w:r>
              <w:rPr>
                <w:rFonts w:hint="eastAsia" w:ascii="宋体" w:hAnsi="宋体" w:cs="宋体"/>
                <w:color w:val="000000"/>
                <w:kern w:val="0"/>
                <w:sz w:val="22"/>
              </w:rPr>
              <w:t>参数性能;</w:t>
            </w:r>
          </w:p>
          <w:p>
            <w:pPr>
              <w:widowControl/>
              <w:jc w:val="left"/>
              <w:rPr>
                <w:rFonts w:ascii="宋体" w:hAnsi="宋体" w:cs="宋体"/>
                <w:color w:val="000000"/>
                <w:kern w:val="0"/>
                <w:sz w:val="22"/>
              </w:rPr>
            </w:pPr>
            <w:r>
              <w:rPr>
                <w:rFonts w:hint="eastAsia" w:ascii="宋体" w:hAnsi="宋体" w:cs="宋体"/>
                <w:color w:val="000000"/>
                <w:kern w:val="0"/>
                <w:sz w:val="22"/>
              </w:rPr>
              <w:t>投标设备之产品样本，须包括详尽的技术数据；</w:t>
            </w:r>
          </w:p>
          <w:p>
            <w:pPr>
              <w:widowControl/>
              <w:jc w:val="left"/>
              <w:rPr>
                <w:rFonts w:ascii="宋体" w:hAnsi="宋体" w:cs="宋体"/>
                <w:color w:val="000000"/>
                <w:kern w:val="0"/>
                <w:sz w:val="22"/>
              </w:rPr>
            </w:pPr>
            <w:r>
              <w:rPr>
                <w:rFonts w:hint="eastAsia" w:ascii="宋体" w:hAnsi="宋体" w:cs="宋体"/>
                <w:color w:val="000000"/>
                <w:kern w:val="0"/>
                <w:sz w:val="22"/>
              </w:rPr>
              <w:t>国际权威的第三方检测报告，包括但不限于E</w:t>
            </w:r>
            <w:r>
              <w:rPr>
                <w:rFonts w:ascii="宋体" w:hAnsi="宋体" w:cs="宋体"/>
                <w:color w:val="000000"/>
                <w:kern w:val="0"/>
                <w:sz w:val="22"/>
              </w:rPr>
              <w:t>MC</w:t>
            </w:r>
            <w:r>
              <w:rPr>
                <w:rFonts w:hint="eastAsia" w:ascii="宋体" w:hAnsi="宋体" w:cs="宋体"/>
                <w:color w:val="000000"/>
                <w:kern w:val="0"/>
                <w:sz w:val="22"/>
              </w:rPr>
              <w:t>认证证书及测试报告、LCIE CB认证证书及测试报告（原件或加盖制造商公章的复印件）；</w:t>
            </w:r>
          </w:p>
          <w:p>
            <w:pPr>
              <w:widowControl/>
              <w:jc w:val="left"/>
              <w:rPr>
                <w:rFonts w:ascii="宋体" w:hAnsi="宋体"/>
                <w:sz w:val="24"/>
                <w:szCs w:val="24"/>
              </w:rPr>
            </w:pPr>
            <w:r>
              <w:rPr>
                <w:rFonts w:hint="eastAsia" w:ascii="宋体" w:hAnsi="宋体" w:cs="宋体"/>
                <w:color w:val="000000"/>
                <w:kern w:val="0"/>
                <w:sz w:val="22"/>
              </w:rPr>
              <w:t>制造商具有ISO9000证书、ISO14001证书和OHSAS 18001证书；</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电池</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12V100AH 阀控式免维护铅酸蓄电池</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节</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64</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电池箱</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A32</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套</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接线线缆及配件</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配套</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套</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5</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UPS输入输出配电柜</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配套</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408" w:hRule="atLeast"/>
        </w:trPr>
        <w:tc>
          <w:tcPr>
            <w:tcW w:w="926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十、综合管线</w:t>
            </w:r>
          </w:p>
        </w:tc>
      </w:tr>
      <w:tr>
        <w:tblPrEx>
          <w:tblCellMar>
            <w:top w:w="0" w:type="dxa"/>
            <w:left w:w="108" w:type="dxa"/>
            <w:bottom w:w="0" w:type="dxa"/>
            <w:right w:w="108" w:type="dxa"/>
          </w:tblCellMar>
        </w:tblPrEx>
        <w:trPr>
          <w:trHeight w:val="57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设备机柜</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42U，600*600*2000  前玻璃后网孔门 立柱2.0  层板2块</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5</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弱电间安防机柜</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壁挂式安装，600*450*800  层板一块600*600</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23</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PDU插板</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8位，全长1.8米带防雷功能</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60</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理线架</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1U机柜式</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70</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5</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室外交换机柜</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12U不锈钢，落地安装，砖砌基础</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12</w:t>
            </w:r>
          </w:p>
        </w:tc>
      </w:tr>
      <w:tr>
        <w:tblPrEx>
          <w:tblCellMar>
            <w:top w:w="0" w:type="dxa"/>
            <w:left w:w="108" w:type="dxa"/>
            <w:bottom w:w="0" w:type="dxa"/>
            <w:right w:w="108" w:type="dxa"/>
          </w:tblCellMar>
        </w:tblPrEx>
        <w:trPr>
          <w:trHeight w:val="57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6</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室外配电箱</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室外不锈钢控制箱落地安装 600*800*200  砖砌基础</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12</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7</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漏电保护断路器</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32A/3P</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35</w:t>
            </w:r>
          </w:p>
        </w:tc>
      </w:tr>
      <w:tr>
        <w:tblPrEx>
          <w:tblCellMar>
            <w:top w:w="0" w:type="dxa"/>
            <w:left w:w="108" w:type="dxa"/>
            <w:bottom w:w="0" w:type="dxa"/>
            <w:right w:w="108" w:type="dxa"/>
          </w:tblCellMar>
        </w:tblPrEx>
        <w:trPr>
          <w:trHeight w:val="57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8</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室外立杆（含预埋件）</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4M，镀锌管焊接，喷塑</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19</w:t>
            </w:r>
          </w:p>
        </w:tc>
      </w:tr>
      <w:tr>
        <w:tblPrEx>
          <w:tblCellMar>
            <w:top w:w="0" w:type="dxa"/>
            <w:left w:w="108" w:type="dxa"/>
            <w:bottom w:w="0" w:type="dxa"/>
            <w:right w:w="108" w:type="dxa"/>
          </w:tblCellMar>
        </w:tblPrEx>
        <w:trPr>
          <w:trHeight w:val="57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9</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围墙立杆（含预埋件）</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2.5M，镀锌管焊接，喷塑</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20</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10</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室外防水电源线</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YJV3*4.0</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米</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3000</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11</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摄像机电源线</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RVV2*1.0</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米</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auto"/>
                <w:kern w:val="0"/>
                <w:sz w:val="22"/>
                <w14:shadow w14:blurRad="38100" w14:dist="25400" w14:dir="5400000" w14:sx="100000" w14:sy="100000" w14:kx="0" w14:ky="0" w14:algn="ctr">
                  <w14:srgbClr w14:val="6E747A">
                    <w14:alpha w14:val="57000"/>
                  </w14:srgbClr>
                </w14:shadow>
              </w:rPr>
              <w:t>6</w:t>
            </w:r>
            <w:r>
              <w:rPr>
                <w:rFonts w:ascii="宋体" w:hAnsi="宋体" w:cs="宋体"/>
                <w:color w:val="auto"/>
                <w:kern w:val="0"/>
                <w:sz w:val="22"/>
                <w14:shadow w14:blurRad="38100" w14:dist="25400" w14:dir="5400000" w14:sx="100000" w14:sy="100000" w14:kx="0" w14:ky="0" w14:algn="ctr">
                  <w14:srgbClr w14:val="6E747A">
                    <w14:alpha w14:val="57000"/>
                  </w14:srgbClr>
                </w14:shadow>
              </w:rPr>
              <w:t>8</w:t>
            </w:r>
            <w:r>
              <w:rPr>
                <w:rFonts w:ascii="宋体" w:hAnsi="宋体" w:cs="宋体"/>
                <w:color w:val="auto"/>
                <w:kern w:val="0"/>
                <w:sz w:val="22"/>
                <w14:shadow w14:blurRad="38100" w14:dist="25400" w14:dir="5400000" w14:sx="100000" w14:sy="100000" w14:kx="0" w14:ky="0" w14:algn="ctr">
                  <w14:srgbClr w14:val="6E747A">
                    <w14:alpha w14:val="57000"/>
                  </w14:srgbClr>
                </w14:shadow>
              </w:rPr>
              <w:t>000</w:t>
            </w:r>
          </w:p>
        </w:tc>
      </w:tr>
      <w:tr>
        <w:tblPrEx>
          <w:tblCellMar>
            <w:top w:w="0" w:type="dxa"/>
            <w:left w:w="108" w:type="dxa"/>
            <w:bottom w:w="0" w:type="dxa"/>
            <w:right w:w="108" w:type="dxa"/>
          </w:tblCellMar>
        </w:tblPrEx>
        <w:trPr>
          <w:trHeight w:val="57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12</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摄像机电源插头尾巴线</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按需定制</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500</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13</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网线</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CAT6</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米</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auto"/>
                <w:kern w:val="0"/>
                <w:sz w:val="22"/>
                <w14:shadow w14:blurRad="38100" w14:dist="25400" w14:dir="5400000" w14:sx="100000" w14:sy="100000" w14:kx="0" w14:ky="0" w14:algn="ctr">
                  <w14:srgbClr w14:val="6E747A">
                    <w14:alpha w14:val="57000"/>
                  </w14:srgbClr>
                </w14:shadow>
              </w:rPr>
              <w:t>6</w:t>
            </w:r>
            <w:r>
              <w:rPr>
                <w:rFonts w:ascii="宋体" w:hAnsi="宋体" w:cs="宋体"/>
                <w:color w:val="auto"/>
                <w:kern w:val="0"/>
                <w:sz w:val="22"/>
                <w14:shadow w14:blurRad="38100" w14:dist="25400" w14:dir="5400000" w14:sx="100000" w14:sy="100000" w14:kx="0" w14:ky="0" w14:algn="ctr">
                  <w14:srgbClr w14:val="6E747A">
                    <w14:alpha w14:val="57000"/>
                  </w14:srgbClr>
                </w14:shadow>
              </w:rPr>
              <w:t>8</w:t>
            </w:r>
            <w:r>
              <w:rPr>
                <w:rFonts w:ascii="宋体" w:hAnsi="宋体" w:cs="宋体"/>
                <w:color w:val="auto"/>
                <w:kern w:val="0"/>
                <w:sz w:val="22"/>
                <w14:shadow w14:blurRad="38100" w14:dist="25400" w14:dir="5400000" w14:sx="100000" w14:sy="100000" w14:kx="0" w14:ky="0" w14:algn="ctr">
                  <w14:srgbClr w14:val="6E747A">
                    <w14:alpha w14:val="57000"/>
                  </w14:srgbClr>
                </w14:shadow>
              </w:rPr>
              <w:t>000</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14</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音频线</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RVS2*1.0</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米</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800</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15</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网络水晶头</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CAT6</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1000</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16</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8芯室外单模光纤</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单模</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米</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5800</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17</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光纤熔接</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按需定制</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芯</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392</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18</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光纤尾纤</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单模LC尾纤1.5米</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条</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392</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19</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迷你光纤盒</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尾纤终端盒12芯迷你款</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22</w:t>
            </w:r>
          </w:p>
        </w:tc>
      </w:tr>
      <w:tr>
        <w:tblPrEx>
          <w:tblCellMar>
            <w:top w:w="0" w:type="dxa"/>
            <w:left w:w="108" w:type="dxa"/>
            <w:bottom w:w="0" w:type="dxa"/>
            <w:right w:w="108" w:type="dxa"/>
          </w:tblCellMar>
        </w:tblPrEx>
        <w:trPr>
          <w:trHeight w:val="57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20</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1U式光纤盒（含配套法兰）</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24口</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10</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21</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光纤跳线</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20米</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条</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30</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22</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光纤跳线</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按需定制</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条</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320</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23</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网络跳线</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CAT6 1.5米</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条</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100</w:t>
            </w:r>
          </w:p>
        </w:tc>
      </w:tr>
      <w:tr>
        <w:tblPrEx>
          <w:tblCellMar>
            <w:top w:w="0" w:type="dxa"/>
            <w:left w:w="108" w:type="dxa"/>
            <w:bottom w:w="0" w:type="dxa"/>
            <w:right w:w="108" w:type="dxa"/>
          </w:tblCellMar>
        </w:tblPrEx>
        <w:trPr>
          <w:trHeight w:val="864"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24</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桥架（含吊杆、直接、三通、弯角等配套配件）</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热镀锌槽式桥架安装150*80</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米</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1800</w:t>
            </w:r>
          </w:p>
        </w:tc>
      </w:tr>
      <w:tr>
        <w:tblPrEx>
          <w:tblCellMar>
            <w:top w:w="0" w:type="dxa"/>
            <w:left w:w="108" w:type="dxa"/>
            <w:bottom w:w="0" w:type="dxa"/>
            <w:right w:w="108" w:type="dxa"/>
          </w:tblCellMar>
        </w:tblPrEx>
        <w:trPr>
          <w:trHeight w:val="864"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25</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JDG25线管（含吊杆、线卡、直接、弯角等配套配件）</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国标</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米</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3500</w:t>
            </w:r>
          </w:p>
        </w:tc>
      </w:tr>
      <w:tr>
        <w:tblPrEx>
          <w:tblCellMar>
            <w:top w:w="0" w:type="dxa"/>
            <w:left w:w="108" w:type="dxa"/>
            <w:bottom w:w="0" w:type="dxa"/>
            <w:right w:w="108" w:type="dxa"/>
          </w:tblCellMar>
        </w:tblPrEx>
        <w:trPr>
          <w:trHeight w:val="864"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26</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PVC25线管（含线卡、直接、弯角等配套配件）</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国标</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米</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35000</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27</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PVC25线槽</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国标</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米</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22000</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28</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楼顶监控组合避雷</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国标</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项</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408" w:hRule="atLeast"/>
        </w:trPr>
        <w:tc>
          <w:tcPr>
            <w:tcW w:w="926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十一、六专四室</w:t>
            </w:r>
          </w:p>
        </w:tc>
      </w:tr>
      <w:tr>
        <w:tblPrEx>
          <w:tblCellMar>
            <w:top w:w="0" w:type="dxa"/>
            <w:left w:w="108" w:type="dxa"/>
            <w:bottom w:w="0" w:type="dxa"/>
            <w:right w:w="108" w:type="dxa"/>
          </w:tblCellMar>
        </w:tblPrEx>
        <w:trPr>
          <w:trHeight w:val="288" w:hRule="atLeast"/>
        </w:trPr>
        <w:tc>
          <w:tcPr>
            <w:tcW w:w="926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专用囚车（中院2辆囚车，车顶不安装监控。车载管理平台只接入中院囚车数据）</w:t>
            </w:r>
          </w:p>
        </w:tc>
      </w:tr>
      <w:tr>
        <w:tblPrEx>
          <w:tblCellMar>
            <w:top w:w="0" w:type="dxa"/>
            <w:left w:w="108" w:type="dxa"/>
            <w:bottom w:w="0" w:type="dxa"/>
            <w:right w:w="108" w:type="dxa"/>
          </w:tblCellMar>
        </w:tblPrEx>
        <w:trPr>
          <w:trHeight w:val="2274"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双硬盘NVR(8路IPC)</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产品需支持同时接入16路网络视频信号（预览延时应≤150ms）；</w:t>
            </w:r>
            <w:r>
              <w:rPr>
                <w:rFonts w:hint="eastAsia" w:ascii="宋体" w:hAnsi="宋体" w:cs="宋体"/>
                <w:color w:val="000000"/>
                <w:kern w:val="0"/>
                <w:sz w:val="22"/>
              </w:rPr>
              <w:br w:type="textWrapping"/>
            </w:r>
            <w:r>
              <w:rPr>
                <w:rFonts w:hint="eastAsia" w:ascii="宋体" w:hAnsi="宋体" w:cs="宋体"/>
                <w:color w:val="000000"/>
                <w:kern w:val="0"/>
                <w:sz w:val="22"/>
              </w:rPr>
              <w:t>产品需具有2个RS232接口、1个RS485接口，1个RJ45千兆网口，1个3G/4G天线接口、1个GPS天线接口，1个WIFI接口（SMA插头），1个USB 3.0接口，2个USB 2.0接口，2个CAN接口，1个VGA接口，1个CVBS接口，8路报警输入接口、1路脉冲输入接口、2路报警输出接口；</w:t>
            </w:r>
            <w:r>
              <w:rPr>
                <w:rFonts w:hint="eastAsia" w:ascii="宋体" w:hAnsi="宋体" w:cs="宋体"/>
                <w:color w:val="000000"/>
                <w:kern w:val="0"/>
                <w:sz w:val="22"/>
              </w:rPr>
              <w:br w:type="textWrapping"/>
            </w:r>
            <w:r>
              <w:rPr>
                <w:rFonts w:hint="eastAsia" w:ascii="宋体" w:hAnsi="宋体" w:cs="宋体"/>
                <w:color w:val="000000"/>
                <w:kern w:val="0"/>
                <w:sz w:val="22"/>
              </w:rPr>
              <w:t>分辨率最高支持1920×1080，信噪比≥35dB，监视水平分辨力以及回放水平分辨力均≥900TVL;</w:t>
            </w:r>
            <w:r>
              <w:rPr>
                <w:rFonts w:hint="eastAsia" w:ascii="宋体" w:hAnsi="宋体" w:cs="宋体"/>
                <w:color w:val="000000"/>
                <w:kern w:val="0"/>
                <w:sz w:val="22"/>
              </w:rPr>
              <w:br w:type="textWrapping"/>
            </w:r>
            <w:r>
              <w:rPr>
                <w:rFonts w:hint="eastAsia" w:ascii="宋体" w:hAnsi="宋体" w:cs="宋体"/>
                <w:color w:val="000000"/>
                <w:kern w:val="0"/>
                <w:sz w:val="22"/>
              </w:rPr>
              <w:t>产品需支持无线模块可插拔更换；</w:t>
            </w:r>
            <w:r>
              <w:rPr>
                <w:rFonts w:hint="eastAsia" w:ascii="宋体" w:hAnsi="宋体" w:cs="宋体"/>
                <w:color w:val="000000"/>
                <w:kern w:val="0"/>
                <w:sz w:val="22"/>
              </w:rPr>
              <w:br w:type="textWrapping"/>
            </w:r>
            <w:r>
              <w:rPr>
                <w:rFonts w:hint="eastAsia" w:ascii="宋体" w:hAnsi="宋体" w:cs="宋体"/>
                <w:color w:val="000000"/>
                <w:kern w:val="0"/>
                <w:sz w:val="22"/>
              </w:rPr>
              <w:t>产品需能够同时接入2块硬盘，可自动识别硬盘工作信息，需支持硬盘热插拔，自备3.0接口，支持数据导出。；</w:t>
            </w:r>
            <w:r>
              <w:rPr>
                <w:rFonts w:hint="eastAsia" w:ascii="宋体" w:hAnsi="宋体" w:cs="宋体"/>
                <w:color w:val="000000"/>
                <w:kern w:val="0"/>
                <w:sz w:val="22"/>
              </w:rPr>
              <w:br w:type="textWrapping"/>
            </w:r>
            <w:r>
              <w:rPr>
                <w:rFonts w:hint="eastAsia" w:ascii="宋体" w:hAnsi="宋体" w:cs="宋体"/>
                <w:color w:val="000000"/>
                <w:kern w:val="0"/>
                <w:sz w:val="22"/>
              </w:rPr>
              <w:t>当硬盘损坏时，录像将自动保存至SD卡中；</w:t>
            </w:r>
            <w:r>
              <w:rPr>
                <w:rFonts w:hint="eastAsia" w:ascii="宋体" w:hAnsi="宋体" w:cs="宋体"/>
                <w:color w:val="000000"/>
                <w:kern w:val="0"/>
                <w:sz w:val="22"/>
              </w:rPr>
              <w:br w:type="textWrapping"/>
            </w:r>
            <w:r>
              <w:rPr>
                <w:rFonts w:hint="eastAsia" w:ascii="宋体" w:hAnsi="宋体" w:cs="宋体"/>
                <w:color w:val="000000"/>
                <w:kern w:val="0"/>
                <w:sz w:val="22"/>
              </w:rPr>
              <w:t>视音频信号的同步方式可有多种选择，但视音频信号的失步时间应≤1s；</w:t>
            </w:r>
            <w:r>
              <w:rPr>
                <w:rFonts w:hint="eastAsia" w:ascii="宋体" w:hAnsi="宋体" w:cs="宋体"/>
                <w:color w:val="000000"/>
                <w:kern w:val="0"/>
                <w:sz w:val="22"/>
              </w:rPr>
              <w:br w:type="textWrapping"/>
            </w:r>
            <w:r>
              <w:rPr>
                <w:rFonts w:hint="eastAsia" w:ascii="宋体" w:hAnsi="宋体" w:cs="宋体"/>
                <w:color w:val="000000"/>
                <w:kern w:val="0"/>
                <w:sz w:val="22"/>
              </w:rPr>
              <w:t>产品需硬件设计上具备断电保护功能，设备在突然断电情况下应具有延时断电功能，以防止数据丢失;</w:t>
            </w:r>
            <w:r>
              <w:rPr>
                <w:rFonts w:hint="eastAsia" w:ascii="宋体" w:hAnsi="宋体" w:cs="宋体"/>
                <w:color w:val="000000"/>
                <w:kern w:val="0"/>
                <w:sz w:val="22"/>
              </w:rPr>
              <w:br w:type="textWrapping"/>
            </w:r>
            <w:r>
              <w:rPr>
                <w:rFonts w:hint="eastAsia" w:ascii="宋体" w:hAnsi="宋体" w:cs="宋体"/>
                <w:color w:val="000000"/>
                <w:kern w:val="0"/>
                <w:sz w:val="22"/>
              </w:rPr>
              <w:t>产品需支持GPS/北斗定位功能，定位信息能在录像资料中进行保存；</w:t>
            </w:r>
            <w:r>
              <w:rPr>
                <w:rFonts w:hint="eastAsia" w:ascii="宋体" w:hAnsi="宋体" w:cs="宋体"/>
                <w:color w:val="000000"/>
                <w:kern w:val="0"/>
                <w:sz w:val="22"/>
              </w:rPr>
              <w:br w:type="textWrapping"/>
            </w:r>
            <w:r>
              <w:rPr>
                <w:rFonts w:hint="eastAsia" w:ascii="宋体" w:hAnsi="宋体" w:cs="宋体"/>
                <w:color w:val="000000"/>
                <w:kern w:val="0"/>
                <w:sz w:val="22"/>
              </w:rPr>
              <w:t>设备需具有激活及密码设置功能，设备需激活并强制设置密码，未经激活的设备不能正常使用；</w:t>
            </w:r>
            <w:r>
              <w:rPr>
                <w:rFonts w:hint="eastAsia" w:ascii="宋体" w:hAnsi="宋体" w:cs="宋体"/>
                <w:color w:val="000000"/>
                <w:kern w:val="0"/>
                <w:sz w:val="22"/>
              </w:rPr>
              <w:br w:type="textWrapping"/>
            </w:r>
            <w:r>
              <w:rPr>
                <w:rFonts w:hint="eastAsia" w:ascii="宋体" w:hAnsi="宋体" w:cs="宋体"/>
                <w:color w:val="000000"/>
                <w:kern w:val="0"/>
                <w:sz w:val="22"/>
              </w:rPr>
              <w:t>设备需支持镜像功能，可按上下、左右、中心翻转；</w:t>
            </w:r>
            <w:r>
              <w:rPr>
                <w:rFonts w:hint="eastAsia" w:ascii="宋体" w:hAnsi="宋体" w:cs="宋体"/>
                <w:color w:val="000000"/>
                <w:kern w:val="0"/>
                <w:sz w:val="22"/>
              </w:rPr>
              <w:br w:type="textWrapping"/>
            </w:r>
            <w:r>
              <w:rPr>
                <w:rFonts w:hint="eastAsia" w:ascii="宋体" w:hAnsi="宋体" w:cs="宋体"/>
                <w:color w:val="000000"/>
                <w:kern w:val="0"/>
                <w:sz w:val="22"/>
              </w:rPr>
              <w:t>当视频信号丢失时，应能发出报警信号，响应时间≤3s；</w:t>
            </w:r>
            <w:r>
              <w:rPr>
                <w:rFonts w:hint="eastAsia" w:ascii="宋体" w:hAnsi="宋体" w:cs="宋体"/>
                <w:color w:val="000000"/>
                <w:kern w:val="0"/>
                <w:sz w:val="22"/>
              </w:rPr>
              <w:br w:type="textWrapping"/>
            </w:r>
            <w:r>
              <w:rPr>
                <w:rFonts w:hint="eastAsia" w:ascii="宋体" w:hAnsi="宋体" w:cs="宋体"/>
                <w:color w:val="000000"/>
                <w:kern w:val="0"/>
                <w:sz w:val="22"/>
              </w:rPr>
              <w:t>VGA输出分辨率需支持1024×768,1280×720,1280×1024,1920×1080；</w:t>
            </w:r>
            <w:r>
              <w:rPr>
                <w:rFonts w:hint="eastAsia" w:ascii="宋体" w:hAnsi="宋体" w:cs="宋体"/>
                <w:color w:val="000000"/>
                <w:kern w:val="0"/>
                <w:sz w:val="22"/>
              </w:rPr>
              <w:br w:type="textWrapping"/>
            </w:r>
            <w:r>
              <w:rPr>
                <w:rFonts w:hint="eastAsia" w:ascii="宋体" w:hAnsi="宋体" w:cs="宋体"/>
                <w:color w:val="000000"/>
                <w:kern w:val="0"/>
                <w:sz w:val="22"/>
              </w:rPr>
              <w:t>设备应具有权限管理、数据保密、运行日志功能；</w:t>
            </w:r>
            <w:r>
              <w:rPr>
                <w:rFonts w:hint="eastAsia" w:ascii="宋体" w:hAnsi="宋体" w:cs="宋体"/>
                <w:color w:val="000000"/>
                <w:kern w:val="0"/>
                <w:sz w:val="22"/>
              </w:rPr>
              <w:br w:type="textWrapping"/>
            </w:r>
            <w:r>
              <w:rPr>
                <w:rFonts w:hint="eastAsia" w:ascii="宋体" w:hAnsi="宋体" w:cs="宋体"/>
                <w:color w:val="000000"/>
                <w:kern w:val="0"/>
                <w:sz w:val="22"/>
              </w:rPr>
              <w:t>产品需为铝制机箱，具备良好的车载工作环境适应性；</w:t>
            </w:r>
            <w:r>
              <w:rPr>
                <w:rFonts w:hint="eastAsia" w:ascii="宋体" w:hAnsi="宋体" w:cs="宋体"/>
                <w:color w:val="000000"/>
                <w:kern w:val="0"/>
                <w:sz w:val="22"/>
              </w:rPr>
              <w:br w:type="textWrapping"/>
            </w:r>
            <w:r>
              <w:rPr>
                <w:rFonts w:hint="eastAsia" w:ascii="宋体" w:hAnsi="宋体" w:cs="宋体"/>
                <w:color w:val="000000"/>
                <w:kern w:val="0"/>
                <w:sz w:val="22"/>
              </w:rPr>
              <w:t>产品应支持通过本地、远程登录设备时，如密码输入错误次数超过设定值，将锁定账户；</w:t>
            </w:r>
            <w:r>
              <w:rPr>
                <w:rFonts w:hint="eastAsia" w:ascii="宋体" w:hAnsi="宋体" w:cs="宋体"/>
                <w:color w:val="000000"/>
                <w:kern w:val="0"/>
                <w:sz w:val="22"/>
              </w:rPr>
              <w:br w:type="textWrapping"/>
            </w:r>
            <w:r>
              <w:rPr>
                <w:rFonts w:hint="eastAsia" w:ascii="宋体" w:hAnsi="宋体" w:cs="宋体"/>
                <w:color w:val="000000"/>
                <w:kern w:val="0"/>
                <w:sz w:val="22"/>
              </w:rPr>
              <w:t>支持H.264、H.265编码格式</w:t>
            </w:r>
            <w:r>
              <w:rPr>
                <w:rFonts w:hint="eastAsia" w:ascii="宋体" w:hAnsi="宋体" w:cs="宋体"/>
                <w:color w:val="000000"/>
                <w:kern w:val="0"/>
                <w:sz w:val="22"/>
              </w:rPr>
              <w:br w:type="textWrapping"/>
            </w:r>
            <w:r>
              <w:rPr>
                <w:rFonts w:hint="eastAsia" w:ascii="宋体" w:hAnsi="宋体" w:cs="宋体"/>
                <w:color w:val="000000"/>
                <w:kern w:val="0"/>
                <w:sz w:val="22"/>
              </w:rPr>
              <w:t>支持VGA和CVBS同源输出显示，可设置16/9/4/1等多种预览模式；</w:t>
            </w:r>
            <w:r>
              <w:rPr>
                <w:rFonts w:hint="eastAsia" w:ascii="宋体" w:hAnsi="宋体" w:cs="宋体"/>
                <w:color w:val="000000"/>
                <w:kern w:val="0"/>
                <w:sz w:val="22"/>
              </w:rPr>
              <w:br w:type="textWrapping"/>
            </w:r>
            <w:r>
              <w:rPr>
                <w:rFonts w:hint="eastAsia" w:ascii="宋体" w:hAnsi="宋体" w:cs="宋体"/>
                <w:color w:val="000000"/>
                <w:kern w:val="0"/>
                <w:sz w:val="22"/>
              </w:rPr>
              <w:t>产品需支持报警抓图、手动抓图；</w:t>
            </w:r>
            <w:r>
              <w:rPr>
                <w:rFonts w:hint="eastAsia" w:ascii="宋体" w:hAnsi="宋体" w:cs="宋体"/>
                <w:color w:val="000000"/>
                <w:kern w:val="0"/>
                <w:sz w:val="22"/>
              </w:rPr>
              <w:br w:type="textWrapping"/>
            </w:r>
            <w:r>
              <w:rPr>
                <w:rFonts w:hint="eastAsia" w:ascii="宋体" w:hAnsi="宋体" w:cs="宋体"/>
                <w:color w:val="000000"/>
                <w:kern w:val="0"/>
                <w:sz w:val="22"/>
              </w:rPr>
              <w:t>产品需支持2路相机，实时记录到防火盒中;</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车载保护箱</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车载机箱-外保护箱；</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w:t>
            </w:r>
          </w:p>
        </w:tc>
      </w:tr>
      <w:tr>
        <w:tblPrEx>
          <w:tblCellMar>
            <w:top w:w="0" w:type="dxa"/>
            <w:left w:w="108" w:type="dxa"/>
            <w:bottom w:w="0" w:type="dxa"/>
            <w:right w:w="108" w:type="dxa"/>
          </w:tblCellMar>
        </w:tblPrEx>
        <w:trPr>
          <w:trHeight w:val="432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车载网络摄像机(驾驶舱，押解舱)</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通讯接口:六芯航空头网络接口;</w:t>
            </w:r>
            <w:r>
              <w:rPr>
                <w:rFonts w:hint="eastAsia" w:ascii="宋体" w:hAnsi="宋体" w:cs="宋体"/>
                <w:color w:val="000000"/>
                <w:kern w:val="0"/>
                <w:sz w:val="22"/>
              </w:rPr>
              <w:br w:type="textWrapping"/>
            </w:r>
            <w:r>
              <w:rPr>
                <w:rFonts w:hint="eastAsia" w:ascii="宋体" w:hAnsi="宋体" w:cs="宋体"/>
                <w:color w:val="000000"/>
                <w:kern w:val="0"/>
                <w:sz w:val="22"/>
              </w:rPr>
              <w:t>需支持双码流技术，支持主码流1280x960@25fps和子码流640x480@25fps同时输出;</w:t>
            </w:r>
            <w:r>
              <w:rPr>
                <w:rFonts w:hint="eastAsia" w:ascii="宋体" w:hAnsi="宋体" w:cs="宋体"/>
                <w:color w:val="000000"/>
                <w:kern w:val="0"/>
                <w:sz w:val="22"/>
              </w:rPr>
              <w:br w:type="textWrapping"/>
            </w:r>
            <w:r>
              <w:rPr>
                <w:rFonts w:hint="eastAsia" w:ascii="宋体" w:hAnsi="宋体" w:cs="宋体"/>
                <w:color w:val="000000"/>
                <w:kern w:val="0"/>
                <w:sz w:val="22"/>
              </w:rPr>
              <w:t>支持H.264视频编码格式;</w:t>
            </w:r>
            <w:r>
              <w:rPr>
                <w:rFonts w:hint="eastAsia" w:ascii="宋体" w:hAnsi="宋体" w:cs="宋体"/>
                <w:color w:val="000000"/>
                <w:kern w:val="0"/>
                <w:sz w:val="22"/>
              </w:rPr>
              <w:br w:type="textWrapping"/>
            </w:r>
            <w:r>
              <w:rPr>
                <w:rFonts w:hint="eastAsia" w:ascii="宋体" w:hAnsi="宋体" w:cs="宋体"/>
                <w:color w:val="000000"/>
                <w:kern w:val="0"/>
                <w:sz w:val="22"/>
              </w:rPr>
              <w:t>信噪比不小于55dB;</w:t>
            </w:r>
            <w:r>
              <w:rPr>
                <w:rFonts w:hint="eastAsia" w:ascii="宋体" w:hAnsi="宋体" w:cs="宋体"/>
                <w:color w:val="000000"/>
                <w:kern w:val="0"/>
                <w:sz w:val="22"/>
              </w:rPr>
              <w:br w:type="textWrapping"/>
            </w:r>
            <w:r>
              <w:rPr>
                <w:rFonts w:hint="eastAsia" w:ascii="宋体" w:hAnsi="宋体" w:cs="宋体"/>
                <w:color w:val="000000"/>
                <w:kern w:val="0"/>
                <w:sz w:val="22"/>
              </w:rPr>
              <w:t>红外补光距离不小于20米;</w:t>
            </w:r>
            <w:r>
              <w:rPr>
                <w:rFonts w:hint="eastAsia" w:ascii="宋体" w:hAnsi="宋体" w:cs="宋体"/>
                <w:color w:val="000000"/>
                <w:kern w:val="0"/>
                <w:sz w:val="22"/>
              </w:rPr>
              <w:br w:type="textWrapping"/>
            </w:r>
            <w:r>
              <w:rPr>
                <w:rFonts w:hint="eastAsia" w:ascii="宋体" w:hAnsi="宋体" w:cs="宋体"/>
                <w:color w:val="000000"/>
                <w:kern w:val="0"/>
                <w:sz w:val="22"/>
              </w:rPr>
              <w:t>最低照度彩色：0.01 lx，黑白：0.005 lx，灰度等级不小于11级;</w:t>
            </w:r>
            <w:r>
              <w:rPr>
                <w:rFonts w:hint="eastAsia" w:ascii="宋体" w:hAnsi="宋体" w:cs="宋体"/>
                <w:color w:val="000000"/>
                <w:kern w:val="0"/>
                <w:sz w:val="22"/>
              </w:rPr>
              <w:br w:type="textWrapping"/>
            </w:r>
            <w:r>
              <w:rPr>
                <w:rFonts w:hint="eastAsia" w:ascii="宋体" w:hAnsi="宋体" w:cs="宋体"/>
                <w:color w:val="000000"/>
                <w:kern w:val="0"/>
                <w:sz w:val="22"/>
              </w:rPr>
              <w:t>具有抗丢包（10%）处理能力;</w:t>
            </w:r>
            <w:r>
              <w:rPr>
                <w:rFonts w:hint="eastAsia" w:ascii="宋体" w:hAnsi="宋体" w:cs="宋体"/>
                <w:color w:val="000000"/>
                <w:kern w:val="0"/>
                <w:sz w:val="22"/>
              </w:rPr>
              <w:br w:type="textWrapping"/>
            </w:r>
            <w:r>
              <w:rPr>
                <w:rFonts w:hint="eastAsia" w:ascii="宋体" w:hAnsi="宋体" w:cs="宋体"/>
                <w:color w:val="000000"/>
                <w:kern w:val="0"/>
                <w:sz w:val="22"/>
              </w:rPr>
              <w:t>设备与客户端之间用100米网线进行传输，数据包丢包率不大于0.1%;</w:t>
            </w:r>
            <w:r>
              <w:rPr>
                <w:rFonts w:hint="eastAsia" w:ascii="宋体" w:hAnsi="宋体" w:cs="宋体"/>
                <w:color w:val="000000"/>
                <w:kern w:val="0"/>
                <w:sz w:val="22"/>
              </w:rPr>
              <w:br w:type="textWrapping"/>
            </w:r>
            <w:r>
              <w:rPr>
                <w:rFonts w:hint="eastAsia" w:ascii="宋体" w:hAnsi="宋体" w:cs="宋体"/>
                <w:color w:val="000000"/>
                <w:kern w:val="0"/>
                <w:sz w:val="22"/>
              </w:rPr>
              <w:t>摄像机能够在-30~60摄氏度，湿度小于93%环境下稳定工作;</w:t>
            </w:r>
            <w:r>
              <w:rPr>
                <w:rFonts w:hint="eastAsia" w:ascii="宋体" w:hAnsi="宋体" w:cs="宋体"/>
                <w:color w:val="000000"/>
                <w:kern w:val="0"/>
                <w:sz w:val="22"/>
              </w:rPr>
              <w:br w:type="textWrapping"/>
            </w:r>
            <w:r>
              <w:rPr>
                <w:rFonts w:hint="eastAsia" w:ascii="宋体" w:hAnsi="宋体" w:cs="宋体"/>
                <w:color w:val="000000"/>
                <w:kern w:val="0"/>
                <w:sz w:val="22"/>
              </w:rPr>
              <w:t>需支持DC12V供电，且在不小于DC12V±30%范围内变化时可以正常工作;</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w:t>
            </w:r>
          </w:p>
        </w:tc>
      </w:tr>
      <w:tr>
        <w:tblPrEx>
          <w:tblCellMar>
            <w:top w:w="0" w:type="dxa"/>
            <w:left w:w="108" w:type="dxa"/>
            <w:bottom w:w="0" w:type="dxa"/>
            <w:right w:w="108" w:type="dxa"/>
          </w:tblCellMar>
        </w:tblPrEx>
        <w:trPr>
          <w:trHeight w:val="777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车载网络摄像机(车前，车后)</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通讯接口:六芯航空头网络接口;</w:t>
            </w:r>
            <w:r>
              <w:rPr>
                <w:rFonts w:hint="eastAsia" w:ascii="宋体" w:hAnsi="宋体" w:cs="宋体"/>
                <w:color w:val="000000"/>
                <w:kern w:val="0"/>
                <w:sz w:val="22"/>
              </w:rPr>
              <w:br w:type="textWrapping"/>
            </w:r>
            <w:r>
              <w:rPr>
                <w:rFonts w:hint="eastAsia" w:ascii="宋体" w:hAnsi="宋体" w:cs="宋体"/>
                <w:color w:val="000000"/>
                <w:kern w:val="0"/>
                <w:sz w:val="22"/>
              </w:rPr>
              <w:t>具有200万像素 CMOS传感器;</w:t>
            </w:r>
            <w:r>
              <w:rPr>
                <w:rFonts w:hint="eastAsia" w:ascii="宋体" w:hAnsi="宋体" w:cs="宋体"/>
                <w:color w:val="000000"/>
                <w:kern w:val="0"/>
                <w:sz w:val="22"/>
              </w:rPr>
              <w:br w:type="textWrapping"/>
            </w:r>
            <w:r>
              <w:rPr>
                <w:rFonts w:hint="eastAsia" w:ascii="宋体" w:hAnsi="宋体" w:cs="宋体"/>
                <w:color w:val="000000"/>
                <w:kern w:val="0"/>
                <w:sz w:val="22"/>
              </w:rPr>
              <w:t>需支持三码流技术，主码流最高1920x1080@25fps，子码流704x576@25fps，第三码流最高1920x1080@25fps;</w:t>
            </w:r>
            <w:r>
              <w:rPr>
                <w:rFonts w:hint="eastAsia" w:ascii="宋体" w:hAnsi="宋体" w:cs="宋体"/>
                <w:color w:val="000000"/>
                <w:kern w:val="0"/>
                <w:sz w:val="22"/>
              </w:rPr>
              <w:br w:type="textWrapping"/>
            </w:r>
            <w:r>
              <w:rPr>
                <w:rFonts w:hint="eastAsia" w:ascii="宋体" w:hAnsi="宋体" w:cs="宋体"/>
                <w:color w:val="000000"/>
                <w:kern w:val="0"/>
                <w:sz w:val="22"/>
              </w:rPr>
              <w:t>在1920x1080 @ 25fps下，清晰度不小于1000TVL;</w:t>
            </w:r>
            <w:r>
              <w:rPr>
                <w:rFonts w:hint="eastAsia" w:ascii="宋体" w:hAnsi="宋体" w:cs="宋体"/>
                <w:color w:val="000000"/>
                <w:kern w:val="0"/>
                <w:sz w:val="22"/>
              </w:rPr>
              <w:br w:type="textWrapping"/>
            </w:r>
            <w:r>
              <w:rPr>
                <w:rFonts w:hint="eastAsia" w:ascii="宋体" w:hAnsi="宋体" w:cs="宋体"/>
                <w:color w:val="000000"/>
                <w:kern w:val="0"/>
                <w:sz w:val="22"/>
              </w:rPr>
              <w:t>支持H.264、H.265、MJPEG视频编码格式，且具有High Profile编码能力;</w:t>
            </w:r>
            <w:r>
              <w:rPr>
                <w:rFonts w:hint="eastAsia" w:ascii="宋体" w:hAnsi="宋体" w:cs="宋体"/>
                <w:color w:val="000000"/>
                <w:kern w:val="0"/>
                <w:sz w:val="22"/>
              </w:rPr>
              <w:br w:type="textWrapping"/>
            </w:r>
            <w:r>
              <w:rPr>
                <w:rFonts w:hint="eastAsia" w:ascii="宋体" w:hAnsi="宋体" w:cs="宋体"/>
                <w:color w:val="000000"/>
                <w:kern w:val="0"/>
                <w:sz w:val="22"/>
              </w:rPr>
              <w:t>信噪比不小于55dB;</w:t>
            </w:r>
            <w:r>
              <w:rPr>
                <w:rFonts w:hint="eastAsia" w:ascii="宋体" w:hAnsi="宋体" w:cs="宋体"/>
                <w:color w:val="000000"/>
                <w:kern w:val="0"/>
                <w:sz w:val="22"/>
              </w:rPr>
              <w:br w:type="textWrapping"/>
            </w:r>
            <w:r>
              <w:rPr>
                <w:rFonts w:hint="eastAsia" w:ascii="宋体" w:hAnsi="宋体" w:cs="宋体"/>
                <w:color w:val="000000"/>
                <w:kern w:val="0"/>
                <w:sz w:val="22"/>
              </w:rPr>
              <w:t>红外补光距离不小于30米;</w:t>
            </w:r>
            <w:r>
              <w:rPr>
                <w:rFonts w:hint="eastAsia" w:ascii="宋体" w:hAnsi="宋体" w:cs="宋体"/>
                <w:color w:val="000000"/>
                <w:kern w:val="0"/>
                <w:sz w:val="22"/>
              </w:rPr>
              <w:br w:type="textWrapping"/>
            </w:r>
            <w:r>
              <w:rPr>
                <w:rFonts w:hint="eastAsia" w:ascii="宋体" w:hAnsi="宋体" w:cs="宋体"/>
                <w:color w:val="000000"/>
                <w:kern w:val="0"/>
                <w:sz w:val="22"/>
              </w:rPr>
              <w:t>最低照度彩色：0.01 lx，黑白：0.001 lx，最大亮度鉴别等级（灰度等级）不小于11级;</w:t>
            </w:r>
            <w:r>
              <w:rPr>
                <w:rFonts w:hint="eastAsia" w:ascii="宋体" w:hAnsi="宋体" w:cs="宋体"/>
                <w:color w:val="000000"/>
                <w:kern w:val="0"/>
                <w:sz w:val="22"/>
              </w:rPr>
              <w:br w:type="textWrapping"/>
            </w:r>
            <w:r>
              <w:rPr>
                <w:rFonts w:hint="eastAsia" w:ascii="宋体" w:hAnsi="宋体" w:cs="宋体"/>
                <w:color w:val="000000"/>
                <w:kern w:val="0"/>
                <w:sz w:val="22"/>
              </w:rPr>
              <w:t>支持检出两眼瞳距40像素点以上的人脸图片;</w:t>
            </w:r>
            <w:r>
              <w:rPr>
                <w:rFonts w:hint="eastAsia" w:ascii="宋体" w:hAnsi="宋体" w:cs="宋体"/>
                <w:color w:val="000000"/>
                <w:kern w:val="0"/>
                <w:sz w:val="22"/>
              </w:rPr>
              <w:br w:type="textWrapping"/>
            </w:r>
            <w:r>
              <w:rPr>
                <w:rFonts w:hint="eastAsia" w:ascii="宋体" w:hAnsi="宋体" w:cs="宋体"/>
                <w:color w:val="000000"/>
                <w:kern w:val="0"/>
                <w:sz w:val="22"/>
              </w:rPr>
              <w:t>支持单场景同时检出不少于10张人脸图片，并支持面部跟踪;</w:t>
            </w:r>
            <w:r>
              <w:rPr>
                <w:rFonts w:hint="eastAsia" w:ascii="宋体" w:hAnsi="宋体" w:cs="宋体"/>
                <w:color w:val="000000"/>
                <w:kern w:val="0"/>
                <w:sz w:val="22"/>
              </w:rPr>
              <w:br w:type="textWrapping"/>
            </w:r>
            <w:r>
              <w:rPr>
                <w:rFonts w:hint="eastAsia" w:ascii="宋体" w:hAnsi="宋体" w:cs="宋体"/>
                <w:color w:val="000000"/>
                <w:kern w:val="0"/>
                <w:sz w:val="22"/>
              </w:rPr>
              <w:t>人脸检出率不小于99%;</w:t>
            </w:r>
            <w:r>
              <w:rPr>
                <w:rFonts w:hint="eastAsia" w:ascii="宋体" w:hAnsi="宋体" w:cs="宋体"/>
                <w:color w:val="000000"/>
                <w:kern w:val="0"/>
                <w:sz w:val="22"/>
              </w:rPr>
              <w:br w:type="textWrapping"/>
            </w:r>
            <w:r>
              <w:rPr>
                <w:rFonts w:hint="eastAsia" w:ascii="宋体" w:hAnsi="宋体" w:cs="宋体"/>
                <w:color w:val="000000"/>
                <w:kern w:val="0"/>
                <w:sz w:val="22"/>
              </w:rPr>
              <w:t>支持人脸区域自动曝光功能，可根据外部不同场景和光照变化自动调节人脸区域曝光参数;</w:t>
            </w:r>
            <w:r>
              <w:rPr>
                <w:rFonts w:hint="eastAsia" w:ascii="宋体" w:hAnsi="宋体" w:cs="宋体"/>
                <w:color w:val="000000"/>
                <w:kern w:val="0"/>
                <w:sz w:val="22"/>
              </w:rPr>
              <w:br w:type="textWrapping"/>
            </w:r>
            <w:r>
              <w:rPr>
                <w:rFonts w:hint="eastAsia" w:ascii="宋体" w:hAnsi="宋体" w:cs="宋体"/>
                <w:color w:val="000000"/>
                <w:kern w:val="0"/>
                <w:sz w:val="22"/>
              </w:rPr>
              <w:t>设备工作状态时，支持空气放电8kV，接触放电6kV，支持6kV峰值电压;</w:t>
            </w:r>
            <w:r>
              <w:rPr>
                <w:rFonts w:hint="eastAsia" w:ascii="宋体" w:hAnsi="宋体" w:cs="宋体"/>
                <w:color w:val="000000"/>
                <w:kern w:val="0"/>
                <w:sz w:val="22"/>
              </w:rPr>
              <w:br w:type="textWrapping"/>
            </w:r>
            <w:r>
              <w:rPr>
                <w:rFonts w:hint="eastAsia" w:ascii="宋体" w:hAnsi="宋体" w:cs="宋体"/>
                <w:color w:val="000000"/>
                <w:kern w:val="0"/>
                <w:sz w:val="22"/>
              </w:rPr>
              <w:t>摄像机能够在-30~60摄氏度，湿度小于93%环境下稳定工作;</w:t>
            </w:r>
            <w:r>
              <w:rPr>
                <w:rFonts w:hint="eastAsia" w:ascii="宋体" w:hAnsi="宋体" w:cs="宋体"/>
                <w:color w:val="000000"/>
                <w:kern w:val="0"/>
                <w:sz w:val="22"/>
              </w:rPr>
              <w:br w:type="textWrapping"/>
            </w:r>
            <w:r>
              <w:rPr>
                <w:rFonts w:hint="eastAsia" w:ascii="宋体" w:hAnsi="宋体" w:cs="宋体"/>
                <w:color w:val="000000"/>
                <w:kern w:val="0"/>
                <w:sz w:val="22"/>
              </w:rPr>
              <w:t>需同时支持DC12V或POE供电，且在不小于DC12V±30%范围内变化时可以正常工作;</w:t>
            </w:r>
            <w:r>
              <w:rPr>
                <w:rFonts w:hint="eastAsia" w:ascii="宋体" w:hAnsi="宋体" w:cs="宋体"/>
                <w:color w:val="000000"/>
                <w:kern w:val="0"/>
                <w:sz w:val="22"/>
              </w:rPr>
              <w:br w:type="textWrapping"/>
            </w:r>
            <w:r>
              <w:rPr>
                <w:rFonts w:hint="eastAsia" w:ascii="宋体" w:hAnsi="宋体" w:cs="宋体"/>
                <w:color w:val="000000"/>
                <w:kern w:val="0"/>
                <w:sz w:val="22"/>
              </w:rPr>
              <w:t>不低于IP67防尘防水和IK10防暴等级;</w:t>
            </w:r>
            <w:r>
              <w:rPr>
                <w:rFonts w:hint="eastAsia" w:ascii="宋体" w:hAnsi="宋体" w:cs="宋体"/>
                <w:color w:val="000000"/>
                <w:kern w:val="0"/>
                <w:sz w:val="22"/>
              </w:rPr>
              <w:br w:type="textWrapping"/>
            </w:r>
            <w:r>
              <w:rPr>
                <w:rFonts w:hint="eastAsia" w:ascii="宋体" w:hAnsi="宋体" w:cs="宋体"/>
                <w:color w:val="000000"/>
                <w:kern w:val="0"/>
                <w:sz w:val="22"/>
              </w:rPr>
              <w:t>动态范围不小于105dB;</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5</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摄像机延长线</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6芯航空头延长线</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条</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8</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6</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车载显示屏</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7寸车载显示屏</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w:t>
            </w:r>
          </w:p>
        </w:tc>
      </w:tr>
      <w:tr>
        <w:tblPrEx>
          <w:tblCellMar>
            <w:top w:w="0" w:type="dxa"/>
            <w:left w:w="108" w:type="dxa"/>
            <w:bottom w:w="0" w:type="dxa"/>
            <w:right w:w="108" w:type="dxa"/>
          </w:tblCellMar>
        </w:tblPrEx>
        <w:trPr>
          <w:trHeight w:val="576"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7</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车载外置语音对讲盒</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对讲方式：半双工语音对讲</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8</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报警按钮</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车载紧急报警单元</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w:t>
            </w:r>
          </w:p>
        </w:tc>
      </w:tr>
      <w:tr>
        <w:tblPrEx>
          <w:tblCellMar>
            <w:top w:w="0" w:type="dxa"/>
            <w:left w:w="108" w:type="dxa"/>
            <w:bottom w:w="0" w:type="dxa"/>
            <w:right w:w="108" w:type="dxa"/>
          </w:tblCellMar>
        </w:tblPrEx>
        <w:trPr>
          <w:trHeight w:val="864"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9</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车载管理平台</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实现法院囚车车载接入模块。行车线路实时上报电子地图。实时对车辆和人员进行调度。实时音视频预览、语音对讲、消息下发。</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套</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10</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平台配套服务器</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2U单路标准机架式服务器</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11</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车载流量卡</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电信、移动、联通专用卡</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张</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w:t>
            </w:r>
          </w:p>
        </w:tc>
      </w:tr>
      <w:tr>
        <w:tblPrEx>
          <w:tblCellMar>
            <w:top w:w="0" w:type="dxa"/>
            <w:left w:w="108" w:type="dxa"/>
            <w:bottom w:w="0" w:type="dxa"/>
            <w:right w:w="108" w:type="dxa"/>
          </w:tblCellMar>
        </w:tblPrEx>
        <w:trPr>
          <w:trHeight w:val="172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12</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存储阵列</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可接入2T/3T/4T/6T/8T/10TSATA/SAS磁盘，支持磁盘交错启动和漫游，并支持在线热插拔；</w:t>
            </w:r>
            <w:r>
              <w:rPr>
                <w:rFonts w:hint="eastAsia" w:ascii="宋体" w:hAnsi="宋体" w:cs="宋体"/>
                <w:color w:val="000000"/>
                <w:kern w:val="0"/>
                <w:sz w:val="22"/>
              </w:rPr>
              <w:br w:type="textWrapping"/>
            </w:r>
            <w:r>
              <w:rPr>
                <w:rFonts w:hint="eastAsia" w:ascii="宋体" w:hAnsi="宋体" w:cs="宋体"/>
                <w:color w:val="000000"/>
                <w:kern w:val="0"/>
                <w:sz w:val="22"/>
              </w:rPr>
              <w:t>3个12GB SAS3.0接口、2个USB3.0、1个USB2.0接口;</w:t>
            </w:r>
            <w:r>
              <w:rPr>
                <w:rFonts w:hint="eastAsia" w:ascii="宋体" w:hAnsi="宋体" w:cs="宋体"/>
                <w:color w:val="000000"/>
                <w:kern w:val="0"/>
                <w:sz w:val="22"/>
              </w:rPr>
              <w:br w:type="textWrapping"/>
            </w:r>
            <w:r>
              <w:rPr>
                <w:rFonts w:hint="eastAsia" w:ascii="宋体" w:hAnsi="宋体" w:cs="宋体"/>
                <w:color w:val="000000"/>
                <w:kern w:val="0"/>
                <w:sz w:val="22"/>
              </w:rPr>
              <w:t>可接入硬盘≥36块，支持SATA和SAS混插，并支持≥12级扩展柜级联扩展；</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13</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硬盘</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4T,7200RPM,3.5寸,SATA</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块</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8</w:t>
            </w:r>
          </w:p>
        </w:tc>
      </w:tr>
      <w:tr>
        <w:tblPrEx>
          <w:tblCellMar>
            <w:top w:w="0" w:type="dxa"/>
            <w:left w:w="108" w:type="dxa"/>
            <w:bottom w:w="0" w:type="dxa"/>
            <w:right w:w="108" w:type="dxa"/>
          </w:tblCellMar>
        </w:tblPrEx>
        <w:trPr>
          <w:trHeight w:val="2983"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14</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羁押区监控室解码器</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高清视音频解码器，采用Linux操作系统，运行稳定可靠</w:t>
            </w:r>
            <w:r>
              <w:rPr>
                <w:rFonts w:hint="eastAsia" w:ascii="宋体" w:hAnsi="宋体" w:cs="宋体"/>
                <w:color w:val="000000"/>
                <w:kern w:val="0"/>
                <w:sz w:val="22"/>
              </w:rPr>
              <w:br w:type="textWrapping"/>
            </w:r>
            <w:r>
              <w:rPr>
                <w:rFonts w:hint="eastAsia" w:ascii="宋体" w:hAnsi="宋体" w:cs="宋体"/>
                <w:color w:val="000000"/>
                <w:kern w:val="0"/>
                <w:sz w:val="22"/>
              </w:rPr>
              <w:t>输入接口：1路HDMI, 1路DVI</w:t>
            </w:r>
            <w:r>
              <w:rPr>
                <w:rFonts w:hint="eastAsia" w:ascii="宋体" w:hAnsi="宋体" w:cs="宋体"/>
                <w:color w:val="000000"/>
                <w:kern w:val="0"/>
                <w:sz w:val="22"/>
              </w:rPr>
              <w:br w:type="textWrapping"/>
            </w:r>
            <w:r>
              <w:rPr>
                <w:rFonts w:hint="eastAsia" w:ascii="宋体" w:hAnsi="宋体" w:cs="宋体"/>
                <w:color w:val="000000"/>
                <w:kern w:val="0"/>
                <w:sz w:val="22"/>
              </w:rPr>
              <w:t>输出接口：4路HDMI，2路BNC</w:t>
            </w:r>
            <w:r>
              <w:rPr>
                <w:rFonts w:hint="eastAsia" w:ascii="宋体" w:hAnsi="宋体" w:cs="宋体"/>
                <w:color w:val="000000"/>
                <w:kern w:val="0"/>
                <w:sz w:val="22"/>
              </w:rPr>
              <w:br w:type="textWrapping"/>
            </w:r>
            <w:r>
              <w:rPr>
                <w:rFonts w:hint="eastAsia" w:ascii="宋体" w:hAnsi="宋体" w:cs="宋体"/>
                <w:color w:val="000000"/>
                <w:kern w:val="0"/>
                <w:sz w:val="22"/>
              </w:rPr>
              <w:t>输入分辨率：4K: 3840 × 2160@30Hz, WSXGA: 1680 × 1050/60 Hz, WXGA: 1440 × 900/60 Hz, WXGA: 1280 × 800/60 Hz, 1366 × 768/60 Hz, 1080p: 1920 × 1080@50/60 Hz, UXGA: 1600 × 1200@ 60Hz, XVGA: 1280 × 960@60 Hz, 720p: 1280 × 720@50 Hz/60 Hz, SXGA: 1280 × 1024@60 Hz, XGA: 1024 × 768@60 Hz</w:t>
            </w:r>
            <w:r>
              <w:rPr>
                <w:rFonts w:hint="eastAsia" w:ascii="宋体" w:hAnsi="宋体" w:cs="宋体"/>
                <w:color w:val="000000"/>
                <w:kern w:val="0"/>
                <w:sz w:val="22"/>
              </w:rPr>
              <w:br w:type="textWrapping"/>
            </w:r>
            <w:r>
              <w:rPr>
                <w:rFonts w:hint="eastAsia" w:ascii="宋体" w:hAnsi="宋体" w:cs="宋体"/>
                <w:color w:val="000000"/>
                <w:kern w:val="0"/>
                <w:sz w:val="22"/>
              </w:rPr>
              <w:t>输出分辨率：</w:t>
            </w:r>
            <w:r>
              <w:rPr>
                <w:rFonts w:hint="eastAsia" w:ascii="宋体" w:hAnsi="宋体" w:cs="宋体"/>
                <w:color w:val="000000"/>
                <w:kern w:val="0"/>
                <w:sz w:val="22"/>
              </w:rPr>
              <w:br w:type="textWrapping"/>
            </w:r>
            <w:r>
              <w:rPr>
                <w:rFonts w:hint="eastAsia" w:ascii="宋体" w:hAnsi="宋体" w:cs="宋体"/>
                <w:color w:val="000000"/>
                <w:kern w:val="0"/>
                <w:sz w:val="22"/>
              </w:rPr>
              <w:t>HDMI：4K: 3840 × 2160@30 Hz(仅奇数口), 1080p: 1920 × 1080@50/60 Hz, WSXGA: 1680×1050/60Hz, UXGA: 1600 × 1200@60 Hz (仅奇数口), 720p: 1280 × 720@50 Hz/60 Hz, SXGA: 1280 × 1024@60 Hz, XGA: 1024 × 768@60 Hz</w:t>
            </w:r>
            <w:r>
              <w:rPr>
                <w:rFonts w:hint="eastAsia" w:ascii="宋体" w:hAnsi="宋体" w:cs="宋体"/>
                <w:color w:val="000000"/>
                <w:kern w:val="0"/>
                <w:sz w:val="22"/>
              </w:rPr>
              <w:br w:type="textWrapping"/>
            </w:r>
            <w:r>
              <w:rPr>
                <w:rFonts w:hint="eastAsia" w:ascii="宋体" w:hAnsi="宋体" w:cs="宋体"/>
                <w:color w:val="000000"/>
                <w:kern w:val="0"/>
                <w:sz w:val="22"/>
              </w:rPr>
              <w:t>BNC：支持PAL、NTSC制式</w:t>
            </w:r>
            <w:r>
              <w:rPr>
                <w:rFonts w:hint="eastAsia" w:ascii="宋体" w:hAnsi="宋体" w:cs="宋体"/>
                <w:color w:val="000000"/>
                <w:kern w:val="0"/>
                <w:sz w:val="22"/>
              </w:rPr>
              <w:br w:type="textWrapping"/>
            </w:r>
            <w:r>
              <w:rPr>
                <w:rFonts w:hint="eastAsia" w:ascii="宋体" w:hAnsi="宋体" w:cs="宋体"/>
                <w:color w:val="000000"/>
                <w:kern w:val="0"/>
                <w:sz w:val="22"/>
              </w:rPr>
              <w:t>编码格式：支持H.265、H.264、MPEG4、MJPEG等主流的编码格式；</w:t>
            </w:r>
            <w:r>
              <w:rPr>
                <w:rFonts w:hint="eastAsia" w:ascii="宋体" w:hAnsi="宋体" w:cs="宋体"/>
                <w:color w:val="000000"/>
                <w:kern w:val="0"/>
                <w:sz w:val="22"/>
              </w:rPr>
              <w:br w:type="textWrapping"/>
            </w:r>
            <w:r>
              <w:rPr>
                <w:rFonts w:hint="eastAsia" w:ascii="宋体" w:hAnsi="宋体" w:cs="宋体"/>
                <w:color w:val="000000"/>
                <w:kern w:val="0"/>
                <w:sz w:val="22"/>
              </w:rPr>
              <w:t>封装格式：支持PS、RTP、TS、ES等主流的封装格式；</w:t>
            </w:r>
            <w:r>
              <w:rPr>
                <w:rFonts w:hint="eastAsia" w:ascii="宋体" w:hAnsi="宋体" w:cs="宋体"/>
                <w:color w:val="000000"/>
                <w:kern w:val="0"/>
                <w:sz w:val="22"/>
              </w:rPr>
              <w:br w:type="textWrapping"/>
            </w:r>
            <w:r>
              <w:rPr>
                <w:rFonts w:hint="eastAsia" w:ascii="宋体" w:hAnsi="宋体" w:cs="宋体"/>
                <w:color w:val="000000"/>
                <w:kern w:val="0"/>
                <w:sz w:val="22"/>
              </w:rPr>
              <w:t>音频解码：支持G.722、G.711A、G.726、G.711U、MPEG2-L2、AAC音频格式的解码；</w:t>
            </w:r>
            <w:r>
              <w:rPr>
                <w:rFonts w:hint="eastAsia" w:ascii="宋体" w:hAnsi="宋体" w:cs="宋体"/>
                <w:color w:val="000000"/>
                <w:kern w:val="0"/>
                <w:sz w:val="22"/>
              </w:rPr>
              <w:br w:type="textWrapping"/>
            </w:r>
            <w:r>
              <w:rPr>
                <w:rFonts w:hint="eastAsia" w:ascii="宋体" w:hAnsi="宋体" w:cs="宋体"/>
                <w:color w:val="000000"/>
                <w:kern w:val="0"/>
                <w:sz w:val="22"/>
              </w:rPr>
              <w:t>解码能力：支持4路1200W，或8路800W，或12路500W，或20路300W，或32路1080P及以下分辨率同时实时解码；</w:t>
            </w:r>
            <w:r>
              <w:rPr>
                <w:rFonts w:hint="eastAsia" w:ascii="宋体" w:hAnsi="宋体" w:cs="宋体"/>
                <w:color w:val="000000"/>
                <w:kern w:val="0"/>
                <w:sz w:val="22"/>
              </w:rPr>
              <w:br w:type="textWrapping"/>
            </w:r>
            <w:r>
              <w:rPr>
                <w:rFonts w:hint="eastAsia" w:ascii="宋体" w:hAnsi="宋体" w:cs="宋体"/>
                <w:color w:val="000000"/>
                <w:kern w:val="0"/>
                <w:sz w:val="22"/>
              </w:rPr>
              <w:t>画面分割：支持1、2、4、6、8、9、10、12、16画面分割显示。(基线16路，最大支持定制到32画面)</w:t>
            </w:r>
            <w:r>
              <w:rPr>
                <w:rFonts w:hint="eastAsia" w:ascii="宋体" w:hAnsi="宋体" w:cs="宋体"/>
                <w:color w:val="000000"/>
                <w:kern w:val="0"/>
                <w:sz w:val="22"/>
              </w:rPr>
              <w:br w:type="textWrapping"/>
            </w:r>
            <w:r>
              <w:rPr>
                <w:rFonts w:hint="eastAsia" w:ascii="宋体" w:hAnsi="宋体" w:cs="宋体"/>
                <w:color w:val="000000"/>
                <w:kern w:val="0"/>
                <w:sz w:val="22"/>
              </w:rPr>
              <w:t>接口参数：</w:t>
            </w:r>
            <w:r>
              <w:rPr>
                <w:rFonts w:hint="eastAsia" w:ascii="宋体" w:hAnsi="宋体" w:cs="宋体"/>
                <w:color w:val="000000"/>
                <w:kern w:val="0"/>
                <w:sz w:val="22"/>
              </w:rPr>
              <w:br w:type="textWrapping"/>
            </w:r>
            <w:r>
              <w:rPr>
                <w:rFonts w:hint="eastAsia" w:ascii="宋体" w:hAnsi="宋体" w:cs="宋体"/>
                <w:color w:val="000000"/>
                <w:kern w:val="0"/>
                <w:sz w:val="22"/>
              </w:rPr>
              <w:t>网口：1个 RJ45  10M/100M/1000Mbps 自适应以太网接口</w:t>
            </w:r>
            <w:r>
              <w:rPr>
                <w:rFonts w:hint="eastAsia" w:ascii="宋体" w:hAnsi="宋体" w:cs="宋体"/>
                <w:color w:val="000000"/>
                <w:kern w:val="0"/>
                <w:sz w:val="22"/>
              </w:rPr>
              <w:br w:type="textWrapping"/>
            </w:r>
            <w:r>
              <w:rPr>
                <w:rFonts w:hint="eastAsia" w:ascii="宋体" w:hAnsi="宋体" w:cs="宋体"/>
                <w:color w:val="000000"/>
                <w:kern w:val="0"/>
                <w:sz w:val="22"/>
              </w:rPr>
              <w:t>1个光口 100base-FX/1000base-X</w:t>
            </w:r>
            <w:r>
              <w:rPr>
                <w:rFonts w:hint="eastAsia" w:ascii="宋体" w:hAnsi="宋体" w:cs="宋体"/>
                <w:color w:val="000000"/>
                <w:kern w:val="0"/>
                <w:sz w:val="22"/>
              </w:rPr>
              <w:br w:type="textWrapping"/>
            </w:r>
            <w:r>
              <w:rPr>
                <w:rFonts w:hint="eastAsia" w:ascii="宋体" w:hAnsi="宋体" w:cs="宋体"/>
                <w:color w:val="000000"/>
                <w:kern w:val="0"/>
                <w:sz w:val="22"/>
              </w:rPr>
              <w:t>支持光电自适应</w:t>
            </w:r>
            <w:r>
              <w:rPr>
                <w:rFonts w:hint="eastAsia" w:ascii="宋体" w:hAnsi="宋体" w:cs="宋体"/>
                <w:color w:val="000000"/>
                <w:kern w:val="0"/>
                <w:sz w:val="22"/>
              </w:rPr>
              <w:br w:type="textWrapping"/>
            </w:r>
            <w:r>
              <w:rPr>
                <w:rFonts w:hint="eastAsia" w:ascii="宋体" w:hAnsi="宋体" w:cs="宋体"/>
                <w:color w:val="000000"/>
                <w:kern w:val="0"/>
                <w:sz w:val="22"/>
              </w:rPr>
              <w:t>串行接口：1个RS-232接口（RJ45）, 1个RS-485/RS232复用接口（RJ45）</w:t>
            </w:r>
            <w:r>
              <w:rPr>
                <w:rFonts w:hint="eastAsia" w:ascii="宋体" w:hAnsi="宋体" w:cs="宋体"/>
                <w:color w:val="000000"/>
                <w:kern w:val="0"/>
                <w:sz w:val="22"/>
              </w:rPr>
              <w:br w:type="textWrapping"/>
            </w:r>
            <w:r>
              <w:rPr>
                <w:rFonts w:hint="eastAsia" w:ascii="宋体" w:hAnsi="宋体" w:cs="宋体"/>
                <w:color w:val="000000"/>
                <w:kern w:val="0"/>
                <w:sz w:val="22"/>
              </w:rPr>
              <w:t>音频输出接口：4个3.5mm接口独立音频输出</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288" w:hRule="atLeast"/>
        </w:trPr>
        <w:tc>
          <w:tcPr>
            <w:tcW w:w="926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羁押室(拾音器、报警分机部分只含0层羁押室13个，报警分机为普通型，不含可视功能)</w:t>
            </w:r>
          </w:p>
        </w:tc>
      </w:tr>
      <w:tr>
        <w:tblPrEx>
          <w:tblCellMar>
            <w:top w:w="0" w:type="dxa"/>
            <w:left w:w="108" w:type="dxa"/>
            <w:bottom w:w="0" w:type="dxa"/>
            <w:right w:w="108" w:type="dxa"/>
          </w:tblCellMar>
        </w:tblPrEx>
        <w:trPr>
          <w:trHeight w:val="8064"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羁押囚笼400W智能网络半球</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具有400万像素CMOS传感器;</w:t>
            </w:r>
            <w:r>
              <w:rPr>
                <w:rFonts w:hint="eastAsia" w:ascii="宋体" w:hAnsi="宋体" w:cs="宋体"/>
                <w:color w:val="000000"/>
                <w:kern w:val="0"/>
                <w:sz w:val="22"/>
              </w:rPr>
              <w:br w:type="textWrapping"/>
            </w:r>
            <w:r>
              <w:rPr>
                <w:rFonts w:hint="eastAsia" w:ascii="宋体" w:hAnsi="宋体" w:cs="宋体"/>
                <w:color w:val="000000"/>
                <w:kern w:val="0"/>
                <w:sz w:val="22"/>
              </w:rPr>
              <w:t>不小于1/1.8"靶面尺寸;</w:t>
            </w:r>
            <w:r>
              <w:rPr>
                <w:rFonts w:hint="eastAsia" w:ascii="宋体" w:hAnsi="宋体" w:cs="宋体"/>
                <w:color w:val="000000"/>
                <w:kern w:val="0"/>
                <w:sz w:val="22"/>
              </w:rPr>
              <w:br w:type="textWrapping"/>
            </w:r>
            <w:r>
              <w:rPr>
                <w:rFonts w:hint="eastAsia" w:ascii="宋体" w:hAnsi="宋体" w:cs="宋体"/>
                <w:color w:val="000000"/>
                <w:kern w:val="0"/>
                <w:sz w:val="22"/>
              </w:rPr>
              <w:t>像元尺寸不小于2.9um×2.9um</w:t>
            </w:r>
            <w:r>
              <w:rPr>
                <w:rFonts w:hint="eastAsia" w:ascii="宋体" w:hAnsi="宋体" w:cs="宋体"/>
                <w:color w:val="000000"/>
                <w:kern w:val="0"/>
                <w:sz w:val="22"/>
              </w:rPr>
              <w:br w:type="textWrapping"/>
            </w:r>
            <w:r>
              <w:rPr>
                <w:rFonts w:hint="eastAsia" w:ascii="宋体" w:hAnsi="宋体" w:cs="宋体"/>
                <w:color w:val="000000"/>
                <w:kern w:val="0"/>
                <w:sz w:val="22"/>
              </w:rPr>
              <w:t>内置GPU芯片，最低照度彩色不大于0.0002 lx，黑白不大于0.0001。 lx;</w:t>
            </w:r>
            <w:r>
              <w:rPr>
                <w:rFonts w:hint="eastAsia" w:ascii="宋体" w:hAnsi="宋体" w:cs="宋体"/>
                <w:color w:val="000000"/>
                <w:kern w:val="0"/>
                <w:sz w:val="22"/>
              </w:rPr>
              <w:br w:type="textWrapping"/>
            </w:r>
            <w:r>
              <w:rPr>
                <w:rFonts w:hint="eastAsia" w:ascii="宋体" w:hAnsi="宋体" w:cs="宋体"/>
                <w:color w:val="000000"/>
                <w:kern w:val="0"/>
                <w:sz w:val="22"/>
              </w:rPr>
              <w:t>宽动态能力不小于120dB，红外补光距离不小于50米;</w:t>
            </w:r>
            <w:r>
              <w:rPr>
                <w:rFonts w:hint="eastAsia" w:ascii="宋体" w:hAnsi="宋体" w:cs="宋体"/>
                <w:color w:val="000000"/>
                <w:kern w:val="0"/>
                <w:sz w:val="22"/>
              </w:rPr>
              <w:br w:type="textWrapping"/>
            </w:r>
            <w:r>
              <w:rPr>
                <w:rFonts w:hint="eastAsia" w:ascii="宋体" w:hAnsi="宋体" w:cs="宋体"/>
                <w:color w:val="000000"/>
                <w:kern w:val="0"/>
                <w:sz w:val="22"/>
              </w:rPr>
              <w:t>需实现三码流技术，主码流最高2560x1440@25fps，子码流704x576@25fps，第三码流最大分辨率为1920x1080@25fps;</w:t>
            </w:r>
            <w:r>
              <w:rPr>
                <w:rFonts w:hint="eastAsia" w:ascii="宋体" w:hAnsi="宋体" w:cs="宋体"/>
                <w:color w:val="000000"/>
                <w:kern w:val="0"/>
                <w:sz w:val="22"/>
              </w:rPr>
              <w:br w:type="textWrapping"/>
            </w:r>
            <w:r>
              <w:rPr>
                <w:rFonts w:hint="eastAsia" w:ascii="宋体" w:hAnsi="宋体" w:cs="宋体"/>
                <w:color w:val="000000"/>
                <w:kern w:val="0"/>
                <w:sz w:val="22"/>
              </w:rPr>
              <w:t>支持H.264、H.265、MJPEG视频编码格式;</w:t>
            </w:r>
            <w:r>
              <w:rPr>
                <w:rFonts w:hint="eastAsia" w:ascii="宋体" w:hAnsi="宋体" w:cs="宋体"/>
                <w:color w:val="000000"/>
                <w:kern w:val="0"/>
                <w:sz w:val="22"/>
              </w:rPr>
              <w:br w:type="textWrapping"/>
            </w:r>
            <w:r>
              <w:rPr>
                <w:rFonts w:hint="eastAsia" w:ascii="宋体" w:hAnsi="宋体" w:cs="宋体"/>
                <w:color w:val="000000"/>
                <w:kern w:val="0"/>
                <w:sz w:val="22"/>
              </w:rPr>
              <w:t>信噪比不小于58dB;</w:t>
            </w:r>
            <w:r>
              <w:rPr>
                <w:rFonts w:hint="eastAsia" w:ascii="宋体" w:hAnsi="宋体" w:cs="宋体"/>
                <w:color w:val="000000"/>
                <w:kern w:val="0"/>
                <w:sz w:val="22"/>
              </w:rPr>
              <w:br w:type="textWrapping"/>
            </w:r>
            <w:r>
              <w:rPr>
                <w:rFonts w:hint="eastAsia" w:ascii="宋体" w:hAnsi="宋体" w:cs="宋体"/>
                <w:color w:val="000000"/>
                <w:kern w:val="0"/>
                <w:sz w:val="22"/>
              </w:rPr>
              <w:t>在分辨率1920x1080 @ 25fps，延时不大于70ms。</w:t>
            </w:r>
            <w:r>
              <w:rPr>
                <w:rFonts w:hint="eastAsia" w:ascii="宋体" w:hAnsi="宋体" w:cs="宋体"/>
                <w:color w:val="000000"/>
                <w:kern w:val="0"/>
                <w:sz w:val="22"/>
              </w:rPr>
              <w:br w:type="textWrapping"/>
            </w:r>
            <w:r>
              <w:rPr>
                <w:rFonts w:hint="eastAsia" w:ascii="宋体" w:hAnsi="宋体" w:cs="宋体"/>
                <w:color w:val="000000"/>
                <w:kern w:val="0"/>
                <w:sz w:val="22"/>
              </w:rPr>
              <w:t>实现亮度异常、清晰度异常等故障报警功能;</w:t>
            </w:r>
            <w:r>
              <w:rPr>
                <w:rFonts w:hint="eastAsia" w:ascii="宋体" w:hAnsi="宋体" w:cs="宋体"/>
                <w:color w:val="000000"/>
                <w:kern w:val="0"/>
                <w:sz w:val="22"/>
              </w:rPr>
              <w:br w:type="textWrapping"/>
            </w:r>
            <w:r>
              <w:rPr>
                <w:rFonts w:hint="eastAsia" w:ascii="宋体" w:hAnsi="宋体" w:cs="宋体"/>
                <w:color w:val="000000"/>
                <w:kern w:val="0"/>
                <w:sz w:val="22"/>
              </w:rPr>
              <w:t>实现自动变焦、自动调节光圈;</w:t>
            </w:r>
            <w:r>
              <w:rPr>
                <w:rFonts w:hint="eastAsia" w:ascii="宋体" w:hAnsi="宋体" w:cs="宋体"/>
                <w:color w:val="000000"/>
                <w:kern w:val="0"/>
                <w:sz w:val="22"/>
              </w:rPr>
              <w:br w:type="textWrapping"/>
            </w:r>
            <w:r>
              <w:rPr>
                <w:rFonts w:hint="eastAsia" w:ascii="宋体" w:hAnsi="宋体" w:cs="宋体"/>
                <w:color w:val="000000"/>
                <w:kern w:val="0"/>
                <w:sz w:val="22"/>
              </w:rPr>
              <w:t>支持检出两眼瞳距40像素点以上的人脸图片，支持单场景同时检出不少于30张人脸图片，并支持面部跟踪;</w:t>
            </w:r>
            <w:r>
              <w:rPr>
                <w:rFonts w:hint="eastAsia" w:ascii="宋体" w:hAnsi="宋体" w:cs="宋体"/>
                <w:color w:val="000000"/>
                <w:kern w:val="0"/>
                <w:sz w:val="22"/>
              </w:rPr>
              <w:br w:type="textWrapping"/>
            </w:r>
            <w:r>
              <w:rPr>
                <w:rFonts w:hint="eastAsia" w:ascii="宋体" w:hAnsi="宋体" w:cs="宋体"/>
                <w:color w:val="000000"/>
                <w:kern w:val="0"/>
                <w:sz w:val="22"/>
              </w:rPr>
              <w:t>人脸检出率不小于99%;</w:t>
            </w:r>
            <w:r>
              <w:rPr>
                <w:rFonts w:hint="eastAsia" w:ascii="宋体" w:hAnsi="宋体" w:cs="宋体"/>
                <w:color w:val="000000"/>
                <w:kern w:val="0"/>
                <w:sz w:val="22"/>
              </w:rPr>
              <w:br w:type="textWrapping"/>
            </w:r>
            <w:r>
              <w:rPr>
                <w:rFonts w:hint="eastAsia" w:ascii="宋体" w:hAnsi="宋体" w:cs="宋体"/>
                <w:color w:val="000000"/>
                <w:kern w:val="0"/>
                <w:sz w:val="22"/>
              </w:rPr>
              <w:t>支持人脸区域自动曝光功能;</w:t>
            </w:r>
            <w:r>
              <w:rPr>
                <w:rFonts w:hint="eastAsia" w:ascii="宋体" w:hAnsi="宋体" w:cs="宋体"/>
                <w:color w:val="000000"/>
                <w:kern w:val="0"/>
                <w:sz w:val="22"/>
              </w:rPr>
              <w:br w:type="textWrapping"/>
            </w:r>
            <w:r>
              <w:rPr>
                <w:rFonts w:hint="eastAsia" w:ascii="宋体" w:hAnsi="宋体" w:cs="宋体"/>
                <w:color w:val="000000"/>
                <w:kern w:val="0"/>
                <w:sz w:val="22"/>
              </w:rPr>
              <w:t>需具有1个RJ45网络接口、1路CVBS视频输出、1路报警输入、1路报警输出接口、1个音频输入、1个音频输出接口、1个RS485接口、1个SD卡槽、1个复位键;</w:t>
            </w:r>
            <w:r>
              <w:rPr>
                <w:rFonts w:hint="eastAsia" w:ascii="宋体" w:hAnsi="宋体" w:cs="宋体"/>
                <w:color w:val="000000"/>
                <w:kern w:val="0"/>
                <w:sz w:val="22"/>
              </w:rPr>
              <w:br w:type="textWrapping"/>
            </w:r>
            <w:r>
              <w:rPr>
                <w:rFonts w:hint="eastAsia" w:ascii="宋体" w:hAnsi="宋体" w:cs="宋体"/>
                <w:color w:val="000000"/>
                <w:kern w:val="0"/>
                <w:sz w:val="22"/>
              </w:rPr>
              <w:t>需具有1个RJ-45 10M/100M/1000M自适应网络接口。支持POE供电;</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35</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拾音器</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拾音范围: 5-150平方米可调;</w:t>
            </w:r>
            <w:r>
              <w:rPr>
                <w:rFonts w:hint="eastAsia" w:ascii="宋体" w:hAnsi="宋体" w:cs="宋体"/>
                <w:color w:val="000000"/>
                <w:kern w:val="0"/>
                <w:sz w:val="22"/>
              </w:rPr>
              <w:br w:type="textWrapping"/>
            </w:r>
            <w:r>
              <w:rPr>
                <w:rFonts w:hint="eastAsia" w:ascii="宋体" w:hAnsi="宋体" w:cs="宋体"/>
                <w:color w:val="000000"/>
                <w:kern w:val="0"/>
                <w:sz w:val="22"/>
              </w:rPr>
              <w:t>灵敏度: -33dB;</w:t>
            </w:r>
            <w:r>
              <w:rPr>
                <w:rFonts w:hint="eastAsia" w:ascii="宋体" w:hAnsi="宋体" w:cs="宋体"/>
                <w:color w:val="000000"/>
                <w:kern w:val="0"/>
                <w:sz w:val="22"/>
              </w:rPr>
              <w:br w:type="textWrapping"/>
            </w:r>
            <w:r>
              <w:rPr>
                <w:rFonts w:hint="eastAsia" w:ascii="宋体" w:hAnsi="宋体" w:cs="宋体"/>
                <w:color w:val="000000"/>
                <w:kern w:val="0"/>
                <w:sz w:val="22"/>
              </w:rPr>
              <w:t>频率响应: 20Hz ～ 20kHz;</w:t>
            </w:r>
            <w:r>
              <w:rPr>
                <w:rFonts w:hint="eastAsia" w:ascii="宋体" w:hAnsi="宋体" w:cs="宋体"/>
                <w:color w:val="000000"/>
                <w:kern w:val="0"/>
                <w:sz w:val="22"/>
              </w:rPr>
              <w:br w:type="textWrapping"/>
            </w:r>
            <w:r>
              <w:rPr>
                <w:rFonts w:hint="eastAsia" w:ascii="宋体" w:hAnsi="宋体" w:cs="宋体"/>
                <w:color w:val="000000"/>
                <w:kern w:val="0"/>
                <w:sz w:val="22"/>
              </w:rPr>
              <w:t>指向特性: 全向型;</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13</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报警分机</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报警分机</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13</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报警管理主机</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报警主机含软件</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w:t>
            </w:r>
          </w:p>
        </w:tc>
      </w:tr>
      <w:tr>
        <w:tblPrEx>
          <w:tblCellMar>
            <w:top w:w="0" w:type="dxa"/>
            <w:left w:w="108" w:type="dxa"/>
            <w:bottom w:w="0" w:type="dxa"/>
            <w:right w:w="108" w:type="dxa"/>
          </w:tblCellMar>
        </w:tblPrEx>
        <w:trPr>
          <w:trHeight w:val="288" w:hRule="atLeast"/>
        </w:trPr>
        <w:tc>
          <w:tcPr>
            <w:tcW w:w="926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0层羁押区门禁(A、B门)</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双门磁力锁</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最大拉力：280kg(600Lbs)*2静态直线拉力；</w:t>
            </w:r>
          </w:p>
          <w:p>
            <w:pPr>
              <w:widowControl/>
              <w:jc w:val="left"/>
              <w:rPr>
                <w:rFonts w:ascii="宋体" w:hAnsi="宋体" w:cs="宋体"/>
                <w:color w:val="000000"/>
                <w:kern w:val="0"/>
                <w:sz w:val="22"/>
              </w:rPr>
            </w:pPr>
            <w:r>
              <w:rPr>
                <w:rFonts w:hint="eastAsia" w:ascii="宋体" w:hAnsi="宋体" w:cs="宋体"/>
                <w:color w:val="000000"/>
                <w:kern w:val="0"/>
                <w:sz w:val="22"/>
              </w:rPr>
              <w:t>支持锁状态反馈，门磁输出；</w:t>
            </w:r>
          </w:p>
          <w:p>
            <w:pPr>
              <w:widowControl/>
              <w:jc w:val="left"/>
              <w:rPr>
                <w:rFonts w:ascii="宋体" w:hAnsi="宋体" w:cs="宋体"/>
                <w:color w:val="000000"/>
                <w:kern w:val="0"/>
                <w:sz w:val="22"/>
              </w:rPr>
            </w:pPr>
            <w:r>
              <w:rPr>
                <w:rFonts w:hint="eastAsia" w:ascii="宋体" w:hAnsi="宋体" w:cs="宋体"/>
                <w:color w:val="000000"/>
                <w:kern w:val="0"/>
                <w:sz w:val="22"/>
              </w:rPr>
              <w:t>断电开锁；</w:t>
            </w:r>
          </w:p>
          <w:p>
            <w:pPr>
              <w:widowControl/>
              <w:jc w:val="left"/>
              <w:rPr>
                <w:rFonts w:ascii="宋体" w:hAnsi="宋体" w:cs="宋体"/>
                <w:color w:val="000000"/>
                <w:kern w:val="0"/>
                <w:sz w:val="22"/>
              </w:rPr>
            </w:pPr>
            <w:r>
              <w:rPr>
                <w:rFonts w:hint="eastAsia" w:ascii="宋体" w:hAnsi="宋体" w:cs="宋体"/>
                <w:color w:val="000000"/>
                <w:kern w:val="0"/>
                <w:sz w:val="22"/>
              </w:rPr>
              <w:t>具有电锁状态指示灯；　</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指纹主机</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国产优质</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四门控制器</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处理器：32位处理器</w:t>
            </w:r>
          </w:p>
          <w:p>
            <w:pPr>
              <w:widowControl/>
              <w:jc w:val="left"/>
              <w:rPr>
                <w:rFonts w:ascii="宋体" w:hAnsi="宋体" w:cs="宋体"/>
                <w:color w:val="000000"/>
                <w:kern w:val="0"/>
                <w:sz w:val="22"/>
              </w:rPr>
            </w:pPr>
            <w:r>
              <w:rPr>
                <w:rFonts w:hint="eastAsia" w:ascii="宋体" w:hAnsi="宋体" w:cs="宋体"/>
                <w:color w:val="000000"/>
                <w:kern w:val="0"/>
                <w:sz w:val="22"/>
              </w:rPr>
              <w:t>管控门数：4门</w:t>
            </w:r>
          </w:p>
          <w:p>
            <w:pPr>
              <w:widowControl/>
              <w:jc w:val="left"/>
              <w:rPr>
                <w:rFonts w:ascii="宋体" w:hAnsi="宋体" w:cs="宋体"/>
                <w:color w:val="000000"/>
                <w:kern w:val="0"/>
                <w:sz w:val="22"/>
              </w:rPr>
            </w:pPr>
            <w:r>
              <w:rPr>
                <w:rFonts w:hint="eastAsia" w:ascii="宋体" w:hAnsi="宋体" w:cs="宋体"/>
                <w:color w:val="000000"/>
                <w:kern w:val="0"/>
                <w:sz w:val="22"/>
              </w:rPr>
              <w:t>通讯方式：上行TCP/IP、RS485</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网线</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六类网线</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箱</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5</w:t>
            </w: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电源线</w:t>
            </w: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RVV2*1.5</w:t>
            </w: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米</w:t>
            </w: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200</w:t>
            </w:r>
          </w:p>
        </w:tc>
      </w:tr>
      <w:tr>
        <w:tblPrEx>
          <w:tblCellMar>
            <w:top w:w="0" w:type="dxa"/>
            <w:left w:w="108" w:type="dxa"/>
            <w:bottom w:w="0" w:type="dxa"/>
            <w:right w:w="108" w:type="dxa"/>
          </w:tblCellMar>
        </w:tblPrEx>
        <w:trPr>
          <w:trHeight w:val="288" w:hRule="atLeast"/>
        </w:trPr>
        <w:tc>
          <w:tcPr>
            <w:tcW w:w="926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专用电梯</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c>
          <w:tcPr>
            <w:tcW w:w="1663" w:type="dxa"/>
            <w:gridSpan w:val="2"/>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紧急按钮</w:t>
            </w:r>
          </w:p>
        </w:tc>
        <w:tc>
          <w:tcPr>
            <w:tcW w:w="5373" w:type="dxa"/>
            <w:gridSpan w:val="3"/>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无钉孔</w:t>
            </w:r>
          </w:p>
        </w:tc>
        <w:tc>
          <w:tcPr>
            <w:tcW w:w="561" w:type="dxa"/>
            <w:gridSpan w:val="2"/>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1037" w:type="dxa"/>
            <w:gridSpan w:val="2"/>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288"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6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537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5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03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gridAfter w:val="1"/>
          <w:wAfter w:w="265" w:type="dxa"/>
          <w:trHeight w:val="288" w:hRule="atLeast"/>
        </w:trPr>
        <w:tc>
          <w:tcPr>
            <w:tcW w:w="900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themeColor="text1"/>
                <w:kern w:val="0"/>
                <w:sz w:val="32"/>
                <w:szCs w:val="3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bCs/>
                <w:color w:val="000000" w:themeColor="text1"/>
                <w:kern w:val="0"/>
                <w:sz w:val="32"/>
                <w:szCs w:val="32"/>
                <w14:shadow w14:blurRad="38100" w14:dist="25400" w14:dir="5400000" w14:sx="100000" w14:sy="100000" w14:kx="0" w14:ky="0" w14:algn="ctr">
                  <w14:srgbClr w14:val="6E747A">
                    <w14:alpha w14:val="57000"/>
                  </w14:srgbClr>
                </w14:shadow>
                <w14:textFill>
                  <w14:solidFill>
                    <w14:schemeClr w14:val="tx1"/>
                  </w14:solidFill>
                </w14:textFill>
              </w:rPr>
              <w:t>十二、档案室</w:t>
            </w:r>
          </w:p>
        </w:tc>
      </w:tr>
      <w:tr>
        <w:tblPrEx>
          <w:tblCellMar>
            <w:top w:w="0" w:type="dxa"/>
            <w:left w:w="108" w:type="dxa"/>
            <w:bottom w:w="0" w:type="dxa"/>
            <w:right w:w="108" w:type="dxa"/>
          </w:tblCellMar>
        </w:tblPrEx>
        <w:trPr>
          <w:gridAfter w:val="1"/>
          <w:wAfter w:w="265" w:type="dxa"/>
          <w:trHeight w:val="288" w:hRule="atLeast"/>
        </w:trPr>
        <w:tc>
          <w:tcPr>
            <w:tcW w:w="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w:t>
            </w:r>
          </w:p>
        </w:tc>
        <w:tc>
          <w:tcPr>
            <w:tcW w:w="20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烟雾探测半球</w:t>
            </w:r>
          </w:p>
        </w:tc>
        <w:tc>
          <w:tcPr>
            <w:tcW w:w="47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★400万+声光报警, 吸烟检测距离：9m,温度异常报警功能,测温精度：±8℃或量程的±8% ℃ （取最大值）,测温范围：-20℃~150℃,火点最远报警距离（以0.1×0.1m火点为准）：30m;</w:t>
            </w:r>
          </w:p>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热成像：分辨率160 × 120；焦距6mm；视场角：25°×18.7°;</w:t>
            </w:r>
          </w:p>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可见光：分辨率2688*1520；焦距8mm；</w:t>
            </w:r>
          </w:p>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视频模式：双光融合；</w:t>
            </w:r>
          </w:p>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目标物最远测温距离（以0.1米*0.1米为准）:6.8m；</w:t>
            </w:r>
          </w:p>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温度异常报警功能：</w:t>
            </w:r>
          </w:p>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测温精度：±8℃或量程的±8% ℃ （取最大值）</w:t>
            </w:r>
          </w:p>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测温范围：-20℃~150℃；</w:t>
            </w:r>
          </w:p>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区域入侵报警有效距离：42m；</w:t>
            </w:r>
          </w:p>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红外照射距离：15米；</w:t>
            </w:r>
          </w:p>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支持P</w:t>
            </w:r>
            <w:r>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OE</w:t>
            </w: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供电；</w:t>
            </w:r>
          </w:p>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工作温度和湿度：-40℃-70℃，湿度小于95%；</w:t>
            </w:r>
          </w:p>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防护等级：IP66;</w:t>
            </w:r>
          </w:p>
        </w:tc>
        <w:tc>
          <w:tcPr>
            <w:tcW w:w="5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台</w:t>
            </w:r>
          </w:p>
        </w:tc>
        <w:tc>
          <w:tcPr>
            <w:tcW w:w="10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20</w:t>
            </w:r>
          </w:p>
        </w:tc>
      </w:tr>
      <w:tr>
        <w:tblPrEx>
          <w:tblCellMar>
            <w:top w:w="0" w:type="dxa"/>
            <w:left w:w="108" w:type="dxa"/>
            <w:bottom w:w="0" w:type="dxa"/>
            <w:right w:w="108" w:type="dxa"/>
          </w:tblCellMar>
        </w:tblPrEx>
        <w:trPr>
          <w:gridAfter w:val="1"/>
          <w:wAfter w:w="265" w:type="dxa"/>
          <w:trHeight w:val="288" w:hRule="atLeast"/>
        </w:trPr>
        <w:tc>
          <w:tcPr>
            <w:tcW w:w="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w:t>
            </w:r>
          </w:p>
        </w:tc>
        <w:tc>
          <w:tcPr>
            <w:tcW w:w="20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档案室低亮度摄像机</w:t>
            </w:r>
          </w:p>
        </w:tc>
        <w:tc>
          <w:tcPr>
            <w:tcW w:w="47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★400万1/1.8"CMOS，支持联动声音报警；</w:t>
            </w:r>
          </w:p>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智能侦测：采用深度学习硬件及算法，提供精准的人车分类侦测，支持越界侦测，区域入侵侦测，进入区域侦测和离开区域侦测；</w:t>
            </w:r>
          </w:p>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最低照度:彩色：0.0005 Lux@(F1.0，AGC ON)，0 Lux with Light；</w:t>
            </w:r>
          </w:p>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景深范围:4 mm：3.6 m~∞; 6 mm：7.8 m~∞</w:t>
            </w:r>
          </w:p>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视频压缩标准:H.265/H.264/MJPEG；</w:t>
            </w:r>
          </w:p>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最大图像尺寸:2560 × 1440；</w:t>
            </w:r>
          </w:p>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存储功能:NAS(NFS，SMB/CIFS均支持)；</w:t>
            </w:r>
          </w:p>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网络:1个RJ45 10 M/100 M自适应以太网口；</w:t>
            </w:r>
          </w:p>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音频:内置1个麦克风，内置1个扬声器；</w:t>
            </w:r>
          </w:p>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启动及工作温湿度:-30 ℃~60 ℃，湿度小于95%(无凝结)；</w:t>
            </w:r>
          </w:p>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支持P</w:t>
            </w:r>
            <w:r>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OE</w:t>
            </w: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供电；</w:t>
            </w:r>
          </w:p>
          <w:p>
            <w:pPr>
              <w:pStyle w:val="2"/>
              <w:ind w:firstLine="0"/>
              <w:rPr>
                <w:color w:val="000000" w:themeColor="text1"/>
                <w:spacing w:val="0"/>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hAnsi="宋体" w:cs="宋体"/>
                <w:color w:val="000000" w:themeColor="text1"/>
                <w:spacing w:val="0"/>
                <w:kern w:val="0"/>
                <w:sz w:val="22"/>
                <w14:shadow w14:blurRad="38100" w14:dist="25400" w14:dir="5400000" w14:sx="100000" w14:sy="100000" w14:kx="0" w14:ky="0" w14:algn="ctr">
                  <w14:srgbClr w14:val="6E747A">
                    <w14:alpha w14:val="57000"/>
                  </w14:srgbClr>
                </w14:shadow>
                <w14:textFill>
                  <w14:solidFill>
                    <w14:schemeClr w14:val="tx1"/>
                  </w14:solidFill>
                </w14:textFill>
              </w:rPr>
              <w:t>配支架；</w:t>
            </w:r>
          </w:p>
        </w:tc>
        <w:tc>
          <w:tcPr>
            <w:tcW w:w="5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台</w:t>
            </w:r>
          </w:p>
        </w:tc>
        <w:tc>
          <w:tcPr>
            <w:tcW w:w="10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宋体" w:hAnsi="宋体" w:cs="宋体"/>
                <w:color w:val="000000" w:themeColor="text1"/>
                <w:kern w:val="0"/>
                <w:sz w:val="22"/>
                <w14:shadow w14:blurRad="38100" w14:dist="25400" w14:dir="5400000" w14:sx="100000" w14:sy="100000" w14:kx="0" w14:ky="0" w14:algn="ctr">
                  <w14:srgbClr w14:val="6E747A">
                    <w14:alpha w14:val="57000"/>
                  </w14:srgbClr>
                </w14:shadow>
                <w14:textFill>
                  <w14:solidFill>
                    <w14:schemeClr w14:val="tx1"/>
                  </w14:solidFill>
                </w14:textFill>
              </w:rPr>
              <w:t>7</w:t>
            </w:r>
          </w:p>
        </w:tc>
      </w:tr>
    </w:tbl>
    <w:p>
      <w:pPr>
        <w:tabs>
          <w:tab w:val="left" w:pos="8820"/>
        </w:tabs>
        <w:spacing w:line="360" w:lineRule="auto"/>
        <w:ind w:firstLine="0" w:firstLineChars="0"/>
        <w:rPr>
          <w:rFonts w:ascii="宋体" w:hAnsi="宋体" w:cs="宋体"/>
          <w:szCs w:val="21"/>
        </w:rPr>
      </w:pPr>
    </w:p>
    <w:p>
      <w:pPr>
        <w:tabs>
          <w:tab w:val="left" w:pos="8820"/>
        </w:tabs>
        <w:spacing w:line="360" w:lineRule="auto"/>
        <w:ind w:firstLine="420" w:firstLineChars="200"/>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 所有产品均需要国产知名品牌。</w:t>
      </w:r>
    </w:p>
    <w:p>
      <w:pPr>
        <w:pStyle w:val="20"/>
        <w:snapToGrid w:val="0"/>
        <w:spacing w:before="157" w:after="157" w:line="360" w:lineRule="auto"/>
        <w:ind w:firstLine="420"/>
        <w:rPr>
          <w:rFonts w:hAnsi="宋体" w:cs="宋体"/>
          <w:sz w:val="21"/>
          <w:szCs w:val="21"/>
        </w:rPr>
      </w:pPr>
      <w:r>
        <w:rPr>
          <w:rFonts w:hint="eastAsia" w:hAnsi="宋体" w:cs="宋体"/>
          <w:sz w:val="21"/>
          <w:szCs w:val="21"/>
          <w:lang w:val="en-US" w:eastAsia="zh-CN"/>
        </w:rPr>
        <w:t>2</w:t>
      </w:r>
      <w:r>
        <w:rPr>
          <w:rFonts w:hAnsi="宋体" w:cs="宋体"/>
          <w:sz w:val="21"/>
          <w:szCs w:val="21"/>
        </w:rPr>
        <w:t>.</w:t>
      </w:r>
      <w:r>
        <w:rPr>
          <w:rFonts w:hint="eastAsia" w:hAnsi="宋体" w:cs="宋体"/>
          <w:sz w:val="21"/>
          <w:szCs w:val="21"/>
        </w:rPr>
        <w:t>投标人需提供“采购需求”中所列设备的产品配置、技术参数、性能指标等方面达到招标文件要求且满足用户使用要求的产品。</w:t>
      </w:r>
    </w:p>
    <w:p>
      <w:pPr>
        <w:pStyle w:val="20"/>
        <w:snapToGrid w:val="0"/>
        <w:spacing w:before="157" w:after="157" w:line="360" w:lineRule="auto"/>
        <w:ind w:firstLine="420"/>
        <w:rPr>
          <w:rFonts w:hAnsi="宋体" w:cs="宋体"/>
          <w:sz w:val="21"/>
          <w:szCs w:val="21"/>
        </w:rPr>
      </w:pPr>
      <w:r>
        <w:rPr>
          <w:rFonts w:hint="eastAsia" w:hAnsi="宋体" w:cs="宋体"/>
          <w:sz w:val="21"/>
          <w:szCs w:val="21"/>
        </w:rPr>
        <w:t>▲</w:t>
      </w:r>
      <w:r>
        <w:rPr>
          <w:rFonts w:hint="eastAsia" w:hAnsi="宋体" w:cs="宋体"/>
          <w:color w:val="FF0000"/>
          <w:sz w:val="21"/>
          <w:szCs w:val="21"/>
        </w:rPr>
        <w:t>投标人承诺在中标后提供原厂商针对本项目授权函和服务承诺函(综合管线除外)，否则招标人可要求其放弃中标资格。</w:t>
      </w:r>
    </w:p>
    <w:p>
      <w:pPr>
        <w:pStyle w:val="20"/>
        <w:snapToGrid w:val="0"/>
        <w:spacing w:before="157" w:after="157" w:line="360" w:lineRule="auto"/>
        <w:ind w:firstLine="420"/>
        <w:rPr>
          <w:rFonts w:hAnsi="宋体" w:cs="宋体"/>
          <w:sz w:val="21"/>
          <w:szCs w:val="21"/>
        </w:rPr>
      </w:pPr>
      <w:r>
        <w:rPr>
          <w:rFonts w:hint="eastAsia" w:hAnsi="宋体" w:cs="宋体"/>
          <w:sz w:val="21"/>
          <w:szCs w:val="21"/>
        </w:rPr>
        <w:t>▲为防止投标方虚假应答技术指标，从而造成用户在实际使用设备过程中无法实现所需的功能，中标公示期间需要提供同型号的样机进行上述功能要求的逐一测试验证，全部通过后执行合同流程，在指定的时间不能提供测试样机进行测试或测试中发现虚假应标的行为，则中标结果无效，并保留对预中标单位追究相关责任的权利。</w:t>
      </w:r>
    </w:p>
    <w:p>
      <w:pPr>
        <w:tabs>
          <w:tab w:val="left" w:pos="8820"/>
        </w:tabs>
        <w:spacing w:line="360" w:lineRule="auto"/>
        <w:ind w:firstLine="0" w:firstLineChars="0"/>
        <w:rPr>
          <w:rFonts w:hint="eastAsia" w:ascii="宋体" w:hAnsi="宋体" w:cs="宋体"/>
          <w:szCs w:val="21"/>
        </w:rPr>
      </w:pPr>
      <w:r>
        <w:rPr>
          <w:rFonts w:hint="eastAsia" w:ascii="宋体" w:hAnsi="宋体" w:cs="宋体"/>
          <w:color w:val="FF0000"/>
          <w:sz w:val="21"/>
          <w:szCs w:val="21"/>
        </w:rPr>
        <w:t>★</w:t>
      </w:r>
      <w:r>
        <w:rPr>
          <w:rFonts w:hint="eastAsia" w:hAnsi="宋体" w:cs="宋体"/>
          <w:color w:val="FF0000"/>
          <w:sz w:val="21"/>
          <w:szCs w:val="21"/>
          <w:lang w:eastAsia="zh-CN"/>
        </w:rPr>
        <w:t>3</w:t>
      </w:r>
      <w:r>
        <w:rPr>
          <w:rFonts w:hint="eastAsia" w:ascii="宋体" w:hAnsi="宋体" w:cs="宋体"/>
          <w:color w:val="FF0000"/>
          <w:sz w:val="21"/>
          <w:szCs w:val="21"/>
        </w:rPr>
        <w:t>．本项目为交钥匙工程：投标人报价应包含本次招标项目的设备费、安装调试费和安装以上设备所需的所有辅助材料费用、验收、检测、数据迁移、售后服务、税金以及第三方评测等一切费用。尤其是综合管线部分报价应充分考虑现场施工风险，清单中所列综合管线部分工程量为针对本设备购置清单的闭口包干工程量，不得因现场实际施工需要而产生的工作内容和工程数量调整来变更价格，除非因招标方原因设备数量大规模调整而引起的管线部分工程量增减。</w:t>
      </w:r>
    </w:p>
    <w:p>
      <w:pPr>
        <w:tabs>
          <w:tab w:val="left" w:pos="8820"/>
        </w:tabs>
        <w:spacing w:line="360" w:lineRule="auto"/>
        <w:ind w:firstLine="420" w:firstLineChars="200"/>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．项目中标后60个日历天内完成所有的内容。</w:t>
      </w:r>
    </w:p>
    <w:p>
      <w:pPr>
        <w:tabs>
          <w:tab w:val="left" w:pos="8820"/>
        </w:tabs>
        <w:spacing w:line="360" w:lineRule="auto"/>
        <w:ind w:firstLine="442" w:firstLineChars="200"/>
        <w:rPr>
          <w:rFonts w:ascii="宋体" w:hAnsi="宋体" w:cs="宋体"/>
          <w:b/>
          <w:sz w:val="22"/>
          <w:szCs w:val="21"/>
        </w:rPr>
      </w:pPr>
      <w:r>
        <w:rPr>
          <w:rFonts w:hint="eastAsia" w:ascii="宋体" w:hAnsi="宋体" w:cs="宋体"/>
          <w:b/>
          <w:sz w:val="22"/>
          <w:szCs w:val="21"/>
        </w:rPr>
        <w:t>三、服务与培训要求</w:t>
      </w:r>
    </w:p>
    <w:p>
      <w:pPr>
        <w:tabs>
          <w:tab w:val="left" w:pos="8820"/>
        </w:tabs>
        <w:spacing w:line="360" w:lineRule="auto"/>
        <w:ind w:firstLine="420" w:firstLineChars="200"/>
        <w:rPr>
          <w:rFonts w:ascii="宋体" w:hAnsi="宋体" w:cs="宋体"/>
          <w:szCs w:val="21"/>
        </w:rPr>
      </w:pPr>
      <w:r>
        <w:rPr>
          <w:rFonts w:hint="eastAsia" w:ascii="宋体" w:hAnsi="宋体" w:cs="宋体"/>
          <w:szCs w:val="21"/>
        </w:rPr>
        <w:t>1、质量保证：</w:t>
      </w:r>
    </w:p>
    <w:p>
      <w:pPr>
        <w:tabs>
          <w:tab w:val="left" w:pos="8820"/>
        </w:tabs>
        <w:spacing w:line="360" w:lineRule="auto"/>
        <w:ind w:firstLine="420" w:firstLineChars="200"/>
        <w:rPr>
          <w:rFonts w:ascii="宋体" w:hAnsi="宋体" w:cs="宋体"/>
          <w:szCs w:val="21"/>
        </w:rPr>
      </w:pPr>
      <w:r>
        <w:rPr>
          <w:rFonts w:hint="eastAsia" w:ascii="宋体" w:hAnsi="宋体" w:cs="宋体"/>
          <w:szCs w:val="21"/>
        </w:rPr>
        <w:t>（1）投标产品必须是符合国家技术规范和质量标准的合格产品，满足采购人的使用需求，并具有可靠的售后服务体系，质量可靠、使用安全。</w:t>
      </w:r>
    </w:p>
    <w:p>
      <w:pPr>
        <w:tabs>
          <w:tab w:val="left" w:pos="8820"/>
        </w:tabs>
        <w:spacing w:line="360" w:lineRule="auto"/>
        <w:ind w:firstLine="420" w:firstLineChars="200"/>
        <w:rPr>
          <w:rFonts w:ascii="宋体" w:hAnsi="宋体" w:cs="宋体"/>
          <w:szCs w:val="21"/>
        </w:rPr>
      </w:pPr>
      <w:r>
        <w:rPr>
          <w:rFonts w:hint="eastAsia" w:ascii="宋体" w:hAnsi="宋体" w:cs="宋体"/>
          <w:szCs w:val="21"/>
        </w:rPr>
        <w:t>（2）投标人保证其提供的产品中所有预装和为本项目安装的软件均为具有合法版权或使用权的正版软件且无质量瑕疵；</w:t>
      </w:r>
    </w:p>
    <w:p>
      <w:pPr>
        <w:tabs>
          <w:tab w:val="left" w:pos="8820"/>
        </w:tabs>
        <w:spacing w:line="360" w:lineRule="auto"/>
        <w:ind w:firstLine="420" w:firstLineChars="200"/>
        <w:rPr>
          <w:rFonts w:ascii="宋体" w:hAnsi="宋体" w:cs="宋体"/>
          <w:szCs w:val="21"/>
        </w:rPr>
      </w:pPr>
      <w:r>
        <w:rPr>
          <w:rFonts w:hint="eastAsia" w:ascii="宋体" w:hAnsi="宋体" w:cs="宋体"/>
          <w:szCs w:val="21"/>
        </w:rPr>
        <w:t>（3）在质保期内，如遇软件产品升级、改版，应免费提供更新、升级服务。</w:t>
      </w:r>
    </w:p>
    <w:p>
      <w:pPr>
        <w:tabs>
          <w:tab w:val="left" w:pos="8820"/>
        </w:tabs>
        <w:spacing w:line="360" w:lineRule="auto"/>
        <w:ind w:firstLine="420" w:firstLineChars="200"/>
        <w:rPr>
          <w:rFonts w:ascii="宋体" w:hAnsi="宋体" w:cs="宋体"/>
          <w:szCs w:val="21"/>
        </w:rPr>
      </w:pPr>
      <w:r>
        <w:rPr>
          <w:rFonts w:hint="eastAsia" w:ascii="宋体" w:hAnsi="宋体" w:cs="宋体"/>
          <w:szCs w:val="21"/>
        </w:rPr>
        <w:t>2、要求投标人提供的服务不得低于标准服务，即与投标产品制造厂商通过网站等对外公布的有效服务标准相一致（投标人不得另行制作网页）。在标准服务基础上，投标人还应达到以下标准：</w:t>
      </w:r>
    </w:p>
    <w:p>
      <w:pPr>
        <w:tabs>
          <w:tab w:val="left" w:pos="8820"/>
        </w:tabs>
        <w:spacing w:line="360" w:lineRule="auto"/>
        <w:ind w:firstLine="420" w:firstLineChars="200"/>
        <w:rPr>
          <w:rFonts w:ascii="宋体" w:hAnsi="宋体" w:cs="宋体"/>
          <w:szCs w:val="21"/>
        </w:rPr>
      </w:pPr>
      <w:r>
        <w:rPr>
          <w:rFonts w:hint="eastAsia" w:ascii="宋体" w:hAnsi="宋体" w:cs="宋体"/>
          <w:szCs w:val="21"/>
        </w:rPr>
        <w:t>（1）投标产品制造厂商应具有完善的服务保障体系（在最终供货地有直接设立或授权的售后服务机构，配备有足够的、有相应资质的专业技术人员）；供应商也应就投标货物的品质和服务对采购代理和采购人负责。</w:t>
      </w:r>
    </w:p>
    <w:p>
      <w:pPr>
        <w:tabs>
          <w:tab w:val="left" w:pos="8820"/>
        </w:tabs>
        <w:spacing w:line="360" w:lineRule="auto"/>
        <w:ind w:firstLine="420" w:firstLineChars="200"/>
        <w:rPr>
          <w:rFonts w:ascii="宋体" w:hAnsi="宋体" w:cs="宋体"/>
          <w:szCs w:val="21"/>
        </w:rPr>
      </w:pPr>
      <w:r>
        <w:rPr>
          <w:rFonts w:hint="eastAsia" w:ascii="宋体" w:hAnsi="宋体" w:cs="宋体"/>
          <w:szCs w:val="21"/>
        </w:rPr>
        <w:t>（2）投标人应明确说明此次投标的服务策略，提供此次投标货物的服务计划（售后服务内容、等级、相关服务指标、售后服务组织机构及人员安排情况及其联络信息）。</w:t>
      </w:r>
    </w:p>
    <w:p>
      <w:pPr>
        <w:tabs>
          <w:tab w:val="left" w:pos="8820"/>
        </w:tabs>
        <w:spacing w:line="360" w:lineRule="auto"/>
        <w:ind w:firstLine="420" w:firstLineChars="200"/>
        <w:rPr>
          <w:rFonts w:ascii="宋体" w:hAnsi="宋体" w:cs="宋体"/>
          <w:szCs w:val="21"/>
        </w:rPr>
      </w:pPr>
      <w:r>
        <w:rPr>
          <w:rFonts w:hint="eastAsia" w:ascii="宋体" w:hAnsi="宋体" w:cs="宋体"/>
          <w:szCs w:val="21"/>
        </w:rPr>
        <w:t>（3）在三年质保期内供应商必须为最终用户提供技术服务热线（7*24小时），负责解答用户在设备使用中遇到的问题，并及时提出解决问题的建议和操作方法。技术服务热线支持应是中文服务。</w:t>
      </w:r>
    </w:p>
    <w:p>
      <w:pPr>
        <w:tabs>
          <w:tab w:val="left" w:pos="8820"/>
        </w:tabs>
        <w:spacing w:line="360" w:lineRule="auto"/>
        <w:ind w:firstLine="420" w:firstLineChars="200"/>
        <w:rPr>
          <w:rFonts w:ascii="宋体" w:hAnsi="宋体" w:cs="宋体"/>
          <w:szCs w:val="21"/>
        </w:rPr>
      </w:pPr>
      <w:r>
        <w:rPr>
          <w:rFonts w:hint="eastAsia" w:ascii="宋体" w:hAnsi="宋体" w:cs="宋体"/>
          <w:szCs w:val="21"/>
        </w:rPr>
        <w:t xml:space="preserve">（4）在投标货物质保期内，供应商应提供不低于7*24小时的现场质保和技术支持服务，对故障即时响应，3小时以内到现场，4小时以内解决问题；不能当场修复的，必须采取提供备品、备件或备机等措施，以保证采购人的正常使用。如果逾期未作出响应，供应商应承担由于故障所造成的全部损失。 </w:t>
      </w:r>
    </w:p>
    <w:p>
      <w:pPr>
        <w:tabs>
          <w:tab w:val="left" w:pos="8820"/>
        </w:tabs>
        <w:spacing w:line="360" w:lineRule="auto"/>
        <w:ind w:firstLine="420" w:firstLineChars="200"/>
        <w:rPr>
          <w:rFonts w:ascii="宋体" w:hAnsi="宋体" w:cs="宋体"/>
          <w:szCs w:val="21"/>
        </w:rPr>
      </w:pPr>
      <w:r>
        <w:rPr>
          <w:rFonts w:hint="eastAsia" w:ascii="宋体" w:hAnsi="宋体" w:cs="宋体"/>
          <w:szCs w:val="21"/>
        </w:rPr>
        <w:t>（5）当投标货物发生非人为因素严重故障时，供应商应当免费在七日内将补充或者更换的货物运抵发生故障的货物所在地，由此产生的一切相关费用由供应商负担。</w:t>
      </w:r>
    </w:p>
    <w:p>
      <w:pPr>
        <w:tabs>
          <w:tab w:val="left" w:pos="8820"/>
        </w:tabs>
        <w:spacing w:line="360" w:lineRule="auto"/>
        <w:ind w:firstLine="420" w:firstLineChars="200"/>
        <w:rPr>
          <w:rFonts w:ascii="宋体" w:hAnsi="宋体" w:cs="宋体"/>
          <w:szCs w:val="21"/>
        </w:rPr>
      </w:pPr>
      <w:r>
        <w:rPr>
          <w:rFonts w:hint="eastAsia" w:ascii="宋体" w:hAnsi="宋体" w:cs="宋体"/>
          <w:szCs w:val="21"/>
        </w:rPr>
        <w:t>（6）质保期内所有因更换或修理设备或部件而导致设备停止运行的时间应从其质保期内扣除。</w:t>
      </w:r>
    </w:p>
    <w:p>
      <w:pPr>
        <w:tabs>
          <w:tab w:val="left" w:pos="8820"/>
        </w:tabs>
        <w:spacing w:line="360" w:lineRule="auto"/>
        <w:ind w:firstLine="420" w:firstLineChars="200"/>
        <w:rPr>
          <w:rFonts w:ascii="宋体" w:hAnsi="宋体" w:cs="宋体"/>
          <w:szCs w:val="21"/>
        </w:rPr>
      </w:pPr>
      <w:r>
        <w:rPr>
          <w:rFonts w:hint="eastAsia" w:ascii="宋体" w:hAnsi="宋体" w:cs="宋体"/>
          <w:szCs w:val="21"/>
        </w:rPr>
        <w:t>（7）供应商在质保期内安装的任何产品，必须是其投标产品制造厂商原产的或是经其认可的。</w:t>
      </w:r>
    </w:p>
    <w:p>
      <w:pPr>
        <w:tabs>
          <w:tab w:val="left" w:pos="8820"/>
        </w:tabs>
        <w:spacing w:line="360" w:lineRule="auto"/>
        <w:ind w:firstLine="420" w:firstLineChars="200"/>
        <w:rPr>
          <w:rFonts w:ascii="宋体" w:hAnsi="宋体" w:cs="宋体"/>
          <w:szCs w:val="21"/>
        </w:rPr>
      </w:pPr>
      <w:r>
        <w:rPr>
          <w:rFonts w:hint="eastAsia" w:ascii="宋体" w:hAnsi="宋体" w:cs="宋体"/>
          <w:szCs w:val="21"/>
        </w:rPr>
        <w:t>（8）所有的替代零配件必须是新的未使用和未经修复的，除非最终用户提供书面许可，否则不可使用此范围外的其他（非新的）配件。</w:t>
      </w:r>
    </w:p>
    <w:p>
      <w:pPr>
        <w:tabs>
          <w:tab w:val="left" w:pos="8820"/>
        </w:tabs>
        <w:spacing w:line="360" w:lineRule="auto"/>
        <w:ind w:firstLine="420" w:firstLineChars="200"/>
        <w:rPr>
          <w:rFonts w:ascii="宋体" w:hAnsi="宋体" w:cs="宋体"/>
          <w:szCs w:val="21"/>
        </w:rPr>
      </w:pPr>
      <w:r>
        <w:rPr>
          <w:rFonts w:hint="eastAsia" w:ascii="宋体" w:hAnsi="宋体" w:cs="宋体"/>
          <w:szCs w:val="21"/>
        </w:rPr>
        <w:t>（9） 供应商必须为维修和技术支持所未能解决的问题和故障提供正式的升级方案。</w:t>
      </w:r>
    </w:p>
    <w:p>
      <w:pPr>
        <w:tabs>
          <w:tab w:val="left" w:pos="8820"/>
        </w:tabs>
        <w:spacing w:line="360" w:lineRule="auto"/>
        <w:ind w:firstLine="420" w:firstLineChars="200"/>
        <w:rPr>
          <w:rFonts w:ascii="宋体" w:hAnsi="宋体" w:cs="宋体"/>
          <w:szCs w:val="21"/>
        </w:rPr>
      </w:pPr>
      <w:r>
        <w:rPr>
          <w:rFonts w:hint="eastAsia" w:ascii="宋体" w:hAnsi="宋体" w:cs="宋体"/>
          <w:szCs w:val="21"/>
        </w:rPr>
        <w:t>（10）在质保期内，供应商有责任解决所提供的投标设备和软件系统的任何问题，在质保期满后，当需要时，供应商仍须对因投标设备本身的固有缺陷和瑕疵承担相应责任。</w:t>
      </w:r>
    </w:p>
    <w:p>
      <w:pPr>
        <w:tabs>
          <w:tab w:val="left" w:pos="8820"/>
        </w:tabs>
        <w:spacing w:line="360" w:lineRule="auto"/>
        <w:ind w:firstLine="420" w:firstLineChars="200"/>
        <w:rPr>
          <w:rFonts w:ascii="宋体" w:hAnsi="宋体" w:cs="宋体"/>
          <w:szCs w:val="21"/>
        </w:rPr>
      </w:pPr>
      <w:r>
        <w:rPr>
          <w:rFonts w:hint="eastAsia" w:ascii="宋体" w:hAnsi="宋体" w:cs="宋体"/>
          <w:szCs w:val="21"/>
        </w:rPr>
        <w:t>3、对产品服务要求的有效响应将被视为投标人对其所投标产品的服务承诺，如果中标，须将服务承诺列入合同的产品服务条款。</w:t>
      </w:r>
    </w:p>
    <w:p>
      <w:pPr>
        <w:tabs>
          <w:tab w:val="left" w:pos="8820"/>
        </w:tabs>
        <w:spacing w:line="360" w:lineRule="auto"/>
        <w:ind w:firstLine="420" w:firstLineChars="200"/>
        <w:rPr>
          <w:rFonts w:ascii="宋体" w:hAnsi="宋体" w:cs="宋体"/>
          <w:szCs w:val="21"/>
        </w:rPr>
      </w:pPr>
      <w:r>
        <w:rPr>
          <w:rFonts w:hint="eastAsia" w:ascii="宋体" w:hAnsi="宋体" w:cs="宋体"/>
          <w:szCs w:val="21"/>
        </w:rPr>
        <w:t>4、投标单位针对用户提供电池保养、日常维护等培训。</w:t>
      </w:r>
    </w:p>
    <w:p>
      <w:pPr>
        <w:tabs>
          <w:tab w:val="left" w:pos="8820"/>
        </w:tabs>
        <w:spacing w:line="360" w:lineRule="auto"/>
        <w:ind w:firstLine="420" w:firstLineChars="200"/>
        <w:rPr>
          <w:rFonts w:ascii="宋体" w:hAnsi="宋体" w:cs="宋体"/>
          <w:szCs w:val="21"/>
        </w:rPr>
      </w:pPr>
      <w:r>
        <w:rPr>
          <w:rFonts w:hint="eastAsia" w:ascii="宋体" w:hAnsi="宋体" w:cs="宋体"/>
          <w:szCs w:val="21"/>
        </w:rPr>
        <w:t>5、投标人须保证所提供硬件产品包括相关附件为相应硬件厂家原装正品，软件产品为相关厂家正版软件，符合国家有关规定。投标人须保证所提供产品具有合法的版权或使用权，本项目采购的产品，如在本项目范围内使用过程中出现版权或使用权纠纷，应由中标人负责，采购人不承担责任。</w:t>
      </w:r>
    </w:p>
    <w:p>
      <w:pPr>
        <w:tabs>
          <w:tab w:val="left" w:pos="8820"/>
        </w:tabs>
        <w:spacing w:line="360" w:lineRule="auto"/>
        <w:ind w:firstLine="420" w:firstLineChars="200"/>
        <w:rPr>
          <w:rFonts w:ascii="仿宋_GB2312" w:hAnsi="宋体" w:eastAsia="仿宋_GB2312" w:cs="宋体"/>
          <w:sz w:val="24"/>
        </w:rPr>
      </w:pPr>
      <w:r>
        <w:rPr>
          <w:rFonts w:hint="eastAsia" w:ascii="宋体" w:hAnsi="宋体" w:cs="宋体"/>
          <w:szCs w:val="21"/>
        </w:rPr>
        <w:t>6、项目所涉及的设备及软件到货时，须提供原厂商的供货证明，注明供货对象为杭州市中级人民法院，杭州市中级人民法院是所有设备的最终用户。</w:t>
      </w: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szCs w:val="21"/>
        </w:rPr>
      </w:pPr>
    </w:p>
    <w:p>
      <w:pPr>
        <w:tabs>
          <w:tab w:val="left" w:pos="8820"/>
        </w:tabs>
        <w:ind w:firstLine="840" w:firstLineChars="400"/>
        <w:rPr>
          <w:rFonts w:ascii="宋体" w:hAnsi="宋体" w:cs="宋体"/>
          <w:b/>
          <w:bCs/>
          <w:sz w:val="32"/>
          <w:szCs w:val="32"/>
        </w:rPr>
      </w:pPr>
      <w:r>
        <w:rPr>
          <w:rFonts w:hint="eastAsia" w:ascii="宋体" w:hAnsi="宋体" w:cs="宋体"/>
          <w:szCs w:val="21"/>
        </w:rPr>
        <w:t xml:space="preserve"> </w:t>
      </w:r>
      <w:bookmarkEnd w:id="41"/>
      <w:bookmarkStart w:id="43" w:name="_Toc482808221"/>
    </w:p>
    <w:p>
      <w:pPr>
        <w:tabs>
          <w:tab w:val="left" w:pos="8820"/>
        </w:tabs>
        <w:ind w:firstLine="1285" w:firstLineChars="400"/>
        <w:rPr>
          <w:rFonts w:ascii="宋体" w:hAnsi="宋体" w:cs="宋体"/>
          <w:b/>
          <w:bCs/>
          <w:sz w:val="32"/>
          <w:szCs w:val="32"/>
        </w:rPr>
      </w:pPr>
      <w:r>
        <w:rPr>
          <w:rFonts w:hint="eastAsia" w:ascii="宋体" w:hAnsi="宋体" w:cs="宋体"/>
          <w:b/>
          <w:bCs/>
          <w:sz w:val="32"/>
          <w:szCs w:val="32"/>
        </w:rPr>
        <w:t>第五章  采购合同主要条款指引（参考样稿）</w:t>
      </w:r>
      <w:bookmarkEnd w:id="42"/>
      <w:bookmarkEnd w:id="43"/>
    </w:p>
    <w:p>
      <w:pPr>
        <w:pStyle w:val="64"/>
        <w:spacing w:before="156" w:after="156"/>
        <w:ind w:firstLine="7350" w:firstLineChars="3500"/>
        <w:rPr>
          <w:rFonts w:ascii="宋体" w:hAnsi="宋体" w:cs="宋体"/>
          <w:b/>
          <w:bCs/>
          <w:sz w:val="32"/>
          <w:szCs w:val="32"/>
        </w:rPr>
      </w:pPr>
      <w:r>
        <w:rPr>
          <w:rFonts w:hint="eastAsia" w:ascii="宋体" w:hAnsi="宋体" w:cs="宋体"/>
          <w:sz w:val="21"/>
          <w:szCs w:val="21"/>
        </w:rPr>
        <w:t xml:space="preserve"> </w:t>
      </w:r>
    </w:p>
    <w:p>
      <w:pPr>
        <w:spacing w:line="360" w:lineRule="auto"/>
        <w:ind w:firstLine="422" w:firstLineChars="200"/>
        <w:rPr>
          <w:b/>
          <w:bCs/>
          <w:color w:val="000000"/>
        </w:rPr>
      </w:pPr>
      <w:r>
        <w:rPr>
          <w:rFonts w:hint="eastAsia"/>
          <w:b/>
          <w:bCs/>
          <w:color w:val="000000"/>
        </w:rPr>
        <w:t>1．定义</w:t>
      </w:r>
    </w:p>
    <w:p>
      <w:pPr>
        <w:spacing w:line="360" w:lineRule="auto"/>
        <w:ind w:firstLine="420" w:firstLineChars="200"/>
        <w:rPr>
          <w:color w:val="000000"/>
        </w:rPr>
      </w:pPr>
      <w:r>
        <w:rPr>
          <w:rFonts w:hint="eastAsia"/>
          <w:color w:val="000000"/>
        </w:rPr>
        <w:t>1．1  “</w:t>
      </w:r>
      <w:r>
        <w:rPr>
          <w:rFonts w:hint="eastAsia"/>
          <w:color w:val="000000"/>
          <w:lang w:val="zh-CN"/>
        </w:rPr>
        <w:t>合同”</w:t>
      </w:r>
      <w:r>
        <w:rPr>
          <w:rFonts w:hint="eastAsia"/>
          <w:color w:val="000000"/>
        </w:rPr>
        <w:t>即由</w:t>
      </w:r>
      <w:r>
        <w:rPr>
          <w:rFonts w:hint="eastAsia"/>
          <w:color w:val="000000"/>
          <w:lang w:val="zh-CN"/>
        </w:rPr>
        <w:t>甲乙方</w:t>
      </w:r>
      <w:r>
        <w:rPr>
          <w:rFonts w:hint="eastAsia"/>
          <w:color w:val="000000"/>
        </w:rPr>
        <w:t>双方签订的合同格式中的文件，包括所有的附件、附录和组成合同部分的所有其他文件。</w:t>
      </w:r>
    </w:p>
    <w:p>
      <w:pPr>
        <w:spacing w:line="360" w:lineRule="auto"/>
        <w:ind w:firstLine="420" w:firstLineChars="200"/>
        <w:rPr>
          <w:color w:val="000000"/>
        </w:rPr>
      </w:pPr>
      <w:r>
        <w:rPr>
          <w:rFonts w:hint="eastAsia"/>
          <w:color w:val="000000"/>
        </w:rPr>
        <w:t>合同将由杭州市中级人民法院（以下简称甲方）与经评审最终确定的中标人（以下简称乙方）结合本项目具体情况协商后签订</w:t>
      </w:r>
      <w:r>
        <w:rPr>
          <w:rFonts w:hint="eastAsia"/>
          <w:color w:val="000000"/>
          <w:lang w:val="zh-CN"/>
        </w:rPr>
        <w:t>。以下为采购人提出涉及乙方的主要条款，投标人在投标文件中应对其进行确认或拒绝。如投标人在其投标文件中未做拒绝或提出修改要求的，采购人将视作认同</w:t>
      </w:r>
      <w:r>
        <w:rPr>
          <w:rFonts w:hint="eastAsia"/>
          <w:color w:val="000000"/>
        </w:rPr>
        <w:t>。</w:t>
      </w:r>
    </w:p>
    <w:p>
      <w:pPr>
        <w:spacing w:line="360" w:lineRule="auto"/>
        <w:ind w:firstLine="420" w:firstLineChars="200"/>
        <w:rPr>
          <w:color w:val="000000"/>
        </w:rPr>
      </w:pPr>
      <w:r>
        <w:rPr>
          <w:rFonts w:hint="eastAsia"/>
          <w:color w:val="000000"/>
        </w:rPr>
        <w:t>1．2 “合同价格”系指根据合同规定，在供应商全面正确地履行合同义务时，采购人应支付给供应商的款项。</w:t>
      </w:r>
    </w:p>
    <w:p>
      <w:pPr>
        <w:spacing w:line="360" w:lineRule="auto"/>
        <w:ind w:firstLine="420" w:firstLineChars="200"/>
        <w:rPr>
          <w:color w:val="000000"/>
        </w:rPr>
      </w:pPr>
      <w:r>
        <w:rPr>
          <w:rFonts w:hint="eastAsia"/>
          <w:color w:val="000000"/>
        </w:rPr>
        <w:t>1．3“服务”系指招标文件规定供应商须承担的安装、调试技术协助、校准、培训以及其它类似的义务。</w:t>
      </w:r>
    </w:p>
    <w:p>
      <w:pPr>
        <w:spacing w:line="360" w:lineRule="auto"/>
        <w:ind w:firstLine="420" w:firstLineChars="200"/>
        <w:rPr>
          <w:color w:val="000000"/>
        </w:rPr>
      </w:pPr>
      <w:r>
        <w:rPr>
          <w:rFonts w:hint="eastAsia"/>
          <w:color w:val="000000"/>
        </w:rPr>
        <w:t>1．4“现场”系指将要进行系统安装和运转的地点。</w:t>
      </w:r>
    </w:p>
    <w:p>
      <w:pPr>
        <w:spacing w:line="360" w:lineRule="auto"/>
        <w:ind w:firstLine="420" w:firstLineChars="200"/>
        <w:rPr>
          <w:color w:val="000000"/>
        </w:rPr>
      </w:pPr>
      <w:r>
        <w:rPr>
          <w:rFonts w:hint="eastAsia"/>
          <w:color w:val="000000"/>
        </w:rPr>
        <w:t>1．5“验收”系指采购人依据技术规格规定接受合同所依据的程序和条件。</w:t>
      </w:r>
    </w:p>
    <w:p>
      <w:pPr>
        <w:spacing w:line="360" w:lineRule="auto"/>
        <w:ind w:firstLine="422" w:firstLineChars="200"/>
        <w:rPr>
          <w:b/>
          <w:bCs/>
          <w:color w:val="000000"/>
        </w:rPr>
      </w:pPr>
      <w:r>
        <w:rPr>
          <w:rFonts w:hint="eastAsia"/>
          <w:b/>
          <w:bCs/>
          <w:color w:val="000000"/>
        </w:rPr>
        <w:t>2．适用范围</w:t>
      </w:r>
    </w:p>
    <w:p>
      <w:pPr>
        <w:spacing w:line="360" w:lineRule="auto"/>
        <w:ind w:firstLine="420" w:firstLineChars="200"/>
        <w:rPr>
          <w:color w:val="000000"/>
        </w:rPr>
      </w:pPr>
      <w:r>
        <w:rPr>
          <w:rFonts w:hint="eastAsia"/>
          <w:color w:val="000000"/>
        </w:rPr>
        <w:t xml:space="preserve">本合同条款适用与本次采购活动。项目实施范围详见附件——招标文件和投标文件及补充文件、采购设计图、承诺书等。 </w:t>
      </w:r>
    </w:p>
    <w:p>
      <w:pPr>
        <w:spacing w:line="360" w:lineRule="auto"/>
        <w:ind w:firstLine="422" w:firstLineChars="200"/>
        <w:rPr>
          <w:b/>
          <w:bCs/>
          <w:color w:val="000000"/>
        </w:rPr>
      </w:pPr>
      <w:r>
        <w:rPr>
          <w:rFonts w:hint="eastAsia"/>
          <w:b/>
          <w:bCs/>
          <w:color w:val="000000"/>
        </w:rPr>
        <w:t>3．供货</w:t>
      </w:r>
    </w:p>
    <w:p>
      <w:pPr>
        <w:spacing w:line="360" w:lineRule="auto"/>
        <w:ind w:firstLine="420" w:firstLineChars="200"/>
        <w:rPr>
          <w:color w:val="000000"/>
        </w:rPr>
      </w:pPr>
      <w:r>
        <w:rPr>
          <w:rFonts w:hint="eastAsia"/>
          <w:color w:val="000000"/>
        </w:rPr>
        <w:t>3.1乙方提供的设备及有关产品部件等货物必须是符合国家技术规范和质量标准，经国家“3C”认证或通过国家有关部门检测的原产地合格产品。采购前需经甲方的认可。</w:t>
      </w:r>
    </w:p>
    <w:p>
      <w:pPr>
        <w:spacing w:line="360" w:lineRule="auto"/>
        <w:ind w:firstLine="420" w:firstLineChars="200"/>
        <w:rPr>
          <w:color w:val="000000"/>
        </w:rPr>
      </w:pPr>
      <w:r>
        <w:rPr>
          <w:rFonts w:hint="eastAsia"/>
          <w:color w:val="000000"/>
        </w:rPr>
        <w:t>3.2 乙方在投标文件中所列设备的名称、型号应与安装实施中实际使用的设备完全一致，都必须是报价中的产地，并提供相关证明，需原装封箱包装。如发现实物与投标报价书等资料不符，甲方有权更换，其一切后果及费用由乙方承担。如发现不符合质量要求或破裂、损坏等情况由乙方负责调换或补足，并不得影响工期。</w:t>
      </w:r>
    </w:p>
    <w:p>
      <w:pPr>
        <w:spacing w:line="360" w:lineRule="auto"/>
        <w:ind w:firstLine="420" w:firstLineChars="200"/>
        <w:rPr>
          <w:color w:val="000000"/>
          <w:lang w:val="zh-CN" w:bidi="mr-IN"/>
        </w:rPr>
      </w:pPr>
      <w:r>
        <w:rPr>
          <w:rFonts w:hint="eastAsia"/>
          <w:color w:val="000000"/>
        </w:rPr>
        <w:t>3.3</w:t>
      </w:r>
      <w:r>
        <w:rPr>
          <w:rFonts w:hint="eastAsia"/>
          <w:color w:val="000000"/>
          <w:lang w:val="zh-CN"/>
        </w:rPr>
        <w:t>乙方</w:t>
      </w:r>
      <w:r>
        <w:rPr>
          <w:rFonts w:hint="eastAsia"/>
          <w:color w:val="000000"/>
        </w:rPr>
        <w:t>对所提供的产品、技术和服务等拥有合法的占有和处置权，并对涉及项目的所有内容可能侵权行为指控负责，保证不伤害甲方的利益。在法律范围内，如果出现文字、图片、商标和技术等侵权行为而造成的纠纷和产生的一切费用，甲方概不负责，由此给甲方造成损失的，</w:t>
      </w:r>
      <w:r>
        <w:rPr>
          <w:rFonts w:hint="eastAsia"/>
          <w:color w:val="000000"/>
          <w:lang w:val="zh-CN"/>
        </w:rPr>
        <w:t>乙方</w:t>
      </w:r>
      <w:r>
        <w:rPr>
          <w:rFonts w:hint="eastAsia"/>
          <w:color w:val="000000"/>
        </w:rPr>
        <w:t>要承担相应后果，</w:t>
      </w:r>
      <w:r>
        <w:rPr>
          <w:rFonts w:hint="eastAsia"/>
          <w:color w:val="000000"/>
          <w:lang w:val="zh-CN"/>
        </w:rPr>
        <w:t>并负责赔偿。乙方</w:t>
      </w:r>
      <w:r>
        <w:rPr>
          <w:rFonts w:hint="eastAsia"/>
          <w:color w:val="000000"/>
        </w:rPr>
        <w:t>为执行本项目合同而提供的技术资料等归甲方所有</w:t>
      </w:r>
      <w:r>
        <w:rPr>
          <w:rFonts w:hint="eastAsia"/>
          <w:color w:val="000000"/>
          <w:lang w:val="zh-CN"/>
        </w:rPr>
        <w:t>。</w:t>
      </w:r>
    </w:p>
    <w:p>
      <w:pPr>
        <w:spacing w:line="360" w:lineRule="auto"/>
        <w:ind w:firstLine="420" w:firstLineChars="200"/>
        <w:rPr>
          <w:color w:val="000000"/>
        </w:rPr>
      </w:pPr>
      <w:r>
        <w:rPr>
          <w:rFonts w:hint="eastAsia"/>
          <w:color w:val="000000"/>
        </w:rPr>
        <w:t>3.4 乙方所提供的设备交货时间必须按照本项目的工程安装进度进场。</w:t>
      </w:r>
    </w:p>
    <w:p>
      <w:pPr>
        <w:spacing w:line="360" w:lineRule="auto"/>
        <w:ind w:firstLine="422" w:firstLineChars="200"/>
        <w:rPr>
          <w:b/>
          <w:bCs/>
          <w:color w:val="000000"/>
        </w:rPr>
      </w:pPr>
      <w:r>
        <w:rPr>
          <w:rFonts w:hint="eastAsia"/>
          <w:b/>
          <w:bCs/>
          <w:color w:val="000000"/>
        </w:rPr>
        <w:t>4．安装调试</w:t>
      </w:r>
    </w:p>
    <w:p>
      <w:pPr>
        <w:spacing w:line="360" w:lineRule="auto"/>
        <w:ind w:firstLine="420" w:firstLineChars="200"/>
        <w:rPr>
          <w:color w:val="000000"/>
        </w:rPr>
      </w:pPr>
      <w:r>
        <w:rPr>
          <w:rFonts w:hint="eastAsia"/>
          <w:color w:val="000000"/>
        </w:rPr>
        <w:t>4.1 甲方提供堆放材料和工具场地，设备和材料的堆放安全由乙方负责。</w:t>
      </w:r>
    </w:p>
    <w:p>
      <w:pPr>
        <w:spacing w:line="360" w:lineRule="auto"/>
        <w:ind w:firstLine="420" w:firstLineChars="200"/>
        <w:rPr>
          <w:color w:val="000000"/>
        </w:rPr>
      </w:pPr>
      <w:r>
        <w:rPr>
          <w:rFonts w:hint="eastAsia"/>
          <w:color w:val="000000"/>
        </w:rPr>
        <w:t>4.2 甲方提供工程所需的水源和电源，费用由乙方承担。</w:t>
      </w:r>
    </w:p>
    <w:p>
      <w:pPr>
        <w:spacing w:line="360" w:lineRule="auto"/>
        <w:ind w:firstLine="420" w:firstLineChars="200"/>
        <w:rPr>
          <w:color w:val="000000"/>
        </w:rPr>
      </w:pPr>
      <w:r>
        <w:rPr>
          <w:rFonts w:hint="eastAsia"/>
          <w:color w:val="000000"/>
        </w:rPr>
        <w:t>4.3 乙方项目实施人员须服从甲方、监理管理人员管理，项目质量纳入现场监理。乙方项目实施人员必须遵守现场的各项规章制度。</w:t>
      </w:r>
    </w:p>
    <w:p>
      <w:pPr>
        <w:spacing w:line="360" w:lineRule="auto"/>
        <w:ind w:firstLine="420" w:firstLineChars="200"/>
        <w:rPr>
          <w:color w:val="000000"/>
        </w:rPr>
      </w:pPr>
      <w:r>
        <w:rPr>
          <w:rFonts w:hint="eastAsia"/>
          <w:color w:val="000000"/>
        </w:rPr>
        <w:t>4.4 乙方应根据项目情况提供安装、到货计划，安装调试计划，项目实施进度计划，经甲、乙双方共同确定后作为双方共同执行的合同条款，乙方应按计划完工交付验收，若超过计划完工日15天以上的天数按超期处罚，处罚按13.2条办法。</w:t>
      </w:r>
    </w:p>
    <w:p>
      <w:pPr>
        <w:spacing w:line="360" w:lineRule="auto"/>
        <w:ind w:firstLine="420" w:firstLineChars="200"/>
        <w:rPr>
          <w:color w:val="000000"/>
        </w:rPr>
      </w:pPr>
      <w:r>
        <w:rPr>
          <w:rFonts w:hint="eastAsia"/>
          <w:color w:val="000000"/>
        </w:rPr>
        <w:t>4.5竣工验收时必须提供完整的竣工资料，包括竣工图、隐检工程记录资料、性能测试报告。非标准产品设计图（接线图）系统使用说明书、各类产品证明书等。</w:t>
      </w:r>
    </w:p>
    <w:p>
      <w:pPr>
        <w:spacing w:line="360" w:lineRule="auto"/>
        <w:ind w:firstLine="422" w:firstLineChars="200"/>
        <w:rPr>
          <w:b/>
          <w:bCs/>
          <w:color w:val="000000"/>
        </w:rPr>
      </w:pPr>
      <w:r>
        <w:rPr>
          <w:rFonts w:hint="eastAsia"/>
          <w:b/>
          <w:bCs/>
          <w:color w:val="000000"/>
        </w:rPr>
        <w:t>5．培训质保</w:t>
      </w:r>
    </w:p>
    <w:p>
      <w:pPr>
        <w:spacing w:line="360" w:lineRule="auto"/>
        <w:ind w:firstLine="420" w:firstLineChars="200"/>
        <w:rPr>
          <w:color w:val="000000"/>
        </w:rPr>
      </w:pPr>
      <w:r>
        <w:rPr>
          <w:rFonts w:hint="eastAsia"/>
          <w:color w:val="000000"/>
        </w:rPr>
        <w:t>5.1 乙方对甲方提供操作维护、管理等培训，至熟练操作为止。</w:t>
      </w:r>
    </w:p>
    <w:p>
      <w:pPr>
        <w:spacing w:line="360" w:lineRule="auto"/>
        <w:ind w:firstLine="420" w:firstLineChars="200"/>
        <w:rPr>
          <w:color w:val="000000"/>
        </w:rPr>
      </w:pPr>
      <w:r>
        <w:rPr>
          <w:rFonts w:hint="eastAsia"/>
          <w:color w:val="000000"/>
        </w:rPr>
        <w:t>5.2 乙方提供免费维修（即质保期）：</w:t>
      </w:r>
      <w:r>
        <w:rPr>
          <w:rFonts w:hint="eastAsia"/>
          <w:color w:val="000000"/>
          <w:lang w:val="zh-CN"/>
        </w:rPr>
        <w:t>自项目验收合格之日起，</w:t>
      </w:r>
      <w:r>
        <w:rPr>
          <w:rFonts w:hint="eastAsia"/>
          <w:color w:val="000000"/>
        </w:rPr>
        <w:t>系统</w:t>
      </w:r>
      <w:r>
        <w:rPr>
          <w:rFonts w:hint="eastAsia"/>
          <w:color w:val="000000"/>
          <w:lang w:val="zh-CN"/>
        </w:rPr>
        <w:t>内硬件设备和软件产品（含定制研发软件）</w:t>
      </w:r>
      <w:r>
        <w:rPr>
          <w:rFonts w:hint="eastAsia"/>
          <w:color w:val="000000"/>
        </w:rPr>
        <w:t>要求提供原厂商三年7*24小时免费现场技术服务；软件产品</w:t>
      </w:r>
      <w:r>
        <w:rPr>
          <w:rFonts w:hint="eastAsia"/>
          <w:color w:val="000000"/>
          <w:lang w:val="zh-CN"/>
        </w:rPr>
        <w:t>（含定制研发软件）</w:t>
      </w:r>
      <w:r>
        <w:rPr>
          <w:rFonts w:hint="eastAsia"/>
          <w:color w:val="000000"/>
        </w:rPr>
        <w:t>维护内容包括免费升级、故障排除、性能调优、技术咨询等，并负责系统的开发、集成，处理、协调与各系统软件、硬件等供应商的关系</w:t>
      </w:r>
      <w:r>
        <w:rPr>
          <w:rFonts w:hint="eastAsia"/>
          <w:color w:val="000000"/>
          <w:lang w:val="zh-CN"/>
        </w:rPr>
        <w:t>。</w:t>
      </w:r>
    </w:p>
    <w:p>
      <w:pPr>
        <w:spacing w:line="360" w:lineRule="auto"/>
        <w:ind w:firstLine="422" w:firstLineChars="200"/>
        <w:rPr>
          <w:b/>
          <w:bCs/>
          <w:color w:val="000000"/>
        </w:rPr>
      </w:pPr>
      <w:r>
        <w:rPr>
          <w:rFonts w:hint="eastAsia"/>
          <w:b/>
          <w:bCs/>
          <w:color w:val="000000"/>
        </w:rPr>
        <w:t>6．验收</w:t>
      </w:r>
    </w:p>
    <w:p>
      <w:pPr>
        <w:spacing w:line="360" w:lineRule="auto"/>
        <w:ind w:firstLine="420" w:firstLineChars="200"/>
        <w:rPr>
          <w:color w:val="000000"/>
        </w:rPr>
      </w:pPr>
      <w:r>
        <w:rPr>
          <w:rFonts w:hint="eastAsia"/>
          <w:color w:val="000000"/>
        </w:rPr>
        <w:t xml:space="preserve">6.1 </w:t>
      </w:r>
      <w:r>
        <w:rPr>
          <w:rFonts w:hint="eastAsia"/>
          <w:color w:val="000000"/>
          <w:lang w:val="zh-CN"/>
        </w:rPr>
        <w:t>完成全部系统建设任务，投入试运行前，由甲方组织对项目进行初步验收，通过初验后进行试运行。投入试运行后正常运行，由甲方会同</w:t>
      </w:r>
      <w:r>
        <w:rPr>
          <w:rFonts w:hint="eastAsia"/>
          <w:color w:val="000000"/>
        </w:rPr>
        <w:t>有关部门对项目进行最终验收。</w:t>
      </w:r>
    </w:p>
    <w:p>
      <w:pPr>
        <w:spacing w:line="360" w:lineRule="auto"/>
        <w:ind w:firstLine="420" w:firstLineChars="200"/>
        <w:rPr>
          <w:color w:val="000000"/>
        </w:rPr>
      </w:pPr>
      <w:r>
        <w:rPr>
          <w:rFonts w:hint="eastAsia"/>
          <w:color w:val="000000"/>
        </w:rPr>
        <w:t>6.2 验收合格后，甲乙双方共同签署验收报告，一式二份，一份交甲方留存，一份由乙方用作结算凭证。</w:t>
      </w:r>
    </w:p>
    <w:p>
      <w:pPr>
        <w:spacing w:line="360" w:lineRule="auto"/>
        <w:ind w:firstLine="420" w:firstLineChars="200"/>
        <w:rPr>
          <w:color w:val="000000"/>
        </w:rPr>
      </w:pPr>
      <w:r>
        <w:rPr>
          <w:rFonts w:hint="eastAsia"/>
          <w:color w:val="000000"/>
        </w:rPr>
        <w:t>6.3 如果发现与合同中要求不符，乙方须承担由此发生的一切损失和费用，并接受相应的处罚。</w:t>
      </w:r>
    </w:p>
    <w:p>
      <w:pPr>
        <w:spacing w:line="360" w:lineRule="auto"/>
        <w:ind w:firstLine="420" w:firstLineChars="200"/>
        <w:rPr>
          <w:color w:val="000000"/>
        </w:rPr>
      </w:pPr>
      <w:r>
        <w:rPr>
          <w:rFonts w:hint="eastAsia"/>
          <w:color w:val="000000"/>
        </w:rPr>
        <w:t>6.4 验收时必须提供完整的验收资料，包括招标文件第三部分项目技术规范和服务要求中所列的所有文档资料等。</w:t>
      </w:r>
    </w:p>
    <w:p>
      <w:pPr>
        <w:spacing w:line="360" w:lineRule="auto"/>
        <w:ind w:firstLine="422" w:firstLineChars="200"/>
        <w:rPr>
          <w:b/>
          <w:bCs/>
          <w:color w:val="000000"/>
        </w:rPr>
      </w:pPr>
      <w:r>
        <w:rPr>
          <w:rFonts w:hint="eastAsia"/>
          <w:b/>
          <w:bCs/>
          <w:color w:val="000000"/>
        </w:rPr>
        <w:t>7．支付</w:t>
      </w:r>
    </w:p>
    <w:p>
      <w:pPr>
        <w:spacing w:line="360" w:lineRule="auto"/>
        <w:ind w:firstLine="420" w:firstLineChars="200"/>
        <w:rPr>
          <w:color w:val="000000"/>
        </w:rPr>
      </w:pPr>
      <w:r>
        <w:rPr>
          <w:rFonts w:hint="eastAsia"/>
          <w:color w:val="000000"/>
          <w:lang w:val="zh-CN"/>
        </w:rPr>
        <w:t>本次项目合同总价为大写人民币            （￥    元），采用分期付款方式，具体如下</w:t>
      </w:r>
      <w:r>
        <w:rPr>
          <w:rFonts w:hint="eastAsia"/>
          <w:color w:val="000000"/>
        </w:rPr>
        <w:t>：</w:t>
      </w:r>
    </w:p>
    <w:p>
      <w:pPr>
        <w:spacing w:line="360" w:lineRule="auto"/>
        <w:ind w:firstLine="420" w:firstLineChars="200"/>
        <w:rPr>
          <w:color w:val="000000"/>
          <w:lang w:val="zh-CN"/>
        </w:rPr>
      </w:pPr>
      <w:r>
        <w:rPr>
          <w:rFonts w:hint="eastAsia"/>
          <w:color w:val="000000"/>
          <w:lang w:val="zh-CN"/>
        </w:rPr>
        <w:t>第一期付款：合同签订一周后支付合同总额</w:t>
      </w:r>
      <w:r>
        <w:rPr>
          <w:rFonts w:hint="eastAsia"/>
          <w:color w:val="000000"/>
        </w:rPr>
        <w:t>30%货款，计人民币    整</w:t>
      </w:r>
      <w:r>
        <w:rPr>
          <w:rFonts w:hint="eastAsia"/>
          <w:color w:val="000000"/>
          <w:lang w:val="zh-CN"/>
        </w:rPr>
        <w:t>（￥）。</w:t>
      </w:r>
    </w:p>
    <w:p>
      <w:pPr>
        <w:spacing w:line="360" w:lineRule="auto"/>
        <w:ind w:firstLine="420" w:firstLineChars="200"/>
        <w:rPr>
          <w:color w:val="000000"/>
          <w:lang w:val="zh-CN"/>
        </w:rPr>
      </w:pPr>
      <w:r>
        <w:rPr>
          <w:rFonts w:hint="eastAsia"/>
          <w:color w:val="000000"/>
          <w:lang w:val="zh-CN"/>
        </w:rPr>
        <w:t>第二期付款：</w:t>
      </w:r>
      <w:r>
        <w:rPr>
          <w:rFonts w:hint="eastAsia"/>
          <w:color w:val="000000"/>
        </w:rPr>
        <w:t>合同签订后40天内完成所有设备的到货；设备清点验货后10日内</w:t>
      </w:r>
      <w:r>
        <w:rPr>
          <w:rFonts w:hint="eastAsia"/>
          <w:color w:val="000000"/>
          <w:lang w:val="zh-CN"/>
        </w:rPr>
        <w:t>完成安装调试、系统集成</w:t>
      </w:r>
      <w:r>
        <w:rPr>
          <w:rFonts w:hint="eastAsia"/>
          <w:color w:val="000000"/>
        </w:rPr>
        <w:t>，初验合格后进入试运行；</w:t>
      </w:r>
      <w:r>
        <w:rPr>
          <w:rFonts w:hint="eastAsia"/>
          <w:color w:val="000000"/>
          <w:lang w:val="zh-CN"/>
        </w:rPr>
        <w:t>并出具初步验收报告后10个工作日内，支付合同额的40%，计人民币</w:t>
      </w:r>
      <w:r>
        <w:rPr>
          <w:rFonts w:hint="eastAsia"/>
          <w:color w:val="000000"/>
        </w:rPr>
        <w:t xml:space="preserve">      </w:t>
      </w:r>
      <w:r>
        <w:rPr>
          <w:rFonts w:hint="eastAsia"/>
          <w:color w:val="000000"/>
          <w:lang w:val="zh-CN"/>
        </w:rPr>
        <w:t>整（￥）。</w:t>
      </w:r>
    </w:p>
    <w:p>
      <w:pPr>
        <w:spacing w:line="360" w:lineRule="auto"/>
        <w:ind w:firstLine="420" w:firstLineChars="200"/>
        <w:rPr>
          <w:color w:val="000000"/>
          <w:lang w:val="zh-CN"/>
        </w:rPr>
      </w:pPr>
      <w:r>
        <w:rPr>
          <w:rFonts w:hint="eastAsia"/>
          <w:color w:val="000000"/>
          <w:lang w:val="zh-CN"/>
        </w:rPr>
        <w:t>第三期付款：系统投入试运行，培训、系统正常运转1个月后，提交全部报告材料，并通过最终验收，出具项目终验报告后。支付剩余30%货款，计人民币</w:t>
      </w:r>
      <w:r>
        <w:rPr>
          <w:rFonts w:hint="eastAsia"/>
          <w:color w:val="000000"/>
        </w:rPr>
        <w:t xml:space="preserve">    </w:t>
      </w:r>
      <w:r>
        <w:rPr>
          <w:rFonts w:hint="eastAsia"/>
          <w:color w:val="000000"/>
          <w:lang w:val="zh-CN"/>
        </w:rPr>
        <w:t>整（￥）。</w:t>
      </w:r>
    </w:p>
    <w:p>
      <w:pPr>
        <w:spacing w:line="360" w:lineRule="auto"/>
        <w:ind w:firstLine="420" w:firstLineChars="200"/>
        <w:rPr>
          <w:color w:val="000000"/>
          <w:lang w:val="zh-CN"/>
        </w:rPr>
      </w:pPr>
      <w:r>
        <w:rPr>
          <w:rFonts w:hint="eastAsia"/>
          <w:color w:val="000000"/>
          <w:lang w:val="zh-CN"/>
        </w:rPr>
        <w:t>注：以上货款的支付均须提供结算申请报告的增值税发票。</w:t>
      </w:r>
    </w:p>
    <w:p>
      <w:pPr>
        <w:spacing w:line="360" w:lineRule="auto"/>
        <w:ind w:firstLine="422" w:firstLineChars="200"/>
        <w:rPr>
          <w:b/>
          <w:bCs/>
          <w:color w:val="000000"/>
        </w:rPr>
      </w:pPr>
      <w:r>
        <w:rPr>
          <w:rFonts w:hint="eastAsia"/>
          <w:b/>
          <w:bCs/>
          <w:color w:val="000000"/>
        </w:rPr>
        <w:t>8．延期交付与核定损失额</w:t>
      </w:r>
    </w:p>
    <w:p>
      <w:pPr>
        <w:spacing w:line="360" w:lineRule="auto"/>
        <w:ind w:firstLine="420" w:firstLineChars="200"/>
        <w:rPr>
          <w:color w:val="000000"/>
        </w:rPr>
      </w:pPr>
      <w:r>
        <w:rPr>
          <w:rFonts w:hint="eastAsia"/>
          <w:color w:val="000000"/>
        </w:rPr>
        <w:t>如果</w:t>
      </w:r>
      <w:r>
        <w:rPr>
          <w:rFonts w:hint="eastAsia"/>
          <w:color w:val="000000"/>
          <w:lang w:val="zh-CN"/>
        </w:rPr>
        <w:t>乙方</w:t>
      </w:r>
      <w:r>
        <w:rPr>
          <w:rFonts w:hint="eastAsia"/>
          <w:color w:val="000000"/>
        </w:rPr>
        <w:t>在正常情况下未能按合同规定的时间按期交付使用，</w:t>
      </w:r>
      <w:r>
        <w:rPr>
          <w:rFonts w:hint="eastAsia"/>
          <w:color w:val="000000"/>
          <w:lang w:val="zh-CN"/>
        </w:rPr>
        <w:t>乙方</w:t>
      </w:r>
      <w:r>
        <w:rPr>
          <w:rFonts w:hint="eastAsia"/>
          <w:color w:val="000000"/>
        </w:rPr>
        <w:t>应承担相应后果。</w:t>
      </w:r>
      <w:r>
        <w:rPr>
          <w:rFonts w:hint="eastAsia"/>
          <w:color w:val="000000"/>
          <w:lang w:val="zh-CN"/>
        </w:rPr>
        <w:t>乙方应在合同签订后3个工作日内，向甲方缴纳合同总价5％的履约保证金。</w:t>
      </w:r>
      <w:r>
        <w:rPr>
          <w:rFonts w:hint="eastAsia"/>
          <w:color w:val="000000"/>
        </w:rPr>
        <w:t>履约保证金在项目验收合格满质保年限后，5个工作日内无息退还</w:t>
      </w:r>
      <w:r>
        <w:rPr>
          <w:rFonts w:hint="eastAsia"/>
          <w:color w:val="000000"/>
          <w:lang w:val="zh-CN"/>
        </w:rPr>
        <w:t>。如果乙方未能按合同规定履行其义务，甲方有权从履约保证金中取得补偿。</w:t>
      </w:r>
    </w:p>
    <w:p>
      <w:pPr>
        <w:spacing w:line="360" w:lineRule="auto"/>
        <w:ind w:firstLine="422" w:firstLineChars="200"/>
        <w:rPr>
          <w:b/>
          <w:bCs/>
          <w:color w:val="000000"/>
        </w:rPr>
      </w:pPr>
      <w:r>
        <w:rPr>
          <w:rFonts w:hint="eastAsia"/>
          <w:b/>
          <w:bCs/>
          <w:color w:val="000000"/>
        </w:rPr>
        <w:t>9．不可抗力</w:t>
      </w:r>
    </w:p>
    <w:p>
      <w:pPr>
        <w:spacing w:line="360" w:lineRule="auto"/>
        <w:ind w:firstLine="420" w:firstLineChars="200"/>
        <w:jc w:val="left"/>
        <w:rPr>
          <w:color w:val="000000"/>
          <w:lang w:val="zh-CN"/>
        </w:rPr>
      </w:pPr>
      <w:r>
        <w:rPr>
          <w:rFonts w:hint="eastAsia"/>
          <w:color w:val="000000"/>
        </w:rPr>
        <w:t>签约双方任一方由于不可抗力事故的影响而不能执行合同时，履行合同的期限应予以延长。不可抗力事故系指甲乙双方在缔结合同时所不能预见的，并且它的发生及其后果无法避免和无法克服的事故。</w:t>
      </w:r>
    </w:p>
    <w:p>
      <w:pPr>
        <w:spacing w:line="360" w:lineRule="auto"/>
        <w:ind w:firstLine="422" w:firstLineChars="200"/>
        <w:jc w:val="left"/>
        <w:rPr>
          <w:b/>
          <w:bCs/>
          <w:color w:val="000000"/>
          <w:lang w:val="zh-CN"/>
        </w:rPr>
      </w:pPr>
      <w:r>
        <w:rPr>
          <w:rFonts w:hint="eastAsia"/>
          <w:b/>
          <w:bCs/>
          <w:color w:val="000000"/>
          <w:lang w:val="zh-CN"/>
        </w:rPr>
        <w:t>10. 乙方的责任与义务</w:t>
      </w:r>
    </w:p>
    <w:p>
      <w:pPr>
        <w:spacing w:line="360" w:lineRule="auto"/>
        <w:ind w:firstLine="420" w:firstLineChars="200"/>
        <w:jc w:val="left"/>
        <w:rPr>
          <w:color w:val="000000"/>
          <w:lang w:val="zh-CN"/>
        </w:rPr>
      </w:pPr>
      <w:r>
        <w:rPr>
          <w:rFonts w:hint="eastAsia"/>
          <w:color w:val="000000"/>
          <w:lang w:val="zh-CN"/>
        </w:rPr>
        <w:t>10．1根据投标文件的承诺向甲方委派</w:t>
      </w:r>
      <w:r>
        <w:rPr>
          <w:rFonts w:hint="eastAsia"/>
          <w:color w:val="000000"/>
        </w:rPr>
        <w:t>项目负责人、技术负责人</w:t>
      </w:r>
      <w:r>
        <w:rPr>
          <w:rFonts w:hint="eastAsia"/>
          <w:color w:val="000000"/>
          <w:lang w:val="zh-CN"/>
        </w:rPr>
        <w:t>和专业技术人员。</w:t>
      </w:r>
    </w:p>
    <w:p>
      <w:pPr>
        <w:spacing w:line="360" w:lineRule="auto"/>
        <w:ind w:firstLine="420" w:firstLineChars="200"/>
        <w:jc w:val="left"/>
        <w:rPr>
          <w:color w:val="000000"/>
          <w:lang w:val="zh-CN"/>
        </w:rPr>
      </w:pPr>
      <w:r>
        <w:rPr>
          <w:rFonts w:hint="eastAsia"/>
          <w:color w:val="000000"/>
          <w:lang w:val="zh-CN"/>
        </w:rPr>
        <w:t>10．2在履行本合同义务的期间，应运用合理的技能，认真、勤奋的工作。</w:t>
      </w:r>
    </w:p>
    <w:p>
      <w:pPr>
        <w:spacing w:line="360" w:lineRule="auto"/>
        <w:ind w:firstLine="420" w:firstLineChars="200"/>
        <w:jc w:val="left"/>
        <w:rPr>
          <w:color w:val="000000"/>
          <w:lang w:val="zh-CN"/>
        </w:rPr>
      </w:pPr>
      <w:r>
        <w:rPr>
          <w:rFonts w:hint="eastAsia"/>
          <w:color w:val="000000"/>
          <w:lang w:val="zh-CN"/>
        </w:rPr>
        <w:t>10．3在本合同期内或合同终止后，未征得有关方同意，不得泄漏与本项目、本合同有关的技术、资料等，不得以任何形式侵害甲方的知识产权。</w:t>
      </w:r>
    </w:p>
    <w:p>
      <w:pPr>
        <w:spacing w:line="360" w:lineRule="auto"/>
        <w:ind w:firstLine="420" w:firstLineChars="200"/>
        <w:jc w:val="left"/>
        <w:rPr>
          <w:color w:val="000000"/>
          <w:lang w:val="zh-CN"/>
        </w:rPr>
      </w:pPr>
      <w:r>
        <w:rPr>
          <w:rFonts w:hint="eastAsia"/>
          <w:color w:val="000000"/>
          <w:lang w:val="zh-CN"/>
        </w:rPr>
        <w:t>10．4</w:t>
      </w:r>
      <w:r>
        <w:rPr>
          <w:rFonts w:hint="eastAsia"/>
          <w:color w:val="000000"/>
        </w:rPr>
        <w:t>负责本系统项目建设及整体联动，负责处理好与其他项目实施单位的协调。</w:t>
      </w:r>
    </w:p>
    <w:p>
      <w:pPr>
        <w:spacing w:line="360" w:lineRule="auto"/>
        <w:ind w:firstLine="420" w:firstLineChars="200"/>
        <w:rPr>
          <w:color w:val="000000"/>
        </w:rPr>
      </w:pPr>
      <w:r>
        <w:rPr>
          <w:rFonts w:hint="eastAsia"/>
          <w:color w:val="000000"/>
          <w:lang w:val="zh-CN"/>
        </w:rPr>
        <w:t xml:space="preserve">10．5项目建设有关事项包括：项目规划、设计标准、规范和使用功能要求，向甲方的建议权； </w:t>
      </w:r>
    </w:p>
    <w:p>
      <w:pPr>
        <w:spacing w:line="360" w:lineRule="auto"/>
        <w:ind w:firstLine="420" w:firstLineChars="200"/>
        <w:jc w:val="left"/>
        <w:rPr>
          <w:color w:val="000000"/>
          <w:lang w:val="zh-CN"/>
        </w:rPr>
      </w:pPr>
      <w:r>
        <w:rPr>
          <w:rFonts w:hint="eastAsia"/>
          <w:color w:val="000000"/>
          <w:lang w:val="zh-CN"/>
        </w:rPr>
        <w:t>10．6项目设计中的技术问题，按照安全和优化的原则，提出建议，并向甲方提出书面报告。如果由于拟提出的建议会提高项目造价，或延长工期，应当事先取的甲方的同意；</w:t>
      </w:r>
    </w:p>
    <w:p>
      <w:pPr>
        <w:spacing w:line="360" w:lineRule="auto"/>
        <w:ind w:firstLine="420" w:firstLineChars="200"/>
        <w:jc w:val="left"/>
        <w:rPr>
          <w:color w:val="000000"/>
          <w:lang w:val="zh-CN"/>
        </w:rPr>
      </w:pPr>
      <w:r>
        <w:rPr>
          <w:rFonts w:hint="eastAsia"/>
          <w:color w:val="000000"/>
          <w:lang w:val="zh-CN"/>
        </w:rPr>
        <w:t>10．7项目实施组织设计和技术方案，按照保质量、保工期和降低成本的原则，向甲方提出书面报告。如果由于拟提出的建议会提高项目造价，或延长工期，应当事先取得甲方的同意。</w:t>
      </w:r>
    </w:p>
    <w:p>
      <w:pPr>
        <w:spacing w:line="360" w:lineRule="auto"/>
        <w:ind w:firstLine="422" w:firstLineChars="200"/>
        <w:jc w:val="left"/>
        <w:rPr>
          <w:b/>
          <w:bCs/>
          <w:color w:val="000000"/>
          <w:lang w:val="zh-CN"/>
        </w:rPr>
      </w:pPr>
      <w:r>
        <w:rPr>
          <w:rFonts w:hint="eastAsia"/>
          <w:b/>
          <w:bCs/>
          <w:color w:val="000000"/>
          <w:lang w:val="zh-CN"/>
        </w:rPr>
        <w:t>11. 甲方的责任与义务</w:t>
      </w:r>
    </w:p>
    <w:p>
      <w:pPr>
        <w:spacing w:line="360" w:lineRule="auto"/>
        <w:ind w:firstLine="420" w:firstLineChars="200"/>
        <w:jc w:val="left"/>
        <w:rPr>
          <w:color w:val="000000"/>
          <w:lang w:val="zh-CN"/>
        </w:rPr>
      </w:pPr>
      <w:r>
        <w:rPr>
          <w:rFonts w:hint="eastAsia"/>
          <w:color w:val="000000"/>
          <w:lang w:val="zh-CN"/>
        </w:rPr>
        <w:t>11．1甲方应当主要负责项目建设的所有外部关系的联系与协调，为乙方工作提供良好的外部条件。</w:t>
      </w:r>
    </w:p>
    <w:p>
      <w:pPr>
        <w:spacing w:line="360" w:lineRule="auto"/>
        <w:ind w:firstLine="420" w:firstLineChars="200"/>
        <w:jc w:val="left"/>
        <w:rPr>
          <w:color w:val="000000"/>
          <w:lang w:val="zh-CN"/>
        </w:rPr>
      </w:pPr>
      <w:r>
        <w:rPr>
          <w:rFonts w:hint="eastAsia"/>
          <w:color w:val="000000"/>
          <w:lang w:val="zh-CN"/>
        </w:rPr>
        <w:t>11．2 甲方应当按合同专用条款双方约定的内容和时间，向乙方提供与项目建设有关的项目等资料。</w:t>
      </w:r>
    </w:p>
    <w:p>
      <w:pPr>
        <w:spacing w:line="360" w:lineRule="auto"/>
        <w:ind w:firstLine="420" w:firstLineChars="200"/>
        <w:jc w:val="left"/>
        <w:rPr>
          <w:color w:val="000000"/>
          <w:lang w:val="zh-CN"/>
        </w:rPr>
      </w:pPr>
      <w:r>
        <w:rPr>
          <w:rFonts w:hint="eastAsia"/>
          <w:color w:val="000000"/>
          <w:lang w:val="zh-CN"/>
        </w:rPr>
        <w:t>11．3 甲方应当按合同专用条款约定的时间就乙方书面提交并要求做出决定的一切事宜做出书面决定。逾期应视为甲方同意。</w:t>
      </w:r>
    </w:p>
    <w:p>
      <w:pPr>
        <w:spacing w:line="360" w:lineRule="auto"/>
        <w:ind w:firstLine="420" w:firstLineChars="200"/>
        <w:rPr>
          <w:color w:val="000000"/>
          <w:lang w:val="zh-CN"/>
        </w:rPr>
      </w:pPr>
      <w:r>
        <w:rPr>
          <w:rFonts w:hint="eastAsia"/>
          <w:color w:val="000000"/>
          <w:lang w:val="zh-CN"/>
        </w:rPr>
        <w:t>11．4 甲方应授权一名熟悉本项目情况、能迅速做出决定的项目代表，负责与乙方联系。更换代表，要提前通知乙方。</w:t>
      </w:r>
    </w:p>
    <w:p>
      <w:pPr>
        <w:spacing w:line="360" w:lineRule="auto"/>
        <w:ind w:firstLine="420" w:firstLineChars="200"/>
        <w:jc w:val="left"/>
        <w:rPr>
          <w:color w:val="000000"/>
          <w:lang w:val="zh-CN"/>
        </w:rPr>
      </w:pPr>
      <w:r>
        <w:rPr>
          <w:rFonts w:hint="eastAsia"/>
          <w:color w:val="000000"/>
          <w:lang w:val="zh-CN"/>
        </w:rPr>
        <w:t>11．5 甲方有与乙方订立补充合同的签订权。</w:t>
      </w:r>
    </w:p>
    <w:p>
      <w:pPr>
        <w:spacing w:line="360" w:lineRule="auto"/>
        <w:ind w:firstLine="420" w:firstLineChars="200"/>
        <w:jc w:val="left"/>
        <w:rPr>
          <w:color w:val="000000"/>
          <w:lang w:val="zh-CN"/>
        </w:rPr>
      </w:pPr>
      <w:r>
        <w:rPr>
          <w:rFonts w:hint="eastAsia"/>
          <w:color w:val="000000"/>
          <w:lang w:val="zh-CN"/>
        </w:rPr>
        <w:t>11．6 甲方有对项目规模、设计标准、规范和设计使用功能要求的认定权，以及对项目建设、设计变更的审批权。</w:t>
      </w:r>
    </w:p>
    <w:p>
      <w:pPr>
        <w:spacing w:line="360" w:lineRule="auto"/>
        <w:ind w:firstLine="420" w:firstLineChars="200"/>
        <w:jc w:val="left"/>
        <w:rPr>
          <w:color w:val="000000"/>
          <w:lang w:val="zh-CN"/>
        </w:rPr>
      </w:pPr>
      <w:r>
        <w:rPr>
          <w:rFonts w:hint="eastAsia"/>
          <w:color w:val="000000"/>
          <w:lang w:val="zh-CN"/>
        </w:rPr>
        <w:t>11．7 甲方有权要求乙方提交工作月度报告及专项报告等。</w:t>
      </w:r>
    </w:p>
    <w:p>
      <w:pPr>
        <w:spacing w:line="360" w:lineRule="auto"/>
        <w:ind w:firstLine="422" w:firstLineChars="200"/>
        <w:jc w:val="left"/>
        <w:rPr>
          <w:b/>
          <w:bCs/>
          <w:color w:val="000000"/>
          <w:lang w:val="zh-CN"/>
        </w:rPr>
      </w:pPr>
      <w:r>
        <w:rPr>
          <w:rFonts w:hint="eastAsia"/>
          <w:b/>
          <w:bCs/>
          <w:color w:val="000000"/>
          <w:lang w:val="zh-CN"/>
        </w:rPr>
        <w:t>12. 合同生效、变更和终止</w:t>
      </w:r>
    </w:p>
    <w:p>
      <w:pPr>
        <w:spacing w:line="360" w:lineRule="auto"/>
        <w:ind w:firstLine="420" w:firstLineChars="200"/>
        <w:jc w:val="left"/>
        <w:rPr>
          <w:color w:val="000000"/>
          <w:lang w:val="zh-CN"/>
        </w:rPr>
      </w:pPr>
      <w:r>
        <w:rPr>
          <w:rFonts w:hint="eastAsia"/>
          <w:color w:val="000000"/>
          <w:lang w:val="zh-CN"/>
        </w:rPr>
        <w:t xml:space="preserve">12．1 </w:t>
      </w:r>
      <w:r>
        <w:rPr>
          <w:rFonts w:hint="eastAsia"/>
          <w:color w:val="000000"/>
        </w:rPr>
        <w:t>本合同经甲乙双方法定代表人或其委托人签字盖章，由乙方向甲方缴纳合同总价5%履约保证金</w:t>
      </w:r>
      <w:r>
        <w:rPr>
          <w:rFonts w:hint="eastAsia"/>
          <w:color w:val="000000"/>
          <w:lang w:val="zh-CN"/>
        </w:rPr>
        <w:t>后生效，至合同期止。</w:t>
      </w:r>
    </w:p>
    <w:p>
      <w:pPr>
        <w:spacing w:line="360" w:lineRule="auto"/>
        <w:ind w:firstLine="420" w:firstLineChars="200"/>
        <w:jc w:val="left"/>
        <w:rPr>
          <w:color w:val="000000"/>
          <w:lang w:val="zh-CN"/>
        </w:rPr>
      </w:pPr>
      <w:r>
        <w:rPr>
          <w:rFonts w:hint="eastAsia"/>
          <w:color w:val="000000"/>
          <w:lang w:val="zh-CN"/>
        </w:rPr>
        <w:t>12．2 在乙方的责任期即合同的有效期内，如因</w:t>
      </w:r>
      <w:r>
        <w:rPr>
          <w:rFonts w:hint="eastAsia"/>
          <w:color w:val="000000"/>
        </w:rPr>
        <w:t>甲方</w:t>
      </w:r>
      <w:r>
        <w:rPr>
          <w:rFonts w:hint="eastAsia"/>
          <w:color w:val="000000"/>
          <w:lang w:val="zh-CN"/>
        </w:rPr>
        <w:t>的原因，导致项目建设进度的推迟或延误而超过约定的日期，</w:t>
      </w:r>
      <w:r>
        <w:rPr>
          <w:rFonts w:hint="eastAsia"/>
          <w:color w:val="000000"/>
        </w:rPr>
        <w:t>甲乙</w:t>
      </w:r>
      <w:r>
        <w:rPr>
          <w:rFonts w:hint="eastAsia"/>
          <w:color w:val="000000"/>
          <w:lang w:val="zh-CN"/>
        </w:rPr>
        <w:t>双方应协商，重新约定相应延长的合同期。因乙方的责任，导致项目建设进度的推迟或延误而超过约定的日期按违约责任处罚。</w:t>
      </w:r>
    </w:p>
    <w:p>
      <w:pPr>
        <w:spacing w:line="360" w:lineRule="auto"/>
        <w:ind w:firstLine="420" w:firstLineChars="200"/>
        <w:jc w:val="left"/>
        <w:rPr>
          <w:color w:val="000000"/>
          <w:lang w:val="zh-CN"/>
        </w:rPr>
      </w:pPr>
      <w:r>
        <w:rPr>
          <w:rFonts w:hint="eastAsia"/>
          <w:color w:val="000000"/>
          <w:lang w:val="zh-CN"/>
        </w:rPr>
        <w:t>12．3 在合同签订后，因项目需求发生重大变化，使得乙方不能按原计划全部或部分执行项目时，乙方应当立即通知甲方。该项目的完成时间是否延长或当恢复执行项目时，是否需增加时间用于恢复执行，由双方协商确定。</w:t>
      </w:r>
    </w:p>
    <w:p>
      <w:pPr>
        <w:spacing w:line="360" w:lineRule="auto"/>
        <w:ind w:firstLine="420" w:firstLineChars="200"/>
        <w:jc w:val="left"/>
        <w:rPr>
          <w:color w:val="000000"/>
          <w:lang w:val="zh-CN"/>
        </w:rPr>
      </w:pPr>
      <w:r>
        <w:rPr>
          <w:rFonts w:hint="eastAsia"/>
          <w:color w:val="000000"/>
          <w:lang w:val="zh-CN"/>
        </w:rPr>
        <w:t>12．4 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pPr>
        <w:spacing w:line="360" w:lineRule="auto"/>
        <w:ind w:firstLine="422" w:firstLineChars="200"/>
        <w:jc w:val="left"/>
        <w:rPr>
          <w:b/>
          <w:bCs/>
          <w:color w:val="000000"/>
          <w:lang w:val="zh-CN"/>
        </w:rPr>
      </w:pPr>
      <w:r>
        <w:rPr>
          <w:rFonts w:hint="eastAsia"/>
          <w:b/>
          <w:bCs/>
          <w:color w:val="000000"/>
          <w:lang w:val="zh-CN"/>
        </w:rPr>
        <w:t>13. 违约责任</w:t>
      </w:r>
    </w:p>
    <w:p>
      <w:pPr>
        <w:spacing w:line="360" w:lineRule="auto"/>
        <w:ind w:firstLine="420" w:firstLineChars="200"/>
        <w:jc w:val="left"/>
        <w:rPr>
          <w:color w:val="000000"/>
          <w:lang w:val="zh-CN"/>
        </w:rPr>
      </w:pPr>
      <w:r>
        <w:rPr>
          <w:rFonts w:hint="eastAsia"/>
          <w:color w:val="000000"/>
        </w:rPr>
        <w:t>13.1 甲</w:t>
      </w:r>
      <w:r>
        <w:rPr>
          <w:rFonts w:hint="eastAsia"/>
          <w:color w:val="000000"/>
          <w:lang w:val="zh-CN"/>
        </w:rPr>
        <w:t>方应当履行合同约定的义务，如有违反，须承担相应的违约责任。</w:t>
      </w:r>
    </w:p>
    <w:p>
      <w:pPr>
        <w:spacing w:line="360" w:lineRule="auto"/>
        <w:ind w:firstLine="420" w:firstLineChars="200"/>
        <w:rPr>
          <w:color w:val="000000"/>
        </w:rPr>
      </w:pPr>
      <w:r>
        <w:rPr>
          <w:rFonts w:hint="eastAsia"/>
          <w:color w:val="000000"/>
          <w:lang w:val="zh-CN"/>
        </w:rPr>
        <w:t xml:space="preserve">13.2 </w:t>
      </w:r>
      <w:r>
        <w:rPr>
          <w:rFonts w:hint="eastAsia"/>
          <w:color w:val="000000"/>
        </w:rPr>
        <w:t>乙方必须在整个项目安装调试全部完成后半个月内，会同甲方及有关部门共同按有关规范验收，如因项目实施质量问题，不能按期验收或验收不合格，乙方应负责返工所造成的经济损失。由此而造成推迟交付的时间按超期天数计算，每超过一天乙方按本项目总价款的1‰赔偿甲方的经济损失。如因甲方原因造成不能按期完工，工期相应顺延。</w:t>
      </w:r>
    </w:p>
    <w:p>
      <w:pPr>
        <w:spacing w:line="360" w:lineRule="auto"/>
        <w:ind w:firstLine="420" w:firstLineChars="200"/>
        <w:rPr>
          <w:color w:val="000000"/>
          <w:lang w:val="zh-CN"/>
        </w:rPr>
      </w:pPr>
      <w:r>
        <w:rPr>
          <w:rFonts w:hint="eastAsia"/>
          <w:color w:val="000000"/>
        </w:rPr>
        <w:t>13.3 如</w:t>
      </w:r>
      <w:r>
        <w:rPr>
          <w:rFonts w:hint="eastAsia"/>
          <w:color w:val="000000"/>
          <w:lang w:val="zh-CN"/>
        </w:rPr>
        <w:t>在合同规定的工期内，达不到项目规定的技术指标，乙方应当承担违约责任。承担方式和违约金额如下：超期30天内，每天扣合同金额的0.5‰；累计超期30天，甲方有权终止执行合同，并没收履约保证金，同时乙方须无条件退还甲方所有已支付的款项，所退款项</w:t>
      </w:r>
      <w:r>
        <w:rPr>
          <w:rFonts w:hint="eastAsia"/>
          <w:color w:val="000000"/>
        </w:rPr>
        <w:t>每超过一天，乙方按须本项目总价款的1‰赔偿甲方的经济损失。</w:t>
      </w:r>
    </w:p>
    <w:p>
      <w:pPr>
        <w:spacing w:line="360" w:lineRule="auto"/>
        <w:ind w:firstLine="420" w:firstLineChars="200"/>
        <w:rPr>
          <w:color w:val="000000"/>
        </w:rPr>
      </w:pPr>
      <w:r>
        <w:rPr>
          <w:rFonts w:hint="eastAsia"/>
          <w:color w:val="000000"/>
          <w:lang w:val="zh-CN"/>
        </w:rPr>
        <w:t>13.4 如因乙方原因达不到合格等级的，则必须无条件返工至合格，并全额没收履约保证金。</w:t>
      </w:r>
    </w:p>
    <w:p>
      <w:pPr>
        <w:spacing w:line="360" w:lineRule="auto"/>
        <w:ind w:firstLine="420" w:firstLineChars="200"/>
        <w:rPr>
          <w:color w:val="000000"/>
        </w:rPr>
      </w:pPr>
      <w:r>
        <w:rPr>
          <w:rFonts w:hint="eastAsia"/>
          <w:color w:val="000000"/>
        </w:rPr>
        <w:t>13.5 未经甲方同意，乙方不得在任何时期擅自更换投标文件中规定的项目负责人和技术负责人，同时必须确保项目技术人员的数量和水平与投标文件一致，否则甲方有权放弃或终止合同，并没收投标保证金或履约保证金。</w:t>
      </w:r>
    </w:p>
    <w:p>
      <w:pPr>
        <w:spacing w:line="360" w:lineRule="auto"/>
        <w:ind w:firstLine="420" w:firstLineChars="200"/>
        <w:rPr>
          <w:color w:val="000000"/>
        </w:rPr>
      </w:pPr>
      <w:r>
        <w:rPr>
          <w:rFonts w:hint="eastAsia"/>
          <w:color w:val="000000"/>
        </w:rPr>
        <w:t>13.6 因乙方原因造成甲方其他系统不能正常运行，酿成重大事故（正常工作日系统中断一天或一天以上）的，将承担全部法律责任，并赔偿经济损失，赔偿金额为项目总价的50%。</w:t>
      </w:r>
    </w:p>
    <w:p>
      <w:pPr>
        <w:spacing w:line="360" w:lineRule="auto"/>
        <w:ind w:firstLine="420" w:firstLineChars="200"/>
        <w:jc w:val="left"/>
        <w:rPr>
          <w:color w:val="000000"/>
          <w:lang w:val="zh-CN"/>
        </w:rPr>
      </w:pPr>
      <w:r>
        <w:rPr>
          <w:rFonts w:hint="eastAsia"/>
          <w:color w:val="000000"/>
        </w:rPr>
        <w:t xml:space="preserve">13.7 </w:t>
      </w:r>
      <w:r>
        <w:rPr>
          <w:rFonts w:hint="eastAsia"/>
          <w:color w:val="000000"/>
          <w:lang w:val="zh-CN"/>
        </w:rPr>
        <w:t>履行本合同的过程中，确因在现有水平和条件下难以克服的技术困难，导致部分或全部失败所造成的损失，风险责任由乙方全部承担。</w:t>
      </w:r>
    </w:p>
    <w:p>
      <w:pPr>
        <w:spacing w:line="360" w:lineRule="auto"/>
        <w:ind w:firstLine="420" w:firstLineChars="200"/>
        <w:jc w:val="left"/>
        <w:rPr>
          <w:color w:val="000000"/>
          <w:lang w:val="zh-CN"/>
        </w:rPr>
      </w:pPr>
      <w:r>
        <w:rPr>
          <w:rFonts w:hint="eastAsia"/>
          <w:color w:val="000000"/>
        </w:rPr>
        <w:t xml:space="preserve">13.8 </w:t>
      </w:r>
      <w:r>
        <w:rPr>
          <w:rFonts w:hint="eastAsia"/>
          <w:color w:val="000000"/>
          <w:lang w:val="zh-CN"/>
        </w:rPr>
        <w:t>因不可抗力导致合同不能全部或部分履行，</w:t>
      </w:r>
      <w:r>
        <w:rPr>
          <w:rFonts w:hint="eastAsia"/>
          <w:color w:val="000000"/>
        </w:rPr>
        <w:t>甲、</w:t>
      </w:r>
      <w:r>
        <w:rPr>
          <w:rFonts w:hint="eastAsia"/>
          <w:color w:val="000000"/>
          <w:lang w:val="zh-CN"/>
        </w:rPr>
        <w:t>乙双方协商解决。</w:t>
      </w:r>
    </w:p>
    <w:p>
      <w:pPr>
        <w:spacing w:line="360" w:lineRule="auto"/>
        <w:ind w:firstLine="420" w:firstLineChars="200"/>
        <w:jc w:val="left"/>
        <w:rPr>
          <w:color w:val="000000"/>
          <w:lang w:val="zh-CN"/>
        </w:rPr>
      </w:pPr>
      <w:r>
        <w:rPr>
          <w:rFonts w:hint="eastAsia"/>
          <w:color w:val="000000"/>
          <w:lang w:val="zh-CN"/>
        </w:rPr>
        <w:t xml:space="preserve">13.9 其他约定：                                                    </w:t>
      </w:r>
    </w:p>
    <w:p>
      <w:pPr>
        <w:spacing w:line="360" w:lineRule="auto"/>
        <w:ind w:firstLine="422" w:firstLineChars="200"/>
        <w:jc w:val="left"/>
        <w:rPr>
          <w:b/>
          <w:bCs/>
          <w:color w:val="000000"/>
          <w:lang w:val="zh-CN"/>
        </w:rPr>
      </w:pPr>
      <w:r>
        <w:rPr>
          <w:rFonts w:hint="eastAsia"/>
          <w:b/>
          <w:bCs/>
          <w:color w:val="000000"/>
          <w:lang w:val="zh-CN"/>
        </w:rPr>
        <w:t>14．项目质量</w:t>
      </w:r>
    </w:p>
    <w:p>
      <w:pPr>
        <w:spacing w:line="360" w:lineRule="auto"/>
        <w:ind w:firstLine="420" w:firstLineChars="200"/>
        <w:jc w:val="left"/>
        <w:rPr>
          <w:color w:val="000000"/>
          <w:lang w:val="zh-CN"/>
        </w:rPr>
      </w:pPr>
      <w:r>
        <w:rPr>
          <w:rFonts w:hint="eastAsia"/>
          <w:color w:val="000000"/>
          <w:lang w:val="zh-CN"/>
        </w:rPr>
        <w:t>14.1 乙方保证按ISO9000系列标准或相应的质量管理和质量保证体系，对项目实施、调试、检测等各个环节进行严格的质量和质量控制。</w:t>
      </w:r>
    </w:p>
    <w:p>
      <w:pPr>
        <w:spacing w:line="360" w:lineRule="auto"/>
        <w:ind w:firstLine="420" w:firstLineChars="200"/>
        <w:jc w:val="left"/>
        <w:rPr>
          <w:color w:val="000000"/>
          <w:lang w:val="zh-CN"/>
        </w:rPr>
      </w:pPr>
      <w:r>
        <w:rPr>
          <w:rFonts w:hint="eastAsia"/>
          <w:color w:val="000000"/>
          <w:lang w:val="zh-CN"/>
        </w:rPr>
        <w:t>14.2 乙方须严格按设计方案和国家现行项目实施验收规范有关规定，精心组织实施、记录、检测。</w:t>
      </w:r>
    </w:p>
    <w:p>
      <w:pPr>
        <w:spacing w:line="360" w:lineRule="auto"/>
        <w:ind w:firstLine="420" w:firstLineChars="200"/>
        <w:jc w:val="left"/>
        <w:rPr>
          <w:color w:val="000000"/>
          <w:lang w:val="zh-CN"/>
        </w:rPr>
      </w:pPr>
      <w:r>
        <w:rPr>
          <w:rFonts w:hint="eastAsia"/>
          <w:color w:val="000000"/>
          <w:lang w:val="zh-CN"/>
        </w:rPr>
        <w:t>14.3 项目的质量、技术标准如在招标文件和投标文件中无相应说明，则按中华人民共和国有关部门颁布的最新的国家或专业（部）标准或相应的国际标准执行。没有国家或专业（部）标准的，按企业标准执行。</w:t>
      </w:r>
    </w:p>
    <w:p>
      <w:pPr>
        <w:spacing w:line="360" w:lineRule="auto"/>
        <w:ind w:firstLine="420" w:firstLineChars="200"/>
        <w:jc w:val="left"/>
        <w:rPr>
          <w:color w:val="000000"/>
          <w:lang w:val="zh-CN"/>
        </w:rPr>
      </w:pPr>
      <w:r>
        <w:rPr>
          <w:rFonts w:hint="eastAsia"/>
          <w:color w:val="000000"/>
          <w:lang w:val="zh-CN"/>
        </w:rPr>
        <w:t>14.4 项目竣工验收：应按设计方案、技术交底、会审纪要、设计变更通知单、国家和（部）颁发的有关规范和质量检验评定标准、相关的国际标准为依据，并有相关专业测试单位出具相应的测验结论报告。</w:t>
      </w:r>
    </w:p>
    <w:p>
      <w:pPr>
        <w:spacing w:line="360" w:lineRule="auto"/>
        <w:ind w:firstLine="420" w:firstLineChars="200"/>
        <w:jc w:val="left"/>
        <w:rPr>
          <w:color w:val="000000"/>
          <w:lang w:val="zh-CN"/>
        </w:rPr>
      </w:pPr>
      <w:r>
        <w:rPr>
          <w:rFonts w:hint="eastAsia"/>
          <w:color w:val="000000"/>
          <w:lang w:val="zh-CN"/>
        </w:rPr>
        <w:t>14.5 项目实施过程中应严格做好安全防范措施，如乙方项目实施人员在实施中违反操作规定造成人员伤亡事故或实施现场防范措施设置不明造成人员伤害事故，一切责任均由乙方负责。</w:t>
      </w:r>
    </w:p>
    <w:p>
      <w:pPr>
        <w:spacing w:line="360" w:lineRule="auto"/>
        <w:ind w:firstLine="422" w:firstLineChars="200"/>
        <w:jc w:val="left"/>
        <w:rPr>
          <w:b/>
          <w:bCs/>
          <w:color w:val="000000"/>
          <w:lang w:val="zh-CN"/>
        </w:rPr>
      </w:pPr>
      <w:r>
        <w:rPr>
          <w:rFonts w:hint="eastAsia"/>
          <w:b/>
          <w:bCs/>
          <w:color w:val="000000"/>
          <w:lang w:val="zh-CN"/>
        </w:rPr>
        <w:t>15. 争议处理</w:t>
      </w:r>
    </w:p>
    <w:p>
      <w:pPr>
        <w:spacing w:line="360" w:lineRule="auto"/>
        <w:ind w:firstLine="420" w:firstLineChars="200"/>
        <w:jc w:val="left"/>
        <w:rPr>
          <w:color w:val="000000"/>
          <w:lang w:val="zh-CN"/>
        </w:rPr>
      </w:pPr>
      <w:r>
        <w:rPr>
          <w:rFonts w:hint="eastAsia"/>
          <w:color w:val="000000"/>
          <w:lang w:val="zh-CN"/>
        </w:rPr>
        <w:t>15.1 合同在履行过程中发生争议时，甲方与乙方及时协商解决。协商不成时，提请杭州仲裁委员会根据仲裁规则仲裁。</w:t>
      </w:r>
    </w:p>
    <w:p>
      <w:pPr>
        <w:spacing w:line="360" w:lineRule="auto"/>
        <w:ind w:firstLine="420" w:firstLineChars="200"/>
        <w:jc w:val="left"/>
        <w:rPr>
          <w:color w:val="000000"/>
          <w:lang w:val="zh-CN"/>
        </w:rPr>
      </w:pPr>
      <w:r>
        <w:rPr>
          <w:rFonts w:hint="eastAsia"/>
          <w:color w:val="000000"/>
          <w:lang w:val="zh-CN"/>
        </w:rPr>
        <w:t>15.2 对于因违反或终止合同而引起的损失、损害的赔偿，由甲方与乙方友好协商</w:t>
      </w:r>
    </w:p>
    <w:p>
      <w:pPr>
        <w:spacing w:line="360" w:lineRule="auto"/>
        <w:ind w:firstLine="420" w:firstLineChars="200"/>
        <w:jc w:val="left"/>
        <w:rPr>
          <w:color w:val="000000"/>
          <w:lang w:val="zh-CN"/>
        </w:rPr>
      </w:pPr>
      <w:r>
        <w:rPr>
          <w:rFonts w:hint="eastAsia"/>
          <w:color w:val="000000"/>
          <w:lang w:val="zh-CN"/>
        </w:rPr>
        <w:t>解决，经协商仍未能达成一致的，提交杭州仲裁委员会仲裁。</w:t>
      </w:r>
    </w:p>
    <w:p>
      <w:pPr>
        <w:spacing w:line="360" w:lineRule="auto"/>
        <w:ind w:firstLine="422" w:firstLineChars="200"/>
        <w:jc w:val="left"/>
        <w:rPr>
          <w:b/>
          <w:bCs/>
          <w:color w:val="000000"/>
          <w:lang w:val="zh-CN"/>
        </w:rPr>
      </w:pPr>
      <w:r>
        <w:rPr>
          <w:rFonts w:hint="eastAsia"/>
          <w:b/>
          <w:bCs/>
          <w:color w:val="000000"/>
          <w:lang w:val="zh-CN"/>
        </w:rPr>
        <w:t>16. 其他</w:t>
      </w:r>
    </w:p>
    <w:p>
      <w:pPr>
        <w:spacing w:line="360" w:lineRule="auto"/>
        <w:ind w:firstLine="420" w:firstLineChars="200"/>
        <w:jc w:val="left"/>
        <w:rPr>
          <w:color w:val="000000"/>
          <w:lang w:val="zh-CN"/>
        </w:rPr>
      </w:pPr>
      <w:r>
        <w:rPr>
          <w:rFonts w:hint="eastAsia"/>
          <w:color w:val="000000"/>
          <w:lang w:val="zh-CN"/>
        </w:rPr>
        <w:t>16.1未经过甲方的书面同意，乙方不得转让其应履行的合同项下的义务，和将部分合同项下的义务分包给其他单位完成。</w:t>
      </w:r>
    </w:p>
    <w:p>
      <w:pPr>
        <w:spacing w:line="360" w:lineRule="auto"/>
        <w:ind w:firstLine="420" w:firstLineChars="200"/>
        <w:jc w:val="left"/>
        <w:rPr>
          <w:color w:val="000000"/>
          <w:lang w:val="zh-CN"/>
        </w:rPr>
      </w:pPr>
      <w:r>
        <w:rPr>
          <w:rFonts w:hint="eastAsia"/>
          <w:color w:val="000000"/>
          <w:lang w:val="zh-CN"/>
        </w:rPr>
        <w:t>16.2乙方不得参与可能与合同规定的与甲方的利益相冲突的任何活动。</w:t>
      </w:r>
    </w:p>
    <w:p>
      <w:pPr>
        <w:spacing w:line="360" w:lineRule="auto"/>
        <w:ind w:firstLine="420" w:firstLineChars="200"/>
        <w:jc w:val="left"/>
        <w:rPr>
          <w:color w:val="000000"/>
          <w:lang w:val="zh-CN"/>
        </w:rPr>
      </w:pPr>
      <w:r>
        <w:rPr>
          <w:rFonts w:hint="eastAsia"/>
          <w:color w:val="000000"/>
          <w:lang w:val="zh-CN"/>
        </w:rPr>
        <w:t>16.3 乙方人员在甲方场地工作时，应遵守甲方相关规章、制度。</w:t>
      </w:r>
    </w:p>
    <w:p>
      <w:pPr>
        <w:spacing w:line="360" w:lineRule="auto"/>
        <w:ind w:firstLine="420" w:firstLineChars="200"/>
        <w:jc w:val="left"/>
        <w:rPr>
          <w:color w:val="000000"/>
        </w:rPr>
      </w:pPr>
      <w:r>
        <w:rPr>
          <w:rFonts w:hint="eastAsia"/>
          <w:color w:val="000000"/>
          <w:lang w:val="zh-CN"/>
        </w:rPr>
        <w:t xml:space="preserve">16.4 </w:t>
      </w:r>
      <w:r>
        <w:rPr>
          <w:rFonts w:hint="eastAsia"/>
          <w:color w:val="000000"/>
        </w:rPr>
        <w:t>本合同任何一方给另一方的通知，都应以书面或电传/传真/电报的形式发送，而另一方应以书面形式确认并发送到对方明确的地址。</w:t>
      </w:r>
    </w:p>
    <w:p>
      <w:pPr>
        <w:spacing w:line="360" w:lineRule="auto"/>
        <w:ind w:firstLine="420" w:firstLineChars="200"/>
        <w:jc w:val="left"/>
        <w:rPr>
          <w:color w:val="000000"/>
        </w:rPr>
      </w:pPr>
      <w:r>
        <w:rPr>
          <w:rFonts w:hint="eastAsia"/>
          <w:color w:val="000000"/>
          <w:lang w:val="zh-CN"/>
        </w:rPr>
        <w:t xml:space="preserve">16.5 </w:t>
      </w:r>
      <w:r>
        <w:rPr>
          <w:rFonts w:hint="eastAsia"/>
          <w:color w:val="000000"/>
        </w:rPr>
        <w:t>合同履行期内甲乙双方均不得随意变更或解除合同。合同若有未尽事宜，需经双方共同协商，订立补充协议，补充协议与本合同有同等法律效力。</w:t>
      </w:r>
    </w:p>
    <w:p>
      <w:pPr>
        <w:tabs>
          <w:tab w:val="left" w:pos="3045"/>
        </w:tabs>
        <w:spacing w:line="360" w:lineRule="auto"/>
        <w:ind w:firstLine="420" w:firstLineChars="200"/>
        <w:jc w:val="left"/>
        <w:rPr>
          <w:color w:val="000000"/>
        </w:rPr>
      </w:pPr>
      <w:r>
        <w:rPr>
          <w:rFonts w:hint="eastAsia"/>
          <w:color w:val="000000"/>
          <w:lang w:val="zh-CN"/>
        </w:rPr>
        <w:t xml:space="preserve">16.6 </w:t>
      </w:r>
      <w:r>
        <w:rPr>
          <w:rFonts w:hint="eastAsia"/>
          <w:color w:val="000000"/>
        </w:rPr>
        <w:t>招标文件【编号：DDZX2020-GK-】、投标文件及评标过程中形成的文字资料、询标纪要均作为本合同的组成部分，具有同等效力。</w:t>
      </w:r>
    </w:p>
    <w:p>
      <w:pPr>
        <w:spacing w:line="360" w:lineRule="auto"/>
        <w:ind w:firstLine="420" w:firstLineChars="200"/>
        <w:jc w:val="left"/>
        <w:rPr>
          <w:color w:val="000000"/>
        </w:rPr>
      </w:pPr>
      <w:r>
        <w:rPr>
          <w:rFonts w:hint="eastAsia"/>
          <w:color w:val="000000"/>
          <w:lang w:val="zh-CN"/>
        </w:rPr>
        <w:t xml:space="preserve">16.7 </w:t>
      </w:r>
      <w:r>
        <w:rPr>
          <w:rFonts w:hint="eastAsia"/>
          <w:color w:val="000000"/>
        </w:rPr>
        <w:t>本合同一式   份，甲方执   份，乙方执   份。</w:t>
      </w:r>
    </w:p>
    <w:p>
      <w:pPr>
        <w:spacing w:line="360" w:lineRule="auto"/>
        <w:ind w:firstLine="420" w:firstLineChars="200"/>
        <w:jc w:val="left"/>
        <w:rPr>
          <w:color w:val="000000"/>
        </w:rPr>
      </w:pPr>
      <w:r>
        <w:rPr>
          <w:rFonts w:hint="eastAsia"/>
          <w:color w:val="000000"/>
        </w:rPr>
        <w:t>16.8 本合同有效期限：自合同生效之日起至     年    月    日止。</w:t>
      </w:r>
    </w:p>
    <w:p>
      <w:pPr>
        <w:spacing w:line="360" w:lineRule="auto"/>
        <w:ind w:firstLine="420" w:firstLineChars="200"/>
        <w:rPr>
          <w:color w:val="000000"/>
          <w:lang w:val="zh-CN"/>
        </w:rPr>
      </w:pPr>
      <w:r>
        <w:rPr>
          <w:rFonts w:hint="eastAsia"/>
          <w:color w:val="000000"/>
        </w:rPr>
        <w:t>16.9 适用法律：本合同应按照中华人民共和国的法律进行解释。</w:t>
      </w:r>
    </w:p>
    <w:p>
      <w:pPr>
        <w:spacing w:line="360" w:lineRule="auto"/>
        <w:ind w:firstLine="420" w:firstLineChars="200"/>
        <w:rPr>
          <w:color w:val="000000"/>
        </w:rPr>
      </w:pPr>
    </w:p>
    <w:p>
      <w:pPr>
        <w:spacing w:line="360" w:lineRule="auto"/>
        <w:ind w:firstLine="420" w:firstLineChars="200"/>
        <w:rPr>
          <w:color w:val="000000"/>
        </w:rPr>
      </w:pPr>
      <w:r>
        <w:rPr>
          <w:rFonts w:hint="eastAsia"/>
          <w:color w:val="000000"/>
        </w:rPr>
        <w:t xml:space="preserve">甲方（盖章）：                            乙方（盖章）：        </w:t>
      </w:r>
    </w:p>
    <w:p>
      <w:pPr>
        <w:spacing w:line="360" w:lineRule="auto"/>
        <w:ind w:firstLine="420" w:firstLineChars="200"/>
        <w:rPr>
          <w:color w:val="000000"/>
        </w:rPr>
      </w:pPr>
      <w:r>
        <w:rPr>
          <w:rFonts w:hint="eastAsia"/>
          <w:color w:val="000000"/>
        </w:rPr>
        <w:t xml:space="preserve">法定代表人：                              法定代表人：                   </w:t>
      </w:r>
    </w:p>
    <w:p>
      <w:pPr>
        <w:spacing w:line="360" w:lineRule="auto"/>
        <w:ind w:firstLine="420" w:firstLineChars="200"/>
        <w:rPr>
          <w:color w:val="000000"/>
        </w:rPr>
      </w:pPr>
      <w:r>
        <w:rPr>
          <w:rFonts w:hint="eastAsia"/>
          <w:color w:val="000000"/>
        </w:rPr>
        <w:t xml:space="preserve">或受委托人（签字）：                      或受委托人（签字）：                  </w:t>
      </w:r>
    </w:p>
    <w:p>
      <w:pPr>
        <w:spacing w:line="360" w:lineRule="auto"/>
        <w:ind w:firstLine="420" w:firstLineChars="200"/>
        <w:rPr>
          <w:color w:val="000000"/>
        </w:rPr>
      </w:pPr>
      <w:r>
        <w:rPr>
          <w:rFonts w:hint="eastAsia"/>
          <w:color w:val="000000"/>
        </w:rPr>
        <w:t>联系人：                                  联系人：</w:t>
      </w:r>
    </w:p>
    <w:p>
      <w:pPr>
        <w:spacing w:line="360" w:lineRule="auto"/>
        <w:ind w:firstLine="420" w:firstLineChars="200"/>
        <w:rPr>
          <w:color w:val="000000"/>
        </w:rPr>
      </w:pPr>
      <w:r>
        <w:rPr>
          <w:rFonts w:hint="eastAsia"/>
          <w:color w:val="000000"/>
        </w:rPr>
        <w:t xml:space="preserve">地址：                                    地址： </w:t>
      </w:r>
    </w:p>
    <w:p>
      <w:pPr>
        <w:spacing w:line="360" w:lineRule="auto"/>
        <w:ind w:firstLine="420" w:firstLineChars="200"/>
        <w:rPr>
          <w:color w:val="000000"/>
        </w:rPr>
      </w:pPr>
      <w:r>
        <w:rPr>
          <w:rFonts w:hint="eastAsia"/>
          <w:color w:val="000000"/>
        </w:rPr>
        <w:t>电话：                                    电话：</w:t>
      </w:r>
    </w:p>
    <w:p>
      <w:pPr>
        <w:spacing w:line="360" w:lineRule="auto"/>
        <w:ind w:firstLine="420" w:firstLineChars="200"/>
        <w:rPr>
          <w:color w:val="000000"/>
        </w:rPr>
      </w:pPr>
      <w:r>
        <w:rPr>
          <w:rFonts w:hint="eastAsia"/>
          <w:color w:val="000000"/>
        </w:rPr>
        <w:t>传真：                                    传真：</w:t>
      </w:r>
    </w:p>
    <w:p>
      <w:pPr>
        <w:spacing w:line="360" w:lineRule="auto"/>
        <w:ind w:firstLine="420" w:firstLineChars="200"/>
        <w:rPr>
          <w:color w:val="000000"/>
        </w:rPr>
      </w:pPr>
      <w:r>
        <w:rPr>
          <w:rFonts w:hint="eastAsia"/>
          <w:color w:val="000000"/>
        </w:rPr>
        <w:t xml:space="preserve">开户银行：                                开户银行： </w:t>
      </w:r>
    </w:p>
    <w:p>
      <w:pPr>
        <w:spacing w:line="360" w:lineRule="auto"/>
        <w:ind w:firstLine="420" w:firstLineChars="200"/>
        <w:rPr>
          <w:color w:val="000000"/>
        </w:rPr>
      </w:pPr>
      <w:r>
        <w:rPr>
          <w:rFonts w:hint="eastAsia"/>
          <w:color w:val="000000"/>
        </w:rPr>
        <w:t>帐号：                                    帐号：</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w:t>
      </w:r>
    </w:p>
    <w:p>
      <w:pPr>
        <w:spacing w:line="360" w:lineRule="auto"/>
        <w:ind w:firstLine="5280" w:firstLineChars="2200"/>
        <w:rPr>
          <w:rFonts w:ascii="仿宋_GB2312" w:hAnsi="仿宋_GB2312" w:eastAsia="仿宋_GB2312" w:cs="仿宋_GB2312"/>
          <w:sz w:val="24"/>
        </w:rPr>
      </w:pPr>
    </w:p>
    <w:p>
      <w:pPr>
        <w:spacing w:line="360" w:lineRule="auto"/>
        <w:ind w:firstLine="5040" w:firstLineChars="2400"/>
        <w:rPr>
          <w:color w:val="000000"/>
        </w:rPr>
      </w:pPr>
      <w:r>
        <w:rPr>
          <w:rFonts w:hint="eastAsia"/>
          <w:color w:val="000000"/>
        </w:rPr>
        <w:t>签约地点：</w:t>
      </w:r>
    </w:p>
    <w:p>
      <w:pPr>
        <w:spacing w:line="360" w:lineRule="auto"/>
        <w:ind w:firstLine="420" w:firstLineChars="200"/>
        <w:rPr>
          <w:color w:val="000000"/>
        </w:rPr>
      </w:pPr>
      <w:r>
        <w:rPr>
          <w:rFonts w:hint="eastAsia"/>
          <w:color w:val="000000"/>
        </w:rPr>
        <w:t xml:space="preserve">                                            签约日期：  年   月    日</w:t>
      </w:r>
    </w:p>
    <w:p>
      <w:pPr>
        <w:pStyle w:val="20"/>
        <w:snapToGrid w:val="0"/>
        <w:spacing w:before="157" w:after="157" w:line="360" w:lineRule="auto"/>
        <w:rPr>
          <w:rFonts w:hAnsi="宋体" w:cs="宋体"/>
          <w:b/>
          <w:sz w:val="21"/>
          <w:szCs w:val="21"/>
        </w:rPr>
      </w:pPr>
    </w:p>
    <w:p>
      <w:pPr>
        <w:pStyle w:val="20"/>
        <w:snapToGrid w:val="0"/>
        <w:spacing w:before="157" w:after="157" w:line="360" w:lineRule="auto"/>
        <w:rPr>
          <w:rFonts w:hAnsi="宋体" w:cs="宋体"/>
          <w:b/>
          <w:sz w:val="21"/>
          <w:szCs w:val="21"/>
        </w:rPr>
      </w:pPr>
    </w:p>
    <w:p>
      <w:pPr>
        <w:pStyle w:val="20"/>
        <w:snapToGrid w:val="0"/>
        <w:spacing w:before="157" w:after="157" w:line="360" w:lineRule="auto"/>
        <w:rPr>
          <w:rFonts w:hAnsi="宋体" w:cs="宋体"/>
          <w:b/>
          <w:sz w:val="21"/>
          <w:szCs w:val="21"/>
        </w:rPr>
      </w:pPr>
    </w:p>
    <w:p>
      <w:pPr>
        <w:pStyle w:val="20"/>
        <w:snapToGrid w:val="0"/>
        <w:spacing w:before="157" w:after="157" w:line="360" w:lineRule="auto"/>
        <w:rPr>
          <w:rFonts w:hAnsi="宋体" w:cs="宋体"/>
          <w:b/>
          <w:sz w:val="21"/>
          <w:szCs w:val="21"/>
        </w:rPr>
      </w:pPr>
    </w:p>
    <w:p>
      <w:pPr>
        <w:pStyle w:val="20"/>
        <w:adjustRightInd w:val="0"/>
        <w:spacing w:before="157" w:after="157" w:line="360" w:lineRule="auto"/>
        <w:jc w:val="center"/>
        <w:outlineLvl w:val="0"/>
        <w:rPr>
          <w:rFonts w:hAnsi="宋体" w:cs="宋体"/>
          <w:b/>
          <w:bCs/>
          <w:sz w:val="32"/>
          <w:szCs w:val="32"/>
        </w:rPr>
      </w:pPr>
      <w:bookmarkStart w:id="44" w:name="_Toc482808222"/>
      <w:bookmarkStart w:id="45" w:name="_Toc372790162"/>
    </w:p>
    <w:p>
      <w:pPr>
        <w:pStyle w:val="20"/>
        <w:adjustRightInd w:val="0"/>
        <w:spacing w:before="157" w:after="157" w:line="360" w:lineRule="auto"/>
        <w:jc w:val="center"/>
        <w:outlineLvl w:val="0"/>
        <w:rPr>
          <w:rFonts w:hAnsi="宋体" w:cs="宋体"/>
          <w:b/>
          <w:bCs/>
          <w:sz w:val="32"/>
          <w:szCs w:val="32"/>
        </w:rPr>
      </w:pPr>
    </w:p>
    <w:p>
      <w:pPr>
        <w:pStyle w:val="20"/>
        <w:adjustRightInd w:val="0"/>
        <w:spacing w:before="157" w:after="157" w:line="360" w:lineRule="auto"/>
        <w:jc w:val="center"/>
        <w:outlineLvl w:val="0"/>
        <w:rPr>
          <w:rFonts w:hAnsi="宋体" w:cs="宋体"/>
          <w:b/>
          <w:bCs/>
          <w:sz w:val="32"/>
          <w:szCs w:val="32"/>
        </w:rPr>
      </w:pPr>
    </w:p>
    <w:p>
      <w:pPr>
        <w:pStyle w:val="20"/>
        <w:adjustRightInd w:val="0"/>
        <w:spacing w:before="157" w:after="157" w:line="360" w:lineRule="auto"/>
        <w:jc w:val="center"/>
        <w:outlineLvl w:val="0"/>
        <w:rPr>
          <w:rFonts w:hAnsi="宋体" w:cs="宋体"/>
          <w:sz w:val="28"/>
          <w:szCs w:val="28"/>
        </w:rPr>
      </w:pPr>
      <w:r>
        <w:rPr>
          <w:rFonts w:hint="eastAsia" w:hAnsi="宋体" w:cs="宋体"/>
          <w:b/>
          <w:bCs/>
          <w:sz w:val="32"/>
          <w:szCs w:val="32"/>
        </w:rPr>
        <w:t>第六章 投标文件格式附件</w:t>
      </w:r>
      <w:bookmarkEnd w:id="44"/>
      <w:bookmarkEnd w:id="45"/>
    </w:p>
    <w:p>
      <w:pPr>
        <w:snapToGrid w:val="0"/>
        <w:spacing w:before="157" w:beforeLines="50" w:after="50"/>
        <w:rPr>
          <w:rFonts w:ascii="宋体" w:hAnsi="宋体" w:cs="宋体"/>
          <w:b/>
          <w:sz w:val="28"/>
          <w:szCs w:val="28"/>
        </w:rPr>
      </w:pPr>
      <w:r>
        <w:rPr>
          <w:rFonts w:hint="eastAsia" w:ascii="宋体" w:hAnsi="宋体" w:cs="宋体"/>
          <w:sz w:val="28"/>
          <w:szCs w:val="28"/>
        </w:rPr>
        <w:t>附件</w:t>
      </w:r>
      <w:r>
        <w:rPr>
          <w:rFonts w:hint="eastAsia" w:ascii="宋体" w:hAnsi="宋体" w:cs="宋体"/>
          <w:b/>
          <w:sz w:val="28"/>
          <w:szCs w:val="28"/>
        </w:rPr>
        <w:t xml:space="preserve">：                                          </w:t>
      </w:r>
    </w:p>
    <w:p>
      <w:pPr>
        <w:snapToGrid w:val="0"/>
        <w:spacing w:before="157" w:beforeLines="50" w:after="50" w:line="360" w:lineRule="auto"/>
        <w:jc w:val="right"/>
        <w:rPr>
          <w:rFonts w:ascii="宋体" w:hAnsi="宋体" w:cs="宋体"/>
          <w:b/>
          <w:sz w:val="28"/>
          <w:szCs w:val="28"/>
        </w:rPr>
      </w:pPr>
      <w:r>
        <w:rPr>
          <w:rFonts w:hint="eastAsia" w:ascii="宋体" w:hAnsi="宋体" w:cs="宋体"/>
          <w:bCs/>
          <w:sz w:val="28"/>
          <w:szCs w:val="28"/>
        </w:rPr>
        <w:t>正本或副本</w:t>
      </w:r>
    </w:p>
    <w:p>
      <w:pPr>
        <w:snapToGrid w:val="0"/>
        <w:spacing w:before="157" w:beforeLines="50" w:after="50" w:line="360" w:lineRule="auto"/>
        <w:ind w:right="600"/>
        <w:jc w:val="center"/>
        <w:rPr>
          <w:rFonts w:ascii="宋体" w:hAnsi="宋体" w:cs="宋体"/>
          <w:spacing w:val="40"/>
          <w:sz w:val="36"/>
          <w:szCs w:val="36"/>
        </w:rPr>
      </w:pPr>
      <w:r>
        <w:rPr>
          <w:rFonts w:hint="eastAsia" w:ascii="宋体" w:hAnsi="宋体" w:cs="宋体"/>
          <w:spacing w:val="40"/>
          <w:sz w:val="36"/>
          <w:szCs w:val="36"/>
        </w:rPr>
        <w:t xml:space="preserve">   ***项目名称</w:t>
      </w:r>
    </w:p>
    <w:p>
      <w:pPr>
        <w:spacing w:before="315" w:beforeLines="100" w:line="360" w:lineRule="auto"/>
        <w:ind w:right="-108"/>
        <w:rPr>
          <w:rFonts w:ascii="宋体" w:hAnsi="宋体" w:cs="宋体"/>
          <w:sz w:val="36"/>
          <w:szCs w:val="36"/>
        </w:rPr>
      </w:pPr>
      <w:r>
        <w:rPr>
          <w:rFonts w:hint="eastAsia" w:ascii="宋体" w:hAnsi="宋体" w:cs="宋体"/>
          <w:sz w:val="36"/>
          <w:szCs w:val="36"/>
        </w:rPr>
        <w:t xml:space="preserve">              项目编号：DDZX2020-GK-089</w:t>
      </w:r>
    </w:p>
    <w:p>
      <w:pPr>
        <w:spacing w:before="315" w:beforeLines="100"/>
        <w:ind w:right="-108"/>
        <w:jc w:val="center"/>
        <w:rPr>
          <w:rFonts w:ascii="宋体" w:hAnsi="宋体" w:cs="宋体"/>
          <w:sz w:val="36"/>
          <w:szCs w:val="36"/>
        </w:rPr>
      </w:pPr>
    </w:p>
    <w:p>
      <w:pPr>
        <w:pStyle w:val="78"/>
        <w:rPr>
          <w:rFonts w:cs="宋体"/>
        </w:rPr>
      </w:pPr>
    </w:p>
    <w:p>
      <w:pPr>
        <w:spacing w:after="100" w:afterAutospacing="1" w:line="360" w:lineRule="auto"/>
        <w:ind w:right="-108"/>
        <w:jc w:val="center"/>
        <w:rPr>
          <w:rFonts w:ascii="宋体" w:hAnsi="宋体" w:cs="宋体"/>
          <w:b/>
          <w:spacing w:val="40"/>
          <w:sz w:val="52"/>
          <w:szCs w:val="52"/>
        </w:rPr>
      </w:pPr>
      <w:r>
        <w:rPr>
          <w:rFonts w:hint="eastAsia" w:ascii="宋体" w:hAnsi="宋体" w:cs="宋体"/>
          <w:b/>
          <w:spacing w:val="40"/>
          <w:sz w:val="52"/>
          <w:szCs w:val="52"/>
        </w:rPr>
        <w:t>资</w:t>
      </w:r>
    </w:p>
    <w:p>
      <w:pPr>
        <w:spacing w:after="100" w:afterAutospacing="1" w:line="360" w:lineRule="auto"/>
        <w:ind w:right="-108"/>
        <w:jc w:val="center"/>
        <w:rPr>
          <w:rFonts w:ascii="宋体" w:hAnsi="宋体" w:cs="宋体"/>
          <w:b/>
          <w:spacing w:val="40"/>
          <w:sz w:val="52"/>
          <w:szCs w:val="52"/>
        </w:rPr>
      </w:pPr>
      <w:r>
        <w:rPr>
          <w:rFonts w:hint="eastAsia" w:ascii="宋体" w:hAnsi="宋体" w:cs="宋体"/>
          <w:b/>
          <w:spacing w:val="40"/>
          <w:sz w:val="52"/>
          <w:szCs w:val="52"/>
        </w:rPr>
        <w:t>格</w:t>
      </w:r>
    </w:p>
    <w:p>
      <w:pPr>
        <w:spacing w:after="100" w:afterAutospacing="1" w:line="360" w:lineRule="auto"/>
        <w:ind w:right="-108"/>
        <w:jc w:val="center"/>
        <w:rPr>
          <w:rFonts w:ascii="宋体" w:hAnsi="宋体" w:cs="宋体"/>
          <w:b/>
          <w:spacing w:val="40"/>
          <w:sz w:val="52"/>
          <w:szCs w:val="52"/>
        </w:rPr>
      </w:pPr>
      <w:r>
        <w:rPr>
          <w:rFonts w:hint="eastAsia" w:ascii="宋体" w:hAnsi="宋体" w:cs="宋体"/>
          <w:b/>
          <w:spacing w:val="40"/>
          <w:sz w:val="52"/>
          <w:szCs w:val="52"/>
        </w:rPr>
        <w:t>文</w:t>
      </w:r>
    </w:p>
    <w:p>
      <w:pPr>
        <w:spacing w:after="100" w:afterAutospacing="1" w:line="360" w:lineRule="auto"/>
        <w:ind w:right="-108"/>
        <w:jc w:val="center"/>
        <w:rPr>
          <w:rFonts w:ascii="宋体" w:hAnsi="宋体" w:cs="宋体"/>
          <w:b/>
          <w:spacing w:val="40"/>
          <w:sz w:val="52"/>
          <w:szCs w:val="52"/>
        </w:rPr>
      </w:pPr>
      <w:r>
        <w:rPr>
          <w:rFonts w:hint="eastAsia" w:ascii="宋体" w:hAnsi="宋体" w:cs="宋体"/>
          <w:b/>
          <w:spacing w:val="40"/>
          <w:sz w:val="52"/>
          <w:szCs w:val="52"/>
        </w:rPr>
        <w:t>件</w:t>
      </w:r>
    </w:p>
    <w:p>
      <w:pPr>
        <w:pStyle w:val="78"/>
        <w:rPr>
          <w:rFonts w:cs="宋体"/>
          <w:sz w:val="36"/>
          <w:szCs w:val="36"/>
        </w:rPr>
      </w:pPr>
    </w:p>
    <w:p>
      <w:pPr>
        <w:pStyle w:val="78"/>
        <w:rPr>
          <w:rFonts w:cs="宋体"/>
          <w:sz w:val="36"/>
          <w:szCs w:val="36"/>
        </w:rPr>
      </w:pPr>
    </w:p>
    <w:p>
      <w:pPr>
        <w:pStyle w:val="78"/>
        <w:rPr>
          <w:rFonts w:cs="宋体"/>
          <w:sz w:val="36"/>
          <w:szCs w:val="36"/>
        </w:rPr>
      </w:pPr>
    </w:p>
    <w:p>
      <w:pPr>
        <w:spacing w:line="480" w:lineRule="auto"/>
        <w:ind w:right="532" w:firstLine="640" w:firstLineChars="200"/>
        <w:rPr>
          <w:rFonts w:ascii="宋体" w:hAnsi="宋体" w:cs="宋体"/>
          <w:sz w:val="32"/>
          <w:szCs w:val="32"/>
        </w:rPr>
      </w:pPr>
      <w:r>
        <w:rPr>
          <w:rFonts w:hint="eastAsia" w:ascii="宋体" w:hAnsi="宋体" w:cs="宋体"/>
          <w:sz w:val="32"/>
          <w:szCs w:val="32"/>
        </w:rPr>
        <w:t>单位全称（公章）：</w:t>
      </w:r>
    </w:p>
    <w:p>
      <w:pPr>
        <w:spacing w:line="480" w:lineRule="auto"/>
        <w:ind w:right="532" w:firstLine="640" w:firstLineChars="200"/>
        <w:rPr>
          <w:rFonts w:ascii="宋体" w:hAnsi="宋体" w:cs="宋体"/>
          <w:sz w:val="32"/>
          <w:szCs w:val="32"/>
        </w:rPr>
      </w:pPr>
      <w:r>
        <w:rPr>
          <w:rFonts w:hint="eastAsia" w:ascii="宋体" w:hAnsi="宋体" w:cs="宋体"/>
          <w:sz w:val="32"/>
          <w:szCs w:val="32"/>
        </w:rPr>
        <w:t>地    址：</w:t>
      </w:r>
    </w:p>
    <w:p>
      <w:pPr>
        <w:spacing w:line="480" w:lineRule="auto"/>
        <w:ind w:right="532" w:firstLine="640" w:firstLineChars="200"/>
        <w:rPr>
          <w:rFonts w:ascii="宋体" w:hAnsi="宋体" w:cs="宋体"/>
          <w:sz w:val="32"/>
          <w:szCs w:val="32"/>
        </w:rPr>
      </w:pPr>
      <w:r>
        <w:rPr>
          <w:rFonts w:hint="eastAsia" w:ascii="宋体" w:hAnsi="宋体" w:cs="宋体"/>
          <w:sz w:val="32"/>
          <w:szCs w:val="32"/>
        </w:rPr>
        <w:t>时    间：</w:t>
      </w:r>
    </w:p>
    <w:p>
      <w:pPr>
        <w:snapToGrid w:val="0"/>
        <w:spacing w:before="157" w:beforeLines="50" w:after="50"/>
        <w:rPr>
          <w:rFonts w:ascii="宋体" w:hAnsi="宋体" w:cs="宋体"/>
          <w:sz w:val="28"/>
          <w:szCs w:val="28"/>
        </w:rPr>
      </w:pPr>
    </w:p>
    <w:p>
      <w:pPr>
        <w:shd w:val="clear" w:color="auto" w:fill="FFFFFF"/>
        <w:snapToGrid w:val="0"/>
        <w:spacing w:line="60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目录</w:t>
      </w:r>
    </w:p>
    <w:p>
      <w:pPr>
        <w:shd w:val="clear" w:color="auto" w:fill="FFFFFF"/>
        <w:snapToGrid w:val="0"/>
        <w:spacing w:line="600" w:lineRule="exact"/>
        <w:rPr>
          <w:rFonts w:ascii="宋体" w:hAnsi="宋体" w:cs="宋体"/>
          <w:color w:val="000000"/>
          <w:kern w:val="0"/>
          <w:sz w:val="24"/>
          <w:szCs w:val="24"/>
        </w:rPr>
      </w:pPr>
      <w:bookmarkStart w:id="46" w:name="_Hlk33176655"/>
      <w:r>
        <w:rPr>
          <w:rFonts w:hint="eastAsia" w:ascii="宋体" w:hAnsi="宋体" w:cs="宋体"/>
          <w:color w:val="000000"/>
          <w:kern w:val="0"/>
          <w:sz w:val="24"/>
          <w:szCs w:val="24"/>
        </w:rPr>
        <w:t>（1）营业执照…………………………………………………………………………（页码）</w:t>
      </w:r>
    </w:p>
    <w:p>
      <w:pPr>
        <w:shd w:val="clear" w:color="auto" w:fill="FFFFFF"/>
        <w:snapToGrid w:val="0"/>
        <w:spacing w:line="600" w:lineRule="exact"/>
        <w:rPr>
          <w:rFonts w:ascii="宋体" w:hAnsi="宋体" w:cs="宋体"/>
          <w:color w:val="000000"/>
          <w:kern w:val="0"/>
          <w:sz w:val="24"/>
          <w:szCs w:val="24"/>
        </w:rPr>
      </w:pPr>
      <w:r>
        <w:rPr>
          <w:rFonts w:hint="eastAsia" w:ascii="宋体" w:hAnsi="宋体" w:cs="宋体"/>
          <w:color w:val="000000"/>
          <w:kern w:val="0"/>
          <w:sz w:val="24"/>
          <w:szCs w:val="24"/>
        </w:rPr>
        <w:t>（2）最近一年度财务报表……………………………………………………………（页码）</w:t>
      </w:r>
    </w:p>
    <w:p>
      <w:pPr>
        <w:shd w:val="clear" w:color="auto" w:fill="FFFFFF"/>
        <w:snapToGrid w:val="0"/>
        <w:spacing w:line="600" w:lineRule="exact"/>
        <w:rPr>
          <w:rFonts w:ascii="宋体" w:hAnsi="宋体" w:cs="宋体"/>
          <w:color w:val="000000"/>
          <w:kern w:val="0"/>
          <w:sz w:val="24"/>
          <w:szCs w:val="24"/>
        </w:rPr>
      </w:pPr>
      <w:r>
        <w:rPr>
          <w:rFonts w:hint="eastAsia" w:ascii="宋体" w:hAnsi="宋体" w:cs="宋体"/>
          <w:color w:val="000000"/>
          <w:kern w:val="0"/>
          <w:sz w:val="24"/>
          <w:szCs w:val="24"/>
        </w:rPr>
        <w:t>（3）具有履行合同所必需的场地、设备和专业技术能力的承诺函………………（页码）</w:t>
      </w:r>
    </w:p>
    <w:p>
      <w:pPr>
        <w:shd w:val="clear" w:color="auto" w:fill="FFFFFF"/>
        <w:snapToGrid w:val="0"/>
        <w:spacing w:line="600" w:lineRule="exact"/>
        <w:rPr>
          <w:rFonts w:ascii="宋体" w:hAnsi="宋体" w:cs="宋体"/>
          <w:color w:val="000000"/>
          <w:kern w:val="0"/>
          <w:sz w:val="24"/>
          <w:szCs w:val="24"/>
        </w:rPr>
      </w:pPr>
      <w:r>
        <w:rPr>
          <w:rFonts w:hint="eastAsia" w:ascii="宋体" w:hAnsi="宋体" w:cs="宋体"/>
          <w:color w:val="000000"/>
          <w:kern w:val="0"/>
          <w:sz w:val="24"/>
          <w:szCs w:val="24"/>
        </w:rPr>
        <w:t>（4）依法缴纳税收和社会保障资金的承诺函…………………………………………（页码）</w:t>
      </w:r>
    </w:p>
    <w:p>
      <w:pPr>
        <w:shd w:val="clear" w:color="auto" w:fill="FFFFFF"/>
        <w:snapToGrid w:val="0"/>
        <w:spacing w:line="600" w:lineRule="exact"/>
        <w:rPr>
          <w:rFonts w:ascii="宋体" w:hAnsi="宋体" w:cs="宋体"/>
          <w:color w:val="000000"/>
          <w:kern w:val="0"/>
          <w:sz w:val="24"/>
          <w:szCs w:val="24"/>
        </w:rPr>
      </w:pPr>
      <w:r>
        <w:rPr>
          <w:rFonts w:hint="eastAsia" w:ascii="宋体" w:hAnsi="宋体" w:cs="宋体"/>
          <w:color w:val="000000"/>
          <w:kern w:val="0"/>
          <w:sz w:val="24"/>
          <w:szCs w:val="24"/>
        </w:rPr>
        <w:t>（5）参加政府采购活动前3年内在经营活动中没有重大违法记录的声明函……（页码）</w:t>
      </w:r>
    </w:p>
    <w:p>
      <w:pPr>
        <w:shd w:val="clear" w:color="auto" w:fill="FFFFFF"/>
        <w:snapToGrid w:val="0"/>
        <w:spacing w:line="600" w:lineRule="exact"/>
        <w:rPr>
          <w:rFonts w:ascii="宋体" w:hAnsi="宋体" w:cs="宋体"/>
          <w:color w:val="000000"/>
          <w:kern w:val="0"/>
          <w:sz w:val="24"/>
          <w:szCs w:val="24"/>
        </w:rPr>
      </w:pPr>
      <w:r>
        <w:rPr>
          <w:rFonts w:hint="eastAsia" w:ascii="宋体" w:hAnsi="宋体" w:cs="宋体"/>
          <w:color w:val="000000"/>
          <w:kern w:val="0"/>
          <w:sz w:val="24"/>
          <w:szCs w:val="24"/>
        </w:rPr>
        <w:t>（6）单位负责人为同一人或者存在直接控股、管理关系的不同供应商，不得参加同一合同项下的政府采购活动承诺函……………………………………………………（页码）</w:t>
      </w:r>
    </w:p>
    <w:p>
      <w:pPr>
        <w:shd w:val="clear" w:color="auto" w:fill="FFFFFF"/>
        <w:snapToGrid w:val="0"/>
        <w:spacing w:line="600" w:lineRule="exact"/>
        <w:rPr>
          <w:rFonts w:ascii="宋体" w:hAnsi="宋体" w:cs="宋体"/>
          <w:color w:val="000000"/>
          <w:kern w:val="0"/>
          <w:sz w:val="24"/>
          <w:szCs w:val="24"/>
        </w:rPr>
      </w:pPr>
      <w:r>
        <w:rPr>
          <w:rFonts w:hint="eastAsia" w:ascii="宋体" w:hAnsi="宋体" w:cs="宋体"/>
          <w:color w:val="000000"/>
          <w:kern w:val="0"/>
          <w:sz w:val="24"/>
          <w:szCs w:val="24"/>
        </w:rPr>
        <w:t>（7）投标供应商没有失信记录承诺函………………………………………………（页码）</w:t>
      </w:r>
    </w:p>
    <w:bookmarkEnd w:id="46"/>
    <w:p>
      <w:pPr>
        <w:snapToGrid w:val="0"/>
        <w:spacing w:before="157" w:beforeLines="50" w:after="50"/>
        <w:rPr>
          <w:rFonts w:ascii="宋体" w:hAnsi="宋体" w:cs="宋体"/>
          <w:sz w:val="28"/>
          <w:szCs w:val="28"/>
        </w:rPr>
      </w:pPr>
    </w:p>
    <w:p>
      <w:pPr>
        <w:snapToGrid w:val="0"/>
        <w:spacing w:before="157" w:beforeLines="50" w:after="50"/>
        <w:rPr>
          <w:rFonts w:ascii="宋体" w:hAnsi="宋体" w:cs="宋体"/>
          <w:sz w:val="28"/>
          <w:szCs w:val="28"/>
        </w:rPr>
      </w:pPr>
    </w:p>
    <w:p>
      <w:pPr>
        <w:snapToGrid w:val="0"/>
        <w:spacing w:before="157" w:beforeLines="50" w:after="50"/>
        <w:rPr>
          <w:rFonts w:ascii="宋体" w:hAnsi="宋体" w:cs="宋体"/>
          <w:sz w:val="28"/>
          <w:szCs w:val="28"/>
        </w:rPr>
      </w:pPr>
    </w:p>
    <w:p>
      <w:pPr>
        <w:snapToGrid w:val="0"/>
        <w:spacing w:before="157" w:beforeLines="50" w:after="50"/>
        <w:rPr>
          <w:rFonts w:ascii="宋体" w:hAnsi="宋体" w:cs="宋体"/>
          <w:sz w:val="28"/>
          <w:szCs w:val="28"/>
        </w:rPr>
      </w:pPr>
    </w:p>
    <w:p>
      <w:pPr>
        <w:snapToGrid w:val="0"/>
        <w:spacing w:before="157" w:beforeLines="50" w:after="50"/>
        <w:rPr>
          <w:rFonts w:ascii="宋体" w:hAnsi="宋体" w:cs="宋体"/>
          <w:sz w:val="28"/>
          <w:szCs w:val="28"/>
        </w:rPr>
      </w:pPr>
    </w:p>
    <w:p>
      <w:pPr>
        <w:snapToGrid w:val="0"/>
        <w:spacing w:before="157" w:beforeLines="50" w:after="50"/>
        <w:rPr>
          <w:rFonts w:ascii="宋体" w:hAnsi="宋体" w:cs="宋体"/>
          <w:sz w:val="28"/>
          <w:szCs w:val="28"/>
        </w:rPr>
      </w:pPr>
    </w:p>
    <w:p>
      <w:pPr>
        <w:snapToGrid w:val="0"/>
        <w:spacing w:before="157" w:beforeLines="50" w:after="50"/>
        <w:rPr>
          <w:rFonts w:ascii="宋体" w:hAnsi="宋体" w:cs="宋体"/>
          <w:sz w:val="28"/>
          <w:szCs w:val="28"/>
        </w:rPr>
      </w:pPr>
    </w:p>
    <w:p>
      <w:pPr>
        <w:snapToGrid w:val="0"/>
        <w:spacing w:before="157" w:beforeLines="50" w:after="50"/>
        <w:rPr>
          <w:rFonts w:ascii="宋体" w:hAnsi="宋体" w:cs="宋体"/>
          <w:sz w:val="28"/>
          <w:szCs w:val="28"/>
        </w:rPr>
      </w:pPr>
    </w:p>
    <w:p>
      <w:pPr>
        <w:snapToGrid w:val="0"/>
        <w:spacing w:before="157" w:beforeLines="50" w:after="50"/>
        <w:rPr>
          <w:rFonts w:ascii="宋体" w:hAnsi="宋体" w:cs="宋体"/>
          <w:sz w:val="28"/>
          <w:szCs w:val="28"/>
        </w:rPr>
      </w:pPr>
    </w:p>
    <w:p>
      <w:pPr>
        <w:snapToGrid w:val="0"/>
        <w:spacing w:before="157" w:beforeLines="50" w:after="50"/>
        <w:rPr>
          <w:rFonts w:ascii="宋体" w:hAnsi="宋体" w:cs="宋体"/>
          <w:sz w:val="28"/>
          <w:szCs w:val="28"/>
        </w:rPr>
      </w:pPr>
    </w:p>
    <w:p>
      <w:pPr>
        <w:snapToGrid w:val="0"/>
        <w:spacing w:before="157" w:beforeLines="50" w:after="50"/>
        <w:rPr>
          <w:rFonts w:ascii="宋体" w:hAnsi="宋体" w:cs="宋体"/>
          <w:sz w:val="28"/>
          <w:szCs w:val="28"/>
        </w:rPr>
      </w:pPr>
    </w:p>
    <w:p>
      <w:pPr>
        <w:snapToGrid w:val="0"/>
        <w:spacing w:before="157" w:beforeLines="50" w:after="50"/>
        <w:rPr>
          <w:rFonts w:ascii="宋体" w:hAnsi="宋体" w:cs="宋体"/>
          <w:sz w:val="28"/>
          <w:szCs w:val="28"/>
        </w:rPr>
      </w:pPr>
    </w:p>
    <w:p>
      <w:pPr>
        <w:snapToGrid w:val="0"/>
        <w:spacing w:before="157" w:beforeLines="50" w:after="50"/>
        <w:rPr>
          <w:rFonts w:ascii="宋体" w:hAnsi="宋体" w:cs="宋体"/>
          <w:sz w:val="28"/>
          <w:szCs w:val="28"/>
        </w:rPr>
      </w:pPr>
    </w:p>
    <w:p>
      <w:pPr>
        <w:snapToGrid w:val="0"/>
        <w:spacing w:before="157" w:beforeLines="50" w:after="50"/>
        <w:rPr>
          <w:rFonts w:ascii="宋体" w:hAnsi="宋体" w:cs="宋体"/>
          <w:sz w:val="28"/>
          <w:szCs w:val="28"/>
        </w:rPr>
      </w:pPr>
    </w:p>
    <w:p>
      <w:pPr>
        <w:pStyle w:val="2"/>
      </w:pPr>
    </w:p>
    <w:p>
      <w:pPr>
        <w:snapToGrid w:val="0"/>
        <w:spacing w:before="157" w:beforeLines="50" w:after="50"/>
        <w:rPr>
          <w:rFonts w:ascii="宋体" w:hAnsi="宋体" w:cs="宋体"/>
          <w:sz w:val="28"/>
          <w:szCs w:val="28"/>
        </w:rPr>
      </w:pPr>
    </w:p>
    <w:p>
      <w:pPr>
        <w:snapToGrid w:val="0"/>
        <w:spacing w:line="600" w:lineRule="exact"/>
        <w:jc w:val="center"/>
        <w:rPr>
          <w:rFonts w:ascii="宋体" w:hAnsi="宋体" w:cs="宋体"/>
          <w:b/>
          <w:bCs/>
          <w:color w:val="000000"/>
          <w:sz w:val="28"/>
          <w:szCs w:val="28"/>
        </w:rPr>
      </w:pPr>
      <w:r>
        <w:rPr>
          <w:rFonts w:hint="eastAsia" w:ascii="宋体" w:hAnsi="宋体" w:cs="宋体"/>
          <w:b/>
          <w:bCs/>
          <w:color w:val="000000"/>
          <w:sz w:val="28"/>
          <w:szCs w:val="28"/>
        </w:rPr>
        <w:t>一、营业执照（复印件）</w:t>
      </w:r>
    </w:p>
    <w:p>
      <w:pPr>
        <w:snapToGrid w:val="0"/>
        <w:spacing w:line="600" w:lineRule="exact"/>
        <w:jc w:val="center"/>
        <w:rPr>
          <w:rFonts w:ascii="宋体" w:hAnsi="宋体" w:cs="宋体"/>
          <w:b/>
          <w:bCs/>
          <w:color w:val="000000"/>
          <w:sz w:val="28"/>
          <w:szCs w:val="28"/>
        </w:rPr>
      </w:pPr>
    </w:p>
    <w:p>
      <w:pPr>
        <w:snapToGrid w:val="0"/>
        <w:spacing w:line="600" w:lineRule="exact"/>
        <w:jc w:val="center"/>
        <w:rPr>
          <w:rFonts w:ascii="宋体" w:hAnsi="宋体" w:cs="宋体"/>
          <w:b/>
          <w:bCs/>
          <w:color w:val="000000"/>
          <w:sz w:val="28"/>
          <w:szCs w:val="28"/>
        </w:rPr>
      </w:pPr>
    </w:p>
    <w:p>
      <w:pPr>
        <w:snapToGrid w:val="0"/>
        <w:spacing w:line="600" w:lineRule="exact"/>
        <w:jc w:val="center"/>
        <w:rPr>
          <w:rFonts w:ascii="宋体" w:hAnsi="宋体" w:cs="宋体"/>
          <w:b/>
          <w:bCs/>
          <w:color w:val="000000"/>
          <w:sz w:val="28"/>
          <w:szCs w:val="28"/>
        </w:rPr>
      </w:pPr>
      <w:r>
        <w:rPr>
          <w:rFonts w:hint="eastAsia" w:ascii="宋体" w:hAnsi="宋体" w:cs="宋体"/>
          <w:b/>
          <w:bCs/>
          <w:color w:val="000000"/>
          <w:sz w:val="28"/>
          <w:szCs w:val="28"/>
        </w:rPr>
        <w:t>二、最近一年度财务报表（复印件，新成立的公司提供相关说明）</w:t>
      </w:r>
    </w:p>
    <w:p>
      <w:pPr>
        <w:snapToGrid w:val="0"/>
        <w:spacing w:line="600" w:lineRule="exact"/>
        <w:jc w:val="center"/>
        <w:rPr>
          <w:rFonts w:ascii="宋体" w:hAnsi="宋体" w:cs="宋体"/>
          <w:b/>
          <w:bCs/>
          <w:color w:val="000000"/>
          <w:sz w:val="28"/>
          <w:szCs w:val="28"/>
        </w:rPr>
      </w:pPr>
    </w:p>
    <w:p>
      <w:pPr>
        <w:snapToGrid w:val="0"/>
        <w:spacing w:line="600" w:lineRule="exact"/>
        <w:jc w:val="center"/>
        <w:rPr>
          <w:rFonts w:ascii="宋体" w:hAnsi="宋体" w:cs="宋体"/>
          <w:b/>
          <w:bCs/>
          <w:color w:val="000000"/>
          <w:sz w:val="28"/>
          <w:szCs w:val="28"/>
        </w:rPr>
      </w:pPr>
    </w:p>
    <w:p>
      <w:pPr>
        <w:snapToGrid w:val="0"/>
        <w:spacing w:line="600" w:lineRule="exact"/>
        <w:jc w:val="center"/>
        <w:rPr>
          <w:rFonts w:ascii="宋体"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pStyle w:val="2"/>
        <w:rPr>
          <w:rFonts w:hAnsi="宋体" w:cs="宋体"/>
          <w:b/>
          <w:bCs/>
          <w:color w:val="000000"/>
          <w:sz w:val="28"/>
          <w:szCs w:val="28"/>
        </w:rPr>
      </w:pPr>
    </w:p>
    <w:p>
      <w:pPr>
        <w:snapToGrid w:val="0"/>
        <w:spacing w:line="600" w:lineRule="exact"/>
        <w:jc w:val="center"/>
        <w:rPr>
          <w:rFonts w:ascii="宋体" w:hAnsi="宋体" w:cs="宋体"/>
          <w:b/>
          <w:bCs/>
          <w:color w:val="000000"/>
          <w:sz w:val="28"/>
          <w:szCs w:val="28"/>
        </w:rPr>
      </w:pPr>
      <w:bookmarkStart w:id="47" w:name="_Toc33194405"/>
      <w:bookmarkStart w:id="48" w:name="_Toc27119254"/>
      <w:r>
        <w:rPr>
          <w:rFonts w:hint="eastAsia" w:ascii="宋体" w:hAnsi="宋体" w:cs="宋体"/>
          <w:b/>
          <w:bCs/>
          <w:color w:val="000000"/>
          <w:sz w:val="28"/>
          <w:szCs w:val="28"/>
        </w:rPr>
        <w:t>三、具有履行合同所必需的场地、设备和专业技术能力的承诺函</w:t>
      </w:r>
      <w:bookmarkEnd w:id="47"/>
      <w:bookmarkEnd w:id="48"/>
    </w:p>
    <w:p>
      <w:pPr>
        <w:shd w:val="clear" w:color="auto" w:fill="FFFFFF"/>
        <w:snapToGrid w:val="0"/>
        <w:spacing w:line="600" w:lineRule="exact"/>
        <w:rPr>
          <w:rFonts w:ascii="宋体" w:hAnsi="宋体" w:cs="宋体"/>
          <w:color w:val="000000"/>
          <w:sz w:val="24"/>
          <w:szCs w:val="24"/>
        </w:rPr>
      </w:pPr>
    </w:p>
    <w:p>
      <w:pPr>
        <w:shd w:val="clear" w:color="auto" w:fill="FFFFFF"/>
        <w:snapToGrid w:val="0"/>
        <w:spacing w:line="600" w:lineRule="exact"/>
        <w:rPr>
          <w:rFonts w:ascii="宋体" w:hAnsi="宋体" w:cs="宋体"/>
          <w:color w:val="000000"/>
          <w:sz w:val="24"/>
          <w:szCs w:val="24"/>
        </w:rPr>
      </w:pPr>
      <w:r>
        <w:rPr>
          <w:rFonts w:hint="eastAsia" w:ascii="宋体" w:hAnsi="宋体" w:cs="宋体"/>
          <w:color w:val="000000"/>
          <w:sz w:val="24"/>
          <w:szCs w:val="24"/>
        </w:rPr>
        <w:t>浙江省杭州市中级人民法院、大地工程咨询有限公司</w:t>
      </w:r>
      <w:r>
        <w:rPr>
          <w:rFonts w:hint="eastAsia" w:ascii="宋体" w:hAnsi="宋体" w:cs="宋体"/>
          <w:color w:val="000000"/>
          <w:kern w:val="0"/>
          <w:sz w:val="24"/>
          <w:szCs w:val="24"/>
        </w:rPr>
        <w:t>：</w:t>
      </w:r>
    </w:p>
    <w:p>
      <w:pPr>
        <w:widowControl/>
        <w:snapToGrid w:val="0"/>
        <w:spacing w:line="6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我方</w:t>
      </w:r>
      <w:r>
        <w:rPr>
          <w:rFonts w:hint="eastAsia" w:ascii="宋体" w:hAnsi="宋体" w:cs="宋体"/>
          <w:color w:val="000000"/>
          <w:kern w:val="0"/>
          <w:sz w:val="24"/>
          <w:szCs w:val="24"/>
          <w:u w:val="single"/>
        </w:rPr>
        <w:t xml:space="preserve"> （供应商）</w:t>
      </w:r>
      <w:r>
        <w:rPr>
          <w:rFonts w:hint="eastAsia" w:ascii="宋体" w:hAnsi="宋体" w:cs="宋体"/>
          <w:color w:val="000000"/>
          <w:kern w:val="0"/>
          <w:sz w:val="24"/>
          <w:szCs w:val="24"/>
        </w:rPr>
        <w:t>承诺具有履行合同所必需的场地、设备和专业技术能力。如有虚假，采购人可取消我方任何资格（投标/中标/签订合同），我方对此无任何异议。</w:t>
      </w:r>
    </w:p>
    <w:p>
      <w:pPr>
        <w:widowControl/>
        <w:snapToGrid w:val="0"/>
        <w:spacing w:line="600" w:lineRule="exact"/>
        <w:ind w:firstLine="480" w:firstLineChars="200"/>
        <w:jc w:val="left"/>
        <w:rPr>
          <w:rFonts w:ascii="宋体" w:hAnsi="宋体" w:cs="宋体"/>
          <w:color w:val="000000"/>
          <w:kern w:val="0"/>
          <w:sz w:val="24"/>
          <w:szCs w:val="24"/>
        </w:rPr>
      </w:pPr>
    </w:p>
    <w:p>
      <w:pPr>
        <w:widowControl/>
        <w:snapToGrid w:val="0"/>
        <w:spacing w:line="6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特此承诺！</w:t>
      </w:r>
    </w:p>
    <w:p>
      <w:pPr>
        <w:widowControl/>
        <w:snapToGrid w:val="0"/>
        <w:spacing w:line="600" w:lineRule="exact"/>
        <w:ind w:firstLine="480" w:firstLineChars="200"/>
        <w:jc w:val="left"/>
        <w:rPr>
          <w:rFonts w:ascii="宋体" w:hAnsi="宋体" w:cs="宋体"/>
          <w:color w:val="000000"/>
          <w:kern w:val="0"/>
          <w:sz w:val="24"/>
          <w:szCs w:val="24"/>
        </w:rPr>
      </w:pPr>
    </w:p>
    <w:p>
      <w:pPr>
        <w:widowControl/>
        <w:snapToGrid w:val="0"/>
        <w:spacing w:line="6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供应商名称（盖章） ：</w:t>
      </w:r>
    </w:p>
    <w:p>
      <w:pPr>
        <w:widowControl/>
        <w:snapToGrid w:val="0"/>
        <w:spacing w:line="6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法定代表人或其授权代表（签字或盖章）：</w:t>
      </w:r>
    </w:p>
    <w:p>
      <w:pPr>
        <w:widowControl/>
        <w:snapToGrid w:val="0"/>
        <w:spacing w:line="600" w:lineRule="exact"/>
        <w:ind w:firstLine="480" w:firstLineChars="200"/>
        <w:jc w:val="left"/>
        <w:rPr>
          <w:rFonts w:ascii="宋体" w:hAnsi="宋体" w:cs="宋体"/>
          <w:color w:val="000000"/>
          <w:kern w:val="0"/>
          <w:sz w:val="24"/>
          <w:szCs w:val="24"/>
        </w:rPr>
      </w:pPr>
    </w:p>
    <w:p>
      <w:pPr>
        <w:widowControl/>
        <w:snapToGrid w:val="0"/>
        <w:spacing w:line="6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日期：     年  月  日</w:t>
      </w:r>
    </w:p>
    <w:p>
      <w:pPr>
        <w:widowControl/>
        <w:snapToGrid w:val="0"/>
        <w:spacing w:line="600" w:lineRule="exact"/>
        <w:ind w:firstLine="480" w:firstLineChars="200"/>
        <w:jc w:val="left"/>
        <w:rPr>
          <w:rFonts w:ascii="宋体" w:hAnsi="宋体" w:cs="宋体"/>
          <w:color w:val="000000"/>
          <w:kern w:val="0"/>
          <w:sz w:val="24"/>
          <w:szCs w:val="24"/>
        </w:rPr>
      </w:pPr>
    </w:p>
    <w:p>
      <w:pPr>
        <w:widowControl/>
        <w:snapToGrid w:val="0"/>
        <w:spacing w:line="600" w:lineRule="exact"/>
        <w:ind w:firstLine="480" w:firstLineChars="200"/>
        <w:jc w:val="left"/>
        <w:rPr>
          <w:rFonts w:ascii="宋体" w:hAnsi="宋体" w:cs="宋体"/>
          <w:color w:val="000000"/>
          <w:kern w:val="0"/>
          <w:sz w:val="24"/>
          <w:szCs w:val="24"/>
        </w:rPr>
      </w:pPr>
    </w:p>
    <w:p>
      <w:pPr>
        <w:widowControl/>
        <w:snapToGrid w:val="0"/>
        <w:spacing w:line="600" w:lineRule="exact"/>
        <w:ind w:firstLine="480" w:firstLineChars="200"/>
        <w:jc w:val="left"/>
        <w:rPr>
          <w:rFonts w:ascii="宋体" w:hAnsi="宋体" w:cs="宋体"/>
          <w:color w:val="000000"/>
          <w:kern w:val="0"/>
          <w:sz w:val="24"/>
          <w:szCs w:val="24"/>
        </w:rPr>
      </w:pPr>
    </w:p>
    <w:p>
      <w:pPr>
        <w:snapToGrid w:val="0"/>
        <w:spacing w:line="600" w:lineRule="exact"/>
        <w:jc w:val="center"/>
        <w:rPr>
          <w:rFonts w:ascii="宋体" w:hAnsi="宋体" w:cs="宋体"/>
          <w:b/>
          <w:bCs/>
          <w:color w:val="000000"/>
          <w:sz w:val="28"/>
          <w:szCs w:val="28"/>
        </w:rPr>
        <w:sectPr>
          <w:headerReference r:id="rId8" w:type="default"/>
          <w:footerReference r:id="rId9" w:type="default"/>
          <w:pgSz w:w="11850" w:h="16783"/>
          <w:pgMar w:top="993" w:right="1474" w:bottom="1134" w:left="1474" w:header="851" w:footer="641" w:gutter="0"/>
          <w:cols w:space="720" w:num="1"/>
          <w:docGrid w:type="lines" w:linePitch="315" w:charSpace="0"/>
        </w:sectPr>
      </w:pPr>
    </w:p>
    <w:p>
      <w:pPr>
        <w:snapToGrid w:val="0"/>
        <w:spacing w:line="600" w:lineRule="exact"/>
        <w:jc w:val="center"/>
        <w:rPr>
          <w:rFonts w:ascii="宋体" w:hAnsi="宋体" w:cs="宋体"/>
          <w:b/>
          <w:bCs/>
          <w:color w:val="000000"/>
          <w:sz w:val="28"/>
          <w:szCs w:val="28"/>
        </w:rPr>
      </w:pPr>
      <w:r>
        <w:rPr>
          <w:rFonts w:hint="eastAsia" w:ascii="宋体" w:hAnsi="宋体" w:cs="宋体"/>
          <w:b/>
          <w:bCs/>
          <w:color w:val="000000"/>
          <w:sz w:val="28"/>
          <w:szCs w:val="28"/>
        </w:rPr>
        <w:t>四、依法缴纳税收和社会保障资金的承诺函</w:t>
      </w:r>
    </w:p>
    <w:p>
      <w:pPr>
        <w:spacing w:line="600" w:lineRule="exact"/>
        <w:rPr>
          <w:rFonts w:ascii="宋体" w:hAnsi="宋体" w:cs="宋体"/>
          <w:b/>
          <w:color w:val="000000"/>
          <w:kern w:val="0"/>
          <w:sz w:val="24"/>
          <w:szCs w:val="24"/>
          <w:u w:val="single"/>
        </w:rPr>
      </w:pPr>
    </w:p>
    <w:p>
      <w:pPr>
        <w:shd w:val="clear" w:color="auto" w:fill="FFFFFF"/>
        <w:snapToGrid w:val="0"/>
        <w:spacing w:line="600" w:lineRule="exact"/>
        <w:rPr>
          <w:rFonts w:ascii="宋体" w:hAnsi="宋体" w:cs="宋体"/>
          <w:color w:val="000000"/>
          <w:sz w:val="24"/>
          <w:szCs w:val="24"/>
        </w:rPr>
      </w:pPr>
      <w:r>
        <w:rPr>
          <w:rFonts w:hint="eastAsia" w:ascii="宋体" w:hAnsi="宋体" w:cs="宋体"/>
          <w:color w:val="000000"/>
          <w:sz w:val="24"/>
          <w:szCs w:val="24"/>
        </w:rPr>
        <w:t>浙江省杭州市中级人民法院、大地工程咨询有限公司</w:t>
      </w:r>
      <w:r>
        <w:rPr>
          <w:rFonts w:hint="eastAsia" w:ascii="宋体" w:hAnsi="宋体" w:cs="宋体"/>
          <w:color w:val="000000"/>
          <w:kern w:val="0"/>
          <w:sz w:val="24"/>
          <w:szCs w:val="24"/>
        </w:rPr>
        <w:t>：</w:t>
      </w:r>
    </w:p>
    <w:p>
      <w:pPr>
        <w:spacing w:line="60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我公司郑重声明，我公司严格依法缴纳税收和社会保障资金，本文件中所提供的相关材料均真实有效，不存在虚假、造假行为。如有违反，愿承担一切责任。</w:t>
      </w:r>
    </w:p>
    <w:p>
      <w:pPr>
        <w:spacing w:line="600" w:lineRule="exact"/>
        <w:ind w:firstLine="480" w:firstLineChars="200"/>
        <w:rPr>
          <w:rFonts w:ascii="宋体" w:hAnsi="宋体" w:cs="宋体"/>
          <w:color w:val="000000"/>
          <w:kern w:val="0"/>
          <w:sz w:val="24"/>
          <w:szCs w:val="24"/>
        </w:rPr>
      </w:pPr>
    </w:p>
    <w:p>
      <w:pPr>
        <w:spacing w:line="60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特此承诺！</w:t>
      </w:r>
    </w:p>
    <w:p>
      <w:pPr>
        <w:widowControl/>
        <w:snapToGrid w:val="0"/>
        <w:spacing w:line="600" w:lineRule="exact"/>
        <w:ind w:firstLine="480" w:firstLineChars="200"/>
        <w:jc w:val="left"/>
        <w:rPr>
          <w:rFonts w:ascii="宋体" w:hAnsi="宋体" w:cs="宋体"/>
          <w:color w:val="000000"/>
          <w:kern w:val="0"/>
          <w:sz w:val="24"/>
          <w:szCs w:val="24"/>
        </w:rPr>
      </w:pPr>
    </w:p>
    <w:p>
      <w:pPr>
        <w:widowControl/>
        <w:snapToGrid w:val="0"/>
        <w:spacing w:line="6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供应商名称（盖章） ：</w:t>
      </w:r>
    </w:p>
    <w:p>
      <w:pPr>
        <w:widowControl/>
        <w:snapToGrid w:val="0"/>
        <w:spacing w:line="6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法定代表人或其授权代表（签字或盖章）：</w:t>
      </w:r>
    </w:p>
    <w:p>
      <w:pPr>
        <w:widowControl/>
        <w:snapToGrid w:val="0"/>
        <w:spacing w:line="600" w:lineRule="exact"/>
        <w:ind w:firstLine="480" w:firstLineChars="200"/>
        <w:jc w:val="left"/>
        <w:rPr>
          <w:rFonts w:ascii="宋体" w:hAnsi="宋体" w:cs="宋体"/>
          <w:color w:val="000000"/>
          <w:kern w:val="0"/>
          <w:sz w:val="24"/>
          <w:szCs w:val="24"/>
        </w:rPr>
      </w:pPr>
    </w:p>
    <w:p>
      <w:pPr>
        <w:widowControl/>
        <w:snapToGrid w:val="0"/>
        <w:spacing w:line="6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日期：     年  月  日</w:t>
      </w:r>
    </w:p>
    <w:p>
      <w:pPr>
        <w:pStyle w:val="3"/>
        <w:snapToGrid w:val="0"/>
        <w:spacing w:line="600" w:lineRule="exact"/>
        <w:jc w:val="center"/>
        <w:rPr>
          <w:rFonts w:ascii="宋体" w:hAnsi="宋体" w:cs="宋体"/>
          <w:color w:val="000000"/>
          <w:kern w:val="2"/>
          <w:sz w:val="28"/>
          <w:szCs w:val="28"/>
        </w:rPr>
        <w:sectPr>
          <w:pgSz w:w="11850" w:h="16783"/>
          <w:pgMar w:top="993" w:right="1474" w:bottom="1134" w:left="1474" w:header="851" w:footer="641" w:gutter="0"/>
          <w:cols w:space="720" w:num="1"/>
          <w:docGrid w:type="lines" w:linePitch="315" w:charSpace="0"/>
        </w:sectPr>
      </w:pPr>
      <w:bookmarkStart w:id="49" w:name="_Toc14988"/>
      <w:bookmarkStart w:id="50" w:name="_Toc28957"/>
      <w:bookmarkStart w:id="51" w:name="_Toc31544"/>
      <w:bookmarkStart w:id="52" w:name="_Toc10630"/>
      <w:bookmarkStart w:id="53" w:name="_Toc13669"/>
      <w:bookmarkStart w:id="54" w:name="_Toc6606"/>
      <w:bookmarkStart w:id="55" w:name="_Toc18304"/>
      <w:bookmarkStart w:id="56" w:name="_Toc27119255"/>
      <w:bookmarkStart w:id="57" w:name="_Toc14589"/>
      <w:bookmarkStart w:id="58" w:name="_Toc11360"/>
      <w:bookmarkStart w:id="59" w:name="_Toc31784"/>
      <w:bookmarkStart w:id="60" w:name="_Toc33194406"/>
    </w:p>
    <w:p>
      <w:pPr>
        <w:pStyle w:val="3"/>
        <w:snapToGrid w:val="0"/>
        <w:spacing w:line="600" w:lineRule="exact"/>
        <w:jc w:val="center"/>
        <w:rPr>
          <w:rFonts w:ascii="宋体" w:hAnsi="宋体" w:cs="宋体"/>
          <w:color w:val="000000"/>
          <w:kern w:val="2"/>
          <w:sz w:val="28"/>
          <w:szCs w:val="28"/>
        </w:rPr>
      </w:pPr>
      <w:r>
        <w:rPr>
          <w:rFonts w:hint="eastAsia" w:ascii="宋体" w:hAnsi="宋体" w:cs="宋体"/>
          <w:color w:val="000000"/>
          <w:kern w:val="2"/>
          <w:sz w:val="28"/>
          <w:szCs w:val="28"/>
        </w:rPr>
        <w:t>五、参加政府采购活动前3年内在经营活动中没有重大违法记录的声明函</w:t>
      </w:r>
      <w:bookmarkEnd w:id="49"/>
      <w:bookmarkEnd w:id="50"/>
      <w:bookmarkEnd w:id="51"/>
      <w:bookmarkEnd w:id="52"/>
      <w:bookmarkEnd w:id="53"/>
      <w:bookmarkEnd w:id="54"/>
      <w:bookmarkEnd w:id="55"/>
      <w:bookmarkEnd w:id="56"/>
      <w:bookmarkEnd w:id="57"/>
      <w:bookmarkEnd w:id="58"/>
      <w:bookmarkEnd w:id="59"/>
      <w:bookmarkEnd w:id="60"/>
    </w:p>
    <w:p>
      <w:pPr>
        <w:shd w:val="clear" w:color="auto" w:fill="FFFFFF"/>
        <w:snapToGrid w:val="0"/>
        <w:spacing w:line="600" w:lineRule="exact"/>
        <w:rPr>
          <w:rFonts w:ascii="宋体" w:hAnsi="宋体" w:cs="宋体"/>
          <w:color w:val="000000"/>
          <w:sz w:val="24"/>
          <w:szCs w:val="24"/>
        </w:rPr>
      </w:pPr>
      <w:r>
        <w:rPr>
          <w:rFonts w:hint="eastAsia" w:ascii="宋体" w:hAnsi="宋体" w:cs="宋体"/>
          <w:color w:val="000000"/>
          <w:sz w:val="24"/>
          <w:szCs w:val="24"/>
        </w:rPr>
        <w:t>浙江省杭州市中级人民法院、大地工程咨询有限公司</w:t>
      </w:r>
      <w:r>
        <w:rPr>
          <w:rFonts w:hint="eastAsia" w:ascii="宋体" w:hAnsi="宋体" w:cs="宋体"/>
          <w:color w:val="000000"/>
          <w:kern w:val="0"/>
          <w:sz w:val="24"/>
          <w:szCs w:val="24"/>
        </w:rPr>
        <w:t>：</w:t>
      </w:r>
    </w:p>
    <w:p>
      <w:pPr>
        <w:widowControl/>
        <w:snapToGrid w:val="0"/>
        <w:spacing w:line="6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我方</w:t>
      </w:r>
      <w:r>
        <w:rPr>
          <w:rFonts w:hint="eastAsia" w:ascii="宋体" w:hAnsi="宋体" w:cs="宋体"/>
          <w:color w:val="000000"/>
          <w:kern w:val="0"/>
          <w:sz w:val="24"/>
          <w:szCs w:val="24"/>
          <w:u w:val="single"/>
        </w:rPr>
        <w:t xml:space="preserve"> （供应商）</w:t>
      </w:r>
      <w:r>
        <w:rPr>
          <w:rFonts w:hint="eastAsia" w:ascii="宋体" w:hAnsi="宋体" w:cs="宋体"/>
          <w:color w:val="000000"/>
          <w:kern w:val="0"/>
          <w:sz w:val="24"/>
          <w:szCs w:val="24"/>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6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特此承诺！</w:t>
      </w:r>
    </w:p>
    <w:p>
      <w:pPr>
        <w:widowControl/>
        <w:snapToGrid w:val="0"/>
        <w:spacing w:line="6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供应商名称（盖章） ：</w:t>
      </w:r>
    </w:p>
    <w:p>
      <w:pPr>
        <w:widowControl/>
        <w:snapToGrid w:val="0"/>
        <w:spacing w:line="6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法定代表人或其授权代表（签字或盖章）：</w:t>
      </w:r>
    </w:p>
    <w:p>
      <w:pPr>
        <w:widowControl/>
        <w:snapToGrid w:val="0"/>
        <w:spacing w:line="600" w:lineRule="exact"/>
        <w:ind w:firstLine="480" w:firstLineChars="200"/>
        <w:jc w:val="left"/>
        <w:rPr>
          <w:rFonts w:ascii="宋体" w:hAnsi="宋体" w:cs="宋体"/>
          <w:color w:val="000000"/>
          <w:kern w:val="0"/>
          <w:sz w:val="24"/>
          <w:szCs w:val="24"/>
        </w:rPr>
      </w:pPr>
    </w:p>
    <w:p>
      <w:pPr>
        <w:widowControl/>
        <w:snapToGrid w:val="0"/>
        <w:spacing w:line="6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日期：     年  月  日</w:t>
      </w:r>
    </w:p>
    <w:p>
      <w:pPr>
        <w:pStyle w:val="4"/>
        <w:tabs>
          <w:tab w:val="left" w:pos="706"/>
          <w:tab w:val="left" w:pos="1110"/>
        </w:tabs>
        <w:spacing w:line="600" w:lineRule="exact"/>
        <w:ind w:left="106" w:firstLine="454"/>
        <w:rPr>
          <w:rFonts w:ascii="宋体" w:hAnsi="宋体" w:eastAsia="宋体" w:cs="宋体"/>
          <w:sz w:val="24"/>
          <w:szCs w:val="24"/>
        </w:rPr>
      </w:pPr>
    </w:p>
    <w:p>
      <w:pPr>
        <w:pStyle w:val="3"/>
        <w:snapToGrid w:val="0"/>
        <w:spacing w:line="600" w:lineRule="exact"/>
        <w:jc w:val="center"/>
        <w:rPr>
          <w:rFonts w:ascii="宋体" w:hAnsi="宋体" w:cs="宋体"/>
          <w:color w:val="000000"/>
          <w:kern w:val="2"/>
          <w:sz w:val="28"/>
          <w:szCs w:val="28"/>
        </w:rPr>
        <w:sectPr>
          <w:pgSz w:w="11850" w:h="16783"/>
          <w:pgMar w:top="993" w:right="1474" w:bottom="1134" w:left="1474" w:header="851" w:footer="641" w:gutter="0"/>
          <w:cols w:space="720" w:num="1"/>
          <w:docGrid w:type="lines" w:linePitch="315" w:charSpace="0"/>
        </w:sectPr>
      </w:pPr>
    </w:p>
    <w:p>
      <w:pPr>
        <w:pStyle w:val="3"/>
        <w:snapToGrid w:val="0"/>
        <w:spacing w:line="600" w:lineRule="exact"/>
        <w:jc w:val="center"/>
        <w:rPr>
          <w:rFonts w:ascii="宋体" w:hAnsi="宋体" w:cs="宋体"/>
          <w:color w:val="000000"/>
          <w:kern w:val="2"/>
          <w:sz w:val="28"/>
          <w:szCs w:val="28"/>
        </w:rPr>
      </w:pPr>
      <w:r>
        <w:rPr>
          <w:rFonts w:hint="eastAsia" w:ascii="宋体" w:hAnsi="宋体" w:cs="宋体"/>
          <w:color w:val="000000"/>
          <w:kern w:val="2"/>
          <w:sz w:val="28"/>
          <w:szCs w:val="28"/>
        </w:rPr>
        <w:t>六、与参加本次项目同一合同项下政府采购活动的其他供应商不存在单位负责人为同一人或者直接控股、管理关系的承诺函</w:t>
      </w:r>
    </w:p>
    <w:p>
      <w:pPr>
        <w:shd w:val="clear" w:color="auto" w:fill="FFFFFF"/>
        <w:snapToGrid w:val="0"/>
        <w:spacing w:line="600" w:lineRule="exact"/>
        <w:rPr>
          <w:rFonts w:ascii="宋体" w:hAnsi="宋体" w:cs="宋体"/>
          <w:color w:val="000000"/>
          <w:sz w:val="24"/>
          <w:szCs w:val="24"/>
        </w:rPr>
      </w:pPr>
      <w:r>
        <w:rPr>
          <w:rFonts w:hint="eastAsia" w:ascii="宋体" w:hAnsi="宋体" w:cs="宋体"/>
          <w:color w:val="000000"/>
          <w:sz w:val="24"/>
          <w:szCs w:val="24"/>
        </w:rPr>
        <w:t>浙江省杭州市中级人民法院、大地工程咨询有限公司</w:t>
      </w:r>
      <w:r>
        <w:rPr>
          <w:rFonts w:hint="eastAsia" w:ascii="宋体" w:hAnsi="宋体" w:cs="宋体"/>
          <w:color w:val="000000"/>
          <w:kern w:val="0"/>
          <w:sz w:val="24"/>
          <w:szCs w:val="24"/>
        </w:rPr>
        <w:t>：</w:t>
      </w:r>
    </w:p>
    <w:p>
      <w:pPr>
        <w:spacing w:line="60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我方郑重承诺，我方此次参加</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采购项目的投标，与参加本次项目同一合同项下政府采购活动的其他供应商不存在单位负责人为同一人或者直接控股、管理关系。如有虚假或隐瞒，愿意承担一切后果。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600" w:lineRule="exact"/>
        <w:jc w:val="center"/>
        <w:rPr>
          <w:rFonts w:ascii="宋体" w:hAnsi="宋体" w:cs="宋体"/>
          <w:b/>
          <w:color w:val="000000"/>
          <w:kern w:val="36"/>
          <w:sz w:val="24"/>
          <w:szCs w:val="24"/>
        </w:rPr>
      </w:pPr>
    </w:p>
    <w:p>
      <w:pPr>
        <w:widowControl/>
        <w:snapToGrid w:val="0"/>
        <w:spacing w:line="6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特此承诺！</w:t>
      </w:r>
    </w:p>
    <w:p>
      <w:pPr>
        <w:widowControl/>
        <w:snapToGrid w:val="0"/>
        <w:spacing w:line="600" w:lineRule="exact"/>
        <w:ind w:firstLine="480" w:firstLineChars="200"/>
        <w:jc w:val="left"/>
        <w:rPr>
          <w:rFonts w:ascii="宋体" w:hAnsi="宋体" w:cs="宋体"/>
          <w:color w:val="000000"/>
          <w:kern w:val="0"/>
          <w:sz w:val="24"/>
          <w:szCs w:val="24"/>
        </w:rPr>
      </w:pPr>
    </w:p>
    <w:p>
      <w:pPr>
        <w:widowControl/>
        <w:snapToGrid w:val="0"/>
        <w:spacing w:line="6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供应商名称（盖章） ：</w:t>
      </w:r>
    </w:p>
    <w:p>
      <w:pPr>
        <w:widowControl/>
        <w:snapToGrid w:val="0"/>
        <w:spacing w:line="6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法定代表人或其授权代表（签字或盖章）：</w:t>
      </w:r>
    </w:p>
    <w:p>
      <w:pPr>
        <w:widowControl/>
        <w:adjustRightInd w:val="0"/>
        <w:snapToGrid w:val="0"/>
        <w:spacing w:line="600" w:lineRule="exact"/>
        <w:ind w:firstLine="480" w:firstLineChars="200"/>
        <w:jc w:val="left"/>
        <w:rPr>
          <w:rFonts w:ascii="宋体" w:hAnsi="宋体" w:cs="宋体"/>
          <w:color w:val="000000"/>
          <w:kern w:val="0"/>
          <w:sz w:val="24"/>
          <w:szCs w:val="24"/>
        </w:rPr>
      </w:pPr>
    </w:p>
    <w:p>
      <w:pPr>
        <w:widowControl/>
        <w:adjustRightInd w:val="0"/>
        <w:snapToGrid w:val="0"/>
        <w:spacing w:line="6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日期：     年  月  日</w:t>
      </w:r>
    </w:p>
    <w:p>
      <w:pPr>
        <w:shd w:val="clear" w:color="auto" w:fill="FFFFFF"/>
        <w:snapToGrid w:val="0"/>
        <w:spacing w:line="600" w:lineRule="exact"/>
        <w:rPr>
          <w:rFonts w:ascii="宋体" w:hAnsi="宋体" w:cs="宋体"/>
          <w:color w:val="000000"/>
          <w:sz w:val="24"/>
          <w:szCs w:val="24"/>
        </w:rPr>
      </w:pPr>
    </w:p>
    <w:p>
      <w:pPr>
        <w:shd w:val="clear" w:color="auto" w:fill="FFFFFF"/>
        <w:snapToGrid w:val="0"/>
        <w:spacing w:line="600" w:lineRule="exact"/>
        <w:jc w:val="center"/>
        <w:rPr>
          <w:rFonts w:ascii="宋体" w:hAnsi="宋体" w:cs="宋体"/>
          <w:color w:val="000000"/>
          <w:sz w:val="24"/>
          <w:szCs w:val="24"/>
        </w:rPr>
      </w:pPr>
    </w:p>
    <w:p>
      <w:pPr>
        <w:spacing w:line="600" w:lineRule="exact"/>
        <w:jc w:val="center"/>
        <w:rPr>
          <w:rFonts w:ascii="宋体" w:hAnsi="宋体" w:cs="宋体"/>
          <w:b/>
          <w:color w:val="000000"/>
          <w:kern w:val="0"/>
          <w:sz w:val="24"/>
          <w:szCs w:val="24"/>
        </w:rPr>
        <w:sectPr>
          <w:pgSz w:w="11850" w:h="16783"/>
          <w:pgMar w:top="993" w:right="1474" w:bottom="1134" w:left="1474" w:header="851" w:footer="641" w:gutter="0"/>
          <w:cols w:space="720" w:num="1"/>
          <w:docGrid w:type="lines" w:linePitch="315" w:charSpace="0"/>
        </w:sectPr>
      </w:pPr>
    </w:p>
    <w:p>
      <w:pPr>
        <w:pStyle w:val="3"/>
        <w:snapToGrid w:val="0"/>
        <w:spacing w:line="600" w:lineRule="exact"/>
        <w:jc w:val="center"/>
        <w:rPr>
          <w:rFonts w:ascii="宋体" w:hAnsi="宋体" w:cs="宋体"/>
          <w:color w:val="000000"/>
          <w:kern w:val="2"/>
          <w:sz w:val="28"/>
          <w:szCs w:val="28"/>
        </w:rPr>
      </w:pPr>
      <w:r>
        <w:rPr>
          <w:rFonts w:hint="eastAsia" w:ascii="宋体" w:hAnsi="宋体" w:cs="宋体"/>
          <w:color w:val="000000"/>
          <w:kern w:val="2"/>
          <w:sz w:val="28"/>
          <w:szCs w:val="28"/>
        </w:rPr>
        <w:t>七、投标供应商没有失信记录承诺函</w:t>
      </w:r>
    </w:p>
    <w:p>
      <w:pPr>
        <w:shd w:val="clear" w:color="auto" w:fill="FFFFFF"/>
        <w:snapToGrid w:val="0"/>
        <w:spacing w:line="600" w:lineRule="exact"/>
        <w:rPr>
          <w:rFonts w:ascii="宋体" w:hAnsi="宋体" w:cs="宋体"/>
          <w:color w:val="000000"/>
          <w:sz w:val="24"/>
          <w:szCs w:val="24"/>
        </w:rPr>
      </w:pPr>
      <w:r>
        <w:rPr>
          <w:rFonts w:hint="eastAsia" w:ascii="宋体" w:hAnsi="宋体" w:cs="宋体"/>
          <w:color w:val="000000"/>
          <w:sz w:val="24"/>
          <w:szCs w:val="24"/>
        </w:rPr>
        <w:t>浙江省杭州市中级人民法院、大地工程咨询有限公司</w:t>
      </w:r>
      <w:r>
        <w:rPr>
          <w:rFonts w:hint="eastAsia" w:ascii="宋体" w:hAnsi="宋体" w:cs="宋体"/>
          <w:color w:val="000000"/>
          <w:kern w:val="0"/>
          <w:sz w:val="24"/>
          <w:szCs w:val="24"/>
        </w:rPr>
        <w:t>：</w:t>
      </w:r>
    </w:p>
    <w:p>
      <w:pPr>
        <w:spacing w:line="600" w:lineRule="exact"/>
        <w:ind w:firstLine="484" w:firstLineChars="202"/>
        <w:jc w:val="left"/>
        <w:rPr>
          <w:rFonts w:ascii="宋体" w:hAnsi="宋体" w:cs="宋体"/>
          <w:color w:val="000000"/>
          <w:kern w:val="0"/>
          <w:sz w:val="24"/>
          <w:szCs w:val="24"/>
        </w:rPr>
      </w:pPr>
      <w:r>
        <w:rPr>
          <w:rFonts w:hint="eastAsia" w:ascii="宋体" w:hAnsi="宋体" w:cs="宋体"/>
          <w:color w:val="000000"/>
          <w:kern w:val="0"/>
          <w:sz w:val="24"/>
          <w:szCs w:val="24"/>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pPr>
        <w:shd w:val="clear" w:color="auto" w:fill="FFFFFF"/>
        <w:snapToGrid w:val="0"/>
        <w:spacing w:line="600" w:lineRule="exact"/>
        <w:rPr>
          <w:rFonts w:ascii="宋体" w:hAnsi="宋体" w:cs="宋体"/>
          <w:color w:val="000000"/>
          <w:sz w:val="24"/>
          <w:szCs w:val="24"/>
        </w:rPr>
      </w:pPr>
    </w:p>
    <w:p>
      <w:pPr>
        <w:widowControl/>
        <w:snapToGrid w:val="0"/>
        <w:spacing w:line="6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特此承诺！</w:t>
      </w:r>
    </w:p>
    <w:p>
      <w:pPr>
        <w:pStyle w:val="2"/>
      </w:pPr>
    </w:p>
    <w:p>
      <w:pPr>
        <w:widowControl/>
        <w:snapToGrid w:val="0"/>
        <w:spacing w:line="600" w:lineRule="exact"/>
        <w:ind w:firstLine="480" w:firstLineChars="200"/>
        <w:jc w:val="left"/>
        <w:rPr>
          <w:rFonts w:ascii="宋体" w:hAnsi="宋体" w:cs="宋体"/>
          <w:color w:val="000000"/>
          <w:kern w:val="0"/>
          <w:sz w:val="24"/>
          <w:szCs w:val="24"/>
        </w:rPr>
      </w:pPr>
    </w:p>
    <w:p>
      <w:pPr>
        <w:widowControl/>
        <w:snapToGrid w:val="0"/>
        <w:spacing w:line="6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供应商名称（盖章） ：</w:t>
      </w:r>
    </w:p>
    <w:p>
      <w:pPr>
        <w:widowControl/>
        <w:snapToGrid w:val="0"/>
        <w:spacing w:line="6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法定代表人或其授权代表（签字或盖章）：</w:t>
      </w:r>
    </w:p>
    <w:p>
      <w:pPr>
        <w:widowControl/>
        <w:adjustRightInd w:val="0"/>
        <w:snapToGrid w:val="0"/>
        <w:spacing w:line="600" w:lineRule="exact"/>
        <w:ind w:firstLine="480" w:firstLineChars="200"/>
        <w:jc w:val="left"/>
        <w:rPr>
          <w:rFonts w:ascii="宋体" w:hAnsi="宋体" w:cs="宋体"/>
          <w:color w:val="000000"/>
          <w:kern w:val="0"/>
          <w:sz w:val="24"/>
          <w:szCs w:val="24"/>
        </w:rPr>
      </w:pPr>
    </w:p>
    <w:p>
      <w:pPr>
        <w:widowControl/>
        <w:adjustRightInd w:val="0"/>
        <w:snapToGrid w:val="0"/>
        <w:spacing w:line="6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日期：     年  月  日</w:t>
      </w:r>
    </w:p>
    <w:p>
      <w:pPr>
        <w:snapToGrid w:val="0"/>
        <w:spacing w:before="120" w:beforeLines="50" w:after="50"/>
        <w:rPr>
          <w:rFonts w:ascii="宋体" w:hAnsi="宋体" w:cs="宋体"/>
          <w:sz w:val="28"/>
          <w:szCs w:val="28"/>
        </w:rPr>
      </w:pPr>
    </w:p>
    <w:p>
      <w:pPr>
        <w:snapToGrid w:val="0"/>
        <w:spacing w:before="120" w:beforeLines="50" w:after="50"/>
        <w:rPr>
          <w:rFonts w:ascii="宋体" w:hAnsi="宋体" w:cs="宋体"/>
          <w:sz w:val="28"/>
          <w:szCs w:val="28"/>
        </w:rPr>
      </w:pPr>
    </w:p>
    <w:p>
      <w:pPr>
        <w:snapToGrid w:val="0"/>
        <w:spacing w:before="120" w:beforeLines="50" w:after="50"/>
        <w:rPr>
          <w:rFonts w:ascii="宋体" w:hAnsi="宋体" w:cs="宋体"/>
          <w:sz w:val="28"/>
          <w:szCs w:val="28"/>
        </w:rPr>
      </w:pPr>
    </w:p>
    <w:p>
      <w:pPr>
        <w:snapToGrid w:val="0"/>
        <w:spacing w:before="120" w:beforeLines="50" w:after="50"/>
        <w:rPr>
          <w:rFonts w:ascii="宋体" w:hAnsi="宋体" w:cs="宋体"/>
          <w:sz w:val="28"/>
          <w:szCs w:val="28"/>
        </w:rPr>
      </w:pPr>
    </w:p>
    <w:p>
      <w:pPr>
        <w:snapToGrid w:val="0"/>
        <w:spacing w:before="120" w:beforeLines="50" w:after="50"/>
        <w:rPr>
          <w:rFonts w:ascii="宋体" w:hAnsi="宋体" w:cs="宋体"/>
          <w:sz w:val="28"/>
          <w:szCs w:val="28"/>
        </w:rPr>
      </w:pPr>
    </w:p>
    <w:p>
      <w:pPr>
        <w:snapToGrid w:val="0"/>
        <w:spacing w:before="120" w:beforeLines="50" w:after="50"/>
        <w:rPr>
          <w:rFonts w:ascii="宋体" w:hAnsi="宋体" w:cs="宋体"/>
          <w:sz w:val="28"/>
          <w:szCs w:val="28"/>
        </w:rPr>
      </w:pPr>
    </w:p>
    <w:p>
      <w:pPr>
        <w:snapToGrid w:val="0"/>
        <w:spacing w:before="120" w:beforeLines="50" w:after="50"/>
        <w:rPr>
          <w:rFonts w:ascii="宋体" w:hAnsi="宋体" w:cs="宋体"/>
          <w:sz w:val="28"/>
          <w:szCs w:val="28"/>
        </w:rPr>
      </w:pPr>
    </w:p>
    <w:p>
      <w:pPr>
        <w:snapToGrid w:val="0"/>
        <w:spacing w:before="120" w:beforeLines="50" w:after="50"/>
        <w:rPr>
          <w:rFonts w:ascii="宋体"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snapToGrid w:val="0"/>
        <w:spacing w:before="120" w:beforeLines="50" w:after="50"/>
        <w:rPr>
          <w:rFonts w:ascii="宋体" w:hAnsi="宋体" w:cs="宋体"/>
          <w:sz w:val="28"/>
          <w:szCs w:val="28"/>
        </w:rPr>
      </w:pPr>
    </w:p>
    <w:p>
      <w:pPr>
        <w:snapToGrid w:val="0"/>
        <w:spacing w:before="120" w:beforeLines="50" w:after="50"/>
        <w:rPr>
          <w:rFonts w:ascii="宋体" w:hAnsi="宋体" w:cs="宋体"/>
          <w:b/>
          <w:sz w:val="28"/>
          <w:szCs w:val="28"/>
        </w:rPr>
      </w:pPr>
      <w:r>
        <w:rPr>
          <w:rFonts w:hint="eastAsia" w:ascii="宋体" w:hAnsi="宋体" w:cs="宋体"/>
          <w:sz w:val="28"/>
          <w:szCs w:val="28"/>
        </w:rPr>
        <w:t>附件</w:t>
      </w:r>
      <w:r>
        <w:rPr>
          <w:rFonts w:hint="eastAsia" w:ascii="宋体" w:hAnsi="宋体" w:cs="宋体"/>
          <w:b/>
          <w:sz w:val="28"/>
          <w:szCs w:val="28"/>
        </w:rPr>
        <w:t xml:space="preserve">：                                          </w:t>
      </w:r>
    </w:p>
    <w:p>
      <w:pPr>
        <w:snapToGrid w:val="0"/>
        <w:spacing w:before="120" w:beforeLines="50" w:after="50"/>
        <w:jc w:val="right"/>
        <w:rPr>
          <w:rFonts w:ascii="宋体" w:hAnsi="宋体" w:cs="宋体"/>
          <w:b/>
          <w:sz w:val="28"/>
          <w:szCs w:val="28"/>
        </w:rPr>
      </w:pPr>
      <w:r>
        <w:rPr>
          <w:rFonts w:hint="eastAsia" w:ascii="宋体" w:hAnsi="宋体" w:cs="宋体"/>
          <w:bCs/>
          <w:sz w:val="28"/>
          <w:szCs w:val="28"/>
        </w:rPr>
        <w:t>正本或副本</w:t>
      </w:r>
    </w:p>
    <w:p>
      <w:pPr>
        <w:snapToGrid w:val="0"/>
        <w:spacing w:before="120" w:beforeLines="50" w:after="50"/>
        <w:ind w:right="600"/>
        <w:jc w:val="center"/>
        <w:rPr>
          <w:rFonts w:ascii="宋体" w:hAnsi="宋体" w:cs="宋体"/>
          <w:spacing w:val="40"/>
          <w:sz w:val="36"/>
          <w:szCs w:val="36"/>
        </w:rPr>
      </w:pPr>
      <w:r>
        <w:rPr>
          <w:rFonts w:hint="eastAsia" w:ascii="宋体" w:hAnsi="宋体" w:cs="宋体"/>
          <w:spacing w:val="40"/>
          <w:sz w:val="36"/>
          <w:szCs w:val="36"/>
        </w:rPr>
        <w:t xml:space="preserve">   ***项目名称</w:t>
      </w:r>
    </w:p>
    <w:p>
      <w:pPr>
        <w:spacing w:before="240" w:beforeLines="100"/>
        <w:ind w:right="-108"/>
        <w:rPr>
          <w:rFonts w:ascii="宋体" w:hAnsi="宋体" w:cs="宋体"/>
          <w:sz w:val="36"/>
          <w:szCs w:val="36"/>
        </w:rPr>
      </w:pPr>
      <w:r>
        <w:rPr>
          <w:rFonts w:hint="eastAsia" w:ascii="宋体" w:hAnsi="宋体" w:cs="宋体"/>
          <w:sz w:val="36"/>
          <w:szCs w:val="36"/>
        </w:rPr>
        <w:t xml:space="preserve">          项目编号：DDZX2020-GK-089</w:t>
      </w:r>
    </w:p>
    <w:p>
      <w:pPr>
        <w:spacing w:before="240" w:beforeLines="100"/>
        <w:ind w:right="-108"/>
        <w:jc w:val="center"/>
        <w:rPr>
          <w:rFonts w:ascii="宋体" w:hAnsi="宋体" w:cs="宋体"/>
          <w:sz w:val="36"/>
          <w:szCs w:val="36"/>
        </w:rPr>
      </w:pPr>
    </w:p>
    <w:p>
      <w:pPr>
        <w:pStyle w:val="78"/>
        <w:rPr>
          <w:rFonts w:cs="宋体"/>
        </w:rPr>
      </w:pPr>
    </w:p>
    <w:p>
      <w:pPr>
        <w:spacing w:after="100" w:afterAutospacing="1"/>
        <w:ind w:right="-108"/>
        <w:jc w:val="center"/>
        <w:rPr>
          <w:rFonts w:ascii="宋体" w:hAnsi="宋体" w:cs="宋体"/>
          <w:b/>
          <w:spacing w:val="40"/>
          <w:sz w:val="52"/>
          <w:szCs w:val="52"/>
        </w:rPr>
      </w:pPr>
      <w:r>
        <w:rPr>
          <w:rFonts w:hint="eastAsia" w:ascii="宋体" w:hAnsi="宋体" w:cs="宋体"/>
          <w:b/>
          <w:spacing w:val="40"/>
          <w:sz w:val="52"/>
          <w:szCs w:val="52"/>
        </w:rPr>
        <w:t>商</w:t>
      </w:r>
    </w:p>
    <w:p>
      <w:pPr>
        <w:spacing w:after="100" w:afterAutospacing="1"/>
        <w:ind w:right="-108"/>
        <w:jc w:val="center"/>
        <w:rPr>
          <w:rFonts w:ascii="宋体" w:hAnsi="宋体" w:cs="宋体"/>
          <w:b/>
          <w:spacing w:val="40"/>
          <w:sz w:val="52"/>
          <w:szCs w:val="52"/>
        </w:rPr>
      </w:pPr>
      <w:r>
        <w:rPr>
          <w:rFonts w:hint="eastAsia" w:ascii="宋体" w:hAnsi="宋体" w:cs="宋体"/>
          <w:b/>
          <w:spacing w:val="40"/>
          <w:sz w:val="52"/>
          <w:szCs w:val="52"/>
        </w:rPr>
        <w:t>务</w:t>
      </w:r>
    </w:p>
    <w:p>
      <w:pPr>
        <w:spacing w:after="100" w:afterAutospacing="1"/>
        <w:ind w:right="-108"/>
        <w:jc w:val="center"/>
        <w:rPr>
          <w:rFonts w:ascii="宋体" w:hAnsi="宋体" w:cs="宋体"/>
          <w:b/>
          <w:spacing w:val="40"/>
          <w:sz w:val="52"/>
          <w:szCs w:val="52"/>
        </w:rPr>
      </w:pPr>
      <w:r>
        <w:rPr>
          <w:rFonts w:hint="eastAsia" w:ascii="宋体" w:hAnsi="宋体" w:cs="宋体"/>
          <w:b/>
          <w:spacing w:val="40"/>
          <w:sz w:val="52"/>
          <w:szCs w:val="52"/>
        </w:rPr>
        <w:t>及</w:t>
      </w:r>
    </w:p>
    <w:p>
      <w:pPr>
        <w:spacing w:after="100" w:afterAutospacing="1"/>
        <w:ind w:right="-108"/>
        <w:jc w:val="center"/>
        <w:rPr>
          <w:rFonts w:ascii="宋体" w:hAnsi="宋体" w:cs="宋体"/>
          <w:b/>
          <w:spacing w:val="40"/>
          <w:sz w:val="52"/>
          <w:szCs w:val="52"/>
        </w:rPr>
      </w:pPr>
      <w:r>
        <w:rPr>
          <w:rFonts w:hint="eastAsia" w:ascii="宋体" w:hAnsi="宋体" w:cs="宋体"/>
          <w:b/>
          <w:spacing w:val="40"/>
          <w:sz w:val="52"/>
          <w:szCs w:val="52"/>
        </w:rPr>
        <w:t>技</w:t>
      </w:r>
    </w:p>
    <w:p>
      <w:pPr>
        <w:spacing w:after="100" w:afterAutospacing="1"/>
        <w:ind w:right="-108"/>
        <w:jc w:val="center"/>
        <w:rPr>
          <w:rFonts w:ascii="宋体" w:hAnsi="宋体" w:cs="宋体"/>
          <w:b/>
          <w:spacing w:val="40"/>
          <w:sz w:val="52"/>
          <w:szCs w:val="52"/>
        </w:rPr>
      </w:pPr>
      <w:r>
        <w:rPr>
          <w:rFonts w:hint="eastAsia" w:ascii="宋体" w:hAnsi="宋体" w:cs="宋体"/>
          <w:b/>
          <w:spacing w:val="40"/>
          <w:sz w:val="52"/>
          <w:szCs w:val="52"/>
        </w:rPr>
        <w:t>术</w:t>
      </w:r>
    </w:p>
    <w:p>
      <w:pPr>
        <w:spacing w:after="100" w:afterAutospacing="1"/>
        <w:ind w:right="-108"/>
        <w:jc w:val="center"/>
        <w:rPr>
          <w:rFonts w:ascii="宋体" w:hAnsi="宋体" w:cs="宋体"/>
          <w:b/>
          <w:spacing w:val="40"/>
          <w:sz w:val="52"/>
          <w:szCs w:val="52"/>
        </w:rPr>
      </w:pPr>
      <w:r>
        <w:rPr>
          <w:rFonts w:hint="eastAsia" w:ascii="宋体" w:hAnsi="宋体" w:cs="宋体"/>
          <w:b/>
          <w:spacing w:val="40"/>
          <w:sz w:val="52"/>
          <w:szCs w:val="52"/>
        </w:rPr>
        <w:t>文</w:t>
      </w:r>
    </w:p>
    <w:p>
      <w:pPr>
        <w:spacing w:after="100" w:afterAutospacing="1"/>
        <w:ind w:right="-108"/>
        <w:jc w:val="center"/>
        <w:rPr>
          <w:rFonts w:ascii="宋体" w:hAnsi="宋体" w:cs="宋体"/>
          <w:b/>
          <w:spacing w:val="40"/>
          <w:sz w:val="52"/>
          <w:szCs w:val="52"/>
        </w:rPr>
      </w:pPr>
      <w:r>
        <w:rPr>
          <w:rFonts w:hint="eastAsia" w:ascii="宋体" w:hAnsi="宋体" w:cs="宋体"/>
          <w:b/>
          <w:spacing w:val="40"/>
          <w:sz w:val="52"/>
          <w:szCs w:val="52"/>
        </w:rPr>
        <w:t>件</w:t>
      </w:r>
    </w:p>
    <w:p>
      <w:pPr>
        <w:ind w:right="532"/>
        <w:jc w:val="center"/>
        <w:rPr>
          <w:rFonts w:ascii="宋体" w:hAnsi="宋体" w:cs="宋体"/>
          <w:sz w:val="36"/>
          <w:szCs w:val="36"/>
        </w:rPr>
      </w:pPr>
    </w:p>
    <w:p>
      <w:pPr>
        <w:pStyle w:val="78"/>
        <w:rPr>
          <w:rFonts w:cs="宋体"/>
          <w:sz w:val="36"/>
          <w:szCs w:val="36"/>
        </w:rPr>
      </w:pPr>
    </w:p>
    <w:p>
      <w:pPr>
        <w:pStyle w:val="78"/>
        <w:rPr>
          <w:rFonts w:cs="宋体"/>
          <w:sz w:val="36"/>
          <w:szCs w:val="36"/>
        </w:rPr>
      </w:pPr>
    </w:p>
    <w:p>
      <w:pPr>
        <w:pStyle w:val="78"/>
        <w:rPr>
          <w:rFonts w:cs="宋体"/>
          <w:sz w:val="36"/>
          <w:szCs w:val="36"/>
        </w:rPr>
      </w:pPr>
    </w:p>
    <w:p>
      <w:pPr>
        <w:ind w:right="532" w:firstLine="640" w:firstLineChars="200"/>
        <w:rPr>
          <w:rFonts w:ascii="宋体" w:hAnsi="宋体" w:cs="宋体"/>
          <w:sz w:val="32"/>
          <w:szCs w:val="32"/>
        </w:rPr>
      </w:pPr>
      <w:r>
        <w:rPr>
          <w:rFonts w:hint="eastAsia" w:ascii="宋体" w:hAnsi="宋体" w:cs="宋体"/>
          <w:sz w:val="32"/>
          <w:szCs w:val="32"/>
        </w:rPr>
        <w:t>单位全称（公章）：</w:t>
      </w:r>
    </w:p>
    <w:p>
      <w:pPr>
        <w:ind w:right="532" w:firstLine="640" w:firstLineChars="200"/>
        <w:rPr>
          <w:rFonts w:ascii="宋体" w:hAnsi="宋体" w:cs="宋体"/>
          <w:sz w:val="32"/>
          <w:szCs w:val="32"/>
        </w:rPr>
      </w:pPr>
      <w:r>
        <w:rPr>
          <w:rFonts w:hint="eastAsia" w:ascii="宋体" w:hAnsi="宋体" w:cs="宋体"/>
          <w:sz w:val="32"/>
          <w:szCs w:val="32"/>
        </w:rPr>
        <w:t>地    址：</w:t>
      </w:r>
    </w:p>
    <w:p>
      <w:pPr>
        <w:ind w:right="532" w:firstLine="640" w:firstLineChars="200"/>
        <w:rPr>
          <w:rFonts w:ascii="宋体" w:hAnsi="宋体" w:cs="宋体"/>
          <w:sz w:val="32"/>
          <w:szCs w:val="32"/>
        </w:rPr>
      </w:pPr>
      <w:r>
        <w:rPr>
          <w:rFonts w:hint="eastAsia" w:ascii="宋体" w:hAnsi="宋体" w:cs="宋体"/>
          <w:sz w:val="32"/>
          <w:szCs w:val="32"/>
        </w:rPr>
        <w:t>时    间：</w:t>
      </w:r>
    </w:p>
    <w:p>
      <w:pPr>
        <w:pStyle w:val="78"/>
        <w:rPr>
          <w:rFonts w:cs="宋体"/>
          <w:lang w:val="en-US"/>
        </w:rPr>
      </w:pPr>
    </w:p>
    <w:p>
      <w:pPr>
        <w:snapToGrid w:val="0"/>
        <w:spacing w:line="360" w:lineRule="auto"/>
        <w:ind w:firstLine="422" w:firstLineChars="200"/>
        <w:jc w:val="left"/>
        <w:rPr>
          <w:rFonts w:ascii="宋体" w:hAnsi="宋体" w:cs="宋体"/>
          <w:b/>
          <w:bCs/>
          <w:szCs w:val="21"/>
        </w:rPr>
      </w:pPr>
    </w:p>
    <w:p>
      <w:pPr>
        <w:snapToGrid w:val="0"/>
        <w:spacing w:line="360" w:lineRule="auto"/>
        <w:ind w:firstLine="422" w:firstLineChars="200"/>
        <w:jc w:val="left"/>
        <w:rPr>
          <w:rFonts w:ascii="宋体" w:hAnsi="宋体" w:cs="宋体"/>
          <w:b/>
          <w:bCs/>
          <w:szCs w:val="21"/>
        </w:rPr>
      </w:pPr>
    </w:p>
    <w:p>
      <w:pPr>
        <w:shd w:val="clear" w:color="auto" w:fill="FFFFFF"/>
        <w:snapToGrid w:val="0"/>
        <w:spacing w:line="600" w:lineRule="exact"/>
        <w:jc w:val="center"/>
        <w:rPr>
          <w:rFonts w:ascii="宋体" w:hAnsi="宋体" w:cs="宋体"/>
          <w:b/>
          <w:color w:val="000000"/>
          <w:kern w:val="0"/>
          <w:sz w:val="24"/>
          <w:szCs w:val="24"/>
        </w:rPr>
      </w:pPr>
      <w:bookmarkStart w:id="61" w:name="_Toc27129"/>
      <w:bookmarkStart w:id="62" w:name="_Toc13349"/>
      <w:bookmarkStart w:id="63" w:name="_Toc25554"/>
      <w:bookmarkStart w:id="64" w:name="_Toc7049"/>
      <w:bookmarkStart w:id="65" w:name="_Toc31837"/>
      <w:bookmarkStart w:id="66" w:name="_Toc3604"/>
      <w:bookmarkStart w:id="67" w:name="_Toc7803"/>
      <w:bookmarkStart w:id="68" w:name="_Toc20721"/>
      <w:bookmarkStart w:id="69" w:name="_Toc20650"/>
      <w:bookmarkStart w:id="70" w:name="_Toc13194"/>
      <w:bookmarkStart w:id="71" w:name="_Toc10347"/>
      <w:r>
        <w:rPr>
          <w:rFonts w:hint="eastAsia" w:ascii="宋体" w:hAnsi="宋体" w:cs="宋体"/>
          <w:b/>
          <w:color w:val="000000"/>
          <w:kern w:val="0"/>
          <w:sz w:val="24"/>
          <w:szCs w:val="24"/>
        </w:rPr>
        <w:t>目录</w:t>
      </w:r>
      <w:bookmarkEnd w:id="61"/>
      <w:bookmarkEnd w:id="62"/>
      <w:bookmarkEnd w:id="63"/>
      <w:bookmarkEnd w:id="64"/>
      <w:bookmarkEnd w:id="65"/>
      <w:bookmarkEnd w:id="66"/>
      <w:bookmarkEnd w:id="67"/>
      <w:bookmarkEnd w:id="68"/>
      <w:bookmarkEnd w:id="69"/>
      <w:bookmarkEnd w:id="70"/>
      <w:bookmarkEnd w:id="71"/>
    </w:p>
    <w:p>
      <w:pPr>
        <w:shd w:val="clear" w:color="auto" w:fill="FFFFFF"/>
        <w:snapToGrid w:val="0"/>
        <w:spacing w:line="600" w:lineRule="exact"/>
        <w:jc w:val="left"/>
        <w:rPr>
          <w:rFonts w:ascii="宋体" w:hAnsi="宋体" w:cs="宋体"/>
          <w:color w:val="000000"/>
          <w:sz w:val="24"/>
          <w:szCs w:val="24"/>
        </w:rPr>
      </w:pPr>
      <w:r>
        <w:rPr>
          <w:rFonts w:hint="eastAsia" w:ascii="宋体" w:hAnsi="宋体" w:cs="宋体"/>
          <w:color w:val="000000"/>
          <w:sz w:val="24"/>
          <w:szCs w:val="24"/>
        </w:rPr>
        <w:t>（1）对项目总体架构的理解（整体分析：阐述对招标文件技需求的理解，分析项目的建设目标、建设任务和要求）；</w:t>
      </w:r>
    </w:p>
    <w:p>
      <w:pPr>
        <w:shd w:val="clear" w:color="auto" w:fill="FFFFFF"/>
        <w:snapToGrid w:val="0"/>
        <w:spacing w:line="600" w:lineRule="exact"/>
        <w:jc w:val="left"/>
        <w:rPr>
          <w:rFonts w:ascii="宋体" w:hAnsi="宋体" w:cs="宋体"/>
          <w:color w:val="000000"/>
          <w:sz w:val="24"/>
          <w:szCs w:val="24"/>
        </w:rPr>
      </w:pPr>
      <w:r>
        <w:rPr>
          <w:rFonts w:hint="eastAsia" w:ascii="宋体" w:hAnsi="宋体" w:cs="宋体"/>
          <w:color w:val="000000"/>
          <w:sz w:val="24"/>
          <w:szCs w:val="24"/>
        </w:rPr>
        <w:t>（2）招标人技术规格书中相关设备技术规格、参数的逐条答复，提供详细的参数和功能描述（格式自拟）；</w:t>
      </w:r>
    </w:p>
    <w:p>
      <w:pPr>
        <w:shd w:val="clear" w:color="auto" w:fill="FFFFFF"/>
        <w:snapToGrid w:val="0"/>
        <w:spacing w:line="600" w:lineRule="exact"/>
        <w:jc w:val="left"/>
        <w:rPr>
          <w:rFonts w:ascii="宋体" w:hAnsi="宋体" w:cs="宋体"/>
          <w:color w:val="000000"/>
          <w:sz w:val="24"/>
          <w:szCs w:val="24"/>
        </w:rPr>
      </w:pPr>
      <w:r>
        <w:rPr>
          <w:rFonts w:hint="eastAsia" w:ascii="宋体" w:hAnsi="宋体" w:cs="宋体"/>
          <w:color w:val="000000"/>
          <w:sz w:val="24"/>
          <w:szCs w:val="24"/>
        </w:rPr>
        <w:t>（3）项目实施方案：项目总体进度计划，并从进度管理、质量管理、风险管理等方面说明项目保障体系，对系统测试、项目验收和成果交付方案进行阐述（格式自拟）；</w:t>
      </w:r>
    </w:p>
    <w:p>
      <w:pPr>
        <w:shd w:val="clear" w:color="auto" w:fill="FFFFFF"/>
        <w:snapToGrid w:val="0"/>
        <w:spacing w:line="600" w:lineRule="exact"/>
        <w:jc w:val="left"/>
        <w:rPr>
          <w:rFonts w:ascii="宋体" w:hAnsi="宋体" w:cs="宋体"/>
          <w:color w:val="000000"/>
          <w:sz w:val="24"/>
          <w:szCs w:val="24"/>
        </w:rPr>
      </w:pPr>
      <w:r>
        <w:rPr>
          <w:rFonts w:hint="eastAsia" w:ascii="宋体" w:hAnsi="宋体" w:cs="宋体"/>
          <w:color w:val="000000"/>
          <w:sz w:val="24"/>
          <w:szCs w:val="24"/>
        </w:rPr>
        <w:t>（4）项目安全策略及质量管理计划，包括组织机构、人员组成、工作计划等内容（格式自拟）；</w:t>
      </w:r>
    </w:p>
    <w:p>
      <w:pPr>
        <w:shd w:val="clear" w:color="auto" w:fill="FFFFFF"/>
        <w:snapToGrid w:val="0"/>
        <w:spacing w:line="600" w:lineRule="exact"/>
        <w:jc w:val="left"/>
        <w:rPr>
          <w:rFonts w:ascii="宋体" w:hAnsi="宋体" w:cs="宋体"/>
          <w:color w:val="000000"/>
          <w:sz w:val="24"/>
          <w:szCs w:val="24"/>
        </w:rPr>
      </w:pPr>
      <w:r>
        <w:rPr>
          <w:rFonts w:hint="eastAsia" w:ascii="宋体" w:hAnsi="宋体" w:cs="宋体"/>
          <w:color w:val="000000"/>
          <w:sz w:val="24"/>
          <w:szCs w:val="24"/>
        </w:rPr>
        <w:t>（5）投入到本项目的项目负责人、其他人员的情况汇总表及业绩、经历、能力介绍、资格证明材料及人员到位率的承诺（格式自拟）；</w:t>
      </w:r>
    </w:p>
    <w:p>
      <w:pPr>
        <w:shd w:val="clear" w:color="auto" w:fill="FFFFFF"/>
        <w:snapToGrid w:val="0"/>
        <w:spacing w:line="600" w:lineRule="exact"/>
        <w:jc w:val="left"/>
        <w:rPr>
          <w:rFonts w:ascii="宋体" w:hAnsi="宋体" w:cs="宋体"/>
          <w:color w:val="000000"/>
          <w:sz w:val="24"/>
          <w:szCs w:val="24"/>
        </w:rPr>
      </w:pPr>
      <w:r>
        <w:rPr>
          <w:rFonts w:hint="eastAsia" w:ascii="宋体" w:hAnsi="宋体" w:cs="宋体"/>
          <w:color w:val="000000"/>
          <w:sz w:val="24"/>
          <w:szCs w:val="24"/>
        </w:rPr>
        <w:t>（6）售后服务计划、维保计划及应急解决措施（格式自拟）；</w:t>
      </w:r>
    </w:p>
    <w:p>
      <w:pPr>
        <w:shd w:val="clear" w:color="auto" w:fill="FFFFFF"/>
        <w:snapToGrid w:val="0"/>
        <w:spacing w:line="600" w:lineRule="exact"/>
        <w:jc w:val="left"/>
        <w:rPr>
          <w:rFonts w:ascii="宋体" w:hAnsi="宋体" w:cs="宋体"/>
          <w:color w:val="000000"/>
          <w:sz w:val="24"/>
          <w:szCs w:val="24"/>
        </w:rPr>
      </w:pPr>
      <w:r>
        <w:rPr>
          <w:rFonts w:hint="eastAsia" w:ascii="宋体" w:hAnsi="宋体" w:cs="宋体"/>
          <w:color w:val="000000"/>
          <w:sz w:val="24"/>
          <w:szCs w:val="24"/>
        </w:rPr>
        <w:t>（7）技术培训、技术服务和技术支持（格式自拟）；</w:t>
      </w:r>
    </w:p>
    <w:p>
      <w:pPr>
        <w:shd w:val="clear" w:color="auto" w:fill="FFFFFF"/>
        <w:snapToGrid w:val="0"/>
        <w:spacing w:line="600" w:lineRule="exact"/>
        <w:jc w:val="left"/>
        <w:rPr>
          <w:rFonts w:ascii="宋体" w:hAnsi="宋体" w:cs="宋体"/>
          <w:color w:val="000000"/>
          <w:sz w:val="24"/>
          <w:szCs w:val="24"/>
        </w:rPr>
      </w:pPr>
      <w:r>
        <w:rPr>
          <w:rFonts w:hint="eastAsia" w:ascii="宋体" w:hAnsi="宋体" w:cs="宋体"/>
          <w:color w:val="000000"/>
          <w:sz w:val="24"/>
          <w:szCs w:val="24"/>
        </w:rPr>
        <w:t>（8）设备清单一览表（格式自拟）；</w:t>
      </w:r>
    </w:p>
    <w:p>
      <w:pPr>
        <w:shd w:val="clear" w:color="auto" w:fill="FFFFFF"/>
        <w:snapToGrid w:val="0"/>
        <w:spacing w:line="600" w:lineRule="exact"/>
        <w:jc w:val="left"/>
        <w:rPr>
          <w:rFonts w:ascii="宋体" w:hAnsi="宋体" w:cs="宋体"/>
          <w:color w:val="000000"/>
          <w:sz w:val="24"/>
          <w:szCs w:val="24"/>
        </w:rPr>
      </w:pPr>
      <w:r>
        <w:rPr>
          <w:rFonts w:hint="eastAsia" w:ascii="宋体" w:hAnsi="宋体" w:cs="宋体"/>
          <w:color w:val="000000"/>
          <w:sz w:val="24"/>
          <w:szCs w:val="24"/>
        </w:rPr>
        <w:t>（9）商务技术偏离表（格式见附件）；</w:t>
      </w:r>
    </w:p>
    <w:p>
      <w:pPr>
        <w:shd w:val="clear" w:color="auto" w:fill="FFFFFF"/>
        <w:snapToGrid w:val="0"/>
        <w:spacing w:line="600" w:lineRule="exact"/>
        <w:jc w:val="left"/>
        <w:rPr>
          <w:rFonts w:ascii="宋体" w:hAnsi="宋体" w:cs="宋体"/>
          <w:color w:val="000000"/>
          <w:sz w:val="24"/>
          <w:szCs w:val="24"/>
        </w:rPr>
      </w:pPr>
      <w:r>
        <w:rPr>
          <w:rFonts w:hint="eastAsia" w:ascii="宋体" w:hAnsi="宋体" w:cs="宋体"/>
          <w:color w:val="000000"/>
          <w:sz w:val="24"/>
          <w:szCs w:val="24"/>
        </w:rPr>
        <w:t>（10）优惠服务承诺（如有）；</w:t>
      </w:r>
    </w:p>
    <w:p>
      <w:pPr>
        <w:shd w:val="clear" w:color="auto" w:fill="FFFFFF"/>
        <w:snapToGrid w:val="0"/>
        <w:spacing w:line="600" w:lineRule="exact"/>
        <w:jc w:val="left"/>
        <w:rPr>
          <w:rFonts w:ascii="宋体" w:hAnsi="宋体" w:cs="宋体"/>
          <w:color w:val="000000"/>
          <w:sz w:val="24"/>
          <w:szCs w:val="24"/>
        </w:rPr>
      </w:pPr>
      <w:r>
        <w:rPr>
          <w:rFonts w:hint="eastAsia" w:ascii="宋体" w:hAnsi="宋体" w:cs="宋体"/>
          <w:color w:val="000000"/>
          <w:sz w:val="24"/>
          <w:szCs w:val="24"/>
        </w:rPr>
        <w:t>（11）中小企业的声明函（如有，格式见附件）；</w:t>
      </w:r>
    </w:p>
    <w:p>
      <w:pPr>
        <w:shd w:val="clear" w:color="auto" w:fill="FFFFFF"/>
        <w:snapToGrid w:val="0"/>
        <w:spacing w:line="600" w:lineRule="exact"/>
        <w:jc w:val="left"/>
        <w:rPr>
          <w:rFonts w:ascii="宋体" w:hAnsi="宋体" w:cs="宋体"/>
          <w:color w:val="000000"/>
          <w:sz w:val="24"/>
          <w:szCs w:val="24"/>
        </w:rPr>
      </w:pPr>
      <w:r>
        <w:rPr>
          <w:rFonts w:hint="eastAsia" w:ascii="宋体" w:hAnsi="宋体" w:cs="宋体"/>
          <w:color w:val="000000"/>
          <w:sz w:val="24"/>
          <w:szCs w:val="24"/>
        </w:rPr>
        <w:t>（12）投标人的省级以上监狱管理局、戒毒管理局(含新疆生产建设兵团)出具的属于监狱企业的证明文件（如有）；</w:t>
      </w:r>
    </w:p>
    <w:p>
      <w:pPr>
        <w:shd w:val="clear" w:color="auto" w:fill="FFFFFF"/>
        <w:snapToGrid w:val="0"/>
        <w:spacing w:line="600" w:lineRule="exact"/>
        <w:jc w:val="left"/>
        <w:rPr>
          <w:rFonts w:ascii="宋体" w:hAnsi="宋体" w:cs="宋体"/>
          <w:color w:val="000000"/>
          <w:sz w:val="24"/>
          <w:szCs w:val="24"/>
        </w:rPr>
      </w:pPr>
      <w:r>
        <w:rPr>
          <w:rFonts w:hint="eastAsia" w:ascii="宋体" w:hAnsi="宋体" w:cs="宋体"/>
          <w:color w:val="000000"/>
          <w:sz w:val="24"/>
          <w:szCs w:val="24"/>
        </w:rPr>
        <w:t>（13）《残疾人福利性单位声明函》（如有，格式见附件）；</w:t>
      </w:r>
    </w:p>
    <w:p>
      <w:pPr>
        <w:shd w:val="clear" w:color="auto" w:fill="FFFFFF"/>
        <w:snapToGrid w:val="0"/>
        <w:spacing w:line="600" w:lineRule="exact"/>
        <w:jc w:val="left"/>
        <w:rPr>
          <w:rFonts w:ascii="宋体" w:hAnsi="宋体" w:cs="宋体"/>
          <w:color w:val="000000"/>
          <w:sz w:val="24"/>
          <w:szCs w:val="24"/>
        </w:rPr>
      </w:pPr>
      <w:r>
        <w:rPr>
          <w:rFonts w:hint="eastAsia" w:ascii="宋体" w:hAnsi="宋体" w:cs="宋体"/>
          <w:color w:val="000000"/>
          <w:sz w:val="24"/>
          <w:szCs w:val="24"/>
        </w:rPr>
        <w:t>（14）投标人需要说明的其他文件和说明（格式自拟）。</w:t>
      </w:r>
    </w:p>
    <w:p>
      <w:pPr>
        <w:shd w:val="clear" w:color="auto" w:fill="FFFFFF"/>
        <w:snapToGrid w:val="0"/>
        <w:spacing w:line="600" w:lineRule="exact"/>
        <w:jc w:val="left"/>
        <w:rPr>
          <w:rFonts w:ascii="宋体" w:hAnsi="宋体" w:cs="宋体"/>
          <w:color w:val="000000"/>
          <w:sz w:val="24"/>
          <w:szCs w:val="24"/>
        </w:rPr>
      </w:pPr>
    </w:p>
    <w:p>
      <w:pPr>
        <w:shd w:val="clear" w:color="auto" w:fill="FFFFFF"/>
        <w:snapToGrid w:val="0"/>
        <w:spacing w:line="600" w:lineRule="exact"/>
        <w:jc w:val="left"/>
        <w:rPr>
          <w:rFonts w:ascii="宋体" w:hAnsi="宋体" w:cs="宋体"/>
          <w:color w:val="000000"/>
          <w:sz w:val="24"/>
          <w:szCs w:val="24"/>
        </w:rPr>
      </w:pPr>
      <w:r>
        <w:rPr>
          <w:rFonts w:hint="eastAsia" w:ascii="宋体" w:hAnsi="宋体" w:cs="宋体"/>
          <w:color w:val="000000"/>
          <w:sz w:val="24"/>
          <w:szCs w:val="24"/>
        </w:rPr>
        <w:t>注：投标单位请结合评分要点编制投标响应文件；以上目录是编制投标技术文件的基本格式要求，各投标人可根据自身情况进一步细化。</w:t>
      </w:r>
    </w:p>
    <w:p>
      <w:pPr>
        <w:snapToGrid w:val="0"/>
        <w:spacing w:line="360" w:lineRule="auto"/>
        <w:ind w:firstLine="480" w:firstLineChars="200"/>
        <w:jc w:val="left"/>
        <w:rPr>
          <w:rFonts w:ascii="宋体" w:hAnsi="宋体" w:cs="宋体"/>
          <w:sz w:val="24"/>
          <w:szCs w:val="24"/>
        </w:rPr>
      </w:pPr>
    </w:p>
    <w:p>
      <w:pPr>
        <w:snapToGrid w:val="0"/>
        <w:spacing w:before="50" w:after="120" w:afterLines="50" w:line="360" w:lineRule="auto"/>
        <w:jc w:val="left"/>
        <w:rPr>
          <w:rFonts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附件：</w:t>
      </w:r>
    </w:p>
    <w:p>
      <w:pPr>
        <w:snapToGrid w:val="0"/>
        <w:spacing w:before="120" w:beforeLines="50" w:after="50" w:line="360" w:lineRule="auto"/>
        <w:jc w:val="center"/>
        <w:rPr>
          <w:rFonts w:ascii="宋体" w:hAnsi="宋体" w:cs="宋体"/>
          <w:b/>
          <w:sz w:val="28"/>
          <w:szCs w:val="28"/>
        </w:rPr>
      </w:pPr>
      <w:r>
        <w:rPr>
          <w:rFonts w:hint="eastAsia" w:ascii="宋体" w:hAnsi="宋体" w:cs="宋体"/>
          <w:b/>
          <w:sz w:val="28"/>
          <w:szCs w:val="28"/>
        </w:rPr>
        <w:t>投 标 声 明 书</w:t>
      </w:r>
    </w:p>
    <w:p>
      <w:pPr>
        <w:snapToGrid w:val="0"/>
        <w:spacing w:before="120" w:beforeLines="50" w:after="50" w:line="360" w:lineRule="auto"/>
        <w:jc w:val="center"/>
        <w:rPr>
          <w:rFonts w:ascii="宋体" w:hAnsi="宋体" w:cs="宋体"/>
          <w:b/>
          <w:sz w:val="24"/>
          <w:szCs w:val="24"/>
        </w:rPr>
      </w:pPr>
    </w:p>
    <w:p>
      <w:pPr>
        <w:snapToGrid w:val="0"/>
        <w:spacing w:before="120" w:beforeLines="50" w:after="50"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（招标采购单位名称）</w:t>
      </w:r>
      <w:r>
        <w:rPr>
          <w:rFonts w:hint="eastAsia" w:ascii="宋体" w:hAnsi="宋体" w:cs="宋体"/>
          <w:sz w:val="24"/>
          <w:szCs w:val="24"/>
        </w:rPr>
        <w:t>：</w:t>
      </w:r>
    </w:p>
    <w:p>
      <w:pPr>
        <w:snapToGrid w:val="0"/>
        <w:spacing w:before="120" w:beforeLines="50" w:after="50" w:line="360" w:lineRule="auto"/>
        <w:ind w:firstLine="480" w:firstLineChars="200"/>
        <w:rPr>
          <w:rFonts w:ascii="宋体" w:hAnsi="宋体" w:cs="宋体"/>
          <w:sz w:val="24"/>
          <w:szCs w:val="24"/>
        </w:rPr>
      </w:pPr>
      <w:r>
        <w:rPr>
          <w:rFonts w:hint="eastAsia" w:ascii="宋体" w:hAnsi="宋体" w:cs="宋体"/>
          <w:sz w:val="24"/>
          <w:szCs w:val="24"/>
          <w:u w:val="single"/>
        </w:rPr>
        <w:t>（投标人名称）</w:t>
      </w:r>
      <w:r>
        <w:rPr>
          <w:rFonts w:hint="eastAsia" w:ascii="宋体" w:hAnsi="宋体" w:cs="宋体"/>
          <w:sz w:val="24"/>
          <w:szCs w:val="24"/>
        </w:rPr>
        <w:t>系中华人民共和国合法企业，经营地址。</w:t>
      </w:r>
    </w:p>
    <w:p>
      <w:pPr>
        <w:spacing w:before="240" w:beforeLines="100" w:line="360" w:lineRule="auto"/>
        <w:ind w:right="-108" w:firstLine="480" w:firstLineChars="200"/>
        <w:rPr>
          <w:rFonts w:ascii="宋体" w:hAnsi="宋体" w:cs="宋体"/>
          <w:sz w:val="24"/>
          <w:szCs w:val="24"/>
          <w:u w:val="single"/>
        </w:rPr>
      </w:pPr>
      <w:r>
        <w:rPr>
          <w:rFonts w:hint="eastAsia" w:ascii="宋体" w:hAnsi="宋体" w:cs="宋体"/>
          <w:sz w:val="24"/>
          <w:szCs w:val="24"/>
        </w:rPr>
        <w:t>我</w:t>
      </w:r>
      <w:r>
        <w:rPr>
          <w:rFonts w:hint="eastAsia" w:ascii="宋体" w:hAnsi="宋体" w:cs="宋体"/>
          <w:sz w:val="24"/>
          <w:szCs w:val="24"/>
          <w:u w:val="single"/>
        </w:rPr>
        <w:t>（姓名）</w:t>
      </w:r>
      <w:r>
        <w:rPr>
          <w:rFonts w:hint="eastAsia" w:ascii="宋体" w:hAnsi="宋体" w:cs="宋体"/>
          <w:sz w:val="24"/>
          <w:szCs w:val="24"/>
        </w:rPr>
        <w:t>系</w:t>
      </w:r>
      <w:r>
        <w:rPr>
          <w:rFonts w:hint="eastAsia" w:ascii="宋体" w:hAnsi="宋体" w:cs="宋体"/>
          <w:sz w:val="24"/>
          <w:szCs w:val="24"/>
          <w:u w:val="single"/>
        </w:rPr>
        <w:t>（投标人名称）</w:t>
      </w:r>
      <w:r>
        <w:rPr>
          <w:rFonts w:hint="eastAsia" w:ascii="宋体" w:hAnsi="宋体" w:cs="宋体"/>
          <w:sz w:val="24"/>
          <w:szCs w:val="24"/>
        </w:rPr>
        <w:t>的法定代表人，我方愿意参加贵方组织的</w:t>
      </w:r>
      <w:r>
        <w:rPr>
          <w:rFonts w:hint="eastAsia" w:ascii="宋体" w:hAnsi="宋体" w:cs="宋体"/>
          <w:sz w:val="24"/>
          <w:szCs w:val="24"/>
          <w:u w:val="single"/>
        </w:rPr>
        <w:t>（招标项目名称）（项目编号：DDZX2020-GK-089）</w:t>
      </w:r>
      <w:r>
        <w:rPr>
          <w:rFonts w:hint="eastAsia" w:ascii="宋体" w:hAnsi="宋体" w:cs="宋体"/>
          <w:sz w:val="24"/>
          <w:szCs w:val="24"/>
        </w:rPr>
        <w:t>的投标，为此，我方就本次投标有关事项郑重声明如下：</w:t>
      </w:r>
    </w:p>
    <w:p>
      <w:pPr>
        <w:snapToGrid w:val="0"/>
        <w:spacing w:before="120" w:beforeLines="50" w:after="50" w:line="360" w:lineRule="auto"/>
        <w:ind w:firstLine="480" w:firstLineChars="200"/>
        <w:rPr>
          <w:rFonts w:ascii="宋体" w:hAnsi="宋体" w:cs="宋体"/>
          <w:sz w:val="24"/>
          <w:szCs w:val="24"/>
        </w:rPr>
      </w:pPr>
      <w:r>
        <w:rPr>
          <w:rFonts w:hint="eastAsia" w:ascii="宋体" w:hAnsi="宋体" w:cs="宋体"/>
          <w:sz w:val="24"/>
          <w:szCs w:val="24"/>
        </w:rPr>
        <w:t>1、投标方已详细审查全部招标文件，同意招标文件的各项要求。</w:t>
      </w:r>
    </w:p>
    <w:p>
      <w:pPr>
        <w:snapToGrid w:val="0"/>
        <w:spacing w:before="120" w:beforeLines="50" w:after="50" w:line="360" w:lineRule="auto"/>
        <w:ind w:firstLine="480" w:firstLineChars="200"/>
        <w:rPr>
          <w:rFonts w:ascii="宋体" w:hAnsi="宋体" w:cs="宋体"/>
          <w:sz w:val="24"/>
          <w:szCs w:val="24"/>
        </w:rPr>
      </w:pPr>
      <w:r>
        <w:rPr>
          <w:rFonts w:hint="eastAsia" w:ascii="宋体" w:hAnsi="宋体" w:cs="宋体"/>
          <w:sz w:val="24"/>
          <w:szCs w:val="24"/>
        </w:rPr>
        <w:t>2、我方向贵方提交的所有投标文件、资料都是准确的和真实的。</w:t>
      </w:r>
    </w:p>
    <w:p>
      <w:pPr>
        <w:snapToGrid w:val="0"/>
        <w:spacing w:before="120" w:beforeLines="50" w:after="50" w:line="360" w:lineRule="auto"/>
        <w:ind w:firstLine="480" w:firstLineChars="200"/>
        <w:rPr>
          <w:rFonts w:ascii="宋体" w:hAnsi="宋体" w:cs="宋体"/>
          <w:sz w:val="24"/>
          <w:szCs w:val="24"/>
        </w:rPr>
      </w:pPr>
      <w:r>
        <w:rPr>
          <w:rFonts w:hint="eastAsia" w:ascii="宋体" w:hAnsi="宋体" w:cs="宋体"/>
          <w:sz w:val="24"/>
          <w:szCs w:val="24"/>
        </w:rPr>
        <w:t>3、若中标，我方将按招标文件规定履行合同责任和义务。</w:t>
      </w:r>
    </w:p>
    <w:p>
      <w:pPr>
        <w:snapToGrid w:val="0"/>
        <w:spacing w:before="120" w:beforeLines="50" w:after="50" w:line="360" w:lineRule="auto"/>
        <w:ind w:firstLine="480" w:firstLineChars="200"/>
        <w:rPr>
          <w:rFonts w:ascii="宋体" w:hAnsi="宋体" w:cs="宋体"/>
          <w:sz w:val="24"/>
          <w:szCs w:val="24"/>
        </w:rPr>
      </w:pPr>
      <w:r>
        <w:rPr>
          <w:rFonts w:hint="eastAsia" w:ascii="宋体" w:hAnsi="宋体" w:cs="宋体"/>
          <w:sz w:val="24"/>
          <w:szCs w:val="24"/>
        </w:rPr>
        <w:t>4、我方不是采购人的附属机构；在获知本项目采购信息后，与采购人聘请的为此项目提供咨询服务的公司及其附属机构没有任何联系。</w:t>
      </w:r>
    </w:p>
    <w:p>
      <w:pPr>
        <w:snapToGrid w:val="0"/>
        <w:spacing w:before="120" w:beforeLines="50" w:after="50" w:line="360" w:lineRule="auto"/>
        <w:ind w:firstLine="480" w:firstLineChars="200"/>
        <w:rPr>
          <w:rFonts w:ascii="宋体" w:hAnsi="宋体" w:cs="宋体"/>
          <w:sz w:val="24"/>
          <w:szCs w:val="24"/>
        </w:rPr>
      </w:pPr>
      <w:r>
        <w:rPr>
          <w:rFonts w:hint="eastAsia" w:ascii="宋体" w:hAnsi="宋体" w:cs="宋体"/>
          <w:sz w:val="24"/>
          <w:szCs w:val="24"/>
        </w:rPr>
        <w:t>5、投标书自开标日起有效期为</w:t>
      </w:r>
      <w:r>
        <w:rPr>
          <w:rFonts w:hint="eastAsia" w:ascii="宋体" w:hAnsi="宋体" w:cs="宋体"/>
          <w:sz w:val="24"/>
          <w:szCs w:val="24"/>
          <w:u w:val="single"/>
        </w:rPr>
        <w:t xml:space="preserve">  90  </w:t>
      </w:r>
      <w:r>
        <w:rPr>
          <w:rFonts w:hint="eastAsia" w:ascii="宋体" w:hAnsi="宋体" w:cs="宋体"/>
          <w:sz w:val="24"/>
          <w:szCs w:val="24"/>
        </w:rPr>
        <w:t>日。</w:t>
      </w:r>
    </w:p>
    <w:p>
      <w:pPr>
        <w:snapToGrid w:val="0"/>
        <w:spacing w:before="120" w:beforeLines="50" w:after="50" w:line="360" w:lineRule="auto"/>
        <w:ind w:firstLine="480" w:firstLineChars="200"/>
        <w:rPr>
          <w:rFonts w:ascii="宋体" w:hAnsi="宋体" w:cs="宋体"/>
          <w:sz w:val="24"/>
          <w:szCs w:val="24"/>
        </w:rPr>
      </w:pPr>
      <w:r>
        <w:rPr>
          <w:rFonts w:hint="eastAsia" w:ascii="宋体" w:hAnsi="宋体" w:cs="宋体"/>
          <w:sz w:val="24"/>
          <w:szCs w:val="24"/>
        </w:rPr>
        <w:t>6.以上事项如有虚假或隐瞒，我方愿意承担一切后果，并不再寻求任何旨在减轻或免除法律责任的辩解。</w:t>
      </w:r>
    </w:p>
    <w:p>
      <w:pPr>
        <w:pStyle w:val="70"/>
        <w:snapToGrid w:val="0"/>
        <w:spacing w:before="120" w:beforeLines="50" w:line="360" w:lineRule="auto"/>
        <w:rPr>
          <w:rFonts w:ascii="宋体" w:hAnsi="宋体" w:cs="宋体"/>
          <w:szCs w:val="24"/>
        </w:rPr>
      </w:pPr>
    </w:p>
    <w:p>
      <w:pPr>
        <w:pStyle w:val="70"/>
        <w:snapToGrid w:val="0"/>
        <w:spacing w:before="120" w:beforeLines="50" w:line="360" w:lineRule="auto"/>
        <w:rPr>
          <w:rFonts w:ascii="宋体" w:hAnsi="宋体" w:cs="宋体"/>
          <w:szCs w:val="24"/>
        </w:rPr>
      </w:pPr>
    </w:p>
    <w:p>
      <w:pPr>
        <w:pStyle w:val="70"/>
        <w:snapToGrid w:val="0"/>
        <w:spacing w:before="120" w:beforeLines="50" w:line="360" w:lineRule="auto"/>
        <w:rPr>
          <w:rFonts w:ascii="宋体" w:hAnsi="宋体" w:cs="宋体"/>
          <w:szCs w:val="24"/>
        </w:rPr>
      </w:pPr>
    </w:p>
    <w:p>
      <w:pPr>
        <w:snapToGrid w:val="0"/>
        <w:spacing w:before="120" w:beforeLines="50" w:after="50" w:line="360" w:lineRule="auto"/>
        <w:ind w:right="600" w:firstLine="120" w:firstLineChars="50"/>
        <w:rPr>
          <w:rFonts w:ascii="宋体" w:hAnsi="宋体" w:cs="宋体"/>
          <w:sz w:val="24"/>
          <w:szCs w:val="24"/>
          <w:u w:val="single"/>
        </w:rPr>
      </w:pPr>
      <w:r>
        <w:rPr>
          <w:rFonts w:hint="eastAsia" w:ascii="宋体" w:hAnsi="宋体" w:cs="宋体"/>
          <w:sz w:val="24"/>
          <w:szCs w:val="24"/>
        </w:rPr>
        <w:t>法定代表人签字或盖章：          日 期：</w:t>
      </w:r>
    </w:p>
    <w:p>
      <w:pPr>
        <w:snapToGrid w:val="0"/>
        <w:spacing w:before="120" w:beforeLines="50" w:after="50" w:line="360" w:lineRule="auto"/>
        <w:ind w:firstLine="120" w:firstLineChars="50"/>
        <w:rPr>
          <w:rFonts w:ascii="宋体" w:hAnsi="宋体" w:cs="宋体"/>
          <w:sz w:val="24"/>
          <w:szCs w:val="24"/>
        </w:rPr>
      </w:pPr>
      <w:r>
        <w:rPr>
          <w:rFonts w:hint="eastAsia" w:ascii="宋体" w:hAnsi="宋体" w:cs="宋体"/>
          <w:sz w:val="24"/>
          <w:szCs w:val="24"/>
        </w:rPr>
        <w:t>单位全称（公章）：</w:t>
      </w:r>
    </w:p>
    <w:p>
      <w:pPr>
        <w:snapToGrid w:val="0"/>
        <w:spacing w:before="120" w:beforeLines="50" w:after="50"/>
        <w:ind w:right="600" w:firstLine="2520" w:firstLineChars="900"/>
        <w:rPr>
          <w:rFonts w:ascii="宋体" w:hAnsi="宋体" w:cs="宋体"/>
          <w:sz w:val="28"/>
          <w:szCs w:val="28"/>
        </w:rPr>
      </w:pPr>
    </w:p>
    <w:p>
      <w:pPr>
        <w:snapToGrid w:val="0"/>
        <w:spacing w:before="120" w:beforeLines="50" w:after="50" w:line="460" w:lineRule="exact"/>
        <w:rPr>
          <w:rFonts w:ascii="宋体" w:hAnsi="宋体" w:cs="宋体"/>
          <w:sz w:val="28"/>
          <w:szCs w:val="28"/>
        </w:rPr>
      </w:pPr>
    </w:p>
    <w:p>
      <w:pPr>
        <w:snapToGrid w:val="0"/>
        <w:spacing w:before="120" w:beforeLines="50" w:after="50" w:line="460" w:lineRule="exact"/>
        <w:rPr>
          <w:rFonts w:ascii="宋体" w:hAnsi="宋体" w:cs="宋体"/>
          <w:sz w:val="28"/>
          <w:szCs w:val="28"/>
        </w:rPr>
      </w:pPr>
    </w:p>
    <w:p>
      <w:pPr>
        <w:snapToGrid w:val="0"/>
        <w:spacing w:before="120" w:beforeLines="50" w:after="50" w:line="460" w:lineRule="exact"/>
        <w:rPr>
          <w:rFonts w:ascii="宋体" w:hAnsi="宋体" w:cs="宋体"/>
          <w:sz w:val="28"/>
          <w:szCs w:val="28"/>
        </w:rPr>
      </w:pPr>
      <w:r>
        <w:rPr>
          <w:rFonts w:hint="eastAsia" w:ascii="宋体" w:hAnsi="宋体" w:cs="宋体"/>
          <w:sz w:val="28"/>
          <w:szCs w:val="28"/>
        </w:rPr>
        <w:t>附件：</w:t>
      </w:r>
    </w:p>
    <w:p>
      <w:pPr>
        <w:snapToGrid w:val="0"/>
        <w:spacing w:before="120" w:beforeLines="50" w:after="50" w:line="360" w:lineRule="auto"/>
        <w:jc w:val="center"/>
        <w:rPr>
          <w:rFonts w:ascii="宋体" w:hAnsi="宋体" w:cs="宋体"/>
          <w:b/>
          <w:sz w:val="28"/>
          <w:szCs w:val="28"/>
        </w:rPr>
      </w:pPr>
      <w:r>
        <w:rPr>
          <w:rFonts w:hint="eastAsia" w:ascii="宋体" w:hAnsi="宋体" w:cs="宋体"/>
          <w:b/>
          <w:sz w:val="28"/>
          <w:szCs w:val="28"/>
        </w:rPr>
        <w:t>法定代表人授权委托书</w:t>
      </w:r>
    </w:p>
    <w:p>
      <w:pPr>
        <w:snapToGrid w:val="0"/>
        <w:spacing w:before="120" w:beforeLines="50" w:after="50" w:line="360" w:lineRule="auto"/>
        <w:jc w:val="center"/>
        <w:rPr>
          <w:rFonts w:ascii="宋体" w:hAnsi="宋体" w:cs="宋体"/>
          <w:b/>
          <w:sz w:val="24"/>
          <w:szCs w:val="24"/>
        </w:rPr>
      </w:pPr>
    </w:p>
    <w:p>
      <w:pPr>
        <w:snapToGrid w:val="0"/>
        <w:spacing w:before="120" w:beforeLines="50" w:after="50" w:line="360" w:lineRule="auto"/>
        <w:rPr>
          <w:rFonts w:ascii="宋体" w:hAnsi="宋体" w:cs="宋体"/>
          <w:b/>
          <w:bCs/>
          <w:sz w:val="24"/>
          <w:szCs w:val="24"/>
        </w:rPr>
      </w:pPr>
      <w:r>
        <w:rPr>
          <w:rFonts w:hint="eastAsia" w:ascii="宋体" w:hAnsi="宋体" w:cs="宋体"/>
          <w:sz w:val="24"/>
          <w:szCs w:val="24"/>
        </w:rPr>
        <w:t>浙江省杭州市中级人民法院</w:t>
      </w:r>
      <w:r>
        <w:rPr>
          <w:rFonts w:hint="eastAsia" w:ascii="宋体" w:hAnsi="宋体" w:cs="宋体"/>
          <w:bCs/>
          <w:sz w:val="24"/>
          <w:szCs w:val="24"/>
        </w:rPr>
        <w:t>：</w:t>
      </w:r>
    </w:p>
    <w:p>
      <w:pPr>
        <w:snapToGrid w:val="0"/>
        <w:spacing w:before="120" w:beforeLines="50" w:after="50" w:line="360" w:lineRule="auto"/>
        <w:rPr>
          <w:rFonts w:ascii="宋体" w:hAnsi="宋体" w:cs="宋体"/>
          <w:sz w:val="24"/>
          <w:szCs w:val="24"/>
        </w:rPr>
      </w:pPr>
      <w:r>
        <w:rPr>
          <w:rFonts w:hint="eastAsia" w:ascii="宋体" w:hAnsi="宋体" w:cs="宋体"/>
          <w:sz w:val="24"/>
          <w:szCs w:val="24"/>
        </w:rPr>
        <w:t xml:space="preserve">    我（姓名）系（投标人名称）的法定代表人，现授权委托本单位在职职工 （姓名）为全权代表，以我方的名义参加项目编号：项目名称</w:t>
      </w:r>
      <w:r>
        <w:rPr>
          <w:rFonts w:hint="eastAsia" w:ascii="宋体" w:hAnsi="宋体" w:cs="宋体"/>
          <w:sz w:val="24"/>
          <w:szCs w:val="24"/>
          <w:u w:val="single"/>
        </w:rPr>
        <w:t xml:space="preserve">：      </w:t>
      </w:r>
      <w:r>
        <w:rPr>
          <w:rFonts w:hint="eastAsia" w:ascii="宋体" w:hAnsi="宋体" w:cs="宋体"/>
          <w:sz w:val="24"/>
          <w:szCs w:val="24"/>
        </w:rPr>
        <w:t>项目的投标活动，并代表我方全权办理针对上述项目的投标、开标、评标、签约等具体事务和签署相关文件。我方对全权代表的签名事项负全部责任。</w:t>
      </w:r>
    </w:p>
    <w:p>
      <w:pPr>
        <w:snapToGrid w:val="0"/>
        <w:spacing w:before="120" w:beforeLines="50" w:after="50" w:line="360" w:lineRule="auto"/>
        <w:ind w:firstLine="480"/>
        <w:rPr>
          <w:rFonts w:ascii="宋体" w:hAnsi="宋体" w:cs="宋体"/>
          <w:sz w:val="24"/>
          <w:szCs w:val="24"/>
        </w:rPr>
      </w:pPr>
      <w:r>
        <w:rPr>
          <w:rFonts w:hint="eastAsia" w:ascii="宋体" w:hAnsi="宋体" w:cs="宋体"/>
          <w:sz w:val="24"/>
          <w:szCs w:val="24"/>
        </w:rPr>
        <w:t>在撤销授权的书面通知以前，本授权书一直有效。全权代表在授权书有效期内签署的所有文件不因授权的撤销而失效。</w:t>
      </w:r>
    </w:p>
    <w:p>
      <w:pPr>
        <w:snapToGrid w:val="0"/>
        <w:spacing w:before="120" w:beforeLines="50" w:after="50" w:line="360" w:lineRule="auto"/>
        <w:ind w:firstLine="480"/>
        <w:rPr>
          <w:rFonts w:ascii="宋体" w:hAnsi="宋体" w:cs="宋体"/>
          <w:sz w:val="24"/>
          <w:szCs w:val="24"/>
        </w:rPr>
      </w:pPr>
      <w:r>
        <w:rPr>
          <w:rFonts w:hint="eastAsia" w:ascii="宋体" w:hAnsi="宋体" w:cs="宋体"/>
          <w:sz w:val="24"/>
          <w:szCs w:val="24"/>
        </w:rPr>
        <w:t>全权代表无转委托权，特此委托。</w:t>
      </w:r>
    </w:p>
    <w:p>
      <w:pPr>
        <w:snapToGrid w:val="0"/>
        <w:spacing w:before="120" w:beforeLines="50" w:after="50" w:line="360" w:lineRule="auto"/>
        <w:ind w:firstLine="480"/>
        <w:rPr>
          <w:rFonts w:ascii="宋体" w:hAnsi="宋体" w:cs="宋体"/>
          <w:sz w:val="24"/>
          <w:szCs w:val="24"/>
        </w:rPr>
      </w:pPr>
    </w:p>
    <w:p>
      <w:pPr>
        <w:snapToGrid w:val="0"/>
        <w:spacing w:before="120" w:beforeLines="50" w:after="50" w:line="360" w:lineRule="auto"/>
        <w:rPr>
          <w:rFonts w:ascii="宋体" w:hAnsi="宋体" w:cs="宋体"/>
          <w:sz w:val="24"/>
          <w:szCs w:val="24"/>
        </w:rPr>
      </w:pPr>
    </w:p>
    <w:p>
      <w:pPr>
        <w:snapToGrid w:val="0"/>
        <w:spacing w:before="120" w:beforeLines="50" w:after="50" w:line="360" w:lineRule="auto"/>
        <w:rPr>
          <w:rFonts w:ascii="宋体" w:hAnsi="宋体" w:cs="宋体"/>
          <w:sz w:val="24"/>
          <w:szCs w:val="24"/>
          <w:u w:val="single"/>
        </w:rPr>
      </w:pPr>
      <w:r>
        <w:rPr>
          <w:rFonts w:hint="eastAsia" w:ascii="宋体" w:hAnsi="宋体" w:cs="宋体"/>
          <w:sz w:val="24"/>
          <w:szCs w:val="24"/>
        </w:rPr>
        <w:t>单位全称（公章）：         日  期：</w:t>
      </w:r>
    </w:p>
    <w:p>
      <w:pPr>
        <w:snapToGrid w:val="0"/>
        <w:spacing w:before="120" w:beforeLines="50" w:after="50" w:line="360" w:lineRule="auto"/>
        <w:ind w:left="432" w:hanging="432" w:hangingChars="180"/>
        <w:rPr>
          <w:rFonts w:ascii="宋体" w:hAnsi="宋体" w:cs="宋体"/>
          <w:sz w:val="24"/>
          <w:szCs w:val="24"/>
        </w:rPr>
      </w:pPr>
      <w:r>
        <w:rPr>
          <w:rFonts w:hint="eastAsia" w:ascii="宋体" w:hAnsi="宋体" w:cs="宋体"/>
          <w:sz w:val="24"/>
          <w:szCs w:val="24"/>
        </w:rPr>
        <w:t>全权代表签名：             职  务：</w:t>
      </w:r>
    </w:p>
    <w:p>
      <w:pPr>
        <w:snapToGrid w:val="0"/>
        <w:spacing w:before="120" w:beforeLines="50" w:after="50" w:line="360" w:lineRule="auto"/>
        <w:ind w:left="432" w:hanging="432" w:hangingChars="180"/>
        <w:rPr>
          <w:rFonts w:ascii="宋体" w:hAnsi="宋体" w:cs="宋体"/>
          <w:sz w:val="24"/>
          <w:szCs w:val="24"/>
        </w:rPr>
      </w:pPr>
      <w:r>
        <w:rPr>
          <w:rFonts w:hint="eastAsia" w:ascii="宋体" w:hAnsi="宋体" w:cs="宋体"/>
          <w:sz w:val="24"/>
          <w:szCs w:val="24"/>
        </w:rPr>
        <w:t>全权代表身份证号码：</w:t>
      </w:r>
    </w:p>
    <w:p>
      <w:pPr>
        <w:snapToGrid w:val="0"/>
        <w:spacing w:before="120" w:beforeLines="50" w:after="50" w:line="360" w:lineRule="auto"/>
        <w:ind w:left="432" w:hanging="432" w:hangingChars="180"/>
        <w:rPr>
          <w:rFonts w:ascii="宋体" w:hAnsi="宋体" w:cs="宋体"/>
          <w:sz w:val="24"/>
          <w:szCs w:val="24"/>
        </w:rPr>
      </w:pPr>
      <w:r>
        <w:rPr>
          <w:rFonts w:hint="eastAsia" w:ascii="宋体" w:hAnsi="宋体" w:cs="宋体"/>
          <w:sz w:val="24"/>
          <w:szCs w:val="24"/>
        </w:rPr>
        <w:t>法定代表人签名：          职务：</w:t>
      </w:r>
    </w:p>
    <w:p>
      <w:pPr>
        <w:snapToGrid w:val="0"/>
        <w:spacing w:before="120" w:beforeLines="50" w:after="50" w:line="360" w:lineRule="auto"/>
        <w:rPr>
          <w:rFonts w:ascii="宋体" w:hAnsi="宋体" w:cs="宋体"/>
          <w:sz w:val="24"/>
          <w:szCs w:val="24"/>
        </w:rPr>
      </w:pPr>
    </w:p>
    <w:p>
      <w:pPr>
        <w:snapToGrid w:val="0"/>
        <w:spacing w:before="120" w:beforeLines="50" w:after="50" w:line="360" w:lineRule="auto"/>
        <w:rPr>
          <w:rFonts w:ascii="宋体" w:hAnsi="宋体" w:cs="宋体"/>
          <w:sz w:val="28"/>
          <w:szCs w:val="28"/>
        </w:rPr>
      </w:pPr>
      <w:r>
        <w:rPr>
          <w:rFonts w:hint="eastAsia" w:ascii="宋体" w:hAnsi="宋体" w:cs="宋体"/>
          <w:sz w:val="24"/>
          <w:szCs w:val="24"/>
        </w:rPr>
        <w:t>备注：附法定代表人及授权代表身份证正反面复印件并加盖公章</w:t>
      </w:r>
    </w:p>
    <w:p>
      <w:pPr>
        <w:snapToGrid w:val="0"/>
        <w:spacing w:before="120" w:beforeLines="50" w:after="50" w:line="360" w:lineRule="auto"/>
        <w:jc w:val="left"/>
        <w:rPr>
          <w:rFonts w:ascii="宋体" w:hAnsi="宋体" w:cs="宋体"/>
          <w:sz w:val="28"/>
          <w:szCs w:val="28"/>
          <w:u w:val="single"/>
        </w:rPr>
      </w:pPr>
    </w:p>
    <w:p>
      <w:pPr>
        <w:pStyle w:val="78"/>
        <w:rPr>
          <w:rFonts w:cs="宋体"/>
          <w:sz w:val="28"/>
          <w:szCs w:val="28"/>
          <w:u w:val="single"/>
        </w:rPr>
      </w:pPr>
    </w:p>
    <w:p>
      <w:pPr>
        <w:pStyle w:val="78"/>
        <w:rPr>
          <w:rFonts w:cs="宋体"/>
          <w:sz w:val="28"/>
          <w:szCs w:val="28"/>
          <w:u w:val="single"/>
        </w:rPr>
      </w:pPr>
    </w:p>
    <w:p>
      <w:pPr>
        <w:pStyle w:val="78"/>
        <w:rPr>
          <w:rFonts w:cs="宋体"/>
          <w:sz w:val="28"/>
          <w:szCs w:val="28"/>
          <w:u w:val="single"/>
        </w:rPr>
      </w:pPr>
    </w:p>
    <w:p>
      <w:pPr>
        <w:pStyle w:val="78"/>
        <w:rPr>
          <w:rFonts w:cs="宋体"/>
          <w:sz w:val="28"/>
          <w:szCs w:val="28"/>
          <w:u w:val="single"/>
        </w:rPr>
      </w:pPr>
    </w:p>
    <w:p>
      <w:pPr>
        <w:pStyle w:val="78"/>
        <w:rPr>
          <w:rFonts w:cs="宋体"/>
          <w:sz w:val="28"/>
          <w:szCs w:val="28"/>
          <w:u w:val="single"/>
          <w:lang w:val="en-US"/>
        </w:rPr>
      </w:pPr>
    </w:p>
    <w:p>
      <w:pPr>
        <w:pStyle w:val="78"/>
        <w:rPr>
          <w:rFonts w:cs="宋体"/>
          <w:sz w:val="28"/>
          <w:szCs w:val="28"/>
          <w:u w:val="single"/>
          <w:lang w:val="en-US"/>
        </w:rPr>
      </w:pPr>
    </w:p>
    <w:p>
      <w:pPr>
        <w:pStyle w:val="78"/>
        <w:rPr>
          <w:rFonts w:cs="宋体"/>
          <w:sz w:val="28"/>
          <w:szCs w:val="28"/>
          <w:u w:val="single"/>
          <w:lang w:val="en-US"/>
        </w:rPr>
      </w:pPr>
    </w:p>
    <w:p>
      <w:pPr>
        <w:pStyle w:val="78"/>
        <w:rPr>
          <w:rFonts w:cs="宋体"/>
          <w:lang w:val="en-US"/>
        </w:rPr>
      </w:pPr>
    </w:p>
    <w:p>
      <w:pPr>
        <w:snapToGrid w:val="0"/>
        <w:spacing w:before="50" w:after="120" w:afterLines="50" w:line="400" w:lineRule="exact"/>
        <w:jc w:val="left"/>
        <w:rPr>
          <w:rFonts w:ascii="宋体" w:hAnsi="宋体" w:cs="宋体"/>
          <w:sz w:val="28"/>
          <w:szCs w:val="28"/>
        </w:rPr>
      </w:pPr>
      <w:r>
        <w:rPr>
          <w:rFonts w:hint="eastAsia" w:ascii="宋体" w:hAnsi="宋体" w:cs="宋体"/>
          <w:sz w:val="28"/>
          <w:szCs w:val="28"/>
        </w:rPr>
        <w:t>附件：</w:t>
      </w:r>
    </w:p>
    <w:p>
      <w:pPr>
        <w:pStyle w:val="26"/>
        <w:snapToGrid w:val="0"/>
        <w:spacing w:line="360" w:lineRule="auto"/>
        <w:ind w:left="562" w:hanging="562"/>
        <w:jc w:val="center"/>
        <w:rPr>
          <w:rFonts w:ascii="宋体" w:hAnsi="宋体" w:cs="宋体"/>
          <w:b/>
          <w:szCs w:val="28"/>
        </w:rPr>
      </w:pPr>
      <w:r>
        <w:rPr>
          <w:rFonts w:hint="eastAsia" w:ascii="宋体" w:hAnsi="宋体" w:cs="宋体"/>
          <w:b/>
          <w:szCs w:val="28"/>
        </w:rPr>
        <w:t>投标人同类项目实施情况一览表</w:t>
      </w:r>
    </w:p>
    <w:p>
      <w:pPr>
        <w:pStyle w:val="14"/>
        <w:snapToGrid w:val="0"/>
        <w:spacing w:line="360" w:lineRule="auto"/>
        <w:rPr>
          <w:rFonts w:ascii="宋体" w:hAnsi="宋体" w:eastAsia="宋体" w:cs="宋体"/>
          <w:sz w:val="24"/>
          <w:szCs w:val="24"/>
          <w:u w:val="single"/>
        </w:rPr>
      </w:pPr>
      <w:r>
        <w:rPr>
          <w:rFonts w:hint="eastAsia" w:ascii="宋体" w:hAnsi="宋体" w:eastAsia="宋体" w:cs="宋体"/>
          <w:sz w:val="24"/>
          <w:szCs w:val="24"/>
        </w:rPr>
        <w:t>单位全称（公章）：</w:t>
      </w:r>
    </w:p>
    <w:tbl>
      <w:tblPr>
        <w:tblStyle w:val="34"/>
        <w:tblW w:w="9076" w:type="dxa"/>
        <w:tblInd w:w="-11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8"/>
        <w:gridCol w:w="1650"/>
        <w:gridCol w:w="1030"/>
        <w:gridCol w:w="945"/>
        <w:gridCol w:w="1232"/>
        <w:gridCol w:w="1303"/>
        <w:gridCol w:w="12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42" w:hRule="atLeast"/>
        </w:trPr>
        <w:tc>
          <w:tcPr>
            <w:tcW w:w="1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采购单位名称</w:t>
            </w:r>
          </w:p>
        </w:tc>
        <w:tc>
          <w:tcPr>
            <w:tcW w:w="16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项目名称</w:t>
            </w:r>
          </w:p>
        </w:tc>
        <w:tc>
          <w:tcPr>
            <w:tcW w:w="103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采购</w:t>
            </w:r>
          </w:p>
          <w:p>
            <w:pPr>
              <w:snapToGrid w:val="0"/>
              <w:spacing w:line="360" w:lineRule="auto"/>
              <w:jc w:val="center"/>
              <w:rPr>
                <w:rFonts w:ascii="宋体" w:hAnsi="宋体" w:cs="宋体"/>
                <w:sz w:val="24"/>
                <w:szCs w:val="24"/>
              </w:rPr>
            </w:pPr>
            <w:r>
              <w:rPr>
                <w:rFonts w:hint="eastAsia" w:ascii="宋体" w:hAnsi="宋体" w:cs="宋体"/>
                <w:sz w:val="24"/>
                <w:szCs w:val="24"/>
              </w:rPr>
              <w:t>数量</w:t>
            </w:r>
          </w:p>
        </w:tc>
        <w:tc>
          <w:tcPr>
            <w:tcW w:w="9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单价</w:t>
            </w:r>
          </w:p>
        </w:tc>
        <w:tc>
          <w:tcPr>
            <w:tcW w:w="12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合同金额</w:t>
            </w:r>
          </w:p>
          <w:p>
            <w:pPr>
              <w:snapToGrid w:val="0"/>
              <w:spacing w:line="360" w:lineRule="auto"/>
              <w:jc w:val="center"/>
              <w:rPr>
                <w:rFonts w:ascii="宋体" w:hAnsi="宋体" w:cs="宋体"/>
                <w:sz w:val="24"/>
                <w:szCs w:val="24"/>
              </w:rPr>
            </w:pPr>
            <w:r>
              <w:rPr>
                <w:rFonts w:hint="eastAsia" w:ascii="宋体" w:hAnsi="宋体" w:cs="宋体"/>
                <w:sz w:val="24"/>
                <w:szCs w:val="24"/>
              </w:rPr>
              <w:t>（万元）</w:t>
            </w:r>
          </w:p>
        </w:tc>
        <w:tc>
          <w:tcPr>
            <w:tcW w:w="1303"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附件页码</w:t>
            </w:r>
          </w:p>
        </w:tc>
        <w:tc>
          <w:tcPr>
            <w:tcW w:w="12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合同签订时间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1708"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65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0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9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23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303"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208"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4" w:hRule="atLeast"/>
        </w:trPr>
        <w:tc>
          <w:tcPr>
            <w:tcW w:w="1708"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65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0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9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23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303"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208"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1708"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65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0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9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23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303"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c>
          <w:tcPr>
            <w:tcW w:w="1208"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2" w:hRule="atLeast"/>
        </w:trPr>
        <w:tc>
          <w:tcPr>
            <w:tcW w:w="1708"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center"/>
              <w:rPr>
                <w:rFonts w:ascii="宋体" w:hAnsi="宋体" w:cs="宋体"/>
                <w:sz w:val="24"/>
                <w:szCs w:val="24"/>
              </w:rPr>
            </w:pPr>
            <w:r>
              <w:rPr>
                <w:rFonts w:hint="eastAsia" w:ascii="宋体" w:hAnsi="宋体" w:cs="宋体"/>
                <w:sz w:val="24"/>
                <w:szCs w:val="24"/>
              </w:rPr>
              <w:t>备注</w:t>
            </w:r>
          </w:p>
        </w:tc>
        <w:tc>
          <w:tcPr>
            <w:tcW w:w="7368" w:type="dxa"/>
            <w:gridSpan w:val="6"/>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s="宋体"/>
                <w:sz w:val="24"/>
                <w:szCs w:val="24"/>
              </w:rPr>
            </w:pPr>
            <w:r>
              <w:rPr>
                <w:rFonts w:hint="eastAsia" w:ascii="宋体" w:hAnsi="宋体" w:cs="宋体"/>
                <w:sz w:val="24"/>
                <w:szCs w:val="24"/>
              </w:rPr>
              <w:t>需提供合同复印件或中标通知书；</w:t>
            </w:r>
          </w:p>
          <w:p>
            <w:pPr>
              <w:snapToGrid w:val="0"/>
              <w:spacing w:before="50" w:after="120" w:afterLines="50" w:line="360" w:lineRule="auto"/>
              <w:jc w:val="left"/>
              <w:rPr>
                <w:rFonts w:ascii="宋体" w:hAnsi="宋体" w:cs="宋体"/>
                <w:sz w:val="24"/>
                <w:szCs w:val="24"/>
              </w:rPr>
            </w:pPr>
            <w:r>
              <w:rPr>
                <w:rFonts w:hint="eastAsia" w:ascii="宋体" w:hAnsi="宋体" w:cs="宋体"/>
                <w:sz w:val="24"/>
                <w:szCs w:val="24"/>
              </w:rPr>
              <w:t>合同复印件（必须包括合同首页、含有项目名称的页面以及签章页），原件核查。</w:t>
            </w:r>
          </w:p>
        </w:tc>
      </w:tr>
    </w:tbl>
    <w:p>
      <w:pPr>
        <w:pStyle w:val="14"/>
        <w:snapToGrid w:val="0"/>
        <w:spacing w:before="240" w:line="360" w:lineRule="auto"/>
        <w:rPr>
          <w:rFonts w:ascii="宋体" w:hAnsi="宋体" w:eastAsia="宋体" w:cs="宋体"/>
          <w:sz w:val="24"/>
          <w:szCs w:val="24"/>
        </w:rPr>
      </w:pPr>
      <w:r>
        <w:rPr>
          <w:rFonts w:hint="eastAsia" w:ascii="宋体" w:hAnsi="宋体" w:eastAsia="宋体" w:cs="宋体"/>
          <w:sz w:val="24"/>
          <w:szCs w:val="24"/>
        </w:rPr>
        <w:t>法定代表人签字或盖章：</w:t>
      </w:r>
      <w:r>
        <w:rPr>
          <w:rFonts w:hint="eastAsia" w:ascii="宋体" w:hAnsi="宋体" w:eastAsia="宋体" w:cs="宋体"/>
          <w:sz w:val="24"/>
          <w:szCs w:val="24"/>
          <w:u w:val="single"/>
        </w:rPr>
        <w:t>　　　　　</w:t>
      </w:r>
      <w:r>
        <w:rPr>
          <w:rFonts w:hint="eastAsia" w:ascii="宋体" w:hAnsi="宋体" w:eastAsia="宋体" w:cs="宋体"/>
          <w:sz w:val="24"/>
          <w:szCs w:val="24"/>
        </w:rPr>
        <w:t xml:space="preserve">                    时  间：</w:t>
      </w:r>
    </w:p>
    <w:p>
      <w:pPr>
        <w:snapToGrid w:val="0"/>
        <w:spacing w:before="50" w:after="120" w:afterLines="50" w:line="360" w:lineRule="auto"/>
        <w:jc w:val="left"/>
        <w:rPr>
          <w:rFonts w:ascii="宋体"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snapToGrid w:val="0"/>
        <w:spacing w:before="50" w:after="50"/>
        <w:rPr>
          <w:rFonts w:ascii="宋体" w:hAnsi="宋体" w:cs="宋体"/>
          <w:sz w:val="28"/>
          <w:szCs w:val="28"/>
        </w:rPr>
      </w:pPr>
      <w:r>
        <w:rPr>
          <w:rFonts w:hint="eastAsia" w:ascii="宋体" w:hAnsi="宋体" w:cs="宋体"/>
          <w:sz w:val="28"/>
          <w:szCs w:val="28"/>
        </w:rPr>
        <w:t>附件：</w:t>
      </w:r>
    </w:p>
    <w:p>
      <w:pPr>
        <w:snapToGrid w:val="0"/>
        <w:spacing w:before="50" w:after="120" w:afterLines="50" w:line="360" w:lineRule="auto"/>
        <w:jc w:val="center"/>
        <w:rPr>
          <w:rFonts w:ascii="宋体" w:hAnsi="宋体" w:cs="宋体"/>
          <w:b/>
          <w:sz w:val="28"/>
          <w:szCs w:val="28"/>
        </w:rPr>
      </w:pPr>
      <w:r>
        <w:rPr>
          <w:rFonts w:hint="eastAsia" w:ascii="宋体" w:hAnsi="宋体" w:cs="宋体"/>
          <w:b/>
          <w:sz w:val="28"/>
          <w:szCs w:val="28"/>
        </w:rPr>
        <w:t>商务技术偏离表</w:t>
      </w:r>
    </w:p>
    <w:p>
      <w:pPr>
        <w:pStyle w:val="14"/>
        <w:snapToGrid w:val="0"/>
        <w:spacing w:line="360" w:lineRule="auto"/>
        <w:rPr>
          <w:rFonts w:ascii="宋体" w:hAnsi="宋体" w:eastAsia="宋体" w:cs="宋体"/>
          <w:sz w:val="24"/>
          <w:szCs w:val="24"/>
          <w:u w:val="single"/>
        </w:rPr>
      </w:pPr>
      <w:r>
        <w:rPr>
          <w:rFonts w:hint="eastAsia" w:ascii="宋体" w:hAnsi="宋体" w:eastAsia="宋体" w:cs="宋体"/>
          <w:sz w:val="24"/>
          <w:szCs w:val="24"/>
        </w:rPr>
        <w:t>单位全称（公章）：</w:t>
      </w: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cs="宋体"/>
              </w:rPr>
            </w:pPr>
            <w:r>
              <w:rPr>
                <w:rFonts w:hint="eastAsia" w:hAnsi="宋体" w:cs="宋体"/>
              </w:rPr>
              <w:t xml:space="preserve">  招标文件要求</w:t>
            </w:r>
          </w:p>
        </w:tc>
        <w:tc>
          <w:tcPr>
            <w:tcW w:w="2196"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jc w:val="center"/>
              <w:rPr>
                <w:rFonts w:hAnsi="宋体" w:cs="宋体"/>
              </w:rPr>
            </w:pPr>
            <w:r>
              <w:rPr>
                <w:rFonts w:hint="eastAsia" w:hAnsi="宋体" w:cs="宋体"/>
              </w:rPr>
              <w:t>投标文件响应</w:t>
            </w:r>
          </w:p>
        </w:tc>
        <w:tc>
          <w:tcPr>
            <w:tcW w:w="2423"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jc w:val="center"/>
              <w:rPr>
                <w:rFonts w:hAnsi="宋体" w:cs="宋体"/>
              </w:rPr>
            </w:pPr>
            <w:r>
              <w:rPr>
                <w:rFonts w:hint="eastAsia" w:hAnsi="宋体" w:cs="宋体"/>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120" w:after="120" w:line="360" w:lineRule="auto"/>
              <w:outlineLvl w:val="0"/>
              <w:rPr>
                <w:rFonts w:hAnsi="宋体" w:cs="宋体"/>
              </w:rPr>
            </w:pPr>
          </w:p>
        </w:tc>
        <w:tc>
          <w:tcPr>
            <w:tcW w:w="2196"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outlineLvl w:val="0"/>
              <w:rPr>
                <w:rFonts w:hAnsi="宋体" w:cs="宋体"/>
              </w:rPr>
            </w:pPr>
          </w:p>
        </w:tc>
        <w:tc>
          <w:tcPr>
            <w:tcW w:w="2423"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outlineLvl w:val="0"/>
              <w:rPr>
                <w:rFonts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120" w:after="120" w:line="360" w:lineRule="auto"/>
              <w:outlineLvl w:val="0"/>
              <w:rPr>
                <w:rFonts w:hAnsi="宋体" w:cs="宋体"/>
              </w:rPr>
            </w:pPr>
          </w:p>
        </w:tc>
        <w:tc>
          <w:tcPr>
            <w:tcW w:w="2196"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cs="宋体"/>
              </w:rPr>
            </w:pPr>
          </w:p>
        </w:tc>
        <w:tc>
          <w:tcPr>
            <w:tcW w:w="2423"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120" w:after="120" w:line="360" w:lineRule="auto"/>
              <w:outlineLvl w:val="0"/>
              <w:rPr>
                <w:rFonts w:hAnsi="宋体" w:cs="宋体"/>
              </w:rPr>
            </w:pPr>
          </w:p>
        </w:tc>
        <w:tc>
          <w:tcPr>
            <w:tcW w:w="2196"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outlineLvl w:val="0"/>
              <w:rPr>
                <w:rFonts w:hAnsi="宋体" w:cs="宋体"/>
              </w:rPr>
            </w:pPr>
          </w:p>
        </w:tc>
        <w:tc>
          <w:tcPr>
            <w:tcW w:w="2423"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outlineLvl w:val="0"/>
              <w:rPr>
                <w:rFonts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120" w:after="120" w:line="360" w:lineRule="auto"/>
              <w:outlineLvl w:val="0"/>
              <w:rPr>
                <w:rFonts w:hAnsi="宋体" w:cs="宋体"/>
              </w:rPr>
            </w:pPr>
          </w:p>
        </w:tc>
        <w:tc>
          <w:tcPr>
            <w:tcW w:w="2196"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outlineLvl w:val="0"/>
              <w:rPr>
                <w:rFonts w:hAnsi="宋体" w:cs="宋体"/>
              </w:rPr>
            </w:pPr>
          </w:p>
        </w:tc>
        <w:tc>
          <w:tcPr>
            <w:tcW w:w="2423" w:type="dxa"/>
            <w:tcBorders>
              <w:top w:val="single" w:color="auto" w:sz="4" w:space="0"/>
              <w:left w:val="single" w:color="auto" w:sz="4" w:space="0"/>
              <w:right w:val="single" w:color="auto" w:sz="4" w:space="0"/>
            </w:tcBorders>
          </w:tcPr>
          <w:p>
            <w:pPr>
              <w:pStyle w:val="20"/>
              <w:snapToGrid w:val="0"/>
              <w:spacing w:beforeLines="0" w:afterLines="0" w:line="360" w:lineRule="auto"/>
              <w:outlineLvl w:val="0"/>
              <w:rPr>
                <w:rFonts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120" w:after="120" w:line="360" w:lineRule="auto"/>
              <w:outlineLvl w:val="0"/>
              <w:rPr>
                <w:rFonts w:hAnsi="宋体" w:cs="宋体"/>
              </w:rPr>
            </w:pPr>
          </w:p>
        </w:tc>
        <w:tc>
          <w:tcPr>
            <w:tcW w:w="2196"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outlineLvl w:val="0"/>
              <w:rPr>
                <w:rFonts w:hAnsi="宋体" w:cs="宋体"/>
              </w:rPr>
            </w:pPr>
          </w:p>
        </w:tc>
        <w:tc>
          <w:tcPr>
            <w:tcW w:w="2423"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outlineLvl w:val="0"/>
              <w:rPr>
                <w:rFonts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120" w:after="120" w:line="360" w:lineRule="auto"/>
              <w:outlineLvl w:val="0"/>
              <w:rPr>
                <w:rFonts w:hAnsi="宋体" w:cs="宋体"/>
              </w:rPr>
            </w:pPr>
          </w:p>
        </w:tc>
        <w:tc>
          <w:tcPr>
            <w:tcW w:w="2196"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outlineLvl w:val="0"/>
              <w:rPr>
                <w:rFonts w:hAnsi="宋体" w:cs="宋体"/>
              </w:rPr>
            </w:pPr>
          </w:p>
        </w:tc>
        <w:tc>
          <w:tcPr>
            <w:tcW w:w="2423" w:type="dxa"/>
            <w:tcBorders>
              <w:top w:val="single" w:color="auto" w:sz="4" w:space="0"/>
              <w:left w:val="single" w:color="auto" w:sz="4" w:space="0"/>
              <w:right w:val="single" w:color="auto" w:sz="4" w:space="0"/>
            </w:tcBorders>
          </w:tcPr>
          <w:p>
            <w:pPr>
              <w:pStyle w:val="20"/>
              <w:snapToGrid w:val="0"/>
              <w:spacing w:beforeLines="0" w:afterLines="0" w:line="360" w:lineRule="auto"/>
              <w:outlineLvl w:val="0"/>
              <w:rPr>
                <w:rFonts w:hAnsi="宋体" w:cs="宋体"/>
              </w:rPr>
            </w:pPr>
          </w:p>
        </w:tc>
      </w:tr>
    </w:tbl>
    <w:p>
      <w:pPr>
        <w:pStyle w:val="17"/>
        <w:spacing w:line="360" w:lineRule="auto"/>
        <w:rPr>
          <w:rFonts w:ascii="宋体" w:eastAsia="宋体" w:cs="宋体"/>
          <w:spacing w:val="20"/>
          <w:szCs w:val="24"/>
        </w:rPr>
      </w:pPr>
      <w:r>
        <w:rPr>
          <w:rFonts w:hint="eastAsia" w:ascii="宋体" w:eastAsia="宋体" w:cs="宋体"/>
          <w:szCs w:val="24"/>
        </w:rPr>
        <w:t>注：投标人应根据投标设备的性能指标、对照招标文件要求在“偏离情况”栏注明“正偏离”、“负偏离”或“无偏离”。</w:t>
      </w:r>
    </w:p>
    <w:p>
      <w:pPr>
        <w:snapToGrid w:val="0"/>
        <w:spacing w:before="50" w:after="50" w:line="360" w:lineRule="auto"/>
        <w:rPr>
          <w:rFonts w:ascii="宋体" w:hAnsi="宋体" w:cs="宋体"/>
          <w:spacing w:val="20"/>
          <w:sz w:val="24"/>
          <w:szCs w:val="24"/>
        </w:rPr>
      </w:pPr>
    </w:p>
    <w:p>
      <w:pPr>
        <w:snapToGrid w:val="0"/>
        <w:spacing w:before="50" w:after="50" w:line="360" w:lineRule="auto"/>
        <w:rPr>
          <w:rFonts w:ascii="宋体" w:hAnsi="宋体" w:cs="宋体"/>
          <w:sz w:val="24"/>
          <w:szCs w:val="24"/>
        </w:rPr>
      </w:pPr>
      <w:r>
        <w:rPr>
          <w:rFonts w:hint="eastAsia" w:ascii="宋体" w:hAnsi="宋体" w:cs="宋体"/>
          <w:spacing w:val="20"/>
          <w:sz w:val="24"/>
          <w:szCs w:val="24"/>
        </w:rPr>
        <w:t>日 期：</w:t>
      </w:r>
    </w:p>
    <w:p>
      <w:pPr>
        <w:snapToGrid w:val="0"/>
        <w:spacing w:before="50" w:after="120" w:afterLines="50" w:line="360" w:lineRule="auto"/>
        <w:jc w:val="left"/>
        <w:rPr>
          <w:rFonts w:ascii="宋体" w:hAnsi="宋体" w:cs="宋体"/>
          <w:sz w:val="28"/>
          <w:szCs w:val="28"/>
        </w:rPr>
      </w:pPr>
    </w:p>
    <w:p>
      <w:pPr>
        <w:snapToGrid w:val="0"/>
        <w:spacing w:before="50" w:after="120" w:afterLines="50" w:line="360" w:lineRule="auto"/>
        <w:jc w:val="left"/>
        <w:rPr>
          <w:rFonts w:ascii="宋体" w:hAnsi="宋体" w:cs="宋体"/>
          <w:sz w:val="28"/>
          <w:szCs w:val="28"/>
        </w:rPr>
      </w:pPr>
    </w:p>
    <w:p>
      <w:pPr>
        <w:snapToGrid w:val="0"/>
        <w:spacing w:before="50" w:after="120" w:afterLines="50" w:line="360" w:lineRule="auto"/>
        <w:jc w:val="left"/>
        <w:rPr>
          <w:rFonts w:ascii="宋体" w:hAnsi="宋体" w:cs="宋体"/>
          <w:sz w:val="28"/>
          <w:szCs w:val="28"/>
        </w:rPr>
      </w:pPr>
    </w:p>
    <w:p>
      <w:pPr>
        <w:snapToGrid w:val="0"/>
        <w:spacing w:before="50" w:after="120" w:afterLines="50" w:line="360" w:lineRule="auto"/>
        <w:jc w:val="left"/>
        <w:rPr>
          <w:rFonts w:ascii="宋体" w:hAnsi="宋体" w:cs="宋体"/>
          <w:sz w:val="28"/>
          <w:szCs w:val="28"/>
        </w:rPr>
      </w:pPr>
    </w:p>
    <w:p>
      <w:pPr>
        <w:pStyle w:val="78"/>
        <w:rPr>
          <w:rFonts w:cs="宋体"/>
          <w:sz w:val="28"/>
          <w:szCs w:val="28"/>
        </w:rPr>
      </w:pPr>
    </w:p>
    <w:p>
      <w:pPr>
        <w:pStyle w:val="78"/>
        <w:rPr>
          <w:rFonts w:cs="宋体"/>
          <w:sz w:val="28"/>
          <w:szCs w:val="28"/>
        </w:rPr>
      </w:pPr>
    </w:p>
    <w:p>
      <w:pPr>
        <w:pStyle w:val="78"/>
        <w:rPr>
          <w:rFonts w:cs="宋体"/>
          <w:sz w:val="28"/>
          <w:szCs w:val="28"/>
        </w:rPr>
      </w:pPr>
    </w:p>
    <w:p>
      <w:pPr>
        <w:pStyle w:val="78"/>
        <w:rPr>
          <w:rFonts w:cs="宋体"/>
          <w:sz w:val="28"/>
          <w:szCs w:val="28"/>
        </w:rPr>
      </w:pPr>
    </w:p>
    <w:p>
      <w:pPr>
        <w:pStyle w:val="78"/>
        <w:rPr>
          <w:rFonts w:cs="宋体"/>
          <w:sz w:val="28"/>
          <w:szCs w:val="28"/>
        </w:rPr>
      </w:pPr>
    </w:p>
    <w:p>
      <w:pPr>
        <w:pStyle w:val="78"/>
        <w:rPr>
          <w:rFonts w:cs="宋体"/>
          <w:sz w:val="28"/>
          <w:szCs w:val="28"/>
        </w:rPr>
      </w:pPr>
    </w:p>
    <w:p>
      <w:pPr>
        <w:snapToGrid w:val="0"/>
        <w:spacing w:before="50" w:after="120" w:afterLines="50" w:line="360" w:lineRule="auto"/>
        <w:jc w:val="left"/>
        <w:rPr>
          <w:rFonts w:ascii="宋体" w:hAnsi="宋体" w:cs="宋体"/>
          <w:sz w:val="28"/>
          <w:szCs w:val="28"/>
        </w:rPr>
      </w:pPr>
      <w:r>
        <w:rPr>
          <w:rFonts w:hint="eastAsia" w:ascii="宋体" w:hAnsi="宋体" w:cs="宋体"/>
          <w:sz w:val="28"/>
          <w:szCs w:val="28"/>
        </w:rPr>
        <w:t>附件：</w:t>
      </w:r>
    </w:p>
    <w:p>
      <w:pPr>
        <w:snapToGrid w:val="0"/>
        <w:spacing w:before="120" w:beforeLines="50" w:after="50" w:line="360" w:lineRule="auto"/>
        <w:jc w:val="center"/>
        <w:rPr>
          <w:rFonts w:ascii="宋体" w:hAnsi="宋体" w:cs="宋体"/>
          <w:b/>
          <w:sz w:val="28"/>
          <w:szCs w:val="28"/>
        </w:rPr>
      </w:pPr>
      <w:r>
        <w:rPr>
          <w:rFonts w:hint="eastAsia" w:ascii="宋体" w:hAnsi="宋体" w:cs="宋体"/>
          <w:b/>
          <w:sz w:val="28"/>
          <w:szCs w:val="28"/>
        </w:rPr>
        <w:t>项目实施人员一览表</w:t>
      </w:r>
    </w:p>
    <w:p>
      <w:pPr>
        <w:pStyle w:val="14"/>
        <w:snapToGrid w:val="0"/>
        <w:spacing w:line="360" w:lineRule="auto"/>
        <w:rPr>
          <w:rFonts w:ascii="宋体" w:hAnsi="宋体" w:eastAsia="宋体" w:cs="宋体"/>
          <w:sz w:val="24"/>
          <w:szCs w:val="24"/>
          <w:u w:val="single"/>
        </w:rPr>
      </w:pPr>
      <w:r>
        <w:rPr>
          <w:rFonts w:hint="eastAsia" w:ascii="宋体" w:hAnsi="宋体" w:eastAsia="宋体" w:cs="宋体"/>
          <w:sz w:val="24"/>
          <w:szCs w:val="24"/>
        </w:rPr>
        <w:t>单位全称（公章）：</w:t>
      </w:r>
    </w:p>
    <w:tbl>
      <w:tblPr>
        <w:tblStyle w:val="34"/>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cs="宋体"/>
                <w:sz w:val="24"/>
                <w:szCs w:val="24"/>
              </w:rPr>
            </w:pPr>
            <w:r>
              <w:rPr>
                <w:rFonts w:hint="eastAsia" w:ascii="宋体" w:hAnsi="宋体" w:cs="宋体"/>
                <w:sz w:val="24"/>
                <w:szCs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cs="宋体"/>
                <w:sz w:val="24"/>
                <w:szCs w:val="24"/>
              </w:rPr>
            </w:pPr>
            <w:r>
              <w:rPr>
                <w:rFonts w:hint="eastAsia" w:ascii="宋体" w:hAnsi="宋体" w:cs="宋体"/>
                <w:sz w:val="24"/>
                <w:szCs w:val="24"/>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cs="宋体"/>
                <w:sz w:val="24"/>
                <w:szCs w:val="24"/>
              </w:rPr>
            </w:pPr>
            <w:r>
              <w:rPr>
                <w:rFonts w:hint="eastAsia" w:ascii="宋体" w:hAnsi="宋体" w:cs="宋体"/>
                <w:sz w:val="24"/>
                <w:szCs w:val="24"/>
              </w:rPr>
              <w:t>专业技</w:t>
            </w:r>
          </w:p>
          <w:p>
            <w:pPr>
              <w:snapToGrid w:val="0"/>
              <w:spacing w:before="120" w:beforeLines="50" w:after="50" w:line="360" w:lineRule="auto"/>
              <w:jc w:val="center"/>
              <w:rPr>
                <w:rFonts w:ascii="宋体" w:hAnsi="宋体" w:cs="宋体"/>
                <w:sz w:val="24"/>
                <w:szCs w:val="24"/>
              </w:rPr>
            </w:pPr>
            <w:r>
              <w:rPr>
                <w:rFonts w:hint="eastAsia" w:ascii="宋体" w:hAnsi="宋体" w:cs="宋体"/>
                <w:sz w:val="24"/>
                <w:szCs w:val="24"/>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cs="宋体"/>
                <w:sz w:val="24"/>
                <w:szCs w:val="24"/>
              </w:rPr>
            </w:pPr>
            <w:r>
              <w:rPr>
                <w:rFonts w:hint="eastAsia" w:ascii="宋体" w:hAnsi="宋体" w:cs="宋体"/>
                <w:sz w:val="24"/>
                <w:szCs w:val="24"/>
              </w:rPr>
              <w:t>证书</w:t>
            </w:r>
          </w:p>
          <w:p>
            <w:pPr>
              <w:snapToGrid w:val="0"/>
              <w:spacing w:before="120" w:beforeLines="50" w:after="50" w:line="360" w:lineRule="auto"/>
              <w:jc w:val="center"/>
              <w:rPr>
                <w:rFonts w:ascii="宋体" w:hAnsi="宋体" w:cs="宋体"/>
                <w:sz w:val="24"/>
                <w:szCs w:val="24"/>
              </w:rPr>
            </w:pPr>
            <w:r>
              <w:rPr>
                <w:rFonts w:hint="eastAsia" w:ascii="宋体" w:hAnsi="宋体" w:cs="宋体"/>
                <w:sz w:val="24"/>
                <w:szCs w:val="24"/>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cs="宋体"/>
                <w:bCs/>
                <w:sz w:val="24"/>
                <w:szCs w:val="24"/>
              </w:rPr>
            </w:pPr>
            <w:r>
              <w:rPr>
                <w:rFonts w:hint="eastAsia" w:ascii="宋体" w:hAnsi="宋体" w:cs="宋体"/>
                <w:bCs/>
                <w:sz w:val="24"/>
                <w:szCs w:val="24"/>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cs="宋体"/>
                <w:bCs/>
                <w:sz w:val="24"/>
                <w:szCs w:val="24"/>
              </w:rPr>
            </w:pPr>
            <w:r>
              <w:rPr>
                <w:rFonts w:hint="eastAsia" w:ascii="宋体" w:hAnsi="宋体" w:cs="宋体"/>
                <w:bCs/>
                <w:sz w:val="24"/>
                <w:szCs w:val="24"/>
              </w:rPr>
              <w:t>项目业绩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663" w:type="dxa"/>
            <w:tcBorders>
              <w:top w:val="single" w:color="auto" w:sz="4" w:space="0"/>
              <w:left w:val="single" w:color="auto" w:sz="4" w:space="0"/>
              <w:bottom w:val="single" w:color="auto" w:sz="4" w:space="0"/>
              <w:right w:val="single" w:color="auto" w:sz="4" w:space="0"/>
            </w:tcBorders>
          </w:tcPr>
          <w:p>
            <w:pPr>
              <w:pStyle w:val="21"/>
              <w:snapToGrid w:val="0"/>
              <w:spacing w:before="120" w:beforeLines="50" w:after="50" w:line="360" w:lineRule="auto"/>
              <w:ind w:left="5250"/>
              <w:rPr>
                <w:rFonts w:ascii="宋体" w:hAnsi="宋体" w:eastAsia="宋体" w:cs="宋体"/>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s="宋体"/>
                <w:sz w:val="24"/>
                <w:szCs w:val="24"/>
              </w:rPr>
            </w:pPr>
          </w:p>
        </w:tc>
      </w:tr>
    </w:tbl>
    <w:p>
      <w:pPr>
        <w:snapToGrid w:val="0"/>
        <w:spacing w:before="50" w:after="120" w:afterLines="50" w:line="360" w:lineRule="auto"/>
        <w:jc w:val="left"/>
        <w:rPr>
          <w:rFonts w:ascii="宋体" w:hAnsi="宋体" w:cs="宋体"/>
          <w:sz w:val="24"/>
          <w:szCs w:val="24"/>
        </w:rPr>
      </w:pPr>
      <w:r>
        <w:rPr>
          <w:rFonts w:hint="eastAsia" w:ascii="宋体" w:hAnsi="宋体" w:cs="宋体"/>
          <w:sz w:val="24"/>
          <w:szCs w:val="24"/>
        </w:rPr>
        <w:t xml:space="preserve">注：在填写时，如本表格不适合投标单位的实际情况，可根据本表格式自行划表填写。 </w:t>
      </w:r>
    </w:p>
    <w:p>
      <w:pPr>
        <w:snapToGrid w:val="0"/>
        <w:spacing w:before="50" w:after="120" w:afterLines="50" w:line="360" w:lineRule="auto"/>
        <w:jc w:val="left"/>
        <w:rPr>
          <w:rFonts w:ascii="宋体" w:hAnsi="宋体" w:cs="宋体"/>
          <w:sz w:val="24"/>
          <w:szCs w:val="24"/>
        </w:rPr>
      </w:pPr>
    </w:p>
    <w:p>
      <w:pPr>
        <w:snapToGrid w:val="0"/>
        <w:spacing w:before="50" w:after="50" w:line="360" w:lineRule="auto"/>
        <w:rPr>
          <w:rFonts w:ascii="宋体" w:hAnsi="宋体" w:cs="宋体"/>
          <w:spacing w:val="20"/>
          <w:sz w:val="24"/>
          <w:szCs w:val="24"/>
          <w:u w:val="single"/>
        </w:rPr>
      </w:pPr>
      <w:r>
        <w:rPr>
          <w:rFonts w:hint="eastAsia" w:ascii="宋体" w:hAnsi="宋体" w:cs="宋体"/>
          <w:spacing w:val="20"/>
          <w:sz w:val="24"/>
          <w:szCs w:val="24"/>
        </w:rPr>
        <w:t xml:space="preserve"> 日  期：</w:t>
      </w:r>
    </w:p>
    <w:p>
      <w:pPr>
        <w:snapToGrid w:val="0"/>
        <w:spacing w:before="50" w:after="50"/>
        <w:rPr>
          <w:rFonts w:ascii="宋体" w:hAnsi="宋体" w:cs="宋体"/>
          <w:sz w:val="28"/>
          <w:szCs w:val="28"/>
        </w:rPr>
      </w:pPr>
    </w:p>
    <w:p>
      <w:pPr>
        <w:pStyle w:val="78"/>
        <w:rPr>
          <w:rFonts w:cs="宋体"/>
          <w:sz w:val="28"/>
          <w:szCs w:val="28"/>
        </w:rPr>
      </w:pPr>
    </w:p>
    <w:p>
      <w:pPr>
        <w:pStyle w:val="78"/>
        <w:rPr>
          <w:rFonts w:cs="宋体"/>
          <w:sz w:val="28"/>
          <w:szCs w:val="28"/>
        </w:rPr>
      </w:pPr>
    </w:p>
    <w:p>
      <w:pPr>
        <w:pStyle w:val="78"/>
        <w:rPr>
          <w:rFonts w:cs="宋体"/>
          <w:sz w:val="28"/>
          <w:szCs w:val="28"/>
        </w:rPr>
      </w:pPr>
    </w:p>
    <w:p>
      <w:pPr>
        <w:pStyle w:val="78"/>
        <w:rPr>
          <w:rFonts w:cs="宋体"/>
          <w:sz w:val="28"/>
          <w:szCs w:val="28"/>
        </w:rPr>
      </w:pPr>
    </w:p>
    <w:p>
      <w:pPr>
        <w:pStyle w:val="78"/>
        <w:rPr>
          <w:rFonts w:cs="宋体"/>
          <w:sz w:val="28"/>
          <w:szCs w:val="28"/>
        </w:rPr>
      </w:pPr>
    </w:p>
    <w:p>
      <w:pPr>
        <w:pStyle w:val="78"/>
        <w:rPr>
          <w:rFonts w:cs="宋体"/>
          <w:sz w:val="28"/>
          <w:szCs w:val="28"/>
        </w:rPr>
      </w:pPr>
    </w:p>
    <w:p>
      <w:pPr>
        <w:pStyle w:val="78"/>
        <w:rPr>
          <w:rFonts w:cs="宋体"/>
          <w:szCs w:val="24"/>
          <w:lang w:val="en-US"/>
        </w:rPr>
      </w:pPr>
      <w:r>
        <w:rPr>
          <w:rFonts w:hint="eastAsia" w:cs="宋体"/>
          <w:szCs w:val="24"/>
          <w:lang w:val="en-US"/>
        </w:rPr>
        <w:t>附件1-1：</w:t>
      </w:r>
    </w:p>
    <w:p>
      <w:pPr>
        <w:pStyle w:val="78"/>
        <w:jc w:val="center"/>
        <w:rPr>
          <w:rFonts w:cs="宋体"/>
          <w:b/>
          <w:bCs/>
          <w:szCs w:val="24"/>
        </w:rPr>
      </w:pPr>
      <w:r>
        <w:rPr>
          <w:rFonts w:hint="eastAsia" w:cs="宋体"/>
          <w:b/>
          <w:bCs/>
          <w:szCs w:val="24"/>
        </w:rPr>
        <w:t>中小企业声明函（</w:t>
      </w:r>
      <w:r>
        <w:rPr>
          <w:rFonts w:hint="eastAsia" w:cs="宋体"/>
          <w:b/>
          <w:bCs/>
          <w:szCs w:val="24"/>
          <w:lang w:val="en-US"/>
        </w:rPr>
        <w:t>如有，选填</w:t>
      </w:r>
      <w:r>
        <w:rPr>
          <w:rFonts w:hint="eastAsia" w:cs="宋体"/>
          <w:b/>
          <w:bCs/>
          <w:szCs w:val="24"/>
        </w:rPr>
        <w:t>）</w:t>
      </w:r>
    </w:p>
    <w:p>
      <w:pPr>
        <w:pStyle w:val="78"/>
        <w:rPr>
          <w:rFonts w:cs="宋体"/>
          <w:szCs w:val="24"/>
          <w:lang w:val="en-US"/>
        </w:rPr>
      </w:pPr>
    </w:p>
    <w:p>
      <w:pPr>
        <w:pStyle w:val="78"/>
        <w:spacing w:line="360" w:lineRule="auto"/>
        <w:ind w:firstLine="480" w:firstLineChars="200"/>
        <w:rPr>
          <w:rFonts w:cs="宋体"/>
          <w:szCs w:val="24"/>
          <w:lang w:val="en-US"/>
        </w:rPr>
      </w:pPr>
      <w:r>
        <w:rPr>
          <w:rFonts w:hint="eastAsia" w:cs="宋体"/>
          <w:szCs w:val="24"/>
          <w:lang w:val="en-US"/>
        </w:rPr>
        <w:t>本公司郑重声明，根据《政府采购促进中小企业发展暂行办法》（财库[2011]181号）的规定，本公司为</w:t>
      </w:r>
      <w:r>
        <w:rPr>
          <w:rFonts w:hint="eastAsia" w:cs="宋体"/>
          <w:szCs w:val="24"/>
          <w:u w:val="single"/>
          <w:lang w:val="en-US"/>
        </w:rPr>
        <w:t xml:space="preserve">      </w:t>
      </w:r>
      <w:r>
        <w:rPr>
          <w:rFonts w:hint="eastAsia" w:cs="宋体"/>
          <w:szCs w:val="24"/>
          <w:lang w:val="en-US"/>
        </w:rPr>
        <w:t>（请填写：中型、小型、微型）企业。即，本公司同时满足以下条件：</w:t>
      </w:r>
    </w:p>
    <w:p>
      <w:pPr>
        <w:pStyle w:val="78"/>
        <w:spacing w:line="360" w:lineRule="auto"/>
        <w:ind w:firstLine="480" w:firstLineChars="200"/>
        <w:rPr>
          <w:rFonts w:cs="宋体"/>
          <w:szCs w:val="24"/>
          <w:lang w:val="en-US"/>
        </w:rPr>
      </w:pPr>
      <w:r>
        <w:rPr>
          <w:rFonts w:hint="eastAsia" w:cs="宋体"/>
          <w:szCs w:val="24"/>
          <w:lang w:val="en-US"/>
        </w:rPr>
        <w:t xml:space="preserve">根据《工业和信息化部、国家统计局、国家发展和改革委员会、财政部关于印发中小企业划型标准规定的通知》（工信部联企业[2011]300号）规定的划分标准，本公司为  </w:t>
      </w:r>
      <w:r>
        <w:rPr>
          <w:rFonts w:hint="eastAsia" w:cs="宋体"/>
          <w:szCs w:val="24"/>
          <w:u w:val="single"/>
          <w:lang w:val="en-US"/>
        </w:rPr>
        <w:t xml:space="preserve">    </w:t>
      </w:r>
      <w:r>
        <w:rPr>
          <w:rFonts w:hint="eastAsia" w:cs="宋体"/>
          <w:szCs w:val="24"/>
          <w:lang w:val="en-US"/>
        </w:rPr>
        <w:t>（请填写：中型、小型、微型）企业。</w:t>
      </w:r>
    </w:p>
    <w:p>
      <w:pPr>
        <w:pStyle w:val="78"/>
        <w:spacing w:line="360" w:lineRule="auto"/>
        <w:ind w:firstLine="480" w:firstLineChars="200"/>
        <w:rPr>
          <w:rFonts w:cs="宋体"/>
          <w:szCs w:val="24"/>
          <w:lang w:val="en-US"/>
        </w:rPr>
      </w:pPr>
      <w:r>
        <w:rPr>
          <w:rFonts w:hint="eastAsia" w:cs="宋体"/>
          <w:szCs w:val="24"/>
          <w:lang w:val="en-US"/>
        </w:rPr>
        <w:t xml:space="preserve">本公司参加 </w:t>
      </w:r>
      <w:r>
        <w:rPr>
          <w:rFonts w:hint="eastAsia" w:cs="宋体"/>
          <w:szCs w:val="24"/>
          <w:u w:val="single"/>
          <w:lang w:val="en-US"/>
        </w:rPr>
        <w:t xml:space="preserve">        </w:t>
      </w:r>
      <w:r>
        <w:rPr>
          <w:rFonts w:hint="eastAsia" w:cs="宋体"/>
          <w:szCs w:val="24"/>
          <w:lang w:val="en-US"/>
        </w:rPr>
        <w:t xml:space="preserve">单位的 </w:t>
      </w:r>
      <w:r>
        <w:rPr>
          <w:rFonts w:hint="eastAsia" w:cs="宋体"/>
          <w:szCs w:val="24"/>
          <w:u w:val="single"/>
          <w:lang w:val="en-US"/>
        </w:rPr>
        <w:t xml:space="preserve">      </w:t>
      </w:r>
      <w:r>
        <w:rPr>
          <w:rFonts w:hint="eastAsia" w:cs="宋体"/>
          <w:szCs w:val="24"/>
          <w:lang w:val="en-US"/>
        </w:rPr>
        <w:t>项目采购活动提供本企业制造的货物，由本企业承担工程、提供服务，或者提供其他</w:t>
      </w:r>
      <w:r>
        <w:rPr>
          <w:rFonts w:hint="eastAsia" w:cs="宋体"/>
          <w:szCs w:val="24"/>
          <w:u w:val="single"/>
          <w:lang w:val="en-US"/>
        </w:rPr>
        <w:t xml:space="preserve">         </w:t>
      </w:r>
      <w:r>
        <w:rPr>
          <w:rFonts w:hint="eastAsia" w:cs="宋体"/>
          <w:szCs w:val="24"/>
          <w:lang w:val="en-US"/>
        </w:rPr>
        <w:t>（请填写：中型、小型、微型）企业制造的货物。本条所称货物不包括使用大型企业注册商标的货物。</w:t>
      </w:r>
    </w:p>
    <w:p>
      <w:pPr>
        <w:pStyle w:val="78"/>
        <w:spacing w:line="360" w:lineRule="auto"/>
        <w:rPr>
          <w:rFonts w:cs="宋体"/>
          <w:szCs w:val="24"/>
          <w:lang w:val="en-US"/>
        </w:rPr>
      </w:pPr>
      <w:r>
        <w:rPr>
          <w:rFonts w:hint="eastAsia" w:cs="宋体"/>
          <w:szCs w:val="24"/>
          <w:lang w:val="en-US"/>
        </w:rPr>
        <w:t>本公司对上述声明的真实性负责。如有虚假，将依法承担相应责任。</w:t>
      </w:r>
    </w:p>
    <w:p>
      <w:pPr>
        <w:pStyle w:val="78"/>
        <w:spacing w:line="360" w:lineRule="auto"/>
        <w:rPr>
          <w:rFonts w:cs="宋体"/>
          <w:szCs w:val="24"/>
          <w:lang w:val="en-US"/>
        </w:rPr>
      </w:pPr>
    </w:p>
    <w:p>
      <w:pPr>
        <w:pStyle w:val="78"/>
        <w:spacing w:line="360" w:lineRule="auto"/>
        <w:rPr>
          <w:rFonts w:cs="宋体"/>
          <w:szCs w:val="24"/>
          <w:lang w:val="en-US"/>
        </w:rPr>
      </w:pPr>
      <w:r>
        <w:rPr>
          <w:rFonts w:hint="eastAsia" w:cs="宋体"/>
          <w:szCs w:val="24"/>
          <w:lang w:val="en-US"/>
        </w:rPr>
        <w:t xml:space="preserve">企业名称（盖章）：                                 </w:t>
      </w:r>
    </w:p>
    <w:p>
      <w:pPr>
        <w:pStyle w:val="78"/>
        <w:spacing w:line="360" w:lineRule="auto"/>
        <w:rPr>
          <w:rFonts w:cs="宋体"/>
          <w:szCs w:val="24"/>
          <w:lang w:val="en-US"/>
        </w:rPr>
      </w:pPr>
      <w:r>
        <w:rPr>
          <w:rFonts w:hint="eastAsia" w:cs="宋体"/>
          <w:szCs w:val="24"/>
          <w:lang w:val="en-US"/>
        </w:rPr>
        <w:t xml:space="preserve">日期：     年     月     日              </w:t>
      </w:r>
    </w:p>
    <w:p>
      <w:pPr>
        <w:pStyle w:val="78"/>
        <w:spacing w:line="360" w:lineRule="auto"/>
        <w:rPr>
          <w:rFonts w:cs="宋体"/>
          <w:szCs w:val="24"/>
          <w:lang w:val="en-US"/>
        </w:rPr>
      </w:pPr>
    </w:p>
    <w:p>
      <w:pPr>
        <w:pStyle w:val="78"/>
        <w:rPr>
          <w:rFonts w:cs="宋体"/>
          <w:szCs w:val="24"/>
          <w:lang w:val="en-US"/>
        </w:rPr>
      </w:pPr>
    </w:p>
    <w:p>
      <w:pPr>
        <w:pStyle w:val="78"/>
        <w:spacing w:line="360" w:lineRule="auto"/>
        <w:rPr>
          <w:rFonts w:cs="宋体"/>
          <w:szCs w:val="24"/>
          <w:lang w:val="en-US"/>
        </w:rPr>
      </w:pPr>
      <w:r>
        <w:rPr>
          <w:rFonts w:hint="eastAsia" w:cs="宋体"/>
          <w:szCs w:val="24"/>
          <w:lang w:val="en-US"/>
        </w:rPr>
        <w:t>附件：</w:t>
      </w:r>
    </w:p>
    <w:p>
      <w:pPr>
        <w:pStyle w:val="78"/>
        <w:spacing w:line="360" w:lineRule="auto"/>
        <w:jc w:val="center"/>
        <w:rPr>
          <w:rFonts w:cs="宋体"/>
          <w:b/>
          <w:bCs/>
          <w:szCs w:val="24"/>
          <w:lang w:val="en-US"/>
        </w:rPr>
      </w:pPr>
      <w:r>
        <w:rPr>
          <w:rFonts w:hint="eastAsia" w:cs="宋体"/>
          <w:b/>
          <w:bCs/>
          <w:szCs w:val="24"/>
          <w:lang w:val="en-US"/>
        </w:rPr>
        <w:t>残疾人福利性单位声明函</w:t>
      </w:r>
    </w:p>
    <w:p>
      <w:pPr>
        <w:pStyle w:val="78"/>
        <w:spacing w:line="360" w:lineRule="auto"/>
        <w:rPr>
          <w:rFonts w:cs="宋体"/>
          <w:szCs w:val="24"/>
          <w:lang w:val="en-US"/>
        </w:rPr>
      </w:pPr>
    </w:p>
    <w:p>
      <w:pPr>
        <w:pStyle w:val="78"/>
        <w:spacing w:line="360" w:lineRule="auto"/>
        <w:ind w:firstLine="480" w:firstLineChars="200"/>
        <w:rPr>
          <w:rFonts w:cs="宋体"/>
          <w:szCs w:val="24"/>
          <w:lang w:val="en-US"/>
        </w:rPr>
      </w:pPr>
      <w:r>
        <w:rPr>
          <w:rFonts w:hint="eastAsia" w:cs="宋体"/>
          <w:szCs w:val="24"/>
          <w:lang w:val="en-US"/>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78"/>
        <w:spacing w:line="360" w:lineRule="auto"/>
        <w:ind w:firstLine="480" w:firstLineChars="200"/>
        <w:rPr>
          <w:rFonts w:cs="宋体"/>
          <w:szCs w:val="24"/>
          <w:lang w:val="en-US"/>
        </w:rPr>
      </w:pPr>
      <w:r>
        <w:rPr>
          <w:rFonts w:hint="eastAsia" w:cs="宋体"/>
          <w:szCs w:val="24"/>
          <w:lang w:val="en-US"/>
        </w:rPr>
        <w:t>本单位对上述声明的真实性负责。如有虚假，将依法承担相应责任。</w:t>
      </w:r>
    </w:p>
    <w:p>
      <w:pPr>
        <w:pStyle w:val="78"/>
        <w:spacing w:line="360" w:lineRule="auto"/>
        <w:rPr>
          <w:rFonts w:cs="宋体"/>
          <w:szCs w:val="24"/>
          <w:lang w:val="en-US"/>
        </w:rPr>
      </w:pPr>
    </w:p>
    <w:p>
      <w:pPr>
        <w:pStyle w:val="78"/>
        <w:spacing w:line="360" w:lineRule="auto"/>
        <w:rPr>
          <w:rFonts w:cs="宋体"/>
          <w:szCs w:val="24"/>
          <w:lang w:val="en-US"/>
        </w:rPr>
      </w:pPr>
    </w:p>
    <w:p>
      <w:pPr>
        <w:pStyle w:val="78"/>
        <w:spacing w:line="360" w:lineRule="auto"/>
        <w:rPr>
          <w:rFonts w:cs="宋体"/>
          <w:szCs w:val="24"/>
          <w:lang w:val="en-US"/>
        </w:rPr>
      </w:pPr>
      <w:r>
        <w:rPr>
          <w:rFonts w:hint="eastAsia" w:cs="宋体"/>
          <w:szCs w:val="24"/>
          <w:lang w:val="en-US"/>
        </w:rPr>
        <w:t xml:space="preserve">                                                     单位名称（盖章）：</w:t>
      </w:r>
    </w:p>
    <w:p>
      <w:pPr>
        <w:pStyle w:val="78"/>
        <w:spacing w:line="360" w:lineRule="auto"/>
        <w:rPr>
          <w:rFonts w:cs="宋体"/>
          <w:szCs w:val="24"/>
          <w:lang w:val="en-US"/>
        </w:rPr>
      </w:pPr>
      <w:r>
        <w:rPr>
          <w:rFonts w:hint="eastAsia" w:cs="宋体"/>
          <w:szCs w:val="24"/>
          <w:lang w:val="en-US"/>
        </w:rPr>
        <w:t xml:space="preserve">                                                      日  期：</w:t>
      </w:r>
    </w:p>
    <w:p>
      <w:pPr>
        <w:pStyle w:val="78"/>
        <w:rPr>
          <w:rFonts w:cs="宋体"/>
          <w:sz w:val="28"/>
          <w:szCs w:val="28"/>
          <w:u w:val="single"/>
        </w:rPr>
      </w:pPr>
    </w:p>
    <w:p>
      <w:pPr>
        <w:pStyle w:val="78"/>
        <w:rPr>
          <w:rFonts w:cs="宋体"/>
          <w:sz w:val="28"/>
          <w:szCs w:val="28"/>
          <w:u w:val="single"/>
        </w:rPr>
      </w:pPr>
    </w:p>
    <w:p>
      <w:pPr>
        <w:pStyle w:val="78"/>
        <w:rPr>
          <w:rFonts w:cs="宋体"/>
          <w:b/>
          <w:sz w:val="28"/>
          <w:szCs w:val="28"/>
        </w:rPr>
      </w:pPr>
      <w:r>
        <w:rPr>
          <w:rFonts w:hint="eastAsia" w:cs="宋体"/>
          <w:bCs/>
          <w:szCs w:val="24"/>
        </w:rPr>
        <w:t>附件：</w:t>
      </w:r>
    </w:p>
    <w:p>
      <w:pPr>
        <w:ind w:right="-110"/>
        <w:jc w:val="center"/>
        <w:rPr>
          <w:rFonts w:ascii="宋体" w:hAnsi="宋体" w:cs="宋体"/>
          <w:spacing w:val="40"/>
          <w:sz w:val="24"/>
          <w:szCs w:val="24"/>
        </w:rPr>
      </w:pPr>
    </w:p>
    <w:p>
      <w:pPr>
        <w:ind w:right="-110"/>
        <w:jc w:val="center"/>
        <w:rPr>
          <w:rFonts w:ascii="宋体" w:hAnsi="宋体" w:cs="宋体"/>
          <w:spacing w:val="40"/>
          <w:sz w:val="24"/>
          <w:szCs w:val="24"/>
        </w:rPr>
      </w:pPr>
      <w:r>
        <w:rPr>
          <w:rFonts w:hint="eastAsia" w:ascii="宋体" w:hAnsi="宋体" w:cs="宋体"/>
          <w:spacing w:val="40"/>
          <w:sz w:val="24"/>
          <w:szCs w:val="24"/>
        </w:rPr>
        <w:t>由省级以上监狱管理局、戒毒管理局（含新疆生产建设兵团）出具的属于监狱企业的证明文件（如有）</w:t>
      </w:r>
    </w:p>
    <w:p>
      <w:pPr>
        <w:snapToGrid w:val="0"/>
        <w:spacing w:before="120" w:beforeLines="50" w:after="50" w:line="360" w:lineRule="auto"/>
        <w:jc w:val="center"/>
        <w:rPr>
          <w:rFonts w:ascii="宋体" w:hAnsi="宋体" w:cs="宋体"/>
          <w:sz w:val="28"/>
          <w:szCs w:val="28"/>
        </w:rPr>
      </w:pPr>
    </w:p>
    <w:p>
      <w:pPr>
        <w:snapToGrid w:val="0"/>
        <w:spacing w:before="120" w:beforeLines="50" w:after="50" w:line="360" w:lineRule="auto"/>
        <w:rPr>
          <w:rFonts w:ascii="宋体"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p>
    <w:p>
      <w:pPr>
        <w:pStyle w:val="2"/>
        <w:ind w:firstLine="0"/>
        <w:rPr>
          <w:rFonts w:hAnsi="宋体" w:cs="宋体"/>
          <w:sz w:val="28"/>
          <w:szCs w:val="28"/>
        </w:rPr>
      </w:pPr>
    </w:p>
    <w:p>
      <w:pPr>
        <w:snapToGrid w:val="0"/>
        <w:spacing w:before="120" w:beforeLines="50" w:after="50"/>
        <w:rPr>
          <w:rFonts w:ascii="宋体" w:hAnsi="宋体" w:cs="宋体"/>
          <w:sz w:val="28"/>
          <w:szCs w:val="28"/>
        </w:rPr>
      </w:pPr>
    </w:p>
    <w:p>
      <w:pPr>
        <w:snapToGrid w:val="0"/>
        <w:spacing w:before="120" w:beforeLines="50" w:after="50"/>
        <w:rPr>
          <w:rFonts w:ascii="宋体" w:hAnsi="宋体" w:cs="宋体"/>
          <w:sz w:val="28"/>
          <w:szCs w:val="28"/>
        </w:rPr>
      </w:pPr>
    </w:p>
    <w:p>
      <w:pPr>
        <w:snapToGrid w:val="0"/>
        <w:spacing w:before="120" w:beforeLines="50" w:after="50"/>
        <w:rPr>
          <w:rFonts w:ascii="宋体" w:hAnsi="宋体" w:cs="宋体"/>
          <w:sz w:val="28"/>
          <w:szCs w:val="28"/>
        </w:rPr>
      </w:pPr>
    </w:p>
    <w:p>
      <w:pPr>
        <w:snapToGrid w:val="0"/>
        <w:spacing w:before="120" w:beforeLines="50" w:after="50"/>
        <w:rPr>
          <w:rFonts w:ascii="宋体" w:hAnsi="宋体" w:cs="宋体"/>
          <w:sz w:val="28"/>
          <w:szCs w:val="28"/>
        </w:rPr>
      </w:pPr>
    </w:p>
    <w:p>
      <w:pPr>
        <w:snapToGrid w:val="0"/>
        <w:spacing w:before="120" w:beforeLines="50" w:after="50"/>
        <w:rPr>
          <w:rFonts w:ascii="宋体" w:hAnsi="宋体" w:cs="宋体"/>
          <w:sz w:val="28"/>
          <w:szCs w:val="28"/>
        </w:rPr>
      </w:pPr>
    </w:p>
    <w:p>
      <w:pPr>
        <w:snapToGrid w:val="0"/>
        <w:spacing w:before="120" w:beforeLines="50" w:after="50"/>
        <w:rPr>
          <w:rFonts w:ascii="宋体" w:hAnsi="宋体" w:cs="宋体"/>
          <w:sz w:val="28"/>
          <w:szCs w:val="28"/>
        </w:rPr>
      </w:pPr>
    </w:p>
    <w:p>
      <w:pPr>
        <w:snapToGrid w:val="0"/>
        <w:spacing w:before="120" w:beforeLines="50" w:after="50"/>
        <w:rPr>
          <w:rFonts w:ascii="宋体" w:hAnsi="宋体" w:cs="宋体"/>
          <w:sz w:val="28"/>
          <w:szCs w:val="28"/>
        </w:rPr>
      </w:pPr>
    </w:p>
    <w:p>
      <w:pPr>
        <w:snapToGrid w:val="0"/>
        <w:spacing w:before="120" w:beforeLines="50" w:after="50"/>
        <w:rPr>
          <w:rFonts w:ascii="宋体" w:hAnsi="宋体" w:cs="宋体"/>
          <w:sz w:val="28"/>
          <w:szCs w:val="28"/>
        </w:rPr>
      </w:pPr>
    </w:p>
    <w:p>
      <w:pPr>
        <w:snapToGrid w:val="0"/>
        <w:spacing w:before="120" w:beforeLines="50" w:after="50"/>
        <w:rPr>
          <w:rFonts w:ascii="宋体" w:hAnsi="宋体" w:cs="宋体"/>
          <w:sz w:val="28"/>
          <w:szCs w:val="28"/>
        </w:rPr>
      </w:pPr>
    </w:p>
    <w:p>
      <w:pPr>
        <w:snapToGrid w:val="0"/>
        <w:spacing w:before="120" w:beforeLines="50" w:after="50"/>
        <w:rPr>
          <w:rFonts w:ascii="宋体" w:hAnsi="宋体" w:cs="宋体"/>
          <w:sz w:val="28"/>
          <w:szCs w:val="28"/>
        </w:rPr>
      </w:pPr>
    </w:p>
    <w:p>
      <w:pPr>
        <w:snapToGrid w:val="0"/>
        <w:spacing w:before="120" w:beforeLines="50" w:after="50"/>
        <w:rPr>
          <w:rFonts w:ascii="宋体" w:hAnsi="宋体" w:cs="宋体"/>
          <w:sz w:val="28"/>
          <w:szCs w:val="28"/>
        </w:rPr>
      </w:pPr>
    </w:p>
    <w:p>
      <w:pPr>
        <w:snapToGrid w:val="0"/>
        <w:spacing w:before="120" w:beforeLines="50" w:after="50"/>
        <w:rPr>
          <w:rFonts w:ascii="宋体" w:hAnsi="宋体" w:cs="宋体"/>
          <w:sz w:val="28"/>
          <w:szCs w:val="28"/>
        </w:rPr>
      </w:pPr>
    </w:p>
    <w:p>
      <w:pPr>
        <w:snapToGrid w:val="0"/>
        <w:spacing w:before="120" w:beforeLines="50" w:after="50"/>
        <w:rPr>
          <w:rFonts w:ascii="宋体" w:hAnsi="宋体" w:cs="宋体"/>
          <w:sz w:val="28"/>
          <w:szCs w:val="28"/>
        </w:rPr>
      </w:pPr>
    </w:p>
    <w:p>
      <w:pPr>
        <w:snapToGrid w:val="0"/>
        <w:spacing w:before="120" w:beforeLines="50" w:after="50"/>
        <w:rPr>
          <w:rFonts w:ascii="宋体" w:hAnsi="宋体" w:cs="宋体"/>
          <w:sz w:val="28"/>
          <w:szCs w:val="28"/>
        </w:rPr>
      </w:pPr>
      <w:r>
        <w:rPr>
          <w:rFonts w:hint="eastAsia" w:ascii="宋体" w:hAnsi="宋体" w:cs="宋体"/>
          <w:sz w:val="28"/>
          <w:szCs w:val="28"/>
        </w:rPr>
        <w:t>附件</w:t>
      </w:r>
      <w:r>
        <w:rPr>
          <w:rFonts w:hint="eastAsia" w:ascii="宋体" w:hAnsi="宋体" w:cs="宋体"/>
          <w:b/>
          <w:sz w:val="28"/>
          <w:szCs w:val="28"/>
        </w:rPr>
        <w:t xml:space="preserve">：                                    </w:t>
      </w:r>
    </w:p>
    <w:p>
      <w:pPr>
        <w:snapToGrid w:val="0"/>
        <w:spacing w:before="120" w:beforeLines="50" w:after="50"/>
        <w:jc w:val="right"/>
        <w:rPr>
          <w:rFonts w:ascii="宋体" w:hAnsi="宋体" w:cs="宋体"/>
          <w:b/>
          <w:sz w:val="28"/>
          <w:szCs w:val="28"/>
        </w:rPr>
      </w:pPr>
      <w:r>
        <w:rPr>
          <w:rFonts w:hint="eastAsia" w:ascii="宋体" w:hAnsi="宋体" w:cs="宋体"/>
          <w:sz w:val="28"/>
          <w:szCs w:val="28"/>
        </w:rPr>
        <w:t>正本或副本</w:t>
      </w:r>
    </w:p>
    <w:p>
      <w:pPr>
        <w:ind w:right="-110"/>
        <w:jc w:val="center"/>
        <w:rPr>
          <w:rFonts w:ascii="宋体" w:hAnsi="宋体" w:cs="宋体"/>
          <w:spacing w:val="40"/>
          <w:sz w:val="28"/>
          <w:szCs w:val="28"/>
        </w:rPr>
      </w:pPr>
    </w:p>
    <w:p>
      <w:pPr>
        <w:ind w:right="-110"/>
        <w:jc w:val="center"/>
        <w:rPr>
          <w:rFonts w:ascii="宋体" w:hAnsi="宋体" w:cs="宋体"/>
          <w:spacing w:val="40"/>
          <w:sz w:val="36"/>
          <w:szCs w:val="36"/>
        </w:rPr>
      </w:pPr>
      <w:r>
        <w:rPr>
          <w:rFonts w:hint="eastAsia" w:ascii="宋体" w:hAnsi="宋体" w:cs="宋体"/>
          <w:spacing w:val="40"/>
          <w:sz w:val="36"/>
          <w:szCs w:val="36"/>
        </w:rPr>
        <w:t>***项目名称</w:t>
      </w:r>
    </w:p>
    <w:p>
      <w:pPr>
        <w:spacing w:before="240" w:beforeLines="100"/>
        <w:ind w:right="-108"/>
        <w:jc w:val="center"/>
        <w:rPr>
          <w:rFonts w:ascii="宋体" w:hAnsi="宋体" w:cs="宋体"/>
          <w:sz w:val="36"/>
          <w:szCs w:val="36"/>
        </w:rPr>
      </w:pPr>
      <w:r>
        <w:rPr>
          <w:rFonts w:hint="eastAsia" w:ascii="宋体" w:hAnsi="宋体" w:cs="宋体"/>
          <w:sz w:val="36"/>
          <w:szCs w:val="36"/>
        </w:rPr>
        <w:t>项目编号：DDZX2020-GK-089</w:t>
      </w:r>
    </w:p>
    <w:p>
      <w:pPr>
        <w:spacing w:after="100" w:afterAutospacing="1" w:line="360" w:lineRule="auto"/>
        <w:ind w:right="-108"/>
        <w:jc w:val="center"/>
        <w:rPr>
          <w:rFonts w:ascii="宋体" w:hAnsi="宋体" w:cs="宋体"/>
          <w:b/>
          <w:spacing w:val="40"/>
          <w:sz w:val="44"/>
          <w:szCs w:val="44"/>
        </w:rPr>
      </w:pPr>
    </w:p>
    <w:p>
      <w:pPr>
        <w:spacing w:after="100" w:afterAutospacing="1" w:line="360" w:lineRule="auto"/>
        <w:ind w:right="-108"/>
        <w:jc w:val="center"/>
        <w:rPr>
          <w:rFonts w:ascii="宋体" w:hAnsi="宋体" w:cs="宋体"/>
          <w:b/>
          <w:spacing w:val="40"/>
          <w:sz w:val="52"/>
          <w:szCs w:val="52"/>
        </w:rPr>
      </w:pPr>
      <w:r>
        <w:rPr>
          <w:rFonts w:hint="eastAsia" w:ascii="宋体" w:hAnsi="宋体" w:cs="宋体"/>
          <w:b/>
          <w:spacing w:val="40"/>
          <w:sz w:val="52"/>
          <w:szCs w:val="52"/>
        </w:rPr>
        <w:t>报</w:t>
      </w:r>
    </w:p>
    <w:p>
      <w:pPr>
        <w:spacing w:after="100" w:afterAutospacing="1" w:line="360" w:lineRule="auto"/>
        <w:ind w:right="-108"/>
        <w:jc w:val="center"/>
        <w:rPr>
          <w:rFonts w:ascii="宋体" w:hAnsi="宋体" w:cs="宋体"/>
          <w:b/>
          <w:spacing w:val="40"/>
          <w:sz w:val="52"/>
          <w:szCs w:val="52"/>
        </w:rPr>
      </w:pPr>
      <w:r>
        <w:rPr>
          <w:rFonts w:hint="eastAsia" w:ascii="宋体" w:hAnsi="宋体" w:cs="宋体"/>
          <w:b/>
          <w:spacing w:val="40"/>
          <w:sz w:val="52"/>
          <w:szCs w:val="52"/>
        </w:rPr>
        <w:t>价</w:t>
      </w:r>
    </w:p>
    <w:p>
      <w:pPr>
        <w:spacing w:after="100" w:afterAutospacing="1" w:line="360" w:lineRule="auto"/>
        <w:ind w:right="-108"/>
        <w:jc w:val="center"/>
        <w:rPr>
          <w:rFonts w:ascii="宋体" w:hAnsi="宋体" w:cs="宋体"/>
          <w:b/>
          <w:spacing w:val="40"/>
          <w:sz w:val="52"/>
          <w:szCs w:val="52"/>
        </w:rPr>
      </w:pPr>
      <w:r>
        <w:rPr>
          <w:rFonts w:hint="eastAsia" w:ascii="宋体" w:hAnsi="宋体" w:cs="宋体"/>
          <w:b/>
          <w:spacing w:val="40"/>
          <w:sz w:val="52"/>
          <w:szCs w:val="52"/>
        </w:rPr>
        <w:t>文</w:t>
      </w:r>
    </w:p>
    <w:p>
      <w:pPr>
        <w:spacing w:after="100" w:afterAutospacing="1" w:line="360" w:lineRule="auto"/>
        <w:ind w:right="-108"/>
        <w:jc w:val="center"/>
        <w:rPr>
          <w:rFonts w:ascii="宋体" w:hAnsi="宋体" w:cs="宋体"/>
          <w:b/>
          <w:spacing w:val="40"/>
          <w:sz w:val="52"/>
          <w:szCs w:val="52"/>
        </w:rPr>
      </w:pPr>
      <w:r>
        <w:rPr>
          <w:rFonts w:hint="eastAsia" w:ascii="宋体" w:hAnsi="宋体" w:cs="宋体"/>
          <w:b/>
          <w:spacing w:val="40"/>
          <w:sz w:val="52"/>
          <w:szCs w:val="52"/>
        </w:rPr>
        <w:t>件</w:t>
      </w:r>
    </w:p>
    <w:p>
      <w:pPr>
        <w:pStyle w:val="78"/>
        <w:rPr>
          <w:rFonts w:cs="宋体"/>
          <w:b/>
          <w:spacing w:val="40"/>
          <w:sz w:val="44"/>
          <w:szCs w:val="44"/>
        </w:rPr>
      </w:pPr>
    </w:p>
    <w:p>
      <w:pPr>
        <w:pStyle w:val="78"/>
        <w:rPr>
          <w:rFonts w:cs="宋体"/>
          <w:b/>
          <w:spacing w:val="40"/>
          <w:sz w:val="44"/>
          <w:szCs w:val="44"/>
        </w:rPr>
      </w:pPr>
    </w:p>
    <w:p>
      <w:pPr>
        <w:pStyle w:val="78"/>
        <w:rPr>
          <w:rFonts w:cs="宋体"/>
          <w:b/>
          <w:spacing w:val="40"/>
          <w:sz w:val="44"/>
          <w:szCs w:val="44"/>
        </w:rPr>
      </w:pPr>
    </w:p>
    <w:p>
      <w:pPr>
        <w:ind w:right="532" w:firstLine="640" w:firstLineChars="200"/>
        <w:rPr>
          <w:rFonts w:ascii="宋体" w:hAnsi="宋体" w:cs="宋体"/>
          <w:sz w:val="32"/>
          <w:szCs w:val="32"/>
        </w:rPr>
      </w:pPr>
      <w:r>
        <w:rPr>
          <w:rFonts w:hint="eastAsia" w:ascii="宋体" w:hAnsi="宋体" w:cs="宋体"/>
          <w:sz w:val="32"/>
          <w:szCs w:val="32"/>
        </w:rPr>
        <w:t>单位全称（公章）：</w:t>
      </w:r>
    </w:p>
    <w:p>
      <w:pPr>
        <w:ind w:right="-108" w:firstLine="640" w:firstLineChars="200"/>
        <w:rPr>
          <w:rFonts w:ascii="宋体" w:hAnsi="宋体" w:cs="宋体"/>
          <w:sz w:val="32"/>
          <w:szCs w:val="32"/>
        </w:rPr>
      </w:pPr>
      <w:r>
        <w:rPr>
          <w:rFonts w:hint="eastAsia" w:ascii="宋体" w:hAnsi="宋体" w:cs="宋体"/>
          <w:sz w:val="32"/>
          <w:szCs w:val="32"/>
        </w:rPr>
        <w:t>地    址：</w:t>
      </w:r>
    </w:p>
    <w:p>
      <w:pPr>
        <w:ind w:right="-108" w:firstLine="640" w:firstLineChars="200"/>
        <w:rPr>
          <w:rFonts w:ascii="宋体" w:hAnsi="宋体" w:cs="宋体"/>
          <w:sz w:val="32"/>
          <w:szCs w:val="32"/>
        </w:rPr>
      </w:pPr>
      <w:r>
        <w:rPr>
          <w:rFonts w:hint="eastAsia" w:ascii="宋体" w:hAnsi="宋体" w:cs="宋体"/>
          <w:sz w:val="32"/>
          <w:szCs w:val="32"/>
        </w:rPr>
        <w:t>时    间：</w:t>
      </w:r>
    </w:p>
    <w:p>
      <w:pPr>
        <w:spacing w:line="360" w:lineRule="auto"/>
        <w:rPr>
          <w:rFonts w:ascii="宋体" w:hAnsi="宋体" w:cs="宋体"/>
          <w:sz w:val="32"/>
          <w:szCs w:val="32"/>
        </w:rPr>
      </w:pPr>
    </w:p>
    <w:p>
      <w:pPr>
        <w:pStyle w:val="21"/>
        <w:snapToGrid w:val="0"/>
        <w:spacing w:line="360" w:lineRule="auto"/>
        <w:ind w:left="0" w:leftChars="0"/>
        <w:rPr>
          <w:rFonts w:ascii="宋体" w:hAnsi="宋体" w:eastAsia="宋体" w:cs="宋体"/>
          <w:sz w:val="24"/>
          <w:szCs w:val="24"/>
        </w:rPr>
      </w:pPr>
    </w:p>
    <w:p>
      <w:pPr>
        <w:pStyle w:val="21"/>
        <w:snapToGrid w:val="0"/>
        <w:spacing w:line="360" w:lineRule="auto"/>
        <w:ind w:left="0" w:leftChars="0"/>
        <w:rPr>
          <w:rFonts w:ascii="宋体" w:hAnsi="宋体" w:eastAsia="宋体" w:cs="宋体"/>
          <w:sz w:val="24"/>
          <w:szCs w:val="24"/>
        </w:rPr>
      </w:pPr>
    </w:p>
    <w:p>
      <w:pPr>
        <w:rPr>
          <w:rFonts w:ascii="宋体" w:hAnsi="宋体" w:cs="宋体"/>
          <w:sz w:val="24"/>
          <w:szCs w:val="24"/>
        </w:rPr>
      </w:pPr>
    </w:p>
    <w:p>
      <w:pPr>
        <w:pStyle w:val="78"/>
        <w:rPr>
          <w:rFonts w:cs="宋体"/>
          <w:szCs w:val="24"/>
        </w:rPr>
      </w:pPr>
    </w:p>
    <w:p>
      <w:pPr>
        <w:shd w:val="clear" w:color="auto" w:fill="FFFFFF"/>
        <w:snapToGrid w:val="0"/>
        <w:spacing w:line="600" w:lineRule="exact"/>
        <w:jc w:val="center"/>
        <w:rPr>
          <w:rFonts w:ascii="宋体" w:hAnsi="宋体" w:cs="宋体"/>
          <w:color w:val="000000"/>
          <w:kern w:val="0"/>
          <w:sz w:val="24"/>
          <w:szCs w:val="24"/>
        </w:rPr>
      </w:pPr>
      <w:r>
        <w:rPr>
          <w:rFonts w:hint="eastAsia" w:ascii="宋体" w:hAnsi="宋体" w:cs="宋体"/>
          <w:b/>
          <w:bCs/>
          <w:color w:val="000000"/>
          <w:kern w:val="0"/>
          <w:sz w:val="24"/>
          <w:szCs w:val="24"/>
        </w:rPr>
        <w:t>目录</w:t>
      </w:r>
    </w:p>
    <w:p>
      <w:pPr>
        <w:shd w:val="clear" w:color="auto" w:fill="FFFFFF"/>
        <w:snapToGrid w:val="0"/>
        <w:spacing w:line="600" w:lineRule="exact"/>
        <w:rPr>
          <w:rFonts w:ascii="宋体" w:hAnsi="宋体" w:cs="宋体"/>
          <w:color w:val="000000"/>
          <w:kern w:val="0"/>
          <w:sz w:val="24"/>
          <w:szCs w:val="24"/>
        </w:rPr>
      </w:pPr>
      <w:r>
        <w:rPr>
          <w:rFonts w:hint="eastAsia" w:ascii="宋体" w:hAnsi="宋体" w:cs="宋体"/>
          <w:color w:val="000000"/>
          <w:kern w:val="0"/>
          <w:sz w:val="24"/>
          <w:szCs w:val="24"/>
        </w:rPr>
        <w:t>（1）开标一览表………………………………………………………………（页码）</w:t>
      </w:r>
    </w:p>
    <w:p>
      <w:pPr>
        <w:shd w:val="clear" w:color="auto" w:fill="FFFFFF"/>
        <w:snapToGrid w:val="0"/>
        <w:spacing w:line="600" w:lineRule="exact"/>
        <w:rPr>
          <w:rFonts w:ascii="宋体" w:hAnsi="宋体" w:cs="宋体"/>
          <w:color w:val="000000"/>
          <w:kern w:val="0"/>
          <w:sz w:val="24"/>
          <w:szCs w:val="24"/>
        </w:rPr>
      </w:pPr>
      <w:r>
        <w:rPr>
          <w:rFonts w:hint="eastAsia" w:ascii="宋体" w:hAnsi="宋体" w:cs="宋体"/>
          <w:b/>
          <w:bCs/>
          <w:color w:val="000000"/>
          <w:sz w:val="24"/>
          <w:szCs w:val="24"/>
        </w:rPr>
        <w:t>（</w:t>
      </w:r>
      <w:r>
        <w:rPr>
          <w:rFonts w:hint="eastAsia" w:ascii="宋体" w:hAnsi="宋体" w:cs="宋体"/>
          <w:color w:val="000000"/>
          <w:kern w:val="0"/>
          <w:sz w:val="24"/>
          <w:szCs w:val="24"/>
        </w:rPr>
        <w:t>2）报价明细清单……………………………………………………………（页码）</w:t>
      </w:r>
    </w:p>
    <w:p>
      <w:pPr>
        <w:ind w:left="-30" w:leftChars="-46" w:hanging="67" w:hangingChars="32"/>
        <w:jc w:val="left"/>
        <w:rPr>
          <w:rFonts w:ascii="宋体" w:hAnsi="宋体" w:cs="宋体"/>
        </w:rPr>
      </w:pPr>
    </w:p>
    <w:p>
      <w:pPr>
        <w:pStyle w:val="20"/>
        <w:snapToGrid w:val="0"/>
        <w:spacing w:beforeLines="0" w:afterLines="0" w:line="360" w:lineRule="auto"/>
        <w:rPr>
          <w:rFonts w:hAnsi="宋体" w:cs="宋体"/>
          <w:sz w:val="28"/>
          <w:szCs w:val="28"/>
        </w:rPr>
      </w:pPr>
    </w:p>
    <w:p>
      <w:pPr>
        <w:pStyle w:val="20"/>
        <w:snapToGrid w:val="0"/>
        <w:spacing w:beforeLines="0" w:afterLines="0" w:line="360" w:lineRule="auto"/>
        <w:rPr>
          <w:rFonts w:hAnsi="宋体" w:cs="宋体"/>
          <w:sz w:val="28"/>
          <w:szCs w:val="28"/>
        </w:rPr>
      </w:pPr>
    </w:p>
    <w:p>
      <w:pPr>
        <w:pStyle w:val="20"/>
        <w:snapToGrid w:val="0"/>
        <w:spacing w:beforeLines="0" w:afterLines="0" w:line="360" w:lineRule="auto"/>
        <w:rPr>
          <w:rFonts w:hAnsi="宋体" w:cs="宋体"/>
          <w:sz w:val="28"/>
          <w:szCs w:val="28"/>
        </w:rPr>
      </w:pPr>
    </w:p>
    <w:p>
      <w:pPr>
        <w:pStyle w:val="20"/>
        <w:snapToGrid w:val="0"/>
        <w:spacing w:beforeLines="0" w:afterLines="0" w:line="360" w:lineRule="auto"/>
        <w:rPr>
          <w:rFonts w:hAnsi="宋体" w:cs="宋体"/>
          <w:sz w:val="28"/>
          <w:szCs w:val="28"/>
        </w:rPr>
      </w:pPr>
    </w:p>
    <w:p>
      <w:pPr>
        <w:pStyle w:val="20"/>
        <w:snapToGrid w:val="0"/>
        <w:spacing w:beforeLines="0" w:afterLines="0" w:line="360" w:lineRule="auto"/>
        <w:rPr>
          <w:rFonts w:hAnsi="宋体" w:cs="宋体"/>
          <w:sz w:val="28"/>
          <w:szCs w:val="28"/>
        </w:rPr>
      </w:pPr>
    </w:p>
    <w:p>
      <w:pPr>
        <w:pStyle w:val="20"/>
        <w:snapToGrid w:val="0"/>
        <w:spacing w:beforeLines="0" w:afterLines="0" w:line="360" w:lineRule="auto"/>
        <w:rPr>
          <w:rFonts w:hAnsi="宋体" w:cs="宋体"/>
          <w:sz w:val="28"/>
          <w:szCs w:val="28"/>
        </w:rPr>
      </w:pPr>
    </w:p>
    <w:p>
      <w:pPr>
        <w:pStyle w:val="20"/>
        <w:snapToGrid w:val="0"/>
        <w:spacing w:beforeLines="0" w:afterLines="0" w:line="360" w:lineRule="auto"/>
        <w:rPr>
          <w:rFonts w:hAnsi="宋体" w:cs="宋体"/>
          <w:sz w:val="28"/>
          <w:szCs w:val="28"/>
        </w:rPr>
      </w:pPr>
    </w:p>
    <w:p>
      <w:pPr>
        <w:pStyle w:val="20"/>
        <w:snapToGrid w:val="0"/>
        <w:spacing w:beforeLines="0" w:afterLines="0" w:line="360" w:lineRule="auto"/>
        <w:rPr>
          <w:rFonts w:hAnsi="宋体" w:cs="宋体"/>
          <w:sz w:val="28"/>
          <w:szCs w:val="28"/>
        </w:rPr>
      </w:pPr>
    </w:p>
    <w:p>
      <w:pPr>
        <w:pStyle w:val="20"/>
        <w:snapToGrid w:val="0"/>
        <w:spacing w:beforeLines="0" w:afterLines="0" w:line="360" w:lineRule="auto"/>
        <w:rPr>
          <w:rFonts w:hAnsi="宋体" w:cs="宋体"/>
          <w:sz w:val="28"/>
          <w:szCs w:val="28"/>
        </w:rPr>
      </w:pPr>
    </w:p>
    <w:p>
      <w:pPr>
        <w:pStyle w:val="20"/>
        <w:snapToGrid w:val="0"/>
        <w:spacing w:beforeLines="0" w:afterLines="0" w:line="360" w:lineRule="auto"/>
        <w:rPr>
          <w:rFonts w:hAnsi="宋体" w:cs="宋体"/>
          <w:sz w:val="28"/>
          <w:szCs w:val="28"/>
        </w:rPr>
      </w:pPr>
    </w:p>
    <w:p>
      <w:pPr>
        <w:pStyle w:val="20"/>
        <w:snapToGrid w:val="0"/>
        <w:spacing w:beforeLines="0" w:afterLines="0" w:line="360" w:lineRule="auto"/>
        <w:rPr>
          <w:rFonts w:hAnsi="宋体" w:cs="宋体"/>
          <w:sz w:val="28"/>
          <w:szCs w:val="28"/>
        </w:rPr>
      </w:pPr>
    </w:p>
    <w:p>
      <w:pPr>
        <w:pStyle w:val="20"/>
        <w:snapToGrid w:val="0"/>
        <w:spacing w:beforeLines="0" w:afterLines="0" w:line="360" w:lineRule="auto"/>
        <w:rPr>
          <w:rFonts w:hAnsi="宋体" w:cs="宋体"/>
          <w:sz w:val="28"/>
          <w:szCs w:val="28"/>
        </w:rPr>
      </w:pPr>
    </w:p>
    <w:p>
      <w:pPr>
        <w:pStyle w:val="20"/>
        <w:snapToGrid w:val="0"/>
        <w:spacing w:beforeLines="0" w:afterLines="0" w:line="360" w:lineRule="auto"/>
        <w:rPr>
          <w:rFonts w:hAnsi="宋体" w:cs="宋体"/>
          <w:sz w:val="28"/>
          <w:szCs w:val="28"/>
        </w:rPr>
        <w:sectPr>
          <w:headerReference r:id="rId11" w:type="first"/>
          <w:footerReference r:id="rId14" w:type="first"/>
          <w:headerReference r:id="rId10" w:type="default"/>
          <w:footerReference r:id="rId12" w:type="default"/>
          <w:footerReference r:id="rId13" w:type="even"/>
          <w:pgSz w:w="11850" w:h="16783"/>
          <w:pgMar w:top="1474" w:right="1797" w:bottom="1247" w:left="1797" w:header="851" w:footer="851" w:gutter="0"/>
          <w:cols w:space="720" w:num="1"/>
          <w:docGrid w:linePitch="312" w:charSpace="0"/>
        </w:sectPr>
      </w:pPr>
    </w:p>
    <w:p>
      <w:pPr>
        <w:pStyle w:val="20"/>
        <w:snapToGrid w:val="0"/>
        <w:spacing w:beforeLines="0" w:afterLines="0"/>
        <w:rPr>
          <w:rFonts w:hAnsi="宋体" w:cs="宋体"/>
          <w:sz w:val="28"/>
          <w:szCs w:val="28"/>
        </w:rPr>
      </w:pPr>
      <w:r>
        <w:rPr>
          <w:rFonts w:hint="eastAsia" w:hAnsi="宋体" w:cs="宋体"/>
          <w:sz w:val="28"/>
          <w:szCs w:val="28"/>
        </w:rPr>
        <w:t>附件：</w:t>
      </w:r>
    </w:p>
    <w:p>
      <w:pPr>
        <w:snapToGrid w:val="0"/>
        <w:spacing w:before="50" w:after="240" w:line="360" w:lineRule="auto"/>
        <w:jc w:val="center"/>
        <w:rPr>
          <w:rFonts w:ascii="宋体" w:hAnsi="宋体" w:cs="宋体"/>
          <w:b/>
          <w:sz w:val="28"/>
          <w:szCs w:val="28"/>
        </w:rPr>
      </w:pPr>
      <w:r>
        <w:rPr>
          <w:rFonts w:hint="eastAsia" w:ascii="宋体" w:hAnsi="宋体" w:cs="宋体"/>
          <w:b/>
          <w:sz w:val="28"/>
          <w:szCs w:val="28"/>
        </w:rPr>
        <w:t>开 标 一 览 表</w:t>
      </w:r>
    </w:p>
    <w:p>
      <w:pPr>
        <w:snapToGrid w:val="0"/>
        <w:spacing w:before="50" w:after="50" w:line="360" w:lineRule="auto"/>
        <w:rPr>
          <w:rFonts w:ascii="宋体" w:hAnsi="宋体" w:cs="宋体"/>
          <w:sz w:val="24"/>
          <w:szCs w:val="24"/>
        </w:rPr>
      </w:pPr>
      <w:r>
        <w:rPr>
          <w:rFonts w:hint="eastAsia" w:ascii="宋体" w:hAnsi="宋体" w:cs="宋体"/>
          <w:sz w:val="24"/>
          <w:szCs w:val="24"/>
        </w:rPr>
        <w:t xml:space="preserve">        单位全称（公章）：</w:t>
      </w:r>
    </w:p>
    <w:p>
      <w:pPr>
        <w:snapToGrid w:val="0"/>
        <w:spacing w:before="50" w:after="50" w:line="360" w:lineRule="auto"/>
        <w:ind w:firstLine="960" w:firstLineChars="400"/>
        <w:rPr>
          <w:rFonts w:ascii="宋体" w:hAnsi="宋体" w:cs="宋体"/>
          <w:sz w:val="24"/>
          <w:szCs w:val="24"/>
        </w:rPr>
      </w:pPr>
      <w:r>
        <w:rPr>
          <w:rFonts w:hint="eastAsia" w:ascii="宋体" w:hAnsi="宋体" w:cs="宋体"/>
          <w:sz w:val="24"/>
          <w:szCs w:val="24"/>
        </w:rPr>
        <w:t>项目名称：                                                                          项目编号：</w:t>
      </w:r>
    </w:p>
    <w:tbl>
      <w:tblPr>
        <w:tblStyle w:val="3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96"/>
        <w:gridCol w:w="2546"/>
        <w:gridCol w:w="1756"/>
        <w:gridCol w:w="1829"/>
        <w:gridCol w:w="2524"/>
        <w:gridCol w:w="27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15" w:hRule="atLeast"/>
          <w:jc w:val="center"/>
        </w:trPr>
        <w:tc>
          <w:tcPr>
            <w:tcW w:w="1196" w:type="dxa"/>
            <w:vAlign w:val="center"/>
          </w:tcPr>
          <w:p>
            <w:pPr>
              <w:spacing w:line="360" w:lineRule="auto"/>
              <w:ind w:right="-21" w:rightChars="-10"/>
              <w:jc w:val="center"/>
              <w:rPr>
                <w:rFonts w:ascii="宋体" w:hAnsi="宋体" w:cs="宋体"/>
                <w:sz w:val="24"/>
                <w:szCs w:val="24"/>
              </w:rPr>
            </w:pPr>
            <w:r>
              <w:rPr>
                <w:rFonts w:hint="eastAsia" w:ascii="宋体" w:hAnsi="宋体" w:cs="宋体"/>
                <w:sz w:val="24"/>
                <w:szCs w:val="24"/>
              </w:rPr>
              <w:t>序号</w:t>
            </w:r>
          </w:p>
        </w:tc>
        <w:tc>
          <w:tcPr>
            <w:tcW w:w="2546" w:type="dxa"/>
            <w:vAlign w:val="center"/>
          </w:tcPr>
          <w:p>
            <w:pPr>
              <w:spacing w:line="360" w:lineRule="auto"/>
              <w:ind w:right="-21" w:rightChars="-10"/>
              <w:jc w:val="center"/>
              <w:rPr>
                <w:rFonts w:ascii="宋体" w:hAnsi="宋体" w:cs="宋体"/>
                <w:sz w:val="24"/>
                <w:szCs w:val="24"/>
              </w:rPr>
            </w:pPr>
            <w:r>
              <w:rPr>
                <w:rFonts w:hint="eastAsia" w:ascii="宋体" w:hAnsi="宋体" w:cs="宋体"/>
                <w:sz w:val="24"/>
                <w:szCs w:val="24"/>
              </w:rPr>
              <w:t>项目内容</w:t>
            </w:r>
          </w:p>
        </w:tc>
        <w:tc>
          <w:tcPr>
            <w:tcW w:w="1756" w:type="dxa"/>
            <w:vAlign w:val="center"/>
          </w:tcPr>
          <w:p>
            <w:pPr>
              <w:spacing w:line="360" w:lineRule="auto"/>
              <w:ind w:right="-21" w:rightChars="-10"/>
              <w:jc w:val="center"/>
              <w:rPr>
                <w:rFonts w:ascii="宋体" w:hAnsi="宋体" w:cs="宋体"/>
                <w:sz w:val="24"/>
                <w:szCs w:val="24"/>
              </w:rPr>
            </w:pPr>
            <w:r>
              <w:rPr>
                <w:rFonts w:hint="eastAsia" w:ascii="宋体" w:hAnsi="宋体" w:cs="宋体"/>
                <w:sz w:val="24"/>
                <w:szCs w:val="24"/>
              </w:rPr>
              <w:t>报价（元）</w:t>
            </w:r>
          </w:p>
        </w:tc>
        <w:tc>
          <w:tcPr>
            <w:tcW w:w="1829" w:type="dxa"/>
            <w:vAlign w:val="center"/>
          </w:tcPr>
          <w:p>
            <w:pPr>
              <w:spacing w:line="360" w:lineRule="auto"/>
              <w:ind w:right="-21" w:rightChars="-10"/>
              <w:jc w:val="center"/>
              <w:rPr>
                <w:rFonts w:ascii="宋体" w:hAnsi="宋体" w:cs="宋体"/>
                <w:sz w:val="24"/>
                <w:szCs w:val="24"/>
              </w:rPr>
            </w:pPr>
            <w:r>
              <w:rPr>
                <w:rFonts w:hint="eastAsia" w:ascii="宋体" w:hAnsi="宋体" w:cs="宋体"/>
                <w:sz w:val="24"/>
                <w:szCs w:val="24"/>
              </w:rPr>
              <w:t>工期</w:t>
            </w:r>
          </w:p>
        </w:tc>
        <w:tc>
          <w:tcPr>
            <w:tcW w:w="2524" w:type="dxa"/>
            <w:vAlign w:val="center"/>
          </w:tcPr>
          <w:p>
            <w:pPr>
              <w:spacing w:line="360" w:lineRule="auto"/>
              <w:ind w:right="-21" w:rightChars="-10"/>
              <w:jc w:val="center"/>
              <w:rPr>
                <w:rFonts w:ascii="宋体" w:hAnsi="宋体" w:cs="宋体"/>
                <w:sz w:val="24"/>
                <w:szCs w:val="24"/>
              </w:rPr>
            </w:pPr>
            <w:r>
              <w:rPr>
                <w:rFonts w:hint="eastAsia" w:ascii="宋体" w:hAnsi="宋体" w:cs="宋体"/>
                <w:sz w:val="24"/>
                <w:szCs w:val="24"/>
              </w:rPr>
              <w:t>质保期</w:t>
            </w:r>
          </w:p>
        </w:tc>
        <w:tc>
          <w:tcPr>
            <w:tcW w:w="2760" w:type="dxa"/>
            <w:vAlign w:val="center"/>
          </w:tcPr>
          <w:p>
            <w:pPr>
              <w:spacing w:line="360" w:lineRule="auto"/>
              <w:ind w:right="-21" w:rightChars="-10"/>
              <w:jc w:val="center"/>
              <w:rPr>
                <w:rFonts w:ascii="宋体" w:hAnsi="宋体" w:cs="宋体"/>
                <w:sz w:val="24"/>
                <w:szCs w:val="24"/>
              </w:rPr>
            </w:pPr>
            <w:r>
              <w:rPr>
                <w:rFonts w:hint="eastAsia" w:ascii="宋体" w:hAnsi="宋体" w:cs="宋体"/>
                <w:sz w:val="24"/>
                <w:szCs w:val="24"/>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62" w:hRule="atLeast"/>
          <w:jc w:val="center"/>
        </w:trPr>
        <w:tc>
          <w:tcPr>
            <w:tcW w:w="1196" w:type="dxa"/>
            <w:vAlign w:val="center"/>
          </w:tcPr>
          <w:p>
            <w:pPr>
              <w:spacing w:line="360" w:lineRule="auto"/>
              <w:ind w:right="-21" w:rightChars="-10"/>
              <w:jc w:val="center"/>
              <w:rPr>
                <w:rFonts w:ascii="宋体" w:hAnsi="宋体" w:cs="宋体"/>
                <w:sz w:val="24"/>
                <w:szCs w:val="24"/>
              </w:rPr>
            </w:pPr>
            <w:r>
              <w:rPr>
                <w:rFonts w:hint="eastAsia" w:ascii="宋体" w:hAnsi="宋体" w:cs="宋体"/>
                <w:sz w:val="24"/>
                <w:szCs w:val="24"/>
              </w:rPr>
              <w:t>1</w:t>
            </w:r>
          </w:p>
        </w:tc>
        <w:tc>
          <w:tcPr>
            <w:tcW w:w="2546" w:type="dxa"/>
            <w:vAlign w:val="center"/>
          </w:tcPr>
          <w:p>
            <w:pPr>
              <w:spacing w:line="360" w:lineRule="auto"/>
              <w:ind w:right="-21" w:rightChars="-10"/>
              <w:rPr>
                <w:rFonts w:ascii="宋体" w:hAnsi="宋体" w:cs="宋体"/>
                <w:sz w:val="24"/>
                <w:szCs w:val="24"/>
              </w:rPr>
            </w:pPr>
          </w:p>
        </w:tc>
        <w:tc>
          <w:tcPr>
            <w:tcW w:w="1756" w:type="dxa"/>
            <w:vAlign w:val="center"/>
          </w:tcPr>
          <w:p>
            <w:pPr>
              <w:pStyle w:val="78"/>
              <w:rPr>
                <w:rFonts w:cs="宋体"/>
              </w:rPr>
            </w:pPr>
          </w:p>
        </w:tc>
        <w:tc>
          <w:tcPr>
            <w:tcW w:w="1829" w:type="dxa"/>
          </w:tcPr>
          <w:p>
            <w:pPr>
              <w:spacing w:line="360" w:lineRule="auto"/>
              <w:ind w:right="-21" w:rightChars="-10"/>
              <w:jc w:val="center"/>
              <w:rPr>
                <w:rFonts w:ascii="宋体" w:hAnsi="宋体" w:cs="宋体"/>
                <w:sz w:val="24"/>
                <w:szCs w:val="24"/>
              </w:rPr>
            </w:pPr>
          </w:p>
        </w:tc>
        <w:tc>
          <w:tcPr>
            <w:tcW w:w="2524" w:type="dxa"/>
          </w:tcPr>
          <w:p>
            <w:pPr>
              <w:spacing w:line="360" w:lineRule="auto"/>
              <w:ind w:right="-21" w:rightChars="-10"/>
              <w:jc w:val="center"/>
              <w:rPr>
                <w:rFonts w:ascii="宋体" w:hAnsi="宋体" w:cs="宋体"/>
                <w:sz w:val="24"/>
                <w:szCs w:val="24"/>
              </w:rPr>
            </w:pPr>
          </w:p>
        </w:tc>
        <w:tc>
          <w:tcPr>
            <w:tcW w:w="2760" w:type="dxa"/>
          </w:tcPr>
          <w:p>
            <w:pPr>
              <w:spacing w:line="360" w:lineRule="auto"/>
              <w:ind w:right="-21" w:rightChars="-10"/>
              <w:jc w:val="center"/>
              <w:rPr>
                <w:rFonts w:ascii="宋体" w:hAnsi="宋体" w:cs="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37" w:hRule="atLeast"/>
          <w:jc w:val="center"/>
        </w:trPr>
        <w:tc>
          <w:tcPr>
            <w:tcW w:w="12611" w:type="dxa"/>
            <w:gridSpan w:val="6"/>
          </w:tcPr>
          <w:p>
            <w:pPr>
              <w:spacing w:line="360" w:lineRule="auto"/>
              <w:ind w:right="-21" w:rightChars="-10"/>
              <w:rPr>
                <w:rFonts w:ascii="宋体" w:hAnsi="宋体" w:cs="宋体"/>
                <w:sz w:val="24"/>
                <w:szCs w:val="24"/>
              </w:rPr>
            </w:pPr>
            <w:r>
              <w:rPr>
                <w:rFonts w:hint="eastAsia" w:ascii="宋体" w:hAnsi="宋体" w:cs="宋体"/>
                <w:sz w:val="24"/>
                <w:szCs w:val="24"/>
              </w:rPr>
              <w:t>报价合计（大写）：</w:t>
            </w:r>
          </w:p>
        </w:tc>
      </w:tr>
    </w:tbl>
    <w:p>
      <w:pPr>
        <w:snapToGrid w:val="0"/>
        <w:spacing w:before="50" w:after="50" w:line="360" w:lineRule="auto"/>
        <w:ind w:left="1121" w:leftChars="134" w:hanging="840" w:hangingChars="350"/>
        <w:jc w:val="left"/>
        <w:rPr>
          <w:rFonts w:ascii="宋体" w:hAnsi="宋体" w:cs="宋体"/>
          <w:sz w:val="24"/>
          <w:szCs w:val="24"/>
        </w:rPr>
      </w:pPr>
    </w:p>
    <w:p>
      <w:pPr>
        <w:snapToGrid w:val="0"/>
        <w:spacing w:before="50" w:after="50" w:line="360" w:lineRule="auto"/>
        <w:ind w:firstLine="960" w:firstLineChars="400"/>
        <w:jc w:val="left"/>
        <w:rPr>
          <w:rFonts w:ascii="宋体" w:hAnsi="宋体" w:cs="宋体"/>
          <w:sz w:val="24"/>
          <w:szCs w:val="24"/>
        </w:rPr>
      </w:pPr>
      <w:r>
        <w:rPr>
          <w:rFonts w:hint="eastAsia" w:ascii="宋体" w:hAnsi="宋体" w:cs="宋体"/>
          <w:sz w:val="24"/>
          <w:szCs w:val="24"/>
        </w:rPr>
        <w:t>注: 1、此表报价单不得涂改，请按规定要求填报，否则其投标作无效标处理。</w:t>
      </w:r>
    </w:p>
    <w:p>
      <w:pPr>
        <w:snapToGrid w:val="0"/>
        <w:spacing w:before="50" w:after="50" w:line="360" w:lineRule="auto"/>
        <w:ind w:left="1200" w:leftChars="400" w:hanging="360" w:hangingChars="150"/>
        <w:jc w:val="left"/>
        <w:rPr>
          <w:rFonts w:ascii="宋体" w:hAnsi="宋体" w:cs="宋体"/>
          <w:b/>
          <w:sz w:val="24"/>
          <w:szCs w:val="24"/>
        </w:rPr>
      </w:pPr>
      <w:r>
        <w:rPr>
          <w:rFonts w:hint="eastAsia" w:ascii="宋体" w:hAnsi="宋体" w:cs="宋体"/>
          <w:sz w:val="24"/>
          <w:szCs w:val="24"/>
        </w:rPr>
        <w:t>2、以上报价应包含“投标报价明细表”中的“合计”数。</w:t>
      </w:r>
    </w:p>
    <w:p>
      <w:pPr>
        <w:snapToGrid w:val="0"/>
        <w:spacing w:before="50" w:after="50" w:line="360" w:lineRule="auto"/>
        <w:ind w:left="1200" w:leftChars="400" w:hanging="360" w:hangingChars="150"/>
        <w:jc w:val="left"/>
        <w:rPr>
          <w:rFonts w:ascii="宋体" w:hAnsi="宋体" w:cs="宋体"/>
          <w:sz w:val="24"/>
          <w:szCs w:val="24"/>
        </w:rPr>
      </w:pPr>
      <w:r>
        <w:rPr>
          <w:rFonts w:hint="eastAsia" w:ascii="宋体" w:hAnsi="宋体" w:cs="宋体"/>
          <w:sz w:val="24"/>
          <w:szCs w:val="24"/>
        </w:rPr>
        <w:t>3、项目费用包括项目实施所需的设备、人工、维修保养、安装、调试、培训、验收、保修、税费等一切费用。</w:t>
      </w:r>
    </w:p>
    <w:p>
      <w:pPr>
        <w:snapToGrid w:val="0"/>
        <w:spacing w:before="240" w:after="50" w:line="360" w:lineRule="auto"/>
        <w:jc w:val="left"/>
        <w:rPr>
          <w:rFonts w:ascii="宋体" w:hAnsi="宋体" w:cs="宋体"/>
          <w:sz w:val="24"/>
          <w:szCs w:val="24"/>
        </w:rPr>
      </w:pPr>
      <w:r>
        <w:rPr>
          <w:rFonts w:hint="eastAsia" w:ascii="宋体" w:hAnsi="宋体" w:cs="宋体"/>
          <w:sz w:val="24"/>
          <w:szCs w:val="24"/>
        </w:rPr>
        <w:t xml:space="preserve">     全权代表（签字）：                              日期：</w:t>
      </w:r>
    </w:p>
    <w:p>
      <w:pPr>
        <w:snapToGrid w:val="0"/>
        <w:spacing w:before="50" w:after="50" w:line="360" w:lineRule="auto"/>
        <w:ind w:left="-3" w:leftChars="-72" w:right="-817" w:rightChars="-389" w:hanging="148" w:hangingChars="62"/>
        <w:rPr>
          <w:rFonts w:ascii="宋体" w:hAnsi="宋体" w:cs="宋体"/>
          <w:sz w:val="24"/>
          <w:szCs w:val="24"/>
        </w:rPr>
        <w:sectPr>
          <w:pgSz w:w="16783" w:h="11850" w:orient="landscape"/>
          <w:pgMar w:top="1558" w:right="1474" w:bottom="1797" w:left="1247" w:header="851" w:footer="851" w:gutter="0"/>
          <w:cols w:space="720" w:num="1"/>
          <w:titlePg/>
          <w:docGrid w:linePitch="312" w:charSpace="0"/>
        </w:sectPr>
      </w:pPr>
    </w:p>
    <w:p>
      <w:pPr>
        <w:tabs>
          <w:tab w:val="left" w:pos="606"/>
        </w:tabs>
        <w:spacing w:line="500" w:lineRule="exact"/>
        <w:rPr>
          <w:rFonts w:ascii="宋体" w:hAnsi="宋体" w:cs="宋体"/>
          <w:spacing w:val="20"/>
          <w:sz w:val="28"/>
          <w:szCs w:val="28"/>
        </w:rPr>
      </w:pPr>
      <w:r>
        <w:rPr>
          <w:rFonts w:hint="eastAsia" w:ascii="宋体" w:hAnsi="宋体" w:cs="宋体"/>
          <w:sz w:val="28"/>
          <w:szCs w:val="28"/>
        </w:rPr>
        <w:t>附件：</w:t>
      </w:r>
    </w:p>
    <w:p>
      <w:pPr>
        <w:spacing w:line="360" w:lineRule="auto"/>
        <w:jc w:val="center"/>
        <w:rPr>
          <w:rFonts w:ascii="宋体" w:hAnsi="宋体" w:cs="宋体"/>
          <w:b/>
          <w:sz w:val="28"/>
          <w:szCs w:val="28"/>
        </w:rPr>
      </w:pPr>
      <w:r>
        <w:rPr>
          <w:rFonts w:hint="eastAsia" w:ascii="宋体" w:hAnsi="宋体" w:cs="宋体"/>
          <w:b/>
          <w:sz w:val="28"/>
          <w:szCs w:val="28"/>
        </w:rPr>
        <w:t>投标报价明细表</w:t>
      </w:r>
    </w:p>
    <w:p>
      <w:pPr>
        <w:spacing w:line="360" w:lineRule="auto"/>
        <w:jc w:val="center"/>
        <w:rPr>
          <w:rFonts w:ascii="宋体" w:hAnsi="宋体" w:cs="宋体"/>
          <w:b/>
          <w:sz w:val="24"/>
          <w:szCs w:val="24"/>
        </w:rPr>
      </w:pPr>
    </w:p>
    <w:tbl>
      <w:tblPr>
        <w:tblStyle w:val="3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073"/>
        <w:gridCol w:w="2715"/>
        <w:gridCol w:w="903"/>
        <w:gridCol w:w="854"/>
        <w:gridCol w:w="1543"/>
        <w:gridCol w:w="12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817" w:type="dxa"/>
            <w:vAlign w:val="center"/>
          </w:tcPr>
          <w:p>
            <w:pPr>
              <w:spacing w:line="360" w:lineRule="auto"/>
              <w:jc w:val="center"/>
              <w:rPr>
                <w:rFonts w:ascii="宋体" w:hAnsi="宋体" w:cs="宋体"/>
                <w:sz w:val="24"/>
                <w:szCs w:val="24"/>
              </w:rPr>
            </w:pPr>
            <w:r>
              <w:rPr>
                <w:rFonts w:hint="eastAsia" w:ascii="宋体" w:hAnsi="宋体" w:cs="宋体"/>
                <w:sz w:val="24"/>
                <w:szCs w:val="24"/>
              </w:rPr>
              <w:t>序号</w:t>
            </w:r>
          </w:p>
        </w:tc>
        <w:tc>
          <w:tcPr>
            <w:tcW w:w="1073" w:type="dxa"/>
            <w:vAlign w:val="center"/>
          </w:tcPr>
          <w:p>
            <w:pPr>
              <w:spacing w:line="360" w:lineRule="auto"/>
              <w:jc w:val="center"/>
              <w:rPr>
                <w:rFonts w:ascii="宋体" w:hAnsi="宋体" w:cs="宋体"/>
                <w:sz w:val="24"/>
                <w:szCs w:val="24"/>
              </w:rPr>
            </w:pPr>
            <w:r>
              <w:rPr>
                <w:rFonts w:hint="eastAsia" w:ascii="宋体" w:hAnsi="宋体" w:cs="宋体"/>
                <w:sz w:val="24"/>
                <w:szCs w:val="24"/>
              </w:rPr>
              <w:t>名称</w:t>
            </w:r>
          </w:p>
        </w:tc>
        <w:tc>
          <w:tcPr>
            <w:tcW w:w="2715" w:type="dxa"/>
            <w:vAlign w:val="center"/>
          </w:tcPr>
          <w:p>
            <w:pPr>
              <w:spacing w:line="360" w:lineRule="auto"/>
              <w:jc w:val="center"/>
              <w:rPr>
                <w:rFonts w:ascii="宋体" w:hAnsi="宋体" w:cs="宋体"/>
                <w:sz w:val="24"/>
                <w:szCs w:val="24"/>
              </w:rPr>
            </w:pPr>
            <w:r>
              <w:rPr>
                <w:rFonts w:hint="eastAsia" w:ascii="宋体" w:hAnsi="宋体" w:cs="宋体"/>
                <w:sz w:val="24"/>
                <w:szCs w:val="24"/>
              </w:rPr>
              <w:t>内容</w:t>
            </w:r>
          </w:p>
        </w:tc>
        <w:tc>
          <w:tcPr>
            <w:tcW w:w="903" w:type="dxa"/>
            <w:vAlign w:val="center"/>
          </w:tcPr>
          <w:p>
            <w:pPr>
              <w:spacing w:line="360" w:lineRule="auto"/>
              <w:jc w:val="center"/>
              <w:rPr>
                <w:rFonts w:ascii="宋体" w:hAnsi="宋体" w:cs="宋体"/>
                <w:sz w:val="24"/>
                <w:szCs w:val="24"/>
              </w:rPr>
            </w:pPr>
            <w:r>
              <w:rPr>
                <w:rFonts w:hint="eastAsia" w:ascii="宋体" w:hAnsi="宋体" w:cs="宋体"/>
                <w:sz w:val="24"/>
                <w:szCs w:val="24"/>
              </w:rPr>
              <w:t>数量</w:t>
            </w:r>
          </w:p>
        </w:tc>
        <w:tc>
          <w:tcPr>
            <w:tcW w:w="854" w:type="dxa"/>
            <w:vAlign w:val="center"/>
          </w:tcPr>
          <w:p>
            <w:pPr>
              <w:spacing w:line="360" w:lineRule="auto"/>
              <w:jc w:val="center"/>
              <w:rPr>
                <w:rFonts w:ascii="宋体" w:hAnsi="宋体" w:cs="宋体"/>
                <w:sz w:val="24"/>
                <w:szCs w:val="24"/>
              </w:rPr>
            </w:pPr>
            <w:r>
              <w:rPr>
                <w:rFonts w:hint="eastAsia" w:ascii="宋体" w:hAnsi="宋体" w:cs="宋体"/>
                <w:sz w:val="24"/>
                <w:szCs w:val="24"/>
              </w:rPr>
              <w:t>单价</w:t>
            </w:r>
          </w:p>
        </w:tc>
        <w:tc>
          <w:tcPr>
            <w:tcW w:w="1543" w:type="dxa"/>
            <w:vAlign w:val="center"/>
          </w:tcPr>
          <w:p>
            <w:pPr>
              <w:spacing w:line="360" w:lineRule="auto"/>
              <w:jc w:val="center"/>
              <w:rPr>
                <w:rFonts w:ascii="宋体" w:hAnsi="宋体" w:cs="宋体"/>
                <w:sz w:val="24"/>
                <w:szCs w:val="24"/>
              </w:rPr>
            </w:pPr>
            <w:r>
              <w:rPr>
                <w:rFonts w:hint="eastAsia" w:ascii="宋体" w:hAnsi="宋体" w:cs="宋体"/>
                <w:sz w:val="24"/>
                <w:szCs w:val="24"/>
              </w:rPr>
              <w:t>合计</w:t>
            </w:r>
          </w:p>
        </w:tc>
        <w:tc>
          <w:tcPr>
            <w:tcW w:w="1275" w:type="dxa"/>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7" w:type="dxa"/>
          </w:tcPr>
          <w:p>
            <w:pPr>
              <w:spacing w:line="360" w:lineRule="auto"/>
              <w:rPr>
                <w:rFonts w:ascii="宋体" w:hAnsi="宋体" w:cs="宋体"/>
                <w:sz w:val="24"/>
                <w:szCs w:val="24"/>
              </w:rPr>
            </w:pPr>
          </w:p>
        </w:tc>
        <w:tc>
          <w:tcPr>
            <w:tcW w:w="1073" w:type="dxa"/>
          </w:tcPr>
          <w:p>
            <w:pPr>
              <w:spacing w:line="360" w:lineRule="auto"/>
              <w:rPr>
                <w:rFonts w:ascii="宋体" w:hAnsi="宋体" w:cs="宋体"/>
                <w:sz w:val="24"/>
                <w:szCs w:val="24"/>
              </w:rPr>
            </w:pPr>
          </w:p>
        </w:tc>
        <w:tc>
          <w:tcPr>
            <w:tcW w:w="2715" w:type="dxa"/>
          </w:tcPr>
          <w:p>
            <w:pPr>
              <w:spacing w:line="360" w:lineRule="auto"/>
              <w:rPr>
                <w:rFonts w:ascii="宋体" w:hAnsi="宋体" w:cs="宋体"/>
                <w:sz w:val="24"/>
                <w:szCs w:val="24"/>
              </w:rPr>
            </w:pPr>
          </w:p>
        </w:tc>
        <w:tc>
          <w:tcPr>
            <w:tcW w:w="903" w:type="dxa"/>
          </w:tcPr>
          <w:p>
            <w:pPr>
              <w:spacing w:line="360" w:lineRule="auto"/>
              <w:rPr>
                <w:rFonts w:ascii="宋体" w:hAnsi="宋体" w:cs="宋体"/>
                <w:sz w:val="24"/>
                <w:szCs w:val="24"/>
              </w:rPr>
            </w:pPr>
          </w:p>
        </w:tc>
        <w:tc>
          <w:tcPr>
            <w:tcW w:w="854" w:type="dxa"/>
          </w:tcPr>
          <w:p>
            <w:pPr>
              <w:spacing w:line="360" w:lineRule="auto"/>
              <w:rPr>
                <w:rFonts w:ascii="宋体" w:hAnsi="宋体" w:cs="宋体"/>
                <w:sz w:val="24"/>
                <w:szCs w:val="24"/>
              </w:rPr>
            </w:pPr>
          </w:p>
        </w:tc>
        <w:tc>
          <w:tcPr>
            <w:tcW w:w="1543" w:type="dxa"/>
          </w:tcPr>
          <w:p>
            <w:pPr>
              <w:spacing w:line="360" w:lineRule="auto"/>
              <w:rPr>
                <w:rFonts w:ascii="宋体" w:hAnsi="宋体" w:cs="宋体"/>
                <w:sz w:val="24"/>
                <w:szCs w:val="24"/>
              </w:rPr>
            </w:pPr>
          </w:p>
        </w:tc>
        <w:tc>
          <w:tcPr>
            <w:tcW w:w="1275" w:type="dxa"/>
          </w:tcPr>
          <w:p>
            <w:pPr>
              <w:spacing w:line="360" w:lineRule="auto"/>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7" w:type="dxa"/>
          </w:tcPr>
          <w:p>
            <w:pPr>
              <w:spacing w:line="360" w:lineRule="auto"/>
              <w:rPr>
                <w:rFonts w:ascii="宋体" w:hAnsi="宋体" w:cs="宋体"/>
                <w:sz w:val="24"/>
                <w:szCs w:val="24"/>
              </w:rPr>
            </w:pPr>
          </w:p>
        </w:tc>
        <w:tc>
          <w:tcPr>
            <w:tcW w:w="1073" w:type="dxa"/>
          </w:tcPr>
          <w:p>
            <w:pPr>
              <w:spacing w:line="360" w:lineRule="auto"/>
              <w:rPr>
                <w:rFonts w:ascii="宋体" w:hAnsi="宋体" w:cs="宋体"/>
                <w:sz w:val="24"/>
                <w:szCs w:val="24"/>
              </w:rPr>
            </w:pPr>
          </w:p>
        </w:tc>
        <w:tc>
          <w:tcPr>
            <w:tcW w:w="2715" w:type="dxa"/>
          </w:tcPr>
          <w:p>
            <w:pPr>
              <w:spacing w:line="360" w:lineRule="auto"/>
              <w:rPr>
                <w:rFonts w:ascii="宋体" w:hAnsi="宋体" w:cs="宋体"/>
                <w:sz w:val="24"/>
                <w:szCs w:val="24"/>
              </w:rPr>
            </w:pPr>
          </w:p>
        </w:tc>
        <w:tc>
          <w:tcPr>
            <w:tcW w:w="903" w:type="dxa"/>
          </w:tcPr>
          <w:p>
            <w:pPr>
              <w:spacing w:line="360" w:lineRule="auto"/>
              <w:rPr>
                <w:rFonts w:ascii="宋体" w:hAnsi="宋体" w:cs="宋体"/>
                <w:sz w:val="24"/>
                <w:szCs w:val="24"/>
              </w:rPr>
            </w:pPr>
          </w:p>
        </w:tc>
        <w:tc>
          <w:tcPr>
            <w:tcW w:w="854" w:type="dxa"/>
          </w:tcPr>
          <w:p>
            <w:pPr>
              <w:spacing w:line="360" w:lineRule="auto"/>
              <w:rPr>
                <w:rFonts w:ascii="宋体" w:hAnsi="宋体" w:cs="宋体"/>
                <w:sz w:val="24"/>
                <w:szCs w:val="24"/>
              </w:rPr>
            </w:pPr>
          </w:p>
        </w:tc>
        <w:tc>
          <w:tcPr>
            <w:tcW w:w="1543" w:type="dxa"/>
          </w:tcPr>
          <w:p>
            <w:pPr>
              <w:spacing w:line="360" w:lineRule="auto"/>
              <w:rPr>
                <w:rFonts w:ascii="宋体" w:hAnsi="宋体" w:cs="宋体"/>
                <w:sz w:val="24"/>
                <w:szCs w:val="24"/>
              </w:rPr>
            </w:pPr>
          </w:p>
        </w:tc>
        <w:tc>
          <w:tcPr>
            <w:tcW w:w="1275" w:type="dxa"/>
          </w:tcPr>
          <w:p>
            <w:pPr>
              <w:spacing w:line="360" w:lineRule="auto"/>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tcPr>
          <w:p>
            <w:pPr>
              <w:spacing w:line="360" w:lineRule="auto"/>
              <w:rPr>
                <w:rFonts w:ascii="宋体" w:hAnsi="宋体" w:cs="宋体"/>
                <w:sz w:val="24"/>
                <w:szCs w:val="24"/>
              </w:rPr>
            </w:pPr>
          </w:p>
        </w:tc>
        <w:tc>
          <w:tcPr>
            <w:tcW w:w="1073" w:type="dxa"/>
          </w:tcPr>
          <w:p>
            <w:pPr>
              <w:spacing w:line="360" w:lineRule="auto"/>
              <w:rPr>
                <w:rFonts w:ascii="宋体" w:hAnsi="宋体" w:cs="宋体"/>
                <w:sz w:val="24"/>
                <w:szCs w:val="24"/>
              </w:rPr>
            </w:pPr>
          </w:p>
        </w:tc>
        <w:tc>
          <w:tcPr>
            <w:tcW w:w="2715" w:type="dxa"/>
          </w:tcPr>
          <w:p>
            <w:pPr>
              <w:spacing w:line="360" w:lineRule="auto"/>
              <w:rPr>
                <w:rFonts w:ascii="宋体" w:hAnsi="宋体" w:cs="宋体"/>
                <w:sz w:val="24"/>
                <w:szCs w:val="24"/>
              </w:rPr>
            </w:pPr>
          </w:p>
        </w:tc>
        <w:tc>
          <w:tcPr>
            <w:tcW w:w="903" w:type="dxa"/>
          </w:tcPr>
          <w:p>
            <w:pPr>
              <w:spacing w:line="360" w:lineRule="auto"/>
              <w:rPr>
                <w:rFonts w:ascii="宋体" w:hAnsi="宋体" w:cs="宋体"/>
                <w:sz w:val="24"/>
                <w:szCs w:val="24"/>
              </w:rPr>
            </w:pPr>
          </w:p>
        </w:tc>
        <w:tc>
          <w:tcPr>
            <w:tcW w:w="854" w:type="dxa"/>
          </w:tcPr>
          <w:p>
            <w:pPr>
              <w:spacing w:line="360" w:lineRule="auto"/>
              <w:rPr>
                <w:rFonts w:ascii="宋体" w:hAnsi="宋体" w:cs="宋体"/>
                <w:sz w:val="24"/>
                <w:szCs w:val="24"/>
              </w:rPr>
            </w:pPr>
          </w:p>
        </w:tc>
        <w:tc>
          <w:tcPr>
            <w:tcW w:w="1543" w:type="dxa"/>
          </w:tcPr>
          <w:p>
            <w:pPr>
              <w:spacing w:line="360" w:lineRule="auto"/>
              <w:rPr>
                <w:rFonts w:ascii="宋体" w:hAnsi="宋体" w:cs="宋体"/>
                <w:sz w:val="24"/>
                <w:szCs w:val="24"/>
              </w:rPr>
            </w:pPr>
          </w:p>
        </w:tc>
        <w:tc>
          <w:tcPr>
            <w:tcW w:w="1275" w:type="dxa"/>
          </w:tcPr>
          <w:p>
            <w:pPr>
              <w:spacing w:line="360" w:lineRule="auto"/>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7" w:type="dxa"/>
          </w:tcPr>
          <w:p>
            <w:pPr>
              <w:spacing w:line="360" w:lineRule="auto"/>
              <w:rPr>
                <w:rFonts w:ascii="宋体" w:hAnsi="宋体" w:cs="宋体"/>
                <w:sz w:val="24"/>
                <w:szCs w:val="24"/>
              </w:rPr>
            </w:pPr>
          </w:p>
        </w:tc>
        <w:tc>
          <w:tcPr>
            <w:tcW w:w="1073" w:type="dxa"/>
          </w:tcPr>
          <w:p>
            <w:pPr>
              <w:spacing w:line="360" w:lineRule="auto"/>
              <w:rPr>
                <w:rFonts w:ascii="宋体" w:hAnsi="宋体" w:cs="宋体"/>
                <w:sz w:val="24"/>
                <w:szCs w:val="24"/>
              </w:rPr>
            </w:pPr>
          </w:p>
        </w:tc>
        <w:tc>
          <w:tcPr>
            <w:tcW w:w="2715" w:type="dxa"/>
          </w:tcPr>
          <w:p>
            <w:pPr>
              <w:spacing w:line="360" w:lineRule="auto"/>
              <w:rPr>
                <w:rFonts w:ascii="宋体" w:hAnsi="宋体" w:cs="宋体"/>
                <w:sz w:val="24"/>
                <w:szCs w:val="24"/>
              </w:rPr>
            </w:pPr>
          </w:p>
        </w:tc>
        <w:tc>
          <w:tcPr>
            <w:tcW w:w="903" w:type="dxa"/>
          </w:tcPr>
          <w:p>
            <w:pPr>
              <w:spacing w:line="360" w:lineRule="auto"/>
              <w:rPr>
                <w:rFonts w:ascii="宋体" w:hAnsi="宋体" w:cs="宋体"/>
                <w:sz w:val="24"/>
                <w:szCs w:val="24"/>
              </w:rPr>
            </w:pPr>
          </w:p>
        </w:tc>
        <w:tc>
          <w:tcPr>
            <w:tcW w:w="854" w:type="dxa"/>
          </w:tcPr>
          <w:p>
            <w:pPr>
              <w:spacing w:line="360" w:lineRule="auto"/>
              <w:rPr>
                <w:rFonts w:ascii="宋体" w:hAnsi="宋体" w:cs="宋体"/>
                <w:sz w:val="24"/>
                <w:szCs w:val="24"/>
              </w:rPr>
            </w:pPr>
          </w:p>
        </w:tc>
        <w:tc>
          <w:tcPr>
            <w:tcW w:w="1543" w:type="dxa"/>
          </w:tcPr>
          <w:p>
            <w:pPr>
              <w:spacing w:line="360" w:lineRule="auto"/>
              <w:rPr>
                <w:rFonts w:ascii="宋体" w:hAnsi="宋体" w:cs="宋体"/>
                <w:sz w:val="24"/>
                <w:szCs w:val="24"/>
              </w:rPr>
            </w:pPr>
          </w:p>
        </w:tc>
        <w:tc>
          <w:tcPr>
            <w:tcW w:w="1275" w:type="dxa"/>
          </w:tcPr>
          <w:p>
            <w:pPr>
              <w:spacing w:line="360" w:lineRule="auto"/>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7" w:type="dxa"/>
          </w:tcPr>
          <w:p>
            <w:pPr>
              <w:spacing w:line="360" w:lineRule="auto"/>
              <w:rPr>
                <w:rFonts w:ascii="宋体" w:hAnsi="宋体" w:cs="宋体"/>
                <w:sz w:val="24"/>
                <w:szCs w:val="24"/>
              </w:rPr>
            </w:pPr>
          </w:p>
        </w:tc>
        <w:tc>
          <w:tcPr>
            <w:tcW w:w="1073" w:type="dxa"/>
          </w:tcPr>
          <w:p>
            <w:pPr>
              <w:spacing w:line="360" w:lineRule="auto"/>
              <w:rPr>
                <w:rFonts w:ascii="宋体" w:hAnsi="宋体" w:cs="宋体"/>
                <w:sz w:val="24"/>
                <w:szCs w:val="24"/>
              </w:rPr>
            </w:pPr>
          </w:p>
        </w:tc>
        <w:tc>
          <w:tcPr>
            <w:tcW w:w="2715" w:type="dxa"/>
          </w:tcPr>
          <w:p>
            <w:pPr>
              <w:spacing w:line="360" w:lineRule="auto"/>
              <w:rPr>
                <w:rFonts w:ascii="宋体" w:hAnsi="宋体" w:cs="宋体"/>
                <w:sz w:val="24"/>
                <w:szCs w:val="24"/>
              </w:rPr>
            </w:pPr>
          </w:p>
        </w:tc>
        <w:tc>
          <w:tcPr>
            <w:tcW w:w="903" w:type="dxa"/>
          </w:tcPr>
          <w:p>
            <w:pPr>
              <w:spacing w:line="360" w:lineRule="auto"/>
              <w:rPr>
                <w:rFonts w:ascii="宋体" w:hAnsi="宋体" w:cs="宋体"/>
                <w:sz w:val="24"/>
                <w:szCs w:val="24"/>
              </w:rPr>
            </w:pPr>
          </w:p>
        </w:tc>
        <w:tc>
          <w:tcPr>
            <w:tcW w:w="854" w:type="dxa"/>
          </w:tcPr>
          <w:p>
            <w:pPr>
              <w:spacing w:line="360" w:lineRule="auto"/>
              <w:rPr>
                <w:rFonts w:ascii="宋体" w:hAnsi="宋体" w:cs="宋体"/>
                <w:sz w:val="24"/>
                <w:szCs w:val="24"/>
              </w:rPr>
            </w:pPr>
          </w:p>
        </w:tc>
        <w:tc>
          <w:tcPr>
            <w:tcW w:w="1543" w:type="dxa"/>
          </w:tcPr>
          <w:p>
            <w:pPr>
              <w:spacing w:line="360" w:lineRule="auto"/>
              <w:rPr>
                <w:rFonts w:ascii="宋体" w:hAnsi="宋体" w:cs="宋体"/>
                <w:sz w:val="24"/>
                <w:szCs w:val="24"/>
              </w:rPr>
            </w:pPr>
          </w:p>
        </w:tc>
        <w:tc>
          <w:tcPr>
            <w:tcW w:w="1275" w:type="dxa"/>
          </w:tcPr>
          <w:p>
            <w:pPr>
              <w:spacing w:line="360" w:lineRule="auto"/>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7" w:type="dxa"/>
          </w:tcPr>
          <w:p>
            <w:pPr>
              <w:spacing w:line="360" w:lineRule="auto"/>
              <w:rPr>
                <w:rFonts w:ascii="宋体" w:hAnsi="宋体" w:cs="宋体"/>
                <w:sz w:val="24"/>
                <w:szCs w:val="24"/>
              </w:rPr>
            </w:pPr>
          </w:p>
        </w:tc>
        <w:tc>
          <w:tcPr>
            <w:tcW w:w="1073" w:type="dxa"/>
          </w:tcPr>
          <w:p>
            <w:pPr>
              <w:spacing w:line="360" w:lineRule="auto"/>
              <w:rPr>
                <w:rFonts w:ascii="宋体" w:hAnsi="宋体" w:cs="宋体"/>
                <w:sz w:val="24"/>
                <w:szCs w:val="24"/>
              </w:rPr>
            </w:pPr>
          </w:p>
        </w:tc>
        <w:tc>
          <w:tcPr>
            <w:tcW w:w="2715" w:type="dxa"/>
          </w:tcPr>
          <w:p>
            <w:pPr>
              <w:spacing w:line="360" w:lineRule="auto"/>
              <w:rPr>
                <w:rFonts w:ascii="宋体" w:hAnsi="宋体" w:cs="宋体"/>
                <w:sz w:val="24"/>
                <w:szCs w:val="24"/>
              </w:rPr>
            </w:pPr>
          </w:p>
        </w:tc>
        <w:tc>
          <w:tcPr>
            <w:tcW w:w="903" w:type="dxa"/>
          </w:tcPr>
          <w:p>
            <w:pPr>
              <w:spacing w:line="360" w:lineRule="auto"/>
              <w:rPr>
                <w:rFonts w:ascii="宋体" w:hAnsi="宋体" w:cs="宋体"/>
                <w:sz w:val="24"/>
                <w:szCs w:val="24"/>
              </w:rPr>
            </w:pPr>
          </w:p>
        </w:tc>
        <w:tc>
          <w:tcPr>
            <w:tcW w:w="854" w:type="dxa"/>
          </w:tcPr>
          <w:p>
            <w:pPr>
              <w:spacing w:line="360" w:lineRule="auto"/>
              <w:rPr>
                <w:rFonts w:ascii="宋体" w:hAnsi="宋体" w:cs="宋体"/>
                <w:sz w:val="24"/>
                <w:szCs w:val="24"/>
              </w:rPr>
            </w:pPr>
          </w:p>
        </w:tc>
        <w:tc>
          <w:tcPr>
            <w:tcW w:w="1543" w:type="dxa"/>
          </w:tcPr>
          <w:p>
            <w:pPr>
              <w:spacing w:line="360" w:lineRule="auto"/>
              <w:rPr>
                <w:rFonts w:ascii="宋体" w:hAnsi="宋体" w:cs="宋体"/>
                <w:sz w:val="24"/>
                <w:szCs w:val="24"/>
              </w:rPr>
            </w:pPr>
          </w:p>
        </w:tc>
        <w:tc>
          <w:tcPr>
            <w:tcW w:w="1275" w:type="dxa"/>
          </w:tcPr>
          <w:p>
            <w:pPr>
              <w:spacing w:line="360" w:lineRule="auto"/>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7" w:type="dxa"/>
          </w:tcPr>
          <w:p>
            <w:pPr>
              <w:spacing w:line="360" w:lineRule="auto"/>
              <w:rPr>
                <w:rFonts w:ascii="宋体" w:hAnsi="宋体" w:cs="宋体"/>
                <w:sz w:val="24"/>
                <w:szCs w:val="24"/>
              </w:rPr>
            </w:pPr>
          </w:p>
        </w:tc>
        <w:tc>
          <w:tcPr>
            <w:tcW w:w="1073" w:type="dxa"/>
          </w:tcPr>
          <w:p>
            <w:pPr>
              <w:spacing w:line="360" w:lineRule="auto"/>
              <w:rPr>
                <w:rFonts w:ascii="宋体" w:hAnsi="宋体" w:cs="宋体"/>
                <w:sz w:val="24"/>
                <w:szCs w:val="24"/>
              </w:rPr>
            </w:pPr>
          </w:p>
        </w:tc>
        <w:tc>
          <w:tcPr>
            <w:tcW w:w="2715" w:type="dxa"/>
          </w:tcPr>
          <w:p>
            <w:pPr>
              <w:spacing w:line="360" w:lineRule="auto"/>
              <w:rPr>
                <w:rFonts w:ascii="宋体" w:hAnsi="宋体" w:cs="宋体"/>
                <w:sz w:val="24"/>
                <w:szCs w:val="24"/>
              </w:rPr>
            </w:pPr>
          </w:p>
        </w:tc>
        <w:tc>
          <w:tcPr>
            <w:tcW w:w="903" w:type="dxa"/>
          </w:tcPr>
          <w:p>
            <w:pPr>
              <w:spacing w:line="360" w:lineRule="auto"/>
              <w:rPr>
                <w:rFonts w:ascii="宋体" w:hAnsi="宋体" w:cs="宋体"/>
                <w:sz w:val="24"/>
                <w:szCs w:val="24"/>
              </w:rPr>
            </w:pPr>
          </w:p>
        </w:tc>
        <w:tc>
          <w:tcPr>
            <w:tcW w:w="854" w:type="dxa"/>
          </w:tcPr>
          <w:p>
            <w:pPr>
              <w:spacing w:line="360" w:lineRule="auto"/>
              <w:rPr>
                <w:rFonts w:ascii="宋体" w:hAnsi="宋体" w:cs="宋体"/>
                <w:sz w:val="24"/>
                <w:szCs w:val="24"/>
              </w:rPr>
            </w:pPr>
          </w:p>
        </w:tc>
        <w:tc>
          <w:tcPr>
            <w:tcW w:w="1543" w:type="dxa"/>
          </w:tcPr>
          <w:p>
            <w:pPr>
              <w:spacing w:line="360" w:lineRule="auto"/>
              <w:rPr>
                <w:rFonts w:ascii="宋体" w:hAnsi="宋体" w:cs="宋体"/>
                <w:sz w:val="24"/>
                <w:szCs w:val="24"/>
              </w:rPr>
            </w:pPr>
          </w:p>
        </w:tc>
        <w:tc>
          <w:tcPr>
            <w:tcW w:w="1275" w:type="dxa"/>
          </w:tcPr>
          <w:p>
            <w:pPr>
              <w:spacing w:line="360" w:lineRule="auto"/>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7" w:type="dxa"/>
          </w:tcPr>
          <w:p>
            <w:pPr>
              <w:spacing w:line="360" w:lineRule="auto"/>
              <w:rPr>
                <w:rFonts w:ascii="宋体" w:hAnsi="宋体" w:cs="宋体"/>
                <w:sz w:val="24"/>
                <w:szCs w:val="24"/>
              </w:rPr>
            </w:pPr>
          </w:p>
        </w:tc>
        <w:tc>
          <w:tcPr>
            <w:tcW w:w="1073" w:type="dxa"/>
          </w:tcPr>
          <w:p>
            <w:pPr>
              <w:spacing w:line="360" w:lineRule="auto"/>
              <w:rPr>
                <w:rFonts w:ascii="宋体" w:hAnsi="宋体" w:cs="宋体"/>
                <w:sz w:val="24"/>
                <w:szCs w:val="24"/>
              </w:rPr>
            </w:pPr>
          </w:p>
        </w:tc>
        <w:tc>
          <w:tcPr>
            <w:tcW w:w="2715" w:type="dxa"/>
          </w:tcPr>
          <w:p>
            <w:pPr>
              <w:spacing w:line="360" w:lineRule="auto"/>
              <w:rPr>
                <w:rFonts w:ascii="宋体" w:hAnsi="宋体" w:cs="宋体"/>
                <w:sz w:val="24"/>
                <w:szCs w:val="24"/>
              </w:rPr>
            </w:pPr>
          </w:p>
        </w:tc>
        <w:tc>
          <w:tcPr>
            <w:tcW w:w="903" w:type="dxa"/>
          </w:tcPr>
          <w:p>
            <w:pPr>
              <w:spacing w:line="360" w:lineRule="auto"/>
              <w:rPr>
                <w:rFonts w:ascii="宋体" w:hAnsi="宋体" w:cs="宋体"/>
                <w:sz w:val="24"/>
                <w:szCs w:val="24"/>
              </w:rPr>
            </w:pPr>
          </w:p>
        </w:tc>
        <w:tc>
          <w:tcPr>
            <w:tcW w:w="854" w:type="dxa"/>
          </w:tcPr>
          <w:p>
            <w:pPr>
              <w:spacing w:line="360" w:lineRule="auto"/>
              <w:rPr>
                <w:rFonts w:ascii="宋体" w:hAnsi="宋体" w:cs="宋体"/>
                <w:sz w:val="24"/>
                <w:szCs w:val="24"/>
              </w:rPr>
            </w:pPr>
          </w:p>
        </w:tc>
        <w:tc>
          <w:tcPr>
            <w:tcW w:w="1543" w:type="dxa"/>
          </w:tcPr>
          <w:p>
            <w:pPr>
              <w:spacing w:line="360" w:lineRule="auto"/>
              <w:rPr>
                <w:rFonts w:ascii="宋体" w:hAnsi="宋体" w:cs="宋体"/>
                <w:sz w:val="24"/>
                <w:szCs w:val="24"/>
              </w:rPr>
            </w:pPr>
          </w:p>
        </w:tc>
        <w:tc>
          <w:tcPr>
            <w:tcW w:w="1275" w:type="dxa"/>
          </w:tcPr>
          <w:p>
            <w:pPr>
              <w:spacing w:line="360" w:lineRule="auto"/>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7" w:type="dxa"/>
          </w:tcPr>
          <w:p>
            <w:pPr>
              <w:spacing w:line="360" w:lineRule="auto"/>
              <w:rPr>
                <w:rFonts w:ascii="宋体" w:hAnsi="宋体" w:cs="宋体"/>
                <w:sz w:val="24"/>
                <w:szCs w:val="24"/>
              </w:rPr>
            </w:pPr>
          </w:p>
        </w:tc>
        <w:tc>
          <w:tcPr>
            <w:tcW w:w="1073" w:type="dxa"/>
          </w:tcPr>
          <w:p>
            <w:pPr>
              <w:spacing w:line="360" w:lineRule="auto"/>
              <w:rPr>
                <w:rFonts w:ascii="宋体" w:hAnsi="宋体" w:cs="宋体"/>
                <w:sz w:val="24"/>
                <w:szCs w:val="24"/>
              </w:rPr>
            </w:pPr>
          </w:p>
        </w:tc>
        <w:tc>
          <w:tcPr>
            <w:tcW w:w="2715" w:type="dxa"/>
          </w:tcPr>
          <w:p>
            <w:pPr>
              <w:spacing w:line="360" w:lineRule="auto"/>
              <w:rPr>
                <w:rFonts w:ascii="宋体" w:hAnsi="宋体" w:cs="宋体"/>
                <w:sz w:val="24"/>
                <w:szCs w:val="24"/>
              </w:rPr>
            </w:pPr>
          </w:p>
        </w:tc>
        <w:tc>
          <w:tcPr>
            <w:tcW w:w="903" w:type="dxa"/>
          </w:tcPr>
          <w:p>
            <w:pPr>
              <w:spacing w:line="360" w:lineRule="auto"/>
              <w:rPr>
                <w:rFonts w:ascii="宋体" w:hAnsi="宋体" w:cs="宋体"/>
                <w:sz w:val="24"/>
                <w:szCs w:val="24"/>
              </w:rPr>
            </w:pPr>
          </w:p>
        </w:tc>
        <w:tc>
          <w:tcPr>
            <w:tcW w:w="854" w:type="dxa"/>
          </w:tcPr>
          <w:p>
            <w:pPr>
              <w:spacing w:line="360" w:lineRule="auto"/>
              <w:rPr>
                <w:rFonts w:ascii="宋体" w:hAnsi="宋体" w:cs="宋体"/>
                <w:sz w:val="24"/>
                <w:szCs w:val="24"/>
              </w:rPr>
            </w:pPr>
          </w:p>
        </w:tc>
        <w:tc>
          <w:tcPr>
            <w:tcW w:w="1543" w:type="dxa"/>
          </w:tcPr>
          <w:p>
            <w:pPr>
              <w:spacing w:line="360" w:lineRule="auto"/>
              <w:rPr>
                <w:rFonts w:ascii="宋体" w:hAnsi="宋体" w:cs="宋体"/>
                <w:sz w:val="24"/>
                <w:szCs w:val="24"/>
              </w:rPr>
            </w:pPr>
          </w:p>
        </w:tc>
        <w:tc>
          <w:tcPr>
            <w:tcW w:w="1275" w:type="dxa"/>
          </w:tcPr>
          <w:p>
            <w:pPr>
              <w:spacing w:line="360" w:lineRule="auto"/>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7" w:type="dxa"/>
          </w:tcPr>
          <w:p>
            <w:pPr>
              <w:spacing w:line="360" w:lineRule="auto"/>
              <w:rPr>
                <w:rFonts w:ascii="宋体" w:hAnsi="宋体" w:cs="宋体"/>
                <w:sz w:val="24"/>
                <w:szCs w:val="24"/>
              </w:rPr>
            </w:pPr>
          </w:p>
        </w:tc>
        <w:tc>
          <w:tcPr>
            <w:tcW w:w="1073" w:type="dxa"/>
          </w:tcPr>
          <w:p>
            <w:pPr>
              <w:spacing w:line="360" w:lineRule="auto"/>
              <w:rPr>
                <w:rFonts w:ascii="宋体" w:hAnsi="宋体" w:cs="宋体"/>
                <w:sz w:val="24"/>
                <w:szCs w:val="24"/>
              </w:rPr>
            </w:pPr>
          </w:p>
        </w:tc>
        <w:tc>
          <w:tcPr>
            <w:tcW w:w="2715" w:type="dxa"/>
          </w:tcPr>
          <w:p>
            <w:pPr>
              <w:spacing w:line="360" w:lineRule="auto"/>
              <w:rPr>
                <w:rFonts w:ascii="宋体" w:hAnsi="宋体" w:cs="宋体"/>
                <w:sz w:val="24"/>
                <w:szCs w:val="24"/>
              </w:rPr>
            </w:pPr>
          </w:p>
        </w:tc>
        <w:tc>
          <w:tcPr>
            <w:tcW w:w="903" w:type="dxa"/>
          </w:tcPr>
          <w:p>
            <w:pPr>
              <w:spacing w:line="360" w:lineRule="auto"/>
              <w:rPr>
                <w:rFonts w:ascii="宋体" w:hAnsi="宋体" w:cs="宋体"/>
                <w:sz w:val="24"/>
                <w:szCs w:val="24"/>
              </w:rPr>
            </w:pPr>
          </w:p>
        </w:tc>
        <w:tc>
          <w:tcPr>
            <w:tcW w:w="854" w:type="dxa"/>
          </w:tcPr>
          <w:p>
            <w:pPr>
              <w:spacing w:line="360" w:lineRule="auto"/>
              <w:rPr>
                <w:rFonts w:ascii="宋体" w:hAnsi="宋体" w:cs="宋体"/>
                <w:sz w:val="24"/>
                <w:szCs w:val="24"/>
              </w:rPr>
            </w:pPr>
          </w:p>
        </w:tc>
        <w:tc>
          <w:tcPr>
            <w:tcW w:w="1543" w:type="dxa"/>
          </w:tcPr>
          <w:p>
            <w:pPr>
              <w:spacing w:line="360" w:lineRule="auto"/>
              <w:rPr>
                <w:rFonts w:ascii="宋体" w:hAnsi="宋体" w:cs="宋体"/>
                <w:sz w:val="24"/>
                <w:szCs w:val="24"/>
              </w:rPr>
            </w:pPr>
          </w:p>
        </w:tc>
        <w:tc>
          <w:tcPr>
            <w:tcW w:w="1275" w:type="dxa"/>
          </w:tcPr>
          <w:p>
            <w:pPr>
              <w:spacing w:line="360" w:lineRule="auto"/>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5508" w:type="dxa"/>
            <w:gridSpan w:val="4"/>
          </w:tcPr>
          <w:p>
            <w:pPr>
              <w:spacing w:line="360" w:lineRule="auto"/>
              <w:jc w:val="center"/>
              <w:rPr>
                <w:rFonts w:ascii="宋体" w:hAnsi="宋体" w:cs="宋体"/>
                <w:sz w:val="24"/>
                <w:szCs w:val="24"/>
              </w:rPr>
            </w:pPr>
            <w:r>
              <w:rPr>
                <w:rFonts w:hint="eastAsia" w:ascii="宋体" w:hAnsi="宋体" w:cs="宋体"/>
                <w:sz w:val="24"/>
                <w:szCs w:val="24"/>
              </w:rPr>
              <w:t>投标报价费用合计</w:t>
            </w:r>
          </w:p>
        </w:tc>
        <w:tc>
          <w:tcPr>
            <w:tcW w:w="3672" w:type="dxa"/>
            <w:gridSpan w:val="3"/>
          </w:tcPr>
          <w:p>
            <w:pPr>
              <w:spacing w:line="360" w:lineRule="auto"/>
              <w:rPr>
                <w:rFonts w:ascii="宋体" w:hAnsi="宋体" w:cs="宋体"/>
                <w:sz w:val="24"/>
                <w:szCs w:val="24"/>
              </w:rPr>
            </w:pPr>
          </w:p>
        </w:tc>
      </w:tr>
    </w:tbl>
    <w:p>
      <w:pPr>
        <w:tabs>
          <w:tab w:val="left" w:pos="1418"/>
        </w:tabs>
        <w:snapToGrid w:val="0"/>
        <w:spacing w:before="50" w:after="50" w:line="360" w:lineRule="auto"/>
        <w:ind w:left="1418" w:hanging="567"/>
        <w:jc w:val="center"/>
        <w:rPr>
          <w:rFonts w:ascii="宋体" w:hAnsi="宋体" w:cs="宋体"/>
          <w:spacing w:val="20"/>
          <w:sz w:val="24"/>
          <w:szCs w:val="24"/>
          <w:u w:val="single"/>
        </w:rPr>
      </w:pPr>
    </w:p>
    <w:p>
      <w:pPr>
        <w:snapToGrid w:val="0"/>
        <w:spacing w:before="50" w:after="50" w:line="360" w:lineRule="auto"/>
        <w:rPr>
          <w:rFonts w:ascii="宋体" w:hAnsi="宋体" w:cs="宋体"/>
          <w:spacing w:val="20"/>
          <w:sz w:val="24"/>
          <w:szCs w:val="24"/>
          <w:u w:val="single"/>
        </w:rPr>
      </w:pPr>
      <w:r>
        <w:rPr>
          <w:rFonts w:hint="eastAsia" w:ascii="宋体" w:hAnsi="宋体" w:cs="宋体"/>
          <w:spacing w:val="20"/>
          <w:sz w:val="24"/>
          <w:szCs w:val="24"/>
        </w:rPr>
        <w:t>全权代表签名：     日  期：</w:t>
      </w:r>
    </w:p>
    <w:p>
      <w:pPr>
        <w:snapToGrid w:val="0"/>
        <w:spacing w:before="50" w:after="50" w:line="360" w:lineRule="auto"/>
        <w:rPr>
          <w:rFonts w:ascii="宋体" w:hAnsi="宋体" w:cs="宋体"/>
          <w:spacing w:val="20"/>
          <w:sz w:val="30"/>
          <w:szCs w:val="30"/>
          <w:u w:val="single"/>
        </w:rPr>
      </w:pPr>
    </w:p>
    <w:p>
      <w:pPr>
        <w:rPr>
          <w:rFonts w:ascii="宋体" w:hAnsi="宋体" w:cs="宋体"/>
        </w:rPr>
      </w:pPr>
    </w:p>
    <w:p>
      <w:pPr>
        <w:pStyle w:val="78"/>
        <w:rPr>
          <w:rFonts w:cs="宋体"/>
        </w:rPr>
      </w:pPr>
    </w:p>
    <w:sectPr>
      <w:headerReference r:id="rId16" w:type="first"/>
      <w:footerReference r:id="rId19" w:type="first"/>
      <w:headerReference r:id="rId15" w:type="default"/>
      <w:footerReference r:id="rId17" w:type="default"/>
      <w:footerReference r:id="rId18" w:type="even"/>
      <w:pgSz w:w="11850" w:h="16783"/>
      <w:pgMar w:top="1474" w:right="1531" w:bottom="1247" w:left="1531"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宋体 ! important">
    <w:altName w:val="宋体"/>
    <w:panose1 w:val="00000000000000000000"/>
    <w:charset w:val="00"/>
    <w:family w:val="auto"/>
    <w:pitch w:val="default"/>
    <w:sig w:usb0="00000000" w:usb1="00000000" w:usb2="00000000"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double" w:color="auto" w:sz="4" w:space="1"/>
      </w:pBdr>
      <w:ind w:right="360"/>
      <w:jc w:val="both"/>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94</w:t>
                          </w:r>
                          <w:r>
                            <w:rPr>
                              <w:rFonts w:hint="eastAsia"/>
                              <w:sz w:val="18"/>
                            </w:rPr>
                            <w:fldChar w:fldCharType="end"/>
                          </w:r>
                        </w:p>
                      </w:txbxContent>
                    </wps:txbx>
                    <wps:bodyPr wrap="none" lIns="0" tIns="0" rIns="0" bIns="0">
                      <a:spAutoFit/>
                    </wps:bodyPr>
                  </wps:wsp>
                </a:graphicData>
              </a:graphic>
            </wp:anchor>
          </w:drawing>
        </mc:Choice>
        <mc:Fallback>
          <w:pict>
            <v:shape id="文本框 104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GlN9JqoBAABCAwAADgAAAGRycy9lMm9Eb2MueG1srVJLbhsxDN0H6B0E 7WuNjaBwBh4HCYIUBYo2QNIDyBrJI0A/iIpnfIH2Bl11033P5XOUkmecNtkF2UgUST3yPXJ1OVhD djKC9q6h81lFiXTCt9ptG/rt4fb9khJI3LXceCcbupdAL9fvzlZ9qOXCd960MhIEcVD3oaFdSqFm DEQnLYeZD9JhUPloecJn3LI28h7RrWGLqvrAeh/bEL2QAOi9OQbpuuArJUX6qhTIRExDsbdUzljO TT7ZesXrbeSh02Jsg7+iC8u1w6InqBueOHmM+gWU1SJ68CrNhLfMK6WFLByQzbx6xua+40EWLigO hJNM8Haw4svuLhLdNvScEsctjujw88fh15/D7+9kXp1fZIX6ADUm3gdMTcO1H3DSkx/QmYkPKtp8 IyWCcdR6f9JXDomI/Gm5WC4rDAmMTQ/EZ0/fQ4T0UXpLstHQiAMsuvLdZ0jH1CklV3P+VhtThmjc fw7EzB6Wez/2mK00bIaR0Ma3e+TT4+wb6nA5KTGfHEqb12Qy4mRsRiPXgHD1mLBw6SejHqHGYjio wmhcqrwJ/75L1tPqr/8CUEsDBAoAAAAAAIdO4kAAAAAAAAAAAAAAAAAGAAAAX3JlbHMvUEsDBBQA AAAIAIdO4kCKFGY80QAAAJQBAAALAAAAX3JlbHMvLnJlbHOlkMFqwzAMhu+DvYPRfXGawxijTi+j 0GvpHsDYimMaW0Yy2fr28w6DZfS2o36h7xP//vCZFrUiS6RsYNf1oDA78jEHA++X49MLKKk2e7tQ RgM3FDiMjw/7My62tiOZYxHVKFkMzLWWV63FzZisdFQwt81EnGxtIwddrLvagHro+2fNvxkwbpjq 5A3wyQ+gLrfSzH/YKTomoal2jpKmaYruHlUHtmWO7sg24Ru5RrMcsBrwLBoHalnXfgR9X7/7p97T Rz7jutV+h4zrj1dvuhy/AFBLAwQUAAAACACHTuJAfublIPcAAADhAQAAEwAAAFtDb250ZW50X1R5 cGVzXS54bWyVkUFOwzAQRfdI3MHyFiVOu0AIJemCtEtAqBxgZE8Si2RseUxob4+TthtEkVjaM/+/ J7vcHMZBTBjYOqrkKi+kQNLOWOoq+b7fZQ9ScAQyMDjCSh6R5aa+vSn3R48sUpq4kn2M/lEp1j2O wLnzSGnSujBCTMfQKQ/6AzpU66K4V9pRRIpZnDtkXTbYwucQxfaQrk8mAQeW4um0OLMqCd4PVkNM pmoi84OSnQl5Si473FvPd0lDql8J8+Q64Jx7SU8TrEHxCiE+w5g0lAmsjPuigFP+d8lsOXLm2tZq zJvATYq94XSxutaOa9c4/d/y7ZK6dKvlg+pvUEsBAhQAFAAAAAgAh07iQH7m5SD3AAAA4QEAABMA AAAAAAAAAQAgAAAAEgQAAFtDb250ZW50X1R5cGVzXS54bWxQSwECFAAKAAAAAACHTuJAAAAAAAAA AAAAAAAABgAAAAAAAAAAABAAAAD0AgAAX3JlbHMvUEsBAhQAFAAAAAgAh07iQIoUZjzRAAAAlAEA AAsAAAAAAAAAAQAgAAAAGAMAAF9yZWxzLy5yZWxzUEsBAhQACgAAAAAAh07iQAAAAAAAAAAAAAAA AAQAAAAAAAAAAAAQAAAAAAAAAGRycy9QSwECFAAUAAAACACHTuJAzql5uc8AAAAFAQAADwAAAAAA AAABACAAAAAiAAAAZHJzL2Rvd25yZXYueG1sUEsBAhQAFAAAAAgAh07iQBpTfSaqAQAAQgMAAA4A AAAAAAAAAQAgAAAAHgEAAGRycy9lMm9Eb2MueG1sUEsFBgAAAAAGAAYAWQEAADoFAAAAAA== ">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94</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double" w:color="auto" w:sz="4" w:space="1"/>
      </w:pBdr>
      <w:ind w:right="360"/>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IV2OcqgBAABAAwAADgAAAGRycy9lMm9Eb2MueG1srVLBbhshEL1X6j8g 7jVrS2mslddRoihVpaqtlOYDMAteJGAQEO/6B5o/6KmX3vNd/o4MeNdpm1uUCwwzw5t5b2Z1MVhD djJEDa6h81lFiXQCWu22Db37cfNhSUlM3LXcgJMN3ctIL9bv3616X8sFdGBaGQiCuFj3vqFdSr5m LIpOWh5n4KXDoIJgecJn2LI28B7RrWGLqvrIegitDyBkjOi9PgbpuuArJUX6plSUiZiGYm+pnKGc m3yy9YrX28B9p8XYBn9FF5Zrh0VPUNc8cXIf9Asoq0WACCrNBFgGSmkhCwdkM6/+Y3PbcS8LFxQn +pNM8e1gxdfd90B029AzShy3OKLDr4fD78fDn59kfp716X2sMe3WY2IarmDAOU/+iM5Me1DB5hsJ EYyj0vuTunJIRORPy8VyWWFIYGx6ID57/u5DTJ8kWJKNhgYcX1GV777EdEydUnI1BzfamDJC4/5x IGb2sNz7scdspWEzjIQ20O6RT4+Tb6jD1aTEfHYobF6SyQiTsRmNXCP6y/uEhUs/GfUINRbDMRVG 40rlPfj7XbKeF3/9BFBLAwQKAAAAAACHTuJAAAAAAAAAAAAAAAAABgAAAF9yZWxzL1BLAwQUAAAA CACHTuJAihRmPNEAAACUAQAACwAAAF9yZWxzLy5yZWxzpZDBasMwDIbvg72D0X1xmsMYo04vo9Br 6R7A2IpjGltGMtn69vMOg2X0tqN+oe8T//7wmRa1IkukbGDX9aAwO/IxBwPvl+PTCyipNnu7UEYD NxQ4jI8P+zMutrYjmWMR1ShZDMy1lletxc2YrHRUMLfNRJxsbSMHXay72oB66Ptnzb8ZMG6Y6uQN 8MkPoC630sx/2Ck6JqGpdo6SpmmK7h5VB7Zlju7INuEbuUazHLAa8CwaB2pZ134EfV+/+6fe00c+ 47rVfoeM649Xb7ocvwBQSwMEFAAAAAgAh07iQH7m5SD3AAAA4QEAABMAAABbQ29udGVudF9UeXBl c10ueG1slZFBTsMwEEX3SNzB8hYlTrtACCXpgrRLQKgcYGRPEotkbHlMaG+Pk7YbRJFY2jP/vye7 3BzGQUwY2Dqq5CovpEDSzljqKvm+32UPUnAEMjA4wkoekeWmvr0p90ePLFKauJJ9jP5RKdY9jsC5 80hp0rowQkzH0CkP+gM6VOuiuFfaUUSKWZw7ZF022MLnEMX2kK5PJgEHluLptDizKgneD1ZDTKZq IvODkp0JeUouO9xbz3dJQ6pfCfPkOuCce0lPE6xB8QohPsOYNJQJrIz7ooBT/nfJbDly5trWasyb wE2KveF0sbrWjmvXOP3f8u2SunSr5YPqb1BLAQIUABQAAAAIAIdO4kB+5uUg9wAAAOEBAAATAAAA AAAAAAEAIAAAABAEAABbQ29udGVudF9UeXBlc10ueG1sUEsBAhQACgAAAAAAh07iQAAAAAAAAAAA AAAAAAYAAAAAAAAAAAAQAAAA8gIAAF9yZWxzL1BLAQIUABQAAAAIAIdO4kCKFGY80QAAAJQBAAAL AAAAAAAAAAEAIAAAABYDAABfcmVscy8ucmVsc1BLAQIUAAoAAAAAAIdO4kAAAAAAAAAAAAAAAAAE AAAAAAAAAAAAEAAAAAAAAABkcnMvUEsBAhQAFAAAAAgAh07iQM6pebnPAAAABQEAAA8AAAAAAAAA AQAgAAAAIgAAAGRycy9kb3ducmV2LnhtbFBLAQIUABQAAAAIAIdO4kAhXY5yqAEAAEADAAAOAAAA AAAAAAEAIAAAAB4BAABkcnMvZTJvRG9jLnhtbFBLBQYAAAAABgAGAFkBAAA4BQAAAAA= ">
              <v:fill on="f" focussize="0,0"/>
              <v:stroke on="f"/>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d2b6cBAABCAwAADgAAAGRycy9lMm9Eb2MueG1srVLBbhshEL1Hyj8g 7jFrK6qslddRqihVpKqtlOQDMAteJGAQEO/6B9o/yCmX3vtd/o4MeG0n7a3KBYaZ4c28N7O4Gqwh GxmiBtfQ6aSiRDoBrXbrhj4+3F7MKYmJu5YbcLKhWxnp1fL8bNH7Ws6gA9PKQBDExbr3De1S8jVj UXTS8jgBLx0GFQTLEz7DmrWB94huDZtV1SfWQ2h9ACFjRO/NPkiXBV8pKdJ3paJMxDQUe0vlDOVc 5ZMtF7xeB+47LcY2+H90Ybl2WPQIdcMTJ09B/wNltQgQQaWJAMtAKS1k4YBsptVfbO477mXhguJE f5Qpfhys+Lb5EYhucXaUOG5xRLvnX7uXP7vfP8m0uiwK9T7WmHjvMTUNn2HI2ahc9kd0ZuKDCjbf SIlgHLXeHvWVQyIif5rP5vMKQwJjhwfisNN3H2L6IsGSbDQ04ACLrnzzNaZ96iElV3Nwq40pQzTu nQMxs4edesxWGlbD2PgK2i3y6XH2DXW4nJSYO4fS5jU5GOFgrEYj14j++ilh4dJPRt1DjcVwUIXR uFR5E96+S9Zp9ZevUEsDBAoAAAAAAIdO4kAAAAAAAAAAAAAAAAAGAAAAX3JlbHMvUEsDBBQAAAAI AIdO4kCKFGY80QAAAJQBAAALAAAAX3JlbHMvLnJlbHOlkMFqwzAMhu+DvYPRfXGawxijTi+j0Gvp HsDYimMaW0Yy2fr28w6DZfS2o36h7xP//vCZFrUiS6RsYNf1oDA78jEHA++X49MLKKk2e7tQRgM3 FDiMjw/7My62tiOZYxHVKFkMzLWWV63FzZisdFQwt81EnGxtIwddrLvagHro+2fNvxkwbpjq5A3w yQ+gLrfSzH/YKTomoal2jpKmaYruHlUHtmWO7sg24Ru5RrMcsBrwLBoHalnXfgR9X7/7p97TRz7j utV+h4zrj1dvuhy/AFBLAwQUAAAACACHTuJAfublIPcAAADhAQAAEwAAAFtDb250ZW50X1R5cGVz XS54bWyVkUFOwzAQRfdI3MHyFiVOu0AIJemCtEtAqBxgZE8Si2RseUxob4+TthtEkVjaM/+/J7vc HMZBTBjYOqrkKi+kQNLOWOoq+b7fZQ9ScAQyMDjCSh6R5aa+vSn3R48sUpq4kn2M/lEp1j2OwLnz SGnSujBCTMfQKQ/6AzpU66K4V9pRRIpZnDtkXTbYwucQxfaQrk8mAQeW4um0OLMqCd4PVkNMpmoi 84OSnQl5Si473FvPd0lDql8J8+Q64Jx7SU8TrEHxCiE+w5g0lAmsjPuigFP+d8lsOXLm2tZqzJvA TYq94XSxutaOa9c4/d/y7ZK6dKvlg+pvUEsBAhQAFAAAAAgAh07iQH7m5SD3AAAA4QEAABMAAAAA AAAAAQAgAAAADwQAAFtDb250ZW50X1R5cGVzXS54bWxQSwECFAAKAAAAAACHTuJAAAAAAAAAAAAA AAAABgAAAAAAAAAAABAAAADxAgAAX3JlbHMvUEsBAhQAFAAAAAgAh07iQIoUZjzRAAAAlAEAAAsA AAAAAAAAAQAgAAAAFQMAAF9yZWxzLy5yZWxzUEsBAhQACgAAAAAAh07iQAAAAAAAAAAAAAAAAAQA AAAAAAAAAAAQAAAAAAAAAGRycy9QSwECFAAUAAAACACHTuJAzql5uc8AAAAFAQAADwAAAAAAAAAB ACAAAAAiAAAAZHJzL2Rvd25yZXYueG1sUEsBAhQAFAAAAAgAh07iQPvndm+nAQAAQgMAAA4AAAAA AAAAAQAgAAAAHgEAAGRycy9lMm9Eb2MueG1sUEsFBgAAAAAGAAYAWQEAADcFAAAAAA== ">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2769474"/>
      <w:docPartObj>
        <w:docPartGallery w:val="autotext"/>
      </w:docPartObj>
    </w:sdtPr>
    <w:sdtContent>
      <w:p>
        <w:pPr>
          <w:pStyle w:val="23"/>
          <w:jc w:val="center"/>
        </w:pPr>
        <w:r>
          <w:fldChar w:fldCharType="begin"/>
        </w:r>
        <w:r>
          <w:instrText xml:space="preserve">PAGE   \* MERGEFORMAT</w:instrText>
        </w:r>
        <w:r>
          <w:fldChar w:fldCharType="separate"/>
        </w:r>
        <w:r>
          <w:rPr>
            <w:lang w:val="zh-CN"/>
          </w:rPr>
          <w:t>2</w:t>
        </w:r>
        <w:r>
          <w:fldChar w:fldCharType="end"/>
        </w:r>
      </w:p>
    </w:sdtContent>
  </w:sdt>
  <w:p>
    <w:pPr>
      <w:pStyle w:val="23"/>
      <w:pBdr>
        <w:top w:val="double" w:color="auto" w:sz="4" w:space="1"/>
      </w:pBdr>
      <w:ind w:right="36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7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92</w:t>
                          </w:r>
                          <w:r>
                            <w:rPr>
                              <w:rFonts w:hint="eastAsia"/>
                              <w:sz w:val="18"/>
                            </w:rPr>
                            <w:fldChar w:fldCharType="end"/>
                          </w:r>
                        </w:p>
                      </w:txbxContent>
                    </wps:txbx>
                    <wps:bodyPr wrap="none" lIns="0" tIns="0" rIns="0" bIns="0">
                      <a:spAutoFit/>
                    </wps:bodyPr>
                  </wps:wsp>
                </a:graphicData>
              </a:graphic>
            </wp:anchor>
          </w:drawing>
        </mc:Choice>
        <mc:Fallback>
          <w:pict>
            <v:shape id="文本框 104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pIuPV6oBAABCAwAADgAAAGRycy9lMm9Eb2MueG1srVLBbhshEL1X6j8g 7jVrq2qslddRqyhVpSqtlOYDMAteJGAQEO/6B5I/6KmX3vNd/o4MeNdJk1vUCwwzw5t5b2Z1PlhD djJEDa6h81lFiXQCWu22Db35dflhSUlM3LXcgJMN3ctIz9fv3616X8sFdGBaGQiCuFj3vqFdSr5m LIpOWh5n4KXDoIJgecJn2LI28B7RrWGLqvrEegitDyBkjOi9OAbpuuArJUX6oVSUiZiGYm+pnKGc m3yy9YrX28B9p8XYBn9DF5Zrh0VPUBc8cXIb9Csoq0WACCrNBFgGSmkhCwdkM69esLnuuJeFC4oT /Umm+P9gxdXuZyC6beiCEsctjujw+/7w5+Hw947Mq49nWaHexxoTrz2mpuELDDjpyR/RmYkPKth8 IyWCcdR6f9JXDomI/Gm5WC4rDAmMTQ/EZ0/ffYjpqwRLstHQgAMsuvLd95iOqVNKrubgUhtThmjc Pw7EzB6Wez/2mK00bIaR0AbaPfLpcfYNdbiclJhvDqXNazIZYTI2o5FrRP/5NmHh0k9GPUKNxXBQ hdG4VHkTnr9L1tPqrx8BUEsDBAoAAAAAAIdO4kAAAAAAAAAAAAAAAAAGAAAAX3JlbHMvUEsDBBQA AAAIAIdO4kCKFGY80QAAAJQBAAALAAAAX3JlbHMvLnJlbHOlkMFqwzAMhu+DvYPRfXGawxijTi+j 0GvpHsDYimMaW0Yy2fr28w6DZfS2o36h7xP//vCZFrUiS6RsYNf1oDA78jEHA++X49MLKKk2e7tQ RgM3FDiMjw/7My62tiOZYxHVKFkMzLWWV63FzZisdFQwt81EnGxtIwddrLvagHro+2fNvxkwbpjq 5A3wyQ+gLrfSzH/YKTomoal2jpKmaYruHlUHtmWO7sg24Ru5RrMcsBrwLBoHalnXfgR9X7/7p97T Rz7jutV+h4zrj1dvuhy/AFBLAwQUAAAACACHTuJAfublIPcAAADhAQAAEwAAAFtDb250ZW50X1R5 cGVzXS54bWyVkUFOwzAQRfdI3MHyFiVOu0AIJemCtEtAqBxgZE8Si2RseUxob4+TthtEkVjaM/+/ J7vcHMZBTBjYOqrkKi+kQNLOWOoq+b7fZQ9ScAQyMDjCSh6R5aa+vSn3R48sUpq4kn2M/lEp1j2O wLnzSGnSujBCTMfQKQ/6AzpU66K4V9pRRIpZnDtkXTbYwucQxfaQrk8mAQeW4um0OLMqCd4PVkNM pmoi84OSnQl5Si473FvPd0lDql8J8+Q64Jx7SU8TrEHxCiE+w5g0lAmsjPuigFP+d8lsOXLm2tZq zJvATYq94XSxutaOa9c4/d/y7ZK6dKvlg+pvUEsBAhQAFAAAAAgAh07iQH7m5SD3AAAA4QEAABMA AAAAAAAAAQAgAAAAEgQAAFtDb250ZW50X1R5cGVzXS54bWxQSwECFAAKAAAAAACHTuJAAAAAAAAA AAAAAAAABgAAAAAAAAAAABAAAAD0AgAAX3JlbHMvUEsBAhQAFAAAAAgAh07iQIoUZjzRAAAAlAEA AAsAAAAAAAAAAQAgAAAAGAMAAF9yZWxzLy5yZWxzUEsBAhQACgAAAAAAh07iQAAAAAAAAAAAAAAA AAQAAAAAAAAAAAAQAAAAAAAAAGRycy9QSwECFAAUAAAACACHTuJAzql5uc8AAAAFAQAADwAAAAAA AAABACAAAAAiAAAAZHJzL2Rvd25yZXYueG1sUEsBAhQAFAAAAAgAh07iQKSLj1eqAQAAQgMAAA4A AAAAAAAAAQAgAAAAHgEAAGRycy9lMm9Eb2MueG1sUEsFBgAAAAAGAAYAWQEAADoFAAAAAA== ">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92</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outside" w:y="1"/>
      <w:rPr>
        <w:rStyle w:val="38"/>
      </w:rPr>
    </w:pPr>
    <w:r>
      <w:fldChar w:fldCharType="begin"/>
    </w:r>
    <w:r>
      <w:rPr>
        <w:rStyle w:val="38"/>
      </w:rPr>
      <w:instrText xml:space="preserve">PAGE  </w:instrText>
    </w:r>
    <w:r>
      <w:fldChar w:fldCharType="end"/>
    </w:r>
  </w:p>
  <w:p>
    <w:pPr>
      <w:pStyle w:val="23"/>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rPr>
        <w:rStyle w:val="38"/>
      </w:rPr>
      <w:instrText xml:space="preserve"> PAGE </w:instrText>
    </w:r>
    <w:r>
      <w:fldChar w:fldCharType="separate"/>
    </w:r>
    <w:r>
      <w:rPr>
        <w:rStyle w:val="38"/>
      </w:rPr>
      <w:t>93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7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a:spAutoFit/>
                    </wps:bodyPr>
                  </wps:wsp>
                </a:graphicData>
              </a:graphic>
            </wp:anchor>
          </w:drawing>
        </mc:Choice>
        <mc:Fallback>
          <w:pict>
            <v:shape id="文本框 104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vYctKqkBAABCAwAADgAAAGRycy9lMm9Eb2MueG1srVLNbhMxEL4j9R0s 3xtvAkKrVTYVqGpVCQFS6QM4XjtryX/yuNnNC8AbcOLCnefKczB2dlOgt4qLPZ4ZfzPfN7O+Gq0h exlBe9fS5aKiRDrhO+12LX34cnNZUwKJu44b72RLDxLo1ebi1XoIjVz53ptORoIgDpohtLRPKTSM geil5bDwQToMKh8tT/iMO9ZFPiC6NWxVVW/Z4GMXohcSAL3XpyDdFHylpEiflAKZiGkp9pbKGcu5 zSfbrHmzizz0Wkxt8Bd0Ybl2WPQMdc0TJ49RP4OyWkQPXqWF8JZ5pbSQhQOyWVb/sLnveZCFC4oD 4SwT/D9Y8XH/ORLdtfQ1JY5bHNHx+7fjj1/Hn1/JsnpTZ4WGAA0m3gdMTeN7P+KkZz+gMxMfVbT5 RkoE46j14ayvHBMR+VO9qusKQwJj8wPx2dP3ECHdSm9JNloacYBFV77/AOmUOqfkas7faGPKEI37 y4GY2cNy76ces5XG7TgR2vrugHwGnH1LHS4nJebOobR5TWYjzsZ2MnINCO8eExYu/WTUE9RUDAdV GE1LlTfhz3fJelr9zW9QSwMECgAAAAAAh07iQAAAAAAAAAAAAAAAAAYAAABfcmVscy9QSwMEFAAA AAgAh07iQIoUZjzRAAAAlAEAAAsAAABfcmVscy8ucmVsc6WQwWrDMAyG74O9g9F9cZrDGKNOL6PQ a+kewNiKYxpbRjLZ+vbzDoNl9LajfqHvE//+8JkWtSJLpGxg1/WgMDvyMQcD75fj0wsoqTZ7u1BG AzcUOIyPD/szLra2I5ljEdUoWQzMtZZXrcXNmKx0VDC3zUScbG0jB12su9qAeuj7Z82/GTBumOrk DfDJD6Aut9LMf9gpOiahqXaOkqZpiu4eVQe2ZY7uyDbhG7lGsxywGvAsGgdqWdd+BH1fv/un3tNH PuO61X6HjOuPV2+6HL8AUEsDBBQAAAAIAIdO4kB+5uUg9wAAAOEBAAATAAAAW0NvbnRlbnRfVHlw ZXNdLnhtbJWRQU7DMBBF90jcwfIWJU67QAgl6YK0S0CoHGBkTxKLZGx5TGhvj5O2G0SRWNoz/78n u9wcxkFMGNg6quQqL6RA0s5Y6ir5vt9lD1JwBDIwOMJKHpHlpr69KfdHjyxSmriSfYz+USnWPY7A ufNIadK6MEJMx9ApD/oDOlTrorhX2lFEilmcO2RdNtjC5xDF9pCuTyYBB5bi6bQ4syoJ3g9WQ0ym aiLzg5KdCXlKLjvcW893SUOqXwnz5DrgnHtJTxOsQfEKIT7DmDSUCayM+6KAU/53yWw5cuba1mrM m8BNir3hdLG61o5r1zj93/Ltkrp0q+WD6m9QSwECFAAUAAAACACHTuJAfublIPcAAADhAQAAEwAA AAAAAAABACAAAAARBAAAW0NvbnRlbnRfVHlwZXNdLnhtbFBLAQIUAAoAAAAAAIdO4kAAAAAAAAAA AAAAAAAGAAAAAAAAAAAAEAAAAPMCAABfcmVscy9QSwECFAAUAAAACACHTuJAihRmPNEAAACUAQAA CwAAAAAAAAABACAAAAAXAwAAX3JlbHMvLnJlbHNQSwECFAAKAAAAAACHTuJAAAAAAAAAAAAAAAAA BAAAAAAAAAAAABAAAAAAAAAAZHJzL1BLAQIUABQAAAAIAIdO4kDOqXm5zwAAAAUBAAAPAAAAAAAA AAEAIAAAACIAAABkcnMvZG93bnJldi54bWxQSwECFAAUAAAACACHTuJAvYctKqkBAABCAwAADgAA AAAAAAABACAAAAAeAQAAZHJzL2Uyb0RvYy54bWxQSwUGAAAAAAYABgBZAQAAOQUAAAAA ">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outside" w:y="1"/>
      <w:rPr>
        <w:rStyle w:val="38"/>
      </w:rPr>
    </w:pPr>
    <w:r>
      <w:fldChar w:fldCharType="begin"/>
    </w:r>
    <w:r>
      <w:rPr>
        <w:rStyle w:val="38"/>
      </w:rPr>
      <w:instrText xml:space="preserve">PAGE  </w:instrTex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黑体" w:hAnsi="华文中宋" w:eastAsia="黑体"/>
        <w:color w:val="000000"/>
        <w:szCs w:val="21"/>
        <w:lang w:val="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方正仿宋简体" w:hAnsi="华文中宋" w:eastAsia="方正仿宋简体"/>
        <w:color w:val="000000"/>
        <w:szCs w:val="21"/>
        <w:lang w:val="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方正仿宋简体" w:eastAsia="方正仿宋简体"/>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方正仿宋简体" w:eastAsia="方正仿宋简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E225A3"/>
    <w:multiLevelType w:val="singleLevel"/>
    <w:tmpl w:val="D0E225A3"/>
    <w:lvl w:ilvl="0" w:tentative="0">
      <w:start w:val="1"/>
      <w:numFmt w:val="decimal"/>
      <w:suff w:val="nothing"/>
      <w:lvlText w:val="%1、"/>
      <w:lvlJc w:val="left"/>
    </w:lvl>
  </w:abstractNum>
  <w:abstractNum w:abstractNumId="1">
    <w:nsid w:val="F6C3EF4F"/>
    <w:multiLevelType w:val="singleLevel"/>
    <w:tmpl w:val="F6C3EF4F"/>
    <w:lvl w:ilvl="0" w:tentative="0">
      <w:start w:val="1"/>
      <w:numFmt w:val="decimal"/>
      <w:suff w:val="nothing"/>
      <w:lvlText w:val="%1、"/>
      <w:lvlJc w:val="left"/>
    </w:lvl>
  </w:abstractNum>
  <w:abstractNum w:abstractNumId="2">
    <w:nsid w:val="0000000A"/>
    <w:multiLevelType w:val="multilevel"/>
    <w:tmpl w:val="0000000A"/>
    <w:lvl w:ilvl="0" w:tentative="0">
      <w:start w:val="1"/>
      <w:numFmt w:val="decimal"/>
      <w:pStyle w:val="88"/>
      <w:lvlText w:val="表%1 "/>
      <w:lvlJc w:val="center"/>
      <w:pPr>
        <w:tabs>
          <w:tab w:val="left" w:pos="2410"/>
        </w:tabs>
        <w:ind w:left="2830" w:hanging="420"/>
      </w:pPr>
      <w:rPr>
        <w:rFonts w:hint="default" w:ascii="宋体" w:hAnsi="宋体" w:eastAsia="宋体"/>
      </w:rPr>
    </w:lvl>
    <w:lvl w:ilvl="1" w:tentative="0">
      <w:start w:val="1"/>
      <w:numFmt w:val="decimal"/>
      <w:lvlText w:val="（%2）"/>
      <w:lvlJc w:val="left"/>
      <w:pPr>
        <w:ind w:left="1140" w:hanging="720"/>
      </w:pPr>
      <w:rPr>
        <w:rFonts w:hint="default"/>
      </w:rPr>
    </w:lvl>
    <w:lvl w:ilvl="2" w:tentative="0">
      <w:start w:val="1"/>
      <w:numFmt w:val="decimal"/>
      <w:lvlText w:val="%3）"/>
      <w:lvlJc w:val="left"/>
      <w:pPr>
        <w:ind w:left="1680" w:hanging="840"/>
      </w:pPr>
      <w:rPr>
        <w:rFonts w:hint="default"/>
      </w:rPr>
    </w:lvl>
    <w:lvl w:ilvl="3" w:tentative="0">
      <w:start w:val="1"/>
      <w:numFmt w:val="decimal"/>
      <w:lvlText w:val="%4)"/>
      <w:lvlJc w:val="left"/>
      <w:pPr>
        <w:ind w:left="1935" w:hanging="675"/>
      </w:pPr>
      <w:rPr>
        <w:rFonts w:hint="default"/>
      </w:rPr>
    </w:lvl>
    <w:lvl w:ilvl="4" w:tentative="0">
      <w:start w:val="1"/>
      <w:numFmt w:val="decimal"/>
      <w:lvlText w:val="%5、"/>
      <w:lvlJc w:val="left"/>
      <w:pPr>
        <w:ind w:left="2535" w:hanging="855"/>
      </w:pPr>
      <w:rPr>
        <w:rFonts w:hint="default"/>
      </w:r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3"/>
    <w:multiLevelType w:val="multilevel"/>
    <w:tmpl w:val="00000013"/>
    <w:lvl w:ilvl="0" w:tentative="0">
      <w:start w:val="1"/>
      <w:numFmt w:val="chineseCountingThousand"/>
      <w:pStyle w:val="86"/>
      <w:lvlText w:val="%1、"/>
      <w:lvlJc w:val="left"/>
      <w:pPr>
        <w:ind w:left="420" w:hanging="420"/>
      </w:pPr>
      <w:rPr>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EA1902"/>
    <w:multiLevelType w:val="singleLevel"/>
    <w:tmpl w:val="00EA1902"/>
    <w:lvl w:ilvl="0" w:tentative="0">
      <w:start w:val="1"/>
      <w:numFmt w:val="decimal"/>
      <w:suff w:val="nothing"/>
      <w:lvlText w:val="%1、"/>
      <w:lvlJc w:val="left"/>
    </w:lvl>
  </w:abstractNum>
  <w:abstractNum w:abstractNumId="5">
    <w:nsid w:val="578C335D"/>
    <w:multiLevelType w:val="singleLevel"/>
    <w:tmpl w:val="578C335D"/>
    <w:lvl w:ilvl="0" w:tentative="0">
      <w:start w:val="1"/>
      <w:numFmt w:val="decimal"/>
      <w:pStyle w:val="12"/>
      <w:lvlText w:val="%1."/>
      <w:lvlJc w:val="left"/>
      <w:pPr>
        <w:tabs>
          <w:tab w:val="left" w:pos="360"/>
        </w:tabs>
        <w:ind w:left="360" w:hanging="36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dit="readOnly"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E53"/>
    <w:rsid w:val="00000D7C"/>
    <w:rsid w:val="00002F51"/>
    <w:rsid w:val="00013396"/>
    <w:rsid w:val="00026103"/>
    <w:rsid w:val="000278CB"/>
    <w:rsid w:val="0003112D"/>
    <w:rsid w:val="00031F44"/>
    <w:rsid w:val="000350DD"/>
    <w:rsid w:val="00040C29"/>
    <w:rsid w:val="0004262B"/>
    <w:rsid w:val="000534B6"/>
    <w:rsid w:val="00060420"/>
    <w:rsid w:val="00060BF4"/>
    <w:rsid w:val="00070338"/>
    <w:rsid w:val="00072489"/>
    <w:rsid w:val="000737B1"/>
    <w:rsid w:val="000816A0"/>
    <w:rsid w:val="000844F9"/>
    <w:rsid w:val="00086A7A"/>
    <w:rsid w:val="0009076D"/>
    <w:rsid w:val="00090B5F"/>
    <w:rsid w:val="000A2BAF"/>
    <w:rsid w:val="000B314F"/>
    <w:rsid w:val="000B397F"/>
    <w:rsid w:val="000B6E4D"/>
    <w:rsid w:val="000B7820"/>
    <w:rsid w:val="000C3AAB"/>
    <w:rsid w:val="000C4E40"/>
    <w:rsid w:val="000C7C74"/>
    <w:rsid w:val="000D21B5"/>
    <w:rsid w:val="000D71AD"/>
    <w:rsid w:val="000E12A5"/>
    <w:rsid w:val="000E1CEC"/>
    <w:rsid w:val="000F5F03"/>
    <w:rsid w:val="000F7392"/>
    <w:rsid w:val="00100483"/>
    <w:rsid w:val="001012EB"/>
    <w:rsid w:val="00103F03"/>
    <w:rsid w:val="00105A79"/>
    <w:rsid w:val="00114CE3"/>
    <w:rsid w:val="001174E7"/>
    <w:rsid w:val="00123389"/>
    <w:rsid w:val="00135C2E"/>
    <w:rsid w:val="0014152F"/>
    <w:rsid w:val="00151D9C"/>
    <w:rsid w:val="00166D0A"/>
    <w:rsid w:val="001746F6"/>
    <w:rsid w:val="00174966"/>
    <w:rsid w:val="00180DAA"/>
    <w:rsid w:val="00182F40"/>
    <w:rsid w:val="0018448C"/>
    <w:rsid w:val="00192001"/>
    <w:rsid w:val="001946A4"/>
    <w:rsid w:val="001A082B"/>
    <w:rsid w:val="001A33A5"/>
    <w:rsid w:val="001B235D"/>
    <w:rsid w:val="001B51D0"/>
    <w:rsid w:val="001B7FBD"/>
    <w:rsid w:val="001C09B5"/>
    <w:rsid w:val="001C5B42"/>
    <w:rsid w:val="001C5BB5"/>
    <w:rsid w:val="001D4595"/>
    <w:rsid w:val="001E1A32"/>
    <w:rsid w:val="001E454E"/>
    <w:rsid w:val="001E689D"/>
    <w:rsid w:val="001E718D"/>
    <w:rsid w:val="001F2732"/>
    <w:rsid w:val="00201149"/>
    <w:rsid w:val="00206B9E"/>
    <w:rsid w:val="002079BA"/>
    <w:rsid w:val="00215699"/>
    <w:rsid w:val="002157EF"/>
    <w:rsid w:val="002158C0"/>
    <w:rsid w:val="00220B5B"/>
    <w:rsid w:val="00220E39"/>
    <w:rsid w:val="00224BBE"/>
    <w:rsid w:val="0023065E"/>
    <w:rsid w:val="00230BE7"/>
    <w:rsid w:val="00230F87"/>
    <w:rsid w:val="00231FEB"/>
    <w:rsid w:val="00233EBF"/>
    <w:rsid w:val="00235CC9"/>
    <w:rsid w:val="00241762"/>
    <w:rsid w:val="002422A6"/>
    <w:rsid w:val="00245313"/>
    <w:rsid w:val="00245CD5"/>
    <w:rsid w:val="00247301"/>
    <w:rsid w:val="00256048"/>
    <w:rsid w:val="00263113"/>
    <w:rsid w:val="00270E1E"/>
    <w:rsid w:val="00271560"/>
    <w:rsid w:val="0027257D"/>
    <w:rsid w:val="0027585C"/>
    <w:rsid w:val="00280F8D"/>
    <w:rsid w:val="00294B47"/>
    <w:rsid w:val="0029524E"/>
    <w:rsid w:val="00297587"/>
    <w:rsid w:val="002A0CCB"/>
    <w:rsid w:val="002B3407"/>
    <w:rsid w:val="002C4D39"/>
    <w:rsid w:val="002C5980"/>
    <w:rsid w:val="002D01F3"/>
    <w:rsid w:val="002D33DB"/>
    <w:rsid w:val="002D3E9D"/>
    <w:rsid w:val="002E0547"/>
    <w:rsid w:val="002E21FE"/>
    <w:rsid w:val="002E7058"/>
    <w:rsid w:val="002F2B61"/>
    <w:rsid w:val="002F2D75"/>
    <w:rsid w:val="002F3F97"/>
    <w:rsid w:val="002F51A1"/>
    <w:rsid w:val="002F7E42"/>
    <w:rsid w:val="00307731"/>
    <w:rsid w:val="00322313"/>
    <w:rsid w:val="003235F1"/>
    <w:rsid w:val="00323FB6"/>
    <w:rsid w:val="003324BE"/>
    <w:rsid w:val="00344CC6"/>
    <w:rsid w:val="00346583"/>
    <w:rsid w:val="00347A48"/>
    <w:rsid w:val="00350C4F"/>
    <w:rsid w:val="003526C5"/>
    <w:rsid w:val="00355697"/>
    <w:rsid w:val="00361269"/>
    <w:rsid w:val="0036252F"/>
    <w:rsid w:val="003626FA"/>
    <w:rsid w:val="003640F2"/>
    <w:rsid w:val="00366B09"/>
    <w:rsid w:val="003768FB"/>
    <w:rsid w:val="003770E1"/>
    <w:rsid w:val="00381288"/>
    <w:rsid w:val="003819CE"/>
    <w:rsid w:val="00381C84"/>
    <w:rsid w:val="003824C6"/>
    <w:rsid w:val="00386EAB"/>
    <w:rsid w:val="003874CB"/>
    <w:rsid w:val="00395C8D"/>
    <w:rsid w:val="00396ABC"/>
    <w:rsid w:val="003A216E"/>
    <w:rsid w:val="003A3DEA"/>
    <w:rsid w:val="003A4962"/>
    <w:rsid w:val="003A6E41"/>
    <w:rsid w:val="003B2CA2"/>
    <w:rsid w:val="003C34F4"/>
    <w:rsid w:val="003C3886"/>
    <w:rsid w:val="003C4673"/>
    <w:rsid w:val="003C6130"/>
    <w:rsid w:val="003D117C"/>
    <w:rsid w:val="003D7DB2"/>
    <w:rsid w:val="003E2081"/>
    <w:rsid w:val="003E450A"/>
    <w:rsid w:val="003E64A9"/>
    <w:rsid w:val="003E6566"/>
    <w:rsid w:val="003F561E"/>
    <w:rsid w:val="003F7988"/>
    <w:rsid w:val="003F7A3C"/>
    <w:rsid w:val="004036D0"/>
    <w:rsid w:val="00404647"/>
    <w:rsid w:val="00405C0D"/>
    <w:rsid w:val="00422067"/>
    <w:rsid w:val="004261A1"/>
    <w:rsid w:val="00430F12"/>
    <w:rsid w:val="00432A70"/>
    <w:rsid w:val="00441FEC"/>
    <w:rsid w:val="00444B60"/>
    <w:rsid w:val="004543C1"/>
    <w:rsid w:val="0045502A"/>
    <w:rsid w:val="00457479"/>
    <w:rsid w:val="004577D5"/>
    <w:rsid w:val="00461840"/>
    <w:rsid w:val="00464D64"/>
    <w:rsid w:val="004669AC"/>
    <w:rsid w:val="00476A37"/>
    <w:rsid w:val="00480533"/>
    <w:rsid w:val="004852A9"/>
    <w:rsid w:val="00491B6C"/>
    <w:rsid w:val="00495A32"/>
    <w:rsid w:val="00496B24"/>
    <w:rsid w:val="004A0F86"/>
    <w:rsid w:val="004A63AD"/>
    <w:rsid w:val="004B6285"/>
    <w:rsid w:val="004B6566"/>
    <w:rsid w:val="004B7180"/>
    <w:rsid w:val="004C3D4E"/>
    <w:rsid w:val="004C40EB"/>
    <w:rsid w:val="004D09E3"/>
    <w:rsid w:val="004D468E"/>
    <w:rsid w:val="004D70B5"/>
    <w:rsid w:val="004E00F3"/>
    <w:rsid w:val="004E1709"/>
    <w:rsid w:val="004E3D35"/>
    <w:rsid w:val="004F2775"/>
    <w:rsid w:val="004F2F1D"/>
    <w:rsid w:val="004F4B0A"/>
    <w:rsid w:val="004F71C9"/>
    <w:rsid w:val="00500732"/>
    <w:rsid w:val="00504F3F"/>
    <w:rsid w:val="0050529F"/>
    <w:rsid w:val="00512085"/>
    <w:rsid w:val="005147C1"/>
    <w:rsid w:val="005170AF"/>
    <w:rsid w:val="00520DC8"/>
    <w:rsid w:val="00521477"/>
    <w:rsid w:val="0052270F"/>
    <w:rsid w:val="00533D20"/>
    <w:rsid w:val="0053783E"/>
    <w:rsid w:val="00545DB5"/>
    <w:rsid w:val="00546634"/>
    <w:rsid w:val="005473E5"/>
    <w:rsid w:val="00550BD8"/>
    <w:rsid w:val="00551B52"/>
    <w:rsid w:val="00551D74"/>
    <w:rsid w:val="00561E1F"/>
    <w:rsid w:val="00571D8A"/>
    <w:rsid w:val="005720CB"/>
    <w:rsid w:val="00574083"/>
    <w:rsid w:val="00576205"/>
    <w:rsid w:val="005825AE"/>
    <w:rsid w:val="00585661"/>
    <w:rsid w:val="0058625C"/>
    <w:rsid w:val="00592DDF"/>
    <w:rsid w:val="005958CA"/>
    <w:rsid w:val="005964C9"/>
    <w:rsid w:val="005A3EA4"/>
    <w:rsid w:val="005A5BFF"/>
    <w:rsid w:val="005A61CA"/>
    <w:rsid w:val="005A663F"/>
    <w:rsid w:val="005B124E"/>
    <w:rsid w:val="005C1567"/>
    <w:rsid w:val="005C162A"/>
    <w:rsid w:val="005C3EE8"/>
    <w:rsid w:val="005C53CD"/>
    <w:rsid w:val="005D28AE"/>
    <w:rsid w:val="005D4262"/>
    <w:rsid w:val="005D6043"/>
    <w:rsid w:val="005E36D7"/>
    <w:rsid w:val="005F2A55"/>
    <w:rsid w:val="005F2BF9"/>
    <w:rsid w:val="005F7604"/>
    <w:rsid w:val="006023E5"/>
    <w:rsid w:val="006116A1"/>
    <w:rsid w:val="00613307"/>
    <w:rsid w:val="00615E51"/>
    <w:rsid w:val="0061698E"/>
    <w:rsid w:val="00621226"/>
    <w:rsid w:val="006232CD"/>
    <w:rsid w:val="00627427"/>
    <w:rsid w:val="00627C65"/>
    <w:rsid w:val="00635057"/>
    <w:rsid w:val="00637777"/>
    <w:rsid w:val="00641589"/>
    <w:rsid w:val="00642DF7"/>
    <w:rsid w:val="00666091"/>
    <w:rsid w:val="00672C6A"/>
    <w:rsid w:val="00676C2B"/>
    <w:rsid w:val="0068012D"/>
    <w:rsid w:val="006806E4"/>
    <w:rsid w:val="006846D1"/>
    <w:rsid w:val="0069529C"/>
    <w:rsid w:val="00696965"/>
    <w:rsid w:val="006A316E"/>
    <w:rsid w:val="006C411A"/>
    <w:rsid w:val="006D454A"/>
    <w:rsid w:val="006E07BD"/>
    <w:rsid w:val="006E07E9"/>
    <w:rsid w:val="006E246E"/>
    <w:rsid w:val="006E25F0"/>
    <w:rsid w:val="006E3FB7"/>
    <w:rsid w:val="006E62BD"/>
    <w:rsid w:val="006F3E12"/>
    <w:rsid w:val="007049BF"/>
    <w:rsid w:val="00706173"/>
    <w:rsid w:val="00706997"/>
    <w:rsid w:val="00706BDC"/>
    <w:rsid w:val="007119CD"/>
    <w:rsid w:val="00722201"/>
    <w:rsid w:val="00727767"/>
    <w:rsid w:val="00732073"/>
    <w:rsid w:val="00732626"/>
    <w:rsid w:val="0074043E"/>
    <w:rsid w:val="00741D4C"/>
    <w:rsid w:val="007448D3"/>
    <w:rsid w:val="00750C7D"/>
    <w:rsid w:val="00754DC9"/>
    <w:rsid w:val="007640E4"/>
    <w:rsid w:val="00764A77"/>
    <w:rsid w:val="007654A7"/>
    <w:rsid w:val="00766C3F"/>
    <w:rsid w:val="00773CFF"/>
    <w:rsid w:val="0077464F"/>
    <w:rsid w:val="007775BF"/>
    <w:rsid w:val="00780507"/>
    <w:rsid w:val="00780838"/>
    <w:rsid w:val="00783F5F"/>
    <w:rsid w:val="00784ADF"/>
    <w:rsid w:val="007872FC"/>
    <w:rsid w:val="00787646"/>
    <w:rsid w:val="0079326E"/>
    <w:rsid w:val="007A2FFE"/>
    <w:rsid w:val="007A31F2"/>
    <w:rsid w:val="007A44FC"/>
    <w:rsid w:val="007A73BA"/>
    <w:rsid w:val="007C0E0C"/>
    <w:rsid w:val="007C3E53"/>
    <w:rsid w:val="007D15D1"/>
    <w:rsid w:val="007E0B5A"/>
    <w:rsid w:val="008005E3"/>
    <w:rsid w:val="00803E57"/>
    <w:rsid w:val="008059C5"/>
    <w:rsid w:val="00810C41"/>
    <w:rsid w:val="00811C35"/>
    <w:rsid w:val="00812E84"/>
    <w:rsid w:val="00815D72"/>
    <w:rsid w:val="008161D1"/>
    <w:rsid w:val="00817FF0"/>
    <w:rsid w:val="00823ACE"/>
    <w:rsid w:val="0082635E"/>
    <w:rsid w:val="00831E93"/>
    <w:rsid w:val="00833DE8"/>
    <w:rsid w:val="00837616"/>
    <w:rsid w:val="00841C0B"/>
    <w:rsid w:val="008428FC"/>
    <w:rsid w:val="00843172"/>
    <w:rsid w:val="0084527D"/>
    <w:rsid w:val="00845CD8"/>
    <w:rsid w:val="0084720C"/>
    <w:rsid w:val="008511CB"/>
    <w:rsid w:val="00856CEE"/>
    <w:rsid w:val="008610CE"/>
    <w:rsid w:val="008672EB"/>
    <w:rsid w:val="00871D1B"/>
    <w:rsid w:val="00885A13"/>
    <w:rsid w:val="00894787"/>
    <w:rsid w:val="00897990"/>
    <w:rsid w:val="008B1231"/>
    <w:rsid w:val="008B424E"/>
    <w:rsid w:val="008B457A"/>
    <w:rsid w:val="008C08F8"/>
    <w:rsid w:val="008C5781"/>
    <w:rsid w:val="008C6576"/>
    <w:rsid w:val="008D0DFD"/>
    <w:rsid w:val="008E374D"/>
    <w:rsid w:val="008E683D"/>
    <w:rsid w:val="008F31F5"/>
    <w:rsid w:val="00913871"/>
    <w:rsid w:val="00922581"/>
    <w:rsid w:val="009239B6"/>
    <w:rsid w:val="009257CF"/>
    <w:rsid w:val="00934710"/>
    <w:rsid w:val="009347C6"/>
    <w:rsid w:val="009423B5"/>
    <w:rsid w:val="00944B77"/>
    <w:rsid w:val="00946D71"/>
    <w:rsid w:val="0094754E"/>
    <w:rsid w:val="009475F7"/>
    <w:rsid w:val="00950AEF"/>
    <w:rsid w:val="0095596C"/>
    <w:rsid w:val="00963CBF"/>
    <w:rsid w:val="00964DAD"/>
    <w:rsid w:val="00981351"/>
    <w:rsid w:val="00984604"/>
    <w:rsid w:val="00987DEF"/>
    <w:rsid w:val="00994DAD"/>
    <w:rsid w:val="009A0093"/>
    <w:rsid w:val="009B0EFA"/>
    <w:rsid w:val="009B1B2A"/>
    <w:rsid w:val="009B4ACC"/>
    <w:rsid w:val="009C2848"/>
    <w:rsid w:val="009C4686"/>
    <w:rsid w:val="009D09B0"/>
    <w:rsid w:val="009E063A"/>
    <w:rsid w:val="009E2F5B"/>
    <w:rsid w:val="009E667F"/>
    <w:rsid w:val="009E67C9"/>
    <w:rsid w:val="009F2ABB"/>
    <w:rsid w:val="009F2E18"/>
    <w:rsid w:val="009F70C4"/>
    <w:rsid w:val="00A062B1"/>
    <w:rsid w:val="00A06D8E"/>
    <w:rsid w:val="00A10532"/>
    <w:rsid w:val="00A11188"/>
    <w:rsid w:val="00A14504"/>
    <w:rsid w:val="00A14F3E"/>
    <w:rsid w:val="00A16666"/>
    <w:rsid w:val="00A21FF9"/>
    <w:rsid w:val="00A24EB0"/>
    <w:rsid w:val="00A250A5"/>
    <w:rsid w:val="00A312A3"/>
    <w:rsid w:val="00A3677D"/>
    <w:rsid w:val="00A36845"/>
    <w:rsid w:val="00A43C17"/>
    <w:rsid w:val="00A452C2"/>
    <w:rsid w:val="00A50998"/>
    <w:rsid w:val="00A543BE"/>
    <w:rsid w:val="00A616FF"/>
    <w:rsid w:val="00A64D45"/>
    <w:rsid w:val="00A7001A"/>
    <w:rsid w:val="00A72228"/>
    <w:rsid w:val="00A72C57"/>
    <w:rsid w:val="00A73F36"/>
    <w:rsid w:val="00A838AD"/>
    <w:rsid w:val="00A87B63"/>
    <w:rsid w:val="00AA71E8"/>
    <w:rsid w:val="00AB43E0"/>
    <w:rsid w:val="00AB5DC2"/>
    <w:rsid w:val="00AC64C7"/>
    <w:rsid w:val="00AC765A"/>
    <w:rsid w:val="00AD5E13"/>
    <w:rsid w:val="00AD6036"/>
    <w:rsid w:val="00AE0BB6"/>
    <w:rsid w:val="00AE3866"/>
    <w:rsid w:val="00AE5588"/>
    <w:rsid w:val="00AE7193"/>
    <w:rsid w:val="00B00379"/>
    <w:rsid w:val="00B03DE6"/>
    <w:rsid w:val="00B04791"/>
    <w:rsid w:val="00B04BB5"/>
    <w:rsid w:val="00B12971"/>
    <w:rsid w:val="00B12C32"/>
    <w:rsid w:val="00B13A94"/>
    <w:rsid w:val="00B15293"/>
    <w:rsid w:val="00B307FE"/>
    <w:rsid w:val="00B348A8"/>
    <w:rsid w:val="00B34912"/>
    <w:rsid w:val="00B35F4F"/>
    <w:rsid w:val="00B40666"/>
    <w:rsid w:val="00B464CA"/>
    <w:rsid w:val="00B4717F"/>
    <w:rsid w:val="00B47B43"/>
    <w:rsid w:val="00B47CF8"/>
    <w:rsid w:val="00B61E77"/>
    <w:rsid w:val="00B62883"/>
    <w:rsid w:val="00B641CE"/>
    <w:rsid w:val="00B67381"/>
    <w:rsid w:val="00B708B3"/>
    <w:rsid w:val="00B73FF0"/>
    <w:rsid w:val="00B80784"/>
    <w:rsid w:val="00B8350A"/>
    <w:rsid w:val="00B853CD"/>
    <w:rsid w:val="00B8720A"/>
    <w:rsid w:val="00B91094"/>
    <w:rsid w:val="00BA770A"/>
    <w:rsid w:val="00BA7A07"/>
    <w:rsid w:val="00BC5237"/>
    <w:rsid w:val="00BD4653"/>
    <w:rsid w:val="00BD6D5D"/>
    <w:rsid w:val="00BD7202"/>
    <w:rsid w:val="00BE73F0"/>
    <w:rsid w:val="00BF000C"/>
    <w:rsid w:val="00BF23E5"/>
    <w:rsid w:val="00BF2A54"/>
    <w:rsid w:val="00BF593D"/>
    <w:rsid w:val="00C03A15"/>
    <w:rsid w:val="00C044A4"/>
    <w:rsid w:val="00C066B7"/>
    <w:rsid w:val="00C06E8D"/>
    <w:rsid w:val="00C1084A"/>
    <w:rsid w:val="00C16F22"/>
    <w:rsid w:val="00C179E4"/>
    <w:rsid w:val="00C233F8"/>
    <w:rsid w:val="00C24A65"/>
    <w:rsid w:val="00C272A6"/>
    <w:rsid w:val="00C27361"/>
    <w:rsid w:val="00C32C84"/>
    <w:rsid w:val="00C3379D"/>
    <w:rsid w:val="00C34340"/>
    <w:rsid w:val="00C36122"/>
    <w:rsid w:val="00C36877"/>
    <w:rsid w:val="00C41E09"/>
    <w:rsid w:val="00C43B69"/>
    <w:rsid w:val="00C464A8"/>
    <w:rsid w:val="00C4674F"/>
    <w:rsid w:val="00C553E0"/>
    <w:rsid w:val="00C67374"/>
    <w:rsid w:val="00C7391D"/>
    <w:rsid w:val="00C73C2D"/>
    <w:rsid w:val="00C834FE"/>
    <w:rsid w:val="00C8676F"/>
    <w:rsid w:val="00C90BCF"/>
    <w:rsid w:val="00C937D4"/>
    <w:rsid w:val="00C94A31"/>
    <w:rsid w:val="00C94DC4"/>
    <w:rsid w:val="00CA0005"/>
    <w:rsid w:val="00CA0B74"/>
    <w:rsid w:val="00CA0FC5"/>
    <w:rsid w:val="00CA11D6"/>
    <w:rsid w:val="00CA1516"/>
    <w:rsid w:val="00CB004A"/>
    <w:rsid w:val="00CB0C06"/>
    <w:rsid w:val="00CC01FB"/>
    <w:rsid w:val="00CC0DFF"/>
    <w:rsid w:val="00CC110E"/>
    <w:rsid w:val="00CC129B"/>
    <w:rsid w:val="00CC2CC7"/>
    <w:rsid w:val="00CC3244"/>
    <w:rsid w:val="00CC35CA"/>
    <w:rsid w:val="00CD6EC5"/>
    <w:rsid w:val="00CE023E"/>
    <w:rsid w:val="00CE766D"/>
    <w:rsid w:val="00CF4485"/>
    <w:rsid w:val="00CF72E2"/>
    <w:rsid w:val="00CF7AF4"/>
    <w:rsid w:val="00D02293"/>
    <w:rsid w:val="00D10762"/>
    <w:rsid w:val="00D12550"/>
    <w:rsid w:val="00D1555C"/>
    <w:rsid w:val="00D22C7E"/>
    <w:rsid w:val="00D30672"/>
    <w:rsid w:val="00D47BBC"/>
    <w:rsid w:val="00D520C5"/>
    <w:rsid w:val="00D53793"/>
    <w:rsid w:val="00D53C43"/>
    <w:rsid w:val="00D56DCA"/>
    <w:rsid w:val="00D63A22"/>
    <w:rsid w:val="00D77190"/>
    <w:rsid w:val="00D806EB"/>
    <w:rsid w:val="00D853ED"/>
    <w:rsid w:val="00D94588"/>
    <w:rsid w:val="00D94A55"/>
    <w:rsid w:val="00DA185E"/>
    <w:rsid w:val="00DA27C4"/>
    <w:rsid w:val="00DA2A3F"/>
    <w:rsid w:val="00DA4754"/>
    <w:rsid w:val="00DB20FF"/>
    <w:rsid w:val="00DB5E68"/>
    <w:rsid w:val="00DB6599"/>
    <w:rsid w:val="00DC2F0C"/>
    <w:rsid w:val="00DC5A03"/>
    <w:rsid w:val="00DD1DD9"/>
    <w:rsid w:val="00DD6CBB"/>
    <w:rsid w:val="00DE334D"/>
    <w:rsid w:val="00DE49D3"/>
    <w:rsid w:val="00DE55BF"/>
    <w:rsid w:val="00DF0B0C"/>
    <w:rsid w:val="00DF67A2"/>
    <w:rsid w:val="00E02D4A"/>
    <w:rsid w:val="00E02FCA"/>
    <w:rsid w:val="00E0580B"/>
    <w:rsid w:val="00E05F58"/>
    <w:rsid w:val="00E108FC"/>
    <w:rsid w:val="00E14711"/>
    <w:rsid w:val="00E17EB1"/>
    <w:rsid w:val="00E207D9"/>
    <w:rsid w:val="00E23BEE"/>
    <w:rsid w:val="00E23E00"/>
    <w:rsid w:val="00E24B08"/>
    <w:rsid w:val="00E324CB"/>
    <w:rsid w:val="00E373FB"/>
    <w:rsid w:val="00E377C7"/>
    <w:rsid w:val="00E43723"/>
    <w:rsid w:val="00E45462"/>
    <w:rsid w:val="00E4564D"/>
    <w:rsid w:val="00E45B8F"/>
    <w:rsid w:val="00E4736D"/>
    <w:rsid w:val="00E53A3B"/>
    <w:rsid w:val="00E55572"/>
    <w:rsid w:val="00E55692"/>
    <w:rsid w:val="00E6589A"/>
    <w:rsid w:val="00E671B6"/>
    <w:rsid w:val="00E67DCE"/>
    <w:rsid w:val="00E7306F"/>
    <w:rsid w:val="00E74DAB"/>
    <w:rsid w:val="00E87C6E"/>
    <w:rsid w:val="00E91870"/>
    <w:rsid w:val="00E96C02"/>
    <w:rsid w:val="00EB75F7"/>
    <w:rsid w:val="00EC52E7"/>
    <w:rsid w:val="00EC5CAF"/>
    <w:rsid w:val="00ED45A4"/>
    <w:rsid w:val="00ED4AAB"/>
    <w:rsid w:val="00ED4FFE"/>
    <w:rsid w:val="00EE2B17"/>
    <w:rsid w:val="00EE689E"/>
    <w:rsid w:val="00EF5310"/>
    <w:rsid w:val="00EF58C6"/>
    <w:rsid w:val="00F05D42"/>
    <w:rsid w:val="00F10E0B"/>
    <w:rsid w:val="00F11DA3"/>
    <w:rsid w:val="00F12FCB"/>
    <w:rsid w:val="00F13C8C"/>
    <w:rsid w:val="00F2266F"/>
    <w:rsid w:val="00F25174"/>
    <w:rsid w:val="00F32361"/>
    <w:rsid w:val="00F43635"/>
    <w:rsid w:val="00F449B0"/>
    <w:rsid w:val="00F50A92"/>
    <w:rsid w:val="00F53F92"/>
    <w:rsid w:val="00F63E8C"/>
    <w:rsid w:val="00F64C83"/>
    <w:rsid w:val="00F76CBF"/>
    <w:rsid w:val="00F82954"/>
    <w:rsid w:val="00F853DD"/>
    <w:rsid w:val="00F85C9D"/>
    <w:rsid w:val="00F86698"/>
    <w:rsid w:val="00F97823"/>
    <w:rsid w:val="00FA4C69"/>
    <w:rsid w:val="00FB267C"/>
    <w:rsid w:val="00FB2C21"/>
    <w:rsid w:val="00FB310E"/>
    <w:rsid w:val="00FD2C77"/>
    <w:rsid w:val="00FD72DA"/>
    <w:rsid w:val="00FE1458"/>
    <w:rsid w:val="00FE566C"/>
    <w:rsid w:val="00FE64E8"/>
    <w:rsid w:val="00FF211C"/>
    <w:rsid w:val="00FF21FC"/>
    <w:rsid w:val="014842AF"/>
    <w:rsid w:val="02BB2205"/>
    <w:rsid w:val="042025E5"/>
    <w:rsid w:val="059A1DAA"/>
    <w:rsid w:val="06DB1FA2"/>
    <w:rsid w:val="06DD700E"/>
    <w:rsid w:val="070C3089"/>
    <w:rsid w:val="07D61474"/>
    <w:rsid w:val="08887D96"/>
    <w:rsid w:val="08952CCA"/>
    <w:rsid w:val="09A5109F"/>
    <w:rsid w:val="0A675FEF"/>
    <w:rsid w:val="0B832A2C"/>
    <w:rsid w:val="0B9B2A2F"/>
    <w:rsid w:val="0C7F1BFD"/>
    <w:rsid w:val="0CA5209D"/>
    <w:rsid w:val="0E1F4925"/>
    <w:rsid w:val="0ECF5646"/>
    <w:rsid w:val="0EE051A4"/>
    <w:rsid w:val="0F4137F3"/>
    <w:rsid w:val="12355AA8"/>
    <w:rsid w:val="12A4595C"/>
    <w:rsid w:val="13485B5E"/>
    <w:rsid w:val="13B951E2"/>
    <w:rsid w:val="157D2822"/>
    <w:rsid w:val="17173D72"/>
    <w:rsid w:val="17B770A1"/>
    <w:rsid w:val="17D16AC7"/>
    <w:rsid w:val="18314C90"/>
    <w:rsid w:val="184047A1"/>
    <w:rsid w:val="18BC6A93"/>
    <w:rsid w:val="1A6E1BEC"/>
    <w:rsid w:val="1B526A55"/>
    <w:rsid w:val="1BD7033D"/>
    <w:rsid w:val="1BFB6726"/>
    <w:rsid w:val="1CA76965"/>
    <w:rsid w:val="1D8040CB"/>
    <w:rsid w:val="1FE002E5"/>
    <w:rsid w:val="21630731"/>
    <w:rsid w:val="22FA23F3"/>
    <w:rsid w:val="254F4540"/>
    <w:rsid w:val="2569714B"/>
    <w:rsid w:val="28F82DD3"/>
    <w:rsid w:val="290B6E77"/>
    <w:rsid w:val="293740AA"/>
    <w:rsid w:val="298D2BC5"/>
    <w:rsid w:val="2B2D3029"/>
    <w:rsid w:val="2BC35FAC"/>
    <w:rsid w:val="2BFB5698"/>
    <w:rsid w:val="2C7A7355"/>
    <w:rsid w:val="2D700F34"/>
    <w:rsid w:val="2E073411"/>
    <w:rsid w:val="2E38586B"/>
    <w:rsid w:val="2F7B476D"/>
    <w:rsid w:val="31C03C5A"/>
    <w:rsid w:val="32332B5F"/>
    <w:rsid w:val="36491749"/>
    <w:rsid w:val="37015C7B"/>
    <w:rsid w:val="37794C76"/>
    <w:rsid w:val="37E8488E"/>
    <w:rsid w:val="37F271B5"/>
    <w:rsid w:val="381D0A3A"/>
    <w:rsid w:val="38EE03C0"/>
    <w:rsid w:val="3970242C"/>
    <w:rsid w:val="3A9D1AC3"/>
    <w:rsid w:val="3AAA0015"/>
    <w:rsid w:val="3C707199"/>
    <w:rsid w:val="3C99316A"/>
    <w:rsid w:val="40F75F6D"/>
    <w:rsid w:val="425C3842"/>
    <w:rsid w:val="437E1DE3"/>
    <w:rsid w:val="43842FD4"/>
    <w:rsid w:val="44BB4186"/>
    <w:rsid w:val="46CA2EF5"/>
    <w:rsid w:val="46FA755C"/>
    <w:rsid w:val="48882009"/>
    <w:rsid w:val="4894250B"/>
    <w:rsid w:val="48C53751"/>
    <w:rsid w:val="491E490A"/>
    <w:rsid w:val="4A342E9A"/>
    <w:rsid w:val="4A8405CE"/>
    <w:rsid w:val="4B056B5A"/>
    <w:rsid w:val="4C1729A8"/>
    <w:rsid w:val="4EC124A4"/>
    <w:rsid w:val="4F8D63B6"/>
    <w:rsid w:val="50FC6B71"/>
    <w:rsid w:val="51B51D5F"/>
    <w:rsid w:val="528C2CB4"/>
    <w:rsid w:val="54476282"/>
    <w:rsid w:val="55E349F5"/>
    <w:rsid w:val="566F1F4E"/>
    <w:rsid w:val="578B3024"/>
    <w:rsid w:val="58014107"/>
    <w:rsid w:val="5B210DE7"/>
    <w:rsid w:val="5FB122F5"/>
    <w:rsid w:val="5FE534BB"/>
    <w:rsid w:val="60094520"/>
    <w:rsid w:val="60C87E30"/>
    <w:rsid w:val="62A43AC6"/>
    <w:rsid w:val="62E73509"/>
    <w:rsid w:val="63822FC4"/>
    <w:rsid w:val="65E24307"/>
    <w:rsid w:val="66E7162B"/>
    <w:rsid w:val="67E40376"/>
    <w:rsid w:val="693704CA"/>
    <w:rsid w:val="69A2317D"/>
    <w:rsid w:val="6BDE2CD2"/>
    <w:rsid w:val="6C726BA9"/>
    <w:rsid w:val="6E215698"/>
    <w:rsid w:val="6E2208A1"/>
    <w:rsid w:val="6E4F138F"/>
    <w:rsid w:val="6EBC16AE"/>
    <w:rsid w:val="703A3541"/>
    <w:rsid w:val="71544929"/>
    <w:rsid w:val="74601F32"/>
    <w:rsid w:val="75F952CE"/>
    <w:rsid w:val="760D7988"/>
    <w:rsid w:val="767B1F1A"/>
    <w:rsid w:val="768C0CF0"/>
    <w:rsid w:val="77026DA0"/>
    <w:rsid w:val="778C520B"/>
    <w:rsid w:val="78D71AF8"/>
    <w:rsid w:val="7BE23004"/>
    <w:rsid w:val="7D303FA9"/>
    <w:rsid w:val="7E750408"/>
    <w:rsid w:val="7FCD6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iPriority="0" w:semiHidden="0" w:name="Normal Indent"/>
    <w:lsdException w:unhideWhenUsed="0" w:uiPriority="0" w:semiHidden="0" w:name="footnote text"/>
    <w:lsdException w:qFormat="1" w:uiPriority="99" w:semiHidden="0" w:name="annotation text"/>
    <w:lsdException w:qFormat="1"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iPriority="99" w:semiHidden="0" w:name="HTML Acronym"/>
    <w:lsdException w:unhideWhenUsed="0" w:uiPriority="0" w:semiHidden="0"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unhideWhenUsed="0" w:uiPriority="0" w:semiHidden="0" w:name="HTML Typewriter"/>
    <w:lsdException w:qFormat="1" w:uiPriority="99"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112"/>
    <w:qFormat/>
    <w:uiPriority w:val="9"/>
    <w:pPr>
      <w:keepNext/>
      <w:keepLines/>
      <w:spacing w:before="340" w:after="330" w:line="576" w:lineRule="auto"/>
      <w:outlineLvl w:val="0"/>
    </w:pPr>
    <w:rPr>
      <w:b/>
      <w:bCs/>
      <w:kern w:val="44"/>
      <w:sz w:val="44"/>
      <w:szCs w:val="44"/>
    </w:rPr>
  </w:style>
  <w:style w:type="paragraph" w:styleId="4">
    <w:name w:val="heading 2"/>
    <w:basedOn w:val="1"/>
    <w:next w:val="1"/>
    <w:link w:val="118"/>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02"/>
    <w:qFormat/>
    <w:uiPriority w:val="9"/>
    <w:pPr>
      <w:keepNext/>
      <w:keepLines/>
      <w:spacing w:before="260" w:after="260" w:line="413" w:lineRule="auto"/>
      <w:outlineLvl w:val="2"/>
    </w:pPr>
    <w:rPr>
      <w:b/>
      <w:sz w:val="32"/>
    </w:rPr>
  </w:style>
  <w:style w:type="paragraph" w:styleId="6">
    <w:name w:val="heading 4"/>
    <w:basedOn w:val="1"/>
    <w:next w:val="1"/>
    <w:link w:val="128"/>
    <w:qFormat/>
    <w:uiPriority w:val="9"/>
    <w:pPr>
      <w:keepNext/>
      <w:keepLines/>
      <w:spacing w:before="280" w:after="290" w:line="372" w:lineRule="auto"/>
      <w:outlineLvl w:val="3"/>
    </w:pPr>
    <w:rPr>
      <w:rFonts w:ascii="Arial" w:hAnsi="Arial" w:eastAsia="黑体"/>
      <w:b/>
      <w:sz w:val="28"/>
    </w:rPr>
  </w:style>
  <w:style w:type="paragraph" w:styleId="7">
    <w:name w:val="heading 5"/>
    <w:basedOn w:val="1"/>
    <w:next w:val="1"/>
    <w:link w:val="114"/>
    <w:qFormat/>
    <w:uiPriority w:val="9"/>
    <w:pPr>
      <w:keepNext/>
      <w:keepLines/>
      <w:spacing w:before="280" w:after="290" w:line="372" w:lineRule="auto"/>
      <w:outlineLvl w:val="4"/>
    </w:pPr>
    <w:rPr>
      <w:b/>
      <w:sz w:val="28"/>
    </w:rPr>
  </w:style>
  <w:style w:type="paragraph" w:styleId="8">
    <w:name w:val="heading 6"/>
    <w:basedOn w:val="1"/>
    <w:next w:val="1"/>
    <w:link w:val="107"/>
    <w:qFormat/>
    <w:uiPriority w:val="9"/>
    <w:pPr>
      <w:keepNext/>
      <w:keepLines/>
      <w:tabs>
        <w:tab w:val="left" w:pos="0"/>
      </w:tabs>
      <w:adjustRightInd w:val="0"/>
      <w:spacing w:before="240" w:after="64" w:line="320" w:lineRule="auto"/>
      <w:textAlignment w:val="baseline"/>
      <w:outlineLvl w:val="5"/>
    </w:pPr>
    <w:rPr>
      <w:rFonts w:ascii="Arial" w:hAnsi="Arial" w:eastAsia="黑体"/>
      <w:b/>
      <w:kern w:val="0"/>
      <w:sz w:val="28"/>
      <w:szCs w:val="20"/>
    </w:rPr>
  </w:style>
  <w:style w:type="paragraph" w:styleId="9">
    <w:name w:val="heading 7"/>
    <w:basedOn w:val="1"/>
    <w:next w:val="1"/>
    <w:link w:val="150"/>
    <w:qFormat/>
    <w:uiPriority w:val="9"/>
    <w:pPr>
      <w:keepNext/>
      <w:keepLines/>
      <w:tabs>
        <w:tab w:val="left" w:pos="0"/>
      </w:tabs>
      <w:adjustRightInd w:val="0"/>
      <w:spacing w:before="240" w:after="64" w:line="320" w:lineRule="auto"/>
      <w:textAlignment w:val="baseline"/>
      <w:outlineLvl w:val="6"/>
    </w:pPr>
    <w:rPr>
      <w:b/>
      <w:kern w:val="0"/>
      <w:sz w:val="28"/>
      <w:szCs w:val="20"/>
    </w:rPr>
  </w:style>
  <w:style w:type="paragraph" w:styleId="10">
    <w:name w:val="heading 8"/>
    <w:basedOn w:val="1"/>
    <w:next w:val="1"/>
    <w:link w:val="110"/>
    <w:qFormat/>
    <w:uiPriority w:val="9"/>
    <w:pPr>
      <w:keepNext/>
      <w:keepLines/>
      <w:tabs>
        <w:tab w:val="left" w:pos="0"/>
      </w:tabs>
      <w:adjustRightInd w:val="0"/>
      <w:spacing w:before="240" w:after="64" w:line="320" w:lineRule="auto"/>
      <w:textAlignment w:val="baseline"/>
      <w:outlineLvl w:val="7"/>
    </w:pPr>
    <w:rPr>
      <w:rFonts w:ascii="Arial" w:hAnsi="Arial" w:eastAsia="黑体"/>
      <w:kern w:val="0"/>
      <w:sz w:val="28"/>
      <w:szCs w:val="20"/>
    </w:rPr>
  </w:style>
  <w:style w:type="paragraph" w:styleId="11">
    <w:name w:val="heading 9"/>
    <w:basedOn w:val="1"/>
    <w:next w:val="1"/>
    <w:link w:val="105"/>
    <w:qFormat/>
    <w:uiPriority w:val="9"/>
    <w:pPr>
      <w:keepNext/>
      <w:keepLines/>
      <w:tabs>
        <w:tab w:val="left" w:pos="0"/>
      </w:tabs>
      <w:adjustRightInd w:val="0"/>
      <w:spacing w:before="240" w:after="64" w:line="320" w:lineRule="auto"/>
      <w:textAlignment w:val="baseline"/>
      <w:outlineLvl w:val="8"/>
    </w:pPr>
    <w:rPr>
      <w:rFonts w:ascii="Arial" w:hAnsi="Arial" w:eastAsia="黑体"/>
      <w:kern w:val="0"/>
      <w:sz w:val="28"/>
      <w:szCs w:val="20"/>
    </w:rPr>
  </w:style>
  <w:style w:type="character" w:default="1" w:styleId="36">
    <w:name w:val="Default Paragraph Font"/>
    <w:semiHidden/>
    <w:unhideWhenUsed/>
    <w:qFormat/>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7"/>
    <w:qFormat/>
    <w:uiPriority w:val="0"/>
    <w:pPr>
      <w:spacing w:line="200" w:lineRule="exact"/>
      <w:ind w:firstLine="301"/>
    </w:pPr>
    <w:rPr>
      <w:rFonts w:ascii="宋体" w:hAnsi="Courier New"/>
      <w:spacing w:val="-4"/>
      <w:sz w:val="18"/>
      <w:szCs w:val="20"/>
    </w:rPr>
  </w:style>
  <w:style w:type="paragraph" w:styleId="12">
    <w:name w:val="List Number"/>
    <w:basedOn w:val="1"/>
    <w:qFormat/>
    <w:uiPriority w:val="0"/>
    <w:pPr>
      <w:numPr>
        <w:ilvl w:val="0"/>
        <w:numId w:val="1"/>
      </w:numPr>
    </w:pPr>
  </w:style>
  <w:style w:type="paragraph" w:styleId="13">
    <w:name w:val="Normal Indent"/>
    <w:basedOn w:val="1"/>
    <w:link w:val="125"/>
    <w:unhideWhenUsed/>
    <w:qFormat/>
    <w:uiPriority w:val="0"/>
    <w:pPr>
      <w:ind w:firstLine="420" w:firstLineChars="200"/>
    </w:p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111"/>
    <w:unhideWhenUsed/>
    <w:qFormat/>
    <w:uiPriority w:val="99"/>
    <w:rPr>
      <w:rFonts w:ascii="宋体"/>
      <w:sz w:val="18"/>
      <w:szCs w:val="18"/>
    </w:rPr>
  </w:style>
  <w:style w:type="paragraph" w:styleId="16">
    <w:name w:val="annotation text"/>
    <w:basedOn w:val="1"/>
    <w:link w:val="108"/>
    <w:unhideWhenUsed/>
    <w:qFormat/>
    <w:uiPriority w:val="99"/>
    <w:pPr>
      <w:jc w:val="left"/>
    </w:pPr>
    <w:rPr>
      <w:szCs w:val="24"/>
    </w:rPr>
  </w:style>
  <w:style w:type="paragraph" w:styleId="17">
    <w:name w:val="Body Text 3"/>
    <w:basedOn w:val="1"/>
    <w:link w:val="121"/>
    <w:qFormat/>
    <w:uiPriority w:val="0"/>
    <w:pPr>
      <w:snapToGrid w:val="0"/>
      <w:spacing w:before="50" w:after="50"/>
    </w:pPr>
    <w:rPr>
      <w:rFonts w:hAnsi="宋体" w:eastAsia="仿宋_GB2312"/>
      <w:b/>
      <w:bCs/>
      <w:sz w:val="24"/>
      <w:szCs w:val="20"/>
    </w:rPr>
  </w:style>
  <w:style w:type="paragraph" w:styleId="18">
    <w:name w:val="Body Text"/>
    <w:basedOn w:val="1"/>
    <w:link w:val="116"/>
    <w:qFormat/>
    <w:uiPriority w:val="0"/>
    <w:pPr>
      <w:spacing w:after="120"/>
    </w:pPr>
  </w:style>
  <w:style w:type="paragraph" w:styleId="19">
    <w:name w:val="toc 3"/>
    <w:basedOn w:val="1"/>
    <w:next w:val="1"/>
    <w:qFormat/>
    <w:uiPriority w:val="39"/>
    <w:pPr>
      <w:ind w:left="840" w:leftChars="400"/>
    </w:pPr>
  </w:style>
  <w:style w:type="paragraph" w:styleId="20">
    <w:name w:val="Plain Text"/>
    <w:basedOn w:val="1"/>
    <w:link w:val="130"/>
    <w:qFormat/>
    <w:uiPriority w:val="0"/>
    <w:pPr>
      <w:spacing w:beforeLines="50" w:afterLines="50" w:line="400" w:lineRule="exact"/>
    </w:pPr>
    <w:rPr>
      <w:rFonts w:ascii="宋体" w:hAnsi="Courier New"/>
      <w:sz w:val="24"/>
      <w:szCs w:val="24"/>
    </w:rPr>
  </w:style>
  <w:style w:type="paragraph" w:styleId="21">
    <w:name w:val="Date"/>
    <w:basedOn w:val="1"/>
    <w:next w:val="1"/>
    <w:link w:val="147"/>
    <w:qFormat/>
    <w:uiPriority w:val="0"/>
    <w:pPr>
      <w:ind w:left="2500" w:leftChars="2500"/>
    </w:pPr>
    <w:rPr>
      <w:rFonts w:eastAsia="楷体_GB2312"/>
      <w:sz w:val="32"/>
      <w:szCs w:val="20"/>
    </w:rPr>
  </w:style>
  <w:style w:type="paragraph" w:styleId="22">
    <w:name w:val="Balloon Text"/>
    <w:basedOn w:val="1"/>
    <w:link w:val="142"/>
    <w:unhideWhenUsed/>
    <w:qFormat/>
    <w:uiPriority w:val="99"/>
    <w:rPr>
      <w:sz w:val="18"/>
      <w:szCs w:val="18"/>
    </w:rPr>
  </w:style>
  <w:style w:type="paragraph" w:styleId="23">
    <w:name w:val="footer"/>
    <w:basedOn w:val="1"/>
    <w:link w:val="149"/>
    <w:unhideWhenUsed/>
    <w:qFormat/>
    <w:uiPriority w:val="99"/>
    <w:pPr>
      <w:tabs>
        <w:tab w:val="center" w:pos="4153"/>
        <w:tab w:val="right" w:pos="8306"/>
      </w:tabs>
      <w:snapToGrid w:val="0"/>
      <w:jc w:val="left"/>
    </w:pPr>
    <w:rPr>
      <w:sz w:val="18"/>
      <w:szCs w:val="18"/>
    </w:rPr>
  </w:style>
  <w:style w:type="paragraph" w:styleId="24">
    <w:name w:val="header"/>
    <w:basedOn w:val="1"/>
    <w:link w:val="106"/>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tabs>
        <w:tab w:val="right" w:leader="dot" w:pos="9060"/>
      </w:tabs>
      <w:jc w:val="center"/>
    </w:pPr>
    <w:rPr>
      <w:szCs w:val="24"/>
    </w:rPr>
  </w:style>
  <w:style w:type="paragraph" w:styleId="26">
    <w:name w:val="List"/>
    <w:basedOn w:val="1"/>
    <w:qFormat/>
    <w:uiPriority w:val="0"/>
    <w:pPr>
      <w:ind w:left="200" w:hanging="200" w:hangingChars="200"/>
    </w:pPr>
    <w:rPr>
      <w:sz w:val="28"/>
      <w:szCs w:val="24"/>
    </w:rPr>
  </w:style>
  <w:style w:type="paragraph" w:styleId="27">
    <w:name w:val="toc 2"/>
    <w:basedOn w:val="1"/>
    <w:next w:val="1"/>
    <w:unhideWhenUsed/>
    <w:qFormat/>
    <w:uiPriority w:val="39"/>
    <w:pPr>
      <w:tabs>
        <w:tab w:val="left" w:pos="764"/>
        <w:tab w:val="right" w:leader="dot" w:pos="8296"/>
      </w:tabs>
      <w:ind w:left="210"/>
      <w:jc w:val="left"/>
    </w:pPr>
    <w:rPr>
      <w:rFonts w:cs="Calibri"/>
      <w:smallCaps/>
      <w:sz w:val="20"/>
      <w:szCs w:val="20"/>
    </w:rPr>
  </w:style>
  <w:style w:type="paragraph" w:styleId="28">
    <w:name w:val="Body Text 2"/>
    <w:basedOn w:val="1"/>
    <w:link w:val="129"/>
    <w:qFormat/>
    <w:uiPriority w:val="0"/>
    <w:pPr>
      <w:widowControl/>
      <w:snapToGrid w:val="0"/>
      <w:spacing w:before="50" w:afterLines="50" w:line="400" w:lineRule="exact"/>
      <w:jc w:val="left"/>
    </w:pPr>
    <w:rPr>
      <w:rFonts w:ascii="宋体" w:hAnsi="宋体"/>
      <w:color w:val="000000"/>
      <w:sz w:val="24"/>
      <w:szCs w:val="24"/>
    </w:rPr>
  </w:style>
  <w:style w:type="paragraph" w:styleId="29">
    <w:name w:val="HTML Preformatted"/>
    <w:basedOn w:val="1"/>
    <w:link w:val="14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30">
    <w:name w:val="Normal (Web)"/>
    <w:basedOn w:val="1"/>
    <w:unhideWhenUsed/>
    <w:qFormat/>
    <w:uiPriority w:val="99"/>
    <w:rPr>
      <w:sz w:val="24"/>
    </w:rPr>
  </w:style>
  <w:style w:type="paragraph" w:styleId="31">
    <w:name w:val="annotation subject"/>
    <w:basedOn w:val="16"/>
    <w:next w:val="16"/>
    <w:link w:val="136"/>
    <w:qFormat/>
    <w:uiPriority w:val="0"/>
    <w:rPr>
      <w:b/>
      <w:bCs/>
      <w:szCs w:val="22"/>
    </w:rPr>
  </w:style>
  <w:style w:type="paragraph" w:styleId="32">
    <w:name w:val="Body Text First Indent"/>
    <w:basedOn w:val="18"/>
    <w:link w:val="123"/>
    <w:unhideWhenUsed/>
    <w:qFormat/>
    <w:uiPriority w:val="99"/>
    <w:pPr>
      <w:ind w:firstLine="420" w:firstLineChars="100"/>
    </w:pPr>
  </w:style>
  <w:style w:type="paragraph" w:styleId="33">
    <w:name w:val="Body Text First Indent 2"/>
    <w:basedOn w:val="1"/>
    <w:qFormat/>
    <w:uiPriority w:val="0"/>
    <w:pPr>
      <w:spacing w:line="360" w:lineRule="auto"/>
      <w:ind w:firstLine="200" w:firstLineChars="200"/>
    </w:pPr>
    <w:rPr>
      <w:sz w:val="24"/>
    </w:rPr>
  </w:style>
  <w:style w:type="table" w:styleId="35">
    <w:name w:val="Table Grid"/>
    <w:basedOn w:val="3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22"/>
    <w:rPr>
      <w:b/>
    </w:rPr>
  </w:style>
  <w:style w:type="character" w:styleId="38">
    <w:name w:val="page number"/>
    <w:basedOn w:val="36"/>
    <w:qFormat/>
    <w:uiPriority w:val="0"/>
  </w:style>
  <w:style w:type="character" w:styleId="39">
    <w:name w:val="FollowedHyperlink"/>
    <w:unhideWhenUsed/>
    <w:qFormat/>
    <w:uiPriority w:val="99"/>
    <w:rPr>
      <w:color w:val="555555"/>
      <w:u w:val="none"/>
    </w:rPr>
  </w:style>
  <w:style w:type="character" w:styleId="40">
    <w:name w:val="Emphasis"/>
    <w:qFormat/>
    <w:uiPriority w:val="20"/>
    <w:rPr>
      <w:i/>
    </w:rPr>
  </w:style>
  <w:style w:type="character" w:styleId="41">
    <w:name w:val="HTML Definition"/>
    <w:basedOn w:val="36"/>
    <w:unhideWhenUsed/>
    <w:qFormat/>
    <w:uiPriority w:val="99"/>
  </w:style>
  <w:style w:type="character" w:styleId="42">
    <w:name w:val="HTML Acronym"/>
    <w:basedOn w:val="36"/>
    <w:unhideWhenUsed/>
    <w:qFormat/>
    <w:uiPriority w:val="99"/>
  </w:style>
  <w:style w:type="character" w:styleId="43">
    <w:name w:val="HTML Variable"/>
    <w:basedOn w:val="36"/>
    <w:unhideWhenUsed/>
    <w:qFormat/>
    <w:uiPriority w:val="99"/>
  </w:style>
  <w:style w:type="character" w:styleId="44">
    <w:name w:val="Hyperlink"/>
    <w:basedOn w:val="36"/>
    <w:qFormat/>
    <w:uiPriority w:val="99"/>
    <w:rPr>
      <w:color w:val="0000FF"/>
      <w:u w:val="single"/>
    </w:rPr>
  </w:style>
  <w:style w:type="character" w:styleId="45">
    <w:name w:val="HTML Code"/>
    <w:unhideWhenUsed/>
    <w:qFormat/>
    <w:uiPriority w:val="99"/>
    <w:rPr>
      <w:rFonts w:hint="default" w:ascii="monospace" w:hAnsi="monospace" w:eastAsia="monospace" w:cs="monospace"/>
      <w:sz w:val="24"/>
      <w:szCs w:val="24"/>
    </w:rPr>
  </w:style>
  <w:style w:type="character" w:styleId="46">
    <w:name w:val="annotation reference"/>
    <w:qFormat/>
    <w:uiPriority w:val="99"/>
    <w:rPr>
      <w:sz w:val="21"/>
      <w:szCs w:val="21"/>
    </w:rPr>
  </w:style>
  <w:style w:type="character" w:styleId="47">
    <w:name w:val="HTML Cite"/>
    <w:basedOn w:val="36"/>
    <w:unhideWhenUsed/>
    <w:qFormat/>
    <w:uiPriority w:val="99"/>
  </w:style>
  <w:style w:type="character" w:styleId="48">
    <w:name w:val="HTML Keyboard"/>
    <w:unhideWhenUsed/>
    <w:qFormat/>
    <w:uiPriority w:val="99"/>
    <w:rPr>
      <w:rFonts w:ascii="monospace" w:hAnsi="monospace" w:eastAsia="monospace" w:cs="monospace"/>
      <w:sz w:val="24"/>
      <w:szCs w:val="24"/>
    </w:rPr>
  </w:style>
  <w:style w:type="character" w:styleId="49">
    <w:name w:val="HTML Sample"/>
    <w:unhideWhenUsed/>
    <w:qFormat/>
    <w:uiPriority w:val="99"/>
    <w:rPr>
      <w:rFonts w:hint="default" w:ascii="monospace" w:hAnsi="monospace" w:eastAsia="monospace" w:cs="monospace"/>
      <w:sz w:val="24"/>
      <w:szCs w:val="24"/>
    </w:rPr>
  </w:style>
  <w:style w:type="paragraph" w:customStyle="1" w:styleId="50">
    <w:name w:val="彩色列表1"/>
    <w:basedOn w:val="1"/>
    <w:qFormat/>
    <w:uiPriority w:val="99"/>
    <w:pPr>
      <w:ind w:firstLine="420" w:firstLineChars="200"/>
    </w:pPr>
    <w:rPr>
      <w:rFonts w:ascii="Verdana" w:hAnsi="Verdana" w:cs="宋体"/>
      <w:kern w:val="0"/>
      <w:szCs w:val="21"/>
    </w:rPr>
  </w:style>
  <w:style w:type="paragraph" w:customStyle="1" w:styleId="51">
    <w:name w:val="列出段落2"/>
    <w:basedOn w:val="1"/>
    <w:qFormat/>
    <w:uiPriority w:val="99"/>
    <w:pPr>
      <w:ind w:firstLine="420" w:firstLineChars="200"/>
    </w:pPr>
    <w:rPr>
      <w:szCs w:val="24"/>
    </w:rPr>
  </w:style>
  <w:style w:type="paragraph" w:customStyle="1" w:styleId="52">
    <w:name w:val="表格文字"/>
    <w:basedOn w:val="1"/>
    <w:next w:val="18"/>
    <w:qFormat/>
    <w:uiPriority w:val="0"/>
    <w:pPr>
      <w:adjustRightInd w:val="0"/>
      <w:spacing w:line="420" w:lineRule="atLeast"/>
      <w:jc w:val="left"/>
      <w:textAlignment w:val="baseline"/>
    </w:pPr>
    <w:rPr>
      <w:kern w:val="0"/>
    </w:rPr>
  </w:style>
  <w:style w:type="paragraph" w:customStyle="1" w:styleId="53">
    <w:name w:val="Default"/>
    <w:next w:val="5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4">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55">
    <w:name w:val="初设正文"/>
    <w:basedOn w:val="1"/>
    <w:link w:val="144"/>
    <w:qFormat/>
    <w:uiPriority w:val="0"/>
    <w:pPr>
      <w:ind w:firstLine="200" w:firstLineChars="200"/>
    </w:pPr>
    <w:rPr>
      <w:sz w:val="28"/>
      <w:szCs w:val="24"/>
    </w:rPr>
  </w:style>
  <w:style w:type="paragraph" w:customStyle="1" w:styleId="56">
    <w:name w:val="论文正文"/>
    <w:basedOn w:val="1"/>
    <w:qFormat/>
    <w:uiPriority w:val="0"/>
    <w:pPr>
      <w:spacing w:line="360" w:lineRule="auto"/>
      <w:ind w:firstLine="200" w:firstLineChars="200"/>
    </w:pPr>
    <w:rPr>
      <w:bCs/>
      <w:color w:val="000000"/>
      <w:sz w:val="28"/>
      <w:szCs w:val="36"/>
    </w:rPr>
  </w:style>
  <w:style w:type="paragraph" w:customStyle="1" w:styleId="57">
    <w:name w:val="my正文"/>
    <w:basedOn w:val="1"/>
    <w:qFormat/>
    <w:uiPriority w:val="0"/>
    <w:pPr>
      <w:spacing w:line="360" w:lineRule="auto"/>
      <w:ind w:firstLine="480" w:firstLineChars="200"/>
    </w:pPr>
    <w:rPr>
      <w:kern w:val="0"/>
      <w:sz w:val="24"/>
    </w:rPr>
  </w:style>
  <w:style w:type="paragraph" w:customStyle="1" w:styleId="58">
    <w:name w:val="样式2222"/>
    <w:basedOn w:val="1"/>
    <w:qFormat/>
    <w:uiPriority w:val="0"/>
    <w:pPr>
      <w:ind w:firstLine="200" w:firstLineChars="200"/>
    </w:pPr>
    <w:rPr>
      <w:rFonts w:ascii="Arial" w:hAnsi="Arial" w:eastAsia="华文中宋" w:cs="宋体"/>
      <w:sz w:val="24"/>
      <w:szCs w:val="24"/>
      <w:lang w:val="zh-CN"/>
    </w:rPr>
  </w:style>
  <w:style w:type="paragraph" w:customStyle="1" w:styleId="59">
    <w:name w:val="文档正文"/>
    <w:basedOn w:val="1"/>
    <w:link w:val="146"/>
    <w:qFormat/>
    <w:uiPriority w:val="0"/>
    <w:pPr>
      <w:adjustRightInd w:val="0"/>
      <w:spacing w:line="312" w:lineRule="atLeast"/>
      <w:ind w:firstLine="567"/>
      <w:textAlignment w:val="baseline"/>
    </w:pPr>
    <w:rPr>
      <w:kern w:val="0"/>
      <w:sz w:val="28"/>
    </w:rPr>
  </w:style>
  <w:style w:type="paragraph" w:customStyle="1" w:styleId="60">
    <w:name w:val="项目符号"/>
    <w:basedOn w:val="1"/>
    <w:qFormat/>
    <w:uiPriority w:val="0"/>
    <w:pPr>
      <w:widowControl/>
      <w:tabs>
        <w:tab w:val="left" w:pos="0"/>
        <w:tab w:val="left" w:pos="1200"/>
      </w:tabs>
      <w:overflowPunct w:val="0"/>
      <w:autoSpaceDE w:val="0"/>
      <w:autoSpaceDN w:val="0"/>
      <w:adjustRightInd w:val="0"/>
      <w:spacing w:before="20" w:after="20" w:line="360" w:lineRule="auto"/>
      <w:textAlignment w:val="baseline"/>
    </w:pPr>
    <w:rPr>
      <w:rFonts w:ascii="Arial" w:hAnsi="Arial"/>
      <w:kern w:val="0"/>
      <w:sz w:val="24"/>
      <w:szCs w:val="20"/>
    </w:rPr>
  </w:style>
  <w:style w:type="paragraph" w:customStyle="1" w:styleId="61">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62">
    <w:name w:val="列出段落4"/>
    <w:basedOn w:val="1"/>
    <w:qFormat/>
    <w:uiPriority w:val="0"/>
    <w:pPr>
      <w:ind w:firstLine="420" w:firstLineChars="200"/>
    </w:pPr>
    <w:rPr>
      <w:rFonts w:ascii="Calibri" w:hAnsi="Calibri" w:cs="黑体"/>
    </w:rPr>
  </w:style>
  <w:style w:type="paragraph" w:customStyle="1" w:styleId="63">
    <w:name w:val="_Style 13"/>
    <w:basedOn w:val="1"/>
    <w:qFormat/>
    <w:uiPriority w:val="34"/>
    <w:pPr>
      <w:ind w:firstLine="420" w:firstLineChars="200"/>
    </w:pPr>
  </w:style>
  <w:style w:type="paragraph" w:customStyle="1" w:styleId="64">
    <w:name w:val="报告正文"/>
    <w:basedOn w:val="1"/>
    <w:qFormat/>
    <w:uiPriority w:val="0"/>
    <w:pPr>
      <w:spacing w:line="360" w:lineRule="auto"/>
      <w:ind w:firstLine="200" w:firstLineChars="200"/>
    </w:pPr>
    <w:rPr>
      <w:sz w:val="28"/>
    </w:rPr>
  </w:style>
  <w:style w:type="paragraph" w:customStyle="1" w:styleId="65">
    <w:name w:val="二级标题"/>
    <w:basedOn w:val="4"/>
    <w:next w:val="64"/>
    <w:qFormat/>
    <w:uiPriority w:val="0"/>
    <w:pPr>
      <w:tabs>
        <w:tab w:val="left" w:pos="680"/>
      </w:tabs>
      <w:spacing w:before="0" w:after="0" w:line="480" w:lineRule="auto"/>
      <w:ind w:left="567" w:hanging="567"/>
      <w:jc w:val="left"/>
    </w:pPr>
    <w:rPr>
      <w:rFonts w:ascii="Times New Roman" w:hAnsi="Times New Roman" w:eastAsia="华文中宋"/>
      <w:sz w:val="28"/>
    </w:rPr>
  </w:style>
  <w:style w:type="paragraph" w:customStyle="1" w:styleId="6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Cs w:val="28"/>
      <w:lang w:val="en-US" w:eastAsia="zh-CN" w:bidi="ar-SA"/>
    </w:rPr>
  </w:style>
  <w:style w:type="paragraph" w:customStyle="1" w:styleId="67">
    <w:name w:val="a应急方案正文"/>
    <w:basedOn w:val="1"/>
    <w:qFormat/>
    <w:uiPriority w:val="0"/>
    <w:pPr>
      <w:widowControl/>
      <w:spacing w:line="360" w:lineRule="auto"/>
      <w:ind w:firstLine="200" w:firstLineChars="200"/>
      <w:jc w:val="left"/>
    </w:pPr>
    <w:rPr>
      <w:rFonts w:ascii="Arial" w:hAnsi="Arial" w:eastAsia="仿宋_GB2312"/>
      <w:kern w:val="0"/>
      <w:sz w:val="28"/>
      <w:szCs w:val="28"/>
      <w:lang w:eastAsia="en-US"/>
    </w:rPr>
  </w:style>
  <w:style w:type="paragraph" w:customStyle="1" w:styleId="68">
    <w:name w:val="_Style 9"/>
    <w:basedOn w:val="3"/>
    <w:next w:val="1"/>
    <w:qFormat/>
    <w:uiPriority w:val="0"/>
    <w:pPr>
      <w:widowControl/>
      <w:spacing w:line="276" w:lineRule="auto"/>
      <w:jc w:val="left"/>
      <w:outlineLvl w:val="9"/>
    </w:pPr>
    <w:rPr>
      <w:rFonts w:ascii="Cambria" w:hAnsi="Cambria"/>
      <w:color w:val="365F91"/>
      <w:kern w:val="0"/>
      <w:sz w:val="28"/>
      <w:szCs w:val="28"/>
    </w:rPr>
  </w:style>
  <w:style w:type="paragraph" w:customStyle="1" w:styleId="69">
    <w:name w:val="Normal Indent1"/>
    <w:basedOn w:val="1"/>
    <w:qFormat/>
    <w:uiPriority w:val="0"/>
    <w:pPr>
      <w:ind w:firstLine="420" w:firstLineChars="200"/>
    </w:pPr>
  </w:style>
  <w:style w:type="paragraph" w:customStyle="1" w:styleId="70">
    <w:name w:val="默认段落字体 Para Char Char Char Char Char Char Char Char Char1 Char Char Char Char"/>
    <w:basedOn w:val="1"/>
    <w:qFormat/>
    <w:uiPriority w:val="0"/>
    <w:rPr>
      <w:rFonts w:ascii="Tahoma" w:hAnsi="Tahoma"/>
      <w:sz w:val="24"/>
      <w:szCs w:val="20"/>
    </w:rPr>
  </w:style>
  <w:style w:type="paragraph" w:customStyle="1" w:styleId="71">
    <w:name w:val="_Style 4"/>
    <w:basedOn w:val="1"/>
    <w:qFormat/>
    <w:uiPriority w:val="34"/>
    <w:pPr>
      <w:ind w:firstLine="420" w:firstLineChars="200"/>
    </w:pPr>
    <w:rPr>
      <w:szCs w:val="24"/>
    </w:rPr>
  </w:style>
  <w:style w:type="paragraph" w:customStyle="1" w:styleId="72">
    <w:name w:val="一级标题"/>
    <w:basedOn w:val="3"/>
    <w:next w:val="64"/>
    <w:qFormat/>
    <w:uiPriority w:val="0"/>
    <w:pPr>
      <w:tabs>
        <w:tab w:val="left" w:pos="425"/>
      </w:tabs>
      <w:spacing w:before="0" w:after="0" w:line="480" w:lineRule="auto"/>
      <w:ind w:left="425" w:hanging="137"/>
      <w:jc w:val="center"/>
    </w:pPr>
    <w:rPr>
      <w:rFonts w:ascii="Calibri" w:hAnsi="Calibri" w:eastAsia="华文中宋"/>
      <w:sz w:val="30"/>
    </w:rPr>
  </w:style>
  <w:style w:type="paragraph" w:customStyle="1" w:styleId="73">
    <w:name w:val="_Style 5"/>
    <w:basedOn w:val="1"/>
    <w:qFormat/>
    <w:uiPriority w:val="34"/>
    <w:pPr>
      <w:ind w:firstLine="420" w:firstLineChars="200"/>
    </w:pPr>
  </w:style>
  <w:style w:type="paragraph" w:customStyle="1" w:styleId="74">
    <w:name w:val="纯文本1"/>
    <w:basedOn w:val="1"/>
    <w:qFormat/>
    <w:uiPriority w:val="0"/>
    <w:pPr>
      <w:widowControl/>
      <w:jc w:val="left"/>
    </w:pPr>
    <w:rPr>
      <w:rFonts w:ascii="宋体" w:hAnsi="Courier New"/>
      <w:kern w:val="0"/>
      <w:sz w:val="20"/>
      <w:szCs w:val="20"/>
      <w:lang w:eastAsia="en-US" w:bidi="en-US"/>
    </w:rPr>
  </w:style>
  <w:style w:type="paragraph" w:customStyle="1" w:styleId="75">
    <w:name w:val="工可正文"/>
    <w:basedOn w:val="1"/>
    <w:qFormat/>
    <w:uiPriority w:val="0"/>
    <w:pPr>
      <w:adjustRightInd w:val="0"/>
      <w:ind w:firstLine="560" w:firstLineChars="200"/>
    </w:pPr>
    <w:rPr>
      <w:rFonts w:hAnsi="Arial"/>
      <w:kern w:val="0"/>
      <w:sz w:val="28"/>
      <w:szCs w:val="28"/>
    </w:rPr>
  </w:style>
  <w:style w:type="paragraph" w:customStyle="1" w:styleId="76">
    <w:name w:val="无间隔1"/>
    <w:qFormat/>
    <w:uiPriority w:val="0"/>
    <w:pPr>
      <w:widowControl w:val="0"/>
      <w:jc w:val="both"/>
    </w:pPr>
    <w:rPr>
      <w:rFonts w:ascii="Times New Roman" w:hAnsi="Times New Roman" w:eastAsia="宋体" w:cs="Times New Roman"/>
      <w:kern w:val="2"/>
      <w:sz w:val="24"/>
      <w:szCs w:val="22"/>
      <w:lang w:val="en-US" w:eastAsia="zh-CN" w:bidi="ar-SA"/>
    </w:rPr>
  </w:style>
  <w:style w:type="paragraph" w:customStyle="1" w:styleId="77">
    <w:name w:val="列出段落3"/>
    <w:basedOn w:val="1"/>
    <w:qFormat/>
    <w:uiPriority w:val="34"/>
    <w:pPr>
      <w:ind w:firstLine="420" w:firstLineChars="200"/>
    </w:pPr>
  </w:style>
  <w:style w:type="paragraph" w:customStyle="1" w:styleId="78">
    <w:name w:val="[Normal]"/>
    <w:qFormat/>
    <w:uiPriority w:val="0"/>
    <w:rPr>
      <w:rFonts w:ascii="宋体" w:hAnsi="宋体" w:eastAsia="宋体" w:cs="Times New Roman"/>
      <w:sz w:val="24"/>
      <w:szCs w:val="22"/>
      <w:lang w:val="zh-CN" w:eastAsia="zh-CN" w:bidi="ar-SA"/>
    </w:rPr>
  </w:style>
  <w:style w:type="paragraph" w:customStyle="1" w:styleId="79">
    <w:name w:val="表中文字"/>
    <w:basedOn w:val="13"/>
    <w:qFormat/>
    <w:uiPriority w:val="0"/>
    <w:pPr>
      <w:spacing w:line="400" w:lineRule="exact"/>
      <w:ind w:firstLine="0" w:firstLineChars="0"/>
    </w:pPr>
    <w:rPr>
      <w:rFonts w:eastAsia="仿宋_GB2312"/>
      <w:sz w:val="28"/>
      <w:szCs w:val="20"/>
    </w:rPr>
  </w:style>
  <w:style w:type="paragraph" w:customStyle="1" w:styleId="80">
    <w:name w:val="正文2"/>
    <w:basedOn w:val="1"/>
    <w:qFormat/>
    <w:uiPriority w:val="0"/>
    <w:pPr>
      <w:spacing w:line="360" w:lineRule="auto"/>
      <w:ind w:firstLine="510" w:firstLineChars="200"/>
    </w:pPr>
    <w:rPr>
      <w:sz w:val="24"/>
      <w:szCs w:val="20"/>
    </w:rPr>
  </w:style>
  <w:style w:type="paragraph" w:customStyle="1" w:styleId="81">
    <w:name w:val="报告格式—正文"/>
    <w:basedOn w:val="1"/>
    <w:qFormat/>
    <w:uiPriority w:val="0"/>
    <w:pPr>
      <w:spacing w:beforeLines="50" w:afterLines="50" w:line="480" w:lineRule="auto"/>
      <w:jc w:val="center"/>
    </w:pPr>
    <w:rPr>
      <w:rFonts w:ascii="黑体" w:hAnsi="华文中宋" w:eastAsia="黑体"/>
      <w:b/>
      <w:spacing w:val="6"/>
      <w:sz w:val="44"/>
      <w:szCs w:val="44"/>
    </w:rPr>
  </w:style>
  <w:style w:type="paragraph" w:customStyle="1" w:styleId="82">
    <w:name w:val="_Style 14"/>
    <w:basedOn w:val="1"/>
    <w:qFormat/>
    <w:uiPriority w:val="34"/>
    <w:pPr>
      <w:ind w:firstLine="420" w:firstLineChars="200"/>
    </w:pPr>
  </w:style>
  <w:style w:type="paragraph" w:customStyle="1" w:styleId="83">
    <w:name w:val="p0"/>
    <w:basedOn w:val="1"/>
    <w:qFormat/>
    <w:uiPriority w:val="0"/>
    <w:pPr>
      <w:widowControl/>
      <w:spacing w:before="100" w:beforeAutospacing="1" w:after="100" w:afterAutospacing="1"/>
      <w:jc w:val="left"/>
    </w:pPr>
    <w:rPr>
      <w:rFonts w:ascii="宋体" w:hAnsi="宋体"/>
      <w:kern w:val="0"/>
      <w:sz w:val="24"/>
    </w:rPr>
  </w:style>
  <w:style w:type="paragraph" w:customStyle="1" w:styleId="84">
    <w:name w:val="_Style 10"/>
    <w:basedOn w:val="1"/>
    <w:qFormat/>
    <w:uiPriority w:val="34"/>
    <w:pPr>
      <w:ind w:firstLine="420" w:firstLineChars="200"/>
    </w:pPr>
  </w:style>
  <w:style w:type="paragraph" w:customStyle="1" w:styleId="85">
    <w:name w:val="列出段落1"/>
    <w:basedOn w:val="1"/>
    <w:qFormat/>
    <w:uiPriority w:val="99"/>
    <w:pPr>
      <w:ind w:firstLine="420" w:firstLineChars="200"/>
    </w:pPr>
  </w:style>
  <w:style w:type="paragraph" w:customStyle="1" w:styleId="86">
    <w:name w:val="hjxuhao"/>
    <w:basedOn w:val="1"/>
    <w:qFormat/>
    <w:uiPriority w:val="0"/>
    <w:pPr>
      <w:numPr>
        <w:ilvl w:val="0"/>
        <w:numId w:val="2"/>
      </w:numPr>
      <w:tabs>
        <w:tab w:val="left" w:pos="360"/>
      </w:tabs>
      <w:spacing w:line="360" w:lineRule="auto"/>
    </w:pPr>
    <w:rPr>
      <w:snapToGrid w:val="0"/>
      <w:kern w:val="0"/>
      <w:sz w:val="24"/>
      <w:szCs w:val="24"/>
    </w:rPr>
  </w:style>
  <w:style w:type="paragraph" w:customStyle="1" w:styleId="87">
    <w:name w:val="_Style 11"/>
    <w:basedOn w:val="1"/>
    <w:qFormat/>
    <w:uiPriority w:val="34"/>
    <w:pPr>
      <w:ind w:firstLine="420" w:firstLineChars="200"/>
    </w:pPr>
    <w:rPr>
      <w:rFonts w:ascii="Calibri" w:hAnsi="Calibri"/>
      <w:kern w:val="0"/>
      <w:sz w:val="20"/>
    </w:rPr>
  </w:style>
  <w:style w:type="paragraph" w:customStyle="1" w:styleId="88">
    <w:name w:val="表编号"/>
    <w:basedOn w:val="1"/>
    <w:qFormat/>
    <w:uiPriority w:val="0"/>
    <w:pPr>
      <w:numPr>
        <w:ilvl w:val="0"/>
        <w:numId w:val="3"/>
      </w:numPr>
      <w:spacing w:line="360" w:lineRule="auto"/>
    </w:pPr>
    <w:rPr>
      <w:rFonts w:eastAsia="黑体"/>
      <w:b/>
      <w:sz w:val="24"/>
    </w:rPr>
  </w:style>
  <w:style w:type="paragraph" w:customStyle="1" w:styleId="89">
    <w:name w:val="列出段落11"/>
    <w:basedOn w:val="1"/>
    <w:qFormat/>
    <w:uiPriority w:val="34"/>
    <w:pPr>
      <w:ind w:firstLine="420" w:firstLineChars="200"/>
    </w:pPr>
    <w:rPr>
      <w:szCs w:val="24"/>
    </w:rPr>
  </w:style>
  <w:style w:type="paragraph" w:customStyle="1" w:styleId="90">
    <w:name w:val="样式 行距: 固定值 25 磅 首行缩进:  2 字符"/>
    <w:basedOn w:val="1"/>
    <w:qFormat/>
    <w:uiPriority w:val="0"/>
    <w:pPr>
      <w:adjustRightInd w:val="0"/>
      <w:spacing w:line="500" w:lineRule="exact"/>
      <w:ind w:firstLine="560" w:firstLineChars="200"/>
      <w:textAlignment w:val="baseline"/>
    </w:pPr>
    <w:rPr>
      <w:rFonts w:cs="宋体"/>
      <w:kern w:val="0"/>
      <w:sz w:val="28"/>
    </w:rPr>
  </w:style>
  <w:style w:type="paragraph" w:customStyle="1" w:styleId="91">
    <w:name w:val="三级标题"/>
    <w:basedOn w:val="5"/>
    <w:next w:val="64"/>
    <w:qFormat/>
    <w:uiPriority w:val="0"/>
    <w:pPr>
      <w:tabs>
        <w:tab w:val="left" w:pos="851"/>
        <w:tab w:val="left" w:pos="993"/>
      </w:tabs>
      <w:spacing w:before="0" w:after="0" w:line="415" w:lineRule="auto"/>
      <w:ind w:left="993" w:hanging="709"/>
      <w:jc w:val="left"/>
    </w:pPr>
    <w:rPr>
      <w:rFonts w:ascii="Calibri" w:hAnsi="Calibri" w:eastAsia="华文中宋"/>
      <w:sz w:val="24"/>
    </w:rPr>
  </w:style>
  <w:style w:type="paragraph" w:customStyle="1" w:styleId="92">
    <w:name w:val="a14"/>
    <w:basedOn w:val="1"/>
    <w:qFormat/>
    <w:uiPriority w:val="0"/>
    <w:pPr>
      <w:widowControl/>
      <w:spacing w:before="100" w:beforeAutospacing="1" w:after="100" w:afterAutospacing="1"/>
      <w:jc w:val="left"/>
    </w:pPr>
    <w:rPr>
      <w:rFonts w:ascii="宋体" w:hAnsi="宋体" w:cs="宋体"/>
      <w:kern w:val="0"/>
      <w:sz w:val="24"/>
    </w:rPr>
  </w:style>
  <w:style w:type="paragraph" w:customStyle="1" w:styleId="93">
    <w:name w:val="_Style 7"/>
    <w:basedOn w:val="1"/>
    <w:qFormat/>
    <w:uiPriority w:val="34"/>
    <w:pPr>
      <w:ind w:firstLine="420" w:firstLineChars="200"/>
    </w:pPr>
  </w:style>
  <w:style w:type="paragraph" w:customStyle="1" w:styleId="94">
    <w:name w:val="正文段"/>
    <w:basedOn w:val="1"/>
    <w:qFormat/>
    <w:uiPriority w:val="0"/>
    <w:pPr>
      <w:widowControl/>
      <w:snapToGrid w:val="0"/>
      <w:spacing w:afterLines="50"/>
      <w:ind w:firstLine="200" w:firstLineChars="200"/>
    </w:pPr>
    <w:rPr>
      <w:kern w:val="0"/>
      <w:sz w:val="24"/>
      <w:szCs w:val="20"/>
    </w:rPr>
  </w:style>
  <w:style w:type="paragraph" w:customStyle="1" w:styleId="95">
    <w:name w:val="本文正文"/>
    <w:basedOn w:val="1"/>
    <w:uiPriority w:val="99"/>
    <w:pPr>
      <w:spacing w:line="360" w:lineRule="auto"/>
    </w:pPr>
    <w:rPr>
      <w:rFonts w:ascii="仿宋" w:hAnsi="仿宋" w:eastAsia="仿宋"/>
      <w:kern w:val="0"/>
      <w:sz w:val="20"/>
      <w:szCs w:val="20"/>
    </w:rPr>
  </w:style>
  <w:style w:type="character" w:customStyle="1" w:styleId="96">
    <w:name w:val="ico-jiang"/>
    <w:basedOn w:val="36"/>
    <w:qFormat/>
    <w:uiPriority w:val="0"/>
  </w:style>
  <w:style w:type="character" w:customStyle="1" w:styleId="97">
    <w:name w:val="bds_more"/>
    <w:basedOn w:val="36"/>
    <w:qFormat/>
    <w:uiPriority w:val="0"/>
  </w:style>
  <w:style w:type="character" w:customStyle="1" w:styleId="98">
    <w:name w:val="font31"/>
    <w:uiPriority w:val="0"/>
    <w:rPr>
      <w:rFonts w:hint="eastAsia" w:ascii="宋体" w:hAnsi="宋体" w:eastAsia="宋体" w:cs="宋体"/>
      <w:color w:val="000000"/>
      <w:sz w:val="21"/>
      <w:szCs w:val="21"/>
      <w:u w:val="none"/>
    </w:rPr>
  </w:style>
  <w:style w:type="character" w:customStyle="1" w:styleId="99">
    <w:name w:val="no62"/>
    <w:basedOn w:val="36"/>
    <w:qFormat/>
    <w:uiPriority w:val="0"/>
  </w:style>
  <w:style w:type="character" w:customStyle="1" w:styleId="100">
    <w:name w:val="ui-bz-bg-hover1"/>
    <w:basedOn w:val="36"/>
    <w:qFormat/>
    <w:uiPriority w:val="0"/>
  </w:style>
  <w:style w:type="character" w:customStyle="1" w:styleId="101">
    <w:name w:val="tip8"/>
    <w:qFormat/>
    <w:uiPriority w:val="0"/>
    <w:rPr>
      <w:vanish/>
      <w:color w:val="FF0000"/>
      <w:sz w:val="18"/>
      <w:szCs w:val="18"/>
    </w:rPr>
  </w:style>
  <w:style w:type="character" w:customStyle="1" w:styleId="102">
    <w:name w:val="标题 3 字符"/>
    <w:link w:val="5"/>
    <w:uiPriority w:val="9"/>
    <w:rPr>
      <w:rFonts w:ascii="Calibri" w:hAnsi="Calibri"/>
      <w:b/>
      <w:kern w:val="2"/>
      <w:sz w:val="32"/>
      <w:szCs w:val="22"/>
    </w:rPr>
  </w:style>
  <w:style w:type="character" w:customStyle="1" w:styleId="103">
    <w:name w:val="my-notice1"/>
    <w:basedOn w:val="36"/>
    <w:qFormat/>
    <w:uiPriority w:val="0"/>
  </w:style>
  <w:style w:type="character" w:customStyle="1" w:styleId="104">
    <w:name w:val="no5"/>
    <w:basedOn w:val="36"/>
    <w:qFormat/>
    <w:uiPriority w:val="0"/>
  </w:style>
  <w:style w:type="character" w:customStyle="1" w:styleId="105">
    <w:name w:val="标题 9 字符"/>
    <w:link w:val="11"/>
    <w:uiPriority w:val="9"/>
    <w:rPr>
      <w:rFonts w:ascii="Arial" w:hAnsi="Arial" w:eastAsia="黑体"/>
      <w:sz w:val="28"/>
    </w:rPr>
  </w:style>
  <w:style w:type="character" w:customStyle="1" w:styleId="106">
    <w:name w:val="页眉 字符"/>
    <w:link w:val="24"/>
    <w:qFormat/>
    <w:uiPriority w:val="0"/>
    <w:rPr>
      <w:rFonts w:ascii="Calibri" w:hAnsi="Calibri"/>
      <w:kern w:val="2"/>
      <w:sz w:val="18"/>
      <w:szCs w:val="18"/>
    </w:rPr>
  </w:style>
  <w:style w:type="character" w:customStyle="1" w:styleId="107">
    <w:name w:val="标题 6 字符"/>
    <w:link w:val="8"/>
    <w:uiPriority w:val="9"/>
    <w:rPr>
      <w:rFonts w:ascii="Arial" w:hAnsi="Arial" w:eastAsia="黑体"/>
      <w:b/>
      <w:sz w:val="28"/>
    </w:rPr>
  </w:style>
  <w:style w:type="character" w:customStyle="1" w:styleId="108">
    <w:name w:val="批注文字 字符"/>
    <w:link w:val="16"/>
    <w:uiPriority w:val="99"/>
    <w:rPr>
      <w:rFonts w:hAnsi="Calibri"/>
      <w:kern w:val="2"/>
      <w:sz w:val="21"/>
      <w:szCs w:val="24"/>
    </w:rPr>
  </w:style>
  <w:style w:type="character" w:customStyle="1" w:styleId="109">
    <w:name w:val="纯文本 Char2"/>
    <w:uiPriority w:val="0"/>
    <w:rPr>
      <w:rFonts w:ascii="宋体" w:hAnsi="Courier New"/>
      <w:kern w:val="2"/>
      <w:sz w:val="24"/>
      <w:szCs w:val="24"/>
    </w:rPr>
  </w:style>
  <w:style w:type="character" w:customStyle="1" w:styleId="110">
    <w:name w:val="标题 8 字符"/>
    <w:link w:val="10"/>
    <w:uiPriority w:val="9"/>
    <w:rPr>
      <w:rFonts w:ascii="Arial" w:hAnsi="Arial" w:eastAsia="黑体"/>
      <w:sz w:val="28"/>
    </w:rPr>
  </w:style>
  <w:style w:type="character" w:customStyle="1" w:styleId="111">
    <w:name w:val="文档结构图 字符"/>
    <w:link w:val="15"/>
    <w:qFormat/>
    <w:uiPriority w:val="99"/>
    <w:rPr>
      <w:rFonts w:ascii="宋体" w:hAnsi="Calibri"/>
      <w:kern w:val="2"/>
      <w:sz w:val="18"/>
      <w:szCs w:val="18"/>
    </w:rPr>
  </w:style>
  <w:style w:type="character" w:customStyle="1" w:styleId="112">
    <w:name w:val="标题 1 字符"/>
    <w:link w:val="3"/>
    <w:uiPriority w:val="9"/>
    <w:rPr>
      <w:rFonts w:ascii="Calibri" w:hAnsi="Calibri"/>
      <w:b/>
      <w:bCs/>
      <w:kern w:val="44"/>
      <w:sz w:val="44"/>
      <w:szCs w:val="44"/>
    </w:rPr>
  </w:style>
  <w:style w:type="character" w:customStyle="1" w:styleId="113">
    <w:name w:val="font41"/>
    <w:uiPriority w:val="0"/>
    <w:rPr>
      <w:rFonts w:hint="eastAsia" w:ascii="宋体" w:hAnsi="宋体" w:eastAsia="宋体" w:cs="宋体"/>
      <w:color w:val="000000"/>
      <w:sz w:val="22"/>
      <w:szCs w:val="22"/>
      <w:u w:val="none"/>
    </w:rPr>
  </w:style>
  <w:style w:type="character" w:customStyle="1" w:styleId="114">
    <w:name w:val="标题 5 字符"/>
    <w:link w:val="7"/>
    <w:uiPriority w:val="9"/>
    <w:rPr>
      <w:rFonts w:ascii="Calibri" w:hAnsi="Calibri"/>
      <w:b/>
      <w:kern w:val="2"/>
      <w:sz w:val="28"/>
      <w:szCs w:val="22"/>
    </w:rPr>
  </w:style>
  <w:style w:type="character" w:customStyle="1" w:styleId="115">
    <w:name w:val="no42"/>
    <w:basedOn w:val="36"/>
    <w:uiPriority w:val="0"/>
  </w:style>
  <w:style w:type="character" w:customStyle="1" w:styleId="116">
    <w:name w:val="正文文本 字符"/>
    <w:link w:val="18"/>
    <w:uiPriority w:val="0"/>
    <w:rPr>
      <w:rFonts w:ascii="Calibri" w:hAnsi="Calibri"/>
      <w:kern w:val="2"/>
      <w:sz w:val="21"/>
      <w:szCs w:val="22"/>
    </w:rPr>
  </w:style>
  <w:style w:type="character" w:customStyle="1" w:styleId="117">
    <w:name w:val="bds_more2"/>
    <w:qFormat/>
    <w:uiPriority w:val="0"/>
    <w:rPr>
      <w:rFonts w:hint="eastAsia" w:ascii="宋体" w:hAnsi="宋体" w:eastAsia="宋体" w:cs="宋体"/>
    </w:rPr>
  </w:style>
  <w:style w:type="character" w:customStyle="1" w:styleId="118">
    <w:name w:val="标题 2 字符"/>
    <w:link w:val="4"/>
    <w:qFormat/>
    <w:uiPriority w:val="0"/>
    <w:rPr>
      <w:rFonts w:ascii="Arial" w:hAnsi="Arial" w:eastAsia="黑体"/>
      <w:b/>
      <w:bCs/>
      <w:kern w:val="2"/>
      <w:sz w:val="32"/>
      <w:szCs w:val="32"/>
    </w:rPr>
  </w:style>
  <w:style w:type="character" w:customStyle="1" w:styleId="119">
    <w:name w:val="font11"/>
    <w:uiPriority w:val="0"/>
    <w:rPr>
      <w:rFonts w:hint="eastAsia" w:ascii="宋体" w:hAnsi="宋体" w:eastAsia="宋体" w:cs="宋体"/>
      <w:color w:val="000000"/>
      <w:sz w:val="21"/>
      <w:szCs w:val="21"/>
      <w:u w:val="none"/>
    </w:rPr>
  </w:style>
  <w:style w:type="character" w:customStyle="1" w:styleId="120">
    <w:name w:val="f-star"/>
    <w:qFormat/>
    <w:uiPriority w:val="0"/>
    <w:rPr>
      <w:color w:val="999999"/>
      <w:sz w:val="21"/>
      <w:szCs w:val="21"/>
    </w:rPr>
  </w:style>
  <w:style w:type="character" w:customStyle="1" w:styleId="121">
    <w:name w:val="正文文本 3 字符"/>
    <w:link w:val="17"/>
    <w:qFormat/>
    <w:uiPriority w:val="0"/>
    <w:rPr>
      <w:rFonts w:ascii="Calibri" w:hAnsi="宋体" w:eastAsia="仿宋_GB2312"/>
      <w:b/>
      <w:bCs/>
      <w:kern w:val="2"/>
      <w:sz w:val="24"/>
    </w:rPr>
  </w:style>
  <w:style w:type="character" w:customStyle="1" w:styleId="122">
    <w:name w:val="my-class"/>
    <w:basedOn w:val="36"/>
    <w:qFormat/>
    <w:uiPriority w:val="0"/>
  </w:style>
  <w:style w:type="character" w:customStyle="1" w:styleId="123">
    <w:name w:val="正文文本首行缩进 字符"/>
    <w:basedOn w:val="116"/>
    <w:link w:val="32"/>
    <w:uiPriority w:val="99"/>
    <w:rPr>
      <w:rFonts w:ascii="Calibri" w:hAnsi="Calibri"/>
      <w:kern w:val="2"/>
      <w:sz w:val="21"/>
      <w:szCs w:val="22"/>
    </w:rPr>
  </w:style>
  <w:style w:type="character" w:customStyle="1" w:styleId="124">
    <w:name w:val="top-icon"/>
    <w:basedOn w:val="36"/>
    <w:qFormat/>
    <w:uiPriority w:val="0"/>
  </w:style>
  <w:style w:type="character" w:customStyle="1" w:styleId="125">
    <w:name w:val="正文缩进 字符"/>
    <w:link w:val="13"/>
    <w:uiPriority w:val="0"/>
    <w:rPr>
      <w:rFonts w:ascii="Calibri" w:hAnsi="Calibri"/>
      <w:kern w:val="2"/>
      <w:sz w:val="21"/>
      <w:szCs w:val="22"/>
    </w:rPr>
  </w:style>
  <w:style w:type="character" w:customStyle="1" w:styleId="126">
    <w:name w:val="org_name"/>
    <w:basedOn w:val="36"/>
    <w:qFormat/>
    <w:uiPriority w:val="0"/>
  </w:style>
  <w:style w:type="character" w:customStyle="1" w:styleId="127">
    <w:name w:val="t-tag"/>
    <w:qFormat/>
    <w:uiPriority w:val="0"/>
    <w:rPr>
      <w:color w:val="FFFFFF"/>
      <w:sz w:val="18"/>
      <w:szCs w:val="18"/>
      <w:shd w:val="clear" w:color="auto" w:fill="FE8833"/>
    </w:rPr>
  </w:style>
  <w:style w:type="character" w:customStyle="1" w:styleId="128">
    <w:name w:val="标题 4 字符"/>
    <w:link w:val="6"/>
    <w:uiPriority w:val="9"/>
    <w:rPr>
      <w:rFonts w:ascii="Arial" w:hAnsi="Arial" w:eastAsia="黑体"/>
      <w:b/>
      <w:kern w:val="2"/>
      <w:sz w:val="28"/>
      <w:szCs w:val="22"/>
    </w:rPr>
  </w:style>
  <w:style w:type="character" w:customStyle="1" w:styleId="129">
    <w:name w:val="正文文本 2 字符"/>
    <w:link w:val="28"/>
    <w:qFormat/>
    <w:uiPriority w:val="0"/>
    <w:rPr>
      <w:rFonts w:ascii="宋体" w:hAnsi="宋体"/>
      <w:color w:val="000000"/>
      <w:kern w:val="2"/>
      <w:sz w:val="24"/>
      <w:szCs w:val="24"/>
    </w:rPr>
  </w:style>
  <w:style w:type="character" w:customStyle="1" w:styleId="130">
    <w:name w:val="纯文本 字符"/>
    <w:link w:val="20"/>
    <w:qFormat/>
    <w:uiPriority w:val="0"/>
    <w:rPr>
      <w:rFonts w:ascii="宋体" w:hAnsi="Courier New"/>
      <w:kern w:val="2"/>
      <w:sz w:val="24"/>
      <w:szCs w:val="24"/>
    </w:rPr>
  </w:style>
  <w:style w:type="character" w:customStyle="1" w:styleId="131">
    <w:name w:val="org_name2"/>
    <w:basedOn w:val="36"/>
    <w:qFormat/>
    <w:uiPriority w:val="0"/>
  </w:style>
  <w:style w:type="character" w:customStyle="1" w:styleId="132">
    <w:name w:val="ico-jiang1"/>
    <w:basedOn w:val="36"/>
    <w:qFormat/>
    <w:uiPriority w:val="0"/>
  </w:style>
  <w:style w:type="character" w:customStyle="1" w:styleId="133">
    <w:name w:val="标题 1 Char Char"/>
    <w:qFormat/>
    <w:uiPriority w:val="0"/>
    <w:rPr>
      <w:rFonts w:eastAsia="宋体"/>
      <w:b/>
      <w:spacing w:val="-2"/>
      <w:sz w:val="24"/>
      <w:lang w:val="en-US" w:eastAsia="zh-CN" w:bidi="ar-SA"/>
    </w:rPr>
  </w:style>
  <w:style w:type="character" w:customStyle="1" w:styleId="134">
    <w:name w:val="font21"/>
    <w:uiPriority w:val="0"/>
    <w:rPr>
      <w:rFonts w:hint="eastAsia" w:ascii="宋体" w:hAnsi="宋体" w:eastAsia="宋体" w:cs="宋体"/>
      <w:color w:val="000000"/>
      <w:sz w:val="21"/>
      <w:szCs w:val="21"/>
      <w:u w:val="none"/>
    </w:rPr>
  </w:style>
  <w:style w:type="character" w:customStyle="1" w:styleId="135">
    <w:name w:val="bds_more1"/>
    <w:basedOn w:val="36"/>
    <w:qFormat/>
    <w:uiPriority w:val="0"/>
  </w:style>
  <w:style w:type="character" w:customStyle="1" w:styleId="136">
    <w:name w:val="批注主题 字符"/>
    <w:link w:val="31"/>
    <w:uiPriority w:val="0"/>
    <w:rPr>
      <w:rFonts w:ascii="Calibri" w:hAnsi="Calibri"/>
      <w:b/>
      <w:bCs/>
      <w:kern w:val="2"/>
      <w:sz w:val="21"/>
      <w:szCs w:val="22"/>
    </w:rPr>
  </w:style>
  <w:style w:type="character" w:customStyle="1" w:styleId="137">
    <w:name w:val="正文文本缩进 字符"/>
    <w:link w:val="2"/>
    <w:qFormat/>
    <w:uiPriority w:val="0"/>
    <w:rPr>
      <w:rFonts w:ascii="宋体" w:hAnsi="Courier New"/>
      <w:spacing w:val="-4"/>
      <w:kern w:val="2"/>
      <w:sz w:val="18"/>
    </w:rPr>
  </w:style>
  <w:style w:type="character" w:customStyle="1" w:styleId="138">
    <w:name w:val="no52"/>
    <w:basedOn w:val="36"/>
    <w:qFormat/>
    <w:uiPriority w:val="0"/>
  </w:style>
  <w:style w:type="character" w:customStyle="1" w:styleId="139">
    <w:name w:val="no72"/>
    <w:basedOn w:val="36"/>
    <w:qFormat/>
    <w:uiPriority w:val="0"/>
  </w:style>
  <w:style w:type="character" w:customStyle="1" w:styleId="140">
    <w:name w:val="bds_nopic1"/>
    <w:qFormat/>
    <w:uiPriority w:val="0"/>
    <w:rPr>
      <w:rFonts w:ascii="宋体 ! important" w:hAnsi="宋体 ! important" w:eastAsia="宋体 ! important" w:cs="宋体 ! important"/>
      <w:color w:val="454545"/>
      <w:sz w:val="21"/>
      <w:szCs w:val="21"/>
    </w:rPr>
  </w:style>
  <w:style w:type="character" w:customStyle="1" w:styleId="141">
    <w:name w:val="orange5"/>
    <w:qFormat/>
    <w:uiPriority w:val="0"/>
    <w:rPr>
      <w:color w:val="3FB58F"/>
    </w:rPr>
  </w:style>
  <w:style w:type="character" w:customStyle="1" w:styleId="142">
    <w:name w:val="批注框文本 字符"/>
    <w:link w:val="22"/>
    <w:qFormat/>
    <w:uiPriority w:val="99"/>
    <w:rPr>
      <w:rFonts w:ascii="Calibri" w:hAnsi="Calibri"/>
      <w:kern w:val="2"/>
      <w:sz w:val="18"/>
      <w:szCs w:val="18"/>
    </w:rPr>
  </w:style>
  <w:style w:type="character" w:customStyle="1" w:styleId="143">
    <w:name w:val="bds_nopic2"/>
    <w:basedOn w:val="36"/>
    <w:qFormat/>
    <w:uiPriority w:val="0"/>
  </w:style>
  <w:style w:type="character" w:customStyle="1" w:styleId="144">
    <w:name w:val="初设正文 Char"/>
    <w:link w:val="55"/>
    <w:uiPriority w:val="0"/>
    <w:rPr>
      <w:rFonts w:hAnsi="Calibri"/>
      <w:kern w:val="2"/>
      <w:sz w:val="28"/>
      <w:szCs w:val="24"/>
    </w:rPr>
  </w:style>
  <w:style w:type="character" w:customStyle="1" w:styleId="145">
    <w:name w:val="HTML 预设格式 字符"/>
    <w:link w:val="29"/>
    <w:uiPriority w:val="99"/>
    <w:rPr>
      <w:rFonts w:ascii="宋体" w:hAnsi="宋体" w:cs="宋体"/>
      <w:sz w:val="24"/>
      <w:szCs w:val="24"/>
    </w:rPr>
  </w:style>
  <w:style w:type="character" w:customStyle="1" w:styleId="146">
    <w:name w:val="文档正文 Char"/>
    <w:link w:val="59"/>
    <w:qFormat/>
    <w:uiPriority w:val="0"/>
    <w:rPr>
      <w:rFonts w:hAnsi="Calibri"/>
      <w:sz w:val="28"/>
      <w:szCs w:val="22"/>
    </w:rPr>
  </w:style>
  <w:style w:type="character" w:customStyle="1" w:styleId="147">
    <w:name w:val="日期 字符"/>
    <w:link w:val="21"/>
    <w:qFormat/>
    <w:uiPriority w:val="0"/>
    <w:rPr>
      <w:rFonts w:ascii="Calibri" w:hAnsi="Calibri" w:eastAsia="楷体_GB2312"/>
      <w:kern w:val="2"/>
      <w:sz w:val="32"/>
    </w:rPr>
  </w:style>
  <w:style w:type="character" w:customStyle="1" w:styleId="148">
    <w:name w:val="bds_nopic"/>
    <w:basedOn w:val="36"/>
    <w:qFormat/>
    <w:uiPriority w:val="0"/>
  </w:style>
  <w:style w:type="character" w:customStyle="1" w:styleId="149">
    <w:name w:val="页脚 字符"/>
    <w:link w:val="23"/>
    <w:qFormat/>
    <w:uiPriority w:val="99"/>
    <w:rPr>
      <w:rFonts w:ascii="Calibri" w:hAnsi="Calibri"/>
      <w:kern w:val="2"/>
      <w:sz w:val="18"/>
      <w:szCs w:val="18"/>
    </w:rPr>
  </w:style>
  <w:style w:type="character" w:customStyle="1" w:styleId="150">
    <w:name w:val="标题 7 字符"/>
    <w:link w:val="9"/>
    <w:uiPriority w:val="9"/>
    <w:rPr>
      <w:b/>
      <w:sz w:val="28"/>
    </w:rPr>
  </w:style>
  <w:style w:type="character" w:customStyle="1" w:styleId="151">
    <w:name w:val="ui-bz-bg-hover"/>
    <w:qFormat/>
    <w:uiPriority w:val="0"/>
    <w:rPr>
      <w:shd w:val="clear" w:color="auto" w:fill="000000"/>
    </w:rPr>
  </w:style>
  <w:style w:type="character" w:customStyle="1" w:styleId="152">
    <w:name w:val="orange"/>
    <w:qFormat/>
    <w:uiPriority w:val="0"/>
    <w:rPr>
      <w:color w:val="3FB58F"/>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header5.xml" Type="http://schemas.openxmlformats.org/officeDocument/2006/relationships/header"/><Relationship Id="rId12" Target="footer5.xml" Type="http://schemas.openxmlformats.org/officeDocument/2006/relationships/footer"/><Relationship Id="rId13" Target="footer6.xml" Type="http://schemas.openxmlformats.org/officeDocument/2006/relationships/footer"/><Relationship Id="rId14" Target="footer7.xml" Type="http://schemas.openxmlformats.org/officeDocument/2006/relationships/footer"/><Relationship Id="rId15" Target="header6.xml" Type="http://schemas.openxmlformats.org/officeDocument/2006/relationships/header"/><Relationship Id="rId16" Target="header7.xml" Type="http://schemas.openxmlformats.org/officeDocument/2006/relationships/header"/><Relationship Id="rId17" Target="footer8.xml" Type="http://schemas.openxmlformats.org/officeDocument/2006/relationships/footer"/><Relationship Id="rId18" Target="footer9.xml" Type="http://schemas.openxmlformats.org/officeDocument/2006/relationships/footer"/><Relationship Id="rId19" Target="footer10.xml" Type="http://schemas.openxmlformats.org/officeDocument/2006/relationships/footer"/><Relationship Id="rId2" Target="settings.xml" Type="http://schemas.openxmlformats.org/officeDocument/2006/relationships/settings"/><Relationship Id="rId20" Target="theme/theme1.xml" Type="http://schemas.openxmlformats.org/officeDocument/2006/relationships/theme"/><Relationship Id="rId21" Target="../customXml/item1.xml" Type="http://schemas.openxmlformats.org/officeDocument/2006/relationships/customXml"/><Relationship Id="rId22" Target="numbering.xml" Type="http://schemas.openxmlformats.org/officeDocument/2006/relationships/numbering"/><Relationship Id="rId23"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95</Pages>
  <Words>10016</Words>
  <Characters>57097</Characters>
  <Lines>475</Lines>
  <Paragraphs>133</Paragraphs>
  <TotalTime>78</TotalTime>
  <ScaleCrop>false</ScaleCrop>
  <LinksUpToDate>false</LinksUpToDate>
  <CharactersWithSpaces>66980</CharactersWithSpaces>
  <Application>WPS Office_11.1.0.9582_F1E327BC-269C-435d-A152-05C5408002CA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2020-10-14T00:45:00Z</dcterms:created>
  <dc:creator>陈熹</dc:creator>
  <cp:lastModifiedBy>。</cp:lastModifiedBy>
  <cp:lastPrinted>2019-05-13T03:42:00Z</cp:lastPrinted>
  <dcterms:modified xsi:type="dcterms:W3CDTF">2020-10-17T09:43:58Z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2052-11.1.0.9582</vt:lpwstr>
  </property>
</Properties>
</file>