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bookmarkStart w:id="401" w:name="_GoBack"/>
    </w:p>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p>
    <w:p>
      <w:pPr>
        <w:adjustRightInd/>
        <w:spacing w:line="360" w:lineRule="auto"/>
        <w:jc w:val="center"/>
        <w:rPr>
          <w:rFonts w:ascii="仿宋_GB2312" w:hAnsi="仿宋" w:eastAsia="仿宋_GB2312" w:cs="仿宋_GB2312"/>
          <w:b/>
          <w:color w:val="000000" w:themeColor="text1"/>
          <w:sz w:val="48"/>
          <w:szCs w:val="48"/>
          <w:highlight w:val="none"/>
          <w14:textFill>
            <w14:solidFill>
              <w14:schemeClr w14:val="tx1"/>
            </w14:solidFill>
          </w14:textFill>
        </w:rPr>
      </w:pPr>
    </w:p>
    <w:p>
      <w:pPr>
        <w:adjustRightInd/>
        <w:snapToGrid w:val="0"/>
        <w:spacing w:line="360" w:lineRule="auto"/>
        <w:jc w:val="center"/>
        <w:rPr>
          <w:rFonts w:ascii="仿宋" w:hAnsi="仿宋" w:eastAsia="仿宋" w:cs="仿宋"/>
          <w:color w:val="000000" w:themeColor="text1"/>
          <w:w w:val="80"/>
          <w:sz w:val="48"/>
          <w:szCs w:val="48"/>
          <w:highlight w:val="none"/>
          <w:lang w:bidi="th-TH"/>
          <w14:textFill>
            <w14:solidFill>
              <w14:schemeClr w14:val="tx1"/>
            </w14:solidFill>
          </w14:textFill>
        </w:rPr>
      </w:pPr>
      <w:r>
        <w:rPr>
          <w:rFonts w:hint="eastAsia" w:ascii="仿宋" w:hAnsi="仿宋" w:eastAsia="仿宋" w:cs="仿宋"/>
          <w:color w:val="000000" w:themeColor="text1"/>
          <w:w w:val="80"/>
          <w:sz w:val="48"/>
          <w:szCs w:val="48"/>
          <w:highlight w:val="none"/>
          <w:lang w:bidi="th-TH"/>
          <w14:textFill>
            <w14:solidFill>
              <w14:schemeClr w14:val="tx1"/>
            </w14:solidFill>
          </w14:textFill>
        </w:rPr>
        <w:t>食堂服务外包</w:t>
      </w:r>
    </w:p>
    <w:p>
      <w:pPr>
        <w:adjustRightInd/>
        <w:spacing w:line="360" w:lineRule="auto"/>
        <w:jc w:val="center"/>
        <w:rPr>
          <w:rFonts w:ascii="仿宋" w:hAnsi="仿宋" w:eastAsia="仿宋" w:cs="仿宋"/>
          <w:color w:val="000000" w:themeColor="text1"/>
          <w:sz w:val="48"/>
          <w:szCs w:val="48"/>
          <w:highlight w:val="none"/>
          <w14:textFill>
            <w14:solidFill>
              <w14:schemeClr w14:val="tx1"/>
            </w14:solidFill>
          </w14:textFill>
        </w:rPr>
      </w:pPr>
      <w:r>
        <w:rPr>
          <w:rFonts w:hint="eastAsia" w:ascii="仿宋" w:hAnsi="仿宋" w:eastAsia="仿宋" w:cs="仿宋"/>
          <w:color w:val="000000" w:themeColor="text1"/>
          <w:spacing w:val="40"/>
          <w:w w:val="80"/>
          <w:sz w:val="96"/>
          <w:szCs w:val="96"/>
          <w:highlight w:val="none"/>
          <w:lang w:bidi="th-TH"/>
          <w14:textFill>
            <w14:solidFill>
              <w14:schemeClr w14:val="tx1"/>
            </w14:solidFill>
          </w14:textFill>
        </w:rPr>
        <w:t>招 标 文 件</w:t>
      </w:r>
    </w:p>
    <w:p>
      <w:pPr>
        <w:adjustRightInd/>
        <w:snapToGrid w:val="0"/>
        <w:spacing w:line="360" w:lineRule="auto"/>
        <w:jc w:val="center"/>
        <w:rPr>
          <w:rFonts w:ascii="仿宋" w:hAnsi="仿宋" w:eastAsia="仿宋" w:cs="仿宋"/>
          <w:color w:val="000000" w:themeColor="text1"/>
          <w:w w:val="80"/>
          <w:sz w:val="48"/>
          <w:szCs w:val="48"/>
          <w:highlight w:val="none"/>
          <w:lang w:bidi="th-TH"/>
          <w14:textFill>
            <w14:solidFill>
              <w14:schemeClr w14:val="tx1"/>
            </w14:solidFill>
          </w14:textFill>
        </w:rPr>
      </w:pPr>
      <w:r>
        <w:rPr>
          <w:rFonts w:hint="eastAsia" w:ascii="仿宋" w:hAnsi="仿宋" w:eastAsia="仿宋" w:cs="仿宋"/>
          <w:color w:val="000000" w:themeColor="text1"/>
          <w:w w:val="80"/>
          <w:sz w:val="48"/>
          <w:szCs w:val="48"/>
          <w:highlight w:val="none"/>
          <w:lang w:bidi="th-TH"/>
          <w14:textFill>
            <w14:solidFill>
              <w14:schemeClr w14:val="tx1"/>
            </w14:solidFill>
          </w14:textFill>
        </w:rPr>
        <w:t>（电子招投标）</w:t>
      </w:r>
    </w:p>
    <w:p>
      <w:pPr>
        <w:adjustRightInd/>
        <w:snapToGrid w:val="0"/>
        <w:spacing w:line="360" w:lineRule="auto"/>
        <w:jc w:val="center"/>
        <w:rPr>
          <w:rFonts w:ascii="仿宋" w:hAnsi="仿宋" w:eastAsia="仿宋" w:cs="仿宋"/>
          <w:color w:val="000000" w:themeColor="text1"/>
          <w:w w:val="80"/>
          <w:sz w:val="30"/>
          <w:szCs w:val="30"/>
          <w:highlight w:val="none"/>
          <w:lang w:bidi="th-TH"/>
          <w14:textFill>
            <w14:solidFill>
              <w14:schemeClr w14:val="tx1"/>
            </w14:solidFill>
          </w14:textFill>
        </w:rPr>
      </w:pPr>
      <w:r>
        <w:rPr>
          <w:rFonts w:hint="eastAsia" w:ascii="仿宋" w:hAnsi="仿宋" w:eastAsia="仿宋" w:cs="仿宋"/>
          <w:color w:val="000000" w:themeColor="text1"/>
          <w:w w:val="80"/>
          <w:sz w:val="30"/>
          <w:szCs w:val="30"/>
          <w:highlight w:val="none"/>
          <w:lang w:bidi="th-TH"/>
          <w14:textFill>
            <w14:solidFill>
              <w14:schemeClr w14:val="tx1"/>
            </w14:solidFill>
          </w14:textFill>
        </w:rPr>
        <w:t>编号：ZJ-2133245-05</w:t>
      </w:r>
    </w:p>
    <w:p>
      <w:pPr>
        <w:adjustRightInd/>
        <w:spacing w:line="360" w:lineRule="auto"/>
        <w:rPr>
          <w:rFonts w:ascii="仿宋" w:hAnsi="仿宋" w:eastAsia="仿宋" w:cs="仿宋"/>
          <w:color w:val="000000" w:themeColor="text1"/>
          <w:sz w:val="28"/>
          <w:szCs w:val="20"/>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w:t>
      </w:r>
    </w:p>
    <w:p>
      <w:pPr>
        <w:pStyle w:val="25"/>
        <w:rPr>
          <w:color w:val="000000" w:themeColor="text1"/>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
          <w:color w:val="000000" w:themeColor="text1"/>
          <w:sz w:val="24"/>
          <w:highlight w:val="none"/>
          <w14:textFill>
            <w14:solidFill>
              <w14:schemeClr w14:val="tx1"/>
            </w14:solidFill>
          </w14:textFill>
        </w:rPr>
      </w:pPr>
    </w:p>
    <w:tbl>
      <w:tblPr>
        <w:tblStyle w:val="63"/>
        <w:tblW w:w="6959" w:type="dxa"/>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采购人</w:t>
            </w:r>
          </w:p>
        </w:tc>
        <w:tc>
          <w:tcPr>
            <w:tcW w:w="516"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w:t>
            </w:r>
          </w:p>
        </w:tc>
        <w:tc>
          <w:tcPr>
            <w:tcW w:w="4411"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宋体" w:hAnsi="宋体" w:eastAsia="仿宋" w:cs="宋体"/>
                <w:color w:val="000000" w:themeColor="text1"/>
                <w:sz w:val="30"/>
                <w:szCs w:val="30"/>
                <w:highlight w:val="none"/>
                <w14:textFill>
                  <w14:solidFill>
                    <w14:schemeClr w14:val="tx1"/>
                  </w14:solidFill>
                </w14:textFill>
              </w:rPr>
              <w:t>杭州市西溪医院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color w:val="000000" w:themeColor="text1"/>
                <w:szCs w:val="21"/>
                <w:highlight w:val="none"/>
                <w14:textFill>
                  <w14:solidFill>
                    <w14:schemeClr w14:val="tx1"/>
                  </w14:solidFill>
                </w14:textFill>
              </w:rPr>
            </w:pPr>
          </w:p>
        </w:tc>
        <w:tc>
          <w:tcPr>
            <w:tcW w:w="516" w:type="dxa"/>
            <w:vAlign w:val="center"/>
          </w:tcPr>
          <w:p>
            <w:pPr>
              <w:snapToGrid w:val="0"/>
              <w:jc w:val="distribute"/>
              <w:rPr>
                <w:rFonts w:ascii="仿宋" w:hAnsi="仿宋" w:eastAsia="仿宋" w:cs="仿宋"/>
                <w:color w:val="000000" w:themeColor="text1"/>
                <w:szCs w:val="21"/>
                <w:highlight w:val="none"/>
                <w14:textFill>
                  <w14:solidFill>
                    <w14:schemeClr w14:val="tx1"/>
                  </w14:solidFill>
                </w14:textFill>
              </w:rPr>
            </w:pPr>
          </w:p>
        </w:tc>
        <w:tc>
          <w:tcPr>
            <w:tcW w:w="4411" w:type="dxa"/>
            <w:vAlign w:val="center"/>
          </w:tcPr>
          <w:p>
            <w:pPr>
              <w:snapToGrid w:val="0"/>
              <w:jc w:val="distribute"/>
              <w:rPr>
                <w:rFonts w:ascii="仿宋" w:hAnsi="仿宋" w:eastAsia="仿宋" w:cs="仿宋"/>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采购代理机构</w:t>
            </w:r>
          </w:p>
        </w:tc>
        <w:tc>
          <w:tcPr>
            <w:tcW w:w="516"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w:t>
            </w:r>
          </w:p>
        </w:tc>
        <w:tc>
          <w:tcPr>
            <w:tcW w:w="4411"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2022年0</w:t>
            </w:r>
            <w:r>
              <w:rPr>
                <w:rFonts w:hint="eastAsia" w:ascii="仿宋" w:hAnsi="仿宋" w:eastAsia="仿宋" w:cs="仿宋"/>
                <w:color w:val="000000" w:themeColor="text1"/>
                <w:sz w:val="30"/>
                <w:szCs w:val="30"/>
                <w:highlight w:val="none"/>
                <w:lang w:val="en-US" w:eastAsia="zh-CN"/>
                <w14:textFill>
                  <w14:solidFill>
                    <w14:schemeClr w14:val="tx1"/>
                  </w14:solidFill>
                </w14:textFill>
              </w:rPr>
              <w:t>2</w:t>
            </w:r>
            <w:r>
              <w:rPr>
                <w:rFonts w:hint="eastAsia" w:ascii="仿宋" w:hAnsi="仿宋" w:eastAsia="仿宋" w:cs="仿宋"/>
                <w:color w:val="000000" w:themeColor="text1"/>
                <w:sz w:val="30"/>
                <w:szCs w:val="30"/>
                <w:highlight w:val="none"/>
                <w14:textFill>
                  <w14:solidFill>
                    <w14:schemeClr w14:val="tx1"/>
                  </w14:solidFill>
                </w14:textFill>
              </w:rPr>
              <w:t>月</w:t>
            </w:r>
          </w:p>
        </w:tc>
      </w:tr>
    </w:tbl>
    <w:p>
      <w:pPr>
        <w:rPr>
          <w:rFonts w:ascii="仿宋" w:hAnsi="仿宋" w:eastAsia="仿宋" w:cs="仿宋_GB2312"/>
          <w:b/>
          <w:color w:val="000000" w:themeColor="text1"/>
          <w:sz w:val="48"/>
          <w:szCs w:val="48"/>
          <w:highlight w:val="none"/>
          <w14:textFill>
            <w14:solidFill>
              <w14:schemeClr w14:val="tx1"/>
            </w14:solidFill>
          </w14:textFill>
        </w:rPr>
      </w:pPr>
      <w:bookmarkStart w:id="0" w:name="_Hlt67893495"/>
      <w:bookmarkEnd w:id="0"/>
      <w:r>
        <w:rPr>
          <w:rFonts w:hint="eastAsia" w:ascii="仿宋" w:hAnsi="仿宋" w:eastAsia="仿宋" w:cs="仿宋_GB2312"/>
          <w:b/>
          <w:color w:val="000000" w:themeColor="text1"/>
          <w:sz w:val="48"/>
          <w:szCs w:val="48"/>
          <w:highlight w:val="none"/>
          <w14:textFill>
            <w14:solidFill>
              <w14:schemeClr w14:val="tx1"/>
            </w14:solidFill>
          </w14:textFill>
        </w:rPr>
        <w:br w:type="page"/>
      </w: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r>
        <w:rPr>
          <w:rFonts w:hint="eastAsia" w:ascii="仿宋" w:hAnsi="仿宋" w:eastAsia="仿宋" w:cs="仿宋_GB2312"/>
          <w:b/>
          <w:color w:val="000000" w:themeColor="text1"/>
          <w:sz w:val="48"/>
          <w:szCs w:val="48"/>
          <w:highlight w:val="none"/>
          <w14:textFill>
            <w14:solidFill>
              <w14:schemeClr w14:val="tx1"/>
            </w14:solidFill>
          </w14:textFill>
        </w:rPr>
        <w:t>目</w:t>
      </w:r>
      <w:r>
        <w:rPr>
          <w:rFonts w:ascii="仿宋" w:hAnsi="仿宋" w:eastAsia="仿宋" w:cs="仿宋_GB2312"/>
          <w:b/>
          <w:color w:val="000000" w:themeColor="text1"/>
          <w:sz w:val="48"/>
          <w:szCs w:val="48"/>
          <w:highlight w:val="none"/>
          <w14:textFill>
            <w14:solidFill>
              <w14:schemeClr w14:val="tx1"/>
            </w14:solidFill>
          </w14:textFill>
        </w:rPr>
        <w:t xml:space="preserve">  </w:t>
      </w:r>
      <w:r>
        <w:rPr>
          <w:rFonts w:hint="eastAsia" w:ascii="仿宋" w:hAnsi="仿宋" w:eastAsia="仿宋" w:cs="仿宋_GB2312"/>
          <w:b/>
          <w:color w:val="000000" w:themeColor="text1"/>
          <w:sz w:val="48"/>
          <w:szCs w:val="48"/>
          <w:highlight w:val="none"/>
          <w14:textFill>
            <w14:solidFill>
              <w14:schemeClr w14:val="tx1"/>
            </w14:solidFill>
          </w14:textFill>
        </w:rPr>
        <w:t>录</w:t>
      </w: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第一部分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招标公告</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第二部分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投标人须知</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第三部分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采购需求</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第四部分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评标办法</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第五部分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拟签订的合同文本</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第六部分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应提交的有关格式范例</w:t>
      </w:r>
    </w:p>
    <w:p>
      <w:pPr>
        <w:spacing w:line="360" w:lineRule="auto"/>
        <w:rPr>
          <w:rFonts w:ascii="仿宋" w:hAnsi="仿宋" w:eastAsia="仿宋" w:cs="仿宋_GB2312"/>
          <w:color w:val="000000" w:themeColor="text1"/>
          <w:sz w:val="24"/>
          <w:highlight w:val="none"/>
          <w14:textFill>
            <w14:solidFill>
              <w14:schemeClr w14:val="tx1"/>
            </w14:solidFill>
          </w14:textFill>
        </w:rPr>
      </w:pPr>
      <w:bookmarkStart w:id="1" w:name="_Hlt91233176"/>
      <w:bookmarkEnd w:id="1"/>
      <w:bookmarkStart w:id="2" w:name="_Toc91899869"/>
    </w:p>
    <w:p>
      <w:pPr>
        <w:adjustRightInd/>
        <w:spacing w:line="360" w:lineRule="auto"/>
        <w:jc w:val="center"/>
        <w:outlineLvl w:val="0"/>
        <w:rPr>
          <w:rFonts w:hint="eastAsia" w:ascii="仿宋_GB2312" w:hAnsi="仿宋" w:eastAsia="仿宋_GB2312" w:cs="仿宋_GB2312"/>
          <w:b/>
          <w:color w:val="000000" w:themeColor="text1"/>
          <w:sz w:val="36"/>
          <w:szCs w:val="20"/>
          <w:highlight w:val="none"/>
          <w14:textFill>
            <w14:solidFill>
              <w14:schemeClr w14:val="tx1"/>
            </w14:solidFill>
          </w14:textFill>
        </w:rPr>
      </w:pPr>
      <w:bookmarkStart w:id="3" w:name="第一部分"/>
      <w:r>
        <w:rPr>
          <w:rFonts w:ascii="仿宋" w:hAnsi="仿宋" w:eastAsia="仿宋" w:cs="仿宋_GB2312"/>
          <w:b/>
          <w:color w:val="000000" w:themeColor="text1"/>
          <w:sz w:val="36"/>
          <w:szCs w:val="36"/>
          <w:highlight w:val="none"/>
          <w14:textFill>
            <w14:solidFill>
              <w14:schemeClr w14:val="tx1"/>
            </w14:solidFill>
          </w14:textFill>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000000" w:themeColor="text1"/>
          <w:sz w:val="36"/>
          <w:szCs w:val="20"/>
          <w:highlight w:val="none"/>
          <w14:textFill>
            <w14:solidFill>
              <w14:schemeClr w14:val="tx1"/>
            </w14:solidFill>
          </w14:textFill>
        </w:rPr>
        <w:t>第一部分</w:t>
      </w:r>
      <w:r>
        <w:rPr>
          <w:rFonts w:ascii="仿宋" w:hAnsi="仿宋" w:eastAsia="仿宋" w:cs="仿宋_GB2312"/>
          <w:b/>
          <w:color w:val="000000" w:themeColor="text1"/>
          <w:sz w:val="36"/>
          <w:szCs w:val="20"/>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20"/>
          <w:highlight w:val="none"/>
          <w14:textFill>
            <w14:solidFill>
              <w14:schemeClr w14:val="tx1"/>
            </w14:solidFill>
          </w14:textFill>
        </w:rPr>
        <w:t>招标公告</w:t>
      </w:r>
    </w:p>
    <w:p>
      <w:pPr>
        <w:rPr>
          <w:rFonts w:hint="default" w:ascii="Times New Roman" w:hAnsi="Times New Roman" w:eastAsia="仿宋" w:cs="Times New Roman"/>
          <w:color w:val="000000" w:themeColor="text1"/>
          <w:sz w:val="24"/>
          <w:szCs w:val="24"/>
          <w:highlight w:val="none"/>
          <w14:textFill>
            <w14:solidFill>
              <w14:schemeClr w14:val="tx1"/>
            </w14:solidFill>
          </w14:textFill>
        </w:rPr>
      </w:pP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项目概况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杭州市西溪医院食堂服务外包招标项目的潜在投标人应在政府采购云平台（www.zcygov.cn）获取（下载）招标文件，并于 2022年03月04日 14:00（北京时间）前递交（上传）投标文件。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一、项目基本情况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项目编号：ZJ-2133245-05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项目名称：杭州市西溪医院食堂服务外包</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预算金额（元）：13500000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最高限价（元）：/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采购需求：</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标项名称: 食堂服务外包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数量: 3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预算金额（元）: 13500000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简要规格描述或项目基本概况介绍、用途：详见采购文件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备注：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合同履约期限：标项 1，服务期3年（一年一签）</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本项目（否）接受联合体投标。</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二、申请人的资格要求：</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2.落实政府采购政策需满足的资格要求：标项1：供应商为中小企业/小微企业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3.本项目的特定资格要求：标项1：无。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三、获取招标文件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时间：/至2022年03月04日 ，每天上午00:00至12:00 ，下午12:00至23:59（北京时间，线上获取法定节假日均可，线下获取文件法定节假日除外）</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地点（网址）：政府采购云平台（www.zcygov.cn）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方式：供应商登录政采云平台https://www.zcygov.cn/在线申请获取采购文件（进入“项目采购”应用，在获取采购文件菜单中选择项目，申请获取采购文件）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售价（元）：0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四、提交投标文件截止时间、开标时间和地点</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提交投标文件截止时间：2022年03月04日 14:00（北京时间）</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投标地点（网址）：线上（政府采购云平台（www.zcygov.cn））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开标时间：2022年03月04日 14:00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开标地点（网址）：线上（政府采购云平台（www.zcygov.cn））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五、采购意向公开链接</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https://zfcg.czt.zj.gov.cn/innerUsed_noticeDetails/index.html?noticeId=8415075</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六、公告期限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自本公告发布之日起5个工作日。</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七、其他补充事宜</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2.其他事项：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2.其他事项：</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（1）需要落实的政府采购政策：包括节约资源、保护环境、支持创新、促进中小企业发展等。详见招标文件的第二部分总则。</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（4）本项目招标文件公告期限为本公告发布之日起5个工作日。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八、对本次采购提出询问、质疑、投诉，请按以下方式联系</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1.采购人信息</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名    称：杭州市西溪医院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    址：杭州市西湖区留下镇横埠街2号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传    真：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项目联系人（询问）：孙伟杰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项目联系方式（询问）：0571-86481825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质疑联系人：赵素芬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质疑联系方式：18072930690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2.采购代理机构信息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名    称：浙江国际招投标有限公司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    址：浙江省杭州市西湖区文三路90号东部软件园1号楼3楼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传    真：/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项目联系人（询问）：李博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项目联系方式（询问）：0571-81061817，13819182767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质疑联系人：苑洪春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质疑联系方式：0571-81061814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3.同级政府采购监督管理部门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名    称：杭州市财政局政府采购监管处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    址：杭州市中河中路152号617办公室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传    真：0571-87715261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联系人 ：吕先生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监督投诉电话：0571-87715261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CA问题联系电话（人工）：汇信CA 400-888-4636；天谷CA 400-087-8198。</w:t>
      </w:r>
    </w:p>
    <w:p>
      <w:pPr>
        <w:pStyle w:val="2"/>
        <w:spacing w:line="360" w:lineRule="auto"/>
        <w:rPr>
          <w:rFonts w:ascii="仿宋_GB2312" w:hAnsi="仿宋" w:eastAsia="仿宋_GB2312"/>
          <w:color w:val="000000" w:themeColor="text1"/>
          <w:sz w:val="24"/>
          <w:highlight w:val="none"/>
          <w14:textFill>
            <w14:solidFill>
              <w14:schemeClr w14:val="tx1"/>
            </w14:solidFill>
          </w14:textFill>
        </w:rPr>
      </w:pPr>
    </w:p>
    <w:p>
      <w:pPr>
        <w:adjustRightInd/>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ascii="仿宋" w:hAnsi="仿宋" w:eastAsia="仿宋" w:cs="仿宋_GB2312"/>
          <w:b/>
          <w:color w:val="000000" w:themeColor="text1"/>
          <w:sz w:val="36"/>
          <w:szCs w:val="20"/>
          <w:highlight w:val="none"/>
          <w14:textFill>
            <w14:solidFill>
              <w14:schemeClr w14:val="tx1"/>
            </w14:solidFill>
          </w14:textFill>
        </w:rPr>
        <w:br w:type="page"/>
      </w:r>
      <w:r>
        <w:rPr>
          <w:rFonts w:hint="eastAsia" w:ascii="仿宋" w:hAnsi="仿宋" w:eastAsia="仿宋" w:cs="仿宋_GB2312"/>
          <w:b/>
          <w:color w:val="000000" w:themeColor="text1"/>
          <w:sz w:val="36"/>
          <w:szCs w:val="20"/>
          <w:highlight w:val="none"/>
          <w14:textFill>
            <w14:solidFill>
              <w14:schemeClr w14:val="tx1"/>
            </w14:solidFill>
          </w14:textFill>
        </w:rPr>
        <w:t>第二部分</w:t>
      </w:r>
      <w:bookmarkEnd w:id="8"/>
      <w:r>
        <w:rPr>
          <w:rFonts w:ascii="仿宋" w:hAnsi="仿宋" w:eastAsia="仿宋" w:cs="仿宋_GB2312"/>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前附表</w:t>
      </w:r>
    </w:p>
    <w:tbl>
      <w:tblPr>
        <w:tblStyle w:val="63"/>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_GB2312" w:hAnsi="仿宋" w:eastAsia="仿宋_GB2312" w:cs="仿宋_GB2312"/>
                <w:color w:val="000000" w:themeColor="text1"/>
                <w:sz w:val="24"/>
                <w:highlight w:val="none"/>
                <w14:textFill>
                  <w14:solidFill>
                    <w14:schemeClr w14:val="tx1"/>
                  </w14:solidFill>
                </w14:textFill>
              </w:rPr>
              <w:t>开标一览表（报价表）</w:t>
            </w:r>
            <w:r>
              <w:rPr>
                <w:rFonts w:hint="eastAsia" w:ascii="仿宋_GB2312" w:hAnsi="仿宋" w:eastAsia="仿宋_GB2312"/>
                <w:color w:val="000000" w:themeColor="text1"/>
                <w:sz w:val="24"/>
                <w:highlight w:val="none"/>
                <w14:textFill>
                  <w14:solidFill>
                    <w14:schemeClr w14:val="tx1"/>
                  </w14:solidFill>
                </w14:textFill>
              </w:rPr>
              <w:t>是报价的唯一载体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400" w:lineRule="exact"/>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投标报价出现下列情形的，投标无效：</w:t>
            </w:r>
          </w:p>
          <w:p>
            <w:pPr>
              <w:numPr>
                <w:ilvl w:val="0"/>
                <w:numId w:val="1"/>
              </w:numPr>
              <w:snapToGrid w:val="0"/>
              <w:spacing w:line="400" w:lineRule="exact"/>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投标文件出现不是唯一的、有选择性投标报价的；</w:t>
            </w:r>
          </w:p>
          <w:p>
            <w:pPr>
              <w:numPr>
                <w:ilvl w:val="0"/>
                <w:numId w:val="1"/>
              </w:numPr>
              <w:snapToGrid w:val="0"/>
              <w:spacing w:line="400" w:lineRule="exact"/>
              <w:jc w:val="left"/>
              <w:rPr>
                <w:rFonts w:ascii="仿宋_GB2312" w:hAnsi="仿宋" w:eastAsia="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投标报价超过招标文件中规定的预算金额或者最高限价的</w:t>
            </w:r>
            <w:r>
              <w:rPr>
                <w:rFonts w:ascii="仿宋_GB2312" w:hAnsi="仿宋" w:eastAsia="仿宋_GB2312"/>
                <w:b/>
                <w:color w:val="000000" w:themeColor="text1"/>
                <w:kern w:val="0"/>
                <w:sz w:val="24"/>
                <w:highlight w:val="none"/>
                <w:lang w:val="zh-CN"/>
                <w14:textFill>
                  <w14:solidFill>
                    <w14:schemeClr w14:val="tx1"/>
                  </w14:solidFill>
                </w14:textFill>
              </w:rPr>
              <w:t>;</w:t>
            </w:r>
          </w:p>
          <w:p>
            <w:pPr>
              <w:numPr>
                <w:ilvl w:val="0"/>
                <w:numId w:val="1"/>
              </w:numPr>
              <w:snapToGrid w:val="0"/>
              <w:spacing w:line="40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000000" w:themeColor="text1"/>
                <w:sz w:val="24"/>
                <w:szCs w:val="21"/>
                <w:highlight w:val="none"/>
                <w14:textFill>
                  <w14:solidFill>
                    <w14:schemeClr w14:val="tx1"/>
                  </w14:solidFill>
                </w14:textFill>
              </w:rPr>
              <w:t>;</w:t>
            </w:r>
          </w:p>
          <w:p>
            <w:pPr>
              <w:numPr>
                <w:ilvl w:val="0"/>
                <w:numId w:val="1"/>
              </w:num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投标人对根据修正原则修正后的报价不确认的</w:t>
            </w:r>
            <w:r>
              <w:rPr>
                <w:rFonts w:hint="eastAsia" w:ascii="仿宋_GB2312" w:hAnsi="仿宋" w:eastAsia="仿宋_GB2312"/>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ind w:firstLine="482" w:firstLineChars="2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p>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1）资格证明文件：见招标文件第二部分11.1。</w:t>
            </w:r>
          </w:p>
          <w:p>
            <w:pPr>
              <w:snapToGrid w:val="0"/>
              <w:spacing w:line="400" w:lineRule="exact"/>
              <w:rPr>
                <w:rFonts w:ascii="Arial" w:hAnsi="Arial" w:eastAsia="黑体" w:cs="Arial"/>
                <w:snapToGrid w:val="0"/>
                <w:color w:val="000000" w:themeColor="text1"/>
                <w:kern w:val="0"/>
                <w:szCs w:val="21"/>
                <w:highlight w:val="none"/>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napToGrid w:val="0"/>
              <w:spacing w:line="400" w:lineRule="exact"/>
              <w:rPr>
                <w:rFonts w:ascii="仿宋_GB2312" w:hAnsi="仿宋" w:eastAsia="仿宋_GB2312"/>
                <w:color w:val="000000" w:themeColor="text1"/>
                <w:sz w:val="24"/>
                <w:szCs w:val="20"/>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 w:hAnsi="仿宋" w:eastAsia="仿宋"/>
                <w:snapToGrid w:val="0"/>
                <w:color w:val="000000" w:themeColor="text1"/>
                <w:kern w:val="28"/>
                <w:sz w:val="24"/>
                <w:highlight w:val="none"/>
                <w14:textFill>
                  <w14:solidFill>
                    <w14:schemeClr w14:val="tx1"/>
                  </w14:solidFill>
                </w14:textFill>
              </w:rPr>
              <w:t>样品：</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 w:hAnsi="仿宋" w:eastAsia="仿宋"/>
                <w:snapToGrid w:val="0"/>
                <w:color w:val="000000" w:themeColor="text1"/>
                <w:kern w:val="28"/>
                <w:sz w:val="24"/>
                <w:highlight w:val="none"/>
                <w14:textFill>
                  <w14:solidFill>
                    <w14:schemeClr w14:val="tx1"/>
                  </w14:solidFill>
                </w14:textFill>
              </w:rPr>
              <w:t>样品制作的标准和要求：</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ascii="仿宋_GB2312" w:hAnsi="仿宋" w:eastAsia="仿宋_GB2312"/>
                <w:color w:val="000000" w:themeColor="text1"/>
                <w:kern w:val="0"/>
                <w:sz w:val="24"/>
                <w:highlight w:val="none"/>
                <w14:textFill>
                  <w14:solidFill>
                    <w14:schemeClr w14:val="tx1"/>
                  </w14:solidFill>
                </w14:textFill>
              </w:rPr>
              <w:t>样品的评审方法以及评审标准</w:t>
            </w:r>
            <w:r>
              <w:rPr>
                <w:rFonts w:hint="eastAsia" w:ascii="仿宋" w:hAnsi="仿宋" w:eastAsia="仿宋"/>
                <w:snapToGrid w:val="0"/>
                <w:color w:val="000000" w:themeColor="text1"/>
                <w:kern w:val="28"/>
                <w:sz w:val="24"/>
                <w:highlight w:val="none"/>
                <w14:textFill>
                  <w14:solidFill>
                    <w14:schemeClr w14:val="tx1"/>
                  </w14:solidFill>
                </w14:textFill>
              </w:rPr>
              <w:t>：详见</w:t>
            </w:r>
            <w:r>
              <w:rPr>
                <w:rFonts w:hint="eastAsia" w:ascii="仿宋_GB2312" w:hAnsi="仿宋" w:eastAsia="仿宋_GB2312"/>
                <w:color w:val="000000" w:themeColor="text1"/>
                <w:sz w:val="24"/>
                <w:highlight w:val="none"/>
                <w:u w:val="single"/>
                <w14:textFill>
                  <w14:solidFill>
                    <w14:schemeClr w14:val="tx1"/>
                  </w14:solidFill>
                </w14:textFill>
              </w:rPr>
              <w:t>评标办法</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ascii="仿宋_GB2312" w:hAnsi="仿宋" w:eastAsia="仿宋_GB2312"/>
                <w:color w:val="000000" w:themeColor="text1"/>
                <w:kern w:val="0"/>
                <w:sz w:val="24"/>
                <w:highlight w:val="none"/>
                <w14:textFill>
                  <w14:solidFill>
                    <w14:schemeClr w14:val="tx1"/>
                  </w14:solidFill>
                </w14:textFill>
              </w:rPr>
              <w:t>是否需要随样品提交检测报告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提供样品的时间：</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kern w:val="28"/>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numPr>
                <w:ilvl w:val="0"/>
                <w:numId w:val="2"/>
              </w:numPr>
              <w:snapToGrid w:val="0"/>
              <w:spacing w:line="400" w:lineRule="exact"/>
              <w:rPr>
                <w:color w:val="000000" w:themeColor="text1"/>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采购人、采购代理机构将通知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在规定的时间内取回，逾期未取回的，采购人、采购代理机构不负保管义务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numPr>
                <w:ilvl w:val="0"/>
                <w:numId w:val="2"/>
              </w:numPr>
              <w:snapToGrid w:val="0"/>
              <w:spacing w:line="400" w:lineRule="exact"/>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Cs/>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仿宋_GB2312" w:hAnsi="仿宋" w:eastAsia="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仿宋_GB2312" w:hAnsi="仿宋" w:eastAsia="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olor w:val="000000" w:themeColor="text1"/>
                <w:kern w:val="0"/>
                <w:sz w:val="24"/>
                <w:highlight w:val="none"/>
                <w14:textFill>
                  <w14:solidFill>
                    <w14:schemeClr w14:val="tx1"/>
                  </w14:solidFill>
                </w14:textFill>
              </w:rPr>
              <w:t>人。讲解演示结束后按要求解答评标委员会提问。</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2）方案讲解演示可选择</w:t>
            </w:r>
            <w:r>
              <w:rPr>
                <w:rFonts w:hint="eastAsia" w:ascii="仿宋_GB2312" w:hAnsi="仿宋" w:eastAsia="仿宋_GB2312"/>
                <w:color w:val="000000" w:themeColor="text1"/>
                <w:kern w:val="0"/>
                <w:sz w:val="24"/>
                <w:highlight w:val="none"/>
                <w14:textFill>
                  <w14:solidFill>
                    <w14:schemeClr w14:val="tx1"/>
                  </w14:solidFill>
                </w14:textFill>
              </w:rPr>
              <w:t>以下其中一种方式：</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方式二：采购代理机构现场讲解演示。现场讲解地点为</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，讲解演示所用电脑等设备由投标人自备。现场讲解演示人员进场时提供讲解人员名单（加盖公章）及身份证明，否则不得讲解演示。</w:t>
            </w:r>
          </w:p>
          <w:p>
            <w:pPr>
              <w:snapToGrid w:val="0"/>
              <w:spacing w:line="400" w:lineRule="exac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s="Arial"/>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本项目不允许采购进口产品。</w:t>
            </w:r>
          </w:p>
          <w:p>
            <w:pPr>
              <w:snapToGrid w:val="0"/>
              <w:spacing w:line="400" w:lineRule="exact"/>
              <w:rPr>
                <w:color w:val="000000" w:themeColor="text1"/>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货物类，单一产品或</w:t>
            </w:r>
            <w:r>
              <w:rPr>
                <w:rFonts w:hint="eastAsia" w:ascii="仿宋_GB2312" w:hAnsi="仿宋" w:eastAsia="仿宋_GB2312"/>
                <w:color w:val="000000" w:themeColor="text1"/>
                <w:kern w:val="0"/>
                <w:sz w:val="24"/>
                <w:highlight w:val="none"/>
                <w14:textFill>
                  <w14:solidFill>
                    <w14:schemeClr w14:val="tx1"/>
                  </w14:solidFill>
                </w14:textFill>
              </w:rPr>
              <w:t>核心产品为：</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p>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eastAsia="仿宋_GB2312"/>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标的：</w:t>
            </w:r>
            <w:r>
              <w:rPr>
                <w:rFonts w:hint="eastAsia" w:ascii="仿宋_GB2312" w:hAnsi="仿宋" w:eastAsia="仿宋_GB2312" w:cs="Arial"/>
                <w:color w:val="000000" w:themeColor="text1"/>
                <w:kern w:val="0"/>
                <w:sz w:val="24"/>
                <w:highlight w:val="none"/>
                <w:u w:val="single"/>
                <w14:textFill>
                  <w14:solidFill>
                    <w14:schemeClr w14:val="tx1"/>
                  </w14:solidFill>
                </w14:textFill>
              </w:rPr>
              <w:t>食堂服务外包</w:t>
            </w:r>
            <w:r>
              <w:rPr>
                <w:rFonts w:hint="eastAsia" w:ascii="仿宋_GB2312" w:hAnsi="仿宋" w:eastAsia="仿宋_GB2312" w:cs="Arial"/>
                <w:color w:val="000000" w:themeColor="text1"/>
                <w:kern w:val="0"/>
                <w:sz w:val="24"/>
                <w:highlight w:val="none"/>
                <w14:textFill>
                  <w14:solidFill>
                    <w14:schemeClr w14:val="tx1"/>
                  </w14:solidFill>
                </w14:textFill>
              </w:rPr>
              <w:t>，属于</w:t>
            </w:r>
            <w:r>
              <w:rPr>
                <w:rFonts w:hint="eastAsia" w:ascii="仿宋_GB2312" w:hAnsi="仿宋" w:eastAsia="仿宋_GB2312" w:cs="Arial"/>
                <w:color w:val="000000" w:themeColor="text1"/>
                <w:kern w:val="0"/>
                <w:sz w:val="24"/>
                <w:highlight w:val="none"/>
                <w:u w:val="single"/>
                <w14:textFill>
                  <w14:solidFill>
                    <w14:schemeClr w14:val="tx1"/>
                  </w14:solidFill>
                </w14:textFill>
              </w:rPr>
              <w:t xml:space="preserve"> </w:t>
            </w:r>
            <w:r>
              <w:rPr>
                <w:rFonts w:hint="eastAsia" w:ascii="仿宋_GB2312" w:hAnsi="仿宋" w:eastAsia="仿宋_GB2312" w:cs="Arial"/>
                <w:color w:val="000000" w:themeColor="text1"/>
                <w:kern w:val="0"/>
                <w:sz w:val="24"/>
                <w:highlight w:val="none"/>
                <w:u w:val="single"/>
                <w14:textFill>
                  <w14:solidFill>
                    <w14:schemeClr w14:val="tx1"/>
                  </w14:solidFill>
                </w14:textFill>
              </w:rPr>
              <w:t>餐饮业</w:t>
            </w:r>
            <w:r>
              <w:rPr>
                <w:rFonts w:hint="eastAsia" w:ascii="仿宋_GB2312" w:hAnsi="仿宋" w:eastAsia="仿宋_GB2312" w:cs="Arial"/>
                <w:color w:val="000000" w:themeColor="text1"/>
                <w:kern w:val="0"/>
                <w:sz w:val="24"/>
                <w:highlight w:val="none"/>
                <w:u w:val="single"/>
                <w14:textFill>
                  <w14:solidFill>
                    <w14:schemeClr w14:val="tx1"/>
                  </w14:solidFill>
                </w14:textFill>
              </w:rPr>
              <w:t xml:space="preserve"> </w:t>
            </w:r>
            <w:r>
              <w:rPr>
                <w:rFonts w:hint="eastAsia" w:ascii="仿宋_GB2312" w:hAnsi="仿宋" w:eastAsia="仿宋_GB2312" w:cs="Arial"/>
                <w:color w:val="000000" w:themeColor="text1"/>
                <w:kern w:val="0"/>
                <w:sz w:val="24"/>
                <w:highlight w:val="none"/>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eastAsia="仿宋"/>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continue"/>
            <w:tcBorders>
              <w:left w:val="single" w:color="000000" w:sz="8" w:space="0"/>
              <w:right w:val="single" w:color="000000" w:sz="2" w:space="0"/>
            </w:tcBorders>
            <w:vAlign w:val="center"/>
          </w:tcPr>
          <w:p>
            <w:pPr>
              <w:snapToGrid w:val="0"/>
              <w:spacing w:line="400" w:lineRule="exact"/>
              <w:ind w:firstLine="420" w:firstLineChars="200"/>
              <w:jc w:val="center"/>
              <w:rPr>
                <w:color w:val="000000" w:themeColor="text1"/>
                <w:highlight w:val="none"/>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napToGrid w:val="0"/>
              <w:spacing w:line="400" w:lineRule="exact"/>
              <w:ind w:firstLine="420" w:firstLineChars="200"/>
              <w:rPr>
                <w:color w:val="000000" w:themeColor="text1"/>
                <w:highlight w:val="none"/>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olor w:val="000000" w:themeColor="text1"/>
                <w:sz w:val="24"/>
                <w:highlight w:val="none"/>
                <w:u w:val="single"/>
                <w14:textFill>
                  <w14:solidFill>
                    <w14:schemeClr w14:val="tx1"/>
                  </w14:solidFill>
                </w14:textFill>
              </w:rPr>
              <w:t>杭州市文三路90号东部软件园1号楼3楼307室；</w:t>
            </w:r>
          </w:p>
          <w:p>
            <w:pPr>
              <w:pStyle w:val="33"/>
              <w:snapToGrid w:val="0"/>
              <w:spacing w:line="400" w:lineRule="exact"/>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hint="eastAsia" w:ascii="仿宋_GB2312" w:hAnsi="仿宋" w:eastAsia="仿宋_GB2312"/>
                <w:color w:val="000000" w:themeColor="text1"/>
                <w:sz w:val="24"/>
                <w:highlight w:val="none"/>
                <w:u w:val="single"/>
                <w14:textFill>
                  <w14:solidFill>
                    <w14:schemeClr w14:val="tx1"/>
                  </w14:solidFill>
                </w14:textFill>
              </w:rPr>
              <w:t>李博，13819182767</w:t>
            </w:r>
            <w:r>
              <w:rPr>
                <w:rFonts w:hint="eastAsia" w:ascii="仿宋_GB2312" w:hAnsi="仿宋" w:eastAsia="仿宋_GB2312" w:cs="仿宋_GB2312"/>
                <w:color w:val="000000" w:themeColor="text1"/>
                <w:sz w:val="24"/>
                <w:szCs w:val="24"/>
                <w:highlight w:val="none"/>
                <w14:textFill>
                  <w14:solidFill>
                    <w14:schemeClr w14:val="tx1"/>
                  </w14:solidFill>
                </w14:textFill>
              </w:rPr>
              <w:t>。</w:t>
            </w:r>
          </w:p>
          <w:p>
            <w:pPr>
              <w:pStyle w:val="33"/>
              <w:snapToGrid w:val="0"/>
              <w:spacing w:line="400" w:lineRule="exact"/>
              <w:rPr>
                <w:rFonts w:ascii="仿宋_GB2312" w:hAnsi="仿宋" w:eastAsia="仿宋_GB2312"/>
                <w:color w:val="000000" w:themeColor="text1"/>
                <w:kern w:val="28"/>
                <w:sz w:val="24"/>
                <w:highlight w:val="none"/>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napToGrid w:val="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本项目的中标服务费由中标人支付，计费标准：</w:t>
            </w:r>
            <w:r>
              <w:rPr>
                <w:rFonts w:hint="eastAsia" w:ascii="仿宋" w:hAnsi="仿宋" w:eastAsia="仿宋" w:cs="仿宋"/>
                <w:color w:val="000000" w:themeColor="text1"/>
                <w:sz w:val="24"/>
                <w:szCs w:val="24"/>
                <w:highlight w:val="none"/>
                <w14:textFill>
                  <w14:solidFill>
                    <w14:schemeClr w14:val="tx1"/>
                  </w14:solidFill>
                </w14:textFill>
              </w:rPr>
              <w:t>以</w:t>
            </w:r>
            <w:r>
              <w:rPr>
                <w:rFonts w:hint="eastAsia" w:ascii="仿宋" w:hAnsi="仿宋" w:eastAsia="仿宋" w:cs="仿宋"/>
                <w:color w:val="000000" w:themeColor="text1"/>
                <w:sz w:val="24"/>
                <w:szCs w:val="24"/>
                <w:highlight w:val="none"/>
                <w14:textFill>
                  <w14:solidFill>
                    <w14:schemeClr w14:val="tx1"/>
                  </w14:solidFill>
                </w14:textFill>
              </w:rPr>
              <w:t>1年的中标金额作为收费的计算基数</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费用按计价【2002】1980号文规定的</w:t>
            </w:r>
            <w:r>
              <w:rPr>
                <w:rFonts w:hint="eastAsia" w:ascii="仿宋" w:hAnsi="仿宋" w:eastAsia="仿宋" w:cs="仿宋"/>
                <w:color w:val="000000" w:themeColor="text1"/>
                <w:kern w:val="0"/>
                <w:sz w:val="24"/>
                <w:szCs w:val="24"/>
                <w:highlight w:val="none"/>
                <w14:textFill>
                  <w14:solidFill>
                    <w14:schemeClr w14:val="tx1"/>
                  </w14:solidFill>
                </w14:textFill>
              </w:rPr>
              <w:t>服务招标类型的80%</w:t>
            </w:r>
            <w:r>
              <w:rPr>
                <w:rFonts w:hint="eastAsia" w:ascii="仿宋" w:hAnsi="仿宋" w:eastAsia="仿宋" w:cs="仿宋"/>
                <w:color w:val="000000" w:themeColor="text1"/>
                <w:kern w:val="0"/>
                <w:sz w:val="24"/>
                <w:szCs w:val="24"/>
                <w:highlight w:val="none"/>
                <w14:textFill>
                  <w14:solidFill>
                    <w14:schemeClr w14:val="tx1"/>
                  </w14:solidFill>
                </w14:textFill>
              </w:rPr>
              <w:t>收取。结算方式及时间为：在领取中标通知书时由中标人一次性向采购代理机构付清。</w:t>
            </w:r>
          </w:p>
          <w:tbl>
            <w:tblPr>
              <w:tblStyle w:val="63"/>
              <w:tblW w:w="5687" w:type="dxa"/>
              <w:tblInd w:w="1"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4"/>
              <w:gridCol w:w="1307"/>
              <w:gridCol w:w="1431"/>
              <w:gridCol w:w="12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trPr>
              <w:tc>
                <w:tcPr>
                  <w:tcW w:w="1674" w:type="dxa"/>
                  <w:vMerge w:val="restart"/>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中标金额（万元）</w:t>
                  </w:r>
                </w:p>
              </w:tc>
              <w:tc>
                <w:tcPr>
                  <w:tcW w:w="4013" w:type="dxa"/>
                  <w:gridSpan w:val="3"/>
                  <w:tcBorders>
                    <w:bottom w:val="single" w:color="auto" w:sz="4" w:space="0"/>
                  </w:tcBorders>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服务类型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trPr>
              <w:tc>
                <w:tcPr>
                  <w:tcW w:w="1674" w:type="dxa"/>
                  <w:vMerge w:val="continue"/>
                  <w:vAlign w:val="center"/>
                </w:tcPr>
                <w:p>
                  <w:pPr>
                    <w:rPr>
                      <w:rFonts w:ascii="仿宋" w:hAnsi="仿宋" w:eastAsia="仿宋" w:cs="仿宋"/>
                      <w:color w:val="000000" w:themeColor="text1"/>
                      <w:sz w:val="24"/>
                      <w:highlight w:val="none"/>
                      <w14:textFill>
                        <w14:solidFill>
                          <w14:schemeClr w14:val="tx1"/>
                        </w14:solidFill>
                      </w14:textFill>
                    </w:rPr>
                  </w:pPr>
                </w:p>
              </w:tc>
              <w:tc>
                <w:tcPr>
                  <w:tcW w:w="1307" w:type="dxa"/>
                  <w:tcBorders>
                    <w:top w:val="single" w:color="auto" w:sz="4" w:space="0"/>
                    <w:bottom w:val="single" w:color="auto" w:sz="4" w:space="0"/>
                  </w:tcBorders>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货物招标</w:t>
                  </w:r>
                </w:p>
              </w:tc>
              <w:tc>
                <w:tcPr>
                  <w:tcW w:w="1431" w:type="dxa"/>
                  <w:tcBorders>
                    <w:top w:val="single" w:color="auto" w:sz="4" w:space="0"/>
                    <w:bottom w:val="single" w:color="auto" w:sz="4" w:space="0"/>
                  </w:tcBorders>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服务招标</w:t>
                  </w:r>
                </w:p>
              </w:tc>
              <w:tc>
                <w:tcPr>
                  <w:tcW w:w="1275" w:type="dxa"/>
                  <w:tcBorders>
                    <w:top w:val="single" w:color="auto" w:sz="4" w:space="0"/>
                    <w:bottom w:val="single" w:color="auto" w:sz="4" w:space="0"/>
                  </w:tcBorders>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工程招标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trPr>
              <w:tc>
                <w:tcPr>
                  <w:tcW w:w="1674" w:type="dxa"/>
                  <w:vMerge w:val="continue"/>
                  <w:vAlign w:val="center"/>
                </w:tcPr>
                <w:p>
                  <w:pPr>
                    <w:rPr>
                      <w:rFonts w:ascii="仿宋" w:hAnsi="仿宋" w:eastAsia="仿宋" w:cs="仿宋"/>
                      <w:color w:val="000000" w:themeColor="text1"/>
                      <w:sz w:val="24"/>
                      <w:highlight w:val="none"/>
                      <w14:textFill>
                        <w14:solidFill>
                          <w14:schemeClr w14:val="tx1"/>
                        </w14:solidFill>
                      </w14:textFill>
                    </w:rPr>
                  </w:pPr>
                </w:p>
              </w:tc>
              <w:tc>
                <w:tcPr>
                  <w:tcW w:w="4013" w:type="dxa"/>
                  <w:gridSpan w:val="3"/>
                  <w:tcBorders>
                    <w:top w:val="single" w:color="auto" w:sz="4" w:space="0"/>
                  </w:tcBorders>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费率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100以下</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100-500</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0.8%</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500-1000</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0.8%</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0.45%</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0.55%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1000-5000</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0.5%</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0.25%</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0.35%</w:t>
                  </w:r>
                </w:p>
              </w:tc>
            </w:tr>
          </w:tbl>
          <w:p>
            <w:pPr>
              <w:pStyle w:val="33"/>
              <w:snapToGrid w:val="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收款单位（户名）：浙江国际招投标有限公司</w:t>
            </w:r>
          </w:p>
          <w:p>
            <w:pPr>
              <w:widowControl/>
              <w:snapToGrid w:val="0"/>
              <w:jc w:val="left"/>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开户银行：中国工商银行杭州武林支行</w:t>
            </w:r>
          </w:p>
          <w:p>
            <w:pPr>
              <w:pStyle w:val="33"/>
              <w:snapToGrid w:val="0"/>
              <w:spacing w:line="400" w:lineRule="exact"/>
              <w:rPr>
                <w:rFonts w:ascii="仿宋_GB2312" w:hAnsi="仿宋" w:eastAsia="仿宋_GB2312" w:cs="仿宋_GB2312"/>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银行账号：1202021209906782015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r>
              <w:rPr>
                <w:rFonts w:hint="eastAsia" w:ascii="仿宋_GB2312" w:hAnsi="仿宋" w:eastAsia="仿宋_GB2312" w:cs="仿宋_GB2312"/>
                <w:color w:val="000000" w:themeColor="text1"/>
                <w:sz w:val="24"/>
                <w:highlight w:val="none"/>
                <w14:textFill>
                  <w14:solidFill>
                    <w14:schemeClr w14:val="tx1"/>
                  </w14:solidFill>
                </w14:textFill>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无</w:t>
            </w:r>
            <w:r>
              <w:rPr>
                <w:rFonts w:hint="eastAsia" w:ascii="仿宋_GB2312" w:hAnsi="仿宋" w:eastAsia="仿宋_GB2312" w:cs="宋体"/>
                <w:b/>
                <w:color w:val="000000" w:themeColor="text1"/>
                <w:kern w:val="0"/>
                <w:sz w:val="24"/>
                <w:highlight w:val="none"/>
                <w14:textFill>
                  <w14:solidFill>
                    <w14:schemeClr w14:val="tx1"/>
                  </w14:solidFill>
                </w14:textFill>
              </w:rPr>
              <w:t>。</w:t>
            </w:r>
          </w:p>
        </w:tc>
      </w:tr>
      <w:bookmarkEnd w:id="10"/>
    </w:tbl>
    <w:p>
      <w:pPr>
        <w:rPr>
          <w:rFonts w:ascii="仿宋_GB2312" w:hAnsi="仿宋" w:eastAsia="仿宋_GB2312" w:cs="仿宋_GB2312"/>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仿宋_GB2312" w:hAnsi="仿宋" w:eastAsia="仿宋_GB2312" w:cs="仿宋_GB2312"/>
          <w:b/>
          <w:color w:val="000000" w:themeColor="text1"/>
          <w:sz w:val="32"/>
          <w:szCs w:val="20"/>
          <w:highlight w:val="none"/>
          <w14:textFill>
            <w14:solidFill>
              <w14:schemeClr w14:val="tx1"/>
            </w14:solidFill>
          </w14:textFill>
        </w:rPr>
        <w:br w:type="page"/>
      </w:r>
    </w:p>
    <w:p>
      <w:pPr>
        <w:adjustRightInd/>
        <w:spacing w:line="360" w:lineRule="auto"/>
        <w:jc w:val="center"/>
        <w:outlineLvl w:val="0"/>
        <w:rPr>
          <w:rFonts w:ascii="仿宋_GB2312" w:hAnsi="仿宋" w:eastAsia="仿宋_GB2312" w:cs="仿宋_GB2312"/>
          <w:b/>
          <w:color w:val="000000" w:themeColor="text1"/>
          <w:sz w:val="32"/>
          <w:szCs w:val="20"/>
          <w:highlight w:val="none"/>
          <w14:textFill>
            <w14:solidFill>
              <w14:schemeClr w14:val="tx1"/>
            </w14:solidFill>
          </w14:textFill>
        </w:rPr>
      </w:pPr>
      <w:r>
        <w:rPr>
          <w:rFonts w:hint="eastAsia" w:ascii="仿宋_GB2312" w:hAnsi="仿宋" w:eastAsia="仿宋_GB2312" w:cs="仿宋_GB2312"/>
          <w:b/>
          <w:color w:val="000000" w:themeColor="text1"/>
          <w:sz w:val="32"/>
          <w:szCs w:val="20"/>
          <w:highlight w:val="none"/>
          <w14:textFill>
            <w14:solidFill>
              <w14:schemeClr w14:val="tx1"/>
            </w14:solidFill>
          </w14:textFill>
        </w:rPr>
        <w:t>一、总则</w:t>
      </w:r>
    </w:p>
    <w:p>
      <w:pPr>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 xml:space="preserve">1. </w:t>
      </w:r>
      <w:r>
        <w:rPr>
          <w:rFonts w:hint="eastAsia" w:ascii="仿宋_GB2312" w:hAnsi="仿宋" w:eastAsia="仿宋_GB2312"/>
          <w:b/>
          <w:color w:val="000000" w:themeColor="text1"/>
          <w:sz w:val="24"/>
          <w:highlight w:val="none"/>
          <w14:textFill>
            <w14:solidFill>
              <w14:schemeClr w14:val="tx1"/>
            </w14:solidFill>
          </w14:textFill>
        </w:rPr>
        <w:t>适用范围</w:t>
      </w:r>
    </w:p>
    <w:p>
      <w:pPr>
        <w:snapToGrid w:val="0"/>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ind w:firstLine="420"/>
        <w:outlineLvl w:val="0"/>
        <w:rPr>
          <w:rFonts w:ascii="仿宋_GB2312" w:hAnsi="仿宋" w:eastAsia="仿宋_GB2312" w:cs="仿宋_GB2312"/>
          <w:b/>
          <w:color w:val="000000" w:themeColor="text1"/>
          <w:sz w:val="24"/>
          <w:highlight w:val="none"/>
          <w14:textFill>
            <w14:solidFill>
              <w14:schemeClr w14:val="tx1"/>
            </w14:solidFill>
          </w14:textFill>
        </w:rPr>
      </w:pPr>
    </w:p>
    <w:p>
      <w:pPr>
        <w:adjustRightInd/>
        <w:spacing w:line="360" w:lineRule="auto"/>
        <w:outlineLvl w:val="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2.定义</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2.1 </w:t>
      </w:r>
      <w:r>
        <w:rPr>
          <w:rFonts w:hint="eastAsia" w:ascii="仿宋_GB2312" w:hAnsi="仿宋" w:eastAsia="仿宋_GB2312"/>
          <w:color w:val="000000" w:themeColor="text1"/>
          <w:sz w:val="24"/>
          <w:highlight w:val="none"/>
          <w14:textFill>
            <w14:solidFill>
              <w14:schemeClr w14:val="tx1"/>
            </w14:solidFill>
          </w14:textFill>
        </w:rPr>
        <w:t>“采购人”系指招标公告中载明的本项目的采购人。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2.2 </w:t>
      </w:r>
      <w:r>
        <w:rPr>
          <w:rFonts w:hint="eastAsia" w:ascii="仿宋_GB2312" w:hAnsi="仿宋" w:eastAsia="仿宋_GB2312"/>
          <w:color w:val="000000" w:themeColor="text1"/>
          <w:sz w:val="24"/>
          <w:highlight w:val="none"/>
          <w14:textFill>
            <w14:solidFill>
              <w14:schemeClr w14:val="tx1"/>
            </w14:solidFill>
          </w14:textFill>
        </w:rPr>
        <w:t>“采购代理机构”系指招标公告中载明的本项目的采购代理机构。</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2.3 </w:t>
      </w:r>
      <w:r>
        <w:rPr>
          <w:rFonts w:hint="eastAsia" w:ascii="仿宋_GB2312" w:hAnsi="仿宋" w:eastAsia="仿宋_GB2312"/>
          <w:color w:val="000000" w:themeColor="text1"/>
          <w:sz w:val="24"/>
          <w:highlight w:val="none"/>
          <w14:textFill>
            <w14:solidFill>
              <w14:schemeClr w14:val="tx1"/>
            </w14:solidFill>
          </w14:textFill>
        </w:rPr>
        <w:t>“投标人”系指是指响应招标、参加投标竞争的法人、其他组织或者自然人。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2.4 </w:t>
      </w:r>
      <w:r>
        <w:rPr>
          <w:rFonts w:hint="eastAsia" w:ascii="仿宋_GB2312" w:hAnsi="仿宋" w:eastAsia="仿宋_GB2312"/>
          <w:color w:val="000000" w:themeColor="text1"/>
          <w:sz w:val="24"/>
          <w:highlight w:val="none"/>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2.5</w:t>
      </w:r>
      <w:r>
        <w:rPr>
          <w:rFonts w:hint="eastAsia"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“电子签名”系指数据电文中以电子形式所含、所附用于识别签名人身份并表明签名人认可其中内容的数据；</w:t>
      </w:r>
      <w:r>
        <w:rPr>
          <w:rFonts w:hint="eastAsia" w:ascii="仿宋" w:hAnsi="仿宋" w:eastAsia="仿宋"/>
          <w:color w:val="000000" w:themeColor="text1"/>
          <w:sz w:val="24"/>
          <w:highlight w:val="none"/>
          <w14:textFill>
            <w14:solidFill>
              <w14:schemeClr w14:val="tx1"/>
            </w14:solidFill>
          </w14:textFill>
        </w:rPr>
        <w:t>“公章”系指单位法定名称章。因特殊原因需要使用冠以法定名称的业务专用章的，投标时须提供《业务专用章使用说明函》（附件</w:t>
      </w:r>
      <w:r>
        <w:rPr>
          <w:rFonts w:ascii="仿宋" w:hAnsi="仿宋" w:eastAsia="仿宋"/>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2.6</w:t>
      </w:r>
      <w:r>
        <w:rPr>
          <w:rFonts w:hint="eastAsia"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“电子交易平台”是指本项目政府采购活动所依托的政府采购云平台（https</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//www.zcygov.cn/）。</w:t>
      </w:r>
    </w:p>
    <w:p>
      <w:pPr>
        <w:spacing w:line="360" w:lineRule="auto"/>
        <w:ind w:firstLine="482" w:firstLineChars="200"/>
        <w:rPr>
          <w:rFonts w:ascii="仿宋_GB2312" w:hAnsi="仿宋" w:eastAsia="仿宋_GB2312"/>
          <w:b/>
          <w:bCs/>
          <w:color w:val="000000" w:themeColor="text1"/>
          <w:sz w:val="24"/>
          <w:highlight w:val="none"/>
          <w14:textFill>
            <w14:solidFill>
              <w14:schemeClr w14:val="tx1"/>
            </w14:solidFill>
          </w14:textFill>
        </w:rPr>
      </w:pPr>
      <w:r>
        <w:rPr>
          <w:rFonts w:ascii="仿宋_GB2312" w:hAnsi="仿宋" w:eastAsia="仿宋_GB2312"/>
          <w:b/>
          <w:bCs/>
          <w:color w:val="000000" w:themeColor="text1"/>
          <w:sz w:val="24"/>
          <w:highlight w:val="none"/>
          <w14:textFill>
            <w14:solidFill>
              <w14:schemeClr w14:val="tx1"/>
            </w14:solidFill>
          </w14:textFill>
        </w:rPr>
        <w:t xml:space="preserve">2.7 </w:t>
      </w:r>
      <w:r>
        <w:rPr>
          <w:rFonts w:hint="eastAsia" w:ascii="仿宋_GB2312" w:hAnsi="仿宋" w:eastAsia="仿宋_GB2312"/>
          <w:b/>
          <w:bCs/>
          <w:color w:val="000000" w:themeColor="text1"/>
          <w:sz w:val="24"/>
          <w:highlight w:val="none"/>
          <w14:textFill>
            <w14:solidFill>
              <w14:schemeClr w14:val="tx1"/>
            </w14:solidFill>
          </w14:textFill>
        </w:rPr>
        <w:t>“▲”</w:t>
      </w:r>
      <w:r>
        <w:rPr>
          <w:rFonts w:ascii="仿宋_GB2312" w:hAnsi="仿宋" w:eastAsia="仿宋_GB2312"/>
          <w:b/>
          <w:bCs/>
          <w:color w:val="000000" w:themeColor="text1"/>
          <w:sz w:val="24"/>
          <w:highlight w:val="none"/>
          <w14:textFill>
            <w14:solidFill>
              <w14:schemeClr w14:val="tx1"/>
            </w14:solidFill>
          </w14:textFill>
        </w:rPr>
        <w:t xml:space="preserve"> </w:t>
      </w:r>
      <w:r>
        <w:rPr>
          <w:rFonts w:hint="eastAsia" w:ascii="仿宋_GB2312" w:hAnsi="仿宋" w:eastAsia="仿宋_GB2312"/>
          <w:b/>
          <w:bCs/>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b/>
            <w:bCs/>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b/>
            <w:bCs/>
            <w:color w:val="000000" w:themeColor="text1"/>
            <w:kern w:val="0"/>
            <w:sz w:val="24"/>
            <w:highlight w:val="none"/>
            <w14:textFill>
              <w14:solidFill>
                <w14:schemeClr w14:val="tx1"/>
              </w14:solidFill>
            </w14:textFill>
          </w:rPr>
        </w:sdtEndPr>
        <w:sdtContent>
          <w:r>
            <w:rPr>
              <w:rFonts w:ascii="Wingdings" w:hAnsi="Wingdings" w:eastAsia="仿宋_GB2312" w:cs="Arial"/>
              <w:b/>
              <w:bCs/>
              <w:color w:val="000000" w:themeColor="text1"/>
              <w:kern w:val="0"/>
              <w:sz w:val="24"/>
              <w:highlight w:val="none"/>
              <w14:textFill>
                <w14:solidFill>
                  <w14:schemeClr w14:val="tx1"/>
                </w14:solidFill>
              </w14:textFill>
            </w:rPr>
            <w:t></w:t>
          </w:r>
        </w:sdtContent>
      </w:sdt>
      <w:r>
        <w:rPr>
          <w:rFonts w:hint="eastAsia" w:ascii="仿宋_GB2312" w:hAnsi="仿宋" w:eastAsia="仿宋_GB2312"/>
          <w:b/>
          <w:bCs/>
          <w:color w:val="000000" w:themeColor="text1"/>
          <w:sz w:val="24"/>
          <w:highlight w:val="none"/>
          <w14:textFill>
            <w14:solidFill>
              <w14:schemeClr w14:val="tx1"/>
            </w14:solidFill>
          </w14:textFill>
        </w:rPr>
        <w:t>”</w:t>
      </w:r>
      <w:r>
        <w:rPr>
          <w:rFonts w:ascii="仿宋_GB2312" w:hAnsi="仿宋" w:eastAsia="仿宋_GB2312"/>
          <w:b/>
          <w:bCs/>
          <w:color w:val="000000" w:themeColor="text1"/>
          <w:sz w:val="24"/>
          <w:highlight w:val="none"/>
          <w14:textFill>
            <w14:solidFill>
              <w14:schemeClr w14:val="tx1"/>
            </w14:solidFill>
          </w14:textFill>
        </w:rPr>
        <w:t xml:space="preserve"> </w:t>
      </w:r>
      <w:r>
        <w:rPr>
          <w:rFonts w:hint="eastAsia" w:ascii="仿宋_GB2312" w:hAnsi="仿宋" w:eastAsia="仿宋_GB2312"/>
          <w:b/>
          <w:bCs/>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b/>
            <w:bCs/>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b/>
            <w:bCs/>
            <w:color w:val="000000" w:themeColor="text1"/>
            <w:kern w:val="0"/>
            <w:sz w:val="24"/>
            <w:highlight w:val="none"/>
            <w14:textFill>
              <w14:solidFill>
                <w14:schemeClr w14:val="tx1"/>
              </w14:solidFill>
            </w14:textFill>
          </w:rPr>
        </w:sdtEndPr>
        <w:sdtContent>
          <w:r>
            <w:rPr>
              <w:rFonts w:ascii="MS Gothic" w:hAnsi="MS Gothic" w:eastAsia="MS Gothic" w:cs="Arial"/>
              <w:b/>
              <w:bCs/>
              <w:color w:val="000000" w:themeColor="text1"/>
              <w:kern w:val="0"/>
              <w:sz w:val="24"/>
              <w:highlight w:val="none"/>
              <w14:textFill>
                <w14:solidFill>
                  <w14:schemeClr w14:val="tx1"/>
                </w14:solidFill>
              </w14:textFill>
            </w:rPr>
            <w:t>☐</w:t>
          </w:r>
        </w:sdtContent>
      </w:sdt>
      <w:r>
        <w:rPr>
          <w:rFonts w:hint="eastAsia" w:ascii="仿宋_GB2312" w:hAnsi="仿宋" w:eastAsia="仿宋_GB2312"/>
          <w:b/>
          <w:bCs/>
          <w:color w:val="000000" w:themeColor="text1"/>
          <w:sz w:val="24"/>
          <w:highlight w:val="none"/>
          <w14:textFill>
            <w14:solidFill>
              <w14:schemeClr w14:val="tx1"/>
            </w14:solidFill>
          </w14:textFill>
        </w:rPr>
        <w:t>”</w:t>
      </w:r>
      <w:r>
        <w:rPr>
          <w:rFonts w:ascii="仿宋_GB2312" w:hAnsi="仿宋" w:eastAsia="仿宋_GB2312"/>
          <w:b/>
          <w:bCs/>
          <w:color w:val="000000" w:themeColor="text1"/>
          <w:sz w:val="24"/>
          <w:highlight w:val="none"/>
          <w14:textFill>
            <w14:solidFill>
              <w14:schemeClr w14:val="tx1"/>
            </w14:solidFill>
          </w14:textFill>
        </w:rPr>
        <w:t xml:space="preserve"> </w:t>
      </w:r>
      <w:r>
        <w:rPr>
          <w:rFonts w:hint="eastAsia" w:ascii="仿宋_GB2312" w:hAnsi="仿宋" w:eastAsia="仿宋_GB2312"/>
          <w:b/>
          <w:bCs/>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3.</w:t>
      </w:r>
      <w:r>
        <w:rPr>
          <w:rFonts w:ascii="仿宋_GB2312" w:hAnsi="仿宋" w:eastAsia="仿宋_GB2312"/>
          <w:color w:val="000000" w:themeColor="text1"/>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采购项目需要落实的政府采购政策</w:t>
      </w:r>
    </w:p>
    <w:p>
      <w:pPr>
        <w:spacing w:line="360" w:lineRule="auto"/>
        <w:ind w:firstLine="42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3.1 </w:t>
      </w:r>
      <w:r>
        <w:rPr>
          <w:rFonts w:hint="eastAsia" w:ascii="仿宋_GB2312" w:hAnsi="仿宋" w:eastAsia="仿宋_GB2312"/>
          <w:color w:val="000000" w:themeColor="text1"/>
          <w:sz w:val="24"/>
          <w:highlight w:val="none"/>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2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2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 xml:space="preserve"> 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b/>
          <w:bCs/>
          <w:color w:val="000000" w:themeColor="text1"/>
          <w:sz w:val="24"/>
          <w:highlight w:val="none"/>
          <w14:textFill>
            <w14:solidFill>
              <w14:schemeClr w14:val="tx1"/>
            </w14:solidFill>
          </w14:textFill>
        </w:rPr>
        <w:t>10%</w:t>
      </w:r>
      <w:r>
        <w:rPr>
          <w:rFonts w:ascii="仿宋_GB2312" w:hAnsi="仿宋" w:eastAsia="仿宋_GB2312"/>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w:t>
      </w:r>
      <w:r>
        <w:rPr>
          <w:rFonts w:ascii="仿宋_GB2312" w:hAnsi="仿宋" w:eastAsia="仿宋_GB2312"/>
          <w:b/>
          <w:bCs/>
          <w:color w:val="000000" w:themeColor="text1"/>
          <w:sz w:val="24"/>
          <w:highlight w:val="none"/>
          <w14:textFill>
            <w14:solidFill>
              <w14:schemeClr w14:val="tx1"/>
            </w14:solidFill>
          </w14:textFill>
        </w:rPr>
        <w:t>3%</w:t>
      </w:r>
      <w:r>
        <w:rPr>
          <w:rFonts w:ascii="仿宋_GB2312" w:hAnsi="仿宋" w:eastAsia="仿宋_GB2312"/>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ind w:firstLine="42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w:t>
      </w:r>
      <w:r>
        <w:rPr>
          <w:rFonts w:hint="eastAsia" w:ascii="仿宋_GB2312" w:eastAsia="仿宋_GB2312"/>
          <w:bCs/>
          <w:color w:val="000000" w:themeColor="text1"/>
          <w:sz w:val="24"/>
          <w:highlight w:val="none"/>
          <w14:textFill>
            <w14:solidFill>
              <w14:schemeClr w14:val="tx1"/>
            </w14:solidFill>
          </w14:textFill>
        </w:rPr>
        <w:t>支持创新发展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3.4.1采购人优先采购被认定</w:t>
      </w:r>
      <w:r>
        <w:rPr>
          <w:rFonts w:hint="eastAsia" w:ascii="仿宋_GB2312" w:hAnsi="仿宋" w:eastAsia="仿宋_GB2312"/>
          <w:color w:val="000000" w:themeColor="text1"/>
          <w:sz w:val="24"/>
          <w:highlight w:val="none"/>
          <w14:textFill>
            <w14:solidFill>
              <w14:schemeClr w14:val="tx1"/>
            </w14:solidFill>
          </w14:textFill>
        </w:rPr>
        <w:t>为首台套产品和“制造精品”的自主创新产品。</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3.4.2首台套产品</w:t>
      </w:r>
      <w:r>
        <w:rPr>
          <w:rFonts w:hint="eastAsia" w:ascii="仿宋_GB2312" w:hAnsi="仿宋" w:eastAsia="仿宋_GB2312"/>
          <w:color w:val="000000" w:themeColor="text1"/>
          <w:sz w:val="24"/>
          <w:highlight w:val="none"/>
          <w14:textFill>
            <w14:solidFill>
              <w14:schemeClr w14:val="tx1"/>
            </w14:solidFill>
          </w14:textFill>
        </w:rPr>
        <w:t>被纳入《首台套产品推广应用指导目录》之日起</w:t>
      </w:r>
      <w:r>
        <w:rPr>
          <w:rFonts w:ascii="仿宋_GB2312" w:hAnsi="仿宋" w:eastAsia="仿宋_GB2312"/>
          <w:color w:val="000000" w:themeColor="text1"/>
          <w:sz w:val="24"/>
          <w:highlight w:val="none"/>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olor w:val="000000" w:themeColor="text1"/>
          <w:sz w:val="24"/>
          <w:highlight w:val="none"/>
          <w14:textFill>
            <w14:solidFill>
              <w14:schemeClr w14:val="tx1"/>
            </w14:solidFill>
          </w14:textFill>
        </w:rPr>
        <w:t>自认定之日起</w:t>
      </w:r>
      <w:r>
        <w:rPr>
          <w:rFonts w:ascii="仿宋_GB2312" w:hAnsi="仿宋" w:eastAsia="仿宋_GB2312"/>
          <w:color w:val="000000" w:themeColor="text1"/>
          <w:sz w:val="24"/>
          <w:highlight w:val="none"/>
          <w14:textFill>
            <w14:solidFill>
              <w14:schemeClr w14:val="tx1"/>
            </w14:solidFill>
          </w14:textFill>
        </w:rPr>
        <w:t>2年内视同已具备相应销售业绩，参加政府采购活动</w:t>
      </w:r>
      <w:r>
        <w:rPr>
          <w:rFonts w:hint="eastAsia" w:ascii="仿宋_GB2312" w:hAnsi="仿宋" w:eastAsia="仿宋_GB2312"/>
          <w:color w:val="000000" w:themeColor="text1"/>
          <w:sz w:val="24"/>
          <w:highlight w:val="none"/>
          <w14:textFill>
            <w14:solidFill>
              <w14:schemeClr w14:val="tx1"/>
            </w14:solidFill>
          </w14:textFill>
        </w:rPr>
        <w:t>时业绩分值为满分。</w:t>
      </w:r>
    </w:p>
    <w:p>
      <w:pPr>
        <w:spacing w:line="360" w:lineRule="auto"/>
        <w:ind w:firstLine="42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themeColor="text1"/>
          <w:sz w:val="24"/>
          <w:highlight w:val="none"/>
          <w14:textFill>
            <w14:solidFill>
              <w14:schemeClr w14:val="tx1"/>
            </w14:solidFill>
          </w14:textFill>
        </w:rPr>
        <w:t>登录</w:t>
      </w:r>
      <w:r>
        <w:rPr>
          <w:rFonts w:ascii="仿宋_GB2312" w:hAnsi="仿宋" w:eastAsia="仿宋_GB2312"/>
          <w:color w:val="000000" w:themeColor="text1"/>
          <w:sz w:val="24"/>
          <w:highlight w:val="none"/>
          <w14:textFill>
            <w14:solidFill>
              <w14:schemeClr w14:val="tx1"/>
            </w14:solidFill>
          </w14:textFill>
        </w:rPr>
        <w:t>杭州市政府采购网“中小企业信用融资”模块，查看信用融资政策文件及各相关银行服务方案。</w:t>
      </w:r>
      <w:r>
        <w:rPr>
          <w:rFonts w:ascii="仿宋_GB2312" w:hAnsi="仿宋" w:eastAsia="仿宋_GB2312"/>
          <w:color w:val="000000" w:themeColor="text1"/>
          <w:sz w:val="24"/>
          <w:highlight w:val="none"/>
          <w14:textFill>
            <w14:solidFill>
              <w14:schemeClr w14:val="tx1"/>
            </w14:solidFill>
          </w14:textFill>
        </w:rPr>
        <w:cr/>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 xml:space="preserve">4. </w:t>
      </w:r>
      <w:r>
        <w:rPr>
          <w:rFonts w:hint="eastAsia" w:ascii="仿宋_GB2312" w:hAnsi="仿宋" w:eastAsia="仿宋_GB2312"/>
          <w:b/>
          <w:color w:val="000000" w:themeColor="text1"/>
          <w:sz w:val="24"/>
          <w:highlight w:val="none"/>
          <w14:textFill>
            <w14:solidFill>
              <w14:schemeClr w14:val="tx1"/>
            </w14:solidFill>
          </w14:textFill>
        </w:rPr>
        <w:t>询问、质疑、投诉</w:t>
      </w:r>
    </w:p>
    <w:p>
      <w:pPr>
        <w:autoSpaceDE w:val="0"/>
        <w:autoSpaceDN w:val="0"/>
        <w:spacing w:line="360" w:lineRule="auto"/>
        <w:ind w:firstLine="42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highlight w:val="none"/>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4.2供应商质疑</w:t>
      </w:r>
    </w:p>
    <w:p>
      <w:pPr>
        <w:pStyle w:val="33"/>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w:t>
      </w:r>
      <w:r>
        <w:rPr>
          <w:rFonts w:hint="eastAsia" w:ascii="仿宋_GB2312" w:hAnsi="仿宋" w:eastAsia="仿宋_GB2312"/>
          <w:color w:val="000000" w:themeColor="text1"/>
          <w:sz w:val="24"/>
          <w:highlight w:val="none"/>
          <w14:textFill>
            <w14:solidFill>
              <w14:schemeClr w14:val="tx1"/>
            </w14:solidFill>
          </w14:textFill>
        </w:rPr>
        <w:t>采购代理机构</w:t>
      </w:r>
      <w:r>
        <w:rPr>
          <w:rFonts w:ascii="仿宋_GB2312" w:hAnsi="仿宋" w:eastAsia="仿宋_GB2312"/>
          <w:color w:val="000000" w:themeColor="text1"/>
          <w:sz w:val="24"/>
          <w:highlight w:val="none"/>
          <w14:textFill>
            <w14:solidFill>
              <w14:schemeClr w14:val="tx1"/>
            </w14:solidFill>
          </w14:textFill>
        </w:rPr>
        <w:t>提出质疑，否则，采购人或者</w:t>
      </w:r>
      <w:r>
        <w:rPr>
          <w:rFonts w:hint="eastAsia" w:ascii="仿宋_GB2312" w:hAnsi="仿宋" w:eastAsia="仿宋_GB2312"/>
          <w:color w:val="000000" w:themeColor="text1"/>
          <w:sz w:val="24"/>
          <w:highlight w:val="none"/>
          <w14:textFill>
            <w14:solidFill>
              <w14:schemeClr w14:val="tx1"/>
            </w14:solidFill>
          </w14:textFill>
        </w:rPr>
        <w:t>采购代理机构</w:t>
      </w:r>
      <w:r>
        <w:rPr>
          <w:rFonts w:ascii="仿宋_GB2312" w:hAnsi="仿宋" w:eastAsia="仿宋_GB2312"/>
          <w:color w:val="000000" w:themeColor="text1"/>
          <w:sz w:val="24"/>
          <w:highlight w:val="none"/>
          <w14:textFill>
            <w14:solidFill>
              <w14:schemeClr w14:val="tx1"/>
            </w14:solidFill>
          </w14:textFill>
        </w:rPr>
        <w:t>不予受理：</w:t>
      </w:r>
    </w:p>
    <w:p>
      <w:pPr>
        <w:pStyle w:val="6"/>
        <w:spacing w:line="360" w:lineRule="auto"/>
        <w:ind w:firstLine="480" w:firstLineChars="200"/>
        <w:rPr>
          <w:rFonts w:ascii="仿宋_GB2312" w:hAnsi="仿宋" w:eastAsia="仿宋_GB2312"/>
          <w:snapToGrid/>
          <w:color w:val="000000" w:themeColor="text1"/>
          <w:kern w:val="2"/>
          <w:sz w:val="24"/>
          <w:highlight w:val="none"/>
          <w14:textFill>
            <w14:solidFill>
              <w14:schemeClr w14:val="tx1"/>
            </w14:solidFill>
          </w14:textFill>
        </w:rPr>
      </w:pPr>
      <w:r>
        <w:rPr>
          <w:rFonts w:ascii="仿宋_GB2312" w:hAnsi="仿宋" w:eastAsia="仿宋_GB2312"/>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w:t>
      </w:r>
      <w:r>
        <w:rPr>
          <w:rFonts w:hint="eastAsia" w:ascii="仿宋_GB2312" w:hAnsi="仿宋" w:eastAsia="仿宋_GB2312"/>
          <w:color w:val="000000" w:themeColor="text1"/>
          <w:sz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　　</w:t>
      </w:r>
      <w:r>
        <w:rPr>
          <w:rFonts w:ascii="仿宋_GB2312" w:hAnsi="仿宋" w:eastAsia="仿宋_GB2312" w:cs="微软雅黑"/>
          <w:color w:val="000000" w:themeColor="text1"/>
          <w:kern w:val="0"/>
          <w:sz w:val="24"/>
          <w:highlight w:val="none"/>
          <w:lang w:val="zh-CN"/>
          <w14:textFill>
            <w14:solidFill>
              <w14:schemeClr w14:val="tx1"/>
            </w14:solidFill>
          </w14:textFill>
        </w:rPr>
        <w:t>4.2.3.1</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供应商的姓名或者名称、地址、邮编、联系人及联系电话；</w:t>
      </w:r>
    </w:p>
    <w:p>
      <w:pPr>
        <w:pStyle w:val="33"/>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　　</w:t>
      </w:r>
      <w:r>
        <w:rPr>
          <w:rFonts w:ascii="仿宋_GB2312" w:hAnsi="仿宋" w:eastAsia="仿宋_GB2312" w:cs="微软雅黑"/>
          <w:color w:val="000000" w:themeColor="text1"/>
          <w:kern w:val="0"/>
          <w:sz w:val="24"/>
          <w:highlight w:val="none"/>
          <w:lang w:val="zh-CN"/>
          <w14:textFill>
            <w14:solidFill>
              <w14:schemeClr w14:val="tx1"/>
            </w14:solidFill>
          </w14:textFill>
        </w:rPr>
        <w:t>4.2.3.2</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质疑项目的名称、编号；</w:t>
      </w:r>
    </w:p>
    <w:p>
      <w:pPr>
        <w:pStyle w:val="33"/>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　　</w:t>
      </w:r>
      <w:r>
        <w:rPr>
          <w:rFonts w:ascii="仿宋_GB2312" w:hAnsi="仿宋" w:eastAsia="仿宋_GB2312" w:cs="微软雅黑"/>
          <w:color w:val="000000" w:themeColor="text1"/>
          <w:kern w:val="0"/>
          <w:sz w:val="24"/>
          <w:highlight w:val="none"/>
          <w:lang w:val="zh-CN"/>
          <w14:textFill>
            <w14:solidFill>
              <w14:schemeClr w14:val="tx1"/>
            </w14:solidFill>
          </w14:textFill>
        </w:rPr>
        <w:t>4.2.3.3</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具体、明确的质疑事项和与质疑事项相关的请求；</w:t>
      </w:r>
    </w:p>
    <w:p>
      <w:pPr>
        <w:pStyle w:val="33"/>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　　</w:t>
      </w:r>
      <w:r>
        <w:rPr>
          <w:rFonts w:ascii="仿宋_GB2312" w:hAnsi="仿宋" w:eastAsia="仿宋_GB2312" w:cs="微软雅黑"/>
          <w:color w:val="000000" w:themeColor="text1"/>
          <w:kern w:val="0"/>
          <w:sz w:val="24"/>
          <w:highlight w:val="none"/>
          <w:lang w:val="zh-CN"/>
          <w14:textFill>
            <w14:solidFill>
              <w14:schemeClr w14:val="tx1"/>
            </w14:solidFill>
          </w14:textFill>
        </w:rPr>
        <w:t>4.2.3.4</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事实依据；</w:t>
      </w:r>
    </w:p>
    <w:p>
      <w:pPr>
        <w:pStyle w:val="33"/>
        <w:spacing w:line="360" w:lineRule="auto"/>
        <w:ind w:firstLine="480" w:firstLineChars="2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　　</w:t>
      </w:r>
      <w:r>
        <w:rPr>
          <w:rFonts w:ascii="仿宋_GB2312" w:hAnsi="仿宋" w:eastAsia="仿宋_GB2312" w:cs="微软雅黑"/>
          <w:color w:val="000000" w:themeColor="text1"/>
          <w:kern w:val="0"/>
          <w:sz w:val="24"/>
          <w:highlight w:val="none"/>
          <w:lang w:val="zh-CN"/>
          <w14:textFill>
            <w14:solidFill>
              <w14:schemeClr w14:val="tx1"/>
            </w14:solidFill>
          </w14:textFill>
        </w:rPr>
        <w:t>4.2.3.5</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必要的法律依据；</w:t>
      </w:r>
    </w:p>
    <w:p>
      <w:pPr>
        <w:pStyle w:val="33"/>
        <w:spacing w:line="360" w:lineRule="auto"/>
        <w:ind w:firstLine="960" w:firstLineChars="400"/>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4.2.3.6</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提出质疑的日期。</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2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质疑函范本及制作说明详见附件</w:t>
      </w:r>
      <w:r>
        <w:rPr>
          <w:rFonts w:ascii="仿宋_GB2312" w:hAnsi="仿宋" w:eastAsia="仿宋_GB2312"/>
          <w:color w:val="000000" w:themeColor="text1"/>
          <w:highlight w:val="none"/>
          <w14:textFill>
            <w14:solidFill>
              <w14:schemeClr w14:val="tx1"/>
            </w14:solidFill>
          </w14:textFill>
        </w:rPr>
        <w:t>2。</w:t>
      </w:r>
    </w:p>
    <w:p>
      <w:pPr>
        <w:pStyle w:val="888"/>
        <w:shd w:val="clear" w:color="auto" w:fill="FFFFFF"/>
        <w:snapToGrid w:val="0"/>
        <w:spacing w:after="240" w:afterAutospacing="0" w:line="360" w:lineRule="auto"/>
        <w:ind w:firstLine="42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.4</w:t>
      </w:r>
      <w:r>
        <w:rPr>
          <w:rFonts w:hint="eastAsia" w:ascii="仿宋_GB2312" w:hAnsi="仿宋" w:eastAsia="仿宋_GB2312"/>
          <w:color w:val="000000" w:themeColor="text1"/>
          <w:highlight w:val="none"/>
          <w14:textFill>
            <w14:solidFill>
              <w14:schemeClr w14:val="tx1"/>
            </w14:solidFill>
          </w14:textFill>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themeColor="text1"/>
          <w:highlight w:val="none"/>
          <w14:textFill>
            <w14:solidFill>
              <w14:schemeClr w14:val="tx1"/>
            </w14:solidFill>
          </w14:textFill>
        </w:rPr>
        <w:t>2021〕17号）,</w:t>
      </w:r>
      <w:r>
        <w:rPr>
          <w:rFonts w:hint="eastAsia" w:ascii="仿宋_GB2312" w:hAnsi="仿宋" w:eastAsia="仿宋_GB2312"/>
          <w:color w:val="000000" w:themeColor="text1"/>
          <w:highlight w:val="none"/>
          <w14:textFill>
            <w14:solidFill>
              <w14:schemeClr w14:val="tx1"/>
            </w14:solidFill>
          </w14:textFill>
        </w:rPr>
        <w:t>采购人或者采购代理机构在质疑回复后</w:t>
      </w:r>
      <w:r>
        <w:rPr>
          <w:rFonts w:ascii="仿宋_GB2312" w:hAnsi="仿宋" w:eastAsia="仿宋_GB2312"/>
          <w:color w:val="000000" w:themeColor="text1"/>
          <w:highlight w:val="none"/>
          <w14:textFill>
            <w14:solidFill>
              <w14:schemeClr w14:val="tx1"/>
            </w14:solidFill>
          </w14:textFill>
        </w:rPr>
        <w:t>5个工作日内，在浙江政府采购网的“其他公告”栏目公开质疑答复，答复内容应当完整。质疑</w:t>
      </w:r>
      <w:r>
        <w:rPr>
          <w:rFonts w:hint="eastAsia" w:ascii="仿宋_GB2312" w:hAnsi="仿宋" w:eastAsia="仿宋_GB2312"/>
          <w:color w:val="000000" w:themeColor="text1"/>
          <w:highlight w:val="none"/>
          <w14:textFill>
            <w14:solidFill>
              <w14:schemeClr w14:val="tx1"/>
            </w14:solidFill>
          </w14:textFill>
        </w:rPr>
        <w:t>函作为附件上传。</w:t>
      </w:r>
    </w:p>
    <w:p>
      <w:pPr>
        <w:pStyle w:val="888"/>
        <w:shd w:val="clear" w:color="auto" w:fill="FFFFFF"/>
        <w:snapToGrid w:val="0"/>
        <w:spacing w:after="240" w:afterAutospacing="0" w:line="360" w:lineRule="auto"/>
        <w:ind w:firstLine="42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20"/>
        <w:contextualSpacing/>
        <w:rPr>
          <w:rFonts w:ascii="仿宋_GB2312" w:hAnsi="仿宋" w:eastAsia="仿宋_GB2312" w:cs="微软雅黑"/>
          <w:color w:val="000000" w:themeColor="text1"/>
          <w:highlight w:val="none"/>
          <w:lang w:val="zh-CN"/>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4.3供应商投诉</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4.3.1质疑供应商对采购人、</w:t>
      </w:r>
      <w:r>
        <w:rPr>
          <w:rFonts w:hint="eastAsia" w:ascii="仿宋_GB2312" w:hAnsi="仿宋" w:eastAsia="仿宋_GB2312"/>
          <w:color w:val="000000" w:themeColor="text1"/>
          <w:highlight w:val="none"/>
          <w14:textFill>
            <w14:solidFill>
              <w14:schemeClr w14:val="tx1"/>
            </w14:solidFill>
          </w14:textFill>
        </w:rPr>
        <w:t>采购代理机构</w:t>
      </w:r>
      <w:r>
        <w:rPr>
          <w:rFonts w:ascii="仿宋_GB2312" w:hAnsi="仿宋" w:eastAsia="仿宋_GB2312"/>
          <w:color w:val="000000" w:themeColor="text1"/>
          <w:highlight w:val="none"/>
          <w14:textFill>
            <w14:solidFill>
              <w14:schemeClr w14:val="tx1"/>
            </w14:solidFill>
          </w14:textFill>
        </w:rPr>
        <w:t>的答复不满意或者采购人、</w:t>
      </w:r>
      <w:r>
        <w:rPr>
          <w:rFonts w:hint="eastAsia" w:ascii="仿宋_GB2312" w:hAnsi="仿宋" w:eastAsia="仿宋_GB2312"/>
          <w:color w:val="000000" w:themeColor="text1"/>
          <w:highlight w:val="none"/>
          <w14:textFill>
            <w14:solidFill>
              <w14:schemeClr w14:val="tx1"/>
            </w14:solidFill>
          </w14:textFill>
        </w:rPr>
        <w:t>采购代理机构</w:t>
      </w:r>
      <w:r>
        <w:rPr>
          <w:rFonts w:ascii="仿宋_GB2312" w:hAnsi="仿宋" w:eastAsia="仿宋_GB2312"/>
          <w:color w:val="000000" w:themeColor="text1"/>
          <w:highlight w:val="none"/>
          <w14:textFill>
            <w14:solidFill>
              <w14:schemeClr w14:val="tx1"/>
            </w14:solidFill>
          </w14:textFill>
        </w:rPr>
        <w:t>未在规定的时间内</w:t>
      </w:r>
      <w:r>
        <w:rPr>
          <w:rFonts w:hint="eastAsia" w:ascii="仿宋_GB2312" w:hAnsi="仿宋" w:eastAsia="仿宋_GB2312"/>
          <w:color w:val="000000" w:themeColor="text1"/>
          <w:highlight w:val="none"/>
          <w14:textFill>
            <w14:solidFill>
              <w14:schemeClr w14:val="tx1"/>
            </w14:solidFill>
          </w14:textFill>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w:t>
      </w:r>
      <w:r>
        <w:rPr>
          <w:rFonts w:ascii="仿宋_GB2312" w:hAnsi="仿宋" w:eastAsia="仿宋_GB2312" w:cs="微软雅黑"/>
          <w:color w:val="000000" w:themeColor="text1"/>
          <w:highlight w:val="none"/>
          <w:lang w:val="zh-CN"/>
          <w14:textFill>
            <w14:solidFill>
              <w14:schemeClr w14:val="tx1"/>
            </w14:solidFill>
          </w14:textFill>
        </w:rPr>
        <w:t>2</w:t>
      </w:r>
      <w:r>
        <w:rPr>
          <w:rFonts w:hint="eastAsia" w:ascii="仿宋_GB2312" w:hAnsi="仿宋" w:eastAsia="仿宋_GB2312"/>
          <w:color w:val="000000" w:themeColor="text1"/>
          <w:highlight w:val="none"/>
          <w14:textFill>
            <w14:solidFill>
              <w14:schemeClr w14:val="tx1"/>
            </w14:solidFill>
          </w14:textFill>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4.3.3供应</w:t>
      </w:r>
      <w:r>
        <w:rPr>
          <w:rFonts w:hint="eastAsia" w:ascii="仿宋_GB2312" w:hAnsi="仿宋" w:eastAsia="仿宋_GB2312"/>
          <w:color w:val="000000" w:themeColor="text1"/>
          <w:highlight w:val="none"/>
          <w14:textFill>
            <w14:solidFill>
              <w14:schemeClr w14:val="tx1"/>
            </w14:solidFill>
          </w14:textFill>
        </w:rPr>
        <w:t>商投诉应当有明确的请求和必要的证明材料。</w:t>
      </w:r>
    </w:p>
    <w:p>
      <w:pPr>
        <w:pStyle w:val="888"/>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w:t>
      </w:r>
      <w:r>
        <w:rPr>
          <w:rFonts w:hint="eastAsia" w:ascii="仿宋_GB2312" w:hAnsi="仿宋" w:eastAsia="仿宋_GB2312"/>
          <w:color w:val="000000" w:themeColor="text1"/>
          <w:highlight w:val="none"/>
          <w14:textFill>
            <w14:solidFill>
              <w14:schemeClr w14:val="tx1"/>
            </w14:solidFill>
          </w14:textFill>
        </w:rPr>
        <w:t>4以联合体形式参加政府采购活动的，其投诉应当由组成联合体的所有供应商共同提出。</w:t>
      </w:r>
    </w:p>
    <w:p>
      <w:pPr>
        <w:pStyle w:val="888"/>
        <w:shd w:val="clear" w:color="auto" w:fill="FFFFFF"/>
        <w:snapToGrid w:val="0"/>
        <w:spacing w:after="240" w:afterAutospacing="0" w:line="360" w:lineRule="auto"/>
        <w:ind w:firstLine="42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投诉书范本及制作说明详见附件</w:t>
      </w:r>
      <w:r>
        <w:rPr>
          <w:rFonts w:ascii="仿宋_GB2312" w:hAnsi="仿宋" w:eastAsia="仿宋_GB2312"/>
          <w:color w:val="000000" w:themeColor="text1"/>
          <w:highlight w:val="none"/>
          <w14:textFill>
            <w14:solidFill>
              <w14:schemeClr w14:val="tx1"/>
            </w14:solidFill>
          </w14:textFill>
        </w:rPr>
        <w:t>3。</w:t>
      </w:r>
    </w:p>
    <w:p>
      <w:pPr>
        <w:pStyle w:val="131"/>
        <w:snapToGrid w:val="0"/>
        <w:spacing w:before="0"/>
        <w:ind w:firstLine="360"/>
        <w:rPr>
          <w:rFonts w:ascii="仿宋_GB2312" w:hAnsi="仿宋" w:eastAsia="仿宋_GB2312" w:cs="仿宋_GB2312"/>
          <w:color w:val="000000" w:themeColor="text1"/>
          <w:sz w:val="18"/>
          <w:szCs w:val="18"/>
          <w:highlight w:val="none"/>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2"/>
          <w:szCs w:val="20"/>
          <w:highlight w:val="none"/>
          <w14:textFill>
            <w14:solidFill>
              <w14:schemeClr w14:val="tx1"/>
            </w14:solidFill>
          </w14:textFill>
        </w:rPr>
      </w:pPr>
      <w:r>
        <w:rPr>
          <w:rFonts w:ascii="仿宋_GB2312" w:hAnsi="仿宋" w:eastAsia="仿宋_GB2312" w:cs="仿宋_GB2312"/>
          <w:b/>
          <w:color w:val="000000" w:themeColor="text1"/>
          <w:sz w:val="32"/>
          <w:szCs w:val="20"/>
          <w:highlight w:val="none"/>
          <w14:textFill>
            <w14:solidFill>
              <w14:schemeClr w14:val="tx1"/>
            </w14:solidFill>
          </w14:textFill>
        </w:rPr>
        <w:t>二、招标文件的构成、澄清、修改</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5．招标文件的构成</w:t>
      </w:r>
    </w:p>
    <w:p>
      <w:pPr>
        <w:pStyle w:val="33"/>
        <w:spacing w:line="360" w:lineRule="auto"/>
        <w:ind w:firstLine="42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6. </w:t>
      </w:r>
      <w:r>
        <w:rPr>
          <w:rFonts w:hint="eastAsia" w:ascii="仿宋_GB2312" w:hAnsi="仿宋" w:eastAsia="仿宋_GB2312" w:cs="仿宋_GB2312"/>
          <w:b/>
          <w:color w:val="000000" w:themeColor="text1"/>
          <w:sz w:val="24"/>
          <w:szCs w:val="24"/>
          <w:highlight w:val="none"/>
          <w14:textFill>
            <w14:solidFill>
              <w14:schemeClr w14:val="tx1"/>
            </w14:solidFill>
          </w14:textFill>
        </w:rPr>
        <w:t>招标文件的澄清、修改</w:t>
      </w:r>
    </w:p>
    <w:p>
      <w:pPr>
        <w:pStyle w:val="131"/>
        <w:snapToGrid w:val="0"/>
        <w:spacing w:before="0"/>
        <w:ind w:firstLine="42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w:t>
      </w:r>
      <w:r>
        <w:rPr>
          <w:rFonts w:hint="eastAsia" w:ascii="仿宋_GB2312" w:hAnsi="仿宋" w:eastAsia="仿宋_GB2312" w:cs="仿宋_GB2312"/>
          <w:color w:val="000000" w:themeColor="text1"/>
          <w:highlight w:val="none"/>
          <w14:textFill>
            <w14:solidFill>
              <w14:schemeClr w14:val="tx1"/>
            </w14:solidFill>
          </w14:textFill>
        </w:rPr>
        <w:t>采购代理机构</w:t>
      </w:r>
      <w:r>
        <w:rPr>
          <w:rFonts w:ascii="仿宋_GB2312" w:hAnsi="仿宋" w:eastAsia="仿宋_GB2312" w:cs="仿宋_GB2312"/>
          <w:color w:val="000000" w:themeColor="text1"/>
          <w:highlight w:val="none"/>
          <w14:textFill>
            <w14:solidFill>
              <w14:schemeClr w14:val="tx1"/>
            </w14:solidFill>
          </w14:textFill>
        </w:rPr>
        <w:t>提出。</w:t>
      </w:r>
    </w:p>
    <w:p>
      <w:pPr>
        <w:pStyle w:val="131"/>
        <w:snapToGrid w:val="0"/>
        <w:spacing w:before="0"/>
        <w:ind w:firstLine="420" w:firstLineChars="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color w:val="000000" w:themeColor="text1"/>
          <w:sz w:val="18"/>
          <w:szCs w:val="18"/>
          <w:highlight w:val="none"/>
          <w:lang w:val="en-US"/>
          <w14:textFill>
            <w14:solidFill>
              <w14:schemeClr w14:val="tx1"/>
            </w14:solidFill>
          </w14:textFill>
        </w:rPr>
      </w:pPr>
      <w:r>
        <w:rPr>
          <w:rFonts w:ascii="仿宋_GB2312" w:hAnsi="仿宋" w:eastAsia="仿宋_GB2312" w:cs="仿宋_GB2312"/>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ascii="仿宋_GB2312" w:hAnsi="仿宋" w:eastAsia="仿宋_GB2312" w:cs="仿宋_GB2312"/>
          <w:b/>
          <w:color w:val="000000" w:themeColor="text1"/>
          <w:sz w:val="30"/>
          <w:szCs w:val="20"/>
          <w:highlight w:val="none"/>
          <w14:textFill>
            <w14:solidFill>
              <w14:schemeClr w14:val="tx1"/>
            </w14:solidFill>
          </w14:textFill>
        </w:rPr>
      </w:pPr>
      <w:r>
        <w:rPr>
          <w:rFonts w:hint="eastAsia" w:ascii="仿宋_GB2312" w:hAnsi="仿宋" w:eastAsia="仿宋_GB2312" w:cs="仿宋_GB2312"/>
          <w:b/>
          <w:color w:val="000000" w:themeColor="text1"/>
          <w:sz w:val="30"/>
          <w:szCs w:val="20"/>
          <w:highlight w:val="none"/>
          <w14:textFill>
            <w14:solidFill>
              <w14:schemeClr w14:val="tx1"/>
            </w14:solidFill>
          </w14:textFill>
        </w:rPr>
        <w:t>三、投标</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7. </w:t>
      </w:r>
      <w:r>
        <w:rPr>
          <w:rFonts w:hint="eastAsia" w:ascii="仿宋_GB2312" w:hAnsi="仿宋" w:eastAsia="仿宋_GB2312" w:cs="仿宋_GB2312"/>
          <w:b/>
          <w:color w:val="000000" w:themeColor="text1"/>
          <w:sz w:val="24"/>
          <w:szCs w:val="24"/>
          <w:highlight w:val="none"/>
          <w14:textFill>
            <w14:solidFill>
              <w14:schemeClr w14:val="tx1"/>
            </w14:solidFill>
          </w14:textFill>
        </w:rPr>
        <w:t>招标文件的获取</w:t>
      </w:r>
    </w:p>
    <w:p>
      <w:pPr>
        <w:spacing w:line="360" w:lineRule="auto"/>
        <w:ind w:firstLine="420"/>
        <w:rPr>
          <w:rFonts w:ascii="仿宋_GB2312" w:hAnsi="仿宋" w:eastAsia="仿宋_GB2312" w:cs="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cs="仿宋_GB2312"/>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8.开标前答疑会或现场考察</w:t>
      </w:r>
    </w:p>
    <w:p>
      <w:pPr>
        <w:pStyle w:val="33"/>
        <w:spacing w:line="360" w:lineRule="auto"/>
        <w:ind w:firstLine="420"/>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b/>
          <w:color w:val="000000" w:themeColor="text1"/>
          <w:kern w:val="28"/>
          <w:sz w:val="24"/>
          <w:szCs w:val="24"/>
          <w:highlight w:val="none"/>
          <w14:textFill>
            <w14:solidFill>
              <w14:schemeClr w14:val="tx1"/>
            </w14:solidFill>
          </w14:textFill>
        </w:rPr>
      </w:pPr>
    </w:p>
    <w:p>
      <w:pPr>
        <w:pStyle w:val="33"/>
        <w:spacing w:line="360" w:lineRule="auto"/>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b/>
          <w:color w:val="000000" w:themeColor="text1"/>
          <w:kern w:val="28"/>
          <w:sz w:val="24"/>
          <w:szCs w:val="24"/>
          <w:highlight w:val="none"/>
          <w14:textFill>
            <w14:solidFill>
              <w14:schemeClr w14:val="tx1"/>
            </w14:solidFill>
          </w14:textFill>
        </w:rPr>
        <w:t>9.投标保证金</w:t>
      </w:r>
    </w:p>
    <w:p>
      <w:pPr>
        <w:pStyle w:val="6"/>
        <w:spacing w:line="360" w:lineRule="auto"/>
        <w:ind w:firstLine="470" w:firstLineChars="196"/>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10.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投标文件的语言</w:t>
      </w:r>
    </w:p>
    <w:p>
      <w:pPr>
        <w:autoSpaceDE w:val="0"/>
        <w:autoSpaceDN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11.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（本项目不适用）</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r>
        <w:rPr>
          <w:rFonts w:hint="eastAsia" w:ascii="仿宋_GB2312" w:hAnsi="仿宋" w:eastAsia="仿宋_GB2312" w:cs="仿宋_GB2312"/>
          <w:color w:val="000000" w:themeColor="text1"/>
          <w:sz w:val="24"/>
          <w:highlight w:val="none"/>
          <w14:textFill>
            <w14:solidFill>
              <w14:schemeClr w14:val="tx1"/>
            </w14:solidFill>
          </w14:textFill>
        </w:rPr>
        <w:t>（本项目不适用）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r>
        <w:rPr>
          <w:rFonts w:hint="eastAsia" w:ascii="仿宋_GB2312" w:hAnsi="仿宋" w:eastAsia="仿宋_GB2312" w:cs="仿宋_GB2312"/>
          <w:color w:val="000000" w:themeColor="text1"/>
          <w:sz w:val="24"/>
          <w:highlight w:val="none"/>
          <w14:textFill>
            <w14:solidFill>
              <w14:schemeClr w14:val="tx1"/>
            </w14:solidFill>
          </w14:textFill>
        </w:rPr>
        <w:t>（本项目不适用）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pStyle w:val="81"/>
        <w:spacing w:line="360" w:lineRule="auto"/>
        <w:ind w:firstLine="960" w:firstLineChars="400"/>
        <w:rPr>
          <w:color w:val="000000" w:themeColor="text1"/>
          <w:highlight w:val="none"/>
          <w14:textFill>
            <w14:solidFill>
              <w14:schemeClr w14:val="tx1"/>
            </w14:solidFill>
          </w14:textFill>
        </w:rPr>
      </w:pPr>
      <w:r>
        <w:rPr>
          <w:rFonts w:hAnsi="仿宋"/>
          <w:color w:val="000000" w:themeColor="text1"/>
          <w:highlight w:val="none"/>
          <w:lang w:val="zh-CN"/>
          <w14:textFill>
            <w14:solidFill>
              <w14:schemeClr w14:val="tx1"/>
            </w14:solidFill>
          </w14:textFill>
        </w:rPr>
        <w:t>11.</w:t>
      </w:r>
      <w:r>
        <w:rPr>
          <w:rFonts w:hAnsi="仿宋"/>
          <w:color w:val="000000" w:themeColor="text1"/>
          <w:highlight w:val="none"/>
          <w14:textFill>
            <w14:solidFill>
              <w14:schemeClr w14:val="tx1"/>
            </w14:solidFill>
          </w14:textFill>
        </w:rPr>
        <w:t>2</w:t>
      </w:r>
      <w:r>
        <w:rPr>
          <w:rFonts w:hAnsi="仿宋"/>
          <w:color w:val="000000" w:themeColor="text1"/>
          <w:highlight w:val="none"/>
          <w:lang w:val="zh-CN"/>
          <w14:textFill>
            <w14:solidFill>
              <w14:schemeClr w14:val="tx1"/>
            </w14:solidFill>
          </w14:textFill>
        </w:rPr>
        <w:t>.</w:t>
      </w:r>
      <w:r>
        <w:rPr>
          <w:rFonts w:hAnsi="仿宋"/>
          <w:color w:val="000000" w:themeColor="text1"/>
          <w:highlight w:val="none"/>
          <w14:textFill>
            <w14:solidFill>
              <w14:schemeClr w14:val="tx1"/>
            </w14:solidFill>
          </w14:textFill>
        </w:rPr>
        <w:t>8</w:t>
      </w:r>
      <w:r>
        <w:rPr>
          <w:rFonts w:hint="eastAsia" w:hAnsi="仿宋"/>
          <w:color w:val="000000" w:themeColor="text1"/>
          <w:highlight w:val="none"/>
          <w:lang w:val="zh-CN"/>
          <w14:textFill>
            <w14:solidFill>
              <w14:schemeClr w14:val="tx1"/>
            </w14:solidFill>
          </w14:textFill>
        </w:rPr>
        <w:t>政府采购供应商廉洁自律承诺书；</w:t>
      </w:r>
    </w:p>
    <w:p>
      <w:pPr>
        <w:snapToGrid w:val="0"/>
        <w:spacing w:line="360" w:lineRule="auto"/>
        <w:ind w:firstLine="960" w:firstLineChars="400"/>
        <w:rPr>
          <w:color w:val="000000" w:themeColor="text1"/>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9中标服务费支付承诺书</w:t>
      </w:r>
      <w:r>
        <w:rPr>
          <w:rFonts w:hint="eastAsia" w:ascii="仿宋_GB2312" w:hAnsi="仿宋" w:eastAsia="仿宋_GB2312" w:cs="仿宋_GB2312"/>
          <w:color w:val="000000" w:themeColor="text1"/>
          <w:sz w:val="24"/>
          <w:highlight w:val="none"/>
          <w:lang w:val="zh-CN"/>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w:t>
      </w:r>
      <w:r>
        <w:rPr>
          <w:rFonts w:hint="eastAsia" w:ascii="仿宋_GB2312" w:hAnsi="仿宋" w:eastAsia="仿宋_GB2312" w:cs="仿宋_GB2312"/>
          <w:color w:val="000000" w:themeColor="text1"/>
          <w:sz w:val="24"/>
          <w:highlight w:val="none"/>
          <w14:textFill>
            <w14:solidFill>
              <w14:schemeClr w14:val="tx1"/>
            </w14:solidFill>
          </w14:textFill>
        </w:rPr>
        <w:t>投标报价明细表</w:t>
      </w:r>
      <w:r>
        <w:rPr>
          <w:rFonts w:ascii="仿宋_GB2312" w:hAnsi="仿宋" w:eastAsia="仿宋_GB2312" w:cs="仿宋_GB2312"/>
          <w:color w:val="000000" w:themeColor="text1"/>
          <w:sz w:val="24"/>
          <w:highlight w:val="none"/>
          <w14:textFill>
            <w14:solidFill>
              <w14:schemeClr w14:val="tx1"/>
            </w14:solidFill>
          </w14:textFill>
        </w:rPr>
        <w:t>。</w:t>
      </w:r>
    </w:p>
    <w:p>
      <w:pPr>
        <w:spacing w:line="360" w:lineRule="auto"/>
        <w:ind w:firstLine="42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420"/>
        <w:rPr>
          <w:rFonts w:ascii="仿宋_GB2312" w:hAnsi="仿宋" w:eastAsia="仿宋_GB2312" w:cs="仿宋_GB2312"/>
          <w:b/>
          <w:color w:val="000000" w:themeColor="text1"/>
          <w:sz w:val="24"/>
          <w:szCs w:val="21"/>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pStyle w:val="131"/>
        <w:snapToGrid w:val="0"/>
        <w:spacing w:before="0"/>
        <w:ind w:firstLine="0" w:firstLineChars="0"/>
        <w:outlineLvl w:val="0"/>
        <w:rPr>
          <w:rFonts w:ascii="仿宋_GB2312" w:hAnsi="仿宋" w:eastAsia="仿宋_GB2312" w:cs="仿宋_GB2312"/>
          <w:b/>
          <w:color w:val="000000" w:themeColor="text1"/>
          <w:szCs w:val="24"/>
          <w:highlight w:val="none"/>
          <w14:textFill>
            <w14:solidFill>
              <w14:schemeClr w14:val="tx1"/>
            </w14:solidFill>
          </w14:textFill>
        </w:rPr>
      </w:pPr>
    </w:p>
    <w:p>
      <w:pPr>
        <w:pStyle w:val="131"/>
        <w:snapToGrid w:val="0"/>
        <w:spacing w:before="0"/>
        <w:ind w:firstLine="0" w:firstLineChars="0"/>
        <w:outlineLvl w:val="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12</w:t>
      </w:r>
      <w:r>
        <w:rPr>
          <w:rFonts w:ascii="仿宋_GB2312" w:hAnsi="仿宋" w:eastAsia="仿宋_GB2312" w:cs="仿宋_GB2312"/>
          <w:b/>
          <w:color w:val="000000" w:themeColor="text1"/>
          <w:kern w:val="0"/>
          <w:szCs w:val="24"/>
          <w:highlight w:val="none"/>
          <w:lang w:val="zh-CN"/>
          <w14:textFill>
            <w14:solidFill>
              <w14:schemeClr w14:val="tx1"/>
            </w14:solidFill>
          </w14:textFill>
        </w:rPr>
        <w:t xml:space="preserve">. </w:t>
      </w:r>
      <w:r>
        <w:rPr>
          <w:rFonts w:hint="eastAsia" w:ascii="仿宋_GB2312" w:hAnsi="仿宋" w:eastAsia="仿宋_GB2312" w:cs="仿宋_GB2312"/>
          <w:b/>
          <w:color w:val="000000" w:themeColor="text1"/>
          <w:szCs w:val="24"/>
          <w:highlight w:val="none"/>
          <w14:textFill>
            <w14:solidFill>
              <w14:schemeClr w14:val="tx1"/>
            </w14:solidFill>
          </w14:textFill>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13.投标文件的签署、盖章</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13.1投标文件按照招标文件第六部分格式要</w:t>
      </w:r>
      <w:r>
        <w:rPr>
          <w:rFonts w:hint="eastAsia" w:ascii="仿宋_GB2312" w:hAnsi="仿宋" w:eastAsia="仿宋_GB2312" w:cs="仿宋_GB2312"/>
          <w:color w:val="000000" w:themeColor="text1"/>
          <w:highlight w:val="none"/>
          <w14:textFill>
            <w14:solidFill>
              <w14:schemeClr w14:val="tx1"/>
            </w14:solidFill>
          </w14:textFill>
        </w:rPr>
        <w:t>求进行签署、盖章。</w:t>
      </w:r>
    </w:p>
    <w:p>
      <w:pPr>
        <w:pStyle w:val="131"/>
        <w:snapToGrid w:val="0"/>
        <w:spacing w:before="0"/>
        <w:ind w:firstLine="482"/>
        <w:rPr>
          <w:rFonts w:ascii="仿宋_GB2312" w:hAnsi="仿宋" w:eastAsia="仿宋_GB2312" w:cs="仿宋_GB2312"/>
          <w:b/>
          <w:color w:val="000000" w:themeColor="text1"/>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highlight w:val="none"/>
          <w14:textFill>
            <w14:solidFill>
              <w14:schemeClr w14:val="tx1"/>
            </w14:solidFill>
          </w14:textFill>
        </w:rPr>
        <w:t>投标人的投标文件未按照招标文件要求签署、盖章的，其投标无效</w:t>
      </w:r>
      <w:r>
        <w:rPr>
          <w:rFonts w:hint="eastAsia" w:ascii="仿宋_GB2312" w:hAnsi="仿宋" w:eastAsia="仿宋_GB2312" w:cs="仿宋_GB2312"/>
          <w:color w:val="000000" w:themeColor="text1"/>
          <w:szCs w:val="24"/>
          <w:highlight w:val="none"/>
          <w14:textFill>
            <w14:solidFill>
              <w14:schemeClr w14:val="tx1"/>
            </w14:solidFill>
          </w14:textFill>
        </w:rPr>
        <w:t>。</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13.3招标文件对投标文件签署、盖章的要求适用于电子签名。</w:t>
      </w: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p>
    <w:p>
      <w:pPr>
        <w:snapToGrid w:val="0"/>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 xml:space="preserve">14. </w:t>
      </w:r>
      <w:r>
        <w:rPr>
          <w:rFonts w:hint="eastAsia" w:ascii="仿宋_GB2312" w:hAnsi="仿宋" w:eastAsia="仿宋_GB2312"/>
          <w:b/>
          <w:color w:val="000000" w:themeColor="text1"/>
          <w:sz w:val="24"/>
          <w:highlight w:val="none"/>
          <w14:textFill>
            <w14:solidFill>
              <w14:schemeClr w14:val="tx1"/>
            </w14:solidFill>
          </w14:textFill>
        </w:rPr>
        <w:t>投标文件的提交、补充、修改、撤回</w:t>
      </w:r>
    </w:p>
    <w:p>
      <w:pPr>
        <w:pStyle w:val="131"/>
        <w:spacing w:before="0"/>
        <w:ind w:firstLine="420" w:firstLineChars="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14.1</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20" w:firstLineChars="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w:t>
      </w:r>
      <w:r>
        <w:rPr>
          <w:rFonts w:hint="eastAsia" w:ascii="仿宋_GB2312" w:hAnsi="仿宋" w:eastAsia="仿宋_GB2312" w:cs="仿宋_GB2312"/>
          <w:color w:val="000000" w:themeColor="text1"/>
          <w:szCs w:val="24"/>
          <w:highlight w:val="none"/>
          <w14:textFill>
            <w14:solidFill>
              <w14:schemeClr w14:val="tx1"/>
            </w14:solidFill>
          </w14:textFill>
        </w:rPr>
        <w:t>采购代理机构</w:t>
      </w:r>
      <w:r>
        <w:rPr>
          <w:rFonts w:ascii="仿宋_GB2312" w:hAnsi="仿宋" w:eastAsia="仿宋_GB2312" w:cs="仿宋_GB2312"/>
          <w:color w:val="000000" w:themeColor="text1"/>
          <w:szCs w:val="24"/>
          <w:highlight w:val="none"/>
          <w14:textFill>
            <w14:solidFill>
              <w14:schemeClr w14:val="tx1"/>
            </w14:solidFill>
          </w14:textFill>
        </w:rPr>
        <w:t>可以视情况延长投标文件提交的截止时间。在上述情况下，</w:t>
      </w:r>
      <w:r>
        <w:rPr>
          <w:rFonts w:hint="eastAsia" w:ascii="仿宋_GB2312" w:hAnsi="仿宋" w:eastAsia="仿宋_GB2312" w:cs="仿宋_GB2312"/>
          <w:color w:val="000000" w:themeColor="text1"/>
          <w:szCs w:val="24"/>
          <w:highlight w:val="none"/>
          <w14:textFill>
            <w14:solidFill>
              <w14:schemeClr w14:val="tx1"/>
            </w14:solidFill>
          </w14:textFill>
        </w:rPr>
        <w:t>采购代理机构</w:t>
      </w:r>
      <w:r>
        <w:rPr>
          <w:rFonts w:ascii="仿宋_GB2312" w:hAnsi="仿宋" w:eastAsia="仿宋_GB2312" w:cs="仿宋_GB2312"/>
          <w:color w:val="000000" w:themeColor="text1"/>
          <w:szCs w:val="24"/>
          <w:highlight w:val="none"/>
          <w14:textFill>
            <w14:solidFill>
              <w14:schemeClr w14:val="tx1"/>
            </w14:solidFill>
          </w14:textFill>
        </w:rPr>
        <w:t>与投标人以前在投标截止期方面的全部权利、责任和义务，将适用于延长至新的投标截止期。</w:t>
      </w: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p>
    <w:p>
      <w:pPr>
        <w:pStyle w:val="33"/>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15.备份投标文件</w:t>
      </w:r>
    </w:p>
    <w:p>
      <w:pPr>
        <w:pStyle w:val="33"/>
        <w:spacing w:line="360" w:lineRule="auto"/>
        <w:ind w:firstLine="42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但采购人、采购代理机构不强制或变相强制投标人提交备份投标文件。</w:t>
      </w:r>
    </w:p>
    <w:p>
      <w:pPr>
        <w:pStyle w:val="33"/>
        <w:spacing w:line="360" w:lineRule="auto"/>
        <w:ind w:firstLine="42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color w:val="000000" w:themeColor="text1"/>
          <w:highlight w:val="none"/>
          <w14:textFill>
            <w14:solidFill>
              <w14:schemeClr w14:val="tx1"/>
            </w14:solidFill>
          </w14:textFill>
        </w:rPr>
        <w:t>或U盘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中。备份投标文件应当密封包装并在包装上加盖公章并注明投标</w:t>
      </w:r>
      <w:r>
        <w:rPr>
          <w:rFonts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szCs w:val="24"/>
          <w:highlight w:val="none"/>
          <w14:textFill>
            <w14:solidFill>
              <w14:schemeClr w14:val="tx1"/>
            </w14:solidFill>
          </w14:textFill>
        </w:rPr>
        <w:t>，投标人名称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3"/>
        <w:spacing w:line="360" w:lineRule="auto"/>
        <w:ind w:firstLine="42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w:t>
      </w:r>
      <w:r>
        <w:rPr>
          <w:rFonts w:hint="eastAsia" w:ascii="仿宋_GB2312" w:hAnsi="仿宋" w:eastAsia="仿宋_GB2312" w:cs="仿宋_GB2312"/>
          <w:color w:val="000000" w:themeColor="text1"/>
          <w:sz w:val="24"/>
          <w:szCs w:val="24"/>
          <w:highlight w:val="none"/>
          <w14:textFill>
            <w14:solidFill>
              <w14:schemeClr w14:val="tx1"/>
            </w14:solidFill>
          </w14:textFill>
        </w:rPr>
        <w:t>采购代理机构</w:t>
      </w:r>
      <w:r>
        <w:rPr>
          <w:rFonts w:ascii="仿宋_GB2312" w:hAnsi="仿宋" w:eastAsia="仿宋_GB2312" w:cs="仿宋_GB2312"/>
          <w:color w:val="000000" w:themeColor="text1"/>
          <w:sz w:val="24"/>
          <w:szCs w:val="24"/>
          <w:highlight w:val="none"/>
          <w14:textFill>
            <w14:solidFill>
              <w14:schemeClr w14:val="tx1"/>
            </w14:solidFill>
          </w14:textFill>
        </w:rPr>
        <w:t>，</w:t>
      </w:r>
      <w:r>
        <w:rPr>
          <w:rFonts w:hint="eastAsia" w:ascii="仿宋_GB2312" w:hAnsi="仿宋" w:eastAsia="仿宋_GB2312" w:cs="仿宋_GB2312"/>
          <w:color w:val="000000" w:themeColor="text1"/>
          <w:sz w:val="24"/>
          <w:szCs w:val="24"/>
          <w:highlight w:val="none"/>
          <w14:textFill>
            <w14:solidFill>
              <w14:schemeClr w14:val="tx1"/>
            </w14:solidFill>
          </w14:textFill>
        </w:rPr>
        <w:t>采购代理机构</w:t>
      </w:r>
      <w:r>
        <w:rPr>
          <w:rFonts w:ascii="仿宋_GB2312" w:hAnsi="仿宋" w:eastAsia="仿宋_GB2312" w:cs="仿宋_GB2312"/>
          <w:color w:val="000000" w:themeColor="text1"/>
          <w:sz w:val="24"/>
          <w:szCs w:val="24"/>
          <w:highlight w:val="none"/>
          <w14:textFill>
            <w14:solidFill>
              <w14:schemeClr w14:val="tx1"/>
            </w14:solidFill>
          </w14:textFill>
        </w:rPr>
        <w:t>将拒绝接受逾期送达的备份投标文件。</w:t>
      </w:r>
    </w:p>
    <w:p>
      <w:pPr>
        <w:pStyle w:val="33"/>
        <w:spacing w:line="360" w:lineRule="auto"/>
        <w:ind w:firstLine="42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16.投标文件的无效处理</w:t>
      </w:r>
    </w:p>
    <w:p>
      <w:pPr>
        <w:pStyle w:val="25"/>
        <w:spacing w:line="360" w:lineRule="auto"/>
        <w:ind w:firstLine="360" w:firstLineChars="150"/>
        <w:rPr>
          <w:rFonts w:ascii="仿宋_GB2312" w:hAnsi="仿宋" w:eastAsia="仿宋_GB2312" w:cs="仿宋_GB2312"/>
          <w:color w:val="000000" w:themeColor="text1"/>
          <w:szCs w:val="21"/>
          <w:highlight w:val="none"/>
          <w14:textFill>
            <w14:solidFill>
              <w14:schemeClr w14:val="tx1"/>
            </w14:solidFill>
          </w14:textFill>
        </w:rPr>
      </w:pPr>
      <w:r>
        <w:rPr>
          <w:rFonts w:hint="eastAsia" w:ascii="仿宋_GB2312" w:hAnsi="仿宋" w:eastAsia="仿宋_GB2312" w:cs="仿宋_GB2312"/>
          <w:color w:val="000000" w:themeColor="text1"/>
          <w:szCs w:val="21"/>
          <w:highlight w:val="none"/>
          <w14:textFill>
            <w14:solidFill>
              <w14:schemeClr w14:val="tx1"/>
            </w14:solidFill>
          </w14:textFill>
        </w:rPr>
        <w:t>有招标文件第四部分</w:t>
      </w:r>
      <w:r>
        <w:rPr>
          <w:rFonts w:hint="eastAsia" w:ascii="仿宋_GB2312" w:hAnsi="仿宋" w:eastAsia="仿宋_GB2312"/>
          <w:color w:val="000000" w:themeColor="text1"/>
          <w:highlight w:val="none"/>
          <w14:textFill>
            <w14:solidFill>
              <w14:schemeClr w14:val="tx1"/>
            </w14:solidFill>
          </w14:textFill>
        </w:rPr>
        <w:t>第4.2</w:t>
      </w:r>
      <w:r>
        <w:rPr>
          <w:rFonts w:ascii="仿宋_GB2312" w:hAnsi="仿宋" w:eastAsia="仿宋_GB2312"/>
          <w:color w:val="000000" w:themeColor="text1"/>
          <w:highlight w:val="none"/>
          <w14:textFill>
            <w14:solidFill>
              <w14:schemeClr w14:val="tx1"/>
            </w14:solidFill>
          </w14:textFill>
        </w:rPr>
        <w:t>项规定</w:t>
      </w:r>
      <w:r>
        <w:rPr>
          <w:rFonts w:hint="eastAsia" w:ascii="仿宋_GB2312" w:hAnsi="仿宋" w:eastAsia="仿宋_GB2312" w:cs="仿宋_GB2312"/>
          <w:color w:val="000000" w:themeColor="text1"/>
          <w:szCs w:val="21"/>
          <w:highlight w:val="none"/>
          <w14:textFill>
            <w14:solidFill>
              <w14:schemeClr w14:val="tx1"/>
            </w14:solidFill>
          </w14:textFill>
        </w:rPr>
        <w:t>的情形之一的，投标无效：</w:t>
      </w: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17.投标有效期</w:t>
      </w:r>
    </w:p>
    <w:p>
      <w:pPr>
        <w:spacing w:line="360" w:lineRule="auto"/>
        <w:ind w:firstLine="480" w:firstLineChars="200"/>
        <w:rPr>
          <w:rFonts w:ascii="仿宋_GB2312" w:hAnsi="仿宋" w:eastAsia="仿宋_GB2312" w:cs="仿宋_GB2312"/>
          <w:color w:val="000000" w:themeColor="text1"/>
          <w:sz w:val="24"/>
          <w:szCs w:val="20"/>
          <w:highlight w:val="none"/>
          <w14:textFill>
            <w14:solidFill>
              <w14:schemeClr w14:val="tx1"/>
            </w14:solidFill>
          </w14:textFill>
        </w:rPr>
      </w:pPr>
      <w:r>
        <w:rPr>
          <w:rFonts w:ascii="仿宋_GB2312" w:hAnsi="仿宋" w:eastAsia="仿宋_GB2312" w:cs="仿宋_GB2312"/>
          <w:color w:val="000000" w:themeColor="text1"/>
          <w:sz w:val="24"/>
          <w:szCs w:val="20"/>
          <w:highlight w:val="none"/>
          <w14:textFill>
            <w14:solidFill>
              <w14:schemeClr w14:val="tx1"/>
            </w14:solidFill>
          </w14:textFill>
        </w:rPr>
        <w:t>17.1投标有效期为从提交投标文件的截止之日起90天。</w:t>
      </w:r>
    </w:p>
    <w:p>
      <w:pPr>
        <w:spacing w:line="360" w:lineRule="auto"/>
        <w:ind w:firstLine="480" w:firstLineChars="200"/>
        <w:rPr>
          <w:rFonts w:ascii="仿宋_GB2312" w:hAnsi="仿宋" w:eastAsia="仿宋_GB2312" w:cs="仿宋_GB2312"/>
          <w:b/>
          <w:color w:val="000000" w:themeColor="text1"/>
          <w:sz w:val="24"/>
          <w:szCs w:val="21"/>
          <w:highlight w:val="none"/>
          <w14:textFill>
            <w14:solidFill>
              <w14:schemeClr w14:val="tx1"/>
            </w14:solidFill>
          </w14:textFill>
        </w:rPr>
      </w:pPr>
      <w:r>
        <w:rPr>
          <w:rFonts w:ascii="仿宋_GB2312" w:hAnsi="仿宋" w:eastAsia="仿宋_GB2312" w:cs="仿宋_GB2312"/>
          <w:color w:val="000000" w:themeColor="text1"/>
          <w:sz w:val="24"/>
          <w:szCs w:val="20"/>
          <w:highlight w:val="none"/>
          <w14:textFill>
            <w14:solidFill>
              <w14:schemeClr w14:val="tx1"/>
            </w14:solidFill>
          </w14:textFill>
        </w:rPr>
        <w:t>▲</w:t>
      </w:r>
      <w:r>
        <w:rPr>
          <w:rFonts w:hint="eastAsia" w:ascii="仿宋_GB2312" w:hAnsi="仿宋" w:eastAsia="仿宋_GB2312" w:cs="仿宋_GB2312"/>
          <w:b/>
          <w:color w:val="000000" w:themeColor="text1"/>
          <w:sz w:val="24"/>
          <w:szCs w:val="20"/>
          <w:highlight w:val="none"/>
          <w14:textFill>
            <w14:solidFill>
              <w14:schemeClr w14:val="tx1"/>
            </w14:solidFill>
          </w14:textFill>
        </w:rPr>
        <w:t>投标人的投标文件中承</w:t>
      </w:r>
      <w:r>
        <w:rPr>
          <w:rFonts w:hint="eastAsia" w:ascii="仿宋_GB2312" w:hAnsi="仿宋" w:eastAsia="仿宋_GB2312" w:cs="仿宋_GB2312"/>
          <w:b/>
          <w:color w:val="000000" w:themeColor="text1"/>
          <w:sz w:val="24"/>
          <w:szCs w:val="21"/>
          <w:highlight w:val="none"/>
          <w14:textFill>
            <w14:solidFill>
              <w14:schemeClr w14:val="tx1"/>
            </w14:solidFill>
          </w14:textFill>
        </w:rPr>
        <w:t>诺的投标有效期少于招标文件中载明的投标有效期的，投标无效。</w:t>
      </w:r>
    </w:p>
    <w:p>
      <w:pPr>
        <w:pStyle w:val="131"/>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17.2投标文件合格投递后，自投标截止日期起，在投标有效期内有效。</w:t>
      </w:r>
    </w:p>
    <w:p>
      <w:pPr>
        <w:pStyle w:val="131"/>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17.3在原定投标有效期满之前，如果出现特殊情况，</w:t>
      </w:r>
      <w:r>
        <w:rPr>
          <w:rFonts w:hint="eastAsia" w:ascii="仿宋_GB2312" w:hAnsi="仿宋" w:eastAsia="仿宋_GB2312" w:cs="仿宋_GB2312"/>
          <w:color w:val="000000" w:themeColor="text1"/>
          <w:highlight w:val="none"/>
          <w14:textFill>
            <w14:solidFill>
              <w14:schemeClr w14:val="tx1"/>
            </w14:solidFill>
          </w14:textFill>
        </w:rPr>
        <w:t>采购代理机构</w:t>
      </w:r>
      <w:r>
        <w:rPr>
          <w:rFonts w:ascii="仿宋_GB2312" w:hAnsi="仿宋" w:eastAsia="仿宋_GB2312" w:cs="仿宋_GB2312"/>
          <w:color w:val="000000" w:themeColor="text1"/>
          <w:highlight w:val="none"/>
          <w14:textFill>
            <w14:solidFill>
              <w14:schemeClr w14:val="tx1"/>
            </w14:solidFill>
          </w14:textFill>
        </w:rPr>
        <w:t>可以以书面形式通知投标人延长投标有效期。投标人同意延长的，不得要求或被允许修改其投标文件，投标人拒绝延长的，其投标无效。</w:t>
      </w:r>
    </w:p>
    <w:p>
      <w:pPr>
        <w:pStyle w:val="131"/>
        <w:spacing w:before="0"/>
        <w:ind w:firstLine="643"/>
        <w:rPr>
          <w:rFonts w:ascii="仿宋_GB2312" w:hAnsi="仿宋" w:eastAsia="仿宋_GB2312" w:cs="仿宋_GB2312"/>
          <w:b/>
          <w:color w:val="000000" w:themeColor="text1"/>
          <w:sz w:val="32"/>
          <w:highlight w:val="none"/>
          <w14:textFill>
            <w14:solidFill>
              <w14:schemeClr w14:val="tx1"/>
            </w14:solidFill>
          </w14:textFill>
        </w:rPr>
      </w:pPr>
    </w:p>
    <w:p>
      <w:pPr>
        <w:pStyle w:val="131"/>
        <w:spacing w:before="0"/>
        <w:ind w:firstLine="0" w:firstLineChars="0"/>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四、开标、资格审查与信用信息查询</w:t>
      </w:r>
    </w:p>
    <w:p>
      <w:pPr>
        <w:pStyle w:val="556"/>
        <w:spacing w:before="0" w:line="360" w:lineRule="auto"/>
        <w:ind w:left="0" w:firstLine="0"/>
        <w:contextualSpacing/>
        <w:rPr>
          <w:rFonts w:ascii="仿宋_GB2312" w:eastAsia="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18.开标</w:t>
      </w:r>
      <w:r>
        <w:rPr>
          <w:rFonts w:ascii="仿宋_GB2312" w:eastAsia="仿宋_GB2312"/>
          <w:color w:val="000000" w:themeColor="text1"/>
          <w:sz w:val="24"/>
          <w:highlight w:val="none"/>
          <w14:textFill>
            <w14:solidFill>
              <w14:schemeClr w14:val="tx1"/>
            </w14:solidFill>
          </w14:textFill>
        </w:rPr>
        <w:t xml:space="preserve"> </w:t>
      </w:r>
    </w:p>
    <w:p>
      <w:pPr>
        <w:pStyle w:val="556"/>
        <w:spacing w:before="0" w:line="360" w:lineRule="auto"/>
        <w:ind w:left="0" w:firstLine="420"/>
        <w:contextualSpacing/>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18.1</w:t>
      </w:r>
      <w:r>
        <w:rPr>
          <w:rFonts w:hint="eastAsia" w:ascii="仿宋_GB2312" w:hAnsi="仿宋" w:eastAsia="仿宋_GB2312" w:cs="仿宋_GB2312"/>
          <w:color w:val="000000" w:themeColor="text1"/>
          <w:sz w:val="24"/>
          <w:highlight w:val="none"/>
          <w14:textFill>
            <w14:solidFill>
              <w14:schemeClr w14:val="tx1"/>
            </w14:solidFill>
          </w14:textFill>
        </w:rPr>
        <w:t>采购代理机构</w:t>
      </w:r>
      <w:r>
        <w:rPr>
          <w:rFonts w:ascii="仿宋_GB2312" w:hAnsi="仿宋" w:eastAsia="仿宋_GB2312" w:cs="仿宋_GB2312"/>
          <w:color w:val="000000" w:themeColor="text1"/>
          <w:sz w:val="24"/>
          <w:highlight w:val="none"/>
          <w14:textFill>
            <w14:solidFill>
              <w14:schemeClr w14:val="tx1"/>
            </w14:solidFill>
          </w14:textFill>
        </w:rPr>
        <w:t>按照招标文件规定的时间通过电子交易平台组织开标，所有投标人均应当准时在线参加。投标人不足3家的，不得开标。</w:t>
      </w:r>
    </w:p>
    <w:p>
      <w:pPr>
        <w:pStyle w:val="556"/>
        <w:spacing w:before="0" w:line="360" w:lineRule="auto"/>
        <w:ind w:left="0" w:firstLine="420"/>
        <w:contextualSpacing/>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18.2开标时，电子交易平台按开标时间自动提取所有投标文件。</w:t>
      </w:r>
      <w:r>
        <w:rPr>
          <w:rFonts w:hint="eastAsia" w:ascii="仿宋_GB2312" w:hAnsi="仿宋" w:eastAsia="仿宋_GB2312" w:cs="仿宋_GB2312"/>
          <w:color w:val="000000" w:themeColor="text1"/>
          <w:sz w:val="24"/>
          <w:highlight w:val="none"/>
          <w14:textFill>
            <w14:solidFill>
              <w14:schemeClr w14:val="tx1"/>
            </w14:solidFill>
          </w14:textFill>
        </w:rPr>
        <w:t>采购代理机构</w:t>
      </w:r>
      <w:r>
        <w:rPr>
          <w:rFonts w:ascii="仿宋_GB2312" w:hAnsi="仿宋" w:eastAsia="仿宋_GB2312" w:cs="仿宋_GB2312"/>
          <w:color w:val="000000" w:themeColor="text1"/>
          <w:sz w:val="24"/>
          <w:highlight w:val="none"/>
          <w14:textFill>
            <w14:solidFill>
              <w14:schemeClr w14:val="tx1"/>
            </w14:solidFill>
          </w14:textFill>
        </w:rPr>
        <w:t>依托电子交易平台发起开始解密指令，投标人按照平台提示和招标文件的规定在半小时内完成在线解密。</w:t>
      </w:r>
    </w:p>
    <w:p>
      <w:pPr>
        <w:pStyle w:val="556"/>
        <w:spacing w:before="0" w:line="360" w:lineRule="auto"/>
        <w:ind w:left="0" w:firstLine="420"/>
        <w:contextualSpacing/>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18.3</w:t>
      </w:r>
      <w:r>
        <w:rPr>
          <w:rFonts w:hint="eastAsia" w:ascii="仿宋_GB2312" w:hAnsi="仿宋" w:eastAsia="仿宋_GB2312" w:cs="仿宋_GB2312"/>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000000" w:themeColor="text1"/>
          <w:sz w:val="24"/>
          <w:szCs w:val="20"/>
          <w:highlight w:val="none"/>
          <w14:textFill>
            <w14:solidFill>
              <w14:schemeClr w14:val="tx1"/>
            </w14:solidFill>
          </w14:textFill>
        </w:rPr>
      </w:pPr>
      <w:r>
        <w:rPr>
          <w:rFonts w:ascii="仿宋_GB2312" w:hAnsi="仿宋" w:eastAsia="仿宋_GB2312" w:cs="仿宋_GB2312"/>
          <w:b/>
          <w:color w:val="000000" w:themeColor="text1"/>
          <w:sz w:val="24"/>
          <w:szCs w:val="20"/>
          <w:highlight w:val="none"/>
          <w14:textFill>
            <w14:solidFill>
              <w14:schemeClr w14:val="tx1"/>
            </w14:solidFill>
          </w14:textFill>
        </w:rPr>
        <w:t>19</w:t>
      </w:r>
      <w:r>
        <w:rPr>
          <w:rFonts w:hint="eastAsia" w:ascii="仿宋_GB2312" w:hAnsi="仿宋" w:eastAsia="仿宋_GB2312" w:cs="仿宋_GB2312"/>
          <w:b/>
          <w:color w:val="000000" w:themeColor="text1"/>
          <w:sz w:val="24"/>
          <w:szCs w:val="20"/>
          <w:highlight w:val="none"/>
          <w14:textFill>
            <w14:solidFill>
              <w14:schemeClr w14:val="tx1"/>
            </w14:solidFill>
          </w14:textFill>
        </w:rPr>
        <w:t>.</w:t>
      </w:r>
      <w:r>
        <w:rPr>
          <w:rFonts w:ascii="仿宋_GB2312" w:hAnsi="仿宋" w:eastAsia="仿宋_GB2312" w:cs="仿宋_GB2312"/>
          <w:b/>
          <w:color w:val="000000" w:themeColor="text1"/>
          <w:sz w:val="24"/>
          <w:szCs w:val="20"/>
          <w:highlight w:val="none"/>
          <w14:textFill>
            <w14:solidFill>
              <w14:schemeClr w14:val="tx1"/>
            </w14:solidFill>
          </w14:textFill>
        </w:rPr>
        <w:t>资格审查</w:t>
      </w:r>
    </w:p>
    <w:p>
      <w:pPr>
        <w:pStyle w:val="131"/>
        <w:spacing w:before="0"/>
        <w:ind w:firstLine="420"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19.1开标后，采购人或</w:t>
      </w:r>
      <w:r>
        <w:rPr>
          <w:rFonts w:hint="eastAsia" w:ascii="仿宋_GB2312" w:hAnsi="仿宋" w:eastAsia="仿宋_GB2312" w:cs="Arial"/>
          <w:color w:val="000000" w:themeColor="text1"/>
          <w:kern w:val="0"/>
          <w:szCs w:val="24"/>
          <w:highlight w:val="none"/>
          <w14:textFill>
            <w14:solidFill>
              <w14:schemeClr w14:val="tx1"/>
            </w14:solidFill>
          </w14:textFill>
        </w:rPr>
        <w:t>采购代理机构</w:t>
      </w:r>
      <w:r>
        <w:rPr>
          <w:rFonts w:ascii="仿宋_GB2312" w:hAnsi="仿宋" w:eastAsia="仿宋_GB2312" w:cs="Arial"/>
          <w:color w:val="000000" w:themeColor="text1"/>
          <w:kern w:val="0"/>
          <w:szCs w:val="24"/>
          <w:highlight w:val="none"/>
          <w14:textFill>
            <w14:solidFill>
              <w14:schemeClr w14:val="tx1"/>
            </w14:solidFill>
          </w14:textFill>
        </w:rPr>
        <w:t>将依法对投标人的资格进行审查。</w:t>
      </w:r>
    </w:p>
    <w:p>
      <w:pPr>
        <w:snapToGrid w:val="0"/>
        <w:spacing w:line="360" w:lineRule="auto"/>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19.2</w:t>
      </w:r>
      <w:r>
        <w:rPr>
          <w:rFonts w:hint="eastAsia" w:ascii="仿宋_GB2312" w:hAnsi="仿宋" w:eastAsia="仿宋_GB2312" w:cs="仿宋_GB2312"/>
          <w:color w:val="000000" w:themeColor="text1"/>
          <w:sz w:val="24"/>
          <w:highlight w:val="none"/>
          <w14:textFill>
            <w14:solidFill>
              <w14:schemeClr w14:val="tx1"/>
            </w14:solidFill>
          </w14:textFill>
        </w:rPr>
        <w:t>采购人或采购代理机构依据法律法规和招标文件的规定，对投标人的基本资格条件、特定资格条件进行审查。</w:t>
      </w:r>
    </w:p>
    <w:p>
      <w:pPr>
        <w:pStyle w:val="131"/>
        <w:spacing w:before="0"/>
        <w:ind w:firstLine="42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19.3投标人未按照招标文件要求提供与</w:t>
      </w:r>
      <w:r>
        <w:rPr>
          <w:rFonts w:hint="eastAsia" w:ascii="仿宋_GB2312" w:hAnsi="仿宋" w:eastAsia="仿宋_GB2312" w:cs="仿宋_GB2312"/>
          <w:color w:val="000000" w:themeColor="text1"/>
          <w:highlight w:val="none"/>
          <w14:textFill>
            <w14:solidFill>
              <w14:schemeClr w14:val="tx1"/>
            </w14:solidFill>
          </w14:textFill>
        </w:rPr>
        <w:t>基本资格条件、特定资格条件相应的</w:t>
      </w:r>
      <w:r>
        <w:rPr>
          <w:rFonts w:hint="eastAsia" w:ascii="仿宋_GB2312" w:hAnsi="仿宋" w:eastAsia="仿宋_GB2312" w:cs="Arial"/>
          <w:color w:val="000000" w:themeColor="text1"/>
          <w:kern w:val="0"/>
          <w:szCs w:val="24"/>
          <w:highlight w:val="none"/>
          <w14:textFill>
            <w14:solidFill>
              <w14:schemeClr w14:val="tx1"/>
            </w14:solidFill>
          </w14:textFill>
        </w:rPr>
        <w:t>有效资格证明材料的，视为</w:t>
      </w:r>
      <w:r>
        <w:rPr>
          <w:rFonts w:hint="eastAsia" w:ascii="仿宋_GB2312" w:hAnsi="仿宋" w:eastAsia="仿宋_GB2312" w:cs="仿宋_GB2312"/>
          <w:color w:val="000000" w:themeColor="text1"/>
          <w:highlight w:val="none"/>
          <w14:textFill>
            <w14:solidFill>
              <w14:schemeClr w14:val="tx1"/>
            </w14:solidFill>
          </w14:textFill>
        </w:rPr>
        <w:t>投标人不具备招标文件中规定的资格要求，其投标无效。</w:t>
      </w:r>
    </w:p>
    <w:p>
      <w:pPr>
        <w:pStyle w:val="131"/>
        <w:spacing w:before="0"/>
        <w:ind w:firstLine="42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w:t>
      </w:r>
      <w:r>
        <w:rPr>
          <w:rFonts w:ascii="仿宋_GB2312" w:hAnsi="仿宋" w:eastAsia="仿宋_GB2312" w:cs="仿宋_GB2312"/>
          <w:color w:val="000000" w:themeColor="text1"/>
          <w:highlight w:val="none"/>
          <w14:textFill>
            <w14:solidFill>
              <w14:schemeClr w14:val="tx1"/>
            </w14:solidFill>
          </w14:textFill>
        </w:rPr>
        <w:t>4对未通过资格审查的投标人，采购人或</w:t>
      </w:r>
      <w:r>
        <w:rPr>
          <w:rFonts w:hint="eastAsia" w:ascii="仿宋_GB2312" w:hAnsi="仿宋" w:eastAsia="仿宋_GB2312" w:cs="仿宋_GB2312"/>
          <w:color w:val="000000" w:themeColor="text1"/>
          <w:highlight w:val="none"/>
          <w14:textFill>
            <w14:solidFill>
              <w14:schemeClr w14:val="tx1"/>
            </w14:solidFill>
          </w14:textFill>
        </w:rPr>
        <w:t>采购代理机构</w:t>
      </w:r>
      <w:r>
        <w:rPr>
          <w:rFonts w:ascii="仿宋_GB2312" w:hAnsi="仿宋" w:eastAsia="仿宋_GB2312" w:cs="仿宋_GB2312"/>
          <w:color w:val="000000" w:themeColor="text1"/>
          <w:highlight w:val="none"/>
          <w14:textFill>
            <w14:solidFill>
              <w14:schemeClr w14:val="tx1"/>
            </w14:solidFill>
          </w14:textFill>
        </w:rPr>
        <w:t>告知其未通过的原因。</w:t>
      </w:r>
    </w:p>
    <w:p>
      <w:pPr>
        <w:pStyle w:val="131"/>
        <w:spacing w:before="0"/>
        <w:ind w:firstLine="42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w:t>
      </w:r>
      <w:r>
        <w:rPr>
          <w:rFonts w:ascii="仿宋_GB2312" w:hAnsi="仿宋" w:eastAsia="仿宋_GB2312" w:cs="仿宋_GB2312"/>
          <w:color w:val="000000" w:themeColor="text1"/>
          <w:highlight w:val="none"/>
          <w14:textFill>
            <w14:solidFill>
              <w14:schemeClr w14:val="tx1"/>
            </w14:solidFill>
          </w14:textFill>
        </w:rPr>
        <w:t>5合格投标人不足3家的，不再评标。</w:t>
      </w: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p>
    <w:p>
      <w:pPr>
        <w:pStyle w:val="131"/>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20</w:t>
      </w:r>
      <w:r>
        <w:rPr>
          <w:rFonts w:hint="eastAsia" w:ascii="仿宋_GB2312" w:hAnsi="仿宋" w:eastAsia="仿宋_GB2312" w:cs="仿宋_GB2312"/>
          <w:b/>
          <w:color w:val="000000" w:themeColor="text1"/>
          <w:szCs w:val="24"/>
          <w:highlight w:val="none"/>
          <w14:textFill>
            <w14:solidFill>
              <w14:schemeClr w14:val="tx1"/>
            </w14:solidFill>
          </w14:textFill>
        </w:rPr>
        <w:t>.</w:t>
      </w:r>
      <w:r>
        <w:rPr>
          <w:rFonts w:ascii="仿宋_GB2312" w:hAnsi="仿宋" w:eastAsia="仿宋_GB2312" w:cs="仿宋_GB2312"/>
          <w:b/>
          <w:color w:val="000000" w:themeColor="text1"/>
          <w:szCs w:val="24"/>
          <w:highlight w:val="none"/>
          <w14:textFill>
            <w14:solidFill>
              <w14:schemeClr w14:val="tx1"/>
            </w14:solidFill>
          </w14:textFill>
        </w:rPr>
        <w:t>信用信息查询</w:t>
      </w:r>
    </w:p>
    <w:p>
      <w:pPr>
        <w:pStyle w:val="131"/>
        <w:spacing w:before="0"/>
        <w:ind w:firstLine="420"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20.1信用信息查询渠道及截止时间：</w:t>
      </w:r>
      <w:r>
        <w:rPr>
          <w:rFonts w:hint="eastAsia" w:ascii="仿宋_GB2312" w:hAnsi="仿宋" w:eastAsia="仿宋_GB2312" w:cs="Arial"/>
          <w:color w:val="000000" w:themeColor="text1"/>
          <w:kern w:val="0"/>
          <w:szCs w:val="24"/>
          <w:highlight w:val="none"/>
          <w14:textFill>
            <w14:solidFill>
              <w14:schemeClr w14:val="tx1"/>
            </w14:solidFill>
          </w14:textFill>
        </w:rPr>
        <w:t>采购代理机构</w:t>
      </w:r>
      <w:r>
        <w:rPr>
          <w:rFonts w:ascii="仿宋_GB2312" w:hAnsi="仿宋" w:eastAsia="仿宋_GB2312" w:cs="Arial"/>
          <w:color w:val="000000" w:themeColor="text1"/>
          <w:kern w:val="0"/>
          <w:szCs w:val="24"/>
          <w:highlight w:val="none"/>
          <w14:textFill>
            <w14:solidFill>
              <w14:schemeClr w14:val="tx1"/>
            </w14:solidFill>
          </w14:textFill>
        </w:rPr>
        <w:t>将通过“信用中国”网站(www.creditchina.gov.cn)、中国政府采购网(www.ccgp.gov.cn)渠道查询投标人投标截止时间当天的信用记录。</w:t>
      </w:r>
    </w:p>
    <w:p>
      <w:pPr>
        <w:pStyle w:val="131"/>
        <w:spacing w:before="0"/>
        <w:ind w:firstLine="420"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1"/>
        <w:spacing w:before="0"/>
        <w:ind w:firstLine="420"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1"/>
        <w:spacing w:before="0"/>
        <w:ind w:firstLine="420"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Arial"/>
          <w:color w:val="000000" w:themeColor="text1"/>
          <w:kern w:val="0"/>
          <w:szCs w:val="24"/>
          <w:highlight w:val="none"/>
          <w14:textFill>
            <w14:solidFill>
              <w14:schemeClr w14:val="tx1"/>
            </w14:solidFill>
          </w14:textFill>
        </w:rPr>
        <w:t>。</w:t>
      </w:r>
    </w:p>
    <w:p>
      <w:pPr>
        <w:pStyle w:val="131"/>
        <w:spacing w:before="0"/>
        <w:ind w:firstLine="0" w:firstLineChars="0"/>
        <w:rPr>
          <w:rFonts w:ascii="仿宋_GB2312" w:hAnsi="仿宋" w:eastAsia="仿宋_GB2312" w:cs="Arial"/>
          <w:color w:val="000000" w:themeColor="text1"/>
          <w:kern w:val="0"/>
          <w:szCs w:val="24"/>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五、评标</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bookmarkStart w:id="13" w:name="_Toc91899903"/>
      <w:r>
        <w:rPr>
          <w:rFonts w:ascii="仿宋_GB2312" w:hAnsi="仿宋" w:eastAsia="仿宋_GB2312" w:cs="仿宋_GB2312"/>
          <w:b/>
          <w:color w:val="000000" w:themeColor="text1"/>
          <w:sz w:val="24"/>
          <w:highlight w:val="none"/>
          <w14:textFill>
            <w14:solidFill>
              <w14:schemeClr w14:val="tx1"/>
            </w14:solidFill>
          </w14:textFill>
        </w:rPr>
        <w:t>21.</w:t>
      </w:r>
      <w:r>
        <w:rPr>
          <w:rFonts w:ascii="仿宋_GB2312" w:eastAsia="仿宋_GB2312"/>
          <w:color w:val="000000" w:themeColor="text1"/>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六、定</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标</w:t>
      </w:r>
    </w:p>
    <w:p>
      <w:pPr>
        <w:pStyle w:val="25"/>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22. </w:t>
      </w:r>
      <w:r>
        <w:rPr>
          <w:rFonts w:hint="eastAsia" w:ascii="仿宋_GB2312" w:hAnsi="仿宋" w:eastAsia="仿宋_GB2312" w:cs="仿宋_GB2312"/>
          <w:b/>
          <w:color w:val="000000" w:themeColor="text1"/>
          <w:highlight w:val="none"/>
          <w14:textFill>
            <w14:solidFill>
              <w14:schemeClr w14:val="tx1"/>
            </w14:solidFill>
          </w14:textFill>
        </w:rPr>
        <w:t>确定中标供应商</w:t>
      </w:r>
    </w:p>
    <w:p>
      <w:pPr>
        <w:pStyle w:val="131"/>
        <w:snapToGrid w:val="0"/>
        <w:spacing w:before="0"/>
        <w:ind w:firstLine="480"/>
        <w:rPr>
          <w:rFonts w:ascii="仿宋_GB2312" w:hAnsi="仿宋" w:eastAsia="仿宋_GB2312" w:cs="仿宋_GB2312"/>
          <w:b/>
          <w:color w:val="000000" w:themeColor="text1"/>
          <w:szCs w:val="24"/>
          <w:highlight w:val="none"/>
          <w14:textFill>
            <w14:solidFill>
              <w14:schemeClr w14:val="tx1"/>
            </w14:solidFill>
          </w14:textFill>
        </w:rPr>
      </w:pPr>
      <w:r>
        <w:rPr>
          <w:rFonts w:hint="eastAsia" w:ascii="仿宋_GB2312" w:hAnsi="仿宋" w:eastAsia="仿宋_GB2312" w:cs="仿宋_GB2312"/>
          <w:color w:val="000000" w:themeColor="text1"/>
          <w:szCs w:val="24"/>
          <w:highlight w:val="none"/>
          <w14:textFill>
            <w14:solidFill>
              <w14:schemeClr w14:val="tx1"/>
            </w14:solidFill>
          </w14:textFill>
        </w:rPr>
        <w:t>采购人将自收到评审报告之日起</w:t>
      </w:r>
      <w:r>
        <w:rPr>
          <w:rFonts w:ascii="仿宋_GB2312" w:hAnsi="仿宋" w:eastAsia="仿宋_GB2312" w:cs="仿宋_GB2312"/>
          <w:color w:val="000000" w:themeColor="text1"/>
          <w:szCs w:val="24"/>
          <w:highlight w:val="none"/>
          <w14:textFill>
            <w14:solidFill>
              <w14:schemeClr w14:val="tx1"/>
            </w14:solidFill>
          </w14:textFill>
        </w:rPr>
        <w:t>5个工作日内通过电子交易平台在评审报告推荐的中标候选人中按顺序确定中标供应商。</w:t>
      </w:r>
    </w:p>
    <w:p>
      <w:pPr>
        <w:pStyle w:val="131"/>
        <w:snapToGrid w:val="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p>
    <w:p>
      <w:pPr>
        <w:pStyle w:val="131"/>
        <w:snapToGrid w:val="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23. </w:t>
      </w:r>
      <w:r>
        <w:rPr>
          <w:rFonts w:hint="eastAsia" w:ascii="仿宋_GB2312" w:hAnsi="仿宋" w:eastAsia="仿宋_GB2312" w:cs="仿宋_GB2312"/>
          <w:b/>
          <w:color w:val="000000" w:themeColor="text1"/>
          <w:szCs w:val="24"/>
          <w:highlight w:val="none"/>
          <w14:textFill>
            <w14:solidFill>
              <w14:schemeClr w14:val="tx1"/>
            </w14:solidFill>
          </w14:textFill>
        </w:rPr>
        <w:t>中标通知与中标结果公告</w:t>
      </w:r>
    </w:p>
    <w:p>
      <w:pPr>
        <w:widowControl/>
        <w:shd w:val="clear" w:color="auto" w:fill="FFFFFF"/>
        <w:spacing w:line="360" w:lineRule="auto"/>
        <w:ind w:firstLine="42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w:t>
      </w:r>
      <w:r>
        <w:rPr>
          <w:rFonts w:hint="eastAsia" w:ascii="仿宋_GB2312" w:hAnsi="仿宋" w:eastAsia="仿宋_GB2312" w:cs="仿宋_GB2312"/>
          <w:color w:val="000000" w:themeColor="text1"/>
          <w:sz w:val="24"/>
          <w:highlight w:val="none"/>
          <w14:textFill>
            <w14:solidFill>
              <w14:schemeClr w14:val="tx1"/>
            </w14:solidFill>
          </w14:textFill>
        </w:rPr>
        <w:t>采购代理机构</w:t>
      </w:r>
      <w:r>
        <w:rPr>
          <w:rFonts w:ascii="仿宋_GB2312" w:hAnsi="仿宋" w:eastAsia="仿宋_GB2312" w:cs="仿宋_GB2312"/>
          <w:color w:val="000000" w:themeColor="text1"/>
          <w:sz w:val="24"/>
          <w:highlight w:val="none"/>
          <w14:textFill>
            <w14:solidFill>
              <w14:schemeClr w14:val="tx1"/>
            </w14:solidFill>
          </w14:textFill>
        </w:rPr>
        <w:t>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同时编制发布采购结果公告。采购代理机构也可以以纸质形式进行中标通知。</w:t>
      </w:r>
    </w:p>
    <w:p>
      <w:pPr>
        <w:widowControl/>
        <w:shd w:val="clear" w:color="auto" w:fill="FFFFFF"/>
        <w:spacing w:line="360" w:lineRule="auto"/>
        <w:ind w:firstLine="42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w:t>
      </w:r>
      <w:r>
        <w:rPr>
          <w:rFonts w:hint="eastAsia" w:ascii="仿宋_GB2312" w:hAnsi="仿宋" w:eastAsia="仿宋_GB2312" w:cs="仿宋_GB2312"/>
          <w:color w:val="000000" w:themeColor="text1"/>
          <w:sz w:val="24"/>
          <w:highlight w:val="none"/>
          <w14:textFill>
            <w14:solidFill>
              <w14:schemeClr w14:val="tx1"/>
            </w14:solidFill>
          </w14:textFill>
        </w:rPr>
        <w:t>采购代理机构</w:t>
      </w:r>
      <w:r>
        <w:rPr>
          <w:rFonts w:ascii="仿宋_GB2312" w:hAnsi="仿宋" w:eastAsia="仿宋_GB2312" w:cs="仿宋_GB2312"/>
          <w:color w:val="000000" w:themeColor="text1"/>
          <w:sz w:val="24"/>
          <w:highlight w:val="none"/>
          <w14:textFill>
            <w14:solidFill>
              <w14:schemeClr w14:val="tx1"/>
            </w14:solidFill>
          </w14:textFill>
        </w:rPr>
        <w:t>的名称、地址、联系方式，</w:t>
      </w:r>
      <w:r>
        <w:rPr>
          <w:rFonts w:ascii="仿宋_GB2312" w:hAnsi="仿宋" w:eastAsia="仿宋_GB2312" w:cs="仿宋_GB2312"/>
          <w:color w:val="000000" w:themeColor="text1"/>
          <w:sz w:val="24"/>
          <w:highlight w:val="none"/>
          <w14:textFill>
            <w14:solidFill>
              <w14:schemeClr w14:val="tx1"/>
            </w14:solidFill>
          </w14:textFill>
        </w:rPr>
        <w:t>项目名称</w:t>
      </w:r>
      <w:r>
        <w:rPr>
          <w:rFonts w:ascii="仿宋_GB2312" w:hAnsi="仿宋" w:eastAsia="仿宋_GB2312" w:cs="仿宋_GB2312"/>
          <w:color w:val="000000" w:themeColor="text1"/>
          <w:sz w:val="24"/>
          <w:highlight w:val="none"/>
          <w14:textFill>
            <w14:solidFill>
              <w14:schemeClr w14:val="tx1"/>
            </w14:solidFill>
          </w14:textFill>
        </w:rPr>
        <w:t>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2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000000" w:themeColor="text1"/>
          <w:sz w:val="32"/>
          <w:highlight w:val="none"/>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七、合同授予</w:t>
      </w:r>
    </w:p>
    <w:p>
      <w:pPr>
        <w:pStyle w:val="25"/>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24. </w:t>
      </w:r>
      <w:r>
        <w:rPr>
          <w:rFonts w:hint="eastAsia" w:ascii="仿宋_GB2312" w:hAnsi="仿宋" w:eastAsia="仿宋_GB2312" w:cs="仿宋_GB2312"/>
          <w:color w:val="000000" w:themeColor="text1"/>
          <w:highlight w:val="none"/>
          <w14:textFill>
            <w14:solidFill>
              <w14:schemeClr w14:val="tx1"/>
            </w14:solidFill>
          </w14:textFill>
        </w:rPr>
        <w:t>合同主要条款详见第五部分拟签订的合同文本。</w:t>
      </w:r>
    </w:p>
    <w:p>
      <w:pPr>
        <w:pStyle w:val="25"/>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p>
    <w:p>
      <w:pPr>
        <w:pStyle w:val="25"/>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25. </w:t>
      </w:r>
      <w:r>
        <w:rPr>
          <w:rFonts w:hint="eastAsia" w:ascii="仿宋_GB2312" w:hAnsi="仿宋" w:eastAsia="仿宋_GB2312" w:cs="仿宋_GB2312"/>
          <w:b/>
          <w:color w:val="000000" w:themeColor="text1"/>
          <w:highlight w:val="none"/>
          <w14:textFill>
            <w14:solidFill>
              <w14:schemeClr w14:val="tx1"/>
            </w14:solidFill>
          </w14:textFill>
        </w:rPr>
        <w:t>合同的签订</w:t>
      </w:r>
    </w:p>
    <w:p>
      <w:pPr>
        <w:widowControl/>
        <w:shd w:val="clear" w:color="auto" w:fill="FFFFFF"/>
        <w:spacing w:line="360" w:lineRule="auto"/>
        <w:ind w:firstLine="420"/>
        <w:jc w:val="left"/>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25.1</w:t>
      </w:r>
      <w:r>
        <w:rPr>
          <w:rFonts w:ascii="仿宋_GB2312" w:hAnsi="仿宋" w:eastAsia="仿宋_GB2312" w:cs="Arial"/>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000000" w:themeColor="text1"/>
          <w:kern w:val="0"/>
          <w:sz w:val="24"/>
          <w:highlight w:val="none"/>
          <w14:textFill>
            <w14:solidFill>
              <w14:schemeClr w14:val="tx1"/>
            </w14:solidFill>
          </w14:textFill>
        </w:rPr>
        <w:t>合同签订之日起2个工作日</w:t>
      </w:r>
      <w:r>
        <w:rPr>
          <w:rFonts w:ascii="仿宋_GB2312" w:hAnsi="仿宋" w:eastAsia="仿宋_GB2312" w:cs="Arial"/>
          <w:color w:val="000000" w:themeColor="text1"/>
          <w:kern w:val="0"/>
          <w:sz w:val="24"/>
          <w:highlight w:val="none"/>
          <w14:textFill>
            <w14:solidFill>
              <w14:schemeClr w14:val="tx1"/>
            </w14:solidFill>
          </w14:textFill>
        </w:rPr>
        <w:t>内依法发布合同公告。</w:t>
      </w:r>
    </w:p>
    <w:p>
      <w:pPr>
        <w:pStyle w:val="131"/>
        <w:snapToGrid w:val="0"/>
        <w:spacing w:before="0"/>
        <w:ind w:firstLine="420" w:firstLineChars="0"/>
        <w:rPr>
          <w:rFonts w:ascii="仿宋_GB2312" w:hAnsi="仿宋" w:eastAsia="仿宋_GB2312"/>
          <w:color w:val="000000" w:themeColor="text1"/>
          <w:kern w:val="0"/>
          <w:highlight w:val="none"/>
          <w14:textFill>
            <w14:solidFill>
              <w14:schemeClr w14:val="tx1"/>
            </w14:solidFill>
          </w14:textFill>
        </w:rPr>
      </w:pPr>
      <w:r>
        <w:rPr>
          <w:rFonts w:ascii="仿宋_GB2312" w:hAnsi="仿宋" w:eastAsia="仿宋_GB2312" w:cs="仿宋_GB2312"/>
          <w:color w:val="000000" w:themeColor="text1"/>
          <w:kern w:val="0"/>
          <w:highlight w:val="none"/>
          <w:lang w:val="zh-CN"/>
          <w14:textFill>
            <w14:solidFill>
              <w14:schemeClr w14:val="tx1"/>
            </w14:solidFill>
          </w14:textFill>
        </w:rPr>
        <w:t>25.2</w:t>
      </w:r>
      <w:r>
        <w:rPr>
          <w:rFonts w:hint="eastAsia" w:ascii="仿宋_GB2312" w:hAnsi="仿宋" w:eastAsia="仿宋_GB2312"/>
          <w:color w:val="000000" w:themeColor="text1"/>
          <w:kern w:val="0"/>
          <w:highlight w:val="none"/>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20" w:firstLineChars="0"/>
        <w:rPr>
          <w:rFonts w:ascii="仿宋_GB2312" w:hAnsi="仿宋" w:eastAsia="仿宋_GB2312" w:cs="仿宋_GB2312"/>
          <w:color w:val="000000" w:themeColor="text1"/>
          <w:kern w:val="0"/>
          <w:highlight w:val="none"/>
          <w:lang w:val="zh-CN"/>
          <w14:textFill>
            <w14:solidFill>
              <w14:schemeClr w14:val="tx1"/>
            </w14:solidFill>
          </w14:textFill>
        </w:rPr>
      </w:pPr>
      <w:r>
        <w:rPr>
          <w:rFonts w:ascii="仿宋_GB2312" w:hAnsi="仿宋" w:eastAsia="仿宋_GB2312" w:cs="仿宋_GB2312"/>
          <w:color w:val="000000" w:themeColor="text1"/>
          <w:kern w:val="0"/>
          <w:highlight w:val="none"/>
          <w:lang w:val="zh-CN"/>
          <w14:textFill>
            <w14:solidFill>
              <w14:schemeClr w14:val="tx1"/>
            </w14:solidFill>
          </w14:textFill>
        </w:rPr>
        <w:t>25.3如签订合同并生效后，供应商无故拒绝或延期，除按照合同条款处理外，列入不良行为记录一次，并给予通报。</w:t>
      </w:r>
    </w:p>
    <w:p>
      <w:pPr>
        <w:pStyle w:val="131"/>
        <w:snapToGrid w:val="0"/>
        <w:spacing w:before="0"/>
        <w:ind w:firstLine="420" w:firstLineChars="0"/>
        <w:rPr>
          <w:rFonts w:ascii="仿宋_GB2312" w:hAnsi="仿宋" w:eastAsia="仿宋_GB2312" w:cs="仿宋_GB2312"/>
          <w:color w:val="000000" w:themeColor="text1"/>
          <w:kern w:val="0"/>
          <w:highlight w:val="none"/>
          <w:lang w:val="zh-CN"/>
          <w14:textFill>
            <w14:solidFill>
              <w14:schemeClr w14:val="tx1"/>
            </w14:solidFill>
          </w14:textFill>
        </w:rPr>
      </w:pPr>
      <w:r>
        <w:rPr>
          <w:rFonts w:ascii="仿宋_GB2312" w:hAnsi="仿宋" w:eastAsia="仿宋_GB2312" w:cs="仿宋_GB2312"/>
          <w:color w:val="000000" w:themeColor="text1"/>
          <w:kern w:val="0"/>
          <w:highlight w:val="none"/>
          <w:lang w:val="zh-CN"/>
          <w14:textFill>
            <w14:solidFill>
              <w14:schemeClr w14:val="tx1"/>
            </w14:solidFill>
          </w14:textFill>
        </w:rPr>
        <w:t>25.4中标供应</w:t>
      </w:r>
      <w:r>
        <w:rPr>
          <w:rFonts w:hint="eastAsia" w:ascii="仿宋_GB2312" w:hAnsi="仿宋" w:eastAsia="仿宋_GB2312" w:cs="仿宋_GB2312"/>
          <w:color w:val="000000" w:themeColor="text1"/>
          <w:kern w:val="0"/>
          <w:highlight w:val="none"/>
          <w:lang w:val="zh-CN"/>
          <w14:textFill>
            <w14:solidFill>
              <w14:schemeClr w14:val="tx1"/>
            </w14:solidFill>
          </w14:textFill>
        </w:rPr>
        <w:t>商拒绝与采购人签订合同的，采购人可以按照评审报告推荐的中标或者成交候选人名单排序，确定下一候选人为中标供应商，也可以重新开展政府采购活动。</w:t>
      </w:r>
    </w:p>
    <w:p>
      <w:pPr>
        <w:pStyle w:val="131"/>
        <w:snapToGrid w:val="0"/>
        <w:spacing w:before="0"/>
        <w:ind w:firstLine="420" w:firstLineChars="0"/>
        <w:rPr>
          <w:rFonts w:ascii="仿宋_GB2312" w:hAnsi="仿宋" w:eastAsia="仿宋_GB2312" w:cs="仿宋_GB2312"/>
          <w:color w:val="000000" w:themeColor="text1"/>
          <w:kern w:val="0"/>
          <w:highlight w:val="none"/>
          <w:lang w:val="zh-CN"/>
          <w14:textFill>
            <w14:solidFill>
              <w14:schemeClr w14:val="tx1"/>
            </w14:solidFill>
          </w14:textFill>
        </w:rPr>
      </w:pPr>
      <w:r>
        <w:rPr>
          <w:rFonts w:ascii="仿宋_GB2312" w:hAnsi="仿宋" w:eastAsia="仿宋_GB2312" w:cs="仿宋_GB2312"/>
          <w:color w:val="000000" w:themeColor="text1"/>
          <w:kern w:val="0"/>
          <w:highlight w:val="none"/>
          <w:lang w:val="zh-CN"/>
          <w14:textFill>
            <w14:solidFill>
              <w14:schemeClr w14:val="tx1"/>
            </w14:solidFill>
          </w14:textFill>
        </w:rPr>
        <w:t>25.5采购合同由采购人与中标供应商根据</w:t>
      </w:r>
      <w:r>
        <w:rPr>
          <w:rFonts w:hint="eastAsia" w:ascii="仿宋_GB2312" w:hAnsi="仿宋" w:eastAsia="仿宋_GB2312" w:cs="仿宋_GB2312"/>
          <w:color w:val="000000" w:themeColor="text1"/>
          <w:kern w:val="0"/>
          <w:highlight w:val="none"/>
          <w:lang w:val="zh-CN"/>
          <w14:textFill>
            <w14:solidFill>
              <w14:schemeClr w14:val="tx1"/>
            </w14:solidFill>
          </w14:textFill>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p>
    <w:p>
      <w:pPr>
        <w:pStyle w:val="25"/>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26. </w:t>
      </w:r>
      <w:r>
        <w:rPr>
          <w:rFonts w:hint="eastAsia" w:ascii="仿宋_GB2312" w:hAnsi="仿宋" w:eastAsia="仿宋_GB2312" w:cs="仿宋_GB2312"/>
          <w:b/>
          <w:color w:val="000000" w:themeColor="text1"/>
          <w:highlight w:val="none"/>
          <w14:textFill>
            <w14:solidFill>
              <w14:schemeClr w14:val="tx1"/>
            </w14:solidFill>
          </w14:textFill>
        </w:rPr>
        <w:t>履约保证金</w:t>
      </w:r>
    </w:p>
    <w:p>
      <w:pPr>
        <w:tabs>
          <w:tab w:val="left" w:pos="0"/>
        </w:tabs>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ab/>
      </w:r>
      <w:r>
        <w:rPr>
          <w:rFonts w:hint="eastAsia" w:ascii="仿宋_GB2312" w:hAnsi="仿宋" w:eastAsia="仿宋_GB2312" w:cs="Helvetica"/>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000000" w:themeColor="text1"/>
          <w:sz w:val="24"/>
          <w:highlight w:val="none"/>
          <w14:textFill>
            <w14:solidFill>
              <w14:schemeClr w14:val="tx1"/>
            </w14:solidFill>
          </w14:textFill>
        </w:rPr>
        <w:t>。履约保证金的数额不得超过政府采购合同金额的</w:t>
      </w:r>
      <w:r>
        <w:rPr>
          <w:rFonts w:hint="eastAsia" w:ascii="仿宋_GB2312" w:hAnsi="仿宋" w:eastAsia="仿宋_GB2312"/>
          <w:color w:val="000000" w:themeColor="text1"/>
          <w:sz w:val="24"/>
          <w:highlight w:val="none"/>
          <w:lang w:val="en-US" w:eastAsia="zh-CN"/>
          <w14:textFill>
            <w14:solidFill>
              <w14:schemeClr w14:val="tx1"/>
            </w14:solidFill>
          </w14:textFill>
        </w:rPr>
        <w:t>2.</w:t>
      </w:r>
      <w:r>
        <w:rPr>
          <w:rFonts w:ascii="仿宋_GB2312" w:hAnsi="仿宋" w:eastAsia="仿宋_GB2312"/>
          <w:color w:val="000000" w:themeColor="text1"/>
          <w:sz w:val="24"/>
          <w:highlight w:val="none"/>
          <w14:textFill>
            <w14:solidFill>
              <w14:schemeClr w14:val="tx1"/>
            </w14:solidFill>
          </w14:textFill>
        </w:rPr>
        <w:t>5%。</w:t>
      </w:r>
      <w:r>
        <w:rPr>
          <w:rFonts w:hint="eastAsia" w:ascii="仿宋_GB2312" w:hAnsi="仿宋" w:eastAsia="仿宋_GB2312"/>
          <w:color w:val="000000" w:themeColor="text1"/>
          <w:sz w:val="24"/>
          <w:highlight w:val="none"/>
          <w14:textFill>
            <w14:solidFill>
              <w14:schemeClr w14:val="tx1"/>
            </w14:solidFill>
          </w14:textFill>
        </w:rPr>
        <w:t>鼓励和支持供应商以银行、保险公司出具的保函形式提供履约保证金。</w:t>
      </w:r>
      <w:r>
        <w:rPr>
          <w:rFonts w:hint="eastAsia" w:ascii="仿宋_GB2312" w:hAnsi="仿宋" w:eastAsia="仿宋_GB2312"/>
          <w:b/>
          <w:color w:val="000000" w:themeColor="text1"/>
          <w:sz w:val="24"/>
          <w:highlight w:val="none"/>
          <w14:textFill>
            <w14:solidFill>
              <w14:schemeClr w14:val="tx1"/>
            </w14:solidFill>
          </w14:textFill>
        </w:rPr>
        <w:t>采购人不得拒收履约保函。</w:t>
      </w:r>
    </w:p>
    <w:p>
      <w:pPr>
        <w:tabs>
          <w:tab w:val="left" w:pos="0"/>
        </w:tabs>
        <w:spacing w:line="360" w:lineRule="auto"/>
        <w:rPr>
          <w:rFonts w:ascii="仿宋_GB2312" w:hAnsi="仿宋" w:eastAsia="仿宋_GB2312" w:cs="仿宋_GB2312"/>
          <w:color w:val="000000" w:themeColor="text1"/>
          <w:sz w:val="24"/>
          <w:szCs w:val="20"/>
          <w:highlight w:val="none"/>
          <w14:textFill>
            <w14:solidFill>
              <w14:schemeClr w14:val="tx1"/>
            </w14:solidFill>
          </w14:textFill>
        </w:rPr>
      </w:pPr>
      <w:r>
        <w:rPr>
          <w:rFonts w:hint="eastAsia" w:ascii="仿宋_GB2312" w:hAnsi="仿宋" w:eastAsia="仿宋_GB2312" w:cs="仿宋_GB2312"/>
          <w:color w:val="000000" w:themeColor="text1"/>
          <w:sz w:val="24"/>
          <w:szCs w:val="20"/>
          <w:highlight w:val="none"/>
          <w14:textFill>
            <w14:solidFill>
              <w14:schemeClr w14:val="tx1"/>
            </w14:solidFill>
          </w14:textFill>
        </w:rPr>
        <w:tab/>
      </w:r>
      <w:r>
        <w:rPr>
          <w:rFonts w:hint="eastAsia" w:ascii="仿宋_GB2312" w:hAnsi="仿宋" w:eastAsia="仿宋_GB2312" w:cs="仿宋_GB2312"/>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000000" w:themeColor="text1"/>
          <w:sz w:val="24"/>
          <w:szCs w:val="20"/>
          <w:highlight w:val="none"/>
          <w:lang w:val="en-US" w:eastAsia="zh-CN"/>
          <w14:textFill>
            <w14:solidFill>
              <w14:schemeClr w14:val="tx1"/>
            </w14:solidFill>
          </w14:textFill>
        </w:rPr>
        <w:t>2.</w:t>
      </w:r>
      <w:r>
        <w:rPr>
          <w:rFonts w:hint="eastAsia" w:ascii="仿宋_GB2312" w:hAnsi="仿宋" w:eastAsia="仿宋_GB2312" w:cs="仿宋_GB2312"/>
          <w:color w:val="000000" w:themeColor="text1"/>
          <w:sz w:val="24"/>
          <w:szCs w:val="20"/>
          <w:highlight w:val="none"/>
          <w14:textFill>
            <w14:solidFill>
              <w14:schemeClr w14:val="tx1"/>
            </w14:solidFill>
          </w14:textFill>
        </w:rPr>
        <w:t>5%。</w:t>
      </w:r>
    </w:p>
    <w:p>
      <w:pPr>
        <w:tabs>
          <w:tab w:val="left" w:pos="0"/>
        </w:tabs>
        <w:spacing w:line="360" w:lineRule="auto"/>
        <w:rPr>
          <w:rFonts w:ascii="仿宋_GB2312" w:hAnsi="仿宋" w:eastAsia="仿宋_GB2312" w:cs="仿宋_GB2312"/>
          <w:color w:val="000000" w:themeColor="text1"/>
          <w:sz w:val="24"/>
          <w:szCs w:val="20"/>
          <w:highlight w:val="none"/>
          <w14:textFill>
            <w14:solidFill>
              <w14:schemeClr w14:val="tx1"/>
            </w14:solidFill>
          </w14:textFill>
        </w:rPr>
      </w:pPr>
      <w:r>
        <w:rPr>
          <w:rFonts w:hint="eastAsia" w:ascii="仿宋_GB2312" w:hAnsi="仿宋" w:eastAsia="仿宋_GB2312" w:cs="仿宋_GB2312"/>
          <w:color w:val="000000" w:themeColor="text1"/>
          <w:sz w:val="24"/>
          <w:szCs w:val="20"/>
          <w:highlight w:val="none"/>
          <w14:textFill>
            <w14:solidFill>
              <w14:schemeClr w14:val="tx1"/>
            </w14:solidFill>
          </w14:textFill>
        </w:rPr>
        <w:tab/>
      </w:r>
      <w:r>
        <w:rPr>
          <w:rFonts w:hint="eastAsia" w:ascii="仿宋_GB2312" w:hAnsi="仿宋" w:eastAsia="仿宋_GB2312" w:cs="仿宋_GB2312"/>
          <w:color w:val="000000" w:themeColor="text1"/>
          <w:sz w:val="24"/>
          <w:szCs w:val="20"/>
          <w:highlight w:val="none"/>
          <w14:textFill>
            <w14:solidFill>
              <w14:schemeClr w14:val="tx1"/>
            </w14:solidFill>
          </w14:textFill>
        </w:rPr>
        <w:t>供应商可登录政采云平台-【金融服务】—【我的项目】—【已备案合同】以保函形式提供：</w:t>
      </w:r>
    </w:p>
    <w:p>
      <w:pPr>
        <w:numPr>
          <w:ilvl w:val="0"/>
          <w:numId w:val="3"/>
        </w:numPr>
        <w:tabs>
          <w:tab w:val="left" w:pos="0"/>
        </w:tabs>
        <w:spacing w:line="360" w:lineRule="auto"/>
        <w:rPr>
          <w:rFonts w:ascii="仿宋_GB2312" w:hAnsi="仿宋" w:eastAsia="仿宋_GB2312" w:cs="仿宋_GB2312"/>
          <w:color w:val="000000" w:themeColor="text1"/>
          <w:sz w:val="24"/>
          <w:szCs w:val="20"/>
          <w:highlight w:val="none"/>
          <w14:textFill>
            <w14:solidFill>
              <w14:schemeClr w14:val="tx1"/>
            </w14:solidFill>
          </w14:textFill>
        </w:rPr>
      </w:pPr>
      <w:r>
        <w:rPr>
          <w:rFonts w:hint="eastAsia" w:ascii="仿宋_GB2312" w:hAnsi="仿宋" w:eastAsia="仿宋_GB2312" w:cs="仿宋_GB2312"/>
          <w:color w:val="000000" w:themeColor="text1"/>
          <w:sz w:val="24"/>
          <w:szCs w:val="20"/>
          <w:highlight w:val="none"/>
          <w14:textFill>
            <w14:solidFill>
              <w14:schemeClr w14:val="tx1"/>
            </w14:solidFill>
          </w14:textFill>
        </w:rPr>
        <w:t>供应商在合同列表选择需要投保的合同，点击[保函推荐]。</w:t>
      </w:r>
    </w:p>
    <w:p>
      <w:pPr>
        <w:numPr>
          <w:ilvl w:val="0"/>
          <w:numId w:val="3"/>
        </w:numPr>
        <w:tabs>
          <w:tab w:val="left" w:pos="0"/>
        </w:tabs>
        <w:spacing w:line="360" w:lineRule="auto"/>
        <w:ind w:left="0" w:firstLine="420" w:firstLineChars="175"/>
        <w:jc w:val="left"/>
        <w:rPr>
          <w:rFonts w:ascii="仿宋_GB2312" w:hAnsi="仿宋" w:eastAsia="仿宋_GB2312" w:cs="仿宋_GB2312"/>
          <w:color w:val="000000" w:themeColor="text1"/>
          <w:sz w:val="24"/>
          <w:szCs w:val="20"/>
          <w:highlight w:val="none"/>
          <w14:textFill>
            <w14:solidFill>
              <w14:schemeClr w14:val="tx1"/>
            </w14:solidFill>
          </w14:textFill>
        </w:rPr>
      </w:pPr>
      <w:r>
        <w:rPr>
          <w:rFonts w:hint="eastAsia" w:ascii="仿宋_GB2312" w:hAnsi="仿宋" w:eastAsia="仿宋_GB2312" w:cs="仿宋_GB2312"/>
          <w:color w:val="000000" w:themeColor="text1"/>
          <w:sz w:val="24"/>
          <w:szCs w:val="20"/>
          <w:highlight w:val="none"/>
          <w14:textFill>
            <w14:solidFill>
              <w14:schemeClr w14:val="tx1"/>
            </w14:solidFill>
          </w14:textFill>
        </w:rPr>
        <w:t>在弹框里查看推荐的保函产品，供应商自行选择保函产品，点击[立即申请]。</w:t>
      </w:r>
    </w:p>
    <w:p>
      <w:pPr>
        <w:numPr>
          <w:ilvl w:val="0"/>
          <w:numId w:val="3"/>
        </w:numPr>
        <w:tabs>
          <w:tab w:val="left" w:pos="0"/>
        </w:tabs>
        <w:spacing w:line="360" w:lineRule="auto"/>
        <w:ind w:left="0" w:firstLine="420" w:firstLineChars="175"/>
        <w:jc w:val="left"/>
        <w:rPr>
          <w:rFonts w:ascii="仿宋_GB2312" w:hAnsi="仿宋" w:eastAsia="仿宋_GB2312" w:cs="仿宋_GB2312"/>
          <w:color w:val="000000" w:themeColor="text1"/>
          <w:sz w:val="24"/>
          <w:szCs w:val="20"/>
          <w:highlight w:val="none"/>
          <w14:textFill>
            <w14:solidFill>
              <w14:schemeClr w14:val="tx1"/>
            </w14:solidFill>
          </w14:textFill>
        </w:rPr>
      </w:pPr>
      <w:r>
        <w:rPr>
          <w:rFonts w:hint="eastAsia" w:ascii="仿宋_GB2312" w:hAnsi="仿宋" w:eastAsia="仿宋_GB2312" w:cs="仿宋_GB2312"/>
          <w:color w:val="000000" w:themeColor="text1"/>
          <w:sz w:val="24"/>
          <w:szCs w:val="20"/>
          <w:highlight w:val="none"/>
          <w14:textFill>
            <w14:solidFill>
              <w14:schemeClr w14:val="tx1"/>
            </w14:solidFill>
          </w14:textFill>
        </w:rPr>
        <w:t>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000000" w:themeColor="text1"/>
          <w:sz w:val="32"/>
          <w:highlight w:val="none"/>
          <w14:textFill>
            <w14:solidFill>
              <w14:schemeClr w14:val="tx1"/>
            </w14:solidFill>
          </w14:textFill>
        </w:rPr>
      </w:pPr>
    </w:p>
    <w:p>
      <w:pPr>
        <w:snapToGrid w:val="0"/>
        <w:spacing w:line="360" w:lineRule="auto"/>
        <w:jc w:val="center"/>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八、电子交易活动的中止</w:t>
      </w:r>
    </w:p>
    <w:p>
      <w:pPr>
        <w:pStyle w:val="131"/>
        <w:snapToGrid w:val="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w:t>
      </w:r>
      <w:r>
        <w:rPr>
          <w:rFonts w:ascii="仿宋_GB2312" w:hAnsi="仿宋" w:eastAsia="仿宋_GB2312" w:cs="仿宋_GB2312"/>
          <w:b/>
          <w:color w:val="000000" w:themeColor="text1"/>
          <w:szCs w:val="24"/>
          <w:highlight w:val="none"/>
          <w14:textFill>
            <w14:solidFill>
              <w14:schemeClr w14:val="tx1"/>
            </w14:solidFill>
          </w14:textFill>
        </w:rPr>
        <w:t xml:space="preserve">7. </w:t>
      </w:r>
      <w:r>
        <w:rPr>
          <w:rFonts w:hint="eastAsia" w:ascii="仿宋_GB2312" w:hAnsi="仿宋" w:eastAsia="仿宋_GB2312" w:cs="仿宋_GB2312"/>
          <w:b/>
          <w:color w:val="000000" w:themeColor="text1"/>
          <w:szCs w:val="24"/>
          <w:highlight w:val="none"/>
          <w14:textFill>
            <w14:solidFill>
              <w14:schemeClr w14:val="tx1"/>
            </w14:solidFill>
          </w14:textFill>
        </w:rPr>
        <w:t>电子交易活动的中止。</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 xml:space="preserve">27.1电子交易平台发生故障而无法登录访问的； </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27.2电子交易平台应用或数据库出现错误，不能进行正常操作的；</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27.3电子交易平台发现严重安全漏洞，有潜在泄密危险的；</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 xml:space="preserve">27.4病毒发作导致不能进行正常操作的； </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27.5其他无法保证电子交易的公平、公正和安全的情况。</w:t>
      </w:r>
    </w:p>
    <w:p>
      <w:pPr>
        <w:pStyle w:val="131"/>
        <w:snapToGrid w:val="0"/>
        <w:spacing w:before="0"/>
        <w:ind w:firstLine="0" w:firstLineChars="0"/>
        <w:rPr>
          <w:rFonts w:ascii="仿宋_GB2312" w:hAnsi="仿宋" w:eastAsia="仿宋_GB2312" w:cs="仿宋_GB2312"/>
          <w:b/>
          <w:bCs/>
          <w:color w:val="000000" w:themeColor="text1"/>
          <w:highlight w:val="none"/>
          <w14:textFill>
            <w14:solidFill>
              <w14:schemeClr w14:val="tx1"/>
            </w14:solidFill>
          </w14:textFill>
        </w:rPr>
      </w:pPr>
      <w:r>
        <w:rPr>
          <w:rFonts w:ascii="仿宋_GB2312" w:hAnsi="仿宋" w:eastAsia="仿宋_GB2312" w:cs="仿宋_GB2312"/>
          <w:b/>
          <w:bCs/>
          <w:color w:val="000000" w:themeColor="text1"/>
          <w:highlight w:val="none"/>
          <w14:textFill>
            <w14:solidFill>
              <w14:schemeClr w14:val="tx1"/>
            </w14:solidFill>
          </w14:textFill>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九、验收</w:t>
      </w:r>
    </w:p>
    <w:p>
      <w:pPr>
        <w:pStyle w:val="25"/>
        <w:spacing w:line="360" w:lineRule="auto"/>
        <w:ind w:firstLine="0" w:firstLineChars="0"/>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29.验收</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pStyle w:val="131"/>
        <w:snapToGrid w:val="0"/>
        <w:spacing w:before="0"/>
        <w:ind w:firstLine="480"/>
        <w:rPr>
          <w:rFonts w:ascii="仿宋_GB2312" w:hAnsi="仿宋" w:eastAsia="仿宋_GB2312" w:cs="仿宋_GB2312"/>
          <w:color w:val="000000" w:themeColor="text1"/>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916" w:right="1757" w:bottom="1440" w:left="1757" w:header="851" w:footer="992" w:gutter="0"/>
          <w:cols w:space="720" w:num="1"/>
          <w:titlePg/>
          <w:docGrid w:linePitch="312" w:charSpace="0"/>
        </w:sectPr>
      </w:pPr>
      <w:bookmarkStart w:id="14" w:name="_Hlt75236101"/>
      <w:bookmarkEnd w:id="14"/>
      <w:bookmarkStart w:id="15" w:name="_Hlt74730295"/>
      <w:bookmarkEnd w:id="15"/>
      <w:bookmarkStart w:id="16" w:name="_Hlt68403820"/>
      <w:bookmarkEnd w:id="16"/>
      <w:bookmarkStart w:id="17" w:name="_Hlt75236290"/>
      <w:bookmarkEnd w:id="17"/>
      <w:bookmarkStart w:id="18" w:name="_Hlt68072990"/>
      <w:bookmarkEnd w:id="18"/>
      <w:bookmarkStart w:id="19" w:name="_Hlt75236011"/>
      <w:bookmarkEnd w:id="19"/>
      <w:bookmarkStart w:id="20" w:name="_Hlt68073093"/>
      <w:bookmarkEnd w:id="20"/>
      <w:bookmarkStart w:id="21" w:name="_Hlt68057669"/>
      <w:bookmarkEnd w:id="21"/>
      <w:bookmarkStart w:id="22" w:name="_Hlt74707468"/>
      <w:bookmarkEnd w:id="22"/>
      <w:bookmarkStart w:id="23" w:name="_Hlt68072998"/>
      <w:bookmarkEnd w:id="23"/>
      <w:bookmarkStart w:id="24" w:name="_Hlt74714665"/>
      <w:bookmarkEnd w:id="24"/>
      <w:bookmarkStart w:id="25" w:name="_Hlt74729768"/>
      <w:bookmarkEnd w:id="25"/>
    </w:p>
    <w:bookmarkEnd w:id="11"/>
    <w:bookmarkEnd w:id="12"/>
    <w:p>
      <w:pPr>
        <w:jc w:val="left"/>
        <w:rPr>
          <w:rFonts w:ascii="仿宋" w:hAnsi="仿宋" w:eastAsia="仿宋" w:cs="仿宋_GB2312"/>
          <w:b/>
          <w:color w:val="000000" w:themeColor="text1"/>
          <w:sz w:val="36"/>
          <w:szCs w:val="36"/>
          <w:highlight w:val="none"/>
          <w14:textFill>
            <w14:solidFill>
              <w14:schemeClr w14:val="tx1"/>
            </w14:solidFill>
          </w14:textFill>
        </w:rPr>
      </w:pPr>
      <w:bookmarkStart w:id="26" w:name="第四部分"/>
      <w:r>
        <w:rPr>
          <w:rFonts w:hint="eastAsia" w:ascii="仿宋" w:hAnsi="仿宋" w:eastAsia="仿宋" w:cs="仿宋_GB2312"/>
          <w:b/>
          <w:color w:val="000000" w:themeColor="text1"/>
          <w:sz w:val="36"/>
          <w:szCs w:val="36"/>
          <w:highlight w:val="none"/>
          <w14:textFill>
            <w14:solidFill>
              <w14:schemeClr w14:val="tx1"/>
            </w14:solidFill>
          </w14:textFill>
        </w:rPr>
        <w:br w:type="page"/>
      </w:r>
    </w:p>
    <w:p>
      <w:pPr>
        <w:spacing w:line="360" w:lineRule="auto"/>
        <w:jc w:val="center"/>
        <w:outlineLvl w:val="0"/>
        <w:rPr>
          <w:rFonts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t>第三部分</w:t>
      </w:r>
      <w:r>
        <w:rPr>
          <w:rFonts w:ascii="仿宋" w:hAnsi="仿宋" w:eastAsia="仿宋" w:cs="仿宋_GB2312"/>
          <w:b/>
          <w:color w:val="000000" w:themeColor="text1"/>
          <w:sz w:val="36"/>
          <w:szCs w:val="36"/>
          <w:highlight w:val="none"/>
          <w14:textFill>
            <w14:solidFill>
              <w14:schemeClr w14:val="tx1"/>
            </w14:solidFill>
          </w14:textFill>
        </w:rPr>
        <w:t xml:space="preserve">   </w:t>
      </w:r>
      <w:r>
        <w:rPr>
          <w:rFonts w:hint="eastAsia" w:ascii="仿宋" w:hAnsi="仿宋" w:eastAsia="仿宋" w:cs="仿宋_GB2312"/>
          <w:b/>
          <w:color w:val="000000" w:themeColor="text1"/>
          <w:sz w:val="36"/>
          <w:szCs w:val="36"/>
          <w:highlight w:val="none"/>
          <w14:textFill>
            <w14:solidFill>
              <w14:schemeClr w14:val="tx1"/>
            </w14:solidFill>
          </w14:textFill>
        </w:rPr>
        <w:t>采购需求</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一、概述</w:t>
      </w:r>
      <w:r>
        <w:rPr>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1、本项目</w:t>
      </w:r>
      <w:r>
        <w:rPr>
          <w:color w:val="000000" w:themeColor="text1"/>
          <w:highlight w:val="none"/>
          <w14:textFill>
            <w14:solidFill>
              <w14:schemeClr w14:val="tx1"/>
            </w14:solidFill>
          </w14:textFill>
        </w:rPr>
        <w:t>选定1家</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，服务期</w:t>
      </w:r>
      <w:r>
        <w:rPr>
          <w:rFonts w:hint="eastAsia"/>
          <w:color w:val="000000" w:themeColor="text1"/>
          <w:highlight w:val="none"/>
          <w14:textFill>
            <w14:solidFill>
              <w14:schemeClr w14:val="tx1"/>
            </w14:solidFill>
          </w14:textFill>
        </w:rPr>
        <w:t>3年</w:t>
      </w:r>
      <w:r>
        <w:rPr>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2、本项目投标价为3年服务期的总报价。</w:t>
      </w:r>
    </w:p>
    <w:p>
      <w:pPr>
        <w:rPr>
          <w:color w:val="000000" w:themeColor="text1"/>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主要服务内容：提供餐饮管理及服务。为医院职工早、中、晚三餐供餐及夜宵；值班人员送餐上门；病人营养餐订送餐服务及病人协调沟通等工作；其他人员（如上级检查人员、参加学术会议人员等）的供餐服务；健康管理中心体检的供餐服务</w:t>
      </w:r>
      <w:r>
        <w:rPr>
          <w:rFonts w:hint="eastAsia"/>
          <w:color w:val="000000" w:themeColor="text1"/>
          <w:highlight w:val="none"/>
          <w14:textFill>
            <w14:solidFill>
              <w14:schemeClr w14:val="tx1"/>
            </w14:solidFill>
          </w14:textFill>
        </w:rPr>
        <w:t>；食堂内部小超市服务</w:t>
      </w:r>
      <w:r>
        <w:rPr>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（一）具体服务要求：</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1、每日食堂供应3餐（早餐、中餐、晚餐）及接待工作、学习培训班等用餐，用餐人数日均（具体根据实际用餐人数）。如有夜宵需求，积极配合。</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2、每日病人营养餐3餐（早、中、晚餐）、特殊病人需要提供6餐，用餐人数日均（具体根据实际用餐人数）。</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3、早餐品种每餐提供不少于20样，中餐提供菜品数量不少于30个，晚餐及双休节假日提供菜品数量不少于20（包括小炒、主食类）。做到品种多样化，定期推出特色菜或新菜。</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按医院规定作息时间，准时开餐。职工餐厅：早餐供应6:30-8:00；午餐供应11:00-12:30；晚餐供应16:30-19:00；手术室等特殊科室误餐提供面食现烧服务（12:30-16:00）;病人营养餐送餐时间（6:30-7:00；11:00；17:00并要求在30分钟内完成）。</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5、提供小炒服务，品种为冷盘、热炒、点心、汤羹类。中餐、晚餐随时有接待用餐，需做到准时开餐、质量保证。</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6、要求提供中国传统习俗的年夜饭、元宵节汤圆、中秋联欢、中秋月饼等的烹饪制作，负责提供人性化的服务。</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7、同时必须服从、完成医院特殊及指令性的供餐任务，保证就餐正点、足量、优质。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针对住院病人：在营养师的指导下，保证特殊饮食供应，对入住本院内的患者，根据医院需要提供病员餐（特殊饮食）如：糖尿病饮食、低蛋白饮食、低脂饮食、低盐饮食等治疗饮食；代谢膳食：流质、半流质、软食等普通饮食；均需符合等级医院评审要求。要求做到营养均衡，饭菜可口。病人提前一天点餐，食堂员工按时送到病人床头。</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员工人数配置按照院方的实际需求为准（根据医院的使用规模、用餐人员数量、调整工作人员数量）。如医院要求增加/减少一个岗位，原则上参照投标文件中相应的岗位收入标准。如有合同之外的临时加班费用，参照合同基础上，双方协商，不含在总价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10、经营场地如因采购人工作、发展需要进行改造、搬迁或短期关停，</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应予以配合。</w:t>
      </w:r>
    </w:p>
    <w:p>
      <w:pPr>
        <w:spacing w:line="360" w:lineRule="auto"/>
        <w:ind w:firstLine="420" w:firstLineChars="200"/>
        <w:rPr>
          <w:color w:val="000000" w:themeColor="text1"/>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、场地使用及相关费用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（一）采购人承担费用：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1、硬件设备及消耗品等由采购人采购并承担相应的费用。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2、厨房设备的维护、维修费用由采购人承担。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3、烟道清洗（每一季度清洗一次），相关费用均由采购人承担。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4、燃气费、蒸汽费、水费和电费由采购人承担。</w:t>
      </w:r>
    </w:p>
    <w:p>
      <w:pPr>
        <w:pStyle w:val="2"/>
        <w:ind w:firstLine="420" w:firstLineChars="200"/>
        <w:rPr>
          <w:rFonts w:hint="eastAsia"/>
          <w:color w:val="000000" w:themeColor="text1"/>
          <w:highlight w:val="none"/>
          <w14:textFill>
            <w14:solidFill>
              <w14:schemeClr w14:val="tx1"/>
            </w14:solidFill>
          </w14:textFill>
        </w:rPr>
      </w:pPr>
      <w:r>
        <w:rPr>
          <w:rFonts w:ascii="Times New Roman" w:hAnsi="Times New Roman"/>
          <w:color w:val="000000" w:themeColor="text1"/>
          <w:kern w:val="2"/>
          <w:sz w:val="21"/>
          <w:highlight w:val="none"/>
          <w14:textFill>
            <w14:solidFill>
              <w14:schemeClr w14:val="tx1"/>
            </w14:solidFill>
          </w14:textFill>
        </w:rPr>
        <w:t>5</w:t>
      </w:r>
      <w:r>
        <w:rPr>
          <w:rFonts w:hint="eastAsia" w:ascii="Times New Roman" w:hAnsi="Times New Roman"/>
          <w:color w:val="000000" w:themeColor="text1"/>
          <w:kern w:val="2"/>
          <w:sz w:val="21"/>
          <w:highlight w:val="none"/>
          <w14:textFill>
            <w14:solidFill>
              <w14:schemeClr w14:val="tx1"/>
            </w14:solidFill>
          </w14:textFill>
        </w:rPr>
        <w:t>、根据每月实际人数发放工资，目前各岗位总人数为4</w:t>
      </w:r>
      <w:r>
        <w:rPr>
          <w:rFonts w:ascii="Times New Roman" w:hAnsi="Times New Roman"/>
          <w:color w:val="000000" w:themeColor="text1"/>
          <w:kern w:val="2"/>
          <w:sz w:val="21"/>
          <w:highlight w:val="none"/>
          <w14:textFill>
            <w14:solidFill>
              <w14:schemeClr w14:val="tx1"/>
            </w14:solidFill>
          </w14:textFill>
        </w:rPr>
        <w:t>6</w:t>
      </w:r>
      <w:r>
        <w:rPr>
          <w:rFonts w:hint="eastAsia" w:ascii="Times New Roman" w:hAnsi="Times New Roman"/>
          <w:color w:val="000000" w:themeColor="text1"/>
          <w:kern w:val="2"/>
          <w:sz w:val="21"/>
          <w:highlight w:val="none"/>
          <w14:textFill>
            <w14:solidFill>
              <w14:schemeClr w14:val="tx1"/>
            </w14:solidFill>
          </w14:textFill>
        </w:rPr>
        <w:t>人。</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住宿费用、管理费、发票税等每季度发放一次，每次发放全年的1/4。</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承担费用：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1、承包合同期内，</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自行负责员工宿舍的安排；</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负责所需员工的招聘、劳动合同的签订及日常管理；</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所聘员工的工资、保险、福利、</w:t>
      </w:r>
      <w:r>
        <w:rPr>
          <w:rFonts w:hint="eastAsia"/>
          <w:color w:val="000000" w:themeColor="text1"/>
          <w:highlight w:val="none"/>
          <w14:textFill>
            <w14:solidFill>
              <w14:schemeClr w14:val="tx1"/>
            </w14:solidFill>
          </w14:textFill>
        </w:rPr>
        <w:t>加班费、</w:t>
      </w:r>
      <w:r>
        <w:rPr>
          <w:color w:val="000000" w:themeColor="text1"/>
          <w:highlight w:val="none"/>
          <w14:textFill>
            <w14:solidFill>
              <w14:schemeClr w14:val="tx1"/>
            </w14:solidFill>
          </w14:textFill>
        </w:rPr>
        <w:t>健康证以及相关管理费用等均由</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自行承担</w:t>
      </w:r>
      <w:r>
        <w:rPr>
          <w:rFonts w:hint="eastAsia"/>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目前各岗位总人数为</w:t>
      </w:r>
      <w:r>
        <w:rPr>
          <w:color w:val="000000" w:themeColor="text1"/>
          <w:highlight w:val="none"/>
          <w:u w:val="single"/>
          <w14:textFill>
            <w14:solidFill>
              <w14:schemeClr w14:val="tx1"/>
            </w14:solidFill>
          </w14:textFill>
        </w:rPr>
        <w:t>46</w:t>
      </w:r>
      <w:r>
        <w:rPr>
          <w:rFonts w:hint="eastAsia"/>
          <w:color w:val="000000" w:themeColor="text1"/>
          <w:highlight w:val="none"/>
          <w:u w:val="single"/>
          <w14:textFill>
            <w14:solidFill>
              <w14:schemeClr w14:val="tx1"/>
            </w14:solidFill>
          </w14:textFill>
        </w:rPr>
        <w:t>人</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。如发生工伤、疾病乃至死亡的一切责任及费用由</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全部负责。如因</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原因造成第三方损失的或在服务过程中</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与从业人员发生任何劳动纠纷的，一切责任与费用由</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全部负责。</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2、工作性质为每周单休，其中一天加班在基本月工资中包含。</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2、发票税费由</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3、承包期内，如遇</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管理不善，操作不当导致的有害因素造成</w:t>
      </w:r>
      <w:r>
        <w:rPr>
          <w:rFonts w:hint="eastAsia"/>
          <w:color w:val="000000" w:themeColor="text1"/>
          <w:highlight w:val="none"/>
          <w14:textFill>
            <w14:solidFill>
              <w14:schemeClr w14:val="tx1"/>
            </w14:solidFill>
          </w14:textFill>
        </w:rPr>
        <w:t>采购人</w:t>
      </w:r>
      <w:r>
        <w:rPr>
          <w:color w:val="000000" w:themeColor="text1"/>
          <w:highlight w:val="none"/>
          <w14:textFill>
            <w14:solidFill>
              <w14:schemeClr w14:val="tx1"/>
            </w14:solidFill>
          </w14:textFill>
        </w:rPr>
        <w:t>投入的设施设备发生损坏，由</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进行维修或赔偿，由此所导致的不良后果由</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全部承担；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应按照采购人营养师对烹饪治疗膳食的要求，配专职营养厨师一名。</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5、人员配置</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（1）岗位报价</w:t>
      </w:r>
    </w:p>
    <w:p>
      <w:pPr>
        <w:spacing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投标岗位报价表（人员费用表）</w:t>
      </w:r>
    </w:p>
    <w:tbl>
      <w:tblPr>
        <w:tblStyle w:val="63"/>
        <w:tblW w:w="108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927"/>
        <w:gridCol w:w="1058"/>
        <w:gridCol w:w="1142"/>
        <w:gridCol w:w="750"/>
        <w:gridCol w:w="888"/>
        <w:gridCol w:w="712"/>
        <w:gridCol w:w="1613"/>
        <w:gridCol w:w="912"/>
        <w:gridCol w:w="638"/>
        <w:gridCol w:w="7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岗位</w:t>
            </w:r>
          </w:p>
        </w:tc>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部门</w:t>
            </w:r>
          </w:p>
        </w:tc>
        <w:tc>
          <w:tcPr>
            <w:tcW w:w="927"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各岗位人数</w:t>
            </w:r>
          </w:p>
        </w:tc>
        <w:tc>
          <w:tcPr>
            <w:tcW w:w="105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月工资元/月</w:t>
            </w:r>
          </w:p>
        </w:tc>
        <w:tc>
          <w:tcPr>
            <w:tcW w:w="114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年工资元/年</w:t>
            </w:r>
          </w:p>
        </w:tc>
        <w:tc>
          <w:tcPr>
            <w:tcW w:w="750"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年福利/人</w:t>
            </w:r>
          </w:p>
        </w:tc>
        <w:tc>
          <w:tcPr>
            <w:tcW w:w="88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社保费元/月</w:t>
            </w:r>
          </w:p>
        </w:tc>
        <w:tc>
          <w:tcPr>
            <w:tcW w:w="71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高温费/人</w:t>
            </w:r>
          </w:p>
        </w:tc>
        <w:tc>
          <w:tcPr>
            <w:tcW w:w="1613"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节假日加班费/人（3倍工资）</w:t>
            </w:r>
          </w:p>
        </w:tc>
        <w:tc>
          <w:tcPr>
            <w:tcW w:w="91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年终绩效/人</w:t>
            </w:r>
          </w:p>
        </w:tc>
        <w:tc>
          <w:tcPr>
            <w:tcW w:w="63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年/人</w:t>
            </w:r>
          </w:p>
        </w:tc>
        <w:tc>
          <w:tcPr>
            <w:tcW w:w="75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927"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0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14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50"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8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1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613"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91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63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58" w:type="dxa"/>
            <w:vMerge w:val="continue"/>
            <w:tcBorders>
              <w:tl2br w:val="nil"/>
              <w:tr2bl w:val="nil"/>
            </w:tcBorders>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项目经理</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厨师班长</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切配兼服务员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烧面师傅</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保洁员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洗碗工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洗菜切配</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配餐员主管</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配餐员拉单</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高级配餐员1</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初级配餐员2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蒸煮工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面点班长</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洗大盘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机动替班1</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机动替班3</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服务员（钟点工）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体检中心</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厨师（钟点工）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46</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人员费用合计</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住宿费用</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管理费</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税金</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其他费用</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投标总价</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bl>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1、月工资包括每周单休加班工资。</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2、年福利：中秋、国庆、元旦，每个节日200元</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3、社保费：单位承担部分</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4、节假日加班费：为每年固定11天节假日加班费</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5、岗位报价费用按实际产生费用结算</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6、岗位报价费（人员费用）中标商不得截留</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根据医院的要求，投标人应为本项目承包区域内各项服务工作岗位配备人员。本项目投标人须指定一名项目负责人与招标人在服务期内进行工作对接和安排，服务内投标人不得更换项目负责人。为了统一报价标准，本次招标各投标人按照人员配备岗位表进行报价。</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投标报价包括完成本次服务全部工作所需的一切费用，此报价包括：人员工资、奖金、社保、各种加班费、夜宵服务值班费等，以及员工住宿费、保险费、体检费、管理费、利润、税金及其他投标人承担的费用及潜在可能涉及的一切费用。</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（4）核算过程中必须要符合国家的《劳动法》、《劳动合同法》、《社会保障法》等法规要求。</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▲（5）服务人员工资不得低于杭州市最低工资标准和社会保障费用之和（杭州市人民政府关于调整市区最低工资标准的通知 杭政函〔2021〕69号）。</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其他要求说明：中标人自行负责招标员工的一切工资、福利，如发生工伤、疾病乃至死亡的一切责任及费用由中标人全部负责。如中标人原因造成第三方的损失或服务过程中中标人与从业人员发生任何劳动纠纷的，一切责任与费用由中标人全部负责。</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服务提供方需做好招工培训工作，招聘员工的年龄原则上男性应在55周岁以下，女性应在50周岁以下，有一定的文化水平，至少能读懂报纸内容。培训合格后上岗，同时要保证人员的相对稳定，并按《人员费用表》中规定支付各工种个人工资，不得截留。</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（8）根据市场行情变化，适当调整人员工资，人员工资总价（基本工资、社保、福利、加班费、高温费、年终奖励等）不超过中标价。</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服务提供方及其员工必须遵守医院的一切行政管理、消防安全、病区等规定和制度。院方有权对服务提供方员工的工作行为进行监督，如发现服务提供方员工有违反医院的规定和制度的行为，院方将要求其改正，态度恶劣拒不改正的，院方有权要求服务提供方予以辞退，服务提供方必须无条件接受。</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（10）遇突发事件或安全检查时，服务提供方必须配合有关部门执行任务，并指定专职人员协助工作，直至完成。</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服务提供方不以任何形式转租、转让、抵押服务区域，在服务区域只从事院方认可的服务工作。在服务期间，服务提供方的任何股份配置变动应通知院方。未经院方书面批准，任何占有支配地位的股份转让者将视为乙方出租、转让的行为。</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（12）服务区域的各项服务工作时间必须符合及满足院方的要求，周末及公众假期，需根据院方需要提供服务。</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餐厅、操作间内的水、电、气等费用由采购人负责。操作间、灶具等主要用具及餐、盘、筷子、勺子等用餐用具均由采购人解决。中标人在服务时应对食堂原有设备设施进行检查，发现问题由招标人统一集中维修，确保所有设施设备正常工作，维修费由采购人负责。如需添置硬件设备事先应向招标人提出，由采购人负责购买；投标人做好水、电、气等安全管理；出现水常开、电常通现象给予一定的经济处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（14）有较强的技术支撑团队，定期开展食堂员工的厨师及服务培训。</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四、卫生管理和消防安全</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标人应严格遵守《食品安全法》、《消防法》等相关的法律法规，确保食品安全、消防安全等。中标人在实际操作中若违反法律法规、行业规范或其他有关规定，由此导致不良后果由中标人全部承担，由此给采购人造成的损失应予以全额赔偿。</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（一）承包期内，中标人应搞好辖区内的环境卫生工作，噪声、污水、烟尘排放应符合国家标准，定期清理灶台及炊事用品污垢，饭堂内外保持卫生整洁。</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（二）中标人应定期对食堂内外水池和下水道进行清理，确保畅通，消除蚊蝇鼠害。</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（三）中标人应定期对冰柜进行清理、除霜，消除异味，生熟物品应分开存放。</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（四）中标人对厨房用品用具应严格实行一刮、二洗、三冲、四消毒、五保洁的规程。</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（五）中标人必须按照国家饮食卫生标准做到食堂所有的饮食无毒，无污染，不得出售任何变质或受污染的食物。</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（六）中标人负责厨房餐厅的消防安全及管理，每班下班前关闭相关电源开关和煤气开关，并禁止吸烟等其它具有消防安全隐患的行为。</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（七）中标人所有工作人员应按卫生部门规定进行定期身体检查并取得餐饮服务业人员健康合格证。</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（八）中标人厨房工作人员必须遵守采购人规章制度，不得随意出入医院其它区域，如违反者，采购人将依照院内规章制度予以处罚。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（九）凡中标人操作不当造成食物中毒、肠道疾病、火灾等事故，由中标人承担一切责任并赔偿一切损失。</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五、按照杭州市卫计委综合目标考核要求及西湖区餐饮业食品安全五常管理要求，医院对承包商承经营食堂进行考核，具体考核标准如下：</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（一）严格执行《食品安全法》相关规定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中标人在经营期间必须符合国家饮食卫生标准，中标人全体工作人员必须持健康证上岗，统一卫生标准的着装，如采购人检查发现中标人人员没有持健康证上岗，每人每次处以200元的罚款，并责令中标人立即停止无证人员上岗。如卫生行政部门检查发现，则按规定罚款。</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2、卫计委不定期对营养食堂及职工食堂进行检查，如发现操作不规范（以卫计委的检查结果为标准），每次每项扣500元。</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3、营养餐按要求烹饪供餐，如发现未按时烹饪、送餐、菜单未及时更换，每次扣罚50元。</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4、因各种投诉，经过采购人调查中标人工作人员确实存在过错，视情节轻重，每次扣罚100-500元不等，如果被各类媒体曝光影响医院声誉，视情节轻重给予500-2000元的处罚。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5、采购人不定期对营养食堂及职工食堂进行检查，如发现操作不规范，每次每项扣50-200元。</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6、中标人所有的工作人员须遵守医院规章制度，遵守食品卫生操作规程，按奖罚条例考核。</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7、中标人须配合完成采购人各项综合目标考核、综合治理、等级医院复评及医院的指令性任务等，按照采购人对膳食科考核细则对中标人进行考核。</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六、结算方式</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（一）履约保证金为中标价的</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5%（含设备保证金5万元整），中标价   万*</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5%=  万（保证金），合同签订之日起七个工作日内打入采购人账户。中标价在合同期内无违规情况，采购人在合同期满后一次性无息退还。</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（二）就餐卡余额由医院财务科保管。</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（三）在双方核对无异议后，采购人应在收到发票的</w:t>
      </w:r>
      <w:r>
        <w:rPr>
          <w:rFonts w:hint="eastAsia"/>
          <w:color w:val="000000" w:themeColor="text1"/>
          <w:highlight w:val="none"/>
          <w14:textFill>
            <w14:solidFill>
              <w14:schemeClr w14:val="tx1"/>
            </w14:solidFill>
          </w14:textFill>
        </w:rPr>
        <w:t>5个工作日</w:t>
      </w:r>
      <w:r>
        <w:rPr>
          <w:rFonts w:hint="eastAsia"/>
          <w:color w:val="000000" w:themeColor="text1"/>
          <w:highlight w:val="none"/>
          <w14:textFill>
            <w14:solidFill>
              <w14:schemeClr w14:val="tx1"/>
            </w14:solidFill>
          </w14:textFill>
        </w:rPr>
        <w:t>内向中标价付款，如逾期付款，每逾期一日，违约金为逾期应付款的万分之四。</w:t>
      </w:r>
    </w:p>
    <w:p>
      <w:pPr>
        <w:pStyle w:val="964"/>
        <w:spacing w:before="0" w:after="0" w:line="360" w:lineRule="auto"/>
        <w:rPr>
          <w:rFonts w:ascii="宋体" w:hAnsi="宋体" w:cs="宋体"/>
          <w:b/>
          <w:bCs/>
          <w:color w:val="000000" w:themeColor="text1"/>
          <w:sz w:val="21"/>
          <w:szCs w:val="2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w:t>
      </w:r>
    </w:p>
    <w:p>
      <w:pPr>
        <w:spacing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（目前人员费用表）（仅供参考）</w:t>
      </w:r>
    </w:p>
    <w:tbl>
      <w:tblPr>
        <w:tblStyle w:val="63"/>
        <w:tblW w:w="1074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766"/>
        <w:gridCol w:w="876"/>
        <w:gridCol w:w="709"/>
        <w:gridCol w:w="876"/>
        <w:gridCol w:w="709"/>
        <w:gridCol w:w="1276"/>
        <w:gridCol w:w="992"/>
        <w:gridCol w:w="1134"/>
        <w:gridCol w:w="12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岗位</w:t>
            </w:r>
          </w:p>
        </w:tc>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部门</w:t>
            </w:r>
          </w:p>
        </w:tc>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各岗位人数</w:t>
            </w:r>
          </w:p>
        </w:tc>
        <w:tc>
          <w:tcPr>
            <w:tcW w:w="766"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月工资元/月</w:t>
            </w:r>
          </w:p>
        </w:tc>
        <w:tc>
          <w:tcPr>
            <w:tcW w:w="876"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年工资元/年</w:t>
            </w:r>
          </w:p>
        </w:tc>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年福利/人</w:t>
            </w:r>
          </w:p>
        </w:tc>
        <w:tc>
          <w:tcPr>
            <w:tcW w:w="876"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社保费元/月</w:t>
            </w:r>
          </w:p>
        </w:tc>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高温费/人</w:t>
            </w:r>
          </w:p>
        </w:tc>
        <w:tc>
          <w:tcPr>
            <w:tcW w:w="1276"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节假日加班费/人（3倍工资）</w:t>
            </w:r>
          </w:p>
        </w:tc>
        <w:tc>
          <w:tcPr>
            <w:tcW w:w="99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年终绩效/人</w:t>
            </w:r>
          </w:p>
        </w:tc>
        <w:tc>
          <w:tcPr>
            <w:tcW w:w="1134"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年/人</w:t>
            </w:r>
          </w:p>
        </w:tc>
        <w:tc>
          <w:tcPr>
            <w:tcW w:w="1281"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66"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76"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76"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276"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99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134"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281" w:type="dxa"/>
            <w:vMerge w:val="continue"/>
            <w:tcBorders>
              <w:tl2br w:val="nil"/>
              <w:tr2bl w:val="nil"/>
            </w:tcBorders>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项目经理</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126000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153041</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153041.04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厨师班长</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96000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120541</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120541.04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7000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7000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107541</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215082.08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切配兼服务员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45600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65941.04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263764.16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102000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127041</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127041.04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72000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94541.04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94541.04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烧面师傅</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5800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69600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5800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91941.04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91941.04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保洁员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45600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65941.04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131882.08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洗碗工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45600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65941.04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131882.08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7000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7000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107541</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322623.12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洗菜切配</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45600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3800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65941.04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65941.04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配餐员主管</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150082.08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配餐员拉单</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150082.08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高级配餐员1</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51600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72441.04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144882.08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初级配餐员2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4100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49200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4100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69841.04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698410.4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蒸煮工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66000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88041.04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88041.04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面点班长</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7200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86400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7200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110141</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110141.04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72000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94541.04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283623.12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洗大盘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机动替班1</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5000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5000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81541.04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81541.04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机动替班3</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54000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600</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973.42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800</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3460</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4500</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75041.04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服务员（钟点工）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体检中心</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100元/天</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36000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36000</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36000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厨师（钟点工）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100元/天</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36000</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36000</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36000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46</w:t>
            </w:r>
          </w:p>
        </w:tc>
        <w:tc>
          <w:tcPr>
            <w:tcW w:w="76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8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276"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9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134"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1281"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3722205.8</w:t>
            </w:r>
          </w:p>
        </w:tc>
      </w:tr>
    </w:tbl>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七、其他</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1、投标人资信要求：</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1）通过</w:t>
      </w:r>
      <w:r>
        <w:rPr>
          <w:color w:val="000000" w:themeColor="text1"/>
          <w:highlight w:val="none"/>
          <w14:textFill>
            <w14:solidFill>
              <w14:schemeClr w14:val="tx1"/>
            </w14:solidFill>
          </w14:textFill>
        </w:rPr>
        <w:t>ISO9001质量管理体系认证、ISO14001环境管理体系认证、18001职业健康安全体系管理体系认证</w:t>
      </w:r>
      <w:r>
        <w:rPr>
          <w:rFonts w:hint="eastAsia"/>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2）实施过类似食堂管理与服务项目，投标文件中出具该业绩合同复印件；</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1）投标人需提供本项目整体方案，包括：</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本项目背景、现状的理解与分析以及针对本项目对招标人实际情况需求的把握；</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本项目食堂服务需求关键点和难点的把握和理解进行详细说明，以及更优化的建议等；</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2）投标人需提供本项目服务方案，包括：</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针对本项目设计一套可行服务方案：投标人对病人订送餐服务、职工餐厅服务措施、食堂服务的流程操作等；</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针对本项目员工稳定性的解决方案：投标人对人员配置、服务交接等；投标人对员工人员的住宿方案；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结合医院这一服务对象的实际情况，投标人需对可能出现的不可控风险或特定情形出具预防措施及方案，包括：针对特殊天气下的服务保障方案；针对节假日期间的服务方案。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针对本项目能提供的其他特色服务，如宵夜等；</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针对本项目的服务时间、窗口开设率、花色品种；</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3、卫生管理控制方案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提供食品卫生、人员卫生、环境卫生和垃圾处理方案。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4、安全方案及应急预案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针对本项目的食品安全、生产安全的风险分析及可行控制方案：对本项目食堂安全风险的分析与控制方案；对食品安全的保障措施及应急预案。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5、增值服务</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投标人提出有利于提升服务质量、改善就餐体验、体现更多人性化服务措施、针对特殊群体的服务举措。</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6、人员方案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本项目人员组织架构、岗位配置及人员情况。</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配置人员的基本要求：具有高级技师（厨师）证书，（提供证书复印件及在本单位缴纳的社保证明）。具有技师（厨师）及以上证书（提供证书复印件及在本单位缴纳的社保证明）。杭州市餐饮单位食品安全管理员证书、公共营养师证书（提供证书复印件）。</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后续的人员培训计划及思路。</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人员职责与管理方案。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针对用餐人员的投诉处理方案。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7、疫情防控</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投标人提供当前疫情情况下食堂就餐人员的管理措施及方案。</w:t>
      </w:r>
    </w:p>
    <w:p>
      <w:pPr>
        <w:rPr>
          <w:rFonts w:ascii="仿宋" w:hAnsi="仿宋" w:eastAsia="仿宋" w:cs="Arial"/>
          <w:snapToGrid w:val="0"/>
          <w:color w:val="000000" w:themeColor="text1"/>
          <w:kern w:val="0"/>
          <w:sz w:val="24"/>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ascii="仿宋" w:hAnsi="仿宋" w:eastAsia="仿宋" w:cs="仿宋_GB2312"/>
          <w:b/>
          <w:color w:val="000000" w:themeColor="text1"/>
          <w:sz w:val="24"/>
          <w:highlight w:val="none"/>
          <w14:textFill>
            <w14:solidFill>
              <w14:schemeClr w14:val="tx1"/>
            </w14:solidFill>
          </w14:textFill>
        </w:rPr>
        <w:br w:type="page"/>
      </w:r>
      <w:r>
        <w:rPr>
          <w:rFonts w:hint="eastAsia" w:ascii="仿宋" w:hAnsi="仿宋" w:eastAsia="仿宋" w:cs="仿宋_GB2312"/>
          <w:b/>
          <w:color w:val="000000" w:themeColor="text1"/>
          <w:sz w:val="36"/>
          <w:szCs w:val="36"/>
          <w:highlight w:val="none"/>
          <w14:textFill>
            <w14:solidFill>
              <w14:schemeClr w14:val="tx1"/>
            </w14:solidFill>
          </w14:textFill>
        </w:rPr>
        <w:t>第四部分</w:t>
      </w:r>
      <w:r>
        <w:rPr>
          <w:rFonts w:ascii="仿宋" w:hAnsi="仿宋" w:eastAsia="仿宋" w:cs="仿宋_GB2312"/>
          <w:b/>
          <w:color w:val="000000" w:themeColor="text1"/>
          <w:sz w:val="36"/>
          <w:szCs w:val="36"/>
          <w:highlight w:val="none"/>
          <w14:textFill>
            <w14:solidFill>
              <w14:schemeClr w14:val="tx1"/>
            </w14:solidFill>
          </w14:textFill>
        </w:rPr>
        <w:t xml:space="preserve">   </w:t>
      </w:r>
      <w:bookmarkStart w:id="27" w:name="_Toc184308044"/>
      <w:bookmarkEnd w:id="27"/>
      <w:bookmarkStart w:id="28" w:name="_Toc184312128"/>
      <w:bookmarkEnd w:id="28"/>
      <w:bookmarkStart w:id="29" w:name="_Toc184310325"/>
      <w:bookmarkEnd w:id="29"/>
      <w:bookmarkStart w:id="30" w:name="_Toc184314468"/>
      <w:bookmarkEnd w:id="30"/>
      <w:bookmarkStart w:id="31" w:name="_Toc184308043"/>
      <w:bookmarkEnd w:id="31"/>
      <w:bookmarkStart w:id="32" w:name="_Toc184313298"/>
      <w:bookmarkEnd w:id="32"/>
      <w:bookmarkStart w:id="33" w:name="_Toc184312077"/>
      <w:bookmarkEnd w:id="33"/>
      <w:bookmarkStart w:id="34" w:name="_Toc184312072"/>
      <w:bookmarkEnd w:id="34"/>
      <w:bookmarkStart w:id="35" w:name="_Toc184308092"/>
      <w:bookmarkEnd w:id="35"/>
      <w:bookmarkStart w:id="36" w:name="_Toc184308041"/>
      <w:bookmarkEnd w:id="36"/>
      <w:bookmarkStart w:id="37" w:name="_Toc184313285"/>
      <w:bookmarkEnd w:id="37"/>
      <w:bookmarkStart w:id="38" w:name="_Toc184308038"/>
      <w:bookmarkEnd w:id="38"/>
      <w:bookmarkStart w:id="39" w:name="_Toc184308075"/>
      <w:bookmarkEnd w:id="39"/>
      <w:bookmarkStart w:id="40" w:name="_Toc184314415"/>
      <w:bookmarkEnd w:id="40"/>
      <w:bookmarkStart w:id="41" w:name="_Toc184310309"/>
      <w:bookmarkEnd w:id="41"/>
      <w:bookmarkStart w:id="42" w:name="_Toc184310316"/>
      <w:bookmarkEnd w:id="42"/>
      <w:bookmarkStart w:id="43" w:name="_Toc184310332"/>
      <w:bookmarkEnd w:id="43"/>
      <w:bookmarkStart w:id="44" w:name="_Toc184312073"/>
      <w:bookmarkEnd w:id="44"/>
      <w:bookmarkStart w:id="45" w:name="_Toc184314451"/>
      <w:bookmarkEnd w:id="45"/>
      <w:bookmarkStart w:id="46" w:name="_Toc184312082"/>
      <w:bookmarkEnd w:id="46"/>
      <w:bookmarkStart w:id="47" w:name="_Toc184312121"/>
      <w:bookmarkEnd w:id="47"/>
      <w:bookmarkStart w:id="48" w:name="_Toc184314417"/>
      <w:bookmarkEnd w:id="48"/>
      <w:bookmarkStart w:id="49" w:name="_Toc184308068"/>
      <w:bookmarkEnd w:id="49"/>
      <w:bookmarkStart w:id="50" w:name="_Toc184310295"/>
      <w:bookmarkEnd w:id="50"/>
      <w:bookmarkStart w:id="51" w:name="_Toc184310322"/>
      <w:bookmarkEnd w:id="51"/>
      <w:bookmarkStart w:id="52" w:name="_Toc184310324"/>
      <w:bookmarkEnd w:id="52"/>
      <w:bookmarkStart w:id="53" w:name="_Toc184313283"/>
      <w:bookmarkEnd w:id="53"/>
      <w:bookmarkStart w:id="54" w:name="_Toc184310298"/>
      <w:bookmarkEnd w:id="54"/>
      <w:bookmarkStart w:id="55" w:name="_Toc184310328"/>
      <w:bookmarkEnd w:id="55"/>
      <w:bookmarkStart w:id="56" w:name="_Toc184310339"/>
      <w:bookmarkEnd w:id="56"/>
      <w:bookmarkStart w:id="57" w:name="_Toc184313260"/>
      <w:bookmarkEnd w:id="57"/>
      <w:bookmarkStart w:id="58" w:name="_Toc184308062"/>
      <w:bookmarkEnd w:id="58"/>
      <w:bookmarkStart w:id="59" w:name="_Toc184314418"/>
      <w:bookmarkEnd w:id="59"/>
      <w:bookmarkStart w:id="60" w:name="_Toc184310277"/>
      <w:bookmarkEnd w:id="60"/>
      <w:bookmarkStart w:id="61" w:name="_Toc184313266"/>
      <w:bookmarkEnd w:id="61"/>
      <w:bookmarkStart w:id="62" w:name="_Toc184312133"/>
      <w:bookmarkEnd w:id="62"/>
      <w:bookmarkStart w:id="63" w:name="_Toc184312114"/>
      <w:bookmarkEnd w:id="63"/>
      <w:bookmarkStart w:id="64" w:name="_Toc184312126"/>
      <w:bookmarkEnd w:id="64"/>
      <w:bookmarkStart w:id="65" w:name="_Toc184312070"/>
      <w:bookmarkEnd w:id="65"/>
      <w:bookmarkStart w:id="66" w:name="_Toc184312119"/>
      <w:bookmarkEnd w:id="66"/>
      <w:bookmarkStart w:id="67" w:name="_Toc184313261"/>
      <w:bookmarkEnd w:id="67"/>
      <w:bookmarkStart w:id="68" w:name="_Toc184313301"/>
      <w:bookmarkEnd w:id="68"/>
      <w:bookmarkStart w:id="69" w:name="_Toc184313282"/>
      <w:bookmarkEnd w:id="69"/>
      <w:bookmarkStart w:id="70" w:name="_Toc184314427"/>
      <w:bookmarkEnd w:id="70"/>
      <w:bookmarkStart w:id="71" w:name="_Toc184312130"/>
      <w:bookmarkEnd w:id="71"/>
      <w:bookmarkStart w:id="72" w:name="_Toc184312107"/>
      <w:bookmarkEnd w:id="72"/>
      <w:bookmarkStart w:id="73" w:name="_Toc184310326"/>
      <w:bookmarkEnd w:id="73"/>
      <w:bookmarkStart w:id="74" w:name="_Toc184313284"/>
      <w:bookmarkEnd w:id="74"/>
      <w:bookmarkStart w:id="75" w:name="_Toc184313299"/>
      <w:bookmarkEnd w:id="75"/>
      <w:bookmarkStart w:id="76" w:name="_Toc184310342"/>
      <w:bookmarkEnd w:id="76"/>
      <w:bookmarkStart w:id="77" w:name="_Toc184313242"/>
      <w:bookmarkEnd w:id="77"/>
      <w:bookmarkStart w:id="78" w:name="_Toc184310329"/>
      <w:bookmarkEnd w:id="78"/>
      <w:bookmarkStart w:id="79" w:name="_Toc184310335"/>
      <w:bookmarkEnd w:id="79"/>
      <w:bookmarkStart w:id="80" w:name="_Toc184312113"/>
      <w:bookmarkEnd w:id="80"/>
      <w:bookmarkStart w:id="81" w:name="_Toc184308104"/>
      <w:bookmarkEnd w:id="81"/>
      <w:bookmarkStart w:id="82" w:name="_Toc184308063"/>
      <w:bookmarkEnd w:id="82"/>
      <w:bookmarkStart w:id="83" w:name="_Toc184312127"/>
      <w:bookmarkEnd w:id="83"/>
      <w:bookmarkStart w:id="84" w:name="_Toc184308085"/>
      <w:bookmarkEnd w:id="84"/>
      <w:bookmarkStart w:id="85" w:name="_Toc184313303"/>
      <w:bookmarkEnd w:id="85"/>
      <w:bookmarkStart w:id="86" w:name="_Toc184310280"/>
      <w:bookmarkEnd w:id="86"/>
      <w:bookmarkStart w:id="87" w:name="_Toc184314423"/>
      <w:bookmarkEnd w:id="87"/>
      <w:bookmarkStart w:id="88" w:name="_Toc184308099"/>
      <w:bookmarkEnd w:id="88"/>
      <w:bookmarkStart w:id="89" w:name="_Toc184313296"/>
      <w:bookmarkEnd w:id="89"/>
      <w:bookmarkStart w:id="90" w:name="_Toc184310279"/>
      <w:bookmarkEnd w:id="90"/>
      <w:bookmarkStart w:id="91" w:name="_Toc184308073"/>
      <w:bookmarkEnd w:id="91"/>
      <w:bookmarkStart w:id="92" w:name="_Toc184314436"/>
      <w:bookmarkEnd w:id="92"/>
      <w:bookmarkStart w:id="93" w:name="_Toc184308051"/>
      <w:bookmarkEnd w:id="93"/>
      <w:bookmarkStart w:id="94" w:name="_Toc184314456"/>
      <w:bookmarkEnd w:id="94"/>
      <w:bookmarkStart w:id="95" w:name="_Toc184310327"/>
      <w:bookmarkEnd w:id="95"/>
      <w:bookmarkStart w:id="96" w:name="_Toc184308097"/>
      <w:bookmarkEnd w:id="96"/>
      <w:bookmarkStart w:id="97" w:name="_Toc184310320"/>
      <w:bookmarkEnd w:id="97"/>
      <w:bookmarkStart w:id="98" w:name="_Toc184314480"/>
      <w:bookmarkEnd w:id="98"/>
      <w:bookmarkStart w:id="99" w:name="_Toc184308101"/>
      <w:bookmarkEnd w:id="99"/>
      <w:bookmarkStart w:id="100" w:name="_Toc184314452"/>
      <w:bookmarkEnd w:id="100"/>
      <w:bookmarkStart w:id="101" w:name="_Toc184312091"/>
      <w:bookmarkEnd w:id="101"/>
      <w:bookmarkStart w:id="102" w:name="_Toc184313278"/>
      <w:bookmarkEnd w:id="102"/>
      <w:bookmarkStart w:id="103" w:name="_Toc184313293"/>
      <w:bookmarkEnd w:id="103"/>
      <w:bookmarkStart w:id="104" w:name="_Toc184313294"/>
      <w:bookmarkEnd w:id="104"/>
      <w:bookmarkStart w:id="105" w:name="_Toc184314457"/>
      <w:bookmarkEnd w:id="105"/>
      <w:bookmarkStart w:id="106" w:name="_Toc184310312"/>
      <w:bookmarkEnd w:id="106"/>
      <w:bookmarkStart w:id="107" w:name="_Toc184312136"/>
      <w:bookmarkEnd w:id="107"/>
      <w:bookmarkStart w:id="108" w:name="_Toc184312075"/>
      <w:bookmarkEnd w:id="108"/>
      <w:bookmarkStart w:id="109" w:name="_Toc184314454"/>
      <w:bookmarkEnd w:id="109"/>
      <w:bookmarkStart w:id="110" w:name="_Toc184313244"/>
      <w:bookmarkEnd w:id="110"/>
      <w:bookmarkStart w:id="111" w:name="_Toc184310333"/>
      <w:bookmarkEnd w:id="111"/>
      <w:bookmarkStart w:id="112" w:name="_Toc184308053"/>
      <w:bookmarkEnd w:id="112"/>
      <w:bookmarkStart w:id="113" w:name="_Toc184312074"/>
      <w:bookmarkEnd w:id="113"/>
      <w:bookmarkStart w:id="114" w:name="_Toc184314461"/>
      <w:bookmarkEnd w:id="114"/>
      <w:bookmarkStart w:id="115" w:name="_Toc184312076"/>
      <w:bookmarkEnd w:id="115"/>
      <w:bookmarkStart w:id="116" w:name="_Toc184314465"/>
      <w:bookmarkEnd w:id="116"/>
      <w:bookmarkStart w:id="117" w:name="_Toc184314475"/>
      <w:bookmarkEnd w:id="117"/>
      <w:bookmarkStart w:id="118" w:name="_Toc184312092"/>
      <w:bookmarkEnd w:id="118"/>
      <w:bookmarkStart w:id="119" w:name="_Toc184310300"/>
      <w:bookmarkEnd w:id="119"/>
      <w:bookmarkStart w:id="120" w:name="_Toc184313241"/>
      <w:bookmarkEnd w:id="120"/>
      <w:bookmarkStart w:id="121" w:name="_Toc184308079"/>
      <w:bookmarkEnd w:id="121"/>
      <w:bookmarkStart w:id="122" w:name="_Toc184313310"/>
      <w:bookmarkEnd w:id="122"/>
      <w:bookmarkStart w:id="123" w:name="_Toc184314460"/>
      <w:bookmarkEnd w:id="123"/>
      <w:bookmarkStart w:id="124" w:name="_Toc184314463"/>
      <w:bookmarkEnd w:id="124"/>
      <w:bookmarkStart w:id="125" w:name="_Toc184314425"/>
      <w:bookmarkEnd w:id="125"/>
      <w:bookmarkStart w:id="126" w:name="_Toc184312099"/>
      <w:bookmarkEnd w:id="126"/>
      <w:bookmarkStart w:id="127" w:name="_Toc184312093"/>
      <w:bookmarkEnd w:id="127"/>
      <w:bookmarkStart w:id="128" w:name="_Toc184312137"/>
      <w:bookmarkEnd w:id="128"/>
      <w:bookmarkStart w:id="129" w:name="_Toc184312118"/>
      <w:bookmarkEnd w:id="129"/>
      <w:bookmarkStart w:id="130" w:name="_Toc184310344"/>
      <w:bookmarkEnd w:id="130"/>
      <w:bookmarkStart w:id="131" w:name="_Toc184314462"/>
      <w:bookmarkEnd w:id="131"/>
      <w:bookmarkStart w:id="132" w:name="_Toc184308054"/>
      <w:bookmarkEnd w:id="132"/>
      <w:bookmarkStart w:id="133" w:name="_Toc184308077"/>
      <w:bookmarkEnd w:id="133"/>
      <w:bookmarkStart w:id="134" w:name="_Toc184312100"/>
      <w:bookmarkEnd w:id="134"/>
      <w:bookmarkStart w:id="135" w:name="_Toc184313239"/>
      <w:bookmarkEnd w:id="135"/>
      <w:bookmarkStart w:id="136" w:name="_Toc184312117"/>
      <w:bookmarkEnd w:id="136"/>
      <w:bookmarkStart w:id="137" w:name="_Toc184312081"/>
      <w:bookmarkEnd w:id="137"/>
      <w:bookmarkStart w:id="138" w:name="_Toc184313273"/>
      <w:bookmarkEnd w:id="138"/>
      <w:bookmarkStart w:id="139" w:name="_Toc184308083"/>
      <w:bookmarkEnd w:id="139"/>
      <w:bookmarkStart w:id="140" w:name="_Toc184308095"/>
      <w:bookmarkEnd w:id="140"/>
      <w:bookmarkStart w:id="141" w:name="_Toc184310303"/>
      <w:bookmarkEnd w:id="141"/>
      <w:bookmarkStart w:id="142" w:name="_Toc184312103"/>
      <w:bookmarkEnd w:id="142"/>
      <w:bookmarkStart w:id="143" w:name="_Toc184313272"/>
      <w:bookmarkEnd w:id="143"/>
      <w:bookmarkStart w:id="144" w:name="_Toc184308065"/>
      <w:bookmarkEnd w:id="144"/>
      <w:bookmarkStart w:id="145" w:name="_Toc184308048"/>
      <w:bookmarkEnd w:id="145"/>
      <w:bookmarkStart w:id="146" w:name="_Toc184310334"/>
      <w:bookmarkEnd w:id="146"/>
      <w:bookmarkStart w:id="147" w:name="_Toc184314434"/>
      <w:bookmarkEnd w:id="147"/>
      <w:bookmarkStart w:id="148" w:name="_Toc184313262"/>
      <w:bookmarkEnd w:id="148"/>
      <w:bookmarkStart w:id="149" w:name="_Toc184312096"/>
      <w:bookmarkEnd w:id="149"/>
      <w:bookmarkStart w:id="150" w:name="_Toc184313271"/>
      <w:bookmarkEnd w:id="150"/>
      <w:bookmarkStart w:id="151" w:name="_Toc184312135"/>
      <w:bookmarkEnd w:id="151"/>
      <w:bookmarkStart w:id="152" w:name="_Toc184314426"/>
      <w:bookmarkEnd w:id="152"/>
      <w:bookmarkStart w:id="153" w:name="_Toc184310313"/>
      <w:bookmarkEnd w:id="153"/>
      <w:bookmarkStart w:id="154" w:name="_Toc184313276"/>
      <w:bookmarkEnd w:id="154"/>
      <w:bookmarkStart w:id="155" w:name="_Toc184312083"/>
      <w:bookmarkEnd w:id="155"/>
      <w:bookmarkStart w:id="156" w:name="_Toc184314477"/>
      <w:bookmarkEnd w:id="156"/>
      <w:bookmarkStart w:id="157" w:name="_Toc184310296"/>
      <w:bookmarkEnd w:id="157"/>
      <w:bookmarkStart w:id="158" w:name="_Toc184308049"/>
      <w:bookmarkEnd w:id="158"/>
      <w:bookmarkStart w:id="159" w:name="_Toc184314445"/>
      <w:bookmarkEnd w:id="159"/>
      <w:bookmarkStart w:id="160" w:name="_Toc184310311"/>
      <w:bookmarkEnd w:id="160"/>
      <w:bookmarkStart w:id="161" w:name="_Toc184313306"/>
      <w:bookmarkEnd w:id="161"/>
      <w:bookmarkStart w:id="162" w:name="_Toc184314443"/>
      <w:bookmarkEnd w:id="162"/>
      <w:bookmarkStart w:id="163" w:name="_Toc184308047"/>
      <w:bookmarkEnd w:id="163"/>
      <w:bookmarkStart w:id="164" w:name="_Toc184314466"/>
      <w:bookmarkEnd w:id="164"/>
      <w:bookmarkStart w:id="165" w:name="_Toc184313252"/>
      <w:bookmarkEnd w:id="165"/>
      <w:bookmarkStart w:id="166" w:name="_Toc184312098"/>
      <w:bookmarkEnd w:id="166"/>
      <w:bookmarkStart w:id="167" w:name="_Toc184310341"/>
      <w:bookmarkEnd w:id="167"/>
      <w:bookmarkStart w:id="168" w:name="_Toc184314455"/>
      <w:bookmarkEnd w:id="168"/>
      <w:bookmarkStart w:id="169" w:name="_Toc184313267"/>
      <w:bookmarkEnd w:id="169"/>
      <w:bookmarkStart w:id="170" w:name="_Toc184314467"/>
      <w:bookmarkEnd w:id="170"/>
      <w:bookmarkStart w:id="171" w:name="_Toc184310281"/>
      <w:bookmarkEnd w:id="171"/>
      <w:bookmarkStart w:id="172" w:name="_Toc184308082"/>
      <w:bookmarkEnd w:id="172"/>
      <w:bookmarkStart w:id="173" w:name="_Toc184312106"/>
      <w:bookmarkEnd w:id="173"/>
      <w:bookmarkStart w:id="174" w:name="_Toc184313255"/>
      <w:bookmarkEnd w:id="174"/>
      <w:bookmarkStart w:id="175" w:name="_Toc184308061"/>
      <w:bookmarkEnd w:id="175"/>
      <w:bookmarkStart w:id="176" w:name="_Toc184310330"/>
      <w:bookmarkEnd w:id="176"/>
      <w:bookmarkStart w:id="177" w:name="_Toc184313280"/>
      <w:bookmarkEnd w:id="177"/>
      <w:bookmarkStart w:id="178" w:name="_Toc184310315"/>
      <w:bookmarkEnd w:id="178"/>
      <w:bookmarkStart w:id="179" w:name="_Toc184310305"/>
      <w:bookmarkEnd w:id="179"/>
      <w:bookmarkStart w:id="180" w:name="_Toc184314450"/>
      <w:bookmarkEnd w:id="180"/>
      <w:bookmarkStart w:id="181" w:name="_Toc184310273"/>
      <w:bookmarkEnd w:id="181"/>
      <w:bookmarkStart w:id="182" w:name="_Toc184314429"/>
      <w:bookmarkEnd w:id="182"/>
      <w:bookmarkStart w:id="183" w:name="_Toc184308090"/>
      <w:bookmarkEnd w:id="183"/>
      <w:bookmarkStart w:id="184" w:name="_Toc184310302"/>
      <w:bookmarkEnd w:id="184"/>
      <w:bookmarkStart w:id="185" w:name="_Toc184314438"/>
      <w:bookmarkEnd w:id="185"/>
      <w:bookmarkStart w:id="186" w:name="_Toc184310289"/>
      <w:bookmarkEnd w:id="186"/>
      <w:bookmarkStart w:id="187" w:name="_Toc184312088"/>
      <w:bookmarkEnd w:id="187"/>
      <w:bookmarkStart w:id="188" w:name="_Toc184313268"/>
      <w:bookmarkEnd w:id="188"/>
      <w:bookmarkStart w:id="189" w:name="_Toc184313250"/>
      <w:bookmarkEnd w:id="189"/>
      <w:bookmarkStart w:id="190" w:name="_Toc184308056"/>
      <w:bookmarkEnd w:id="190"/>
      <w:bookmarkStart w:id="191" w:name="_Toc184308037"/>
      <w:bookmarkEnd w:id="191"/>
      <w:bookmarkStart w:id="192" w:name="_Toc184314432"/>
      <w:bookmarkEnd w:id="192"/>
      <w:bookmarkStart w:id="193" w:name="_Toc184313292"/>
      <w:bookmarkEnd w:id="193"/>
      <w:bookmarkStart w:id="194" w:name="_Toc184314413"/>
      <w:bookmarkEnd w:id="194"/>
      <w:bookmarkStart w:id="195" w:name="_Toc184310287"/>
      <w:bookmarkEnd w:id="195"/>
      <w:bookmarkStart w:id="196" w:name="_Toc184308052"/>
      <w:bookmarkEnd w:id="196"/>
      <w:bookmarkStart w:id="197" w:name="_Toc184313269"/>
      <w:bookmarkEnd w:id="197"/>
      <w:bookmarkStart w:id="198" w:name="_Toc184313263"/>
      <w:bookmarkEnd w:id="198"/>
      <w:bookmarkStart w:id="199" w:name="_Toc184308050"/>
      <w:bookmarkEnd w:id="199"/>
      <w:bookmarkStart w:id="200" w:name="_Toc184313258"/>
      <w:bookmarkEnd w:id="200"/>
      <w:bookmarkStart w:id="201" w:name="_Toc184314412"/>
      <w:bookmarkEnd w:id="201"/>
      <w:bookmarkStart w:id="202" w:name="_Toc184313264"/>
      <w:bookmarkEnd w:id="202"/>
      <w:bookmarkStart w:id="203" w:name="_Toc184314469"/>
      <w:bookmarkEnd w:id="203"/>
      <w:bookmarkStart w:id="204" w:name="_Toc184308064"/>
      <w:bookmarkEnd w:id="204"/>
      <w:bookmarkStart w:id="205" w:name="_Toc184312087"/>
      <w:bookmarkEnd w:id="205"/>
      <w:bookmarkStart w:id="206" w:name="_Toc184310278"/>
      <w:bookmarkEnd w:id="206"/>
      <w:bookmarkStart w:id="207" w:name="_Toc184314478"/>
      <w:bookmarkEnd w:id="207"/>
      <w:bookmarkStart w:id="208" w:name="_Toc184310274"/>
      <w:bookmarkEnd w:id="208"/>
      <w:bookmarkStart w:id="209" w:name="_Toc184313275"/>
      <w:bookmarkEnd w:id="209"/>
      <w:bookmarkStart w:id="210" w:name="_Toc184314472"/>
      <w:bookmarkEnd w:id="210"/>
      <w:bookmarkStart w:id="211" w:name="_Toc184314448"/>
      <w:bookmarkEnd w:id="211"/>
      <w:bookmarkStart w:id="212" w:name="_Toc184310290"/>
      <w:bookmarkEnd w:id="212"/>
      <w:bookmarkStart w:id="213" w:name="_Toc184314458"/>
      <w:bookmarkEnd w:id="213"/>
      <w:bookmarkStart w:id="214" w:name="_Toc184314476"/>
      <w:bookmarkEnd w:id="214"/>
      <w:bookmarkStart w:id="215" w:name="_Toc184310336"/>
      <w:bookmarkEnd w:id="215"/>
      <w:bookmarkStart w:id="216" w:name="_Toc184310314"/>
      <w:bookmarkEnd w:id="216"/>
      <w:bookmarkStart w:id="217" w:name="_Toc184314411"/>
      <w:bookmarkEnd w:id="217"/>
      <w:bookmarkStart w:id="218" w:name="_Toc184308070"/>
      <w:bookmarkEnd w:id="218"/>
      <w:bookmarkStart w:id="219" w:name="_Toc184312123"/>
      <w:bookmarkEnd w:id="219"/>
      <w:bookmarkStart w:id="220" w:name="_Toc184310338"/>
      <w:bookmarkEnd w:id="220"/>
      <w:bookmarkStart w:id="221" w:name="_Toc184308089"/>
      <w:bookmarkEnd w:id="221"/>
      <w:bookmarkStart w:id="222" w:name="_Toc184313281"/>
      <w:bookmarkEnd w:id="222"/>
      <w:bookmarkStart w:id="223" w:name="_Toc184310308"/>
      <w:bookmarkEnd w:id="223"/>
      <w:bookmarkStart w:id="224" w:name="_Toc184312067"/>
      <w:bookmarkEnd w:id="224"/>
      <w:bookmarkStart w:id="225" w:name="_Toc184313249"/>
      <w:bookmarkEnd w:id="225"/>
      <w:bookmarkStart w:id="226" w:name="_Toc184313305"/>
      <w:bookmarkEnd w:id="226"/>
      <w:bookmarkStart w:id="227" w:name="_Toc184313287"/>
      <w:bookmarkEnd w:id="227"/>
      <w:bookmarkStart w:id="228" w:name="_Toc184312084"/>
      <w:bookmarkEnd w:id="228"/>
      <w:bookmarkStart w:id="229" w:name="_Toc184308057"/>
      <w:bookmarkEnd w:id="229"/>
      <w:bookmarkStart w:id="230" w:name="_Toc184308058"/>
      <w:bookmarkEnd w:id="230"/>
      <w:bookmarkStart w:id="231" w:name="_Toc184314416"/>
      <w:bookmarkEnd w:id="231"/>
      <w:bookmarkStart w:id="232" w:name="_Toc184312125"/>
      <w:bookmarkEnd w:id="232"/>
      <w:bookmarkStart w:id="233" w:name="_Toc184310307"/>
      <w:bookmarkEnd w:id="233"/>
      <w:bookmarkStart w:id="234" w:name="_Toc184313288"/>
      <w:bookmarkEnd w:id="234"/>
      <w:bookmarkStart w:id="235" w:name="_Toc184312078"/>
      <w:bookmarkEnd w:id="235"/>
      <w:bookmarkStart w:id="236" w:name="_Toc184308098"/>
      <w:bookmarkEnd w:id="236"/>
      <w:bookmarkStart w:id="237" w:name="_Toc184313286"/>
      <w:bookmarkEnd w:id="237"/>
      <w:bookmarkStart w:id="238" w:name="_Toc184310321"/>
      <w:bookmarkEnd w:id="238"/>
      <w:bookmarkStart w:id="239" w:name="_Toc184312089"/>
      <w:bookmarkEnd w:id="239"/>
      <w:bookmarkStart w:id="240" w:name="_Toc184312124"/>
      <w:bookmarkEnd w:id="240"/>
      <w:bookmarkStart w:id="241" w:name="_Toc184310286"/>
      <w:bookmarkEnd w:id="241"/>
      <w:bookmarkStart w:id="242" w:name="_Toc184313256"/>
      <w:bookmarkEnd w:id="242"/>
      <w:bookmarkStart w:id="243" w:name="_Toc184312122"/>
      <w:bookmarkEnd w:id="243"/>
      <w:bookmarkStart w:id="244" w:name="_Toc184314474"/>
      <w:bookmarkEnd w:id="244"/>
      <w:bookmarkStart w:id="245" w:name="_Toc184308067"/>
      <w:bookmarkEnd w:id="245"/>
      <w:bookmarkStart w:id="246" w:name="_Toc184310318"/>
      <w:bookmarkEnd w:id="246"/>
      <w:bookmarkStart w:id="247" w:name="_Toc184312111"/>
      <w:bookmarkEnd w:id="247"/>
      <w:bookmarkStart w:id="248" w:name="_Toc184308069"/>
      <w:bookmarkEnd w:id="248"/>
      <w:bookmarkStart w:id="249" w:name="_Toc184308093"/>
      <w:bookmarkEnd w:id="249"/>
      <w:bookmarkStart w:id="250" w:name="_Toc184308060"/>
      <w:bookmarkEnd w:id="250"/>
      <w:bookmarkStart w:id="251" w:name="_Toc184314470"/>
      <w:bookmarkEnd w:id="251"/>
      <w:bookmarkStart w:id="252" w:name="_Toc184308105"/>
      <w:bookmarkEnd w:id="252"/>
      <w:bookmarkStart w:id="253" w:name="_Toc184308080"/>
      <w:bookmarkEnd w:id="253"/>
      <w:bookmarkStart w:id="254" w:name="_Toc184310292"/>
      <w:bookmarkEnd w:id="254"/>
      <w:bookmarkStart w:id="255" w:name="_Toc184312079"/>
      <w:bookmarkEnd w:id="255"/>
      <w:bookmarkStart w:id="256" w:name="_Toc184312071"/>
      <w:bookmarkEnd w:id="256"/>
      <w:bookmarkStart w:id="257" w:name="_Toc184310272"/>
      <w:bookmarkEnd w:id="257"/>
      <w:bookmarkStart w:id="258" w:name="_Toc184314449"/>
      <w:bookmarkEnd w:id="258"/>
      <w:bookmarkStart w:id="259" w:name="_Toc184308106"/>
      <w:bookmarkEnd w:id="259"/>
      <w:bookmarkStart w:id="260" w:name="_Toc184314414"/>
      <w:bookmarkEnd w:id="260"/>
      <w:bookmarkStart w:id="261" w:name="_Toc184310323"/>
      <w:bookmarkEnd w:id="261"/>
      <w:bookmarkStart w:id="262" w:name="_Toc184312134"/>
      <w:bookmarkEnd w:id="262"/>
      <w:bookmarkStart w:id="263" w:name="_Toc184312139"/>
      <w:bookmarkEnd w:id="263"/>
      <w:bookmarkStart w:id="264" w:name="_Toc184312129"/>
      <w:bookmarkEnd w:id="264"/>
      <w:bookmarkStart w:id="265" w:name="_Toc184313243"/>
      <w:bookmarkEnd w:id="265"/>
      <w:bookmarkStart w:id="266" w:name="_Toc184312094"/>
      <w:bookmarkEnd w:id="266"/>
      <w:bookmarkStart w:id="267" w:name="_Toc184310276"/>
      <w:bookmarkEnd w:id="267"/>
      <w:bookmarkStart w:id="268" w:name="_Toc184314479"/>
      <w:bookmarkEnd w:id="268"/>
      <w:bookmarkStart w:id="269" w:name="_Toc184312110"/>
      <w:bookmarkEnd w:id="269"/>
      <w:bookmarkStart w:id="270" w:name="_Toc184314435"/>
      <w:bookmarkEnd w:id="270"/>
      <w:bookmarkStart w:id="271" w:name="_Toc184313274"/>
      <w:bookmarkEnd w:id="271"/>
      <w:bookmarkStart w:id="272" w:name="_Toc184312112"/>
      <w:bookmarkEnd w:id="272"/>
      <w:bookmarkStart w:id="273" w:name="_Toc184314444"/>
      <w:bookmarkEnd w:id="273"/>
      <w:bookmarkStart w:id="274" w:name="_Toc184314430"/>
      <w:bookmarkEnd w:id="274"/>
      <w:bookmarkStart w:id="275" w:name="_Toc184314437"/>
      <w:bookmarkEnd w:id="275"/>
      <w:bookmarkStart w:id="276" w:name="_Toc184310319"/>
      <w:bookmarkEnd w:id="276"/>
      <w:bookmarkStart w:id="277" w:name="_Toc184308107"/>
      <w:bookmarkEnd w:id="277"/>
      <w:bookmarkStart w:id="278" w:name="_Toc184308084"/>
      <w:bookmarkEnd w:id="278"/>
      <w:bookmarkStart w:id="279" w:name="_Toc184308091"/>
      <w:bookmarkEnd w:id="279"/>
      <w:bookmarkStart w:id="280" w:name="_Toc184308059"/>
      <w:bookmarkEnd w:id="280"/>
      <w:bookmarkStart w:id="281" w:name="_Toc184310294"/>
      <w:bookmarkEnd w:id="281"/>
      <w:bookmarkStart w:id="282" w:name="_Toc184308055"/>
      <w:bookmarkEnd w:id="282"/>
      <w:bookmarkStart w:id="283" w:name="_Toc184312109"/>
      <w:bookmarkEnd w:id="283"/>
      <w:bookmarkStart w:id="284" w:name="_Toc184310304"/>
      <w:bookmarkEnd w:id="284"/>
      <w:bookmarkStart w:id="285" w:name="_Toc184312132"/>
      <w:bookmarkEnd w:id="285"/>
      <w:bookmarkStart w:id="286" w:name="_Toc184313309"/>
      <w:bookmarkEnd w:id="286"/>
      <w:bookmarkStart w:id="287" w:name="_Toc184312104"/>
      <w:bookmarkEnd w:id="287"/>
      <w:bookmarkStart w:id="288" w:name="_Toc184308087"/>
      <w:bookmarkEnd w:id="288"/>
      <w:bookmarkStart w:id="289" w:name="_Toc184313300"/>
      <w:bookmarkEnd w:id="289"/>
      <w:bookmarkStart w:id="290" w:name="_Toc184312097"/>
      <w:bookmarkEnd w:id="290"/>
      <w:bookmarkStart w:id="291" w:name="_Toc184308094"/>
      <w:bookmarkEnd w:id="291"/>
      <w:bookmarkStart w:id="292" w:name="_Toc184313238"/>
      <w:bookmarkEnd w:id="292"/>
      <w:bookmarkStart w:id="293" w:name="_Toc184308108"/>
      <w:bookmarkEnd w:id="293"/>
      <w:bookmarkStart w:id="294" w:name="_Toc184310310"/>
      <w:bookmarkEnd w:id="294"/>
      <w:bookmarkStart w:id="295" w:name="_Toc184310283"/>
      <w:bookmarkEnd w:id="295"/>
      <w:bookmarkStart w:id="296" w:name="_Toc184314440"/>
      <w:bookmarkEnd w:id="296"/>
      <w:bookmarkStart w:id="297" w:name="_Toc184313240"/>
      <w:bookmarkEnd w:id="297"/>
      <w:bookmarkStart w:id="298" w:name="_Toc184310337"/>
      <w:bookmarkEnd w:id="298"/>
      <w:bookmarkStart w:id="299" w:name="_Toc184313290"/>
      <w:bookmarkEnd w:id="299"/>
      <w:bookmarkStart w:id="300" w:name="_Toc184313291"/>
      <w:bookmarkEnd w:id="300"/>
      <w:bookmarkStart w:id="301" w:name="_Toc184314473"/>
      <w:bookmarkEnd w:id="301"/>
      <w:bookmarkStart w:id="302" w:name="_Toc184308103"/>
      <w:bookmarkEnd w:id="302"/>
      <w:bookmarkStart w:id="303" w:name="_Toc184314464"/>
      <w:bookmarkEnd w:id="303"/>
      <w:bookmarkStart w:id="304" w:name="_Toc184308100"/>
      <w:bookmarkEnd w:id="304"/>
      <w:bookmarkStart w:id="305" w:name="_Toc184313253"/>
      <w:bookmarkEnd w:id="305"/>
      <w:bookmarkStart w:id="306" w:name="_Toc184312069"/>
      <w:bookmarkEnd w:id="306"/>
      <w:bookmarkStart w:id="307" w:name="_Toc184308096"/>
      <w:bookmarkEnd w:id="307"/>
      <w:bookmarkStart w:id="308" w:name="_Toc184312086"/>
      <w:bookmarkEnd w:id="308"/>
      <w:bookmarkStart w:id="309" w:name="_Toc184313295"/>
      <w:bookmarkEnd w:id="309"/>
      <w:bookmarkStart w:id="310" w:name="_Toc184313254"/>
      <w:bookmarkEnd w:id="310"/>
      <w:bookmarkStart w:id="311" w:name="_Toc184308066"/>
      <w:bookmarkEnd w:id="311"/>
      <w:bookmarkStart w:id="312" w:name="_Toc184308040"/>
      <w:bookmarkEnd w:id="312"/>
      <w:bookmarkStart w:id="313" w:name="_Toc184314421"/>
      <w:bookmarkEnd w:id="313"/>
      <w:bookmarkStart w:id="314" w:name="_Toc184313245"/>
      <w:bookmarkEnd w:id="314"/>
      <w:bookmarkStart w:id="315" w:name="_Toc184314481"/>
      <w:bookmarkEnd w:id="315"/>
      <w:bookmarkStart w:id="316" w:name="_Toc184312102"/>
      <w:bookmarkEnd w:id="316"/>
      <w:bookmarkStart w:id="317" w:name="_Toc184308074"/>
      <w:bookmarkEnd w:id="317"/>
      <w:bookmarkStart w:id="318" w:name="_Toc184312101"/>
      <w:bookmarkEnd w:id="318"/>
      <w:bookmarkStart w:id="319" w:name="_Toc184310285"/>
      <w:bookmarkEnd w:id="319"/>
      <w:bookmarkStart w:id="320" w:name="_Toc184314439"/>
      <w:bookmarkEnd w:id="320"/>
      <w:bookmarkStart w:id="321" w:name="_Toc184313308"/>
      <w:bookmarkEnd w:id="321"/>
      <w:bookmarkStart w:id="322" w:name="_Toc184314420"/>
      <w:bookmarkEnd w:id="322"/>
      <w:bookmarkStart w:id="323" w:name="_Toc184310343"/>
      <w:bookmarkEnd w:id="323"/>
      <w:bookmarkStart w:id="324" w:name="_Toc184313270"/>
      <w:bookmarkEnd w:id="324"/>
      <w:bookmarkStart w:id="325" w:name="_Toc184308088"/>
      <w:bookmarkEnd w:id="325"/>
      <w:bookmarkStart w:id="326" w:name="_Toc184310282"/>
      <w:bookmarkEnd w:id="326"/>
      <w:bookmarkStart w:id="327" w:name="_Toc184308086"/>
      <w:bookmarkEnd w:id="327"/>
      <w:bookmarkStart w:id="328" w:name="_Toc184310284"/>
      <w:bookmarkEnd w:id="328"/>
      <w:bookmarkStart w:id="329" w:name="_Toc184308102"/>
      <w:bookmarkEnd w:id="329"/>
      <w:bookmarkStart w:id="330" w:name="_Toc184313257"/>
      <w:bookmarkEnd w:id="330"/>
      <w:bookmarkStart w:id="331" w:name="_Toc184312138"/>
      <w:bookmarkEnd w:id="331"/>
      <w:bookmarkStart w:id="332" w:name="_Toc184314410"/>
      <w:bookmarkEnd w:id="332"/>
      <w:bookmarkStart w:id="333" w:name="_Toc184314447"/>
      <w:bookmarkEnd w:id="333"/>
      <w:bookmarkStart w:id="334" w:name="_Toc184313302"/>
      <w:bookmarkEnd w:id="334"/>
      <w:bookmarkStart w:id="335" w:name="_Toc184312131"/>
      <w:bookmarkEnd w:id="335"/>
      <w:bookmarkStart w:id="336" w:name="_Toc184313297"/>
      <w:bookmarkEnd w:id="336"/>
      <w:bookmarkStart w:id="337" w:name="_Toc184310306"/>
      <w:bookmarkEnd w:id="337"/>
      <w:bookmarkStart w:id="338" w:name="_Toc184310297"/>
      <w:bookmarkEnd w:id="338"/>
      <w:bookmarkStart w:id="339" w:name="_Toc184310317"/>
      <w:bookmarkEnd w:id="339"/>
      <w:bookmarkStart w:id="340" w:name="_Toc184308036"/>
      <w:bookmarkEnd w:id="340"/>
      <w:bookmarkStart w:id="341" w:name="_Toc184310293"/>
      <w:bookmarkEnd w:id="341"/>
      <w:bookmarkStart w:id="342" w:name="_Toc184313277"/>
      <w:bookmarkEnd w:id="342"/>
      <w:bookmarkStart w:id="343" w:name="_Toc184312108"/>
      <w:bookmarkEnd w:id="343"/>
      <w:bookmarkStart w:id="344" w:name="_Toc184313304"/>
      <w:bookmarkEnd w:id="344"/>
      <w:bookmarkStart w:id="345" w:name="_Toc184314442"/>
      <w:bookmarkEnd w:id="345"/>
      <w:bookmarkStart w:id="346" w:name="_Toc184313246"/>
      <w:bookmarkEnd w:id="346"/>
      <w:bookmarkStart w:id="347" w:name="_Toc184308046"/>
      <w:bookmarkEnd w:id="347"/>
      <w:bookmarkStart w:id="348" w:name="_Toc184308072"/>
      <w:bookmarkEnd w:id="348"/>
      <w:bookmarkStart w:id="349" w:name="_Toc184314446"/>
      <w:bookmarkEnd w:id="349"/>
      <w:bookmarkStart w:id="350" w:name="_Toc184310275"/>
      <w:bookmarkEnd w:id="350"/>
      <w:bookmarkStart w:id="351" w:name="_Toc184314459"/>
      <w:bookmarkEnd w:id="351"/>
      <w:bookmarkStart w:id="352" w:name="_Toc184308045"/>
      <w:bookmarkEnd w:id="352"/>
      <w:bookmarkStart w:id="353" w:name="_Toc184312090"/>
      <w:bookmarkEnd w:id="353"/>
      <w:bookmarkStart w:id="354" w:name="_Toc184312105"/>
      <w:bookmarkEnd w:id="354"/>
      <w:bookmarkStart w:id="355" w:name="_Toc184314441"/>
      <w:bookmarkEnd w:id="355"/>
      <w:bookmarkStart w:id="356" w:name="_Toc184308076"/>
      <w:bookmarkEnd w:id="356"/>
      <w:bookmarkStart w:id="357" w:name="_Toc184313289"/>
      <w:bookmarkEnd w:id="357"/>
      <w:bookmarkStart w:id="358" w:name="_Toc184308081"/>
      <w:bookmarkEnd w:id="358"/>
      <w:bookmarkStart w:id="359" w:name="_Toc184308042"/>
      <w:bookmarkEnd w:id="359"/>
      <w:bookmarkStart w:id="360" w:name="_Toc184312115"/>
      <w:bookmarkEnd w:id="360"/>
      <w:bookmarkStart w:id="361" w:name="_Toc184313251"/>
      <w:bookmarkEnd w:id="361"/>
      <w:bookmarkStart w:id="362" w:name="_Toc184313248"/>
      <w:bookmarkEnd w:id="362"/>
      <w:bookmarkStart w:id="363" w:name="_Toc184308078"/>
      <w:bookmarkEnd w:id="363"/>
      <w:bookmarkStart w:id="364" w:name="_Toc184312095"/>
      <w:bookmarkEnd w:id="364"/>
      <w:bookmarkStart w:id="365" w:name="_Toc184314431"/>
      <w:bookmarkEnd w:id="365"/>
      <w:bookmarkStart w:id="366" w:name="_Toc184308039"/>
      <w:bookmarkEnd w:id="366"/>
      <w:bookmarkStart w:id="367" w:name="_Toc184313279"/>
      <w:bookmarkEnd w:id="367"/>
      <w:bookmarkStart w:id="368" w:name="_Toc184314422"/>
      <w:bookmarkEnd w:id="368"/>
      <w:bookmarkStart w:id="369" w:name="_Toc184312120"/>
      <w:bookmarkEnd w:id="369"/>
      <w:bookmarkStart w:id="370" w:name="_Toc184313259"/>
      <w:bookmarkEnd w:id="370"/>
      <w:bookmarkStart w:id="371" w:name="_Toc184314428"/>
      <w:bookmarkEnd w:id="371"/>
      <w:bookmarkStart w:id="372" w:name="_Toc184312068"/>
      <w:bookmarkEnd w:id="372"/>
      <w:bookmarkStart w:id="373" w:name="_Toc184310288"/>
      <w:bookmarkEnd w:id="373"/>
      <w:bookmarkStart w:id="374" w:name="_Toc184313307"/>
      <w:bookmarkEnd w:id="374"/>
      <w:bookmarkStart w:id="375" w:name="_Toc184314482"/>
      <w:bookmarkEnd w:id="375"/>
      <w:bookmarkStart w:id="376" w:name="_Toc184312085"/>
      <w:bookmarkEnd w:id="376"/>
      <w:bookmarkStart w:id="377" w:name="_Toc184313247"/>
      <w:bookmarkEnd w:id="377"/>
      <w:bookmarkStart w:id="378" w:name="_Toc184314433"/>
      <w:bookmarkEnd w:id="378"/>
      <w:bookmarkStart w:id="379" w:name="_Toc184310299"/>
      <w:bookmarkEnd w:id="379"/>
      <w:bookmarkStart w:id="380" w:name="_Toc184310331"/>
      <w:bookmarkEnd w:id="380"/>
      <w:bookmarkStart w:id="381" w:name="_Toc184314453"/>
      <w:bookmarkEnd w:id="381"/>
      <w:bookmarkStart w:id="382" w:name="_Toc184314419"/>
      <w:bookmarkEnd w:id="382"/>
      <w:bookmarkStart w:id="383" w:name="_Toc184310301"/>
      <w:bookmarkEnd w:id="383"/>
      <w:bookmarkStart w:id="384" w:name="_Toc184308071"/>
      <w:bookmarkEnd w:id="384"/>
      <w:bookmarkStart w:id="385" w:name="_Toc184314424"/>
      <w:bookmarkEnd w:id="385"/>
      <w:bookmarkStart w:id="386" w:name="_Toc184310340"/>
      <w:bookmarkEnd w:id="386"/>
      <w:bookmarkStart w:id="387" w:name="_Toc184310291"/>
      <w:bookmarkEnd w:id="387"/>
      <w:bookmarkStart w:id="388" w:name="_Toc184314471"/>
      <w:bookmarkEnd w:id="388"/>
      <w:bookmarkStart w:id="389" w:name="_Toc184312116"/>
      <w:bookmarkEnd w:id="389"/>
      <w:bookmarkStart w:id="390" w:name="_Toc184313265"/>
      <w:bookmarkEnd w:id="390"/>
      <w:bookmarkStart w:id="391" w:name="_Toc184312080"/>
      <w:bookmarkEnd w:id="391"/>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tbl>
      <w:tblPr>
        <w:tblStyle w:val="63"/>
        <w:tblW w:w="8909"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625"/>
        <w:gridCol w:w="5755"/>
        <w:gridCol w:w="662"/>
        <w:gridCol w:w="124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6380" w:type="dxa"/>
            <w:gridSpan w:val="2"/>
            <w:tcMar>
              <w:top w:w="12" w:type="dxa"/>
              <w:left w:w="12" w:type="dxa"/>
              <w:right w:w="12" w:type="dxa"/>
            </w:tcMar>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评分</w:t>
            </w:r>
            <w:r>
              <w:rPr>
                <w:rFonts w:hint="eastAsia"/>
                <w:color w:val="000000" w:themeColor="text1"/>
                <w:highlight w:val="none"/>
                <w14:textFill>
                  <w14:solidFill>
                    <w14:schemeClr w14:val="tx1"/>
                  </w14:solidFill>
                </w14:textFill>
              </w:rPr>
              <w:t>标准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权重</w:t>
            </w:r>
          </w:p>
        </w:tc>
        <w:tc>
          <w:tcPr>
            <w:tcW w:w="124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投标文件中评标标准相应的商务技术资料目录</w:t>
            </w:r>
            <w:r>
              <w:rPr>
                <w:color w:val="000000" w:themeColor="text1"/>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625" w:type="dxa"/>
            <w:tcMar>
              <w:top w:w="12" w:type="dxa"/>
              <w:left w:w="12" w:type="dxa"/>
              <w:right w:w="12" w:type="dxa"/>
            </w:tcMar>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证书</w:t>
            </w: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能够提供ISO9001质量管理体系认证证书、ISO14001环境管理体系认证证书、18001职业健康安全体系管理体系认证证书的</w:t>
            </w:r>
            <w:r>
              <w:rPr>
                <w:rFonts w:hint="eastAsia"/>
                <w:color w:val="000000" w:themeColor="text1"/>
                <w:highlight w:val="none"/>
                <w14:textFill>
                  <w14:solidFill>
                    <w14:schemeClr w14:val="tx1"/>
                  </w14:solidFill>
                </w14:textFill>
              </w:rPr>
              <w:t>，每项</w:t>
            </w:r>
            <w:r>
              <w:rPr>
                <w:color w:val="000000" w:themeColor="text1"/>
                <w:highlight w:val="none"/>
                <w14:textFill>
                  <w14:solidFill>
                    <w14:schemeClr w14:val="tx1"/>
                  </w14:solidFill>
                </w14:textFill>
              </w:rPr>
              <w:t>得</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分，</w:t>
            </w:r>
            <w:r>
              <w:rPr>
                <w:rFonts w:hint="eastAsia"/>
                <w:color w:val="000000" w:themeColor="text1"/>
                <w:highlight w:val="none"/>
                <w14:textFill>
                  <w14:solidFill>
                    <w14:schemeClr w14:val="tx1"/>
                  </w14:solidFill>
                </w14:textFill>
              </w:rPr>
              <w:t>最高得3分，未出具证书复印件（扫描件）或证书不在有效期的均不得分</w:t>
            </w:r>
            <w:r>
              <w:rPr>
                <w:color w:val="000000" w:themeColor="text1"/>
                <w:highlight w:val="none"/>
                <w14:textFill>
                  <w14:solidFill>
                    <w14:schemeClr w14:val="tx1"/>
                  </w14:solidFill>
                </w14:textFill>
              </w:rPr>
              <w:t>。</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c>
          <w:tcPr>
            <w:tcW w:w="62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业绩</w:t>
            </w: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投标人完成过类似食堂管理与服务项目，每个不同用户的合同得</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分，最多得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分，需要提供合同复印件。</w:t>
            </w:r>
          </w:p>
        </w:tc>
        <w:tc>
          <w:tcPr>
            <w:tcW w:w="662" w:type="dxa"/>
            <w:tcMar>
              <w:top w:w="12" w:type="dxa"/>
              <w:left w:w="12" w:type="dxa"/>
              <w:right w:w="12" w:type="dxa"/>
            </w:tcMar>
            <w:vAlign w:val="center"/>
          </w:tcPr>
          <w:p>
            <w:pP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62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整体方案</w:t>
            </w: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对本项目食堂服务需求关键点和难点的把握和理解进行详细说明，以及更优化的建议等。内容针对性强的得5分，存在不足的得2.5分，无相关内容的不得分。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625" w:type="dxa"/>
            <w:vMerge w:val="restart"/>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服务方案</w:t>
            </w:r>
          </w:p>
        </w:tc>
        <w:tc>
          <w:tcPr>
            <w:tcW w:w="5755" w:type="dxa"/>
            <w:tcMar>
              <w:top w:w="12" w:type="dxa"/>
              <w:left w:w="12" w:type="dxa"/>
              <w:right w:w="12" w:type="dxa"/>
            </w:tcMar>
            <w:vAlign w:val="center"/>
          </w:tcPr>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针对本项目设计一套可行服务方案。评委根据投标人制定的相关方案内容，重点考察</w:t>
            </w:r>
            <w:r>
              <w:rPr>
                <w:rFonts w:hint="eastAsia"/>
                <w:color w:val="000000" w:themeColor="text1"/>
                <w:highlight w:val="none"/>
                <w:lang w:eastAsia="zh-CN"/>
                <w14:textFill>
                  <w14:solidFill>
                    <w14:schemeClr w14:val="tx1"/>
                  </w14:solidFill>
                </w14:textFill>
              </w:rPr>
              <w:t>如下：</w:t>
            </w:r>
          </w:p>
          <w:p>
            <w:pP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投标人对病人订送餐服务</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措施针对性强、流程合理可行的得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分，存在不足的得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.5分，无相关内容的不得分。</w:t>
            </w:r>
          </w:p>
          <w:p>
            <w:pP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职工餐厅服务措施</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措施针对性强、流程合理可行的得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分，存在不足的得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.5分，无相关内容的不得分。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食堂服务的流程操作</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措施针对性强、流程合理可行的得</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分，存在不足的得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分，无相关内容的不得分。</w:t>
            </w:r>
          </w:p>
        </w:tc>
        <w:tc>
          <w:tcPr>
            <w:tcW w:w="662" w:type="dxa"/>
            <w:tcMar>
              <w:top w:w="12" w:type="dxa"/>
              <w:left w:w="12" w:type="dxa"/>
              <w:right w:w="12" w:type="dxa"/>
            </w:tcMar>
            <w:vAlign w:val="center"/>
          </w:tcPr>
          <w:p>
            <w:pP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625" w:type="dxa"/>
            <w:vMerge w:val="continue"/>
            <w:tcMar>
              <w:top w:w="12" w:type="dxa"/>
              <w:left w:w="12" w:type="dxa"/>
              <w:right w:w="12" w:type="dxa"/>
            </w:tcMar>
            <w:vAlign w:val="center"/>
          </w:tcPr>
          <w:p>
            <w:pPr>
              <w:rPr>
                <w:color w:val="000000" w:themeColor="text1"/>
                <w:highlight w:val="none"/>
                <w14:textFill>
                  <w14:solidFill>
                    <w14:schemeClr w14:val="tx1"/>
                  </w14:solidFill>
                </w14:textFill>
              </w:rPr>
            </w:pP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针对本项目员工稳定性的解决方案。</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评委根据投标人对人员配置、服务交接流程等方面进行评判。措施针对性强、流程合理可行的得5分，存在不足的得2.5分，无相关内容的不得分。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评委根据投标人对员工人员的住宿方案的可行性，合理性进行评分。措施针对性强、流程合理可行的得5分，存在不足的得2.5分，无相关内容的不得分。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625" w:type="dxa"/>
            <w:vMerge w:val="continue"/>
            <w:tcMar>
              <w:top w:w="12" w:type="dxa"/>
              <w:left w:w="12" w:type="dxa"/>
              <w:right w:w="12" w:type="dxa"/>
            </w:tcMar>
            <w:vAlign w:val="center"/>
          </w:tcPr>
          <w:p>
            <w:pPr>
              <w:rPr>
                <w:color w:val="000000" w:themeColor="text1"/>
                <w:highlight w:val="none"/>
                <w14:textFill>
                  <w14:solidFill>
                    <w14:schemeClr w14:val="tx1"/>
                  </w14:solidFill>
                </w14:textFill>
              </w:rPr>
            </w:pP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结合医院这一服务对象的实际情况，投标人需对可能出现的不可控风险或特定情形出具预防措施及方案：</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特殊天气情况下如何保障服务的方案的可行性，合理性。内容针对性强的得5分，存在不足的得2.5分，无相关内容的不得分。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节假日期间的服务方案的可行性，合理性。内容针对性强的得5分，存在不足的得2.5分，无相关内容的不得分。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p>
        </w:tc>
        <w:tc>
          <w:tcPr>
            <w:tcW w:w="625" w:type="dxa"/>
            <w:vMerge w:val="continue"/>
            <w:tcMar>
              <w:top w:w="12" w:type="dxa"/>
              <w:left w:w="12" w:type="dxa"/>
              <w:right w:w="12" w:type="dxa"/>
            </w:tcMar>
            <w:vAlign w:val="center"/>
          </w:tcPr>
          <w:p>
            <w:pPr>
              <w:rPr>
                <w:color w:val="000000" w:themeColor="text1"/>
                <w:highlight w:val="none"/>
                <w14:textFill>
                  <w14:solidFill>
                    <w14:schemeClr w14:val="tx1"/>
                  </w14:solidFill>
                </w14:textFill>
              </w:rPr>
            </w:pP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针对本项目能提供的其他特色服务（如宵夜）的可行性方案。评委根据方案的完整性与可行性进行评判。内容针对性强的得5分，存在不足的得2.5分，无相关内容的不得分。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w:t>
            </w:r>
          </w:p>
        </w:tc>
        <w:tc>
          <w:tcPr>
            <w:tcW w:w="625" w:type="dxa"/>
            <w:tcMar>
              <w:top w:w="12" w:type="dxa"/>
              <w:left w:w="12" w:type="dxa"/>
              <w:right w:w="12" w:type="dxa"/>
            </w:tcMar>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卫生管理控制方案</w:t>
            </w:r>
          </w:p>
        </w:tc>
        <w:tc>
          <w:tcPr>
            <w:tcW w:w="5755" w:type="dxa"/>
            <w:tcMar>
              <w:top w:w="12" w:type="dxa"/>
              <w:left w:w="12" w:type="dxa"/>
              <w:right w:w="12" w:type="dxa"/>
            </w:tcMar>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根据投标人提供的食品卫生、人员卫生方案等的合理性，可行性。内容针对性强的得5分，存在不足的得2.5分，无相关内容的不得分。</w:t>
            </w:r>
          </w:p>
          <w:p>
            <w:pPr>
              <w:pStyle w:val="2"/>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根据投标人提供的环境卫生和垃圾处理方案等的合理性，可行性。内容针对性强的得5分，存在不足的得2.5分，无相关内容的不得分。</w:t>
            </w:r>
          </w:p>
        </w:tc>
        <w:tc>
          <w:tcPr>
            <w:tcW w:w="662" w:type="dxa"/>
            <w:tcMar>
              <w:top w:w="12" w:type="dxa"/>
              <w:left w:w="12" w:type="dxa"/>
              <w:right w:w="12" w:type="dxa"/>
            </w:tcMar>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w:t>
            </w:r>
          </w:p>
        </w:tc>
        <w:tc>
          <w:tcPr>
            <w:tcW w:w="1242" w:type="dxa"/>
            <w:tcMar>
              <w:top w:w="12" w:type="dxa"/>
              <w:left w:w="12" w:type="dxa"/>
              <w:right w:w="12" w:type="dxa"/>
            </w:tcMar>
            <w:vAlign w:val="center"/>
          </w:tcPr>
          <w:p>
            <w:pPr>
              <w:rPr>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p>
        </w:tc>
        <w:tc>
          <w:tcPr>
            <w:tcW w:w="62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安全方案及应急预案</w:t>
            </w: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针对本项目的食品安全的风险分析及可行控制方案。投标人在安全方案的内控机制及能力，评委根据投标人提供的方案的相关内容：</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、对本项目食堂安全风险的分析与控制方案。内容针对性强的得5分，存在不足的得2.5分，无相关内容的不得分。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、对食品安全的保障措施及应急预案的科学合理性。内容针对性强的得5分，存在不足的得2.5分，无相关内容的不得分。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p>
        </w:tc>
        <w:tc>
          <w:tcPr>
            <w:tcW w:w="62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增值服务</w:t>
            </w: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投标人提出有利于提升服务质量、改善就餐体验、体现更多人性化服务措施、针对特殊群体的服务举措。内容针对性强的得5分，存在不足的得2.5分，无相关内容的不得分。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11</w:t>
            </w:r>
          </w:p>
        </w:tc>
        <w:tc>
          <w:tcPr>
            <w:tcW w:w="625" w:type="dxa"/>
            <w:vMerge w:val="restart"/>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人员方案</w:t>
            </w: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本项目配置人员的基本情况：</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1、具有高级技师（厨师）证书得2分；提供证书复印件（提供证书复印件及在本单位缴纳的社保证明），最多2分。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2、具有技师（厨师）及以上证书的每个得1分（提供证书复印件及在本单位缴纳的社保证明），最多得4分。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3、餐饮单位食品安全管理员证书、国家公共营养师资格证书的每个得1分（提供证书复印件），最多得2分。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w:t>
            </w:r>
          </w:p>
        </w:tc>
        <w:tc>
          <w:tcPr>
            <w:tcW w:w="625" w:type="dxa"/>
            <w:vMerge w:val="continue"/>
            <w:tcMar>
              <w:top w:w="12" w:type="dxa"/>
              <w:left w:w="12" w:type="dxa"/>
              <w:right w:w="12" w:type="dxa"/>
            </w:tcMar>
            <w:vAlign w:val="center"/>
          </w:tcPr>
          <w:p>
            <w:pPr>
              <w:rPr>
                <w:color w:val="000000" w:themeColor="text1"/>
                <w:highlight w:val="none"/>
                <w14:textFill>
                  <w14:solidFill>
                    <w14:schemeClr w14:val="tx1"/>
                  </w14:solidFill>
                </w14:textFill>
              </w:rPr>
            </w:pP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后续的人员培训计划及思路。思路清晰、培训计划可行的得5分，存在不足的得2.5分，无相关内容的不得分。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625" w:type="dxa"/>
            <w:tcMar>
              <w:top w:w="12" w:type="dxa"/>
              <w:left w:w="12" w:type="dxa"/>
              <w:right w:w="12" w:type="dxa"/>
            </w:tcMar>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13</w:t>
            </w:r>
          </w:p>
        </w:tc>
        <w:tc>
          <w:tcPr>
            <w:tcW w:w="625" w:type="dxa"/>
            <w:vMerge w:val="continue"/>
            <w:tcMar>
              <w:top w:w="12" w:type="dxa"/>
              <w:left w:w="12" w:type="dxa"/>
              <w:right w:w="12" w:type="dxa"/>
            </w:tcMar>
            <w:vAlign w:val="center"/>
          </w:tcPr>
          <w:p>
            <w:pPr>
              <w:rPr>
                <w:color w:val="000000" w:themeColor="text1"/>
                <w:highlight w:val="none"/>
                <w14:textFill>
                  <w14:solidFill>
                    <w14:schemeClr w14:val="tx1"/>
                  </w14:solidFill>
                </w14:textFill>
              </w:rPr>
            </w:pP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人员职责与管理方案。职责明确、管理方案完善的得5分，存在不足的得2.5分，无相关内容的不得分。</w:t>
            </w:r>
          </w:p>
        </w:tc>
        <w:tc>
          <w:tcPr>
            <w:tcW w:w="662" w:type="dxa"/>
            <w:tcMar>
              <w:top w:w="12" w:type="dxa"/>
              <w:left w:w="12" w:type="dxa"/>
              <w:right w:w="12" w:type="dxa"/>
            </w:tcMar>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14</w:t>
            </w:r>
          </w:p>
        </w:tc>
        <w:tc>
          <w:tcPr>
            <w:tcW w:w="625" w:type="dxa"/>
            <w:vMerge w:val="continue"/>
            <w:tcMar>
              <w:top w:w="12" w:type="dxa"/>
              <w:left w:w="12" w:type="dxa"/>
              <w:right w:w="12" w:type="dxa"/>
            </w:tcMar>
            <w:vAlign w:val="center"/>
          </w:tcPr>
          <w:p>
            <w:pPr>
              <w:rPr>
                <w:color w:val="000000" w:themeColor="text1"/>
                <w:highlight w:val="none"/>
                <w14:textFill>
                  <w14:solidFill>
                    <w14:schemeClr w14:val="tx1"/>
                  </w14:solidFill>
                </w14:textFill>
              </w:rPr>
            </w:pPr>
          </w:p>
        </w:tc>
        <w:tc>
          <w:tcPr>
            <w:tcW w:w="5755" w:type="dxa"/>
            <w:tcMar>
              <w:top w:w="12" w:type="dxa"/>
              <w:left w:w="12" w:type="dxa"/>
              <w:right w:w="12" w:type="dxa"/>
            </w:tcMar>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投诉处理方案的合理性。内容针对性强的得</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分，存在不足的得2</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分，无相关内容的不得分。</w:t>
            </w:r>
          </w:p>
        </w:tc>
        <w:tc>
          <w:tcPr>
            <w:tcW w:w="662" w:type="dxa"/>
            <w:tcMar>
              <w:top w:w="12" w:type="dxa"/>
              <w:left w:w="12" w:type="dxa"/>
              <w:right w:w="12" w:type="dxa"/>
            </w:tcMar>
            <w:vAlign w:val="center"/>
          </w:tcPr>
          <w:p>
            <w:pP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1242" w:type="dxa"/>
            <w:tcMar>
              <w:top w:w="12" w:type="dxa"/>
              <w:left w:w="12" w:type="dxa"/>
              <w:right w:w="12" w:type="dxa"/>
            </w:tcMar>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Mar>
              <w:top w:w="12" w:type="dxa"/>
              <w:left w:w="12" w:type="dxa"/>
              <w:right w:w="12" w:type="dxa"/>
            </w:tcMar>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w:t>
            </w:r>
          </w:p>
        </w:tc>
        <w:tc>
          <w:tcPr>
            <w:tcW w:w="625" w:type="dxa"/>
            <w:tcMar>
              <w:top w:w="12" w:type="dxa"/>
              <w:left w:w="12" w:type="dxa"/>
              <w:right w:w="12" w:type="dxa"/>
            </w:tcMar>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疫情防控</w:t>
            </w:r>
          </w:p>
        </w:tc>
        <w:tc>
          <w:tcPr>
            <w:tcW w:w="5755" w:type="dxa"/>
            <w:tcMar>
              <w:top w:w="12" w:type="dxa"/>
              <w:left w:w="12" w:type="dxa"/>
              <w:right w:w="12" w:type="dxa"/>
            </w:tcMar>
            <w:vAlign w:val="center"/>
          </w:tcPr>
          <w:p>
            <w:pP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针对当前疫情情况下食堂就餐人员的管理措施及方案</w:t>
            </w:r>
            <w:r>
              <w:rPr>
                <w:rFonts w:hint="eastAsia"/>
                <w:color w:val="000000" w:themeColor="text1"/>
                <w:szCs w:val="21"/>
                <w:highlight w:val="none"/>
                <w14:textFill>
                  <w14:solidFill>
                    <w14:schemeClr w14:val="tx1"/>
                  </w14:solidFill>
                </w14:textFill>
              </w:rPr>
              <w:t>进行评审，措施可行，方案完善的得</w:t>
            </w:r>
            <w:r>
              <w:rPr>
                <w:rFonts w:hint="eastAsia"/>
                <w:color w:val="000000" w:themeColor="text1"/>
                <w:szCs w:val="21"/>
                <w:highlight w:val="none"/>
                <w:lang w:val="en-US" w:eastAsia="zh-CN"/>
                <w14:textFill>
                  <w14:solidFill>
                    <w14:schemeClr w14:val="tx1"/>
                  </w14:solidFill>
                </w14:textFill>
              </w:rPr>
              <w:t>5</w:t>
            </w:r>
            <w:r>
              <w:rPr>
                <w:rFonts w:hint="eastAsia"/>
                <w:color w:val="000000" w:themeColor="text1"/>
                <w:szCs w:val="21"/>
                <w:highlight w:val="none"/>
                <w14:textFill>
                  <w14:solidFill>
                    <w14:schemeClr w14:val="tx1"/>
                  </w14:solidFill>
                </w14:textFill>
              </w:rPr>
              <w:t>分，存在不足的得2.5分，无相关内容的不得分。</w:t>
            </w:r>
          </w:p>
        </w:tc>
        <w:tc>
          <w:tcPr>
            <w:tcW w:w="662" w:type="dxa"/>
            <w:tcMar>
              <w:top w:w="12" w:type="dxa"/>
              <w:left w:w="12" w:type="dxa"/>
              <w:right w:w="12" w:type="dxa"/>
            </w:tcMar>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w:t>
            </w:r>
          </w:p>
        </w:tc>
        <w:tc>
          <w:tcPr>
            <w:tcW w:w="1242" w:type="dxa"/>
            <w:tcMar>
              <w:top w:w="12" w:type="dxa"/>
              <w:left w:w="12" w:type="dxa"/>
              <w:right w:w="12" w:type="dxa"/>
            </w:tcMar>
            <w:vAlign w:val="center"/>
          </w:tcPr>
          <w:p>
            <w:pPr>
              <w:rPr>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625" w:type="dxa"/>
            <w:tcBorders>
              <w:bottom w:val="double" w:color="auto" w:sz="4" w:space="0"/>
            </w:tcBorders>
            <w:tcMar>
              <w:top w:w="12" w:type="dxa"/>
              <w:left w:w="12" w:type="dxa"/>
              <w:right w:w="12" w:type="dxa"/>
            </w:tcMar>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w:t>
            </w:r>
          </w:p>
        </w:tc>
        <w:tc>
          <w:tcPr>
            <w:tcW w:w="625" w:type="dxa"/>
            <w:tcBorders>
              <w:bottom w:val="double" w:color="auto" w:sz="4" w:space="0"/>
            </w:tcBorders>
            <w:tcMar>
              <w:top w:w="12" w:type="dxa"/>
              <w:left w:w="12" w:type="dxa"/>
              <w:right w:w="12" w:type="dxa"/>
            </w:tcMar>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价格</w:t>
            </w:r>
          </w:p>
        </w:tc>
        <w:tc>
          <w:tcPr>
            <w:tcW w:w="5755" w:type="dxa"/>
            <w:tcBorders>
              <w:bottom w:val="double" w:color="auto" w:sz="4" w:space="0"/>
            </w:tcBorders>
            <w:tcMar>
              <w:top w:w="12" w:type="dxa"/>
              <w:left w:w="12" w:type="dxa"/>
              <w:right w:w="12" w:type="dxa"/>
            </w:tcMar>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有效投标报价的最低价作为评标基准价，其最低报价为满分；按［投标报价得分=（评标基准价/投标报价）*10］的计算公式计算。</w:t>
            </w:r>
          </w:p>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评标过程中，不得去掉报价中的最高报价和最低报价。</w:t>
            </w:r>
          </w:p>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因落实政府采购政策需要进行价格调整的，以调整后的价格计算评标基准价和投标报价。</w:t>
            </w:r>
            <w:r>
              <w:rPr>
                <w:rFonts w:hint="eastAsia"/>
                <w:color w:val="000000" w:themeColor="text1"/>
                <w:highlight w:val="none"/>
                <w14:textFill>
                  <w14:solidFill>
                    <w14:schemeClr w14:val="tx1"/>
                  </w14:solidFill>
                </w14:textFill>
              </w:rPr>
              <w:t>（本项目专门面向中小企业采购，价格不再享受政策调整）</w:t>
            </w:r>
          </w:p>
        </w:tc>
        <w:tc>
          <w:tcPr>
            <w:tcW w:w="662" w:type="dxa"/>
            <w:tcBorders>
              <w:bottom w:val="double" w:color="auto" w:sz="4" w:space="0"/>
            </w:tcBorders>
            <w:tcMar>
              <w:top w:w="12" w:type="dxa"/>
              <w:left w:w="12" w:type="dxa"/>
              <w:right w:w="12" w:type="dxa"/>
            </w:tcMar>
            <w:vAlign w:val="center"/>
          </w:tcPr>
          <w:p>
            <w:pPr>
              <w:spacing w:line="360" w:lineRule="auto"/>
              <w:jc w:val="center"/>
              <w:outlineLvl w:val="0"/>
              <w:rPr>
                <w:rFonts w:ascii="仿宋" w:hAnsi="仿宋" w:eastAsia="仿宋" w:cs="仿宋_GB2312"/>
                <w:color w:val="000000" w:themeColor="text1"/>
                <w:szCs w:val="21"/>
                <w:highlight w:val="none"/>
                <w14:textFill>
                  <w14:solidFill>
                    <w14:schemeClr w14:val="tx1"/>
                  </w14:solidFill>
                </w14:textFill>
              </w:rPr>
            </w:pPr>
            <w:r>
              <w:rPr>
                <w:rFonts w:hint="eastAsia" w:ascii="仿宋" w:hAnsi="仿宋" w:eastAsia="仿宋" w:cs="仿宋_GB2312"/>
                <w:color w:val="000000" w:themeColor="text1"/>
                <w:szCs w:val="21"/>
                <w:highlight w:val="none"/>
                <w14:textFill>
                  <w14:solidFill>
                    <w14:schemeClr w14:val="tx1"/>
                  </w14:solidFill>
                </w14:textFill>
              </w:rPr>
              <w:t>10</w:t>
            </w:r>
          </w:p>
        </w:tc>
        <w:tc>
          <w:tcPr>
            <w:tcW w:w="1242" w:type="dxa"/>
            <w:tcBorders>
              <w:bottom w:val="double" w:color="auto" w:sz="4" w:space="0"/>
            </w:tcBorders>
            <w:tcMar>
              <w:top w:w="12" w:type="dxa"/>
              <w:left w:w="12" w:type="dxa"/>
              <w:right w:w="12" w:type="dxa"/>
            </w:tcMar>
            <w:vAlign w:val="center"/>
          </w:tcPr>
          <w:p>
            <w:pPr>
              <w:spacing w:line="360" w:lineRule="auto"/>
              <w:jc w:val="center"/>
              <w:outlineLvl w:val="0"/>
              <w:rPr>
                <w:rFonts w:ascii="仿宋" w:hAnsi="仿宋" w:eastAsia="仿宋" w:cs="仿宋_GB2312"/>
                <w:color w:val="000000" w:themeColor="text1"/>
                <w:szCs w:val="21"/>
                <w:highlight w:val="none"/>
                <w14:textFill>
                  <w14:solidFill>
                    <w14:schemeClr w14:val="tx1"/>
                  </w14:solidFill>
                </w14:textFill>
              </w:rPr>
            </w:pPr>
            <w:r>
              <w:rPr>
                <w:rFonts w:ascii="仿宋" w:hAnsi="仿宋" w:eastAsia="仿宋" w:cs="仿宋_GB2312"/>
                <w:color w:val="000000" w:themeColor="text1"/>
                <w:szCs w:val="21"/>
                <w:highlight w:val="none"/>
                <w14:textFill>
                  <w14:solidFill>
                    <w14:schemeClr w14:val="tx1"/>
                  </w14:solidFill>
                </w14:textFill>
              </w:rPr>
              <w:t>/</w:t>
            </w:r>
          </w:p>
        </w:tc>
      </w:tr>
    </w:tbl>
    <w:p>
      <w:pPr>
        <w:snapToGrid w:val="0"/>
        <w:spacing w:line="360" w:lineRule="auto"/>
        <w:rPr>
          <w:rFonts w:ascii="仿宋" w:hAnsi="仿宋" w:eastAsia="仿宋" w:cs="仿宋_GB2312"/>
          <w:b/>
          <w:color w:val="000000" w:themeColor="text1"/>
          <w:sz w:val="24"/>
          <w:highlight w:val="none"/>
          <w14:textFill>
            <w14:solidFill>
              <w14:schemeClr w14:val="tx1"/>
            </w14:solidFill>
          </w14:textFill>
        </w:rPr>
      </w:pPr>
      <w:r>
        <w:rPr>
          <w:rFonts w:ascii="Arial" w:hAnsi="Arial" w:cs="Arial"/>
          <w:color w:val="000000" w:themeColor="text1"/>
          <w:sz w:val="20"/>
          <w:szCs w:val="20"/>
          <w:highlight w:val="none"/>
          <w:shd w:val="clear" w:color="auto" w:fill="FFFFFF"/>
          <w14:textFill>
            <w14:solidFill>
              <w14:schemeClr w14:val="tx1"/>
            </w14:solidFill>
          </w14:textFill>
        </w:rPr>
        <w:t>*</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br w:type="page"/>
      </w:r>
    </w:p>
    <w:p>
      <w:pPr>
        <w:snapToGrid w:val="0"/>
        <w:spacing w:line="360" w:lineRule="auto"/>
        <w:rPr>
          <w:rFonts w:ascii="仿宋_GB2312" w:hAnsi="仿宋" w:eastAsia="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二、评标标准</w:t>
      </w:r>
    </w:p>
    <w:p>
      <w:pPr>
        <w:spacing w:line="360" w:lineRule="auto"/>
        <w:ind w:firstLine="472" w:firstLineChars="196"/>
        <w:rPr>
          <w:rFonts w:ascii="仿宋_GB2312" w:hAnsi="仿宋_GB2312" w:eastAsia="仿宋_GB2312" w:cs="仿宋_GB2312"/>
          <w:b/>
          <w:color w:val="000000" w:themeColor="text1"/>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w:t>
      </w:r>
      <w:r>
        <w:rPr>
          <w:rFonts w:hint="eastAsia" w:ascii="仿宋_GB2312" w:hAnsi="仿宋" w:eastAsia="仿宋_GB2312" w:cs="Arial"/>
          <w:color w:val="000000" w:themeColor="text1"/>
          <w:kern w:val="0"/>
          <w:sz w:val="24"/>
          <w:highlight w:val="none"/>
          <w14:textFill>
            <w14:solidFill>
              <w14:schemeClr w14:val="tx1"/>
            </w14:solidFill>
          </w14:textFill>
        </w:rPr>
        <w:t>不</w:t>
      </w:r>
      <w:r>
        <w:rPr>
          <w:rFonts w:ascii="仿宋_GB2312" w:hAnsi="仿宋" w:eastAsia="仿宋_GB2312" w:cs="Arial"/>
          <w:color w:val="000000" w:themeColor="text1"/>
          <w:kern w:val="0"/>
          <w:sz w:val="24"/>
          <w:highlight w:val="none"/>
          <w14:textFill>
            <w14:solidFill>
              <w14:schemeClr w14:val="tx1"/>
            </w14:solidFill>
          </w14:textFill>
        </w:rPr>
        <w:t>满足招标文件的实质性要求</w:t>
      </w:r>
      <w:r>
        <w:rPr>
          <w:rFonts w:hint="eastAsia" w:ascii="仿宋_GB2312" w:hAnsi="仿宋" w:eastAsia="仿宋_GB2312" w:cs="Arial"/>
          <w:color w:val="000000" w:themeColor="text1"/>
          <w:kern w:val="0"/>
          <w:sz w:val="24"/>
          <w:highlight w:val="none"/>
          <w14:textFill>
            <w14:solidFill>
              <w14:schemeClr w14:val="tx1"/>
            </w14:solidFill>
          </w14:textFill>
        </w:rPr>
        <w:t>的，投标无效。</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131"/>
        <w:spacing w:before="0"/>
        <w:ind w:firstLine="508" w:firstLineChars="212"/>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color w:val="000000" w:themeColor="text1"/>
          <w:kern w:val="0"/>
          <w:szCs w:val="24"/>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131"/>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000000" w:themeColor="text1"/>
          <w:kern w:val="0"/>
          <w:sz w:val="24"/>
          <w:highlight w:val="none"/>
          <w14:textFill>
            <w14:solidFill>
              <w14:schemeClr w14:val="tx1"/>
            </w14:solidFill>
          </w14:textFill>
        </w:rPr>
        <w:t>。</w:t>
      </w:r>
    </w:p>
    <w:p>
      <w:pPr>
        <w:spacing w:line="360" w:lineRule="auto"/>
        <w:ind w:firstLine="420"/>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四、评标中的其他事项</w:t>
      </w:r>
    </w:p>
    <w:p>
      <w:pPr>
        <w:pStyle w:val="131"/>
        <w:spacing w:before="0"/>
        <w:ind w:firstLine="472" w:firstLineChars="196"/>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b/>
          <w:color w:val="000000" w:themeColor="text1"/>
          <w:kern w:val="0"/>
          <w:szCs w:val="24"/>
          <w:highlight w:val="none"/>
          <w14:textFill>
            <w14:solidFill>
              <w14:schemeClr w14:val="tx1"/>
            </w14:solidFill>
          </w14:textFill>
        </w:rPr>
        <w:t>4.1</w:t>
      </w:r>
      <w:r>
        <w:rPr>
          <w:rFonts w:hint="eastAsia" w:ascii="仿宋_GB2312" w:hAnsi="仿宋" w:eastAsia="仿宋_GB2312" w:cs="Arial"/>
          <w:b/>
          <w:color w:val="000000" w:themeColor="text1"/>
          <w:kern w:val="0"/>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000000" w:themeColor="text1"/>
          <w:szCs w:val="21"/>
          <w:highlight w:val="none"/>
          <w14:textFill>
            <w14:solidFill>
              <w14:schemeClr w14:val="tx1"/>
            </w14:solidFill>
          </w14:textFill>
        </w:rPr>
      </w:pPr>
      <w:r>
        <w:rPr>
          <w:rFonts w:ascii="仿宋_GB2312" w:hAnsi="仿宋" w:eastAsia="仿宋_GB2312" w:cs="Arial"/>
          <w:b/>
          <w:color w:val="000000" w:themeColor="text1"/>
          <w:kern w:val="0"/>
          <w:highlight w:val="none"/>
          <w14:textFill>
            <w14:solidFill>
              <w14:schemeClr w14:val="tx1"/>
            </w14:solidFill>
          </w14:textFill>
        </w:rPr>
        <w:t>4.2投标无效。</w:t>
      </w:r>
      <w:r>
        <w:rPr>
          <w:rFonts w:hint="eastAsia" w:ascii="仿宋_GB2312" w:hAnsi="仿宋" w:eastAsia="仿宋_GB2312" w:cs="仿宋_GB2312"/>
          <w:color w:val="000000" w:themeColor="text1"/>
          <w:szCs w:val="21"/>
          <w:highlight w:val="none"/>
          <w14:textFill>
            <w14:solidFill>
              <w14:schemeClr w14:val="tx1"/>
            </w14:solidFill>
          </w14:textFill>
        </w:rPr>
        <w:t>有下列情况之一的，投标无效：</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b/>
          <w:bCs/>
          <w:color w:val="000000" w:themeColor="text1"/>
          <w:kern w:val="0"/>
          <w:sz w:val="24"/>
          <w:highlight w:val="none"/>
          <w14:textFill>
            <w14:solidFill>
              <w14:schemeClr w14:val="tx1"/>
            </w14:solidFill>
          </w14:textFill>
        </w:rPr>
        <w:t>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 xml:space="preserve">  </w:t>
      </w:r>
      <w:r>
        <w:rPr>
          <w:rFonts w:hint="eastAsia" w:ascii="仿宋_GB2312" w:hAnsi="仿宋" w:eastAsia="仿宋_GB2312" w:cs="Arial"/>
          <w:b/>
          <w:bCs/>
          <w:color w:val="000000" w:themeColor="text1"/>
          <w:kern w:val="0"/>
          <w:sz w:val="24"/>
          <w:highlight w:val="none"/>
          <w14:textFill>
            <w14:solidFill>
              <w14:schemeClr w14:val="tx1"/>
            </w14:solidFill>
          </w14:textFill>
        </w:rPr>
        <w:t xml:space="preserve"> </w:t>
      </w:r>
      <w:r>
        <w:rPr>
          <w:rFonts w:ascii="仿宋_GB2312" w:hAnsi="仿宋" w:eastAsia="仿宋_GB2312" w:cs="Arial"/>
          <w:b/>
          <w:bCs/>
          <w:color w:val="000000" w:themeColor="text1"/>
          <w:kern w:val="0"/>
          <w:sz w:val="24"/>
          <w:highlight w:val="none"/>
          <w14:textFill>
            <w14:solidFill>
              <w14:schemeClr w14:val="tx1"/>
            </w14:solidFill>
          </w14:textFill>
        </w:rPr>
        <w:t>4.2.6投标文件出现不是唯一的、有选择性投标报价的;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4.2.10投标人提供虚假材料投标的；</w:t>
      </w:r>
    </w:p>
    <w:p>
      <w:pPr>
        <w:spacing w:line="360" w:lineRule="auto"/>
        <w:ind w:firstLine="241" w:firstLineChars="1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4"/>
        <w:ind w:left="862" w:leftChars="205"/>
        <w:rPr>
          <w:rFonts w:cs="Arial"/>
          <w:color w:val="000000" w:themeColor="text1"/>
          <w:kern w:val="0"/>
          <w:sz w:val="24"/>
          <w:szCs w:val="24"/>
          <w:highlight w:val="none"/>
          <w:lang w:val="en-US"/>
          <w14:textFill>
            <w14:solidFill>
              <w14:schemeClr w14:val="tx1"/>
            </w14:solidFill>
          </w14:textFill>
        </w:rPr>
      </w:pPr>
      <w:r>
        <w:rPr>
          <w:rFonts w:cs="Arial"/>
          <w:color w:val="000000" w:themeColor="text1"/>
          <w:kern w:val="0"/>
          <w:sz w:val="24"/>
          <w:szCs w:val="24"/>
          <w:highlight w:val="none"/>
          <w:lang w:val="en-US"/>
          <w14:textFill>
            <w14:solidFill>
              <w14:schemeClr w14:val="tx1"/>
            </w14:solidFill>
          </w14:textFill>
        </w:rPr>
        <w:t xml:space="preserve">4.2.13 </w:t>
      </w:r>
      <w:r>
        <w:rPr>
          <w:rFonts w:hint="eastAsia" w:cs="Arial"/>
          <w:color w:val="000000" w:themeColor="text1"/>
          <w:kern w:val="0"/>
          <w:sz w:val="24"/>
          <w:szCs w:val="24"/>
          <w:highlight w:val="none"/>
          <w:lang w:val="en-US"/>
          <w14:textFill>
            <w14:solidFill>
              <w14:schemeClr w14:val="tx1"/>
            </w14:solidFill>
          </w14:textFill>
        </w:rPr>
        <w:t>投标文件不满足招标文件的其它实质性要求的；</w:t>
      </w:r>
    </w:p>
    <w:p>
      <w:pPr>
        <w:spacing w:line="360" w:lineRule="auto"/>
        <w:ind w:firstLine="482" w:firstLineChars="200"/>
        <w:rPr>
          <w:rFonts w:ascii="仿宋_GB2312" w:hAnsi="仿宋" w:eastAsia="仿宋_GB2312" w:cs="Arial"/>
          <w:b/>
          <w:bCs/>
          <w:color w:val="000000" w:themeColor="text1"/>
          <w:kern w:val="0"/>
          <w:sz w:val="24"/>
          <w:highlight w:val="none"/>
          <w14:textFill>
            <w14:solidFill>
              <w14:schemeClr w14:val="tx1"/>
            </w14:solidFill>
          </w14:textFill>
        </w:rPr>
      </w:pPr>
      <w:r>
        <w:rPr>
          <w:rFonts w:ascii="仿宋_GB2312" w:hAnsi="仿宋" w:eastAsia="仿宋_GB2312" w:cs="Arial"/>
          <w:b/>
          <w:bCs/>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5.废标。</w:t>
      </w:r>
      <w:r>
        <w:rPr>
          <w:rFonts w:hint="eastAsia" w:ascii="仿宋_GB2312" w:hAnsi="仿宋" w:eastAsia="仿宋_GB2312" w:cs="仿宋_GB2312"/>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5.2出现影响采购公正的违法、违规行为的；</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5.3投标人的报价均超过了采购预算，采购人不能支付的；</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5.4因重大变故，采购任务取消的。</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废标后，采购代理机构应当将废标理由通知所有投标人。</w:t>
      </w:r>
    </w:p>
    <w:p>
      <w:pPr>
        <w:pStyle w:val="25"/>
        <w:snapToGrid w:val="0"/>
        <w:spacing w:line="360" w:lineRule="auto"/>
        <w:ind w:firstLine="590" w:firstLineChars="245"/>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590" w:firstLineChars="245"/>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Helvetica" w:eastAsia="仿宋_GB2312" w:cs="Helvetica"/>
          <w:b/>
          <w:color w:val="000000" w:themeColor="text1"/>
          <w:kern w:val="0"/>
          <w:highlight w:val="none"/>
          <w14:textFill>
            <w14:solidFill>
              <w14:schemeClr w14:val="tx1"/>
            </w14:solidFill>
          </w14:textFill>
        </w:rPr>
        <w:t>7.重新开展采购。</w:t>
      </w:r>
      <w:r>
        <w:rPr>
          <w:rFonts w:hint="eastAsia" w:ascii="仿宋_GB2312" w:hAnsi="仿宋" w:eastAsia="仿宋_GB2312" w:cs="仿宋_GB2312"/>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highlight w:val="none"/>
          <w14:textFill>
            <w14:solidFill>
              <w14:schemeClr w14:val="tx1"/>
            </w14:solidFill>
          </w14:textFill>
        </w:rPr>
        <w:t>活动。</w:t>
      </w:r>
    </w:p>
    <w:p>
      <w:pPr>
        <w:pStyle w:val="25"/>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highlight w:val="none"/>
          <w14:textFill>
            <w14:solidFill>
              <w14:schemeClr w14:val="tx1"/>
            </w14:solidFill>
          </w14:textFill>
        </w:rPr>
        <w:t>商造成损失的，由责任人承担赔偿责任。</w:t>
      </w:r>
    </w:p>
    <w:p>
      <w:pPr>
        <w:pStyle w:val="25"/>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highlight w:val="none"/>
          <w14:textFill>
            <w14:solidFill>
              <w14:schemeClr w14:val="tx1"/>
            </w14:solidFill>
          </w14:textFill>
        </w:rPr>
        <w:t>法</w:t>
      </w:r>
      <w:r>
        <w:rPr>
          <w:rFonts w:hint="eastAsia" w:ascii="仿宋_GB2312" w:hAnsi="仿宋" w:eastAsia="仿宋_GB2312" w:cs="Arial"/>
          <w:color w:val="000000" w:themeColor="text1"/>
          <w:kern w:val="0"/>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highlight w:val="none"/>
          <w14:textFill>
            <w14:solidFill>
              <w14:schemeClr w14:val="tx1"/>
            </w14:solidFill>
          </w14:textFill>
        </w:rPr>
        <w:t>7.1-7.4规定处理。</w:t>
      </w:r>
    </w:p>
    <w:p>
      <w:pPr>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br w:type="page"/>
      </w:r>
    </w:p>
    <w:bookmarkEnd w:id="26"/>
    <w:p>
      <w:pPr>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bookmarkStart w:id="392" w:name="第五部分"/>
      <w:bookmarkStart w:id="393" w:name="_Toc86217003"/>
      <w:r>
        <w:rPr>
          <w:rFonts w:hint="eastAsia" w:ascii="仿宋_GB2312" w:hAnsi="仿宋" w:eastAsia="仿宋_GB2312" w:cs="仿宋_GB2312"/>
          <w:b/>
          <w:color w:val="000000" w:themeColor="text1"/>
          <w:sz w:val="36"/>
          <w:szCs w:val="36"/>
          <w:highlight w:val="none"/>
          <w14:textFill>
            <w14:solidFill>
              <w14:schemeClr w14:val="tx1"/>
            </w14:solidFill>
          </w14:textFill>
        </w:rPr>
        <w:t>第五部分</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拟签订的合同文本</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合同条款</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委托方（以下简称甲方）：杭州市西溪医院</w:t>
      </w:r>
      <w:r>
        <w:rPr>
          <w:color w:val="000000" w:themeColor="text1"/>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受托方（以下简称乙方）：</w:t>
      </w:r>
      <w:r>
        <w:rPr>
          <w:color w:val="000000" w:themeColor="text1"/>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根据 </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日杭州市西溪医院食堂服务外包项目招标结果和招标文件的要求，并依照《中华人民共和国民法典》等有关法律、行政法规的规定，同时在平等、公平、诚实和信用的原则下，经双方协商一致，订立本合同。</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合同文件的组成</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双方的各种协议、中标通知书、招标文件、投标文件、技术澄清及询标答复的所有内容是构成合同不可分割的部分，与本合同具有同等法律效力，当文件有相矛盾之处，以时间后者为准。</w:t>
      </w:r>
    </w:p>
    <w:p>
      <w:pPr>
        <w:snapToGrid w:val="0"/>
        <w:spacing w:line="360" w:lineRule="auto"/>
        <w:ind w:firstLine="420" w:firstLineChars="200"/>
        <w:jc w:val="left"/>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服务期限：服务期暂定2022年</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月1日至2023年 </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月3</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日止。</w:t>
      </w:r>
      <w:r>
        <w:rPr>
          <w:rFonts w:hint="eastAsia"/>
          <w:color w:val="000000" w:themeColor="text1"/>
          <w:highlight w:val="none"/>
          <w14:textFill>
            <w14:solidFill>
              <w14:schemeClr w14:val="tx1"/>
            </w14:solidFill>
          </w14:textFill>
        </w:rPr>
        <w:t>（特殊情况可能会延后，具体时间待定）。</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主要服务内容：提供餐饮管理及服务。为医院职工早、中、晚三餐供餐及夜宵；值班人员送餐上门；病人营养餐订送餐服务及病人协调沟通等工作；其他人员（如上级检查人员、参加学术会议人员等）的供餐服务；健康管理中心体检的供餐服务</w:t>
      </w:r>
      <w:r>
        <w:rPr>
          <w:rFonts w:hint="eastAsia"/>
          <w:color w:val="000000" w:themeColor="text1"/>
          <w:highlight w:val="none"/>
          <w14:textFill>
            <w14:solidFill>
              <w14:schemeClr w14:val="tx1"/>
            </w14:solidFill>
          </w14:textFill>
        </w:rPr>
        <w:t>；食堂内部小超市服务</w:t>
      </w:r>
      <w:r>
        <w:rPr>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（一）具体服务要求：</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1、每日食堂供应3餐（早餐、中餐、晚餐）及接待工作、学习培训班等用餐，用餐人数日均（具体根据实际用餐人数）。如有夜宵需求，积极配合。</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2、每日病人营养餐3餐（早、中、晚餐）、特殊病人需要提供6餐，用餐人数日均（具体根据实际用餐人数）。</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3、早餐品种每餐提供不少于20样，中餐提供菜品数量不少于30个，晚餐及双休节假日提供菜品数量不少于20（包括小炒、主食类）。做到品种多样化，定期推出特色菜或新菜。</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按医院规定作息时间，准时开餐。职工餐厅：早餐供应6:30-8:00；午餐供应11:00-12:30；晚餐供应16:30-19:00；手术室等特殊科室误餐提供面食现烧服务（12:30-16:00）;病人营养餐送餐时间（6:30-7:00；11:00；17:00并要求在30分钟内完成）。</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5、提供小炒服务，品种为冷盘、热炒、点心、汤羹类。中餐、晚餐随时有接待用餐，需做到准时开餐、质量保证。</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6、要求提供中国传统习俗的年夜饭、元宵节汤圆、中秋联欢、中秋月饼等的烹饪制作，负责提供人性化的服务。</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7、同时必须服从、完成医院特殊及指令性的供餐任务，保证就餐正点、足量、优质。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针对住院病人：在营养师的指导下，保证特殊饮食供应，对入住本院内的患者，根据医院需要提供病员餐（特殊饮食）如：糖尿病饮食、低蛋白饮食、低脂饮食、低盐饮食等治疗饮食；代谢膳食：流质、半流质、软食等普通饮食；均需符合等级医院评审要求。要求做到营养均衡，饭菜可口。病人提前一天点餐，食堂员工按时送到病人床头。</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员工人数配置按照院方的实际需求为准（根据医院的使用规模、用餐人员数量、调整工作人员数量）。如医院要求增加/减少一个岗位，原则上参照投标文件中相应的岗位收入标准。如有合同之外的临时加班费用，参照合同基础上，双方协商，不含在总价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10、经营场地如因采购人工作、发展需要进行改造、搬迁或短期关停，</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应予以配合。</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、场地使用及相关费用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（一）采购人承担费用：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1、硬件设备及消耗品等由采购人采购并承担相应的费用。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2、厨房设备的维护、维修费用由采购人承担。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3、烟道清洗（每一季度清洗一次），相关费用均由采购人承担。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4、燃气费、蒸汽费、水费和电费由采购人承担。</w:t>
      </w:r>
    </w:p>
    <w:p>
      <w:pPr>
        <w:spacing w:line="360" w:lineRule="auto"/>
        <w:ind w:firstLine="420" w:firstLineChars="20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、根据每月实际人数发放工资，目前各岗位总人数为</w:t>
      </w:r>
      <w:r>
        <w:rPr>
          <w:color w:val="000000" w:themeColor="text1"/>
          <w:highlight w:val="none"/>
          <w14:textFill>
            <w14:solidFill>
              <w14:schemeClr w14:val="tx1"/>
            </w14:solidFill>
          </w14:textFill>
        </w:rPr>
        <w:t>46</w:t>
      </w:r>
      <w:r>
        <w:rPr>
          <w:rFonts w:hint="eastAsia"/>
          <w:color w:val="000000" w:themeColor="text1"/>
          <w:highlight w:val="none"/>
          <w14:textFill>
            <w14:solidFill>
              <w14:schemeClr w14:val="tx1"/>
            </w14:solidFill>
          </w14:textFill>
        </w:rPr>
        <w:t>人。</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（住宿费用、管理费、发票税等）每季度发放一次每次发放全年的1/4。</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承担费用：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1、承包合同期内，</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自行负责员工宿舍的安排；</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负责所需员工的招聘、劳动合同的签订及日常管理；</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所聘员工的工资、保险、福利、</w:t>
      </w:r>
      <w:r>
        <w:rPr>
          <w:rFonts w:hint="eastAsia"/>
          <w:color w:val="000000" w:themeColor="text1"/>
          <w:highlight w:val="none"/>
          <w14:textFill>
            <w14:solidFill>
              <w14:schemeClr w14:val="tx1"/>
            </w14:solidFill>
          </w14:textFill>
        </w:rPr>
        <w:t>加班费、</w:t>
      </w:r>
      <w:r>
        <w:rPr>
          <w:color w:val="000000" w:themeColor="text1"/>
          <w:highlight w:val="none"/>
          <w14:textFill>
            <w14:solidFill>
              <w14:schemeClr w14:val="tx1"/>
            </w14:solidFill>
          </w14:textFill>
        </w:rPr>
        <w:t>健康证以及相关管理费用等均由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自行承担。如发生工伤、疾病乃至死亡的一切责任及费用由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全部负责。如因</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原因造成第三方损失的或在服务过程中</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与从业人员发生任何劳动纠纷的，一切责任与费用由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全部负责。</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2、工作性质为每周单休，其中一天加班在基本月工资中包含。</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2、发票税费由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3、承包期内，如遇</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管理不善，操作不当导致的有害因素造成</w:t>
      </w:r>
      <w:r>
        <w:rPr>
          <w:rFonts w:hint="eastAsia"/>
          <w:color w:val="000000" w:themeColor="text1"/>
          <w:highlight w:val="none"/>
          <w14:textFill>
            <w14:solidFill>
              <w14:schemeClr w14:val="tx1"/>
            </w14:solidFill>
          </w14:textFill>
        </w:rPr>
        <w:t>采购人</w:t>
      </w:r>
      <w:r>
        <w:rPr>
          <w:color w:val="000000" w:themeColor="text1"/>
          <w:highlight w:val="none"/>
          <w14:textFill>
            <w14:solidFill>
              <w14:schemeClr w14:val="tx1"/>
            </w14:solidFill>
          </w14:textFill>
        </w:rPr>
        <w:t>投入的设施设备发生损坏，由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进行维修或赔偿，由此所导致的不良后果由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全部承担；</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应按照采购人营养师对烹饪治疗膳食的要求，配专职营养厨师一名。</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5、人员配置</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（1）岗位报价</w:t>
      </w:r>
    </w:p>
    <w:p>
      <w:pPr>
        <w:spacing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投标岗位报价表（人员费用表）</w:t>
      </w:r>
    </w:p>
    <w:tbl>
      <w:tblPr>
        <w:tblStyle w:val="63"/>
        <w:tblW w:w="10816" w:type="dxa"/>
        <w:tblInd w:w="-1168" w:type="dxa"/>
        <w:tblLayout w:type="fixed"/>
        <w:tblCellMar>
          <w:top w:w="0" w:type="dxa"/>
          <w:left w:w="108" w:type="dxa"/>
          <w:bottom w:w="0" w:type="dxa"/>
          <w:right w:w="108" w:type="dxa"/>
        </w:tblCellMar>
      </w:tblPr>
      <w:tblGrid>
        <w:gridCol w:w="709"/>
        <w:gridCol w:w="709"/>
        <w:gridCol w:w="709"/>
        <w:gridCol w:w="1046"/>
        <w:gridCol w:w="938"/>
        <w:gridCol w:w="725"/>
        <w:gridCol w:w="1025"/>
        <w:gridCol w:w="850"/>
        <w:gridCol w:w="1275"/>
        <w:gridCol w:w="1075"/>
        <w:gridCol w:w="912"/>
        <w:gridCol w:w="843"/>
      </w:tblGrid>
      <w:tr>
        <w:tblPrEx>
          <w:tblCellMar>
            <w:top w:w="0" w:type="dxa"/>
            <w:left w:w="108" w:type="dxa"/>
            <w:bottom w:w="0" w:type="dxa"/>
            <w:right w:w="108" w:type="dxa"/>
          </w:tblCellMar>
        </w:tblPrEx>
        <w:trPr>
          <w:trHeight w:val="312"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岗位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部门</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各岗位人数</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月工资元/月</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年工资元/年</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年福利/人</w:t>
            </w:r>
          </w:p>
        </w:tc>
        <w:tc>
          <w:tcPr>
            <w:tcW w:w="10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社保费元/月</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高温费/人</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节假日加班费/人（3倍工资）</w:t>
            </w:r>
          </w:p>
        </w:tc>
        <w:tc>
          <w:tcPr>
            <w:tcW w:w="10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年终绩效/人</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年/人</w:t>
            </w:r>
          </w:p>
        </w:tc>
        <w:tc>
          <w:tcPr>
            <w:tcW w:w="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r>
      <w:tr>
        <w:tblPrEx>
          <w:tblCellMar>
            <w:top w:w="0" w:type="dxa"/>
            <w:left w:w="108" w:type="dxa"/>
            <w:bottom w:w="0" w:type="dxa"/>
            <w:right w:w="108" w:type="dxa"/>
          </w:tblCellMar>
        </w:tblPrEx>
        <w:trPr>
          <w:trHeight w:val="312"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938"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912"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项目经理</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厨师班长</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切配兼服务员</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烧面师傅</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保洁员</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洗碗工</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洗菜切配</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配餐员主管</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配餐员拉单</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高级配餐员1</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初级配餐员2</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蒸煮工</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面点班长</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面点师</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洗大盘</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机动替班1</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机动替班2</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机动替班3</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服务员（钟点工）</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体检中心</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厨师（钟点工）</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709"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709"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46</w:t>
            </w:r>
          </w:p>
        </w:tc>
        <w:tc>
          <w:tcPr>
            <w:tcW w:w="1046"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nil"/>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38"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7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2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1075"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c>
          <w:tcPr>
            <w:tcW w:w="843" w:type="dxa"/>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2127" w:type="dxa"/>
            <w:gridSpan w:val="3"/>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人员费用合计</w:t>
            </w:r>
          </w:p>
        </w:tc>
        <w:tc>
          <w:tcPr>
            <w:tcW w:w="8689" w:type="dxa"/>
            <w:gridSpan w:val="9"/>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2127" w:type="dxa"/>
            <w:gridSpan w:val="3"/>
            <w:tcBorders>
              <w:top w:val="nil"/>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住宿费用</w:t>
            </w:r>
          </w:p>
        </w:tc>
        <w:tc>
          <w:tcPr>
            <w:tcW w:w="8689" w:type="dxa"/>
            <w:gridSpan w:val="9"/>
            <w:tcBorders>
              <w:top w:val="nil"/>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管理费</w:t>
            </w:r>
          </w:p>
        </w:tc>
        <w:tc>
          <w:tcPr>
            <w:tcW w:w="8689" w:type="dxa"/>
            <w:gridSpan w:val="9"/>
            <w:tcBorders>
              <w:top w:val="single" w:color="auto" w:sz="4" w:space="0"/>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税金</w:t>
            </w:r>
          </w:p>
        </w:tc>
        <w:tc>
          <w:tcPr>
            <w:tcW w:w="8689" w:type="dxa"/>
            <w:gridSpan w:val="9"/>
            <w:tcBorders>
              <w:top w:val="single" w:color="auto" w:sz="4" w:space="0"/>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其他费用</w:t>
            </w:r>
          </w:p>
        </w:tc>
        <w:tc>
          <w:tcPr>
            <w:tcW w:w="8689" w:type="dxa"/>
            <w:gridSpan w:val="9"/>
            <w:tcBorders>
              <w:top w:val="single" w:color="auto" w:sz="4" w:space="0"/>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58"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合同总价</w:t>
            </w:r>
          </w:p>
        </w:tc>
        <w:tc>
          <w:tcPr>
            <w:tcW w:w="8689" w:type="dxa"/>
            <w:gridSpan w:val="9"/>
            <w:tcBorders>
              <w:top w:val="single" w:color="auto" w:sz="4" w:space="0"/>
              <w:left w:val="nil"/>
              <w:bottom w:val="single" w:color="auto" w:sz="4" w:space="0"/>
              <w:right w:val="single" w:color="auto" w:sz="4" w:space="0"/>
            </w:tcBorders>
            <w:shd w:val="clear" w:color="auto" w:fill="auto"/>
            <w:noWrap/>
            <w:vAlign w:val="center"/>
          </w:tcPr>
          <w:p>
            <w:pPr>
              <w:rPr>
                <w:color w:val="000000" w:themeColor="text1"/>
                <w:highlight w:val="none"/>
                <w14:textFill>
                  <w14:solidFill>
                    <w14:schemeClr w14:val="tx1"/>
                  </w14:solidFill>
                </w14:textFill>
              </w:rPr>
            </w:pPr>
          </w:p>
        </w:tc>
      </w:tr>
    </w:tbl>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1、月工资包括每周单休加班工资。</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、年福利：中秋、国庆、元旦，每个节日2</w:t>
      </w:r>
      <w:r>
        <w:rPr>
          <w:color w:val="000000" w:themeColor="text1"/>
          <w:highlight w:val="none"/>
          <w14:textFill>
            <w14:solidFill>
              <w14:schemeClr w14:val="tx1"/>
            </w14:solidFill>
          </w14:textFill>
        </w:rPr>
        <w:t>00</w:t>
      </w:r>
      <w:r>
        <w:rPr>
          <w:rFonts w:hint="eastAsia"/>
          <w:color w:val="000000" w:themeColor="text1"/>
          <w:highlight w:val="none"/>
          <w14:textFill>
            <w14:solidFill>
              <w14:schemeClr w14:val="tx1"/>
            </w14:solidFill>
          </w14:textFill>
        </w:rPr>
        <w:t>元</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、社保费：单位承担部分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、节假日加班费：为每年固定1</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天节假日加班费</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5、岗位报价费用按实际产生费用结算</w:t>
      </w:r>
    </w:p>
    <w:p>
      <w:pPr>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6、岗位报价费（人员费用）中标商不得截留</w:t>
      </w:r>
    </w:p>
    <w:p>
      <w:pPr>
        <w:numPr>
          <w:ilvl w:val="0"/>
          <w:numId w:val="4"/>
        </w:num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医院的要求，投标人应为本项目承包区域内各项服务工作岗位配备人员。本项目投标人须指定一名项目负责人与甲方在服务期内进行工作对接和安排，服务内投标人不得更换项目负责人。为了统一报价标准，本次招标各投标人按照人员配备岗位表进行报价。</w:t>
      </w:r>
    </w:p>
    <w:p>
      <w:pPr>
        <w:numPr>
          <w:ilvl w:val="0"/>
          <w:numId w:val="4"/>
        </w:num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报价包括完成本次服务全部工作所需的一切费用，此报价包括：人员工资、奖金、社保、各种加班费、夜宵服务值班费等，以及员工住宿费、保险费、体检费、管理费、利润、税金及其他投标人承担的费用及潜在可能涉及的一切费用。</w:t>
      </w:r>
    </w:p>
    <w:p>
      <w:pPr>
        <w:numPr>
          <w:ilvl w:val="0"/>
          <w:numId w:val="4"/>
        </w:num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核算过程中必须要符合国家的《劳动法》、《劳动合同法》、《社会保障法》等法规要求。</w:t>
      </w:r>
    </w:p>
    <w:p>
      <w:pPr>
        <w:numPr>
          <w:ilvl w:val="0"/>
          <w:numId w:val="4"/>
        </w:num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要求说明：乙方自行负责招标员工的一切工资、福利，如发生工伤、疾病乃至死亡的一切责任及费用由乙方全部负责。如乙方原因造成第三方的损失或服务过程中乙方与从业人员发生任何劳动纠纷的，一切责任与费用由乙方全部负责。</w:t>
      </w:r>
    </w:p>
    <w:p>
      <w:pPr>
        <w:numPr>
          <w:ilvl w:val="0"/>
          <w:numId w:val="4"/>
        </w:num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提供方需做好招工培训工作，招聘员工的年龄原则上男性应在55周岁以下，女性应在50周岁以下，有一定的文化水平，至少能读懂报纸内容。培训合格后上岗，同时要保证人员的相对稳定，并按《人员费用表》中规定支付各工种个人工资</w:t>
      </w:r>
      <w:r>
        <w:rPr>
          <w:rFonts w:hint="eastAsia"/>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不得截留。</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（7）根据市场行情变化，适当调整人员工资，人员工资总价（基本工资、社保、福利、加班费、高温费、年终奖励等）不超过中标价。</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服务提供方及其员工必须遵守医院的一切行政管理、消防安全、病区等规定和制度。院方有权对服务提供方员工的工作行为进行监督，如发现服务提供方员工有违反医院的规定和制度的行为，院方将要求其改正，态度恶劣拒不改正的，院方有权要求服务提供方予以辞退，服务提供方必须无条件接受。</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（9）遇突发事件或安全检查时，服务提供方必须配合有关部门执行任务，并指定专职人员协助工作，直至完成。</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服务提供方不以任何形式转租、转让、抵押服务区域，在服务区域只从事院方认可的服务工作。在服务期间，服务提供方的任何股份配置变动应通知院方。未经院方书面批准，任何占有支配地位的股份转让者将视为乙方出租、转让的行为。</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（11）服务区域的各项服务工作时间必须符合及满足院方的要求，周末及公众假期，需根据院方需要提供服务。</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餐厅、操作间内的水、电、气等费用由采购人负责。操作间、灶具等主要用具及餐、盘、筷子、勺子等用餐用具均由采购人解决。乙方在服务时应对食堂原有设备设施进行检查，发现问题由甲方统一集中维修，确保所有设施设备正常工作，维修费由采购人负责。如需添置硬件设备事先应向甲方提出，由采购人负责购买；投标人做好水、电、气等安全管理；出现水常开、电常通现象给予一定的经济处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（13）有较强的技术支撑团队，定期开展食堂员工的厨师及服务培训。</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w:t>
      </w:r>
      <w:r>
        <w:rPr>
          <w:color w:val="000000" w:themeColor="text1"/>
          <w:highlight w:val="none"/>
          <w14:textFill>
            <w14:solidFill>
              <w14:schemeClr w14:val="tx1"/>
            </w14:solidFill>
          </w14:textFill>
        </w:rPr>
        <w:t>、卫生管理和消防安全</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应严格遵守《食品安全法》、《消防法》等相关的法律法规，确保食品安全、消防安全等。</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在实际操作中若违反法律法规、行业规范或其他有关规定，由此导致不良后果由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全部承担，由此给采购人造成的损失应予以全额赔偿。</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（一）承包期内，</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应搞好辖区内的环境卫生工作，噪声、污水、烟尘排放应符合国家标准，定期清理灶台及炊事用品污垢，饭堂内外保持卫生整洁。</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应定期对食堂内外水池和下水道进行清理，确保畅通，消除蚊蝇鼠害。</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应定期对冰柜进行清理、除霜，消除异味，生熟物品应分开存放。</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对厨房用品用具应严格实行一刮、二洗、三冲、四消毒、五保洁的规程。</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必须按照国家饮食卫生标准做到食堂所有的饮食无毒，无污染，不得出售任何变质或受污染的食物。</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（六）</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负责厨房餐厅的消防安全及管理，每班下班前关闭相关电源开关和煤气开关，并禁止吸烟等其它具有消防安全隐患的行为。</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（七）</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所有工作人员应按卫生部门规定进行定期身体检查并取得餐饮服务业人员健康合格证。</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（八）</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厨房工作人员必须遵守采购人规章制度，不得随意出入医院其它区域，如违反者，采购人将依照院内规章制度予以处罚。</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（九）凡</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操作不当造成食物中毒、肠道疾病、火灾等事故，由</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承担一切责任并赔偿一切损失。</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w:t>
      </w:r>
      <w:r>
        <w:rPr>
          <w:color w:val="000000" w:themeColor="text1"/>
          <w:highlight w:val="none"/>
          <w14:textFill>
            <w14:solidFill>
              <w14:schemeClr w14:val="tx1"/>
            </w14:solidFill>
          </w14:textFill>
        </w:rPr>
        <w:t>、按照杭州市卫计委综合目标考核要求及西湖区餐饮业食品安全五常管理要求，医院对承包商承经营食堂进行考核，具体考核标准如下：</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（一）严格执行《食品安全法》相关规定</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在经营期间必须符合国家饮食卫生标准，</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全体工作人员必须持健康证上岗，统一卫生标准的着装，如采购人检查发现</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人员没有持健康证上岗，每人每次处以200元的罚款，并责令</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立即停止无证人员上岗。如卫生行政部门检查发现，则按规定罚款。</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2、卫计委不定期对营养食堂及职工食堂进行检查，如发现操作不规范（以卫计委的检查结果为标准），每次每项扣500元。</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3、营养餐按要求烹饪供餐，如发现未按时烹饪、送餐、菜单未及时更换，每次扣罚50元。</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4、因各种投诉，经过采购人调查</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工作人员确实存在过错，视情节轻重，每次扣罚100-500元不等，如果被各类媒体曝光影响医院声誉，视情节轻重给予500-2000元的处罚。</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5、采购人不定期对营养食堂及职工食堂进行检查，如发现操作不规范，每次每项扣50-200元。</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所有的工作人员须遵守医院规章制度，遵守食品卫生操作规程，按奖罚条例考核。</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须配合完成采购人各项综合目标考核、综合治理、等级医院复评及医院的指令性任务等，按照采购人对膳食科考核细则对</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进行考核。</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w:t>
      </w:r>
      <w:r>
        <w:rPr>
          <w:color w:val="000000" w:themeColor="text1"/>
          <w:highlight w:val="none"/>
          <w14:textFill>
            <w14:solidFill>
              <w14:schemeClr w14:val="tx1"/>
            </w14:solidFill>
          </w14:textFill>
        </w:rPr>
        <w:t>、结算方式</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（一）履约保证金为中标价的</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（含设备保证金5万元整），</w:t>
      </w:r>
      <w:r>
        <w:rPr>
          <w:rFonts w:hint="eastAsia"/>
          <w:color w:val="000000" w:themeColor="text1"/>
          <w:highlight w:val="none"/>
          <w14:textFill>
            <w14:solidFill>
              <w14:schemeClr w14:val="tx1"/>
            </w14:solidFill>
          </w14:textFill>
        </w:rPr>
        <w:t>中标价</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万*</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万（保证金）</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合同签订之日起七个工作日内打入采购人账户。</w:t>
      </w:r>
      <w:r>
        <w:rPr>
          <w:rFonts w:hint="eastAsia"/>
          <w:color w:val="000000" w:themeColor="text1"/>
          <w:highlight w:val="none"/>
          <w14:textFill>
            <w14:solidFill>
              <w14:schemeClr w14:val="tx1"/>
            </w14:solidFill>
          </w14:textFill>
        </w:rPr>
        <w:t>中标价</w:t>
      </w:r>
      <w:r>
        <w:rPr>
          <w:color w:val="000000" w:themeColor="text1"/>
          <w:highlight w:val="none"/>
          <w14:textFill>
            <w14:solidFill>
              <w14:schemeClr w14:val="tx1"/>
            </w14:solidFill>
          </w14:textFill>
        </w:rPr>
        <w:t>在合同期内无违规情况，采购人在合同期满后一次性无息退还。</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（二）就餐卡余额由医院财务科保管。</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（三）在双方核对无异议后，采购人应在收到发票的</w:t>
      </w:r>
      <w:r>
        <w:rPr>
          <w:rFonts w:hint="eastAsia"/>
          <w:color w:val="000000" w:themeColor="text1"/>
          <w:highlight w:val="none"/>
          <w:lang w:val="en-US" w:eastAsia="zh-CN"/>
          <w14:textFill>
            <w14:solidFill>
              <w14:schemeClr w14:val="tx1"/>
            </w14:solidFill>
          </w14:textFill>
        </w:rPr>
        <w:t>7</w:t>
      </w:r>
      <w:r>
        <w:rPr>
          <w:color w:val="000000" w:themeColor="text1"/>
          <w:highlight w:val="none"/>
          <w14:textFill>
            <w14:solidFill>
              <w14:schemeClr w14:val="tx1"/>
            </w14:solidFill>
          </w14:textFill>
        </w:rPr>
        <w:t>个工作日内向</w:t>
      </w:r>
      <w:r>
        <w:rPr>
          <w:rFonts w:hint="eastAsia"/>
          <w:color w:val="000000" w:themeColor="text1"/>
          <w:highlight w:val="none"/>
          <w14:textFill>
            <w14:solidFill>
              <w14:schemeClr w14:val="tx1"/>
            </w14:solidFill>
          </w14:textFill>
        </w:rPr>
        <w:t>中标价</w:t>
      </w:r>
      <w:r>
        <w:rPr>
          <w:color w:val="000000" w:themeColor="text1"/>
          <w:highlight w:val="none"/>
          <w14:textFill>
            <w14:solidFill>
              <w14:schemeClr w14:val="tx1"/>
            </w14:solidFill>
          </w14:textFill>
        </w:rPr>
        <w:t>付款，如逾期付款，每逾期一日，违约金为逾期应付款的万分之四。</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w:t>
      </w:r>
      <w:r>
        <w:rPr>
          <w:color w:val="000000" w:themeColor="text1"/>
          <w:highlight w:val="none"/>
          <w14:textFill>
            <w14:solidFill>
              <w14:schemeClr w14:val="tx1"/>
            </w14:solidFill>
          </w14:textFill>
        </w:rPr>
        <w:t>、违约责任</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（一）若甲乙双方其中任何一方提前解除合同，终止方必须提前60天以书面形式告知对方。</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（二）如遇甲乙双方其中的任何一方违约（如遇不可抗力因素除外），违约方须向另一方支付违约金人民币伍万元整，本协议另有约定除外。</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（三）如</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不按合同履行，采购人有权收回食堂人员服务权，同时乙方需赔偿医院人民币伍万元整。</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（四）若2022年</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月1日</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因自身原因不能按时入驻食堂开展服务外包工作，则采购人有权取消与</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的合作，解除本协议，并扣除保证金。</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医院根据工作量要求乙方配置食堂工作人员，如配置人员数两次未达标，扣除管理费1000元，第三次工作人员数未达标，扣除管理费2000元，第四次工作人员数未达标，扣除管理费4000元。第五次工作人员数未达标，解除合同，并扣除保证金伍万元整。</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w:t>
      </w:r>
      <w:r>
        <w:rPr>
          <w:color w:val="000000" w:themeColor="text1"/>
          <w:highlight w:val="none"/>
          <w14:textFill>
            <w14:solidFill>
              <w14:schemeClr w14:val="tx1"/>
            </w14:solidFill>
          </w14:textFill>
        </w:rPr>
        <w:t>、其他条款</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应配合采购人完成指令性任务，否则，采购人有权单方解除本终止合同并要求</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支付违约金人民币伍万元整。</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应负责取得食品经营许可证（餐饮服务许可证）的申请和延续，费用由采购人负责。</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（三）甲乙双方发生争议的，协商解决，协商不成的，任何一方均可向医院所在地人民法院提起诉讼。 </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应严格遵守采购人廉政建设规定，不得以任何的形式向采购人工作人员输送不正当利益，否则采购人有权终止合同，并全部扣除保证金。</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（五）如因任何原因导致解除、提前终止本协议，</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必须提供合同约定的完整服务直至新的承包商进驻之日止，否则采购人有权扣除保证金。</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（六）本协议期限，自2022年</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月1日起，至2023年</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月3</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日。</w:t>
      </w:r>
      <w:r>
        <w:rPr>
          <w:rFonts w:hint="eastAsia" w:ascii="宋体" w:hAnsi="宋体"/>
          <w:color w:val="000000" w:themeColor="text1"/>
          <w:szCs w:val="21"/>
          <w:highlight w:val="none"/>
          <w14:textFill>
            <w14:solidFill>
              <w14:schemeClr w14:val="tx1"/>
            </w14:solidFill>
          </w14:textFill>
        </w:rPr>
        <w:t>服务期满后经甲方综合考评通过的，</w:t>
      </w:r>
      <w:r>
        <w:rPr>
          <w:rFonts w:hint="eastAsia"/>
          <w:color w:val="000000" w:themeColor="text1"/>
          <w:highlight w:val="none"/>
          <w14:textFill>
            <w14:solidFill>
              <w14:schemeClr w14:val="tx1"/>
            </w14:solidFill>
          </w14:textFill>
        </w:rPr>
        <w:t>则签订下一年合同，总服务期3年。</w:t>
      </w:r>
      <w:r>
        <w:rPr>
          <w:rFonts w:hint="eastAsia" w:ascii="宋体" w:hAnsi="宋体"/>
          <w:color w:val="000000" w:themeColor="text1"/>
          <w:szCs w:val="21"/>
          <w:highlight w:val="none"/>
          <w14:textFill>
            <w14:solidFill>
              <w14:schemeClr w14:val="tx1"/>
            </w14:solidFill>
          </w14:textFill>
        </w:rPr>
        <w:t>连续两个月中标单位的综合考评不合格，经书面整改尚未达到要求，甲方有权解除合同。</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（七）合同终止后</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必须与采购人及接收方做好财产、财务工作量等的交接手续，未做好交接工作，采购人有权要求</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向采购人支付违约金，违约金金额为合同终止上一月职工餐和营养餐销售额之和的（陪护餐厅除外）7％。</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服务提供方及其员工必须遵守医院的一切行政管理、消防安全、病区等规定和制度。院方有权对服务提供方员工的工作行为进行监督，如发现服务提供方员工有违反医院的规定和制度行为，院方将要求其改正，态度恶劣拒不改正的，院方有权要求服务提供方予辞退，</w:t>
      </w:r>
      <w:r>
        <w:rPr>
          <w:rFonts w:hint="eastAsia"/>
          <w:color w:val="000000" w:themeColor="text1"/>
          <w:szCs w:val="21"/>
          <w:highlight w:val="none"/>
          <w14:textFill>
            <w14:solidFill>
              <w14:schemeClr w14:val="tx1"/>
            </w14:solidFill>
          </w14:textFill>
        </w:rPr>
        <w:t>服务提供方必须无条件接受</w:t>
      </w:r>
      <w:r>
        <w:rPr>
          <w:rFonts w:hint="eastAsia"/>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（九）</w:t>
      </w:r>
      <w:r>
        <w:rPr>
          <w:color w:val="000000" w:themeColor="text1"/>
          <w:highlight w:val="none"/>
          <w14:textFill>
            <w14:solidFill>
              <w14:schemeClr w14:val="tx1"/>
            </w14:solidFill>
          </w14:textFill>
        </w:rPr>
        <w:t>因采购人发展的需要，采购人将实行一卡通管理，</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需配合采购人做好一卡通使用、管理相关工作。</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（十）因疫情防控要求，对提供西溪医院食堂的供货商：确保人员健康、体温正常、绿码、14天行程无中高风险旅居史</w:t>
      </w:r>
      <w:r>
        <w:rPr>
          <w:rFonts w:hint="eastAsia"/>
          <w:color w:val="000000" w:themeColor="text1"/>
          <w:highlight w:val="none"/>
          <w14:textFill>
            <w14:solidFill>
              <w14:schemeClr w14:val="tx1"/>
            </w14:solidFill>
          </w14:textFill>
        </w:rPr>
        <w:t>，同时随疫情变化实时调整防控措施</w:t>
      </w:r>
      <w:r>
        <w:rPr>
          <w:color w:val="000000" w:themeColor="text1"/>
          <w:highlight w:val="none"/>
          <w14:textFill>
            <w14:solidFill>
              <w14:schemeClr w14:val="tx1"/>
            </w14:solidFill>
          </w14:textFill>
        </w:rPr>
        <w:t>。进入西溪医院需配合医院管理，需主动亮码、测体温、戴口罩，对反复进出医院的人员需要定时提交健康监测证明，如有违反疫情防控要求，供货商及供货人员要承担一切法律责任，后果自负。</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甲方（单位盖章）：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乙方（单位盖章）：</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法定代表人（代理人）：</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法定代表人（代理人）：</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p>
    <w:p>
      <w:pPr>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br w:type="page"/>
      </w:r>
    </w:p>
    <w:p>
      <w:pPr>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第六部分</w:t>
      </w:r>
      <w:bookmarkEnd w:id="392"/>
      <w:r>
        <w:rPr>
          <w:rFonts w:ascii="仿宋" w:hAnsi="仿宋" w:eastAsia="仿宋" w:cs="仿宋_GB2312"/>
          <w:b/>
          <w:color w:val="000000" w:themeColor="text1"/>
          <w:sz w:val="36"/>
          <w:szCs w:val="20"/>
          <w:highlight w:val="none"/>
          <w14:textFill>
            <w14:solidFill>
              <w14:schemeClr w14:val="tx1"/>
            </w14:solidFill>
          </w14:textFill>
        </w:rPr>
        <w:t xml:space="preserve"> </w:t>
      </w:r>
      <w:bookmarkEnd w:id="393"/>
      <w:r>
        <w:rPr>
          <w:rFonts w:hint="eastAsia" w:ascii="仿宋" w:hAnsi="仿宋" w:eastAsia="仿宋" w:cs="仿宋_GB2312"/>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right="48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br w:type="page"/>
      </w:r>
      <w:r>
        <w:rPr>
          <w:rFonts w:ascii="仿宋_GB2312" w:hAnsi="仿宋" w:eastAsia="仿宋_GB2312" w:cs="仿宋_GB2312"/>
          <w:b/>
          <w:color w:val="000000" w:themeColor="text1"/>
          <w:kern w:val="0"/>
          <w:sz w:val="32"/>
          <w:szCs w:val="32"/>
          <w:highlight w:val="none"/>
          <w14:textFill>
            <w14:solidFill>
              <w14:schemeClr w14:val="tx1"/>
            </w14:solidFill>
          </w14:textFill>
        </w:rPr>
        <w:t>一、 符合参加政府采购活动应当具备的一般条件的承诺函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42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我方参与</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具有独立承担民事责任的能力；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w:t>
      </w:r>
      <w:r>
        <w:rPr>
          <w:rFonts w:ascii="仿宋_GB2312" w:hAnsi="仿宋" w:eastAsia="仿宋_GB2312"/>
          <w:color w:val="000000" w:themeColor="text1"/>
          <w:sz w:val="24"/>
          <w:highlight w:val="none"/>
          <w14:textFill>
            <w14:solidFill>
              <w14:schemeClr w14:val="tx1"/>
            </w14:solidFill>
          </w14:textFill>
        </w:rPr>
        <w:t xml:space="preserve">具有良好的商业信誉和健全的财务会计制度； </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w:t>
      </w:r>
      <w:r>
        <w:rPr>
          <w:rFonts w:ascii="仿宋_GB2312" w:hAnsi="仿宋" w:eastAsia="仿宋_GB2312"/>
          <w:color w:val="000000" w:themeColor="text1"/>
          <w:sz w:val="24"/>
          <w:highlight w:val="none"/>
          <w14:textFill>
            <w14:solidFill>
              <w14:schemeClr w14:val="tx1"/>
            </w14:solidFill>
          </w14:textFill>
        </w:rPr>
        <w:t>具有履行合同所必需的设备和专业技术能力；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w:t>
      </w:r>
      <w:r>
        <w:rPr>
          <w:rFonts w:ascii="仿宋_GB2312" w:hAnsi="仿宋" w:eastAsia="仿宋_GB2312"/>
          <w:color w:val="000000" w:themeColor="text1"/>
          <w:sz w:val="24"/>
          <w:highlight w:val="none"/>
          <w14:textFill>
            <w14:solidFill>
              <w14:schemeClr w14:val="tx1"/>
            </w14:solidFill>
          </w14:textFill>
        </w:rPr>
        <w:t>有依法缴纳税收和社会保障资金的良好记录；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5、</w:t>
      </w:r>
      <w:r>
        <w:rPr>
          <w:rFonts w:ascii="仿宋_GB2312" w:hAnsi="仿宋" w:eastAsia="仿宋_GB2312"/>
          <w:color w:val="000000" w:themeColor="text1"/>
          <w:sz w:val="24"/>
          <w:highlight w:val="none"/>
          <w14:textFill>
            <w14:solidFill>
              <w14:schemeClr w14:val="tx1"/>
            </w14:solidFill>
          </w14:textFill>
        </w:rPr>
        <w:t>参加政府采购活动前三年内，在经营活动中没有重大违法记录；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6、</w:t>
      </w:r>
      <w:r>
        <w:rPr>
          <w:rFonts w:ascii="仿宋_GB2312" w:hAnsi="仿宋" w:eastAsia="仿宋_GB2312"/>
          <w:color w:val="000000" w:themeColor="text1"/>
          <w:sz w:val="24"/>
          <w:highlight w:val="none"/>
          <w14:textFill>
            <w14:solidFill>
              <w14:schemeClr w14:val="tx1"/>
            </w14:solidFill>
          </w14:textFill>
        </w:rPr>
        <w:t>具有法律、行政法规规定的其他条件。</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（二）未被信用中国（</w:t>
      </w:r>
      <w:r>
        <w:rPr>
          <w:rFonts w:ascii="仿宋_GB2312" w:hAnsi="仿宋" w:eastAsia="仿宋_GB2312"/>
          <w:color w:val="000000" w:themeColor="text1"/>
          <w:sz w:val="24"/>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为采购项目提供整体设计、规范编制或者项目管理、监理、检测等服务后再参加该采购项目的其他采购活动的。</w:t>
      </w:r>
    </w:p>
    <w:p>
      <w:pPr>
        <w:rPr>
          <w:color w:val="000000" w:themeColor="text1"/>
          <w:highlight w:val="none"/>
          <w14:textFill>
            <w14:solidFill>
              <w14:schemeClr w14:val="tx1"/>
            </w14:solidFill>
          </w14:textFill>
        </w:rPr>
      </w:pPr>
    </w:p>
    <w:p>
      <w:pPr>
        <w:snapToGrid w:val="0"/>
        <w:spacing w:line="360" w:lineRule="auto"/>
        <w:ind w:firstLine="5520" w:firstLineChars="230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w:t>
      </w:r>
      <w:r>
        <w:rPr>
          <w:rFonts w:hint="eastAsia" w:ascii="仿宋_GB2312" w:hAnsi="仿宋" w:eastAsia="仿宋_GB2312"/>
          <w:color w:val="000000" w:themeColor="text1"/>
          <w:sz w:val="24"/>
          <w:highlight w:val="none"/>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before="50" w:after="50" w:line="360" w:lineRule="auto"/>
        <w:ind w:firstLine="472" w:firstLineChars="196"/>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A</w:t>
      </w:r>
      <w:r>
        <w:rPr>
          <w:rFonts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highlight w:val="none"/>
          <w14:textFill>
            <w14:solidFill>
              <w14:schemeClr w14:val="tx1"/>
            </w14:solidFill>
          </w14:textFill>
        </w:rPr>
      </w:pPr>
    </w:p>
    <w:p>
      <w:pPr>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br w:type="page"/>
      </w:r>
    </w:p>
    <w:p>
      <w:pPr>
        <w:widowControl/>
        <w:spacing w:line="360" w:lineRule="auto"/>
        <w:ind w:firstLine="472" w:firstLineChars="196"/>
        <w:jc w:val="left"/>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B.</w:t>
      </w:r>
      <w:r>
        <w:rPr>
          <w:rFonts w:hint="eastAsia" w:ascii="仿宋_GB2312" w:hAnsi="仿宋" w:eastAsia="仿宋_GB2312" w:cs="仿宋_GB2312"/>
          <w:color w:val="000000" w:themeColor="text1"/>
          <w:sz w:val="24"/>
          <w:highlight w:val="none"/>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snapToGrid w:val="0"/>
        <w:spacing w:before="50" w:after="50"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采购代理机构</w:t>
      </w:r>
      <w:r>
        <w:rPr>
          <w:rFonts w:ascii="仿宋_GB2312" w:hAnsi="仿宋" w:eastAsia="仿宋_GB2312" w:cs="仿宋_GB2312"/>
          <w:color w:val="000000" w:themeColor="text1"/>
          <w:kern w:val="0"/>
          <w:sz w:val="24"/>
          <w:highlight w:val="none"/>
          <w:lang w:val="zh-CN"/>
          <w14:textFill>
            <w14:solidFill>
              <w14:schemeClr w14:val="tx1"/>
            </w14:solidFill>
          </w14:textFill>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br w:type="page"/>
      </w:r>
    </w:p>
    <w:p>
      <w:pPr>
        <w:snapToGrid w:val="0"/>
        <w:spacing w:line="360" w:lineRule="auto"/>
        <w:ind w:firstLine="482"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C、</w:t>
      </w:r>
      <w:r>
        <w:rPr>
          <w:rFonts w:hint="eastAsia" w:ascii="仿宋_GB2312" w:hAnsi="仿宋" w:eastAsia="仿宋_GB2312" w:cs="仿宋_GB2312"/>
          <w:color w:val="000000" w:themeColor="text1"/>
          <w:sz w:val="24"/>
          <w:highlight w:val="none"/>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分包意向协议</w:t>
      </w:r>
    </w:p>
    <w:p>
      <w:pPr>
        <w:widowControl/>
        <w:snapToGrid w:val="0"/>
        <w:spacing w:line="360" w:lineRule="auto"/>
        <w:ind w:firstLine="42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440" w:lineRule="exact"/>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440" w:lineRule="exact"/>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440" w:lineRule="exact"/>
        <w:ind w:left="5758" w:leftChars="342" w:hanging="5040" w:hanging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440" w:lineRule="exact"/>
        <w:ind w:left="5746" w:leftChars="2736"/>
        <w:rPr>
          <w:rFonts w:ascii="仿宋_GB2312" w:hAnsi="仿宋" w:eastAsia="仿宋_GB2312" w:cs="仿宋_GB2312"/>
          <w:color w:val="000000" w:themeColor="text1"/>
          <w:kern w:val="0"/>
          <w:sz w:val="24"/>
          <w:highlight w:val="none"/>
          <w:lang w:val="zh-CN"/>
          <w14:textFill>
            <w14:solidFill>
              <w14:schemeClr w14:val="tx1"/>
            </w14:solidFill>
          </w14:textFill>
        </w:rPr>
      </w:pPr>
    </w:p>
    <w:p>
      <w:pPr>
        <w:snapToGrid w:val="0"/>
        <w:spacing w:line="440" w:lineRule="exact"/>
        <w:ind w:left="5746" w:leftChars="273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（根据招标公告本项目的特定资格要求</w:t>
      </w:r>
      <w:r>
        <w:rPr>
          <w:rFonts w:hint="eastAsia" w:ascii="仿宋_GB2312" w:hAnsi="仿宋" w:eastAsia="仿宋_GB2312"/>
          <w:color w:val="000000" w:themeColor="text1"/>
          <w:sz w:val="24"/>
          <w:highlight w:val="none"/>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spacing w:line="360" w:lineRule="auto"/>
        <w:ind w:right="420"/>
        <w:jc w:val="cente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highlight w:val="none"/>
          <w14:textFill>
            <w14:solidFill>
              <w14:schemeClr w14:val="tx1"/>
            </w14:solidFill>
          </w14:textFill>
        </w:rPr>
      </w:pPr>
      <w:r>
        <w:rPr>
          <w:rFonts w:hint="eastAsia" w:ascii="仿宋_GB2312" w:hAnsi="仿宋" w:eastAsia="仿宋_GB2312" w:cs="仿宋_GB2312"/>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1）投标函</w:t>
      </w:r>
      <w:r>
        <w:rPr>
          <w:rFonts w:hint="eastAsia" w:cs="仿宋_GB2312"/>
          <w:color w:val="000000" w:themeColor="text1"/>
          <w:highlight w:val="none"/>
          <w14:textFill>
            <w14:solidFill>
              <w14:schemeClr w14:val="tx1"/>
            </w14:solidFill>
          </w14:textFill>
        </w:rPr>
        <w:t>…………………………………………………………………………………（页码）</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2）授权委托书或法定代表人（单位负责人、自然人本人）身份证明</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3）联合协议</w:t>
      </w:r>
      <w:r>
        <w:rPr>
          <w:rFonts w:hint="eastAsia" w:cs="仿宋_GB2312"/>
          <w:color w:val="000000" w:themeColor="text1"/>
          <w:highlight w:val="none"/>
          <w14:textFill>
            <w14:solidFill>
              <w14:schemeClr w14:val="tx1"/>
            </w14:solidFill>
          </w14:textFill>
        </w:rPr>
        <w:t>………………………………………………………………………………（页码）</w:t>
      </w:r>
    </w:p>
    <w:p>
      <w:pPr>
        <w:snapToGrid w:val="0"/>
        <w:spacing w:line="360" w:lineRule="auto"/>
        <w:ind w:firstLine="480" w:firstLineChars="200"/>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4）分包意向协议</w:t>
      </w:r>
      <w:r>
        <w:rPr>
          <w:rFonts w:hint="eastAsia" w:cs="仿宋_GB2312"/>
          <w:color w:val="000000" w:themeColor="text1"/>
          <w:highlight w:val="none"/>
          <w14:textFill>
            <w14:solidFill>
              <w14:schemeClr w14:val="tx1"/>
            </w14:solidFill>
          </w14:textFill>
        </w:rPr>
        <w:t>…………………………………………………………………………（页码）</w:t>
      </w:r>
    </w:p>
    <w:p>
      <w:pPr>
        <w:snapToGrid w:val="0"/>
        <w:spacing w:line="360" w:lineRule="auto"/>
        <w:ind w:firstLine="480" w:firstLineChars="200"/>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5）符合性审查资料</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6）评标标准相应的商务技术资料</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7）商务技术偏离表</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r>
        <w:rPr>
          <w:rFonts w:hint="eastAsia" w:cs="仿宋_GB2312"/>
          <w:color w:val="000000" w:themeColor="text1"/>
          <w:highlight w:val="none"/>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lang w:val="zh-CN"/>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9</w:t>
      </w:r>
      <w:r>
        <w:rPr>
          <w:rFonts w:hint="eastAsia" w:ascii="仿宋_GB2312" w:hAnsi="仿宋" w:eastAsia="仿宋_GB2312" w:cs="仿宋_GB2312"/>
          <w:color w:val="000000" w:themeColor="text1"/>
          <w:sz w:val="24"/>
          <w:highlight w:val="none"/>
          <w:lang w:val="zh-CN"/>
          <w14:textFill>
            <w14:solidFill>
              <w14:schemeClr w14:val="tx1"/>
            </w14:solidFill>
          </w14:textFill>
        </w:rPr>
        <w:t>）中标服务费支付承诺书</w:t>
      </w:r>
      <w:r>
        <w:rPr>
          <w:rFonts w:hint="eastAsia" w:cs="仿宋_GB2312"/>
          <w:color w:val="000000" w:themeColor="text1"/>
          <w:highlight w:val="none"/>
          <w14:textFill>
            <w14:solidFill>
              <w14:schemeClr w14:val="tx1"/>
            </w14:solidFill>
          </w14:textFill>
        </w:rPr>
        <w:t>…………………        ………………………………（页码）</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一、投标</w:t>
      </w:r>
      <w:r>
        <w:rPr>
          <w:rFonts w:hint="eastAsia" w:ascii="仿宋_GB2312" w:hAnsi="仿宋" w:eastAsia="仿宋_GB2312" w:cs="仿宋_GB2312"/>
          <w:b/>
          <w:color w:val="000000" w:themeColor="text1"/>
          <w:sz w:val="32"/>
          <w:szCs w:val="32"/>
          <w:highlight w:val="none"/>
          <w14:textFill>
            <w14:solidFill>
              <w14:schemeClr w14:val="tx1"/>
            </w14:solidFill>
          </w14:textFill>
        </w:rPr>
        <w:t>函</w:t>
      </w:r>
    </w:p>
    <w:p>
      <w:pPr>
        <w:snapToGrid w:val="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我方参加你方组织的</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】招标的有关活动，并对此项目进行投标。为此：</w:t>
      </w:r>
    </w:p>
    <w:p>
      <w:pPr>
        <w:snapToGrid w:val="0"/>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1、我方承诺投标有效期从提交投标文件的截止之日起</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天（不少于</w:t>
      </w:r>
      <w:r>
        <w:rPr>
          <w:rFonts w:ascii="仿宋_GB2312" w:hAnsi="仿宋" w:eastAsia="仿宋_GB2312" w:cs="仿宋_GB2312"/>
          <w:color w:val="000000" w:themeColor="text1"/>
          <w:sz w:val="24"/>
          <w:highlight w:val="none"/>
          <w14:textFill>
            <w14:solidFill>
              <w14:schemeClr w14:val="tx1"/>
            </w14:solidFill>
          </w14:textFill>
        </w:rPr>
        <w:t>90天）</w:t>
      </w:r>
      <w:r>
        <w:rPr>
          <w:rFonts w:hint="eastAsia"/>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本投标文件在投标有效期满之前均具有约束力。</w:t>
      </w:r>
    </w:p>
    <w:p>
      <w:pPr>
        <w:snapToGrid w:val="0"/>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2、我方的投标文件包括以下内容：</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2.1资格文件：</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2.1.1</w:t>
      </w:r>
      <w:r>
        <w:rPr>
          <w:rFonts w:hint="eastAsia" w:ascii="仿宋_GB2312" w:hAnsi="仿宋" w:eastAsia="仿宋_GB2312" w:cs="仿宋_GB2312"/>
          <w:color w:val="000000" w:themeColor="text1"/>
          <w:sz w:val="24"/>
          <w:highlight w:val="none"/>
          <w14:textFill>
            <w14:solidFill>
              <w14:schemeClr w14:val="tx1"/>
            </w14:solidFill>
          </w14:textFill>
        </w:rPr>
        <w:t>承诺函；</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ind w:left="210" w:leftChars="1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2.2.2授权委托书或法定代表人（单位负责人）身份证明；</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2.2.3联合协议</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本项目不适用</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2.2.4分包意向协议</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本项目不适用</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2.2.5符合性审查资料；</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2.2.6评标标准相应的商务技术资料；</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2.2.7商务技术偏离表；</w:t>
      </w:r>
    </w:p>
    <w:p>
      <w:pPr>
        <w:snapToGrid w:val="0"/>
        <w:ind w:left="420" w:leftChars="2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pStyle w:val="81"/>
        <w:rPr>
          <w:color w:val="000000" w:themeColor="text1"/>
          <w:highlight w:val="none"/>
          <w14:textFill>
            <w14:solidFill>
              <w14:schemeClr w14:val="tx1"/>
            </w14:solidFill>
          </w14:textFill>
        </w:rPr>
      </w:pPr>
      <w:r>
        <w:rPr>
          <w:rFonts w:hint="eastAsia" w:hAnsi="仿宋"/>
          <w:color w:val="000000" w:themeColor="text1"/>
          <w:highlight w:val="none"/>
          <w14:textFill>
            <w14:solidFill>
              <w14:schemeClr w14:val="tx1"/>
            </w14:solidFill>
          </w14:textFill>
        </w:rPr>
        <w:t xml:space="preserve">       </w:t>
      </w:r>
      <w:r>
        <w:rPr>
          <w:rFonts w:hint="eastAsia" w:hAnsi="仿宋"/>
          <w:color w:val="000000" w:themeColor="text1"/>
          <w:highlight w:val="none"/>
          <w14:textFill>
            <w14:solidFill>
              <w14:schemeClr w14:val="tx1"/>
            </w14:solidFill>
          </w14:textFill>
        </w:rPr>
        <w:t>2.2.9中标服务费支付承诺书。</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3报价文件</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2.3.1开标一览表（报价表）；</w:t>
      </w:r>
    </w:p>
    <w:p>
      <w:pPr>
        <w:snapToGrid w:val="0"/>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w:t>
      </w:r>
      <w:r>
        <w:rPr>
          <w:rFonts w:hint="eastAsia" w:ascii="仿宋_GB2312" w:hAnsi="仿宋" w:eastAsia="仿宋_GB2312" w:cs="仿宋_GB2312"/>
          <w:color w:val="000000" w:themeColor="text1"/>
          <w:sz w:val="24"/>
          <w:highlight w:val="none"/>
          <w14:textFill>
            <w14:solidFill>
              <w14:schemeClr w14:val="tx1"/>
            </w14:solidFill>
          </w14:textFill>
        </w:rPr>
        <w:t>投标报价明细表。</w:t>
      </w:r>
    </w:p>
    <w:p>
      <w:pPr>
        <w:snapToGrid w:val="0"/>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3、我方承诺除商务技术偏离表列出的偏离外，我方响应招标文件的全部要求。</w:t>
      </w:r>
    </w:p>
    <w:p>
      <w:pPr>
        <w:snapToGrid w:val="0"/>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4、如我方中标，我方承诺：</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4.2在签订合同时不向你方提出附加条件； </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4.3按照招标文件要求提交履约保证金； </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4.4在合同约定的期限内完成合同规定的全部义务。 </w:t>
      </w:r>
    </w:p>
    <w:p>
      <w:pPr>
        <w:snapToGrid w:val="0"/>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5、其他补充说明</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ind w:firstLine="3600" w:firstLineChars="1500"/>
        <w:rPr>
          <w:rFonts w:ascii="仿宋_GB2312" w:hAnsi="仿宋" w:eastAsia="仿宋_GB2312" w:cs="仿宋_GB2312"/>
          <w:color w:val="000000" w:themeColor="text1"/>
          <w:sz w:val="24"/>
          <w:highlight w:val="none"/>
          <w14:textFill>
            <w14:solidFill>
              <w14:schemeClr w14:val="tx1"/>
            </w14:solidFill>
          </w14:textFill>
        </w:rPr>
      </w:pPr>
    </w:p>
    <w:p>
      <w:pPr>
        <w:snapToGrid w:val="0"/>
        <w:ind w:firstLine="3600" w:firstLineChars="15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投标人名称（电子签名）：</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jc w:val="center"/>
        <w:rPr>
          <w:rFonts w:ascii="仿宋_GB2312" w:hAnsi="仿宋" w:eastAsia="仿宋_GB2312" w:cs="仿宋_GB2312"/>
          <w:color w:val="000000" w:themeColor="text1"/>
          <w:kern w:val="0"/>
          <w:sz w:val="24"/>
          <w:highlight w:val="none"/>
          <w:u w:val="singl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jc w:val="center"/>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autoSpaceDE w:val="0"/>
        <w:autoSpaceDN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9"/>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正面：</w:t>
            </w:r>
            <w:r>
              <w:rPr>
                <w:rFonts w:ascii="仿宋_GB2312" w:hAnsi="仿宋" w:eastAsia="仿宋_GB2312"/>
                <w:bCs/>
                <w:color w:val="000000" w:themeColor="text1"/>
                <w:sz w:val="24"/>
                <w:highlight w:val="none"/>
                <w14:textFill>
                  <w14:solidFill>
                    <w14:schemeClr w14:val="tx1"/>
                  </w14:solidFill>
                </w14:textFill>
              </w:rPr>
              <w:t xml:space="preserve">                                 </w:t>
            </w:r>
            <w:r>
              <w:rPr>
                <w:rFonts w:hint="eastAsia" w:ascii="仿宋_GB2312" w:hAnsi="仿宋" w:eastAsia="仿宋_GB2312"/>
                <w:bCs/>
                <w:color w:val="000000" w:themeColor="text1"/>
                <w:sz w:val="24"/>
                <w:highlight w:val="none"/>
                <w14:textFill>
                  <w14:solidFill>
                    <w14:schemeClr w14:val="tx1"/>
                  </w14:solidFill>
                </w14:textFill>
              </w:rPr>
              <w:t>反面：</w:t>
            </w:r>
          </w:p>
          <w:p>
            <w:pPr>
              <w:pStyle w:val="149"/>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14:textFill>
            <w14:solidFill>
              <w14:schemeClr w14:val="tx1"/>
            </w14:solidFill>
          </w14:textFill>
        </w:rPr>
        <w:t>提供的全部货物由小微企业制造，其合同份额占到合同总金额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，对联合体报价给予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采购代理机构</w:t>
      </w:r>
      <w:r>
        <w:rPr>
          <w:rFonts w:ascii="仿宋_GB2312" w:hAnsi="仿宋" w:eastAsia="仿宋_GB2312" w:cs="仿宋_GB2312"/>
          <w:color w:val="000000" w:themeColor="text1"/>
          <w:kern w:val="0"/>
          <w:sz w:val="24"/>
          <w:highlight w:val="none"/>
          <w:lang w:val="zh-CN"/>
          <w14:textFill>
            <w14:solidFill>
              <w14:schemeClr w14:val="tx1"/>
            </w14:solidFill>
          </w14:textFill>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_GB2312" w:hAnsi="仿宋" w:eastAsia="仿宋_GB2312" w:cs="仿宋_GB2312"/>
          <w:color w:val="000000" w:themeColor="text1"/>
          <w:kern w:val="0"/>
          <w:sz w:val="24"/>
          <w:highlight w:val="none"/>
          <w14:textFill>
            <w14:solidFill>
              <w14:schemeClr w14:val="tx1"/>
            </w14:solidFill>
          </w14:textFill>
        </w:rPr>
        <w:t>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的，对大中型企业的报价给予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bl>
      <w:tblPr>
        <w:tblStyle w:val="63"/>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4245"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需要提供的符合性审查资料</w:t>
            </w:r>
          </w:p>
        </w:tc>
        <w:tc>
          <w:tcPr>
            <w:tcW w:w="1672"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w:t>
            </w:r>
          </w:p>
        </w:tc>
        <w:tc>
          <w:tcPr>
            <w:tcW w:w="4245" w:type="dxa"/>
            <w:vAlign w:val="center"/>
          </w:tcPr>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投标文件按照招标文件要求签署、盖章。</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需要使用电子签名或者签字盖章的投标文件的组成部分</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napToGrid w:val="0"/>
              <w:spacing w:line="400" w:lineRule="exact"/>
              <w:rPr>
                <w:color w:val="000000" w:themeColor="text1"/>
                <w:highlight w:val="none"/>
                <w14:textFill>
                  <w14:solidFill>
                    <w14:schemeClr w14:val="tx1"/>
                  </w14:solidFill>
                </w14:textFill>
              </w:rPr>
            </w:pPr>
            <w:r>
              <w:rPr>
                <w:rFonts w:hint="eastAsia" w:ascii="仿宋" w:eastAsia="仿宋" w:cs="仿宋_GB2312"/>
                <w:color w:val="000000" w:themeColor="text1"/>
                <w:sz w:val="24"/>
                <w:highlight w:val="none"/>
                <w14:textFill>
                  <w14:solidFill>
                    <w14:schemeClr w14:val="tx1"/>
                  </w14:solidFill>
                </w14:textFill>
              </w:rPr>
              <w:t>第</w:t>
            </w:r>
            <w:r>
              <w:rPr>
                <w:rFonts w:ascii="仿宋" w:eastAsia="仿宋" w:cs="仿宋_GB2312"/>
                <w:color w:val="000000" w:themeColor="text1"/>
                <w:sz w:val="24"/>
                <w:highlight w:val="none"/>
                <w:u w:val="single"/>
                <w14:textFill>
                  <w14:solidFill>
                    <w14:schemeClr w14:val="tx1"/>
                  </w14:solidFill>
                </w14:textFill>
              </w:rPr>
              <w:t xml:space="preserve">  </w:t>
            </w:r>
            <w:r>
              <w:rPr>
                <w:rFonts w:hint="eastAsia" w:asci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w:t>
            </w:r>
          </w:p>
        </w:tc>
        <w:tc>
          <w:tcPr>
            <w:tcW w:w="4245" w:type="dxa"/>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节能产品认证证书（本项目</w:t>
            </w:r>
            <w:r>
              <w:rPr>
                <w:rFonts w:hint="eastAsia" w:ascii="仿宋_GB2312" w:hAnsi="仿宋" w:eastAsia="仿宋_GB2312"/>
                <w:color w:val="000000" w:themeColor="text1"/>
                <w:sz w:val="24"/>
                <w:highlight w:val="none"/>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highlight w:val="none"/>
                <w14:textFill>
                  <w14:solidFill>
                    <w14:schemeClr w14:val="tx1"/>
                  </w14:solidFill>
                </w14:textFill>
              </w:rPr>
              <w:t>，无需提供）</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pStyle w:val="4"/>
              <w:keepNext w:val="0"/>
              <w:keepLines w:val="0"/>
              <w:adjustRightInd w:val="0"/>
              <w:snapToGrid w:val="0"/>
              <w:spacing w:line="400" w:lineRule="exact"/>
              <w:jc w:val="both"/>
              <w:rPr>
                <w:color w:val="000000" w:themeColor="text1"/>
                <w:highlight w:val="none"/>
                <w:lang w:val="en-US"/>
                <w14:textFill>
                  <w14:solidFill>
                    <w14:schemeClr w14:val="tx1"/>
                  </w14:solidFill>
                </w14:textFill>
              </w:rPr>
            </w:pPr>
            <w:r>
              <w:rPr>
                <w:rFonts w:hint="eastAsia" w:ascii="仿宋" w:eastAsia="仿宋" w:cs="仿宋_GB2312"/>
                <w:b w:val="0"/>
                <w:bCs w:val="0"/>
                <w:color w:val="000000" w:themeColor="text1"/>
                <w:sz w:val="24"/>
                <w:szCs w:val="24"/>
                <w:highlight w:val="none"/>
                <w:lang w:val="en-US"/>
                <w14:textFill>
                  <w14:solidFill>
                    <w14:schemeClr w14:val="tx1"/>
                  </w14:solidFill>
                </w14:textFill>
              </w:rPr>
              <w:t>第</w:t>
            </w:r>
            <w:r>
              <w:rPr>
                <w:rFonts w:ascii="仿宋" w:eastAsia="仿宋" w:cs="仿宋_GB2312"/>
                <w:b w:val="0"/>
                <w:bCs w:val="0"/>
                <w:color w:val="000000" w:themeColor="text1"/>
                <w:sz w:val="24"/>
                <w:szCs w:val="24"/>
                <w:highlight w:val="none"/>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3</w:t>
            </w:r>
          </w:p>
        </w:tc>
        <w:tc>
          <w:tcPr>
            <w:tcW w:w="4245" w:type="dxa"/>
            <w:vAlign w:val="center"/>
          </w:tcPr>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投标函</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napToGrid w:val="0"/>
              <w:spacing w:line="400" w:lineRule="exact"/>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4</w:t>
            </w:r>
          </w:p>
        </w:tc>
        <w:tc>
          <w:tcPr>
            <w:tcW w:w="4245" w:type="dxa"/>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投标文件满足招标文件的其它实质性要求。</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招标文件其它实质性要求相应的材料（“▲”</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14:textFill>
                  <w14:solidFill>
                    <w14:schemeClr w14:val="tx1"/>
                  </w14:solidFill>
                </w14:textFill>
              </w:rPr>
              <w:t>系指实质性要求条款，招标文件无其它实质性要求的，无需提供）</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napToGrid w:val="0"/>
              <w:spacing w:line="400" w:lineRule="exact"/>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bl>
    <w:p>
      <w:pP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jc w:val="center"/>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七、商务技术偏离表</w:t>
      </w:r>
    </w:p>
    <w:p>
      <w:pPr>
        <w:jc w:val="center"/>
        <w:rPr>
          <w:rFonts w:ascii="仿宋_GB2312" w:hAnsi="仿宋" w:eastAsia="仿宋_GB2312"/>
          <w:b/>
          <w:bCs/>
          <w:color w:val="000000" w:themeColor="text1"/>
          <w:sz w:val="24"/>
          <w:highlight w:val="none"/>
          <w14:textFill>
            <w14:solidFill>
              <w14:schemeClr w14:val="tx1"/>
            </w14:solidFill>
          </w14:textFill>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序号</w:t>
            </w:r>
          </w:p>
        </w:tc>
        <w:tc>
          <w:tcPr>
            <w:tcW w:w="3683"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招标文件章节及具体内容</w:t>
            </w:r>
          </w:p>
        </w:tc>
        <w:tc>
          <w:tcPr>
            <w:tcW w:w="3546"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投标文件章节及具体内容</w:t>
            </w:r>
          </w:p>
        </w:tc>
        <w:tc>
          <w:tcPr>
            <w:tcW w:w="1276"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1</w:t>
            </w:r>
          </w:p>
        </w:tc>
        <w:tc>
          <w:tcPr>
            <w:tcW w:w="3683"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2</w:t>
            </w:r>
          </w:p>
        </w:tc>
        <w:tc>
          <w:tcPr>
            <w:tcW w:w="3683"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w:t>
            </w:r>
          </w:p>
        </w:tc>
        <w:tc>
          <w:tcPr>
            <w:tcW w:w="3683"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bl>
    <w:p>
      <w:pPr>
        <w:jc w:val="left"/>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ind w:firstLine="1911" w:firstLineChars="595"/>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八、</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我单位响应你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二、不为项目有关人员及部门报销应由你方单位或个人支付的费用；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三、不向项目有关人员及部门提供有可能影响公正的宴请和健身娱乐等活动；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六、严格遵守《</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政府采购法》《</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法》</w:t>
      </w:r>
      <w:r>
        <w:rPr>
          <w:rFonts w:hint="eastAsia" w:ascii="仿宋_GB2312" w:hAnsi="楷体" w:eastAsia="仿宋_GB2312"/>
          <w:color w:val="000000" w:themeColor="text1"/>
          <w:sz w:val="24"/>
          <w:highlight w:val="none"/>
          <w:lang w:val="zh-CN"/>
          <w14:textFill>
            <w14:solidFill>
              <w14:schemeClr w14:val="tx1"/>
            </w14:solidFill>
          </w14:textFill>
        </w:rPr>
        <w:t>《中华人民共和国民法典》</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等法律法规，诚实守信，合法经营，坚决抵制各种违法违纪行为。</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如违反上述承诺，你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spacing w:line="360" w:lineRule="auto"/>
        <w:ind w:left="4620" w:leftChars="2200"/>
        <w:rPr>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ind w:firstLine="1911" w:firstLineChars="595"/>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九、中标服务费支付承诺书</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浙江国际招投标有限公司</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本单位在此承诺：如在本项目中标，中标之日起5个工作日之内，向贵公司按采购文件约定支付中标服务费。</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right="112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spacing w:line="360" w:lineRule="auto"/>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浙江国际招投标有限公司</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中标服务费收取账号</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收款单位（户名）：浙江国际招投标有限公司</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开户银行：中国工商银行杭州武林支行</w:t>
      </w:r>
    </w:p>
    <w:p>
      <w:pPr>
        <w:autoSpaceDE w:val="0"/>
        <w:autoSpaceDN w:val="0"/>
        <w:spacing w:line="360" w:lineRule="auto"/>
        <w:ind w:firstLine="480" w:firstLineChars="200"/>
        <w:jc w:val="left"/>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银行账号：1202021209906782015</w:t>
      </w: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1）开标一览表（报价表）……</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hint="eastAsia" w:ascii="仿宋_GB2312" w:hAnsi="仿宋" w:eastAsia="仿宋_GB2312" w:cs="仿宋_GB2312"/>
          <w:color w:val="000000" w:themeColor="text1"/>
          <w:sz w:val="24"/>
          <w:highlight w:val="none"/>
          <w14:textFill>
            <w14:solidFill>
              <w14:schemeClr w14:val="tx1"/>
            </w14:solidFill>
          </w14:textFill>
        </w:rPr>
        <w:t>投标报价明细表…………………………                  ……………（页码）</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0" w:num="1"/>
          <w:titlePg/>
          <w:docGrid w:linePitch="312" w:charSpace="0"/>
        </w:sect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482"/>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】的实施</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pacing w:line="360" w:lineRule="auto"/>
        <w:jc w:val="center"/>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开标一览表（报价表）</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34"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序号</w:t>
            </w:r>
          </w:p>
        </w:tc>
        <w:tc>
          <w:tcPr>
            <w:tcW w:w="1417"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名称</w:t>
            </w:r>
          </w:p>
        </w:tc>
        <w:tc>
          <w:tcPr>
            <w:tcW w:w="1843"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品牌（如果有）</w:t>
            </w:r>
          </w:p>
        </w:tc>
        <w:tc>
          <w:tcPr>
            <w:tcW w:w="3118"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规格型号（或具体服务）</w:t>
            </w:r>
          </w:p>
        </w:tc>
        <w:tc>
          <w:tcPr>
            <w:tcW w:w="993"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数量</w:t>
            </w:r>
          </w:p>
        </w:tc>
        <w:tc>
          <w:tcPr>
            <w:tcW w:w="1559"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单价</w:t>
            </w:r>
          </w:p>
        </w:tc>
        <w:tc>
          <w:tcPr>
            <w:tcW w:w="1984"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总价</w:t>
            </w:r>
          </w:p>
        </w:tc>
        <w:tc>
          <w:tcPr>
            <w:tcW w:w="3119" w:type="dxa"/>
            <w:vAlign w:val="center"/>
          </w:tcPr>
          <w:p>
            <w:pPr>
              <w:snapToGrid w:val="0"/>
              <w:spacing w:line="400" w:lineRule="exact"/>
              <w:jc w:val="center"/>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投标报价（小写）</w:t>
            </w:r>
          </w:p>
        </w:tc>
        <w:tc>
          <w:tcPr>
            <w:tcW w:w="7655" w:type="dxa"/>
            <w:gridSpan w:val="4"/>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投标报价（大写）</w:t>
            </w:r>
          </w:p>
        </w:tc>
        <w:tc>
          <w:tcPr>
            <w:tcW w:w="7655" w:type="dxa"/>
            <w:gridSpan w:val="4"/>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注：</w:t>
      </w:r>
    </w:p>
    <w:p>
      <w:pPr>
        <w:snapToGrid w:val="0"/>
        <w:spacing w:line="360" w:lineRule="auto"/>
        <w:ind w:left="-2" w:leftChars="-1"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1、投标人需按本表格式填写，不得自行更改。</w:t>
      </w:r>
    </w:p>
    <w:p>
      <w:pPr>
        <w:snapToGrid w:val="0"/>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不得出现“</w:t>
      </w:r>
      <w:r>
        <w:rPr>
          <w:rFonts w:ascii="仿宋_GB2312" w:hAnsi="仿宋" w:eastAsia="仿宋_GB2312" w:cs="仿宋_GB2312"/>
          <w:b/>
          <w:color w:val="000000" w:themeColor="text1"/>
          <w:kern w:val="0"/>
          <w:sz w:val="24"/>
          <w:highlight w:val="none"/>
          <w:lang w:val="zh-CN"/>
          <w14:textFill>
            <w14:solidFill>
              <w14:schemeClr w14:val="tx1"/>
            </w14:solidFill>
          </w14:textFill>
        </w:rPr>
        <w:t>0元”“免费赠送”等形式的无偿报价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14:textFill>
            <w14:solidFill>
              <w14:schemeClr w14:val="tx1"/>
            </w14:solidFill>
          </w14:textFill>
        </w:rPr>
        <w:t>否则视为</w:t>
      </w: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3、以上表格要求细分项目及报价，服务类项目填写具体服务。</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4、特别提示：</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采购代理机构</w:t>
      </w:r>
      <w:r>
        <w:rPr>
          <w:rFonts w:ascii="仿宋_GB2312" w:hAnsi="仿宋" w:eastAsia="仿宋_GB2312" w:cs="仿宋_GB2312"/>
          <w:color w:val="000000" w:themeColor="text1"/>
          <w:kern w:val="0"/>
          <w:sz w:val="24"/>
          <w:highlight w:val="none"/>
          <w:lang w:val="zh-CN"/>
          <w14:textFill>
            <w14:solidFill>
              <w14:schemeClr w14:val="tx1"/>
            </w14:solidFill>
          </w14:textFill>
        </w:rPr>
        <w:t>将对</w:t>
      </w:r>
      <w:r>
        <w:rPr>
          <w:rFonts w:ascii="仿宋_GB2312" w:hAnsi="仿宋" w:eastAsia="仿宋_GB2312" w:cs="仿宋_GB2312"/>
          <w:color w:val="000000" w:themeColor="text1"/>
          <w:kern w:val="0"/>
          <w:sz w:val="24"/>
          <w:highlight w:val="none"/>
          <w:lang w:val="zh-CN"/>
          <w14:textFill>
            <w14:solidFill>
              <w14:schemeClr w14:val="tx1"/>
            </w14:solidFill>
          </w14:textFill>
        </w:rPr>
        <w:t>项目名称</w:t>
      </w:r>
      <w:r>
        <w:rPr>
          <w:rFonts w:ascii="仿宋_GB2312" w:hAnsi="仿宋" w:eastAsia="仿宋_GB2312" w:cs="仿宋_GB2312"/>
          <w:color w:val="000000" w:themeColor="text1"/>
          <w:kern w:val="0"/>
          <w:sz w:val="24"/>
          <w:highlight w:val="none"/>
          <w:lang w:val="zh-CN"/>
          <w14:textFill>
            <w14:solidFill>
              <w14:schemeClr w14:val="tx1"/>
            </w14:solidFill>
          </w14:textFill>
        </w:rPr>
        <w:t>和项目编号，中标供应商名称、地址和中标金额，主要中标标的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szCs w:val="22"/>
          <w:highlight w:val="none"/>
          <w:lang w:val="zh-CN"/>
          <w14:textFill>
            <w14:solidFill>
              <w14:schemeClr w14:val="tx1"/>
            </w14:solidFill>
          </w14:textFill>
        </w:rPr>
        <w:t>5、</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w:t>
      </w:r>
      <w:r>
        <w:rPr>
          <w:rFonts w:ascii="仿宋_GB2312" w:hAnsi="仿宋" w:eastAsia="仿宋_GB2312" w:cs="仿宋_GB2312"/>
          <w:color w:val="000000" w:themeColor="text1"/>
          <w:kern w:val="0"/>
          <w:sz w:val="24"/>
          <w:highlight w:val="none"/>
          <w:lang w:val="zh-CN"/>
          <w14:textFill>
            <w14:solidFill>
              <w14:schemeClr w14:val="tx1"/>
            </w14:solidFill>
          </w14:textFill>
        </w:rPr>
        <w:t>提供</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的中小企业</w:t>
      </w:r>
      <w:r>
        <w:rPr>
          <w:rFonts w:ascii="仿宋_GB2312" w:hAnsi="仿宋" w:eastAsia="仿宋_GB2312" w:cs="仿宋_GB2312"/>
          <w:color w:val="000000" w:themeColor="text1"/>
          <w:kern w:val="0"/>
          <w:sz w:val="24"/>
          <w:highlight w:val="none"/>
          <w:lang w:val="zh-CN"/>
          <w14:textFill>
            <w14:solidFill>
              <w14:schemeClr w14:val="tx1"/>
            </w14:solidFill>
          </w14:textFill>
        </w:rPr>
        <w:t>声明函内容不实的，属于提供虚假材料谋取中标、成交，依照《中华人民共和国政府采购法》等国家有关规定追究相应责任。</w:t>
      </w:r>
    </w:p>
    <w:p>
      <w:pPr>
        <w:pStyle w:val="81"/>
        <w:rPr>
          <w:color w:val="000000" w:themeColor="text1"/>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25"/>
        <w:spacing w:line="600" w:lineRule="exact"/>
        <w:ind w:firstLine="0" w:firstLineChars="0"/>
        <w:jc w:val="center"/>
        <w:rPr>
          <w:rFonts w:cs="宋体"/>
          <w:b/>
          <w:bCs/>
          <w:snapToGrid w:val="0"/>
          <w:color w:val="000000" w:themeColor="text1"/>
          <w:kern w:val="0"/>
          <w:sz w:val="28"/>
          <w:szCs w:val="28"/>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二、</w:t>
      </w:r>
      <w:r>
        <w:rPr>
          <w:rFonts w:hint="eastAsia" w:cs="宋体"/>
          <w:b/>
          <w:bCs/>
          <w:snapToGrid w:val="0"/>
          <w:color w:val="000000" w:themeColor="text1"/>
          <w:kern w:val="0"/>
          <w:sz w:val="28"/>
          <w:szCs w:val="28"/>
          <w:highlight w:val="none"/>
          <w14:textFill>
            <w14:solidFill>
              <w14:schemeClr w14:val="tx1"/>
            </w14:solidFill>
          </w14:textFill>
        </w:rPr>
        <w:t>投标报价明细表</w:t>
      </w:r>
    </w:p>
    <w:p>
      <w:pPr>
        <w:spacing w:line="360" w:lineRule="auto"/>
        <w:jc w:val="left"/>
        <w:rPr>
          <w:rFonts w:ascii="宋体" w:hAnsi="宋体" w:cs="宋体"/>
          <w:color w:val="000000" w:themeColor="text1"/>
          <w:szCs w:val="21"/>
          <w:highlight w:val="none"/>
          <w14:textFill>
            <w14:solidFill>
              <w14:schemeClr w14:val="tx1"/>
            </w14:solidFill>
          </w14:textFill>
        </w:rPr>
      </w:pPr>
    </w:p>
    <w:p>
      <w:p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项目名称：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采购编号： </w:t>
      </w:r>
      <w:r>
        <w:rPr>
          <w:rFonts w:hint="eastAsia" w:ascii="宋体" w:hAnsi="宋体" w:cs="宋体"/>
          <w:color w:val="000000" w:themeColor="text1"/>
          <w:szCs w:val="21"/>
          <w:highlight w:val="none"/>
          <w:u w:val="single"/>
          <w14:textFill>
            <w14:solidFill>
              <w14:schemeClr w14:val="tx1"/>
            </w14:solidFill>
          </w14:textFill>
        </w:rPr>
        <w:t xml:space="preserve">                   </w:t>
      </w:r>
    </w:p>
    <w:p>
      <w:pPr>
        <w:jc w:val="righ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元人民币</w:t>
      </w:r>
    </w:p>
    <w:p>
      <w:pPr>
        <w:spacing w:line="360" w:lineRule="auto"/>
        <w:rPr>
          <w:rFonts w:ascii="宋体" w:hAnsi="宋体" w:cs="宋体"/>
          <w:color w:val="000000" w:themeColor="text1"/>
          <w:highlight w:val="none"/>
          <w14:textFill>
            <w14:solidFill>
              <w14:schemeClr w14:val="tx1"/>
            </w14:solidFill>
          </w14:textFill>
        </w:rPr>
      </w:pPr>
    </w:p>
    <w:tbl>
      <w:tblPr>
        <w:tblStyle w:val="63"/>
        <w:tblW w:w="108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927"/>
        <w:gridCol w:w="1058"/>
        <w:gridCol w:w="1142"/>
        <w:gridCol w:w="750"/>
        <w:gridCol w:w="888"/>
        <w:gridCol w:w="712"/>
        <w:gridCol w:w="1613"/>
        <w:gridCol w:w="912"/>
        <w:gridCol w:w="638"/>
        <w:gridCol w:w="7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岗位</w:t>
            </w:r>
          </w:p>
        </w:tc>
        <w:tc>
          <w:tcPr>
            <w:tcW w:w="709"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部门</w:t>
            </w:r>
          </w:p>
        </w:tc>
        <w:tc>
          <w:tcPr>
            <w:tcW w:w="927"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各岗位人数</w:t>
            </w:r>
          </w:p>
        </w:tc>
        <w:tc>
          <w:tcPr>
            <w:tcW w:w="105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月工资元/月</w:t>
            </w:r>
          </w:p>
        </w:tc>
        <w:tc>
          <w:tcPr>
            <w:tcW w:w="114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年工资元/年</w:t>
            </w:r>
          </w:p>
        </w:tc>
        <w:tc>
          <w:tcPr>
            <w:tcW w:w="750"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年福利/人</w:t>
            </w:r>
          </w:p>
        </w:tc>
        <w:tc>
          <w:tcPr>
            <w:tcW w:w="88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社保费元/月</w:t>
            </w:r>
          </w:p>
        </w:tc>
        <w:tc>
          <w:tcPr>
            <w:tcW w:w="71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高温费/人</w:t>
            </w:r>
          </w:p>
        </w:tc>
        <w:tc>
          <w:tcPr>
            <w:tcW w:w="1613"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节假日加班费/人（3倍工资）</w:t>
            </w:r>
          </w:p>
        </w:tc>
        <w:tc>
          <w:tcPr>
            <w:tcW w:w="912"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年终绩效/人</w:t>
            </w:r>
          </w:p>
        </w:tc>
        <w:tc>
          <w:tcPr>
            <w:tcW w:w="63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年/人</w:t>
            </w:r>
          </w:p>
        </w:tc>
        <w:tc>
          <w:tcPr>
            <w:tcW w:w="758" w:type="dxa"/>
            <w:vMerge w:val="restart"/>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09"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927"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0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14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50"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8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1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613"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91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63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758" w:type="dxa"/>
            <w:vMerge w:val="continue"/>
            <w:tcBorders>
              <w:tl2br w:val="nil"/>
              <w:tr2bl w:val="nil"/>
            </w:tcBorders>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项目经理</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厨师班长</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切配兼服务员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切配</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烧面师傅</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保洁员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洗碗工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洗菜切配</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配餐员主管</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配餐员拉单</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高级配餐员1</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初级配餐员2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蒸煮工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面点班长</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面点师</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洗大盘</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营养食堂</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机动替班1</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机动替班2</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机动替班3</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服务员（钟点工）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体检中心</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厨师（钟点工）</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职工小炒</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46</w:t>
            </w: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09"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27"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0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14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0"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88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1613"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912"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63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c>
          <w:tcPr>
            <w:tcW w:w="758" w:type="dxa"/>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人员费用合计</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住宿费用</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管理费</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税金</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其他费用</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345" w:type="dxa"/>
            <w:gridSpan w:val="3"/>
            <w:tcBorders>
              <w:tl2br w:val="nil"/>
              <w:tr2bl w:val="nil"/>
            </w:tcBorders>
            <w:shd w:val="clear" w:color="auto" w:fill="auto"/>
            <w:noWrap/>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投标总价</w:t>
            </w:r>
          </w:p>
        </w:tc>
        <w:tc>
          <w:tcPr>
            <w:tcW w:w="8471" w:type="dxa"/>
            <w:gridSpan w:val="9"/>
            <w:tcBorders>
              <w:tl2br w:val="nil"/>
              <w:tr2bl w:val="nil"/>
            </w:tcBorders>
            <w:shd w:val="clear" w:color="auto" w:fill="auto"/>
            <w:noWrap/>
            <w:vAlign w:val="center"/>
          </w:tcPr>
          <w:p>
            <w:pPr>
              <w:rPr>
                <w:color w:val="000000" w:themeColor="text1"/>
                <w:highlight w:val="none"/>
                <w14:textFill>
                  <w14:solidFill>
                    <w14:schemeClr w14:val="tx1"/>
                  </w14:solidFill>
                </w14:textFill>
              </w:rPr>
            </w:pPr>
          </w:p>
        </w:tc>
      </w:tr>
    </w:tbl>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 投标人根据实际情况可在表中报价明细的基础上进行扩展。</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2.上表所述“投标报价”应与“开标一览表”中的投标报价一致，如有矛盾，以“开标一览表”中的为准。</w:t>
      </w: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autoSpaceDE w:val="0"/>
        <w:autoSpaceDN w:val="0"/>
        <w:spacing w:line="360" w:lineRule="auto"/>
        <w:ind w:right="112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pStyle w:val="33"/>
        <w:spacing w:line="420" w:lineRule="exact"/>
        <w:rPr>
          <w:rFonts w:hAnsi="宋体" w:cs="宋体"/>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br w:type="page"/>
      </w:r>
    </w:p>
    <w:p>
      <w:pPr>
        <w:tabs>
          <w:tab w:val="left" w:pos="8085"/>
        </w:tabs>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ascii="仿宋" w:hAnsi="仿宋" w:eastAsia="仿宋" w:cs="仿宋_GB2312"/>
          <w:color w:val="000000" w:themeColor="text1"/>
          <w:kern w:val="0"/>
          <w:sz w:val="24"/>
          <w:highlight w:val="none"/>
          <w:lang w:val="zh-CN"/>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000000" w:themeColor="text1"/>
          <w:kern w:val="0"/>
          <w:sz w:val="24"/>
          <w:highlight w:val="none"/>
          <w:lang w:val="zh-CN"/>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一、适用对象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（一）线上融资模式：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（二）线下融资模式：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color w:val="000000" w:themeColor="text1"/>
          <w:sz w:val="24"/>
          <w:szCs w:val="24"/>
          <w:highlight w:val="none"/>
          <w:lang w:val="en-US"/>
          <w14:textFill>
            <w14:solidFill>
              <w14:schemeClr w14:val="tx1"/>
            </w14:solidFill>
          </w14:textFill>
        </w:rPr>
      </w:pPr>
      <w:r>
        <w:rPr>
          <w:rFonts w:hint="eastAsia" w:ascii="仿宋" w:eastAsia="仿宋"/>
          <w:b w:val="0"/>
          <w:bCs w:val="0"/>
          <w:color w:val="000000" w:themeColor="text1"/>
          <w:sz w:val="24"/>
          <w:szCs w:val="24"/>
          <w:highlight w:val="none"/>
          <w:lang w:val="en-US"/>
          <w14:textFill>
            <w14:solidFill>
              <w14:schemeClr w14:val="tx1"/>
            </w14:solidFill>
          </w14:textFill>
        </w:rPr>
        <w:t>（三）杭州e融平台申请融资</w:t>
      </w:r>
    </w:p>
    <w:p>
      <w:pPr>
        <w:pStyle w:val="4"/>
        <w:numPr>
          <w:ilvl w:val="255"/>
          <w:numId w:val="0"/>
        </w:numPr>
        <w:ind w:firstLine="960" w:firstLineChars="400"/>
        <w:rPr>
          <w:rFonts w:ascii="仿宋" w:eastAsia="仿宋"/>
          <w:b w:val="0"/>
          <w:bCs w:val="0"/>
          <w:color w:val="000000" w:themeColor="text1"/>
          <w:sz w:val="24"/>
          <w:szCs w:val="24"/>
          <w:highlight w:val="none"/>
          <w:lang w:val="en-US"/>
          <w14:textFill>
            <w14:solidFill>
              <w14:schemeClr w14:val="tx1"/>
            </w14:solidFill>
          </w14:textFill>
        </w:rPr>
      </w:pPr>
      <w:r>
        <w:rPr>
          <w:rFonts w:hint="eastAsia" w:ascii="仿宋" w:eastAsia="仿宋"/>
          <w:b w:val="0"/>
          <w:bCs w:val="0"/>
          <w:color w:val="000000" w:themeColor="text1"/>
          <w:sz w:val="24"/>
          <w:szCs w:val="24"/>
          <w:highlight w:val="none"/>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四、注意事项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360" w:lineRule="auto"/>
        <w:ind w:left="5060" w:hanging="5060" w:hangingChars="2100"/>
        <w:jc w:val="center"/>
        <w:rPr>
          <w:rFonts w:ascii="仿宋_GB2312" w:hAnsi="仿宋" w:eastAsia="仿宋_GB2312" w:cs="仿宋_GB2312"/>
          <w:b/>
          <w:bCs/>
          <w:color w:val="000000" w:themeColor="text1"/>
          <w:kern w:val="0"/>
          <w:sz w:val="24"/>
          <w:highlight w:val="none"/>
          <w14:textFill>
            <w14:solidFill>
              <w14:schemeClr w14:val="tx1"/>
            </w14:solidFill>
          </w14:textFill>
        </w:rPr>
      </w:pPr>
    </w:p>
    <w:p>
      <w:pPr>
        <w:pStyle w:val="3"/>
        <w:keepNext w:val="0"/>
        <w:keepLines w:val="0"/>
        <w:pageBreakBefore/>
        <w:widowControl/>
        <w:spacing w:before="100" w:beforeAutospacing="1" w:after="100" w:afterAutospacing="1" w:line="360" w:lineRule="auto"/>
        <w:jc w:val="center"/>
        <w:rPr>
          <w:rFonts w:ascii="仿宋_GB2312" w:hAnsi="仿宋" w:eastAsia="仿宋_GB2312"/>
          <w:color w:val="000000" w:themeColor="text1"/>
          <w:highlight w:val="none"/>
          <w14:textFill>
            <w14:solidFill>
              <w14:schemeClr w14:val="tx1"/>
            </w14:solidFill>
          </w14:textFill>
        </w:rPr>
      </w:pPr>
      <w:bookmarkStart w:id="394" w:name="_Toc465665161"/>
      <w:r>
        <w:rPr>
          <w:rFonts w:hint="eastAsia" w:ascii="仿宋_GB2312" w:hAnsi="仿宋" w:eastAsia="仿宋_GB2312"/>
          <w:color w:val="000000" w:themeColor="text1"/>
          <w:highlight w:val="none"/>
          <w14:textFill>
            <w14:solidFill>
              <w14:schemeClr w14:val="tx1"/>
            </w14:solidFill>
          </w14:textFill>
        </w:rPr>
        <w:t>附件</w:t>
      </w:r>
      <w:bookmarkEnd w:id="394"/>
    </w:p>
    <w:p>
      <w:pPr>
        <w:spacing w:line="360" w:lineRule="auto"/>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1：</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bookmarkStart w:id="395" w:name="OLE_LINK14"/>
      <w:bookmarkStart w:id="396" w:name="OLE_LINK13"/>
      <w:r>
        <w:rPr>
          <w:rFonts w:hint="eastAsia" w:ascii="仿宋_GB2312" w:hAnsi="仿宋" w:eastAsia="仿宋_GB2312"/>
          <w:b/>
          <w:color w:val="000000" w:themeColor="text1"/>
          <w:spacing w:val="6"/>
          <w:sz w:val="32"/>
          <w:szCs w:val="32"/>
          <w:highlight w:val="none"/>
          <w14:textFill>
            <w14:solidFill>
              <w14:schemeClr w14:val="tx1"/>
            </w14:solidFill>
          </w14:textFill>
        </w:rPr>
        <w:t>残疾人福利性单位声明函</w:t>
      </w:r>
    </w:p>
    <w:bookmarkEnd w:id="395"/>
    <w:bookmarkEnd w:id="396"/>
    <w:p>
      <w:pPr>
        <w:spacing w:line="360" w:lineRule="auto"/>
        <w:rPr>
          <w:rFonts w:ascii="仿宋_GB2312" w:hAnsi="仿宋" w:eastAsia="仿宋_GB2312"/>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本单位郑重声明，根据《财政部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民政部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中国残疾人联合会关于促进残疾人就业政府采购政策的通知》（财库〔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r>
        <w:rPr>
          <w:rFonts w:hint="eastAsia" w:ascii="仿宋_GB2312" w:hAnsi="仿宋" w:eastAsia="仿宋_GB2312" w:cs="仿宋_GB2312"/>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  期：</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br w:type="page"/>
      </w: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质疑供应商：</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联系人：</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授权代表：</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ascii="仿宋_GB2312" w:hAnsi="仿宋" w:eastAsia="仿宋_GB2312" w:cs="仿宋"/>
          <w:color w:val="000000" w:themeColor="text1"/>
          <w:sz w:val="24"/>
          <w:highlight w:val="none"/>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14:textFill>
            <w14:solidFill>
              <w14:schemeClr w14:val="tx1"/>
            </w14:solidFill>
          </w14:textFill>
        </w:rPr>
        <w:t xml:space="preserve"> </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质疑项目的编号：</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包号：</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采购人名称：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采购文件获取日期：</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1：</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事实依据：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法律依据：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2</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请求：</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2.质疑供应商若委托代理人进行质疑的，</w:t>
      </w:r>
      <w:r>
        <w:rPr>
          <w:rFonts w:hint="eastAsia" w:ascii="仿宋_GB2312" w:hAnsi="仿宋" w:eastAsia="仿宋_GB2312"/>
          <w:color w:val="000000" w:themeColor="text1"/>
          <w:sz w:val="24"/>
          <w:highlight w:val="none"/>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6.质疑供应商为自然人的，</w:t>
      </w:r>
      <w:r>
        <w:rPr>
          <w:rFonts w:hint="eastAsia" w:ascii="仿宋_GB2312" w:hAnsi="仿宋" w:eastAsia="仿宋_GB2312"/>
          <w:color w:val="000000" w:themeColor="text1"/>
          <w:sz w:val="24"/>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000000" w:themeColor="text1"/>
          <w:sz w:val="30"/>
          <w:szCs w:val="30"/>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投诉书范本</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一、投诉相关主体基本情况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法定代表人</w:t>
      </w:r>
      <w:r>
        <w:rPr>
          <w:rFonts w:ascii="仿宋_GB2312" w:hAnsi="仿宋" w:eastAsia="仿宋_GB2312"/>
          <w:color w:val="000000" w:themeColor="text1"/>
          <w:sz w:val="24"/>
          <w:highlight w:val="none"/>
          <w14:textFill>
            <w14:solidFill>
              <w14:schemeClr w14:val="tx1"/>
            </w14:solidFill>
          </w14:textFill>
        </w:rPr>
        <w:t>/主要负责人：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授权代表：</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dotted"/>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1：</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相关供应商：</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二、投诉项目基本情况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w:t>
      </w:r>
      <w:r>
        <w:rPr>
          <w:rFonts w:ascii="仿宋_GB2312" w:hAnsi="仿宋" w:eastAsia="仿宋_GB2312" w:cs="仿宋_GB2312"/>
          <w:color w:val="000000" w:themeColor="text1"/>
          <w:kern w:val="0"/>
          <w:sz w:val="24"/>
          <w:highlight w:val="none"/>
          <w:lang w:val="zh-CN"/>
          <w14:textFill>
            <w14:solidFill>
              <w14:schemeClr w14:val="tx1"/>
            </w14:solidFill>
          </w14:textFill>
        </w:rPr>
        <w:t>项目名称</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采购项目编号：</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包号：</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采购人名称：</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代理机构名称：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采购文件公告：</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采购结果公告：</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,向</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提出质疑，质疑事项为：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u w:val="dotted"/>
          <w14:textFill>
            <w14:solidFill>
              <w14:schemeClr w14:val="tx1"/>
            </w14:solidFill>
          </w14:textFill>
        </w:rPr>
        <w:t>采购人</w:t>
      </w:r>
      <w:r>
        <w:rPr>
          <w:rFonts w:ascii="仿宋_GB2312" w:hAnsi="仿宋" w:eastAsia="仿宋_GB2312"/>
          <w:color w:val="000000" w:themeColor="text1"/>
          <w:sz w:val="24"/>
          <w:highlight w:val="none"/>
          <w:u w:val="dotted"/>
          <w14:textFill>
            <w14:solidFill>
              <w14:schemeClr w14:val="tx1"/>
            </w14:solidFill>
          </w14:textFill>
        </w:rPr>
        <w:t>/代理机构</w:t>
      </w:r>
      <w:r>
        <w:rPr>
          <w:rFonts w:hint="eastAsia" w:ascii="仿宋_GB2312" w:hAnsi="仿宋" w:eastAsia="仿宋_GB2312"/>
          <w:color w:val="000000" w:themeColor="text1"/>
          <w:sz w:val="24"/>
          <w:highlight w:val="none"/>
          <w14:textFill>
            <w14:solidFill>
              <w14:schemeClr w14:val="tx1"/>
            </w14:solidFill>
          </w14:textFill>
        </w:rPr>
        <w:t>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,就质疑事项</w:t>
      </w:r>
      <w:r>
        <w:rPr>
          <w:rFonts w:hint="eastAsia" w:ascii="仿宋_GB2312" w:hAnsi="仿宋" w:eastAsia="仿宋_GB2312"/>
          <w:color w:val="000000" w:themeColor="text1"/>
          <w:sz w:val="24"/>
          <w:highlight w:val="none"/>
          <w14:textFill>
            <w14:solidFill>
              <w14:schemeClr w14:val="tx1"/>
            </w14:solidFill>
          </w14:textFill>
        </w:rPr>
        <w:t>作出了答复</w:t>
      </w:r>
      <w:r>
        <w:rPr>
          <w:rFonts w:ascii="仿宋_GB2312" w:hAnsi="仿宋" w:eastAsia="仿宋_GB2312"/>
          <w:color w:val="000000" w:themeColor="text1"/>
          <w:sz w:val="24"/>
          <w:highlight w:val="none"/>
          <w14:textFill>
            <w14:solidFill>
              <w14:schemeClr w14:val="tx1"/>
            </w14:solidFill>
          </w14:textFill>
        </w:rPr>
        <w:t>/没有在法定期限内</w:t>
      </w:r>
      <w:r>
        <w:rPr>
          <w:rFonts w:hint="eastAsia" w:ascii="仿宋_GB2312" w:hAnsi="仿宋" w:eastAsia="仿宋_GB2312"/>
          <w:color w:val="000000" w:themeColor="text1"/>
          <w:sz w:val="24"/>
          <w:highlight w:val="none"/>
          <w14:textFill>
            <w14:solidFill>
              <w14:schemeClr w14:val="tx1"/>
            </w14:solidFill>
          </w14:textFill>
        </w:rPr>
        <w:t>作出答复。</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四、投诉事项具体内容</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 xml:space="preserve"> 1：</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事实依据：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法律依据：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请求：</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4：</w:t>
      </w:r>
      <w:r>
        <w:rPr>
          <w:rFonts w:hint="eastAsia" w:ascii="仿宋" w:hAnsi="仿宋" w:eastAsia="仿宋"/>
          <w:b/>
          <w:bCs/>
          <w:color w:val="000000" w:themeColor="text1"/>
          <w:sz w:val="32"/>
          <w:szCs w:val="32"/>
          <w:highlight w:val="none"/>
          <w14:textFill>
            <w14:solidFill>
              <w14:schemeClr w14:val="tx1"/>
            </w14:solidFill>
          </w14:textFill>
        </w:rPr>
        <w:t>业务专用章使用说明函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我方</w:t>
      </w:r>
      <w:r>
        <w:rPr>
          <w:rFonts w:ascii="仿宋" w:hAnsi="仿宋" w:eastAsia="仿宋" w:cs="仿宋_GB2312"/>
          <w:color w:val="000000" w:themeColor="text1"/>
          <w:kern w:val="0"/>
          <w:sz w:val="24"/>
          <w:highlight w:val="none"/>
          <w:u w:val="single"/>
          <w:lang w:val="zh-CN"/>
          <w14:textFill>
            <w14:solidFill>
              <w14:schemeClr w14:val="tx1"/>
            </w14:solidFill>
          </w14:textFill>
        </w:rPr>
        <w:t xml:space="preserve">                         </w:t>
      </w:r>
      <w:r>
        <w:rPr>
          <w:rFonts w:ascii="仿宋" w:hAnsi="仿宋" w:eastAsia="仿宋" w:cs="仿宋_GB2312"/>
          <w:color w:val="000000" w:themeColor="text1"/>
          <w:sz w:val="24"/>
          <w:highlight w:val="none"/>
          <w14:textFill>
            <w14:solidFill>
              <w14:schemeClr w14:val="tx1"/>
            </w14:solidFill>
          </w14:textFill>
        </w:rPr>
        <w:t>(投标人全称)</w:t>
      </w:r>
      <w:r>
        <w:rPr>
          <w:rFonts w:hint="eastAsia" w:ascii="仿宋" w:hAnsi="仿宋" w:eastAsia="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宋体"/>
          <w:bCs/>
          <w:color w:val="000000" w:themeColor="text1"/>
          <w:sz w:val="24"/>
          <w:highlight w:val="none"/>
          <w14:textFill>
            <w14:solidFill>
              <w14:schemeClr w14:val="tx1"/>
            </w14:solidFill>
          </w14:textFill>
        </w:rPr>
        <w:t>在参加</w:t>
      </w:r>
      <w:r>
        <w:rPr>
          <w:rFonts w:hint="eastAsia" w:ascii="仿宋" w:hAnsi="仿宋" w:eastAsia="仿宋" w:cs="仿宋_GB2312"/>
          <w:color w:val="000000" w:themeColor="text1"/>
          <w:sz w:val="24"/>
          <w:highlight w:val="none"/>
          <w14:textFill>
            <w14:solidFill>
              <w14:schemeClr w14:val="tx1"/>
            </w14:solidFill>
          </w14:textFill>
        </w:rPr>
        <w:t>你方组织的</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sz w:val="24"/>
          <w:highlight w:val="none"/>
          <w14:textFill>
            <w14:solidFill>
              <w14:schemeClr w14:val="tx1"/>
            </w14:solidFill>
          </w14:textFill>
        </w:rPr>
        <w:t>项目</w:t>
      </w:r>
      <w:r>
        <w:rPr>
          <w:rFonts w:hint="eastAsia" w:ascii="仿宋" w:hAnsi="仿宋" w:eastAsia="仿宋" w:cs="仿宋_GB2312"/>
          <w:color w:val="000000" w:themeColor="text1"/>
          <w:sz w:val="24"/>
          <w:highlight w:val="none"/>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ascii="仿宋" w:hAnsi="仿宋" w:eastAsia="仿宋" w:cs="仿宋_GB2312"/>
          <w:color w:val="000000" w:themeColor="text1"/>
          <w:sz w:val="24"/>
          <w:highlight w:val="none"/>
          <w14:textFill>
            <w14:solidFill>
              <w14:schemeClr w14:val="tx1"/>
            </w14:solidFill>
          </w14:textFill>
        </w:rPr>
        <w:t>】</w:t>
      </w:r>
      <w:r>
        <w:rPr>
          <w:rFonts w:hint="eastAsia" w:ascii="仿宋" w:hAnsi="仿宋" w:eastAsia="仿宋" w:cs="宋体"/>
          <w:bCs/>
          <w:color w:val="000000" w:themeColor="text1"/>
          <w:sz w:val="24"/>
          <w:highlight w:val="none"/>
          <w14:textFill>
            <w14:solidFill>
              <w14:schemeClr w14:val="tx1"/>
            </w14:solidFill>
          </w14:textFill>
        </w:rPr>
        <w:t>投标活动中作如下说明：</w:t>
      </w:r>
      <w:r>
        <w:rPr>
          <w:rFonts w:hint="eastAsia" w:ascii="仿宋" w:hAnsi="仿宋" w:eastAsia="仿宋" w:cs="宋体"/>
          <w:color w:val="000000" w:themeColor="text1"/>
          <w:sz w:val="24"/>
          <w:highlight w:val="none"/>
          <w14:textFill>
            <w14:solidFill>
              <w14:schemeClr w14:val="tx1"/>
            </w14:solidFill>
          </w14:textFill>
        </w:rPr>
        <w:t>我方所使用的“</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专用章”与法定名称章具有同等的法律效力，对使用“</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专用章”的行为予以完全承认，并愿意承担相应责任。</w:t>
      </w:r>
      <w:r>
        <w:rPr>
          <w:rFonts w:ascii="仿宋" w:hAnsi="仿宋" w:eastAsia="仿宋"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特此说明。</w:t>
      </w: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highlight w:val="none"/>
          <w14:textFill>
            <w14:solidFill>
              <w14:schemeClr w14:val="tx1"/>
            </w14:solidFill>
          </w14:textFill>
        </w:rPr>
      </w:pPr>
      <w:r>
        <w:rPr>
          <w:rFonts w:ascii="仿宋" w:hAnsi="仿宋" w:eastAsia="仿宋" w:cs="宋体"/>
          <w:color w:val="000000" w:themeColor="text1"/>
          <w:sz w:val="24"/>
          <w:highlight w:val="none"/>
          <w14:textFill>
            <w14:solidFill>
              <w14:schemeClr w14:val="tx1"/>
            </w14:solidFill>
          </w14:textFill>
        </w:rPr>
        <w:t xml:space="preserve">                              日期：       年     月     日</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b/>
          <w:bCs/>
          <w:color w:val="000000" w:themeColor="text1"/>
          <w:sz w:val="24"/>
          <w:highlight w:val="none"/>
          <w14:textFill>
            <w14:solidFill>
              <w14:schemeClr w14:val="tx1"/>
            </w14:solidFill>
          </w14:textFill>
        </w:rPr>
        <w:t>附：</w:t>
      </w:r>
    </w:p>
    <w:p>
      <w:pPr>
        <w:spacing w:line="360" w:lineRule="auto"/>
        <w:rPr>
          <w:rFonts w:ascii="仿宋" w:hAnsi="仿宋" w:eastAsia="仿宋"/>
          <w:bCs/>
          <w:color w:val="000000" w:themeColor="text1"/>
          <w:sz w:val="24"/>
          <w:highlight w:val="none"/>
          <w14:textFill>
            <w14:solidFill>
              <w14:schemeClr w14:val="tx1"/>
            </w14:solidFill>
          </w14:textFill>
        </w:rPr>
      </w:pP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highlight w:val="none"/>
          <w14:textFill>
            <w14:solidFill>
              <w14:schemeClr w14:val="tx1"/>
            </w14:solidFill>
          </w14:textFill>
        </w:rPr>
        <w:t>投标单位法定名称章（印模）</w:t>
      </w:r>
      <w:r>
        <w:rPr>
          <w:rFonts w:ascii="仿宋" w:hAnsi="仿宋" w:eastAsia="仿宋" w:cs="宋体"/>
          <w:color w:val="000000" w:themeColor="text1"/>
          <w:sz w:val="24"/>
          <w:highlight w:val="none"/>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投标单位“</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rPr>
          <w:rFonts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br w:type="page"/>
      </w: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5</w:t>
      </w:r>
      <w:r>
        <w:rPr>
          <w:rFonts w:hint="eastAsia" w:ascii="仿宋" w:hAnsi="仿宋" w:eastAsia="仿宋"/>
          <w:b/>
          <w:color w:val="000000" w:themeColor="text1"/>
          <w:spacing w:val="6"/>
          <w:sz w:val="32"/>
          <w:szCs w:val="32"/>
          <w:highlight w:val="none"/>
          <w14:textFill>
            <w14:solidFill>
              <w14:schemeClr w14:val="tx1"/>
            </w14:solidFill>
          </w14:textFill>
        </w:rPr>
        <w:t>：</w:t>
      </w:r>
      <w:r>
        <w:rPr>
          <w:rFonts w:hint="eastAsia" w:ascii="仿宋_GB2312" w:hAnsi="宋体" w:eastAsia="仿宋_GB2312"/>
          <w:b/>
          <w:color w:val="000000" w:themeColor="text1"/>
          <w:sz w:val="32"/>
          <w:szCs w:val="32"/>
          <w:highlight w:val="none"/>
          <w14:textFill>
            <w14:solidFill>
              <w14:schemeClr w14:val="tx1"/>
            </w14:solidFill>
          </w14:textFill>
        </w:rPr>
        <w:t>中小企业声明函</w:t>
      </w:r>
    </w:p>
    <w:p>
      <w:pP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中小企业声明函</w:t>
      </w:r>
      <w:r>
        <w:rPr>
          <w:rFonts w:hint="eastAsia" w:ascii="仿宋_GB2312" w:hAnsi="宋体" w:eastAsia="仿宋_GB2312"/>
          <w:b/>
          <w:color w:val="000000" w:themeColor="text1"/>
          <w:sz w:val="32"/>
          <w:szCs w:val="32"/>
          <w:highlight w:val="none"/>
          <w14:textFill>
            <w14:solidFill>
              <w14:schemeClr w14:val="tx1"/>
            </w14:solidFill>
          </w14:textFill>
        </w:rPr>
        <w:t>（服务）</w:t>
      </w:r>
    </w:p>
    <w:p>
      <w:pPr>
        <w:spacing w:line="360" w:lineRule="auto"/>
        <w:rPr>
          <w:rFonts w:ascii="仿宋_GB2312" w:hAnsi="仿宋" w:eastAsia="仿宋_GB2312"/>
          <w:color w:val="000000" w:themeColor="text1"/>
          <w:highlight w:val="none"/>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highlight w:val="none"/>
          <w14:textFill>
            <w14:solidFill>
              <w14:schemeClr w14:val="tx1"/>
            </w14:solidFill>
          </w14:textFill>
        </w:rPr>
        <w:t xml:space="preserve">2020﹞46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（单位名称）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（项目名称）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w:t>
      </w:r>
      <w:r>
        <w:rPr>
          <w:rFonts w:hint="eastAsia" w:ascii="仿宋_GB2312" w:hAnsi="宋体" w:eastAsia="仿宋_GB2312"/>
          <w:color w:val="000000" w:themeColor="text1"/>
          <w:sz w:val="24"/>
          <w:highlight w:val="none"/>
          <w14:textFill>
            <w14:solidFill>
              <w14:schemeClr w14:val="tx1"/>
            </w14:solidFill>
          </w14:textFill>
        </w:rPr>
        <w:t>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日</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highlight w:val="none"/>
          <w14:textFill>
            <w14:solidFill>
              <w14:schemeClr w14:val="tx1"/>
            </w14:solidFill>
          </w14:textFill>
        </w:rPr>
      </w:pPr>
    </w:p>
    <w:p>
      <w:pPr>
        <w:spacing w:line="360" w:lineRule="auto"/>
        <w:ind w:firstLine="310" w:firstLineChars="147"/>
        <w:jc w:val="left"/>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right="420"/>
        <w:rPr>
          <w:rFonts w:ascii="仿宋" w:hAnsi="仿宋" w:eastAsia="仿宋"/>
          <w:bCs/>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bookmarkEnd w:id="401"/>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bookmarkStart w:id="397" w:name="_Toc131845147"/>
    <w:bookmarkStart w:id="398" w:name="_Toc36110187"/>
    <w:bookmarkStart w:id="399" w:name="_Toc164085800"/>
    <w:bookmarkStart w:id="400" w:name="_Toc91899912"/>
    <w:r>
      <w:rPr>
        <w:rFonts w:hint="eastAsia" w:ascii="仿宋_GB2312" w:eastAsia="仿宋_GB2312"/>
        <w:kern w:val="0"/>
        <w:szCs w:val="21"/>
      </w:rPr>
      <w:t xml:space="preserve"> 页</w:t>
    </w:r>
    <w:bookmarkEnd w:id="397"/>
    <w:bookmarkEnd w:id="398"/>
    <w:bookmarkEnd w:id="399"/>
    <w:bookmarkEnd w:id="40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1">
    <w:nsid w:val="CDB3996B"/>
    <w:multiLevelType w:val="singleLevel"/>
    <w:tmpl w:val="CDB3996B"/>
    <w:lvl w:ilvl="0" w:tentative="0">
      <w:start w:val="1"/>
      <w:numFmt w:val="decimal"/>
      <w:suff w:val="nothing"/>
      <w:lvlText w:val="%1、"/>
      <w:lvlJc w:val="left"/>
      <w:pPr>
        <w:ind w:left="420" w:firstLine="0"/>
      </w:pPr>
    </w:lvl>
  </w:abstractNum>
  <w:abstractNum w:abstractNumId="2">
    <w:nsid w:val="D9EC99C5"/>
    <w:multiLevelType w:val="singleLevel"/>
    <w:tmpl w:val="D9EC99C5"/>
    <w:lvl w:ilvl="0" w:tentative="0">
      <w:start w:val="1"/>
      <w:numFmt w:val="decimal"/>
      <w:lvlText w:val="(%1)"/>
      <w:lvlJc w:val="left"/>
      <w:pPr>
        <w:ind w:left="425" w:hanging="425"/>
      </w:pPr>
      <w:rPr>
        <w:rFonts w:hint="default"/>
      </w:rPr>
    </w:lvl>
  </w:abstractNum>
  <w:abstractNum w:abstractNumId="3">
    <w:nsid w:val="061E69AF"/>
    <w:multiLevelType w:val="singleLevel"/>
    <w:tmpl w:val="061E69AF"/>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663"/>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5DCC"/>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0CF"/>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17267"/>
    <w:rsid w:val="026B2E25"/>
    <w:rsid w:val="02824D4D"/>
    <w:rsid w:val="02DC4B10"/>
    <w:rsid w:val="02DD76CE"/>
    <w:rsid w:val="02F36323"/>
    <w:rsid w:val="02F5619C"/>
    <w:rsid w:val="0326446A"/>
    <w:rsid w:val="032D5555"/>
    <w:rsid w:val="036634D2"/>
    <w:rsid w:val="03916B0E"/>
    <w:rsid w:val="03DD35E4"/>
    <w:rsid w:val="04076900"/>
    <w:rsid w:val="041A5A3B"/>
    <w:rsid w:val="042311BA"/>
    <w:rsid w:val="042B157A"/>
    <w:rsid w:val="046C21F9"/>
    <w:rsid w:val="04735C68"/>
    <w:rsid w:val="048F763B"/>
    <w:rsid w:val="049F330E"/>
    <w:rsid w:val="04AA775C"/>
    <w:rsid w:val="04AF1889"/>
    <w:rsid w:val="04B57C1E"/>
    <w:rsid w:val="04F66F48"/>
    <w:rsid w:val="05251E14"/>
    <w:rsid w:val="05A16594"/>
    <w:rsid w:val="05A7762D"/>
    <w:rsid w:val="060E5941"/>
    <w:rsid w:val="06110FAF"/>
    <w:rsid w:val="06493CA7"/>
    <w:rsid w:val="065A6178"/>
    <w:rsid w:val="066F1CF3"/>
    <w:rsid w:val="06930BB8"/>
    <w:rsid w:val="07245D42"/>
    <w:rsid w:val="07264C62"/>
    <w:rsid w:val="0779354C"/>
    <w:rsid w:val="07F551B0"/>
    <w:rsid w:val="08061376"/>
    <w:rsid w:val="08452D77"/>
    <w:rsid w:val="086401F8"/>
    <w:rsid w:val="08751CAA"/>
    <w:rsid w:val="087E4C40"/>
    <w:rsid w:val="08D66AD6"/>
    <w:rsid w:val="08DA33A3"/>
    <w:rsid w:val="08E80F13"/>
    <w:rsid w:val="092E1A8D"/>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A0458"/>
    <w:rsid w:val="0B30404E"/>
    <w:rsid w:val="0B4C6C14"/>
    <w:rsid w:val="0B5F1DB6"/>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7C32"/>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C239B"/>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B6173D"/>
    <w:rsid w:val="16A8729C"/>
    <w:rsid w:val="16B33777"/>
    <w:rsid w:val="16BC70A7"/>
    <w:rsid w:val="16C6339E"/>
    <w:rsid w:val="172F2D79"/>
    <w:rsid w:val="17557BEF"/>
    <w:rsid w:val="17D349C1"/>
    <w:rsid w:val="18286B86"/>
    <w:rsid w:val="1830729E"/>
    <w:rsid w:val="18593322"/>
    <w:rsid w:val="186F38C1"/>
    <w:rsid w:val="1870062C"/>
    <w:rsid w:val="18817102"/>
    <w:rsid w:val="18830A15"/>
    <w:rsid w:val="18852B28"/>
    <w:rsid w:val="188B5321"/>
    <w:rsid w:val="18A97012"/>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C31E3"/>
    <w:rsid w:val="253C6CD6"/>
    <w:rsid w:val="258B00E2"/>
    <w:rsid w:val="25A917A6"/>
    <w:rsid w:val="25BE27CC"/>
    <w:rsid w:val="25F74A5C"/>
    <w:rsid w:val="2628662C"/>
    <w:rsid w:val="262D45DE"/>
    <w:rsid w:val="269A2A99"/>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941D4"/>
    <w:rsid w:val="29345E77"/>
    <w:rsid w:val="294C65AD"/>
    <w:rsid w:val="29806583"/>
    <w:rsid w:val="298B3C4C"/>
    <w:rsid w:val="29F26D24"/>
    <w:rsid w:val="29FF1279"/>
    <w:rsid w:val="2A15033F"/>
    <w:rsid w:val="2A1662C1"/>
    <w:rsid w:val="2A1C7367"/>
    <w:rsid w:val="2A2815FA"/>
    <w:rsid w:val="2A4E45E1"/>
    <w:rsid w:val="2A6D6092"/>
    <w:rsid w:val="2A7D76B4"/>
    <w:rsid w:val="2B437463"/>
    <w:rsid w:val="2B7807EE"/>
    <w:rsid w:val="2BBF00EC"/>
    <w:rsid w:val="2BC37CFD"/>
    <w:rsid w:val="2BD5237F"/>
    <w:rsid w:val="2BE536CE"/>
    <w:rsid w:val="2BE758D9"/>
    <w:rsid w:val="2C09049E"/>
    <w:rsid w:val="2C0A653C"/>
    <w:rsid w:val="2C191F85"/>
    <w:rsid w:val="2C7024B7"/>
    <w:rsid w:val="2CE82D6F"/>
    <w:rsid w:val="2D343236"/>
    <w:rsid w:val="2DD15014"/>
    <w:rsid w:val="2DF72DE4"/>
    <w:rsid w:val="2E0220AF"/>
    <w:rsid w:val="2E4B082A"/>
    <w:rsid w:val="2E5D4E86"/>
    <w:rsid w:val="2E5D790B"/>
    <w:rsid w:val="2E9A3C18"/>
    <w:rsid w:val="2EBB0FEE"/>
    <w:rsid w:val="2EC63002"/>
    <w:rsid w:val="2F0A6B38"/>
    <w:rsid w:val="2F1E646B"/>
    <w:rsid w:val="2F946CCB"/>
    <w:rsid w:val="2FCE6F45"/>
    <w:rsid w:val="2FD25781"/>
    <w:rsid w:val="2FFD7934"/>
    <w:rsid w:val="30733ACD"/>
    <w:rsid w:val="308C3862"/>
    <w:rsid w:val="309379D8"/>
    <w:rsid w:val="30A270F7"/>
    <w:rsid w:val="30DF1478"/>
    <w:rsid w:val="30EC586F"/>
    <w:rsid w:val="319C6071"/>
    <w:rsid w:val="31AC537E"/>
    <w:rsid w:val="31E3679B"/>
    <w:rsid w:val="31E732FD"/>
    <w:rsid w:val="32517576"/>
    <w:rsid w:val="32A83FF7"/>
    <w:rsid w:val="32BE5C2C"/>
    <w:rsid w:val="32FB6478"/>
    <w:rsid w:val="33263B3F"/>
    <w:rsid w:val="336963EB"/>
    <w:rsid w:val="33816EEB"/>
    <w:rsid w:val="33EB55CD"/>
    <w:rsid w:val="33EC4C02"/>
    <w:rsid w:val="340D2360"/>
    <w:rsid w:val="3410665D"/>
    <w:rsid w:val="34211214"/>
    <w:rsid w:val="342E63AB"/>
    <w:rsid w:val="343520A9"/>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920DA3"/>
    <w:rsid w:val="37EE7094"/>
    <w:rsid w:val="38296C89"/>
    <w:rsid w:val="383002EB"/>
    <w:rsid w:val="38586797"/>
    <w:rsid w:val="389D59D0"/>
    <w:rsid w:val="38BC0149"/>
    <w:rsid w:val="38D87D1C"/>
    <w:rsid w:val="39636459"/>
    <w:rsid w:val="396B7F6C"/>
    <w:rsid w:val="39B417A9"/>
    <w:rsid w:val="39FC5695"/>
    <w:rsid w:val="3A006D8E"/>
    <w:rsid w:val="3A3651E5"/>
    <w:rsid w:val="3A741703"/>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1F6F"/>
    <w:rsid w:val="3F95482B"/>
    <w:rsid w:val="4019356B"/>
    <w:rsid w:val="40592157"/>
    <w:rsid w:val="406E1CAE"/>
    <w:rsid w:val="40A0133A"/>
    <w:rsid w:val="40C31A53"/>
    <w:rsid w:val="40FF545D"/>
    <w:rsid w:val="410067C8"/>
    <w:rsid w:val="418F0D2A"/>
    <w:rsid w:val="41D01505"/>
    <w:rsid w:val="41E433F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5F0B62"/>
    <w:rsid w:val="449101DD"/>
    <w:rsid w:val="44DE1391"/>
    <w:rsid w:val="451B225C"/>
    <w:rsid w:val="452410C9"/>
    <w:rsid w:val="45317DFB"/>
    <w:rsid w:val="456D3CE4"/>
    <w:rsid w:val="4579042C"/>
    <w:rsid w:val="457F0571"/>
    <w:rsid w:val="45851176"/>
    <w:rsid w:val="45C63B94"/>
    <w:rsid w:val="45FF315A"/>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4B4C51"/>
    <w:rsid w:val="495F5B3E"/>
    <w:rsid w:val="496F77D7"/>
    <w:rsid w:val="497654FD"/>
    <w:rsid w:val="4994413B"/>
    <w:rsid w:val="49B64211"/>
    <w:rsid w:val="49F6167F"/>
    <w:rsid w:val="4A064FA0"/>
    <w:rsid w:val="4A16615C"/>
    <w:rsid w:val="4A4424D7"/>
    <w:rsid w:val="4AB82D0F"/>
    <w:rsid w:val="4AEB7664"/>
    <w:rsid w:val="4AFD7C19"/>
    <w:rsid w:val="4B0567D1"/>
    <w:rsid w:val="4B236AAE"/>
    <w:rsid w:val="4B707271"/>
    <w:rsid w:val="4B9739F7"/>
    <w:rsid w:val="4BC7459F"/>
    <w:rsid w:val="4BEE2503"/>
    <w:rsid w:val="4C245A30"/>
    <w:rsid w:val="4C7909F2"/>
    <w:rsid w:val="4CB6685F"/>
    <w:rsid w:val="4CC367FE"/>
    <w:rsid w:val="4D077F3C"/>
    <w:rsid w:val="4D0B7988"/>
    <w:rsid w:val="4D123355"/>
    <w:rsid w:val="4D2A3B31"/>
    <w:rsid w:val="4D312C52"/>
    <w:rsid w:val="4D905305"/>
    <w:rsid w:val="4D964A72"/>
    <w:rsid w:val="4D9C1254"/>
    <w:rsid w:val="4E793892"/>
    <w:rsid w:val="4E800872"/>
    <w:rsid w:val="4E8A4D09"/>
    <w:rsid w:val="4EC569ED"/>
    <w:rsid w:val="4ED50EA1"/>
    <w:rsid w:val="4EEC050C"/>
    <w:rsid w:val="4F104EC3"/>
    <w:rsid w:val="4F47354A"/>
    <w:rsid w:val="4F911C54"/>
    <w:rsid w:val="4FBC50F5"/>
    <w:rsid w:val="4FE45673"/>
    <w:rsid w:val="4FE625E0"/>
    <w:rsid w:val="5008458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66238A"/>
    <w:rsid w:val="5397158E"/>
    <w:rsid w:val="54013861"/>
    <w:rsid w:val="54487265"/>
    <w:rsid w:val="544D6070"/>
    <w:rsid w:val="54605E1E"/>
    <w:rsid w:val="54B3506A"/>
    <w:rsid w:val="54CA0D16"/>
    <w:rsid w:val="54DD4057"/>
    <w:rsid w:val="54E7490F"/>
    <w:rsid w:val="550764A4"/>
    <w:rsid w:val="550B2BF6"/>
    <w:rsid w:val="55214EB5"/>
    <w:rsid w:val="55364EFD"/>
    <w:rsid w:val="55495C9F"/>
    <w:rsid w:val="55534144"/>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95129"/>
    <w:rsid w:val="57AB7B30"/>
    <w:rsid w:val="57AF5251"/>
    <w:rsid w:val="57B26373"/>
    <w:rsid w:val="57B63F04"/>
    <w:rsid w:val="57CD20C2"/>
    <w:rsid w:val="57D109A3"/>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33106"/>
    <w:rsid w:val="615227C4"/>
    <w:rsid w:val="61654E3F"/>
    <w:rsid w:val="618079C6"/>
    <w:rsid w:val="6182292A"/>
    <w:rsid w:val="619F7F92"/>
    <w:rsid w:val="61F94C26"/>
    <w:rsid w:val="62000E56"/>
    <w:rsid w:val="621C6A35"/>
    <w:rsid w:val="624F3E49"/>
    <w:rsid w:val="62632286"/>
    <w:rsid w:val="62885958"/>
    <w:rsid w:val="62F40B65"/>
    <w:rsid w:val="62FC2CFE"/>
    <w:rsid w:val="63024505"/>
    <w:rsid w:val="6354586C"/>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2F710B"/>
    <w:rsid w:val="66342C2E"/>
    <w:rsid w:val="663E784C"/>
    <w:rsid w:val="668B6A45"/>
    <w:rsid w:val="66997B7D"/>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EB0086"/>
    <w:rsid w:val="690A41D9"/>
    <w:rsid w:val="692A7743"/>
    <w:rsid w:val="693E15D3"/>
    <w:rsid w:val="69627681"/>
    <w:rsid w:val="6977531D"/>
    <w:rsid w:val="69CC2BFF"/>
    <w:rsid w:val="69D624F7"/>
    <w:rsid w:val="69FD55B8"/>
    <w:rsid w:val="6A0B1C62"/>
    <w:rsid w:val="6A2406C8"/>
    <w:rsid w:val="6A460EA6"/>
    <w:rsid w:val="6A550658"/>
    <w:rsid w:val="6A8412C2"/>
    <w:rsid w:val="6A9D0B68"/>
    <w:rsid w:val="6ADE0BD1"/>
    <w:rsid w:val="6AE96859"/>
    <w:rsid w:val="6B147746"/>
    <w:rsid w:val="6B24787C"/>
    <w:rsid w:val="6B573233"/>
    <w:rsid w:val="6B5B6274"/>
    <w:rsid w:val="6B935D53"/>
    <w:rsid w:val="6BD92D56"/>
    <w:rsid w:val="6C196F71"/>
    <w:rsid w:val="6C226FCB"/>
    <w:rsid w:val="6C31226F"/>
    <w:rsid w:val="6C552F0B"/>
    <w:rsid w:val="6C8C67B7"/>
    <w:rsid w:val="6C9D744C"/>
    <w:rsid w:val="6D154EDC"/>
    <w:rsid w:val="6D167928"/>
    <w:rsid w:val="6D26299B"/>
    <w:rsid w:val="6D4772EC"/>
    <w:rsid w:val="6D587403"/>
    <w:rsid w:val="6D9078AF"/>
    <w:rsid w:val="6DAA3FEF"/>
    <w:rsid w:val="6DC0172B"/>
    <w:rsid w:val="6DCB690C"/>
    <w:rsid w:val="6DD41A5B"/>
    <w:rsid w:val="6DF43C2E"/>
    <w:rsid w:val="6DF51CA3"/>
    <w:rsid w:val="6E8335BD"/>
    <w:rsid w:val="6E8E12EF"/>
    <w:rsid w:val="6E972936"/>
    <w:rsid w:val="6ED446C5"/>
    <w:rsid w:val="6F2A7D94"/>
    <w:rsid w:val="6F4D5B4C"/>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B5475"/>
    <w:rsid w:val="777A4D6D"/>
    <w:rsid w:val="777F31F2"/>
    <w:rsid w:val="77D1700D"/>
    <w:rsid w:val="77EC04CC"/>
    <w:rsid w:val="78775729"/>
    <w:rsid w:val="78A42DB0"/>
    <w:rsid w:val="78A656AB"/>
    <w:rsid w:val="78B2245C"/>
    <w:rsid w:val="78E172CC"/>
    <w:rsid w:val="78EA1D1F"/>
    <w:rsid w:val="7904172F"/>
    <w:rsid w:val="790F7E27"/>
    <w:rsid w:val="791A69E7"/>
    <w:rsid w:val="792A231A"/>
    <w:rsid w:val="79316829"/>
    <w:rsid w:val="797E66A9"/>
    <w:rsid w:val="79A97383"/>
    <w:rsid w:val="79D23348"/>
    <w:rsid w:val="79E27E8B"/>
    <w:rsid w:val="79F850CE"/>
    <w:rsid w:val="79FD443C"/>
    <w:rsid w:val="7A1D1975"/>
    <w:rsid w:val="7A2C3ACC"/>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480746"/>
    <w:rsid w:val="7E9A4E1F"/>
    <w:rsid w:val="7EA7723A"/>
    <w:rsid w:val="7EF56FBB"/>
    <w:rsid w:val="7F047F97"/>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Arial" w:hAnsi="Arial" w:eastAsia="宋体" w:cs="Times New Roman"/>
      <w:color w:val="000000"/>
      <w:sz w:val="24"/>
      <w:szCs w:val="24"/>
      <w:lang w:val="en-US" w:eastAsia="zh-CN" w:bidi="ar-SA"/>
    </w:rPr>
  </w:style>
  <w:style w:type="paragraph" w:styleId="6">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2"/>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5"/>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1"/>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8"/>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6"/>
    <w:qFormat/>
    <w:uiPriority w:val="0"/>
    <w:rPr>
      <w:b/>
      <w:bCs/>
    </w:rPr>
  </w:style>
  <w:style w:type="paragraph" w:styleId="61">
    <w:name w:val="Body Text First Indent"/>
    <w:basedOn w:val="24"/>
    <w:link w:val="320"/>
    <w:qFormat/>
    <w:uiPriority w:val="0"/>
    <w:pPr>
      <w:ind w:firstLine="420"/>
    </w:pPr>
    <w:rPr>
      <w:rFonts w:hAnsi="Calibri" w:cs="Times New Roman"/>
      <w:snapToGrid/>
      <w:szCs w:val="20"/>
    </w:rPr>
  </w:style>
  <w:style w:type="paragraph" w:styleId="62">
    <w:name w:val="Body Text First Indent 2"/>
    <w:basedOn w:val="25"/>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uiPriority w:val="0"/>
    <w:rPr>
      <w:rFonts w:ascii="Courier New" w:hAnsi="Courier New"/>
    </w:rPr>
  </w:style>
  <w:style w:type="paragraph" w:customStyle="1" w:styleId="81">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字符"/>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7"/>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9"/>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4"/>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6"/>
    <w:qFormat/>
    <w:uiPriority w:val="0"/>
    <w:rPr>
      <w:rFonts w:ascii="宋体"/>
      <w:kern w:val="2"/>
      <w:sz w:val="24"/>
      <w:szCs w:val="21"/>
      <w:lang w:val="zh-CN"/>
    </w:rPr>
  </w:style>
  <w:style w:type="character" w:customStyle="1" w:styleId="182">
    <w:name w:val="标题 9 字符"/>
    <w:link w:val="12"/>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39"/>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9"/>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30"/>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7"/>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7"/>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81"/>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0"/>
    <w:qFormat/>
    <w:uiPriority w:val="0"/>
    <w:rPr>
      <w:b/>
      <w:bCs/>
      <w:kern w:val="2"/>
      <w:sz w:val="24"/>
      <w:szCs w:val="24"/>
    </w:rPr>
  </w:style>
  <w:style w:type="character" w:customStyle="1" w:styleId="307">
    <w:name w:val="正文文本缩进 2 字符"/>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字符"/>
    <w:link w:val="61"/>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0"/>
    <w:rPr>
      <w:kern w:val="2"/>
      <w:sz w:val="21"/>
      <w:szCs w:val="24"/>
    </w:rPr>
  </w:style>
  <w:style w:type="character" w:customStyle="1" w:styleId="344">
    <w:name w:val="签名 字符"/>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1"/>
    <w:next w:val="81"/>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1"/>
    <w:next w:val="81"/>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8"/>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Normal]"/>
    <w:qFormat/>
    <w:uiPriority w:val="0"/>
    <w:rPr>
      <w:rFonts w:ascii="宋体" w:hAnsi="宋体" w:eastAsia="宋体" w:cs="Times New Roman"/>
      <w:sz w:val="24"/>
      <w:szCs w:val="22"/>
      <w:lang w:val="zh-CN" w:eastAsia="zh-CN" w:bidi="ar-SA"/>
    </w:rPr>
  </w:style>
  <w:style w:type="paragraph" w:customStyle="1" w:styleId="964">
    <w:name w:val="URS"/>
    <w:basedOn w:val="1"/>
    <w:qFormat/>
    <w:uiPriority w:val="0"/>
    <w:pPr>
      <w:spacing w:before="120" w:after="120"/>
    </w:pPr>
    <w:rPr>
      <w:rFonts w:ascii="Arial Narrow" w:hAnsi="Arial Narrow"/>
      <w:sz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508BD-5EBF-4F4C-B744-7B642FCDE7E6}">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7335</Words>
  <Characters>41811</Characters>
  <Lines>348</Lines>
  <Paragraphs>98</Paragraphs>
  <TotalTime>13</TotalTime>
  <ScaleCrop>false</ScaleCrop>
  <LinksUpToDate>false</LinksUpToDate>
  <CharactersWithSpaces>49048</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Davis</cp:lastModifiedBy>
  <cp:lastPrinted>2022-01-06T03:25:00Z</cp:lastPrinted>
  <dcterms:modified xsi:type="dcterms:W3CDTF">2022-02-11T07:56:43Z</dcterms:modified>
  <dc:title>杭州市市民卡扩大发卡工程</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F2D9A5F4388C469CA376A292B2CE5D67</vt:lpwstr>
  </property>
</Properties>
</file>