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48"/>
          <w:szCs w:val="48"/>
          <w:highlight w:val="none"/>
        </w:rPr>
      </w:pPr>
    </w:p>
    <w:p>
      <w:pPr>
        <w:spacing w:line="360" w:lineRule="auto"/>
        <w:jc w:val="center"/>
        <w:rPr>
          <w:b/>
          <w:color w:val="auto"/>
          <w:sz w:val="48"/>
          <w:szCs w:val="48"/>
          <w:highlight w:val="none"/>
        </w:rPr>
      </w:pPr>
    </w:p>
    <w:p>
      <w:pPr>
        <w:spacing w:line="360" w:lineRule="auto"/>
        <w:jc w:val="center"/>
        <w:rPr>
          <w:b/>
          <w:color w:val="auto"/>
          <w:sz w:val="72"/>
          <w:szCs w:val="72"/>
          <w:highlight w:val="none"/>
        </w:rPr>
      </w:pPr>
      <w:r>
        <w:rPr>
          <w:b/>
          <w:color w:val="auto"/>
          <w:sz w:val="72"/>
          <w:szCs w:val="72"/>
          <w:highlight w:val="none"/>
        </w:rPr>
        <w:t>公开招标采购文件</w:t>
      </w:r>
    </w:p>
    <w:p>
      <w:pPr>
        <w:spacing w:line="360" w:lineRule="auto"/>
        <w:jc w:val="center"/>
        <w:rPr>
          <w:b/>
          <w:color w:val="auto"/>
          <w:sz w:val="72"/>
          <w:szCs w:val="72"/>
          <w:highlight w:val="none"/>
        </w:rPr>
      </w:pPr>
    </w:p>
    <w:p>
      <w:pPr>
        <w:snapToGrid w:val="0"/>
        <w:spacing w:line="360" w:lineRule="auto"/>
        <w:rPr>
          <w:b/>
          <w:color w:val="auto"/>
          <w:sz w:val="28"/>
          <w:szCs w:val="28"/>
          <w:highlight w:val="none"/>
        </w:rPr>
      </w:pPr>
    </w:p>
    <w:p>
      <w:pPr>
        <w:pStyle w:val="41"/>
        <w:tabs>
          <w:tab w:val="left" w:pos="6615"/>
        </w:tabs>
        <w:snapToGrid w:val="0"/>
        <w:spacing w:line="360" w:lineRule="auto"/>
        <w:ind w:firstLine="1911" w:firstLineChars="595"/>
        <w:rPr>
          <w:rFonts w:ascii="Times New Roman" w:hAnsi="Times New Roman"/>
          <w:b/>
          <w:bCs/>
          <w:color w:val="auto"/>
          <w:sz w:val="32"/>
          <w:szCs w:val="32"/>
          <w:highlight w:val="none"/>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rPr>
        <w:t>ZJ-2232859</w:t>
      </w:r>
    </w:p>
    <w:p>
      <w:pPr>
        <w:pStyle w:val="41"/>
        <w:snapToGrid w:val="0"/>
        <w:spacing w:line="360" w:lineRule="auto"/>
        <w:ind w:firstLine="1911" w:firstLineChars="595"/>
        <w:rPr>
          <w:rFonts w:ascii="Times New Roman" w:hAnsi="Times New Roman"/>
          <w:b/>
          <w:color w:val="auto"/>
          <w:sz w:val="32"/>
          <w:szCs w:val="32"/>
          <w:highlight w:val="none"/>
        </w:rPr>
      </w:pPr>
      <w:r>
        <w:rPr>
          <w:rFonts w:ascii="Times New Roman" w:hAnsi="Times New Roman"/>
          <w:b/>
          <w:color w:val="auto"/>
          <w:sz w:val="32"/>
          <w:szCs w:val="32"/>
          <w:highlight w:val="none"/>
        </w:rPr>
        <w:t>项目名称：</w:t>
      </w:r>
      <w:r>
        <w:rPr>
          <w:rFonts w:hint="eastAsia" w:ascii="Times New Roman" w:hAnsi="Times New Roman"/>
          <w:b/>
          <w:color w:val="auto"/>
          <w:sz w:val="32"/>
          <w:szCs w:val="32"/>
          <w:highlight w:val="none"/>
        </w:rPr>
        <w:t>保洁、运送及设备设施维保等服务</w:t>
      </w: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浙江中医药大学附属第二医院</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pPr>
        <w:snapToGrid w:val="0"/>
        <w:spacing w:line="360" w:lineRule="auto"/>
        <w:jc w:val="center"/>
        <w:rPr>
          <w:b/>
          <w:bCs/>
          <w:color w:val="auto"/>
          <w:w w:val="95"/>
          <w:sz w:val="32"/>
          <w:szCs w:val="32"/>
          <w:highlight w:val="none"/>
        </w:rPr>
      </w:pPr>
    </w:p>
    <w:p>
      <w:pPr>
        <w:snapToGrid w:val="0"/>
        <w:spacing w:line="360" w:lineRule="auto"/>
        <w:jc w:val="center"/>
        <w:rPr>
          <w:color w:val="auto"/>
          <w:sz w:val="30"/>
          <w:szCs w:val="20"/>
          <w:highlight w:val="none"/>
        </w:rPr>
      </w:pPr>
      <w:r>
        <w:rPr>
          <w:rFonts w:hint="eastAsia"/>
          <w:b/>
          <w:bCs/>
          <w:color w:val="auto"/>
          <w:w w:val="95"/>
          <w:sz w:val="32"/>
          <w:szCs w:val="32"/>
          <w:highlight w:val="none"/>
        </w:rPr>
        <w:t>2022年11</w:t>
      </w:r>
      <w:r>
        <w:rPr>
          <w:b/>
          <w:bCs/>
          <w:color w:val="auto"/>
          <w:w w:val="95"/>
          <w:sz w:val="32"/>
          <w:szCs w:val="32"/>
          <w:highlight w:val="none"/>
        </w:rPr>
        <w:t>月</w:t>
      </w:r>
    </w:p>
    <w:p>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  录</w:t>
      </w:r>
    </w:p>
    <w:p>
      <w:pPr>
        <w:spacing w:line="480" w:lineRule="auto"/>
        <w:jc w:val="center"/>
        <w:rPr>
          <w:color w:val="auto"/>
          <w:sz w:val="28"/>
          <w:szCs w:val="28"/>
          <w:highlight w:val="none"/>
        </w:rPr>
      </w:pPr>
    </w:p>
    <w:p>
      <w:pPr>
        <w:pStyle w:val="56"/>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6</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11</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hint="default" w:ascii="Times New Roman" w:hAnsi="Times New Roman"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lang w:val="en-US" w:eastAsia="zh-CN"/>
        </w:rPr>
        <w:t>45</w:t>
      </w:r>
    </w:p>
    <w:p>
      <w:pPr>
        <w:pStyle w:val="56"/>
        <w:spacing w:line="480" w:lineRule="auto"/>
        <w:rPr>
          <w:rFonts w:hint="default" w:ascii="Times New Roman" w:hAnsi="Times New Roman"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lang w:val="en-US" w:eastAsia="zh-CN"/>
        </w:rPr>
        <w:t>58</w:t>
      </w:r>
    </w:p>
    <w:p>
      <w:pPr>
        <w:pStyle w:val="56"/>
        <w:spacing w:line="480" w:lineRule="auto"/>
        <w:rPr>
          <w:rFonts w:hint="default" w:ascii="Times New Roman" w:hAnsi="Times New Roman"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lang w:val="en-US" w:eastAsia="zh-CN"/>
        </w:rPr>
        <w:t>66</w:t>
      </w:r>
    </w:p>
    <w:p>
      <w:pPr>
        <w:pStyle w:val="56"/>
        <w:spacing w:line="480" w:lineRule="auto"/>
        <w:rPr>
          <w:rFonts w:hint="default" w:ascii="Times New Roman" w:hAnsi="Times New Roman"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lang w:val="en-US" w:eastAsia="zh-CN"/>
        </w:rPr>
        <w:t>83</w:t>
      </w:r>
    </w:p>
    <w:p>
      <w:pPr>
        <w:pStyle w:val="4"/>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293343927"/>
      <w:bookmarkStart w:id="1" w:name="_Toc495317667"/>
      <w:r>
        <w:rPr>
          <w:rFonts w:ascii="Times New Roman" w:hAnsi="Times New Roman" w:eastAsia="宋体"/>
          <w:color w:val="auto"/>
          <w:highlight w:val="none"/>
        </w:rPr>
        <w:t>第一章  招标公告</w:t>
      </w:r>
      <w:bookmarkEnd w:id="0"/>
      <w:bookmarkEnd w:id="1"/>
    </w:p>
    <w:p>
      <w:pPr>
        <w:bidi w:val="0"/>
        <w:spacing w:line="360" w:lineRule="auto"/>
      </w:pPr>
      <w:r>
        <w:t>项目概况</w:t>
      </w:r>
      <w:r>
        <w:rPr>
          <w:rFonts w:hint="eastAsia"/>
        </w:rPr>
        <w:t>                                                    </w:t>
      </w:r>
    </w:p>
    <w:p>
      <w:pPr>
        <w:bidi w:val="0"/>
        <w:spacing w:line="360" w:lineRule="auto"/>
      </w:pPr>
      <w:r>
        <w:rPr>
          <w:rFonts w:hint="eastAsia"/>
        </w:rPr>
        <w:t>浙江中医药大学附属第二医院保洁、运送及设备设施维保等服务招标项目的潜在投标人应在https://www.zcygov.cn/获取（下载）招标文件，并于 2022年12月15日 09:00（北京时间）前递交（上传）投标文件。            </w:t>
      </w:r>
    </w:p>
    <w:p>
      <w:pPr>
        <w:bidi w:val="0"/>
        <w:spacing w:line="360" w:lineRule="auto"/>
      </w:pPr>
      <w:r>
        <w:t>一、项目基本情况                                            </w:t>
      </w:r>
    </w:p>
    <w:p>
      <w:pPr>
        <w:bidi w:val="0"/>
        <w:spacing w:line="360" w:lineRule="auto"/>
      </w:pPr>
      <w:r>
        <w:rPr>
          <w:rFonts w:hint="eastAsia"/>
        </w:rPr>
        <w:t>    项目编号：ZJ-2232859 </w:t>
      </w:r>
    </w:p>
    <w:p>
      <w:pPr>
        <w:bidi w:val="0"/>
        <w:spacing w:line="360" w:lineRule="auto"/>
      </w:pPr>
      <w:r>
        <w:rPr>
          <w:rFonts w:hint="eastAsia"/>
        </w:rPr>
        <w:t>    项目名称：浙江中医药大学附属第二医院保洁、运送及设备设施维保等服务</w:t>
      </w:r>
    </w:p>
    <w:p>
      <w:pPr>
        <w:bidi w:val="0"/>
        <w:spacing w:line="360" w:lineRule="auto"/>
      </w:pPr>
      <w:r>
        <w:rPr>
          <w:rFonts w:hint="eastAsia"/>
        </w:rPr>
        <w:t>    预算金额（元）：23660000  </w:t>
      </w:r>
    </w:p>
    <w:p>
      <w:pPr>
        <w:bidi w:val="0"/>
        <w:spacing w:line="360" w:lineRule="auto"/>
      </w:pPr>
      <w:r>
        <w:rPr>
          <w:rFonts w:hint="eastAsia"/>
        </w:rPr>
        <w:t>    最高限价（元）：23430000 </w:t>
      </w:r>
    </w:p>
    <w:p>
      <w:pPr>
        <w:bidi w:val="0"/>
        <w:spacing w:line="360" w:lineRule="auto"/>
      </w:pPr>
      <w:r>
        <w:rPr>
          <w:rFonts w:hint="eastAsia"/>
        </w:rPr>
        <w:t>    采购需求：</w:t>
      </w:r>
    </w:p>
    <w:p>
      <w:pPr>
        <w:bidi w:val="0"/>
        <w:spacing w:line="360" w:lineRule="auto"/>
      </w:pPr>
      <w:r>
        <w:rPr>
          <w:rFonts w:hint="eastAsia"/>
        </w:rPr>
        <w:t>    </w:t>
      </w:r>
      <w:r>
        <w:rPr>
          <w:rFonts w:hint="eastAsia"/>
        </w:rPr>
        <w:br w:type="textWrapping"/>
      </w:r>
      <w:r>
        <w:rPr>
          <w:rFonts w:hint="eastAsia"/>
        </w:rPr>
        <w:t>    标项名称: 保洁、运送及设备设施维保等服务 </w:t>
      </w:r>
      <w:r>
        <w:rPr>
          <w:rFonts w:hint="eastAsia"/>
        </w:rPr>
        <w:br w:type="textWrapping"/>
      </w:r>
      <w:r>
        <w:rPr>
          <w:rFonts w:hint="eastAsia"/>
        </w:rPr>
        <w:t>    数量: 1  </w:t>
      </w:r>
      <w:r>
        <w:rPr>
          <w:rFonts w:hint="eastAsia"/>
        </w:rPr>
        <w:br w:type="textWrapping"/>
      </w:r>
      <w:r>
        <w:rPr>
          <w:rFonts w:hint="eastAsia"/>
        </w:rPr>
        <w:t>    预算金额（元）: 23660000 </w:t>
      </w:r>
      <w:r>
        <w:rPr>
          <w:rFonts w:hint="eastAsia"/>
        </w:rPr>
        <w:br w:type="textWrapping"/>
      </w:r>
      <w:r>
        <w:rPr>
          <w:rFonts w:hint="eastAsia"/>
        </w:rPr>
        <w:t>    简要规格描述或项目基本概况介绍、用途：保洁、运送及设备设施维保等服务，详见采购文件 </w:t>
      </w:r>
      <w:r>
        <w:rPr>
          <w:rFonts w:hint="eastAsia"/>
        </w:rPr>
        <w:br w:type="textWrapping"/>
      </w:r>
      <w:r>
        <w:rPr>
          <w:rFonts w:hint="eastAsia"/>
        </w:rPr>
        <w:t>    备注： </w:t>
      </w:r>
    </w:p>
    <w:p>
      <w:pPr>
        <w:bidi w:val="0"/>
        <w:spacing w:line="360" w:lineRule="auto"/>
      </w:pPr>
      <w:r>
        <w:rPr>
          <w:rFonts w:hint="eastAsia"/>
        </w:rPr>
        <w:t>    合同履约期限：标项 1，服务期2年</w:t>
      </w:r>
    </w:p>
    <w:p>
      <w:pPr>
        <w:bidi w:val="0"/>
        <w:spacing w:line="360" w:lineRule="auto"/>
      </w:pPr>
      <w:r>
        <w:rPr>
          <w:rFonts w:hint="eastAsia"/>
        </w:rPr>
        <w:t>    本项目（是）接受联合体投标。</w:t>
      </w:r>
    </w:p>
    <w:p>
      <w:pPr>
        <w:bidi w:val="0"/>
        <w:spacing w:line="360" w:lineRule="auto"/>
      </w:pPr>
      <w:r>
        <w:t>二、申请人的资格要求：</w:t>
      </w:r>
    </w:p>
    <w:p>
      <w:pPr>
        <w:bidi w:val="0"/>
        <w:spacing w:line="360" w:lineRule="auto"/>
      </w:pPr>
      <w:r>
        <w:rPr>
          <w:rFonts w:hint="eastAsia"/>
        </w:rPr>
        <w:t>    1.满足《中华人民共和国政府采购法》第二十二条规定；未被“信用中国”（www.creditchina.gov.cn)、中国政府采购网（www.ccgp.gov.cn）列入失信被执行人、重大税收违法失信主体、政府采购严重违法失信行为记录名单。</w:t>
      </w:r>
    </w:p>
    <w:p>
      <w:pPr>
        <w:bidi w:val="0"/>
        <w:spacing w:line="360" w:lineRule="auto"/>
      </w:pPr>
      <w:r>
        <w:rPr>
          <w:rFonts w:hint="eastAsia"/>
        </w:rPr>
        <w:t>    2.落实政府采购政策需满足的资格要求：无 </w:t>
      </w:r>
    </w:p>
    <w:p>
      <w:pPr>
        <w:bidi w:val="0"/>
        <w:spacing w:line="360" w:lineRule="auto"/>
      </w:pPr>
      <w:r>
        <w:rPr>
          <w:rFonts w:hint="eastAsia"/>
        </w:rPr>
        <w:t>    3.本项目的特定资格要求：无 </w:t>
      </w:r>
    </w:p>
    <w:p>
      <w:pPr>
        <w:bidi w:val="0"/>
        <w:spacing w:line="360" w:lineRule="auto"/>
      </w:pPr>
      <w:r>
        <w:t>三、获取招标文件 </w:t>
      </w:r>
    </w:p>
    <w:p>
      <w:pPr>
        <w:bidi w:val="0"/>
        <w:spacing w:line="360" w:lineRule="auto"/>
      </w:pPr>
      <w:r>
        <w:rPr>
          <w:rFonts w:hint="eastAsia"/>
        </w:rPr>
        <w:t>    时间：/至2022年12月15日 ，每天上午00:00至12:00 ，下午12:00至23:59（北京时间，线上获取法定节假日均可，线下获取文件法定节假日除外）</w:t>
      </w:r>
    </w:p>
    <w:p>
      <w:pPr>
        <w:bidi w:val="0"/>
        <w:spacing w:line="360" w:lineRule="auto"/>
      </w:pPr>
      <w:r>
        <w:rPr>
          <w:rFonts w:hint="eastAsia"/>
        </w:rPr>
        <w:t>    地点（网址）：https://www.zcygov.cn/ </w:t>
      </w:r>
    </w:p>
    <w:p>
      <w:pPr>
        <w:bidi w:val="0"/>
        <w:spacing w:line="360" w:lineRule="auto"/>
      </w:pPr>
      <w:r>
        <w:rPr>
          <w:rFonts w:hint="eastAsia"/>
        </w:rPr>
        <w:t>    方式：供应商登录政采云平台https://www.zcygov.cn/在线申请获取采购文件（进入“项目采购”应用，在获取采购文件菜单中选择项目，申请获取采购文件） </w:t>
      </w:r>
    </w:p>
    <w:p>
      <w:pPr>
        <w:bidi w:val="0"/>
        <w:spacing w:line="360" w:lineRule="auto"/>
      </w:pPr>
      <w:r>
        <w:rPr>
          <w:rFonts w:hint="eastAsia"/>
        </w:rPr>
        <w:t>    售价（元）：0 </w:t>
      </w:r>
    </w:p>
    <w:p>
      <w:pPr>
        <w:bidi w:val="0"/>
        <w:spacing w:line="360" w:lineRule="auto"/>
      </w:pPr>
      <w:r>
        <w:t>四、提交投标文件截止时间、开标时间和地点</w:t>
      </w:r>
    </w:p>
    <w:p>
      <w:pPr>
        <w:bidi w:val="0"/>
        <w:spacing w:line="360" w:lineRule="auto"/>
      </w:pPr>
      <w:r>
        <w:rPr>
          <w:rFonts w:hint="eastAsia"/>
        </w:rPr>
        <w:t>    提交投标文件截止时间：2022年12月15日 09:00（北京时间）</w:t>
      </w:r>
    </w:p>
    <w:p>
      <w:pPr>
        <w:bidi w:val="0"/>
        <w:spacing w:line="360" w:lineRule="auto"/>
      </w:pPr>
      <w:r>
        <w:rPr>
          <w:rFonts w:hint="eastAsia"/>
        </w:rPr>
        <w:t>    投标地点（网址）：线上（政府采购云平台（www.zcygov.cn）） </w:t>
      </w:r>
    </w:p>
    <w:p>
      <w:pPr>
        <w:bidi w:val="0"/>
        <w:spacing w:line="360" w:lineRule="auto"/>
      </w:pPr>
      <w:r>
        <w:rPr>
          <w:rFonts w:hint="eastAsia"/>
        </w:rPr>
        <w:t>    开标时间：2022年12月15日 09:00 </w:t>
      </w:r>
    </w:p>
    <w:p>
      <w:pPr>
        <w:bidi w:val="0"/>
        <w:spacing w:line="360" w:lineRule="auto"/>
      </w:pPr>
      <w:r>
        <w:rPr>
          <w:rFonts w:hint="eastAsia"/>
        </w:rPr>
        <w:t>    开标地点（网址）：线上（政府采购云平台（www.zcygov.cn））  </w:t>
      </w:r>
    </w:p>
    <w:p>
      <w:pPr>
        <w:bidi w:val="0"/>
        <w:spacing w:line="360" w:lineRule="auto"/>
      </w:pPr>
      <w:r>
        <w:t>五、公告期限 </w:t>
      </w:r>
    </w:p>
    <w:p>
      <w:pPr>
        <w:bidi w:val="0"/>
        <w:spacing w:line="360" w:lineRule="auto"/>
      </w:pPr>
      <w:r>
        <w:rPr>
          <w:rFonts w:hint="eastAsia"/>
        </w:rPr>
        <w:t>    自本公告发布之日起5个工作日。</w:t>
      </w:r>
    </w:p>
    <w:p>
      <w:pPr>
        <w:bidi w:val="0"/>
        <w:spacing w:line="360" w:lineRule="auto"/>
      </w:pPr>
      <w:r>
        <w:t>六、其他补充事宜</w:t>
      </w:r>
    </w:p>
    <w:p>
      <w:pPr>
        <w:bidi w:val="0"/>
        <w:spacing w:line="360" w:lineRule="auto"/>
      </w:pPr>
      <w:r>
        <w:rPr>
          <w:rFonts w:hint="eastAsia"/>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bidi w:val="0"/>
        <w:spacing w:line="360" w:lineRule="auto"/>
      </w:pPr>
      <w:r>
        <w:rPr>
          <w:rFonts w:hint="eastAsia"/>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bidi w:val="0"/>
        <w:spacing w:line="360" w:lineRule="auto"/>
      </w:pPr>
      <w:r>
        <w:rPr>
          <w:rFonts w:hint="eastAsia"/>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type="textWrapping"/>
      </w:r>
      <w:r>
        <w:rPr>
          <w:rFonts w:hint="eastAsia"/>
        </w:rPr>
        <w:t>    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rPr>
        <w:br w:type="textWrapping"/>
      </w:r>
      <w:r>
        <w:rPr>
          <w:rFonts w:hint="eastAsia"/>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rPr>
        <w:br w:type="textWrapping"/>
      </w:r>
      <w:r>
        <w:rPr>
          <w:rFonts w:hint="eastAsia"/>
        </w:rPr>
        <w:t>（3）单位负责人为同一人或者存在直接控股、管理关系的不同供应商，不得同时参加同一合同项下的投标。</w:t>
      </w:r>
      <w:r>
        <w:rPr>
          <w:rFonts w:hint="eastAsia"/>
        </w:rPr>
        <w:br w:type="textWrapping"/>
      </w:r>
      <w:r>
        <w:rPr>
          <w:rFonts w:hint="eastAsia"/>
        </w:rPr>
        <w:t>（4）为项目提供整体设计、规范编制或者项目管理、监理、检测等服务的供应商，不得参加该项目的投标。</w:t>
      </w:r>
      <w:r>
        <w:rPr>
          <w:rFonts w:hint="eastAsia"/>
        </w:rPr>
        <w:br w:type="textWrapping"/>
      </w:r>
      <w:r>
        <w:rPr>
          <w:rFonts w:hint="eastAsia"/>
        </w:rPr>
        <w:t>（5）本项目采购文件公告期限为本公告发布之日起5个工作日。  </w:t>
      </w:r>
    </w:p>
    <w:p>
      <w:pPr>
        <w:bidi w:val="0"/>
        <w:spacing w:line="360" w:lineRule="auto"/>
      </w:pPr>
      <w:r>
        <w:t>七、对本次采购提出询问、质疑、投诉，请按以下方式联系</w:t>
      </w:r>
    </w:p>
    <w:p>
      <w:pPr>
        <w:bidi w:val="0"/>
        <w:spacing w:line="360" w:lineRule="auto"/>
      </w:pPr>
      <w:r>
        <w:rPr>
          <w:rFonts w:hint="eastAsia"/>
        </w:rPr>
        <w:t>    1.采购人信息</w:t>
      </w:r>
    </w:p>
    <w:p>
      <w:pPr>
        <w:bidi w:val="0"/>
        <w:spacing w:line="360" w:lineRule="auto"/>
      </w:pPr>
      <w:r>
        <w:rPr>
          <w:rFonts w:hint="eastAsia"/>
        </w:rPr>
        <w:t>    名    称：浙江中医药大学附属第二医院 </w:t>
      </w:r>
    </w:p>
    <w:p>
      <w:pPr>
        <w:bidi w:val="0"/>
        <w:spacing w:line="360" w:lineRule="auto"/>
      </w:pPr>
      <w:r>
        <w:rPr>
          <w:rFonts w:hint="eastAsia"/>
        </w:rPr>
        <w:t>    地    址：杭州市潮王路318号 </w:t>
      </w:r>
    </w:p>
    <w:p>
      <w:pPr>
        <w:bidi w:val="0"/>
        <w:spacing w:line="360" w:lineRule="auto"/>
      </w:pPr>
      <w:r>
        <w:rPr>
          <w:rFonts w:hint="eastAsia"/>
        </w:rPr>
        <w:t>    传    真：  </w:t>
      </w:r>
    </w:p>
    <w:p>
      <w:pPr>
        <w:bidi w:val="0"/>
        <w:spacing w:line="360" w:lineRule="auto"/>
      </w:pPr>
      <w:r>
        <w:rPr>
          <w:rFonts w:hint="eastAsia"/>
        </w:rPr>
        <w:t>    项目联系人（询问）： 陈老师（总务科）、郭老师（采购中心）  </w:t>
      </w:r>
    </w:p>
    <w:p>
      <w:pPr>
        <w:bidi w:val="0"/>
        <w:spacing w:line="360" w:lineRule="auto"/>
      </w:pPr>
      <w:r>
        <w:rPr>
          <w:rFonts w:hint="eastAsia"/>
        </w:rPr>
        <w:t>    项目联系方式（询问）：13957112950、0571-85267031 </w:t>
      </w:r>
    </w:p>
    <w:p>
      <w:pPr>
        <w:bidi w:val="0"/>
        <w:spacing w:line="360" w:lineRule="auto"/>
      </w:pPr>
      <w:r>
        <w:rPr>
          <w:rFonts w:hint="eastAsia"/>
        </w:rPr>
        <w:t>    质疑联系人：李主任    </w:t>
      </w:r>
    </w:p>
    <w:p>
      <w:pPr>
        <w:bidi w:val="0"/>
        <w:spacing w:line="360" w:lineRule="auto"/>
      </w:pPr>
      <w:r>
        <w:rPr>
          <w:rFonts w:hint="eastAsia"/>
        </w:rPr>
        <w:t>    质疑联系方式：0571-85267030 </w:t>
      </w:r>
    </w:p>
    <w:p>
      <w:pPr>
        <w:bidi w:val="0"/>
        <w:spacing w:line="360" w:lineRule="auto"/>
      </w:pPr>
      <w:r>
        <w:rPr>
          <w:rFonts w:hint="eastAsia"/>
        </w:rPr>
        <w:t>    </w:t>
      </w:r>
      <w:r>
        <w:rPr>
          <w:rFonts w:hint="eastAsia"/>
        </w:rPr>
        <w:br w:type="textWrapping"/>
      </w:r>
      <w:r>
        <w:rPr>
          <w:rFonts w:hint="eastAsia"/>
        </w:rPr>
        <w:t>    2.采购代理机构信息            </w:t>
      </w:r>
    </w:p>
    <w:p>
      <w:pPr>
        <w:bidi w:val="0"/>
        <w:spacing w:line="360" w:lineRule="auto"/>
      </w:pPr>
      <w:r>
        <w:rPr>
          <w:rFonts w:hint="eastAsia"/>
        </w:rPr>
        <w:t>    名    称：浙江国际招投标有限公司             </w:t>
      </w:r>
    </w:p>
    <w:p>
      <w:pPr>
        <w:bidi w:val="0"/>
        <w:spacing w:line="360" w:lineRule="auto"/>
      </w:pPr>
      <w:r>
        <w:rPr>
          <w:rFonts w:hint="eastAsia"/>
        </w:rPr>
        <w:t>    地    址：浙江省杭州市西湖区文三路90号东部软件园1号楼3楼             </w:t>
      </w:r>
    </w:p>
    <w:p>
      <w:pPr>
        <w:bidi w:val="0"/>
        <w:spacing w:line="360" w:lineRule="auto"/>
      </w:pPr>
      <w:r>
        <w:rPr>
          <w:rFonts w:hint="eastAsia"/>
        </w:rPr>
        <w:t>    传    真：/             </w:t>
      </w:r>
    </w:p>
    <w:p>
      <w:pPr>
        <w:bidi w:val="0"/>
        <w:spacing w:line="360" w:lineRule="auto"/>
      </w:pPr>
      <w:r>
        <w:rPr>
          <w:rFonts w:hint="eastAsia"/>
        </w:rPr>
        <w:t>    项目联系人（询问）：李博，苑洪春              </w:t>
      </w:r>
    </w:p>
    <w:p>
      <w:pPr>
        <w:bidi w:val="0"/>
        <w:spacing w:line="360" w:lineRule="auto"/>
      </w:pPr>
      <w:r>
        <w:rPr>
          <w:rFonts w:hint="eastAsia"/>
        </w:rPr>
        <w:t>    项目联系方式（询问）：0571-81061817，13819182767 </w:t>
      </w:r>
    </w:p>
    <w:p>
      <w:pPr>
        <w:bidi w:val="0"/>
        <w:spacing w:line="360" w:lineRule="auto"/>
      </w:pPr>
      <w:r>
        <w:rPr>
          <w:rFonts w:hint="eastAsia"/>
        </w:rPr>
        <w:t>    质疑联系人：张域             </w:t>
      </w:r>
    </w:p>
    <w:p>
      <w:pPr>
        <w:bidi w:val="0"/>
        <w:spacing w:line="360" w:lineRule="auto"/>
      </w:pPr>
      <w:r>
        <w:rPr>
          <w:rFonts w:hint="eastAsia"/>
        </w:rPr>
        <w:t>    质疑联系方式：0571-81061813 　　　　　　     </w:t>
      </w:r>
    </w:p>
    <w:p>
      <w:pPr>
        <w:bidi w:val="0"/>
        <w:spacing w:line="360" w:lineRule="auto"/>
      </w:pPr>
      <w:r>
        <w:rPr>
          <w:rFonts w:hint="eastAsia"/>
        </w:rPr>
        <w:t>    </w:t>
      </w:r>
      <w:r>
        <w:rPr>
          <w:rFonts w:hint="eastAsia"/>
        </w:rPr>
        <w:br w:type="textWrapping"/>
      </w:r>
      <w:r>
        <w:rPr>
          <w:rFonts w:hint="eastAsia"/>
        </w:rPr>
        <w:t>    3.同级政府采购监督管理部门            </w:t>
      </w:r>
    </w:p>
    <w:p>
      <w:pPr>
        <w:bidi w:val="0"/>
        <w:spacing w:line="360" w:lineRule="auto"/>
      </w:pPr>
      <w:r>
        <w:rPr>
          <w:rFonts w:hint="eastAsia"/>
        </w:rPr>
        <w:t>    名    称：浙江省财政厅政府采购监管处             </w:t>
      </w:r>
    </w:p>
    <w:p>
      <w:pPr>
        <w:bidi w:val="0"/>
        <w:spacing w:line="360" w:lineRule="auto"/>
      </w:pPr>
      <w:r>
        <w:rPr>
          <w:rFonts w:hint="eastAsia"/>
        </w:rPr>
        <w:t>    地    址：杭州市环城西路37号             </w:t>
      </w:r>
    </w:p>
    <w:p>
      <w:pPr>
        <w:bidi w:val="0"/>
        <w:spacing w:line="360" w:lineRule="auto"/>
      </w:pPr>
      <w:r>
        <w:rPr>
          <w:rFonts w:hint="eastAsia"/>
        </w:rPr>
        <w:t>    传    真：/             </w:t>
      </w:r>
    </w:p>
    <w:p>
      <w:pPr>
        <w:bidi w:val="0"/>
        <w:spacing w:line="360" w:lineRule="auto"/>
      </w:pPr>
      <w:r>
        <w:rPr>
          <w:rFonts w:hint="eastAsia"/>
        </w:rPr>
        <w:t>    联系人 ：齐鲁、吴聪瑜             </w:t>
      </w:r>
    </w:p>
    <w:p>
      <w:pPr>
        <w:bidi w:val="0"/>
        <w:spacing w:line="360" w:lineRule="auto"/>
      </w:pPr>
      <w:r>
        <w:rPr>
          <w:rFonts w:hint="eastAsia"/>
        </w:rPr>
        <w:t>    监督投诉电话：0571-87057612、87058489           </w:t>
      </w:r>
    </w:p>
    <w:p>
      <w:pPr>
        <w:bidi w:val="0"/>
        <w:spacing w:line="360" w:lineRule="auto"/>
      </w:pPr>
      <w:r>
        <w:rPr>
          <w:rFonts w:hint="eastAsia"/>
        </w:rPr>
        <w:t>    政策咨询：何一平、冯华，0571-87058424、87055741         </w:t>
      </w:r>
    </w:p>
    <w:p>
      <w:pPr>
        <w:bidi w:val="0"/>
        <w:spacing w:line="360" w:lineRule="auto"/>
      </w:pPr>
    </w:p>
    <w:p>
      <w:pPr>
        <w:bidi w:val="0"/>
        <w:spacing w:line="360" w:lineRule="auto"/>
        <w:rPr>
          <w:rFonts w:hint="eastAsia"/>
        </w:rPr>
      </w:pPr>
      <w:r>
        <w:rPr>
          <w:rFonts w:hint="eastAsia"/>
          <w:lang w:val="en-US" w:eastAsia="zh-CN"/>
        </w:rPr>
        <w:t>若对项目采购电子交易系统操作有疑问，可登录政采云（https://www.zcygov.cn/），点击右侧咨询小采，获取采小蜜智能服务管家帮助，或拨打政采云服务热线400-881-7190获取热线服务帮助。       </w:t>
      </w:r>
    </w:p>
    <w:p>
      <w:pPr>
        <w:bidi w:val="0"/>
        <w:spacing w:line="360" w:lineRule="auto"/>
      </w:pPr>
      <w:r>
        <w:rPr>
          <w:rFonts w:hint="eastAsia"/>
          <w:lang w:val="en-US" w:eastAsia="zh-CN"/>
        </w:rPr>
        <w:t>CA问题联系电话（人工）：汇信CA 400-888-4636；天谷CA 400-087-8198。</w:t>
      </w:r>
    </w:p>
    <w:p>
      <w:pPr>
        <w:spacing w:line="360" w:lineRule="auto"/>
        <w:rPr>
          <w:color w:val="auto"/>
          <w:szCs w:val="21"/>
          <w:highlight w:val="none"/>
        </w:rPr>
      </w:pPr>
    </w:p>
    <w:p>
      <w:pPr>
        <w:pStyle w:val="4"/>
        <w:snapToGrid w:val="0"/>
        <w:rPr>
          <w:rFonts w:ascii="Times New Roman" w:hAnsi="Times New Roman" w:eastAsia="宋体"/>
          <w:color w:val="auto"/>
          <w:highlight w:val="none"/>
        </w:rPr>
      </w:pPr>
      <w:r>
        <w:rPr>
          <w:rFonts w:ascii="Times New Roman" w:hAnsi="Times New Roman" w:eastAsia="宋体"/>
          <w:color w:val="auto"/>
          <w:kern w:val="0"/>
          <w:szCs w:val="21"/>
          <w:highlight w:val="none"/>
        </w:rPr>
        <w:br w:type="page"/>
      </w:r>
      <w:bookmarkStart w:id="2"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序号</w:t>
            </w:r>
          </w:p>
        </w:tc>
        <w:tc>
          <w:tcPr>
            <w:tcW w:w="1830"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名称</w:t>
            </w:r>
          </w:p>
        </w:tc>
        <w:tc>
          <w:tcPr>
            <w:tcW w:w="6604"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ascii="Times New Roman" w:hAnsi="Times New Roman"/>
                <w:color w:val="auto"/>
                <w:sz w:val="21"/>
                <w:szCs w:val="21"/>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w:t>
            </w:r>
          </w:p>
        </w:tc>
        <w:tc>
          <w:tcPr>
            <w:tcW w:w="1830" w:type="dxa"/>
            <w:vAlign w:val="center"/>
          </w:tcPr>
          <w:p>
            <w:pPr>
              <w:pStyle w:val="176"/>
              <w:snapToGrid w:val="0"/>
              <w:spacing w:line="360" w:lineRule="auto"/>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采购人</w:t>
            </w:r>
          </w:p>
        </w:tc>
        <w:tc>
          <w:tcPr>
            <w:tcW w:w="6604" w:type="dxa"/>
            <w:vAlign w:val="center"/>
          </w:tcPr>
          <w:p>
            <w:pPr>
              <w:widowControl/>
              <w:snapToGrid w:val="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采购人：浙江中医药大学附属第二医院</w:t>
            </w:r>
          </w:p>
          <w:p>
            <w:pPr>
              <w:widowControl/>
              <w:snapToGrid w:val="0"/>
              <w:spacing w:line="360" w:lineRule="auto"/>
              <w:jc w:val="left"/>
              <w:rPr>
                <w:color w:val="auto"/>
                <w:sz w:val="21"/>
                <w:szCs w:val="21"/>
                <w:highlight w:val="none"/>
              </w:rPr>
            </w:pPr>
            <w:r>
              <w:rPr>
                <w:color w:val="auto"/>
                <w:sz w:val="21"/>
                <w:szCs w:val="21"/>
                <w:highlight w:val="none"/>
              </w:rPr>
              <w:t>采购人地址：</w:t>
            </w:r>
            <w:r>
              <w:rPr>
                <w:rFonts w:hint="eastAsia"/>
                <w:color w:val="auto"/>
                <w:sz w:val="21"/>
                <w:szCs w:val="21"/>
                <w:highlight w:val="none"/>
              </w:rPr>
              <w:t>杭州市潮王路318号</w:t>
            </w:r>
          </w:p>
          <w:p>
            <w:pPr>
              <w:spacing w:line="360" w:lineRule="auto"/>
              <w:rPr>
                <w:color w:val="auto"/>
                <w:sz w:val="21"/>
                <w:szCs w:val="21"/>
                <w:highlight w:val="none"/>
              </w:rPr>
            </w:pPr>
            <w:r>
              <w:rPr>
                <w:color w:val="auto"/>
                <w:sz w:val="21"/>
                <w:szCs w:val="21"/>
                <w:highlight w:val="none"/>
              </w:rPr>
              <w:t>联系人：</w:t>
            </w:r>
            <w:r>
              <w:rPr>
                <w:rFonts w:hint="eastAsia"/>
                <w:color w:val="auto"/>
                <w:sz w:val="21"/>
                <w:szCs w:val="21"/>
                <w:highlight w:val="none"/>
              </w:rPr>
              <w:t>陈老师（总务科）、郭老师（采购中心）</w:t>
            </w:r>
          </w:p>
          <w:p>
            <w:pPr>
              <w:pStyle w:val="176"/>
              <w:snapToGrid w:val="0"/>
              <w:spacing w:line="360" w:lineRule="auto"/>
              <w:ind w:firstLine="0" w:firstLineChars="0"/>
              <w:rPr>
                <w:rFonts w:ascii="Times New Roman" w:hAnsi="Times New Roman"/>
                <w:color w:val="auto"/>
                <w:sz w:val="21"/>
                <w:szCs w:val="21"/>
                <w:highlight w:val="none"/>
              </w:rPr>
            </w:pPr>
            <w:r>
              <w:rPr>
                <w:color w:val="auto"/>
                <w:sz w:val="21"/>
                <w:szCs w:val="21"/>
                <w:highlight w:val="none"/>
              </w:rPr>
              <w:t>联系电话：</w:t>
            </w:r>
            <w:r>
              <w:rPr>
                <w:rFonts w:hint="eastAsia" w:ascii="Times New Roman" w:hAnsi="Times New Roman"/>
                <w:color w:val="auto"/>
                <w:sz w:val="21"/>
                <w:szCs w:val="21"/>
                <w:highlight w:val="none"/>
              </w:rPr>
              <w:t>13957112950、0571-85267031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2</w:t>
            </w:r>
          </w:p>
        </w:tc>
        <w:tc>
          <w:tcPr>
            <w:tcW w:w="1830" w:type="dxa"/>
            <w:vAlign w:val="center"/>
          </w:tcPr>
          <w:p>
            <w:pPr>
              <w:pStyle w:val="176"/>
              <w:snapToGrid w:val="0"/>
              <w:spacing w:line="360" w:lineRule="auto"/>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采购代理机构</w:t>
            </w:r>
          </w:p>
        </w:tc>
        <w:tc>
          <w:tcPr>
            <w:tcW w:w="6604" w:type="dxa"/>
            <w:vAlign w:val="center"/>
          </w:tcPr>
          <w:p>
            <w:pPr>
              <w:pStyle w:val="176"/>
              <w:snapToGrid w:val="0"/>
              <w:spacing w:line="360" w:lineRule="auto"/>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名称：</w:t>
            </w:r>
            <w:r>
              <w:rPr>
                <w:rFonts w:hint="eastAsia" w:ascii="Times New Roman" w:hAnsi="Times New Roman"/>
                <w:color w:val="auto"/>
                <w:sz w:val="21"/>
                <w:szCs w:val="21"/>
                <w:highlight w:val="none"/>
              </w:rPr>
              <w:t>浙江国际招投标有限公司</w:t>
            </w:r>
          </w:p>
          <w:p>
            <w:pPr>
              <w:pStyle w:val="176"/>
              <w:snapToGrid w:val="0"/>
              <w:spacing w:line="360" w:lineRule="auto"/>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地址：杭州市文三路90号东部软件园</w:t>
            </w:r>
            <w:r>
              <w:rPr>
                <w:rFonts w:hint="eastAsia" w:ascii="Times New Roman" w:hAnsi="Times New Roman"/>
                <w:color w:val="auto"/>
                <w:sz w:val="21"/>
                <w:szCs w:val="21"/>
                <w:highlight w:val="none"/>
              </w:rPr>
              <w:t>1号楼3楼</w:t>
            </w:r>
          </w:p>
          <w:p>
            <w:pPr>
              <w:pStyle w:val="176"/>
              <w:snapToGrid w:val="0"/>
              <w:spacing w:line="360" w:lineRule="auto"/>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联系人：</w:t>
            </w:r>
            <w:r>
              <w:rPr>
                <w:rFonts w:hint="eastAsia" w:ascii="Times New Roman" w:hAnsi="Times New Roman"/>
                <w:color w:val="auto"/>
                <w:sz w:val="21"/>
                <w:szCs w:val="21"/>
                <w:highlight w:val="none"/>
                <w:lang w:eastAsia="zh-CN"/>
              </w:rPr>
              <w:t>李博，</w:t>
            </w:r>
            <w:r>
              <w:rPr>
                <w:rFonts w:hint="eastAsia"/>
                <w:color w:val="auto"/>
                <w:kern w:val="0"/>
                <w:sz w:val="21"/>
                <w:szCs w:val="21"/>
                <w:highlight w:val="none"/>
              </w:rPr>
              <w:t>苑洪春</w:t>
            </w:r>
          </w:p>
          <w:p>
            <w:pPr>
              <w:pStyle w:val="176"/>
              <w:snapToGrid w:val="0"/>
              <w:spacing w:line="360" w:lineRule="auto"/>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联系电话：</w:t>
            </w:r>
            <w:r>
              <w:rPr>
                <w:rFonts w:hint="eastAsia"/>
                <w:color w:val="auto"/>
                <w:sz w:val="21"/>
                <w:szCs w:val="21"/>
                <w:highlight w:val="none"/>
              </w:rPr>
              <w:t>0571-8106181</w:t>
            </w:r>
            <w:r>
              <w:rPr>
                <w:rFonts w:hint="eastAsia"/>
                <w:color w:val="auto"/>
                <w:sz w:val="21"/>
                <w:szCs w:val="21"/>
                <w:highlight w:val="none"/>
                <w:lang w:val="en-US" w:eastAsia="zh-CN"/>
              </w:rPr>
              <w:t>7</w:t>
            </w:r>
            <w:r>
              <w:rPr>
                <w:rFonts w:hint="eastAsia"/>
                <w:color w:val="auto"/>
                <w:sz w:val="21"/>
                <w:szCs w:val="21"/>
                <w:highlight w:val="none"/>
              </w:rPr>
              <w:t>，</w:t>
            </w:r>
            <w:r>
              <w:rPr>
                <w:rFonts w:hint="eastAsia"/>
                <w:color w:val="auto"/>
                <w:sz w:val="21"/>
                <w:szCs w:val="21"/>
                <w:highlight w:val="none"/>
                <w:lang w:val="en-US" w:eastAsia="zh-CN"/>
              </w:rPr>
              <w:t>13819182767，</w:t>
            </w:r>
            <w:r>
              <w:rPr>
                <w:rFonts w:hint="eastAsia"/>
                <w:color w:val="auto"/>
                <w:sz w:val="21"/>
                <w:szCs w:val="21"/>
                <w:highlight w:val="none"/>
              </w:rPr>
              <w:t>13065702633</w:t>
            </w:r>
          </w:p>
          <w:p>
            <w:pPr>
              <w:pStyle w:val="176"/>
              <w:snapToGrid w:val="0"/>
              <w:spacing w:line="360" w:lineRule="auto"/>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邮编：310012</w:t>
            </w:r>
          </w:p>
          <w:p>
            <w:pPr>
              <w:pStyle w:val="176"/>
              <w:snapToGrid w:val="0"/>
              <w:spacing w:line="360" w:lineRule="auto"/>
              <w:ind w:firstLine="0" w:firstLineChars="0"/>
              <w:rPr>
                <w:rFonts w:ascii="Times New Roman" w:hAnsi="Times New Roman"/>
                <w:color w:val="auto"/>
                <w:sz w:val="21"/>
                <w:szCs w:val="21"/>
                <w:highlight w:val="none"/>
              </w:rPr>
            </w:pPr>
            <w:r>
              <w:rPr>
                <w:rFonts w:ascii="Times New Roman" w:hAnsi="Times New Roman"/>
                <w:color w:val="auto"/>
                <w:kern w:val="0"/>
                <w:sz w:val="21"/>
                <w:szCs w:val="21"/>
                <w:highlight w:val="none"/>
              </w:rPr>
              <w:t>Email：</w:t>
            </w:r>
            <w:r>
              <w:rPr>
                <w:rFonts w:hint="eastAsia"/>
                <w:color w:val="auto"/>
                <w:kern w:val="0"/>
                <w:sz w:val="21"/>
                <w:szCs w:val="21"/>
                <w:highlight w:val="none"/>
              </w:rPr>
              <w:t>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3</w:t>
            </w:r>
          </w:p>
        </w:tc>
        <w:tc>
          <w:tcPr>
            <w:tcW w:w="1830" w:type="dxa"/>
            <w:vAlign w:val="center"/>
          </w:tcPr>
          <w:p>
            <w:pPr>
              <w:pStyle w:val="176"/>
              <w:snapToGrid w:val="0"/>
              <w:spacing w:line="360" w:lineRule="auto"/>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踏勘现场</w:t>
            </w:r>
          </w:p>
        </w:tc>
        <w:tc>
          <w:tcPr>
            <w:tcW w:w="6604" w:type="dxa"/>
            <w:vAlign w:val="center"/>
          </w:tcPr>
          <w:p>
            <w:pPr>
              <w:snapToGrid w:val="0"/>
              <w:spacing w:line="360" w:lineRule="auto"/>
              <w:rPr>
                <w:rFonts w:ascii="宋体" w:hAnsi="宋体" w:cs="宋体"/>
                <w:color w:val="auto"/>
                <w:kern w:val="0"/>
                <w:sz w:val="21"/>
                <w:szCs w:val="21"/>
                <w:highlight w:val="none"/>
              </w:rPr>
            </w:pPr>
            <w:r>
              <w:rPr>
                <w:rFonts w:hint="eastAsia" w:ascii="宋体" w:hAnsi="宋体"/>
                <w:bCs/>
                <w:color w:val="auto"/>
                <w:sz w:val="21"/>
                <w:szCs w:val="21"/>
                <w:highlight w:val="none"/>
              </w:rPr>
              <w:t xml:space="preserve">自行踏勘，联系人：陈老师、高老师     联系方式 </w:t>
            </w:r>
            <w:r>
              <w:rPr>
                <w:rFonts w:ascii="宋体" w:hAnsi="宋体"/>
                <w:bCs/>
                <w:color w:val="auto"/>
                <w:sz w:val="21"/>
                <w:szCs w:val="21"/>
                <w:highlight w:val="none"/>
              </w:rPr>
              <w:t>13957112950</w:t>
            </w:r>
            <w:r>
              <w:rPr>
                <w:rFonts w:hint="eastAsia" w:ascii="宋体" w:hAnsi="宋体"/>
                <w:bCs/>
                <w:color w:val="auto"/>
                <w:sz w:val="21"/>
                <w:szCs w:val="21"/>
                <w:highlight w:val="none"/>
              </w:rPr>
              <w:t>、1</w:t>
            </w:r>
            <w:r>
              <w:rPr>
                <w:rFonts w:ascii="宋体" w:hAnsi="宋体"/>
                <w:bCs/>
                <w:color w:val="auto"/>
                <w:sz w:val="21"/>
                <w:szCs w:val="21"/>
                <w:highlight w:val="none"/>
              </w:rPr>
              <w:t>8989489002</w:t>
            </w:r>
            <w:r>
              <w:rPr>
                <w:rFonts w:hint="eastAsia" w:ascii="宋体" w:hAnsi="宋体"/>
                <w:bCs/>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4</w:t>
            </w:r>
          </w:p>
        </w:tc>
        <w:tc>
          <w:tcPr>
            <w:tcW w:w="1830" w:type="dxa"/>
            <w:vAlign w:val="center"/>
          </w:tcPr>
          <w:p>
            <w:pPr>
              <w:pStyle w:val="176"/>
              <w:snapToGrid w:val="0"/>
              <w:spacing w:line="360" w:lineRule="auto"/>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资金来源</w:t>
            </w:r>
          </w:p>
        </w:tc>
        <w:tc>
          <w:tcPr>
            <w:tcW w:w="6604" w:type="dxa"/>
            <w:vAlign w:val="center"/>
          </w:tcPr>
          <w:p>
            <w:pPr>
              <w:autoSpaceDE w:val="0"/>
              <w:autoSpaceDN w:val="0"/>
              <w:adjustRightInd w:val="0"/>
              <w:snapToGrid w:val="0"/>
              <w:spacing w:line="360" w:lineRule="auto"/>
              <w:ind w:right="105" w:rightChars="50"/>
              <w:rPr>
                <w:rFonts w:ascii="宋体" w:hAnsi="宋体" w:cs="宋体"/>
                <w:color w:val="auto"/>
                <w:kern w:val="0"/>
                <w:sz w:val="21"/>
                <w:szCs w:val="21"/>
                <w:highlight w:val="none"/>
              </w:rPr>
            </w:pPr>
            <w:r>
              <w:rPr>
                <w:rFonts w:hint="eastAsia" w:ascii="宋体" w:hAnsi="宋体" w:cs="宋体"/>
                <w:color w:val="auto"/>
                <w:kern w:val="0"/>
                <w:sz w:val="21"/>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5</w:t>
            </w:r>
          </w:p>
        </w:tc>
        <w:tc>
          <w:tcPr>
            <w:tcW w:w="1830" w:type="dxa"/>
            <w:vAlign w:val="center"/>
          </w:tcPr>
          <w:p>
            <w:pPr>
              <w:pStyle w:val="176"/>
              <w:snapToGrid w:val="0"/>
              <w:spacing w:line="360" w:lineRule="auto"/>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环境标志产品</w:t>
            </w:r>
          </w:p>
          <w:p>
            <w:pPr>
              <w:pStyle w:val="176"/>
              <w:snapToGrid w:val="0"/>
              <w:spacing w:line="360" w:lineRule="auto"/>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节能产品</w:t>
            </w:r>
          </w:p>
        </w:tc>
        <w:tc>
          <w:tcPr>
            <w:tcW w:w="6604" w:type="dxa"/>
            <w:vAlign w:val="center"/>
          </w:tcPr>
          <w:p>
            <w:pPr>
              <w:autoSpaceDE w:val="0"/>
              <w:autoSpaceDN w:val="0"/>
              <w:adjustRightInd w:val="0"/>
              <w:snapToGrid w:val="0"/>
              <w:spacing w:line="360" w:lineRule="auto"/>
              <w:ind w:right="105" w:rightChars="50"/>
              <w:rPr>
                <w:rFonts w:ascii="宋体" w:hAnsi="宋体" w:cs="宋体"/>
                <w:color w:val="auto"/>
                <w:kern w:val="0"/>
                <w:sz w:val="21"/>
                <w:szCs w:val="21"/>
                <w:highlight w:val="none"/>
              </w:rPr>
            </w:pPr>
            <w:r>
              <w:rPr>
                <w:rFonts w:hint="eastAsia" w:ascii="宋体" w:hAnsi="宋体" w:cs="宋体"/>
                <w:color w:val="auto"/>
                <w:kern w:val="0"/>
                <w:sz w:val="21"/>
                <w:szCs w:val="21"/>
                <w:highlight w:val="none"/>
              </w:rPr>
              <w:t>（1）严格执行《财政部 发展改革委 生态环境部 市场监管总局关于调整优化节能产品、环境标志产品政府采购执行机制的通知》（财库〔2019〕9号）。</w:t>
            </w:r>
          </w:p>
          <w:p>
            <w:pPr>
              <w:autoSpaceDE w:val="0"/>
              <w:autoSpaceDN w:val="0"/>
              <w:adjustRightInd w:val="0"/>
              <w:snapToGrid w:val="0"/>
              <w:spacing w:line="360" w:lineRule="auto"/>
              <w:ind w:right="105" w:rightChars="50"/>
              <w:rPr>
                <w:rFonts w:ascii="宋体" w:hAnsi="宋体" w:cs="宋体"/>
                <w:color w:val="auto"/>
                <w:kern w:val="0"/>
                <w:sz w:val="21"/>
                <w:szCs w:val="21"/>
                <w:highlight w:val="none"/>
              </w:rPr>
            </w:pPr>
            <w:r>
              <w:rPr>
                <w:rFonts w:hint="eastAsia" w:ascii="宋体" w:hAnsi="宋体" w:cs="宋体"/>
                <w:color w:val="auto"/>
                <w:kern w:val="0"/>
                <w:sz w:val="21"/>
                <w:szCs w:val="21"/>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autoSpaceDE w:val="0"/>
              <w:autoSpaceDN w:val="0"/>
              <w:adjustRightInd w:val="0"/>
              <w:snapToGrid w:val="0"/>
              <w:spacing w:line="360" w:lineRule="auto"/>
              <w:ind w:right="105" w:rightChars="50"/>
              <w:rPr>
                <w:rFonts w:ascii="宋体" w:hAnsi="宋体" w:cs="宋体"/>
                <w:color w:val="auto"/>
                <w:kern w:val="0"/>
                <w:sz w:val="21"/>
                <w:szCs w:val="21"/>
                <w:highlight w:val="none"/>
              </w:rPr>
            </w:pPr>
            <w:r>
              <w:rPr>
                <w:rFonts w:hint="eastAsia" w:ascii="宋体" w:hAnsi="宋体" w:cs="宋体"/>
                <w:color w:val="auto"/>
                <w:kern w:val="0"/>
                <w:sz w:val="21"/>
                <w:szCs w:val="21"/>
                <w:highlight w:val="none"/>
              </w:rPr>
              <w:t>▲（3）采购人拟采购的产品属于政府强制采购的节能产品品目清单范围的，供应商未按采购文件要求提供国家确定的认证机构出具的、处于有效期之内的节能产品认证证书，投标无效。</w:t>
            </w:r>
          </w:p>
          <w:p>
            <w:pPr>
              <w:numPr>
                <w:ilvl w:val="0"/>
                <w:numId w:val="1"/>
              </w:numPr>
              <w:autoSpaceDE w:val="0"/>
              <w:autoSpaceDN w:val="0"/>
              <w:adjustRightInd w:val="0"/>
              <w:snapToGrid w:val="0"/>
              <w:spacing w:line="360" w:lineRule="auto"/>
              <w:ind w:right="105" w:rightChars="50"/>
              <w:rPr>
                <w:rFonts w:ascii="宋体" w:hAnsi="宋体" w:cs="宋体"/>
                <w:color w:val="auto"/>
                <w:kern w:val="0"/>
                <w:sz w:val="21"/>
                <w:szCs w:val="21"/>
                <w:highlight w:val="none"/>
              </w:rPr>
            </w:pPr>
            <w:r>
              <w:rPr>
                <w:rFonts w:hint="eastAsia" w:ascii="宋体" w:hAnsi="宋体" w:cs="宋体"/>
                <w:color w:val="auto"/>
                <w:kern w:val="0"/>
                <w:sz w:val="21"/>
                <w:szCs w:val="21"/>
                <w:highlight w:val="none"/>
              </w:rPr>
              <w:t>属于政府优先采购产品类别的，须按照要求提供依据国家确定的认证机构出具的、处于有效期之内的节能产品或环境标志产品认证证书，否则不予认定。</w:t>
            </w:r>
          </w:p>
          <w:p>
            <w:pPr>
              <w:autoSpaceDE w:val="0"/>
              <w:autoSpaceDN w:val="0"/>
              <w:adjustRightInd w:val="0"/>
              <w:snapToGrid w:val="0"/>
              <w:spacing w:line="360" w:lineRule="auto"/>
              <w:ind w:right="105" w:rightChars="50"/>
              <w:rPr>
                <w:rFonts w:ascii="宋体" w:hAnsi="宋体" w:cs="宋体"/>
                <w:color w:val="auto"/>
                <w:kern w:val="0"/>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不</w:t>
            </w:r>
            <w:r>
              <w:rPr>
                <w:rFonts w:hint="eastAsia" w:ascii="宋体" w:hAnsi="宋体" w:cs="宋体"/>
                <w:bCs/>
                <w:color w:val="auto"/>
                <w:sz w:val="21"/>
                <w:szCs w:val="21"/>
                <w:highlight w:val="none"/>
              </w:rPr>
              <w:t xml:space="preserve">适用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 xml:space="preserve">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6</w:t>
            </w:r>
          </w:p>
        </w:tc>
        <w:tc>
          <w:tcPr>
            <w:tcW w:w="1830" w:type="dxa"/>
            <w:vAlign w:val="center"/>
          </w:tcPr>
          <w:p>
            <w:pPr>
              <w:pStyle w:val="176"/>
              <w:snapToGrid w:val="0"/>
              <w:spacing w:line="360" w:lineRule="auto"/>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ab/>
            </w:r>
            <w:r>
              <w:rPr>
                <w:rFonts w:ascii="Times New Roman" w:hAnsi="Times New Roman"/>
                <w:color w:val="auto"/>
                <w:sz w:val="21"/>
                <w:szCs w:val="21"/>
                <w:highlight w:val="none"/>
              </w:rPr>
              <w:t>投标产品主体</w:t>
            </w:r>
          </w:p>
        </w:tc>
        <w:tc>
          <w:tcPr>
            <w:tcW w:w="6604" w:type="dxa"/>
            <w:vAlign w:val="center"/>
          </w:tcPr>
          <w:p>
            <w:pPr>
              <w:autoSpaceDE w:val="0"/>
              <w:autoSpaceDN w:val="0"/>
              <w:adjustRightInd w:val="0"/>
              <w:snapToGrid w:val="0"/>
              <w:spacing w:line="360" w:lineRule="auto"/>
              <w:ind w:right="105" w:rightChars="50"/>
              <w:rPr>
                <w:rFonts w:ascii="宋体" w:hAnsi="宋体" w:cs="宋体"/>
                <w:color w:val="auto"/>
                <w:kern w:val="0"/>
                <w:sz w:val="21"/>
                <w:szCs w:val="21"/>
                <w:highlight w:val="none"/>
              </w:rPr>
            </w:pPr>
            <w:r>
              <w:rPr>
                <w:rFonts w:hint="eastAsia" w:ascii="宋体" w:hAnsi="宋体" w:cs="宋体"/>
                <w:color w:val="auto"/>
                <w:sz w:val="21"/>
                <w:szCs w:val="21"/>
                <w:highlight w:val="none"/>
              </w:rPr>
              <w:t>□</w:t>
            </w:r>
            <w:r>
              <w:rPr>
                <w:rFonts w:hint="eastAsia" w:ascii="宋体" w:hAnsi="宋体" w:cs="宋体"/>
                <w:bCs/>
                <w:color w:val="auto"/>
                <w:sz w:val="21"/>
                <w:szCs w:val="21"/>
                <w:highlight w:val="none"/>
              </w:rPr>
              <w:t xml:space="preserve">适用  </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kern w:val="0"/>
                <w:sz w:val="21"/>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7</w:t>
            </w:r>
          </w:p>
        </w:tc>
        <w:tc>
          <w:tcPr>
            <w:tcW w:w="1830" w:type="dxa"/>
            <w:vAlign w:val="center"/>
          </w:tcPr>
          <w:p>
            <w:pPr>
              <w:pStyle w:val="176"/>
              <w:snapToGrid w:val="0"/>
              <w:spacing w:line="360" w:lineRule="auto"/>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投标保证金</w:t>
            </w:r>
          </w:p>
        </w:tc>
        <w:tc>
          <w:tcPr>
            <w:tcW w:w="6604" w:type="dxa"/>
            <w:vAlign w:val="center"/>
          </w:tcPr>
          <w:p>
            <w:pPr>
              <w:pStyle w:val="176"/>
              <w:snapToGrid w:val="0"/>
              <w:spacing w:line="360" w:lineRule="auto"/>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Cs/>
                <w:color w:val="auto"/>
                <w:sz w:val="21"/>
                <w:szCs w:val="21"/>
                <w:highlight w:val="none"/>
              </w:rPr>
              <w:t xml:space="preserve">适用  </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kern w:val="0"/>
                <w:sz w:val="21"/>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8</w:t>
            </w:r>
          </w:p>
        </w:tc>
        <w:tc>
          <w:tcPr>
            <w:tcW w:w="1830" w:type="dxa"/>
            <w:vAlign w:val="center"/>
          </w:tcPr>
          <w:p>
            <w:pPr>
              <w:pStyle w:val="176"/>
              <w:snapToGrid w:val="0"/>
              <w:spacing w:line="360" w:lineRule="auto"/>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投标文件有效期</w:t>
            </w:r>
          </w:p>
        </w:tc>
        <w:tc>
          <w:tcPr>
            <w:tcW w:w="6604" w:type="dxa"/>
            <w:vAlign w:val="center"/>
          </w:tcPr>
          <w:p>
            <w:pPr>
              <w:widowControl/>
              <w:snapToGrid w:val="0"/>
              <w:spacing w:line="360" w:lineRule="auto"/>
              <w:rPr>
                <w:color w:val="auto"/>
                <w:sz w:val="21"/>
                <w:szCs w:val="21"/>
                <w:highlight w:val="none"/>
              </w:rPr>
            </w:pPr>
            <w:r>
              <w:rPr>
                <w:color w:val="auto"/>
                <w:sz w:val="21"/>
                <w:szCs w:val="21"/>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9</w:t>
            </w:r>
          </w:p>
        </w:tc>
        <w:tc>
          <w:tcPr>
            <w:tcW w:w="1830" w:type="dxa"/>
            <w:vAlign w:val="center"/>
          </w:tcPr>
          <w:p>
            <w:pPr>
              <w:pStyle w:val="176"/>
              <w:snapToGrid w:val="0"/>
              <w:spacing w:line="360" w:lineRule="auto"/>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投标截止时间</w:t>
            </w:r>
          </w:p>
        </w:tc>
        <w:tc>
          <w:tcPr>
            <w:tcW w:w="6604" w:type="dxa"/>
            <w:vAlign w:val="center"/>
          </w:tcPr>
          <w:p>
            <w:pPr>
              <w:pStyle w:val="176"/>
              <w:snapToGrid w:val="0"/>
              <w:spacing w:line="360" w:lineRule="auto"/>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10</w:t>
            </w:r>
          </w:p>
        </w:tc>
        <w:tc>
          <w:tcPr>
            <w:tcW w:w="1830" w:type="dxa"/>
            <w:vAlign w:val="center"/>
          </w:tcPr>
          <w:p>
            <w:pPr>
              <w:pStyle w:val="176"/>
              <w:snapToGrid w:val="0"/>
              <w:spacing w:line="360" w:lineRule="auto"/>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投标地点</w:t>
            </w:r>
          </w:p>
        </w:tc>
        <w:tc>
          <w:tcPr>
            <w:tcW w:w="6604" w:type="dxa"/>
            <w:vAlign w:val="center"/>
          </w:tcPr>
          <w:p>
            <w:pPr>
              <w:pStyle w:val="176"/>
              <w:snapToGrid w:val="0"/>
              <w:spacing w:line="360" w:lineRule="auto"/>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11</w:t>
            </w:r>
          </w:p>
        </w:tc>
        <w:tc>
          <w:tcPr>
            <w:tcW w:w="1830" w:type="dxa"/>
            <w:vAlign w:val="center"/>
          </w:tcPr>
          <w:p>
            <w:pPr>
              <w:pStyle w:val="176"/>
              <w:snapToGrid w:val="0"/>
              <w:spacing w:line="360" w:lineRule="auto"/>
              <w:ind w:firstLine="0" w:firstLineChars="0"/>
              <w:jc w:val="left"/>
              <w:rPr>
                <w:rFonts w:ascii="Times New Roman" w:hAnsi="Times New Roman"/>
                <w:color w:val="auto"/>
                <w:sz w:val="21"/>
                <w:szCs w:val="21"/>
                <w:highlight w:val="none"/>
              </w:rPr>
            </w:pPr>
            <w:r>
              <w:rPr>
                <w:rFonts w:ascii="Times New Roman" w:hAnsi="Times New Roman"/>
                <w:color w:val="auto"/>
                <w:sz w:val="21"/>
                <w:szCs w:val="21"/>
                <w:highlight w:val="none"/>
              </w:rPr>
              <w:t>开标时间和地点</w:t>
            </w:r>
          </w:p>
        </w:tc>
        <w:tc>
          <w:tcPr>
            <w:tcW w:w="6604" w:type="dxa"/>
            <w:vAlign w:val="center"/>
          </w:tcPr>
          <w:p>
            <w:pPr>
              <w:pStyle w:val="176"/>
              <w:snapToGrid w:val="0"/>
              <w:spacing w:line="360" w:lineRule="auto"/>
              <w:ind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12</w:t>
            </w:r>
          </w:p>
        </w:tc>
        <w:tc>
          <w:tcPr>
            <w:tcW w:w="1830" w:type="dxa"/>
            <w:vAlign w:val="center"/>
          </w:tcPr>
          <w:p>
            <w:pPr>
              <w:adjustRightInd w:val="0"/>
              <w:snapToGrid w:val="0"/>
              <w:spacing w:line="360" w:lineRule="auto"/>
              <w:jc w:val="left"/>
              <w:rPr>
                <w:snapToGrid w:val="0"/>
                <w:color w:val="auto"/>
                <w:kern w:val="0"/>
                <w:sz w:val="21"/>
                <w:szCs w:val="21"/>
                <w:highlight w:val="none"/>
              </w:rPr>
            </w:pPr>
            <w:r>
              <w:rPr>
                <w:snapToGrid w:val="0"/>
                <w:color w:val="auto"/>
                <w:kern w:val="0"/>
                <w:sz w:val="21"/>
                <w:szCs w:val="21"/>
                <w:highlight w:val="none"/>
              </w:rPr>
              <w:t>投标答疑</w:t>
            </w:r>
          </w:p>
        </w:tc>
        <w:tc>
          <w:tcPr>
            <w:tcW w:w="6604" w:type="dxa"/>
            <w:vAlign w:val="center"/>
          </w:tcPr>
          <w:p>
            <w:pPr>
              <w:adjustRightInd w:val="0"/>
              <w:snapToGrid w:val="0"/>
              <w:spacing w:line="360" w:lineRule="auto"/>
              <w:rPr>
                <w:color w:val="auto"/>
                <w:kern w:val="0"/>
                <w:sz w:val="21"/>
                <w:szCs w:val="21"/>
                <w:highlight w:val="none"/>
              </w:rPr>
            </w:pPr>
            <w:r>
              <w:rPr>
                <w:color w:val="auto"/>
                <w:sz w:val="21"/>
                <w:szCs w:val="21"/>
                <w:highlight w:val="none"/>
              </w:rPr>
              <w:t>供应商如认为采购文件表述不清晰的，请于20</w:t>
            </w:r>
            <w:r>
              <w:rPr>
                <w:rFonts w:hint="eastAsia"/>
                <w:color w:val="auto"/>
                <w:sz w:val="21"/>
                <w:szCs w:val="21"/>
                <w:highlight w:val="none"/>
              </w:rPr>
              <w:t>22</w:t>
            </w:r>
            <w:r>
              <w:rPr>
                <w:color w:val="auto"/>
                <w:sz w:val="21"/>
                <w:szCs w:val="21"/>
                <w:highlight w:val="none"/>
              </w:rPr>
              <w:t>年</w:t>
            </w:r>
            <w:r>
              <w:rPr>
                <w:rFonts w:hint="eastAsia"/>
                <w:color w:val="auto"/>
                <w:sz w:val="21"/>
                <w:szCs w:val="21"/>
                <w:highlight w:val="none"/>
                <w:lang w:val="en-US" w:eastAsia="zh-CN"/>
              </w:rPr>
              <w:t>12</w:t>
            </w:r>
            <w:r>
              <w:rPr>
                <w:color w:val="auto"/>
                <w:sz w:val="21"/>
                <w:szCs w:val="21"/>
                <w:highlight w:val="none"/>
              </w:rPr>
              <w:t>月</w:t>
            </w:r>
            <w:r>
              <w:rPr>
                <w:rFonts w:hint="eastAsia"/>
                <w:color w:val="auto"/>
                <w:sz w:val="21"/>
                <w:szCs w:val="21"/>
                <w:highlight w:val="none"/>
                <w:lang w:val="en-US" w:eastAsia="zh-CN"/>
              </w:rPr>
              <w:t>1</w:t>
            </w:r>
            <w:r>
              <w:rPr>
                <w:color w:val="auto"/>
                <w:sz w:val="21"/>
                <w:szCs w:val="21"/>
                <w:highlight w:val="none"/>
              </w:rPr>
              <w:t>日17</w:t>
            </w:r>
            <w:r>
              <w:rPr>
                <w:rFonts w:hint="eastAsia"/>
                <w:color w:val="auto"/>
                <w:sz w:val="21"/>
                <w:szCs w:val="21"/>
                <w:highlight w:val="none"/>
              </w:rPr>
              <w:t>：</w:t>
            </w:r>
            <w:r>
              <w:rPr>
                <w:color w:val="auto"/>
                <w:sz w:val="21"/>
                <w:szCs w:val="21"/>
                <w:highlight w:val="none"/>
              </w:rPr>
              <w:t>00之前将疑问</w:t>
            </w:r>
            <w:r>
              <w:rPr>
                <w:rFonts w:hint="eastAsia"/>
                <w:color w:val="auto"/>
                <w:sz w:val="21"/>
                <w:szCs w:val="21"/>
                <w:highlight w:val="none"/>
              </w:rPr>
              <w:t>发送至该电子邮件（邮箱</w:t>
            </w:r>
            <w:r>
              <w:rPr>
                <w:rFonts w:hint="eastAsia"/>
                <w:color w:val="auto"/>
                <w:kern w:val="0"/>
                <w:sz w:val="21"/>
                <w:szCs w:val="21"/>
                <w:highlight w:val="none"/>
                <w:lang w:val="en-US" w:eastAsia="zh-CN"/>
              </w:rPr>
              <w:t>403873921</w:t>
            </w:r>
            <w:r>
              <w:rPr>
                <w:rFonts w:hint="eastAsia"/>
                <w:color w:val="auto"/>
                <w:kern w:val="0"/>
                <w:sz w:val="21"/>
                <w:szCs w:val="21"/>
                <w:highlight w:val="none"/>
              </w:rPr>
              <w:t>@qq.com</w:t>
            </w:r>
            <w:r>
              <w:rPr>
                <w:rFonts w:hint="eastAsia"/>
                <w:color w:val="auto"/>
                <w:sz w:val="21"/>
                <w:szCs w:val="21"/>
                <w:highlight w:val="none"/>
              </w:rPr>
              <w:t>）</w:t>
            </w:r>
            <w:r>
              <w:rPr>
                <w:color w:val="auto"/>
                <w:sz w:val="21"/>
                <w:szCs w:val="21"/>
                <w:highlight w:val="none"/>
              </w:rPr>
              <w:t>。答疑回复内容是采购文件的组成部份，并将以</w:t>
            </w:r>
            <w:r>
              <w:rPr>
                <w:rFonts w:hint="eastAsia"/>
                <w:color w:val="auto"/>
                <w:sz w:val="21"/>
                <w:szCs w:val="21"/>
                <w:highlight w:val="none"/>
              </w:rPr>
              <w:t>更正公告的</w:t>
            </w:r>
            <w:r>
              <w:rPr>
                <w:color w:val="auto"/>
                <w:sz w:val="21"/>
                <w:szCs w:val="21"/>
                <w:highlight w:val="none"/>
              </w:rPr>
              <w:t>形式</w:t>
            </w:r>
            <w:r>
              <w:rPr>
                <w:rFonts w:hint="eastAsia"/>
                <w:color w:val="auto"/>
                <w:sz w:val="21"/>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13</w:t>
            </w:r>
          </w:p>
        </w:tc>
        <w:tc>
          <w:tcPr>
            <w:tcW w:w="1830" w:type="dxa"/>
            <w:vAlign w:val="center"/>
          </w:tcPr>
          <w:p>
            <w:pPr>
              <w:adjustRightInd w:val="0"/>
              <w:snapToGrid w:val="0"/>
              <w:spacing w:line="360" w:lineRule="auto"/>
              <w:jc w:val="left"/>
              <w:rPr>
                <w:color w:val="auto"/>
                <w:sz w:val="21"/>
                <w:szCs w:val="21"/>
                <w:highlight w:val="none"/>
              </w:rPr>
            </w:pPr>
            <w:r>
              <w:rPr>
                <w:color w:val="auto"/>
                <w:sz w:val="21"/>
                <w:szCs w:val="21"/>
                <w:highlight w:val="none"/>
              </w:rPr>
              <w:t>采购文件的澄清与修改</w:t>
            </w:r>
          </w:p>
        </w:tc>
        <w:tc>
          <w:tcPr>
            <w:tcW w:w="6604"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14</w:t>
            </w:r>
          </w:p>
        </w:tc>
        <w:tc>
          <w:tcPr>
            <w:tcW w:w="1830" w:type="dxa"/>
            <w:vAlign w:val="center"/>
          </w:tcPr>
          <w:p>
            <w:pPr>
              <w:snapToGrid w:val="0"/>
              <w:spacing w:line="360" w:lineRule="exact"/>
              <w:jc w:val="left"/>
              <w:rPr>
                <w:rFonts w:ascii="宋体" w:hAnsi="宋体"/>
                <w:color w:val="auto"/>
                <w:sz w:val="21"/>
                <w:szCs w:val="21"/>
                <w:highlight w:val="none"/>
              </w:rPr>
            </w:pPr>
            <w:r>
              <w:rPr>
                <w:rFonts w:hint="eastAsia" w:ascii="宋体" w:hAnsi="宋体"/>
                <w:color w:val="auto"/>
                <w:sz w:val="21"/>
                <w:szCs w:val="21"/>
                <w:highlight w:val="none"/>
              </w:rPr>
              <w:t>投标文件形式</w:t>
            </w:r>
          </w:p>
        </w:tc>
        <w:tc>
          <w:tcPr>
            <w:tcW w:w="6604"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本项目实行电子投标。</w:t>
            </w:r>
          </w:p>
          <w:p>
            <w:pPr>
              <w:adjustRightInd w:val="0"/>
              <w:snapToGrid w:val="0"/>
              <w:spacing w:line="360" w:lineRule="auto"/>
              <w:rPr>
                <w:color w:val="auto"/>
                <w:sz w:val="21"/>
                <w:szCs w:val="21"/>
                <w:highlight w:val="none"/>
              </w:rPr>
            </w:pPr>
            <w:r>
              <w:rPr>
                <w:rFonts w:hint="eastAsia"/>
                <w:color w:val="auto"/>
                <w:sz w:val="21"/>
                <w:szCs w:val="21"/>
                <w:highlight w:val="none"/>
              </w:rPr>
              <w:t>供应商应准备2种形式的投标文件：电子加密投标文件、以介质存储的数据电文形式的备份投标文件。</w:t>
            </w:r>
          </w:p>
          <w:p>
            <w:pPr>
              <w:adjustRightInd w:val="0"/>
              <w:snapToGrid w:val="0"/>
              <w:spacing w:line="360" w:lineRule="auto"/>
              <w:rPr>
                <w:color w:val="auto"/>
                <w:sz w:val="21"/>
                <w:szCs w:val="21"/>
                <w:highlight w:val="none"/>
              </w:rPr>
            </w:pPr>
            <w:r>
              <w:rPr>
                <w:color w:val="auto"/>
                <w:sz w:val="21"/>
                <w:szCs w:val="21"/>
                <w:highlight w:val="none"/>
              </w:rPr>
              <w:t>（1）“电子加密投标文件”是指通过“政采云电子交易客户端”完成投标文件编制后生成并加密的数据电文形式的投标文件</w:t>
            </w:r>
            <w:r>
              <w:rPr>
                <w:rFonts w:hint="eastAsia"/>
                <w:color w:val="auto"/>
                <w:sz w:val="21"/>
                <w:szCs w:val="21"/>
                <w:highlight w:val="none"/>
              </w:rPr>
              <w:t>（后缀格式为.jmbs）</w:t>
            </w:r>
          </w:p>
          <w:p>
            <w:pPr>
              <w:adjustRightInd w:val="0"/>
              <w:snapToGrid w:val="0"/>
              <w:spacing w:line="360" w:lineRule="auto"/>
              <w:rPr>
                <w:rFonts w:ascii="宋体" w:hAnsi="宋体"/>
                <w:color w:val="auto"/>
                <w:sz w:val="21"/>
                <w:szCs w:val="21"/>
                <w:highlight w:val="none"/>
              </w:rPr>
            </w:pPr>
            <w:r>
              <w:rPr>
                <w:color w:val="auto"/>
                <w:sz w:val="21"/>
                <w:szCs w:val="21"/>
                <w:highlight w:val="none"/>
              </w:rPr>
              <w:t>（2）“备份投标文件”是指与“电子加密投标文件”同时生成的数据电文形式的电子文件（备份投标文件</w:t>
            </w:r>
            <w:r>
              <w:rPr>
                <w:rFonts w:hint="eastAsia"/>
                <w:color w:val="auto"/>
                <w:sz w:val="21"/>
                <w:szCs w:val="21"/>
                <w:highlight w:val="none"/>
              </w:rPr>
              <w:t>，用于供应商</w:t>
            </w:r>
            <w:r>
              <w:rPr>
                <w:color w:val="auto"/>
                <w:sz w:val="21"/>
                <w:szCs w:val="21"/>
                <w:highlight w:val="none"/>
              </w:rPr>
              <w:t>电子加密投标文件</w:t>
            </w:r>
            <w:r>
              <w:rPr>
                <w:rFonts w:hint="eastAsia"/>
                <w:color w:val="auto"/>
                <w:sz w:val="21"/>
                <w:szCs w:val="21"/>
                <w:highlight w:val="none"/>
              </w:rPr>
              <w:t>解密异常时应急使用</w:t>
            </w:r>
            <w:r>
              <w:rPr>
                <w:color w:val="auto"/>
                <w:sz w:val="21"/>
                <w:szCs w:val="21"/>
                <w:highlight w:val="none"/>
              </w:rPr>
              <w:t>），其他方式编制的备份投标文件视为无效备份投标文件</w:t>
            </w:r>
            <w:r>
              <w:rPr>
                <w:rFonts w:hint="eastAsia"/>
                <w:color w:val="auto"/>
                <w:sz w:val="21"/>
                <w:szCs w:val="21"/>
                <w:highlight w:val="none"/>
              </w:rPr>
              <w:t>。</w:t>
            </w:r>
            <w:r>
              <w:rPr>
                <w:color w:val="auto"/>
                <w:sz w:val="21"/>
                <w:szCs w:val="21"/>
                <w:highlight w:val="none"/>
              </w:rPr>
              <w:t>备份投标文件</w:t>
            </w:r>
            <w:r>
              <w:rPr>
                <w:rFonts w:hint="eastAsia"/>
                <w:color w:val="auto"/>
                <w:sz w:val="21"/>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15</w:t>
            </w:r>
          </w:p>
        </w:tc>
        <w:tc>
          <w:tcPr>
            <w:tcW w:w="1830" w:type="dxa"/>
            <w:vAlign w:val="center"/>
          </w:tcPr>
          <w:p>
            <w:pPr>
              <w:pStyle w:val="176"/>
              <w:snapToGrid w:val="0"/>
              <w:spacing w:line="360" w:lineRule="auto"/>
              <w:ind w:firstLine="0" w:firstLineChars="0"/>
              <w:jc w:val="left"/>
              <w:rPr>
                <w:rFonts w:ascii="Times New Roman" w:hAnsi="Times New Roman"/>
                <w:color w:val="auto"/>
                <w:sz w:val="21"/>
                <w:szCs w:val="21"/>
                <w:highlight w:val="none"/>
              </w:rPr>
            </w:pPr>
            <w:r>
              <w:rPr>
                <w:rFonts w:hint="eastAsia" w:ascii="宋体" w:hAnsi="宋体"/>
                <w:color w:val="auto"/>
                <w:sz w:val="21"/>
                <w:szCs w:val="21"/>
                <w:highlight w:val="none"/>
              </w:rPr>
              <w:t>投标文件的上传和递交</w:t>
            </w:r>
          </w:p>
        </w:tc>
        <w:tc>
          <w:tcPr>
            <w:tcW w:w="6604" w:type="dxa"/>
            <w:vAlign w:val="center"/>
          </w:tcPr>
          <w:p>
            <w:pPr>
              <w:adjustRightInd w:val="0"/>
              <w:snapToGrid w:val="0"/>
              <w:spacing w:line="360" w:lineRule="auto"/>
              <w:rPr>
                <w:color w:val="auto"/>
                <w:sz w:val="21"/>
                <w:szCs w:val="21"/>
                <w:highlight w:val="none"/>
              </w:rPr>
            </w:pPr>
            <w:r>
              <w:rPr>
                <w:rFonts w:hint="eastAsia"/>
                <w:color w:val="auto"/>
                <w:sz w:val="21"/>
                <w:szCs w:val="21"/>
                <w:highlight w:val="none"/>
              </w:rPr>
              <w:t>（1）电子加密投标文件：投标文件制作完成并生成加密文件，在投标截止时间前，供应商需将加密的投标文件上传至浙江政府采购网，到达开标时间后，供应商自行解密。</w:t>
            </w:r>
          </w:p>
          <w:p>
            <w:pPr>
              <w:pStyle w:val="176"/>
              <w:snapToGrid w:val="0"/>
              <w:spacing w:line="360" w:lineRule="auto"/>
              <w:ind w:firstLine="0" w:firstLineChars="0"/>
              <w:rPr>
                <w:color w:val="auto"/>
                <w:sz w:val="21"/>
                <w:szCs w:val="21"/>
                <w:highlight w:val="none"/>
              </w:rPr>
            </w:pPr>
            <w:r>
              <w:rPr>
                <w:rFonts w:hint="eastAsia"/>
                <w:color w:val="auto"/>
                <w:sz w:val="21"/>
                <w:szCs w:val="21"/>
                <w:highlight w:val="none"/>
              </w:rPr>
              <w:t>供应商未能在投标截止时间前成功上传电子加密投标文件的投标无效。</w:t>
            </w:r>
          </w:p>
          <w:p>
            <w:pPr>
              <w:adjustRightInd w:val="0"/>
              <w:snapToGrid w:val="0"/>
              <w:spacing w:line="360" w:lineRule="auto"/>
              <w:rPr>
                <w:color w:val="auto"/>
                <w:sz w:val="21"/>
                <w:szCs w:val="21"/>
                <w:highlight w:val="none"/>
              </w:rPr>
            </w:pPr>
            <w:r>
              <w:rPr>
                <w:rFonts w:hint="eastAsia"/>
                <w:color w:val="auto"/>
                <w:sz w:val="21"/>
                <w:szCs w:val="21"/>
                <w:highlight w:val="none"/>
              </w:rPr>
              <w:t>（2）备份投标文件：投标截止时间前，供应商应将备份投标文件递交至开标地点，以便电子加密投标文件解密异常时应急使用。</w:t>
            </w:r>
          </w:p>
          <w:p>
            <w:pPr>
              <w:pStyle w:val="176"/>
              <w:snapToGrid w:val="0"/>
              <w:spacing w:line="360" w:lineRule="auto"/>
              <w:ind w:firstLine="0" w:firstLineChars="0"/>
              <w:rPr>
                <w:color w:val="auto"/>
                <w:sz w:val="21"/>
                <w:szCs w:val="21"/>
                <w:highlight w:val="none"/>
              </w:rPr>
            </w:pPr>
            <w:r>
              <w:rPr>
                <w:rFonts w:hint="eastAsia"/>
                <w:color w:val="auto"/>
                <w:sz w:val="21"/>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76"/>
              <w:numPr>
                <w:ilvl w:val="0"/>
                <w:numId w:val="2"/>
              </w:numPr>
              <w:snapToGrid w:val="0"/>
              <w:spacing w:line="360" w:lineRule="auto"/>
              <w:ind w:firstLine="0" w:firstLineChars="0"/>
              <w:rPr>
                <w:color w:val="auto"/>
                <w:sz w:val="21"/>
                <w:szCs w:val="21"/>
                <w:highlight w:val="none"/>
              </w:rPr>
            </w:pPr>
            <w:r>
              <w:rPr>
                <w:rFonts w:hint="eastAsia" w:ascii="宋体" w:hAnsi="宋体" w:cs="Courier New"/>
                <w:bCs/>
                <w:color w:val="auto"/>
                <w:sz w:val="21"/>
                <w:szCs w:val="21"/>
                <w:highlight w:val="none"/>
              </w:rPr>
              <w:t>供应商若选择非开标当天递交，请确保在</w:t>
            </w:r>
            <w:r>
              <w:rPr>
                <w:color w:val="auto"/>
                <w:sz w:val="21"/>
                <w:szCs w:val="21"/>
                <w:highlight w:val="none"/>
              </w:rPr>
              <w:t>20</w:t>
            </w:r>
            <w:r>
              <w:rPr>
                <w:rFonts w:hint="eastAsia"/>
                <w:color w:val="auto"/>
                <w:sz w:val="21"/>
                <w:szCs w:val="21"/>
                <w:highlight w:val="none"/>
              </w:rPr>
              <w:t>22</w:t>
            </w:r>
            <w:r>
              <w:rPr>
                <w:color w:val="auto"/>
                <w:sz w:val="21"/>
                <w:szCs w:val="21"/>
                <w:highlight w:val="none"/>
              </w:rPr>
              <w:t>年</w:t>
            </w:r>
            <w:r>
              <w:rPr>
                <w:rFonts w:hint="eastAsia"/>
                <w:color w:val="auto"/>
                <w:sz w:val="21"/>
                <w:szCs w:val="21"/>
                <w:highlight w:val="none"/>
                <w:lang w:val="en-US" w:eastAsia="zh-CN"/>
              </w:rPr>
              <w:t>12</w:t>
            </w:r>
            <w:r>
              <w:rPr>
                <w:color w:val="auto"/>
                <w:sz w:val="21"/>
                <w:szCs w:val="21"/>
                <w:highlight w:val="none"/>
              </w:rPr>
              <w:t>月</w:t>
            </w:r>
            <w:r>
              <w:rPr>
                <w:rFonts w:hint="eastAsia"/>
                <w:color w:val="auto"/>
                <w:sz w:val="21"/>
                <w:szCs w:val="21"/>
                <w:highlight w:val="none"/>
                <w:lang w:val="en-US" w:eastAsia="zh-CN"/>
              </w:rPr>
              <w:t>14</w:t>
            </w:r>
            <w:r>
              <w:rPr>
                <w:color w:val="auto"/>
                <w:sz w:val="21"/>
                <w:szCs w:val="21"/>
                <w:highlight w:val="none"/>
              </w:rPr>
              <w:t>日17</w:t>
            </w:r>
            <w:r>
              <w:rPr>
                <w:rFonts w:hint="eastAsia"/>
                <w:color w:val="auto"/>
                <w:sz w:val="21"/>
                <w:szCs w:val="21"/>
                <w:highlight w:val="none"/>
              </w:rPr>
              <w:t>：</w:t>
            </w:r>
            <w:r>
              <w:rPr>
                <w:color w:val="auto"/>
                <w:sz w:val="21"/>
                <w:szCs w:val="21"/>
                <w:highlight w:val="none"/>
              </w:rPr>
              <w:t>00之前</w:t>
            </w:r>
            <w:r>
              <w:rPr>
                <w:rFonts w:hint="eastAsia" w:ascii="宋体" w:hAnsi="宋体" w:cs="Courier New"/>
                <w:bCs/>
                <w:color w:val="auto"/>
                <w:sz w:val="21"/>
                <w:szCs w:val="21"/>
                <w:highlight w:val="none"/>
              </w:rPr>
              <w:t>，将备份投标文件通过快递形式或直接送达采购代理机构处，以便</w:t>
            </w:r>
            <w:r>
              <w:rPr>
                <w:rFonts w:hint="eastAsia" w:ascii="宋体" w:hAnsi="宋体"/>
                <w:bCs/>
                <w:color w:val="auto"/>
                <w:sz w:val="21"/>
                <w:szCs w:val="21"/>
                <w:highlight w:val="none"/>
              </w:rPr>
              <w:t>标书解密异常时应急使用</w:t>
            </w:r>
            <w:r>
              <w:rPr>
                <w:rFonts w:hint="eastAsia" w:ascii="宋体" w:hAnsi="宋体" w:cs="Courier New"/>
                <w:bCs/>
                <w:color w:val="auto"/>
                <w:sz w:val="21"/>
                <w:szCs w:val="21"/>
                <w:highlight w:val="none"/>
              </w:rPr>
              <w:t>（地址：杭州市文三路90号东部软件园1号楼3楼307室，接收人：</w:t>
            </w:r>
            <w:r>
              <w:rPr>
                <w:rFonts w:hint="eastAsia" w:ascii="宋体" w:hAnsi="宋体" w:cs="Courier New"/>
                <w:bCs/>
                <w:color w:val="auto"/>
                <w:sz w:val="21"/>
                <w:szCs w:val="21"/>
                <w:highlight w:val="none"/>
                <w:lang w:eastAsia="zh-CN"/>
              </w:rPr>
              <w:t>李博</w:t>
            </w:r>
            <w:r>
              <w:rPr>
                <w:rFonts w:hint="eastAsia" w:ascii="宋体" w:hAnsi="宋体" w:cs="Courier New"/>
                <w:bCs/>
                <w:color w:val="auto"/>
                <w:sz w:val="21"/>
                <w:szCs w:val="21"/>
                <w:highlight w:val="none"/>
              </w:rPr>
              <w:t>，电话：13</w:t>
            </w:r>
            <w:r>
              <w:rPr>
                <w:rFonts w:hint="eastAsia" w:ascii="宋体" w:hAnsi="宋体" w:cs="Courier New"/>
                <w:bCs/>
                <w:color w:val="auto"/>
                <w:sz w:val="21"/>
                <w:szCs w:val="21"/>
                <w:highlight w:val="none"/>
                <w:lang w:val="en-US" w:eastAsia="zh-CN"/>
              </w:rPr>
              <w:t>819182767</w:t>
            </w:r>
            <w:r>
              <w:rPr>
                <w:rFonts w:hint="eastAsia" w:ascii="宋体" w:hAnsi="宋体" w:cs="Courier New"/>
                <w:bCs/>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76"/>
              <w:snapToGrid w:val="0"/>
              <w:spacing w:line="360" w:lineRule="auto"/>
              <w:ind w:firstLine="0" w:firstLineChars="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16</w:t>
            </w:r>
          </w:p>
        </w:tc>
        <w:tc>
          <w:tcPr>
            <w:tcW w:w="1830" w:type="dxa"/>
            <w:vAlign w:val="center"/>
          </w:tcPr>
          <w:p>
            <w:pPr>
              <w:pStyle w:val="176"/>
              <w:snapToGrid w:val="0"/>
              <w:spacing w:line="360" w:lineRule="auto"/>
              <w:ind w:firstLine="0" w:firstLineChars="0"/>
              <w:jc w:val="left"/>
              <w:rPr>
                <w:rFonts w:ascii="Times New Roman" w:hAnsi="Times New Roman"/>
                <w:color w:val="auto"/>
                <w:sz w:val="21"/>
                <w:szCs w:val="21"/>
                <w:highlight w:val="none"/>
              </w:rPr>
            </w:pPr>
            <w:r>
              <w:rPr>
                <w:rFonts w:hint="eastAsia" w:ascii="宋体" w:hAnsi="宋体"/>
                <w:snapToGrid w:val="0"/>
                <w:color w:val="auto"/>
                <w:kern w:val="0"/>
                <w:sz w:val="21"/>
                <w:szCs w:val="21"/>
                <w:highlight w:val="none"/>
              </w:rPr>
              <w:t>询标澄清</w:t>
            </w:r>
          </w:p>
        </w:tc>
        <w:tc>
          <w:tcPr>
            <w:tcW w:w="6604" w:type="dxa"/>
            <w:vAlign w:val="center"/>
          </w:tcPr>
          <w:p>
            <w:pPr>
              <w:pStyle w:val="176"/>
              <w:snapToGrid w:val="0"/>
              <w:spacing w:line="360" w:lineRule="auto"/>
              <w:ind w:firstLine="0" w:firstLineChars="0"/>
              <w:rPr>
                <w:rFonts w:ascii="Times New Roman" w:hAnsi="Times New Roman"/>
                <w:color w:val="auto"/>
                <w:sz w:val="21"/>
                <w:szCs w:val="21"/>
                <w:highlight w:val="none"/>
              </w:rPr>
            </w:pPr>
            <w:r>
              <w:rPr>
                <w:rFonts w:hint="eastAsia" w:hAnsi="宋体"/>
                <w:color w:val="auto"/>
                <w:sz w:val="21"/>
                <w:szCs w:val="21"/>
                <w:highlight w:val="none"/>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sz w:val="21"/>
                <w:szCs w:val="21"/>
                <w:highlight w:val="none"/>
              </w:rPr>
            </w:pPr>
            <w:r>
              <w:rPr>
                <w:rFonts w:hint="eastAsia"/>
                <w:color w:val="auto"/>
                <w:kern w:val="0"/>
                <w:sz w:val="21"/>
                <w:szCs w:val="21"/>
                <w:highlight w:val="none"/>
              </w:rPr>
              <w:t>17</w:t>
            </w:r>
          </w:p>
        </w:tc>
        <w:tc>
          <w:tcPr>
            <w:tcW w:w="1830" w:type="dxa"/>
            <w:vAlign w:val="center"/>
          </w:tcPr>
          <w:p>
            <w:pPr>
              <w:adjustRightInd w:val="0"/>
              <w:snapToGrid w:val="0"/>
              <w:spacing w:line="360" w:lineRule="auto"/>
              <w:jc w:val="left"/>
              <w:rPr>
                <w:snapToGrid w:val="0"/>
                <w:color w:val="auto"/>
                <w:kern w:val="0"/>
                <w:sz w:val="21"/>
                <w:szCs w:val="21"/>
                <w:highlight w:val="none"/>
              </w:rPr>
            </w:pPr>
            <w:r>
              <w:rPr>
                <w:snapToGrid w:val="0"/>
                <w:color w:val="auto"/>
                <w:kern w:val="0"/>
                <w:sz w:val="21"/>
                <w:szCs w:val="21"/>
                <w:highlight w:val="none"/>
              </w:rPr>
              <w:t>质疑</w:t>
            </w:r>
          </w:p>
        </w:tc>
        <w:tc>
          <w:tcPr>
            <w:tcW w:w="6604" w:type="dxa"/>
            <w:vAlign w:val="center"/>
          </w:tcPr>
          <w:p>
            <w:pPr>
              <w:adjustRightInd w:val="0"/>
              <w:snapToGrid w:val="0"/>
              <w:spacing w:line="360" w:lineRule="auto"/>
              <w:jc w:val="left"/>
              <w:rPr>
                <w:color w:val="auto"/>
                <w:sz w:val="21"/>
                <w:szCs w:val="21"/>
                <w:highlight w:val="none"/>
              </w:rPr>
            </w:pPr>
            <w:r>
              <w:rPr>
                <w:color w:val="auto"/>
                <w:sz w:val="21"/>
                <w:szCs w:val="21"/>
                <w:highlight w:val="none"/>
              </w:rPr>
              <w:t>根据《中华人民共和国政府采购法》第五十二条的规定，供应商认为</w:t>
            </w:r>
            <w:r>
              <w:rPr>
                <w:rFonts w:hint="eastAsia"/>
                <w:color w:val="auto"/>
                <w:sz w:val="21"/>
                <w:szCs w:val="21"/>
                <w:highlight w:val="none"/>
              </w:rPr>
              <w:t>采购文件</w:t>
            </w:r>
            <w:r>
              <w:rPr>
                <w:color w:val="auto"/>
                <w:sz w:val="21"/>
                <w:szCs w:val="21"/>
                <w:highlight w:val="none"/>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auto"/>
                <w:sz w:val="21"/>
                <w:szCs w:val="21"/>
                <w:highlight w:val="none"/>
              </w:rPr>
            </w:pPr>
            <w:r>
              <w:rPr>
                <w:color w:val="auto"/>
                <w:sz w:val="21"/>
                <w:szCs w:val="21"/>
                <w:highlight w:val="none"/>
              </w:rPr>
              <w:t>政府采购法第五十二条规定的供应商应知其权益受到损害之日，是指：</w:t>
            </w:r>
          </w:p>
          <w:p>
            <w:pPr>
              <w:adjustRightInd w:val="0"/>
              <w:snapToGrid w:val="0"/>
              <w:spacing w:line="360" w:lineRule="auto"/>
              <w:jc w:val="left"/>
              <w:rPr>
                <w:color w:val="auto"/>
                <w:sz w:val="21"/>
                <w:szCs w:val="21"/>
                <w:highlight w:val="none"/>
              </w:rPr>
            </w:pPr>
            <w:r>
              <w:rPr>
                <w:color w:val="auto"/>
                <w:sz w:val="21"/>
                <w:szCs w:val="21"/>
                <w:highlight w:val="none"/>
              </w:rPr>
              <w:t>（一）对可以质疑的采购文件提出质疑的，为收到采购文件之日或者采购文件公告期限届满之日；</w:t>
            </w:r>
          </w:p>
          <w:p>
            <w:pPr>
              <w:adjustRightInd w:val="0"/>
              <w:snapToGrid w:val="0"/>
              <w:spacing w:line="360" w:lineRule="auto"/>
              <w:jc w:val="left"/>
              <w:rPr>
                <w:color w:val="auto"/>
                <w:sz w:val="21"/>
                <w:szCs w:val="21"/>
                <w:highlight w:val="none"/>
              </w:rPr>
            </w:pPr>
            <w:r>
              <w:rPr>
                <w:color w:val="auto"/>
                <w:sz w:val="21"/>
                <w:szCs w:val="21"/>
                <w:highlight w:val="none"/>
              </w:rPr>
              <w:t>（二）对采购过程提出质疑的，为各采购程序环节结束之日；</w:t>
            </w:r>
          </w:p>
          <w:p>
            <w:pPr>
              <w:adjustRightInd w:val="0"/>
              <w:snapToGrid w:val="0"/>
              <w:spacing w:line="360" w:lineRule="auto"/>
              <w:jc w:val="left"/>
              <w:rPr>
                <w:color w:val="auto"/>
                <w:sz w:val="21"/>
                <w:szCs w:val="21"/>
                <w:highlight w:val="none"/>
              </w:rPr>
            </w:pPr>
            <w:r>
              <w:rPr>
                <w:color w:val="auto"/>
                <w:sz w:val="21"/>
                <w:szCs w:val="21"/>
                <w:highlight w:val="none"/>
              </w:rPr>
              <w:t>（三）对中标或者成交结果提出质疑的，为中标或者成交结果公告期限届满之日。</w:t>
            </w:r>
          </w:p>
          <w:p>
            <w:pPr>
              <w:adjustRightInd w:val="0"/>
              <w:snapToGrid w:val="0"/>
              <w:spacing w:line="360" w:lineRule="auto"/>
              <w:rPr>
                <w:color w:val="auto"/>
                <w:sz w:val="21"/>
                <w:szCs w:val="21"/>
                <w:highlight w:val="none"/>
              </w:rPr>
            </w:pPr>
            <w:r>
              <w:rPr>
                <w:color w:val="auto"/>
                <w:sz w:val="21"/>
                <w:szCs w:val="21"/>
                <w:highlight w:val="none"/>
              </w:rPr>
              <w:t>根据《政府采购质疑和投诉办法》第十三条，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sz w:val="21"/>
                <w:szCs w:val="21"/>
                <w:highlight w:val="none"/>
              </w:rPr>
            </w:pPr>
            <w:r>
              <w:rPr>
                <w:rFonts w:hint="eastAsia"/>
                <w:color w:val="auto"/>
                <w:kern w:val="0"/>
                <w:sz w:val="21"/>
                <w:szCs w:val="21"/>
                <w:highlight w:val="none"/>
              </w:rPr>
              <w:t>18</w:t>
            </w:r>
          </w:p>
        </w:tc>
        <w:tc>
          <w:tcPr>
            <w:tcW w:w="1830" w:type="dxa"/>
            <w:vAlign w:val="center"/>
          </w:tcPr>
          <w:p>
            <w:pPr>
              <w:adjustRightInd w:val="0"/>
              <w:snapToGrid w:val="0"/>
              <w:spacing w:line="360" w:lineRule="auto"/>
              <w:jc w:val="left"/>
              <w:rPr>
                <w:snapToGrid w:val="0"/>
                <w:color w:val="auto"/>
                <w:kern w:val="0"/>
                <w:sz w:val="21"/>
                <w:szCs w:val="21"/>
                <w:highlight w:val="none"/>
              </w:rPr>
            </w:pPr>
            <w:r>
              <w:rPr>
                <w:snapToGrid w:val="0"/>
                <w:color w:val="auto"/>
                <w:kern w:val="0"/>
                <w:sz w:val="21"/>
                <w:szCs w:val="21"/>
                <w:highlight w:val="none"/>
              </w:rPr>
              <w:t>投诉</w:t>
            </w:r>
          </w:p>
        </w:tc>
        <w:tc>
          <w:tcPr>
            <w:tcW w:w="6604" w:type="dxa"/>
            <w:vAlign w:val="center"/>
          </w:tcPr>
          <w:p>
            <w:pPr>
              <w:adjustRightInd w:val="0"/>
              <w:snapToGrid w:val="0"/>
              <w:spacing w:line="360" w:lineRule="auto"/>
              <w:rPr>
                <w:color w:val="auto"/>
                <w:sz w:val="21"/>
                <w:szCs w:val="21"/>
                <w:highlight w:val="none"/>
              </w:rPr>
            </w:pPr>
            <w:r>
              <w:rPr>
                <w:color w:val="auto"/>
                <w:sz w:val="21"/>
                <w:szCs w:val="21"/>
                <w:highlight w:val="none"/>
              </w:rPr>
              <w:t>根据《中华人民共和国政府采购法》第五十五条的规定，质疑供应商对采购人、采购代理机构的答复不满意或者采购人、采购代理机构未在规定的时间内作出答复的，可以在答复期满后十五个工作日内向同级政府采购监督管理部门投诉。</w:t>
            </w:r>
          </w:p>
          <w:p>
            <w:pPr>
              <w:pStyle w:val="4"/>
              <w:jc w:val="left"/>
              <w:rPr>
                <w:color w:val="auto"/>
                <w:sz w:val="21"/>
                <w:szCs w:val="21"/>
                <w:highlight w:val="none"/>
              </w:rPr>
            </w:pPr>
            <w:r>
              <w:rPr>
                <w:rFonts w:ascii="Times New Roman" w:hAnsi="Times New Roman" w:eastAsia="宋体"/>
                <w:b w:val="0"/>
                <w:color w:val="auto"/>
                <w:sz w:val="21"/>
                <w:szCs w:val="21"/>
                <w:highlight w:val="none"/>
              </w:rPr>
              <w:t>以联合体形式参加政府采购活动的，其投诉应当由组成联合体的所有供应商共同提出。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sz w:val="21"/>
                <w:szCs w:val="21"/>
                <w:highlight w:val="none"/>
              </w:rPr>
            </w:pPr>
            <w:r>
              <w:rPr>
                <w:rFonts w:hint="eastAsia"/>
                <w:color w:val="auto"/>
                <w:kern w:val="0"/>
                <w:sz w:val="21"/>
                <w:szCs w:val="21"/>
                <w:highlight w:val="none"/>
              </w:rPr>
              <w:t>1</w:t>
            </w:r>
            <w:r>
              <w:rPr>
                <w:color w:val="auto"/>
                <w:kern w:val="0"/>
                <w:sz w:val="21"/>
                <w:szCs w:val="21"/>
                <w:highlight w:val="none"/>
              </w:rPr>
              <w:t>9</w:t>
            </w:r>
          </w:p>
        </w:tc>
        <w:tc>
          <w:tcPr>
            <w:tcW w:w="1830" w:type="dxa"/>
            <w:vAlign w:val="center"/>
          </w:tcPr>
          <w:p>
            <w:pPr>
              <w:adjustRightInd w:val="0"/>
              <w:snapToGrid w:val="0"/>
              <w:spacing w:line="360" w:lineRule="auto"/>
              <w:jc w:val="left"/>
              <w:rPr>
                <w:snapToGrid w:val="0"/>
                <w:color w:val="auto"/>
                <w:kern w:val="0"/>
                <w:sz w:val="21"/>
                <w:szCs w:val="21"/>
                <w:highlight w:val="none"/>
              </w:rPr>
            </w:pPr>
            <w:r>
              <w:rPr>
                <w:rFonts w:hint="eastAsia"/>
                <w:snapToGrid w:val="0"/>
                <w:color w:val="auto"/>
                <w:kern w:val="0"/>
                <w:sz w:val="21"/>
                <w:szCs w:val="21"/>
                <w:highlight w:val="none"/>
              </w:rPr>
              <w:t>履约保证金</w:t>
            </w:r>
          </w:p>
        </w:tc>
        <w:tc>
          <w:tcPr>
            <w:tcW w:w="6604" w:type="dxa"/>
            <w:vAlign w:val="center"/>
          </w:tcPr>
          <w:p>
            <w:pPr>
              <w:adjustRightInd w:val="0"/>
              <w:snapToGrid w:val="0"/>
              <w:rPr>
                <w:rFonts w:ascii="宋体" w:hAnsi="宋体" w:cs="Arial"/>
                <w:color w:val="auto"/>
                <w:sz w:val="21"/>
                <w:szCs w:val="21"/>
                <w:highlight w:val="none"/>
              </w:rPr>
            </w:pPr>
            <w:r>
              <w:rPr>
                <w:rFonts w:hint="eastAsia" w:ascii="宋体" w:hAnsi="宋体" w:cs="Arial"/>
                <w:color w:val="auto"/>
                <w:sz w:val="21"/>
                <w:szCs w:val="21"/>
                <w:highlight w:val="none"/>
              </w:rPr>
              <w:t>履约保证金金额：合同金额的</w:t>
            </w:r>
            <w:r>
              <w:rPr>
                <w:rFonts w:ascii="宋体" w:hAnsi="宋体" w:cs="Arial"/>
                <w:color w:val="auto"/>
                <w:sz w:val="21"/>
                <w:szCs w:val="21"/>
                <w:highlight w:val="none"/>
              </w:rPr>
              <w:t>1%</w:t>
            </w:r>
          </w:p>
          <w:p>
            <w:pPr>
              <w:adjustRightInd w:val="0"/>
              <w:snapToGrid w:val="0"/>
              <w:rPr>
                <w:rFonts w:hint="eastAsia" w:ascii="宋体" w:hAnsi="宋体" w:eastAsia="宋体" w:cs="Arial"/>
                <w:color w:val="auto"/>
                <w:sz w:val="21"/>
                <w:szCs w:val="21"/>
                <w:highlight w:val="none"/>
                <w:lang w:val="en-US" w:eastAsia="zh-CN"/>
              </w:rPr>
            </w:pPr>
            <w:r>
              <w:rPr>
                <w:rFonts w:hint="eastAsia" w:ascii="宋体" w:hAnsi="宋体" w:cs="Arial"/>
                <w:color w:val="auto"/>
                <w:sz w:val="21"/>
                <w:szCs w:val="21"/>
                <w:highlight w:val="none"/>
              </w:rPr>
              <w:t>履约保证金缴纳形式：支票、汇票、本票或者银行、保险公司出具的保函等非现金形式提交</w:t>
            </w:r>
            <w:r>
              <w:rPr>
                <w:rStyle w:val="92"/>
                <w:rFonts w:hint="eastAsia"/>
                <w:color w:val="auto"/>
                <w:sz w:val="21"/>
                <w:szCs w:val="21"/>
                <w:highlight w:val="none"/>
                <w:lang w:eastAsia="zh-CN"/>
              </w:rPr>
              <w:t>（</w:t>
            </w:r>
            <w:r>
              <w:rPr>
                <w:rStyle w:val="92"/>
                <w:rFonts w:hint="eastAsia"/>
                <w:color w:val="auto"/>
                <w:sz w:val="21"/>
                <w:szCs w:val="21"/>
                <w:highlight w:val="none"/>
                <w:lang w:val="en-US" w:eastAsia="zh-CN"/>
              </w:rPr>
              <w:t>如保证金为保函形式，有效期与服务期一致</w:t>
            </w:r>
            <w:r>
              <w:rPr>
                <w:rStyle w:val="92"/>
                <w:rFonts w:hint="eastAsia"/>
                <w:color w:val="auto"/>
                <w:sz w:val="21"/>
                <w:szCs w:val="21"/>
                <w:highlight w:val="none"/>
                <w:lang w:eastAsia="zh-CN"/>
              </w:rPr>
              <w:t>）</w:t>
            </w:r>
          </w:p>
          <w:p>
            <w:pPr>
              <w:pStyle w:val="4"/>
              <w:jc w:val="left"/>
              <w:rPr>
                <w:rFonts w:ascii="Times New Roman" w:hAnsi="Times New Roman" w:eastAsia="宋体"/>
                <w:b w:val="0"/>
                <w:color w:val="auto"/>
                <w:sz w:val="21"/>
                <w:szCs w:val="21"/>
                <w:highlight w:val="none"/>
              </w:rPr>
            </w:pPr>
            <w:r>
              <w:rPr>
                <w:rFonts w:hint="eastAsia" w:ascii="宋体" w:hAnsi="宋体" w:cs="Arial"/>
                <w:b w:val="0"/>
                <w:bCs/>
                <w:color w:val="auto"/>
                <w:sz w:val="21"/>
                <w:szCs w:val="21"/>
                <w:highlight w:val="none"/>
              </w:rPr>
              <w:t>履约保证金缴纳时间：合同签订后</w:t>
            </w:r>
            <w:r>
              <w:rPr>
                <w:rFonts w:ascii="宋体" w:hAnsi="宋体" w:cs="Arial"/>
                <w:b w:val="0"/>
                <w:bCs/>
                <w:color w:val="auto"/>
                <w:sz w:val="21"/>
                <w:szCs w:val="21"/>
                <w:highlight w:val="none"/>
              </w:rPr>
              <w:t>5</w:t>
            </w:r>
            <w:r>
              <w:rPr>
                <w:rFonts w:hint="eastAsia" w:ascii="宋体" w:hAnsi="宋体" w:cs="Arial"/>
                <w:b w:val="0"/>
                <w:bCs/>
                <w:color w:val="auto"/>
                <w:sz w:val="21"/>
                <w:szCs w:val="21"/>
                <w:highlight w:val="none"/>
              </w:rPr>
              <w:t>个工作日内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sz w:val="21"/>
                <w:szCs w:val="21"/>
                <w:highlight w:val="none"/>
              </w:rPr>
            </w:pPr>
            <w:r>
              <w:rPr>
                <w:color w:val="auto"/>
                <w:kern w:val="0"/>
                <w:sz w:val="21"/>
                <w:szCs w:val="21"/>
                <w:highlight w:val="none"/>
              </w:rPr>
              <w:t>20</w:t>
            </w:r>
          </w:p>
        </w:tc>
        <w:tc>
          <w:tcPr>
            <w:tcW w:w="1830" w:type="dxa"/>
            <w:vAlign w:val="center"/>
          </w:tcPr>
          <w:p>
            <w:pPr>
              <w:snapToGrid w:val="0"/>
              <w:spacing w:line="360" w:lineRule="auto"/>
              <w:jc w:val="left"/>
              <w:rPr>
                <w:color w:val="auto"/>
                <w:sz w:val="21"/>
                <w:szCs w:val="21"/>
                <w:highlight w:val="none"/>
              </w:rPr>
            </w:pPr>
            <w:r>
              <w:rPr>
                <w:color w:val="auto"/>
                <w:sz w:val="21"/>
                <w:szCs w:val="21"/>
                <w:highlight w:val="none"/>
              </w:rPr>
              <w:t>样品</w:t>
            </w:r>
          </w:p>
        </w:tc>
        <w:tc>
          <w:tcPr>
            <w:tcW w:w="6604" w:type="dxa"/>
            <w:vAlign w:val="center"/>
          </w:tcPr>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eq \o\ac(</w:instrText>
            </w:r>
            <w:r>
              <w:rPr>
                <w:rFonts w:hint="eastAsia" w:ascii="宋体" w:hAnsi="宋体" w:cs="宋体"/>
                <w:color w:val="auto"/>
                <w:position w:val="-4"/>
                <w:sz w:val="31"/>
                <w:szCs w:val="21"/>
                <w:highlight w:val="none"/>
              </w:rPr>
              <w:instrText xml:space="preserve">□</w:instrText>
            </w:r>
            <w:r>
              <w:rPr>
                <w:rFonts w:hint="eastAsia" w:ascii="宋体" w:hAnsi="宋体" w:cs="宋体"/>
                <w:color w:val="auto"/>
                <w:position w:val="0"/>
                <w:sz w:val="21"/>
                <w:szCs w:val="21"/>
                <w:highlight w:val="none"/>
              </w:rPr>
              <w:instrText xml:space="preserve">,√)</w:instrTex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 xml:space="preserve"> 不提供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sz w:val="21"/>
                <w:szCs w:val="21"/>
                <w:highlight w:val="none"/>
              </w:rPr>
            </w:pPr>
            <w:r>
              <w:rPr>
                <w:rFonts w:hint="eastAsia"/>
                <w:color w:val="auto"/>
                <w:kern w:val="0"/>
                <w:sz w:val="21"/>
                <w:szCs w:val="21"/>
                <w:highlight w:val="none"/>
              </w:rPr>
              <w:t>2</w:t>
            </w:r>
            <w:r>
              <w:rPr>
                <w:color w:val="auto"/>
                <w:kern w:val="0"/>
                <w:sz w:val="21"/>
                <w:szCs w:val="21"/>
                <w:highlight w:val="none"/>
              </w:rPr>
              <w:t>1</w:t>
            </w:r>
          </w:p>
        </w:tc>
        <w:tc>
          <w:tcPr>
            <w:tcW w:w="1830" w:type="dxa"/>
            <w:vAlign w:val="center"/>
          </w:tcPr>
          <w:p>
            <w:pPr>
              <w:snapToGrid w:val="0"/>
              <w:spacing w:line="360" w:lineRule="auto"/>
              <w:jc w:val="left"/>
              <w:rPr>
                <w:color w:val="auto"/>
                <w:sz w:val="21"/>
                <w:szCs w:val="21"/>
                <w:highlight w:val="none"/>
              </w:rPr>
            </w:pPr>
            <w:r>
              <w:rPr>
                <w:color w:val="auto"/>
                <w:sz w:val="21"/>
                <w:szCs w:val="21"/>
                <w:highlight w:val="none"/>
              </w:rPr>
              <w:t>演示</w:t>
            </w:r>
          </w:p>
        </w:tc>
        <w:tc>
          <w:tcPr>
            <w:tcW w:w="6604" w:type="dxa"/>
            <w:vAlign w:val="center"/>
          </w:tcPr>
          <w:p>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sym w:font="Wingdings" w:char="00FE"/>
            </w:r>
            <w:r>
              <w:rPr>
                <w:rFonts w:hint="eastAsia" w:ascii="宋体" w:hAnsi="宋体" w:cs="宋体"/>
                <w:color w:val="auto"/>
                <w:sz w:val="21"/>
                <w:szCs w:val="21"/>
                <w:highlight w:val="none"/>
              </w:rPr>
              <w:t xml:space="preserve">  要求，</w:t>
            </w:r>
          </w:p>
          <w:p>
            <w:pPr>
              <w:numPr>
                <w:ilvl w:val="0"/>
                <w:numId w:val="3"/>
              </w:numPr>
              <w:snapToGrid w:val="0"/>
              <w:spacing w:line="360" w:lineRule="auto"/>
              <w:rPr>
                <w:rFonts w:ascii="宋体" w:hAnsi="宋体" w:cs="Courier New"/>
                <w:bCs/>
                <w:color w:val="auto"/>
                <w:sz w:val="21"/>
                <w:szCs w:val="21"/>
                <w:highlight w:val="none"/>
              </w:rPr>
            </w:pPr>
            <w:r>
              <w:rPr>
                <w:rFonts w:hint="eastAsia" w:ascii="宋体" w:hAnsi="宋体" w:cs="宋体"/>
                <w:color w:val="auto"/>
                <w:sz w:val="21"/>
                <w:szCs w:val="21"/>
                <w:highlight w:val="none"/>
              </w:rPr>
              <w:t>如演示为录制视频方式，视频内容</w:t>
            </w:r>
            <w:r>
              <w:rPr>
                <w:rFonts w:hint="eastAsia" w:ascii="宋体" w:hAnsi="宋体" w:cs="Courier New"/>
                <w:bCs/>
                <w:color w:val="auto"/>
                <w:sz w:val="21"/>
                <w:szCs w:val="21"/>
                <w:highlight w:val="none"/>
              </w:rPr>
              <w:t>请确保在</w:t>
            </w:r>
            <w:r>
              <w:rPr>
                <w:color w:val="auto"/>
                <w:sz w:val="21"/>
                <w:szCs w:val="21"/>
                <w:highlight w:val="none"/>
              </w:rPr>
              <w:t>20</w:t>
            </w:r>
            <w:r>
              <w:rPr>
                <w:rFonts w:hint="eastAsia"/>
                <w:color w:val="auto"/>
                <w:sz w:val="21"/>
                <w:szCs w:val="21"/>
                <w:highlight w:val="none"/>
              </w:rPr>
              <w:t>22</w:t>
            </w:r>
            <w:r>
              <w:rPr>
                <w:color w:val="auto"/>
                <w:sz w:val="21"/>
                <w:szCs w:val="21"/>
                <w:highlight w:val="none"/>
              </w:rPr>
              <w:t>年</w:t>
            </w:r>
            <w:r>
              <w:rPr>
                <w:rFonts w:hint="eastAsia"/>
                <w:color w:val="auto"/>
                <w:sz w:val="21"/>
                <w:szCs w:val="21"/>
                <w:highlight w:val="none"/>
                <w:lang w:val="en-US" w:eastAsia="zh-CN"/>
              </w:rPr>
              <w:t>12</w:t>
            </w:r>
            <w:r>
              <w:rPr>
                <w:color w:val="auto"/>
                <w:sz w:val="21"/>
                <w:szCs w:val="21"/>
                <w:highlight w:val="none"/>
              </w:rPr>
              <w:t>月</w:t>
            </w:r>
            <w:r>
              <w:rPr>
                <w:rFonts w:hint="eastAsia"/>
                <w:color w:val="auto"/>
                <w:sz w:val="21"/>
                <w:szCs w:val="21"/>
                <w:highlight w:val="none"/>
                <w:lang w:val="en-US" w:eastAsia="zh-CN"/>
              </w:rPr>
              <w:t>14</w:t>
            </w:r>
            <w:r>
              <w:rPr>
                <w:color w:val="auto"/>
                <w:sz w:val="21"/>
                <w:szCs w:val="21"/>
                <w:highlight w:val="none"/>
              </w:rPr>
              <w:t>日17</w:t>
            </w:r>
            <w:r>
              <w:rPr>
                <w:rFonts w:hint="eastAsia"/>
                <w:color w:val="auto"/>
                <w:sz w:val="21"/>
                <w:szCs w:val="21"/>
                <w:highlight w:val="none"/>
              </w:rPr>
              <w:t>：</w:t>
            </w:r>
            <w:r>
              <w:rPr>
                <w:color w:val="auto"/>
                <w:sz w:val="21"/>
                <w:szCs w:val="21"/>
                <w:highlight w:val="none"/>
              </w:rPr>
              <w:t>00之前</w:t>
            </w:r>
            <w:r>
              <w:rPr>
                <w:rFonts w:hint="eastAsia" w:ascii="宋体" w:hAnsi="宋体" w:cs="Courier New"/>
                <w:bCs/>
                <w:color w:val="auto"/>
                <w:sz w:val="21"/>
                <w:szCs w:val="21"/>
                <w:highlight w:val="none"/>
              </w:rPr>
              <w:t>，通过快递形式或直接送达采购代理机构处（地址：杭州市文三路90号东部软件园1号楼3楼307室，接收人：</w:t>
            </w:r>
            <w:r>
              <w:rPr>
                <w:rFonts w:hint="eastAsia" w:ascii="宋体" w:hAnsi="宋体" w:cs="Courier New"/>
                <w:bCs/>
                <w:color w:val="auto"/>
                <w:sz w:val="21"/>
                <w:szCs w:val="21"/>
                <w:highlight w:val="none"/>
                <w:lang w:eastAsia="zh-CN"/>
              </w:rPr>
              <w:t>李博</w:t>
            </w:r>
            <w:r>
              <w:rPr>
                <w:rFonts w:hint="eastAsia" w:ascii="宋体" w:hAnsi="宋体" w:cs="Courier New"/>
                <w:bCs/>
                <w:color w:val="auto"/>
                <w:sz w:val="21"/>
                <w:szCs w:val="21"/>
                <w:highlight w:val="none"/>
              </w:rPr>
              <w:t>，电话：13</w:t>
            </w:r>
            <w:r>
              <w:rPr>
                <w:rFonts w:hint="eastAsia" w:ascii="宋体" w:hAnsi="宋体" w:cs="Courier New"/>
                <w:bCs/>
                <w:color w:val="auto"/>
                <w:sz w:val="21"/>
                <w:szCs w:val="21"/>
                <w:highlight w:val="none"/>
                <w:lang w:val="en-US" w:eastAsia="zh-CN"/>
              </w:rPr>
              <w:t>819182767</w:t>
            </w:r>
            <w:r>
              <w:rPr>
                <w:rFonts w:hint="eastAsia" w:ascii="宋体" w:hAnsi="宋体" w:cs="Courier New"/>
                <w:bCs/>
                <w:color w:val="auto"/>
                <w:sz w:val="21"/>
                <w:szCs w:val="21"/>
                <w:highlight w:val="none"/>
              </w:rPr>
              <w:t>）；</w:t>
            </w:r>
          </w:p>
          <w:p>
            <w:pPr>
              <w:numPr>
                <w:ilvl w:val="0"/>
                <w:numId w:val="3"/>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如为评审现场演示，请于</w:t>
            </w:r>
            <w:r>
              <w:rPr>
                <w:color w:val="auto"/>
                <w:sz w:val="21"/>
                <w:szCs w:val="21"/>
                <w:highlight w:val="none"/>
              </w:rPr>
              <w:t>20</w:t>
            </w:r>
            <w:r>
              <w:rPr>
                <w:rFonts w:hint="eastAsia"/>
                <w:color w:val="auto"/>
                <w:sz w:val="21"/>
                <w:szCs w:val="21"/>
                <w:highlight w:val="none"/>
              </w:rPr>
              <w:t>22</w:t>
            </w:r>
            <w:r>
              <w:rPr>
                <w:color w:val="auto"/>
                <w:sz w:val="21"/>
                <w:szCs w:val="21"/>
                <w:highlight w:val="none"/>
              </w:rPr>
              <w:t>年</w:t>
            </w:r>
            <w:r>
              <w:rPr>
                <w:rFonts w:hint="eastAsia"/>
                <w:color w:val="auto"/>
                <w:sz w:val="21"/>
                <w:szCs w:val="21"/>
                <w:highlight w:val="none"/>
                <w:lang w:val="en-US" w:eastAsia="zh-CN"/>
              </w:rPr>
              <w:t>12</w:t>
            </w:r>
            <w:r>
              <w:rPr>
                <w:color w:val="auto"/>
                <w:sz w:val="21"/>
                <w:szCs w:val="21"/>
                <w:highlight w:val="none"/>
              </w:rPr>
              <w:t>月</w:t>
            </w:r>
            <w:r>
              <w:rPr>
                <w:rFonts w:hint="eastAsia"/>
                <w:color w:val="auto"/>
                <w:sz w:val="21"/>
                <w:szCs w:val="21"/>
                <w:highlight w:val="none"/>
                <w:lang w:val="en-US" w:eastAsia="zh-CN"/>
              </w:rPr>
              <w:t>15</w:t>
            </w:r>
            <w:r>
              <w:rPr>
                <w:color w:val="auto"/>
                <w:sz w:val="21"/>
                <w:szCs w:val="21"/>
                <w:highlight w:val="none"/>
              </w:rPr>
              <w:t>日</w:t>
            </w:r>
            <w:r>
              <w:rPr>
                <w:rFonts w:hint="eastAsia"/>
                <w:color w:val="auto"/>
                <w:sz w:val="21"/>
                <w:szCs w:val="21"/>
                <w:highlight w:val="none"/>
                <w:lang w:val="en-US" w:eastAsia="zh-CN"/>
              </w:rPr>
              <w:t>09：00</w:t>
            </w:r>
            <w:r>
              <w:rPr>
                <w:rFonts w:hint="eastAsia"/>
                <w:color w:val="auto"/>
                <w:sz w:val="21"/>
                <w:szCs w:val="21"/>
                <w:highlight w:val="none"/>
              </w:rPr>
              <w:t>，至</w:t>
            </w:r>
            <w:r>
              <w:rPr>
                <w:rFonts w:hint="eastAsia" w:ascii="宋体" w:hAnsi="宋体" w:cs="Courier New"/>
                <w:bCs/>
                <w:color w:val="auto"/>
                <w:sz w:val="21"/>
                <w:szCs w:val="21"/>
                <w:highlight w:val="none"/>
              </w:rPr>
              <w:t>杭州市文三路90号东部软件园1号楼3楼</w:t>
            </w:r>
            <w:r>
              <w:rPr>
                <w:rFonts w:hint="eastAsia"/>
                <w:color w:val="auto"/>
                <w:sz w:val="21"/>
                <w:szCs w:val="21"/>
                <w:highlight w:val="none"/>
                <w:lang w:val="en-US" w:eastAsia="zh-CN"/>
              </w:rPr>
              <w:t>302</w:t>
            </w:r>
            <w:r>
              <w:rPr>
                <w:rFonts w:hint="eastAsia"/>
                <w:color w:val="auto"/>
                <w:sz w:val="21"/>
                <w:szCs w:val="21"/>
                <w:highlight w:val="none"/>
              </w:rPr>
              <w:t>会议室等候。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sz w:val="21"/>
                <w:szCs w:val="21"/>
                <w:highlight w:val="none"/>
              </w:rPr>
            </w:pPr>
            <w:r>
              <w:rPr>
                <w:rFonts w:hint="eastAsia"/>
                <w:color w:val="auto"/>
                <w:kern w:val="0"/>
                <w:sz w:val="21"/>
                <w:szCs w:val="21"/>
                <w:highlight w:val="none"/>
              </w:rPr>
              <w:t>2</w:t>
            </w:r>
            <w:r>
              <w:rPr>
                <w:color w:val="auto"/>
                <w:kern w:val="0"/>
                <w:sz w:val="21"/>
                <w:szCs w:val="21"/>
                <w:highlight w:val="none"/>
              </w:rPr>
              <w:t>2</w:t>
            </w:r>
          </w:p>
        </w:tc>
        <w:tc>
          <w:tcPr>
            <w:tcW w:w="1830" w:type="dxa"/>
            <w:vAlign w:val="center"/>
          </w:tcPr>
          <w:p>
            <w:pPr>
              <w:adjustRightInd w:val="0"/>
              <w:snapToGrid w:val="0"/>
              <w:jc w:val="left"/>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支持中小企业</w:t>
            </w:r>
          </w:p>
        </w:tc>
        <w:tc>
          <w:tcPr>
            <w:tcW w:w="6604" w:type="dxa"/>
            <w:vAlign w:val="center"/>
          </w:tcPr>
          <w:p>
            <w:pPr>
              <w:spacing w:line="360" w:lineRule="auto"/>
              <w:rPr>
                <w:color w:val="auto"/>
                <w:sz w:val="21"/>
                <w:szCs w:val="21"/>
                <w:highlight w:val="none"/>
              </w:rPr>
            </w:pPr>
            <w:r>
              <w:rPr>
                <w:rFonts w:hint="eastAsia"/>
                <w:color w:val="auto"/>
                <w:sz w:val="21"/>
                <w:szCs w:val="21"/>
                <w:highlight w:val="none"/>
              </w:rPr>
              <w:t>1.说明</w:t>
            </w:r>
          </w:p>
          <w:p>
            <w:pPr>
              <w:spacing w:line="360" w:lineRule="auto"/>
              <w:rPr>
                <w:color w:val="auto"/>
                <w:sz w:val="21"/>
                <w:szCs w:val="21"/>
                <w:highlight w:val="none"/>
              </w:rPr>
            </w:pPr>
            <w:r>
              <w:rPr>
                <w:rFonts w:hint="eastAsia"/>
                <w:color w:val="auto"/>
                <w:sz w:val="21"/>
                <w:szCs w:val="21"/>
                <w:highlight w:val="none"/>
              </w:rPr>
              <w:t>（1）中小企业</w:t>
            </w:r>
          </w:p>
          <w:p>
            <w:pPr>
              <w:spacing w:line="360" w:lineRule="auto"/>
              <w:ind w:firstLine="420" w:firstLineChars="200"/>
              <w:rPr>
                <w:color w:val="auto"/>
                <w:sz w:val="21"/>
                <w:szCs w:val="21"/>
                <w:highlight w:val="none"/>
              </w:rPr>
            </w:pPr>
            <w:r>
              <w:rPr>
                <w:rFonts w:hint="eastAsia"/>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color w:val="auto"/>
                <w:sz w:val="21"/>
                <w:szCs w:val="21"/>
                <w:highlight w:val="none"/>
              </w:rPr>
            </w:pPr>
            <w:r>
              <w:rPr>
                <w:rFonts w:hint="eastAsia"/>
                <w:color w:val="auto"/>
                <w:sz w:val="21"/>
                <w:szCs w:val="21"/>
                <w:highlight w:val="none"/>
              </w:rPr>
              <w:t>符合中小企业划分标准的个体工商户，在政府采购活动中视同中小企业。</w:t>
            </w:r>
          </w:p>
          <w:p>
            <w:pPr>
              <w:spacing w:line="360" w:lineRule="auto"/>
              <w:ind w:firstLine="420" w:firstLineChars="200"/>
              <w:rPr>
                <w:color w:val="auto"/>
                <w:sz w:val="21"/>
                <w:szCs w:val="21"/>
                <w:highlight w:val="none"/>
              </w:rPr>
            </w:pPr>
            <w:r>
              <w:rPr>
                <w:rFonts w:hint="eastAsia"/>
                <w:color w:val="auto"/>
                <w:sz w:val="21"/>
                <w:szCs w:val="21"/>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spacing w:line="360" w:lineRule="auto"/>
              <w:ind w:firstLine="420" w:firstLineChars="200"/>
              <w:rPr>
                <w:color w:val="auto"/>
                <w:sz w:val="21"/>
                <w:szCs w:val="21"/>
                <w:highlight w:val="none"/>
              </w:rPr>
            </w:pPr>
            <w:r>
              <w:rPr>
                <w:rFonts w:hint="eastAsia"/>
                <w:color w:val="auto"/>
                <w:sz w:val="21"/>
                <w:szCs w:val="21"/>
                <w:highlight w:val="none"/>
              </w:rPr>
              <w:t>在货物采购项目中，供应商提供的货物既有中小企业制造货物，也有大型企业制造货物的，不享受本办法规定的中小企业扶持政策。</w:t>
            </w:r>
          </w:p>
          <w:p>
            <w:pPr>
              <w:spacing w:line="360" w:lineRule="auto"/>
              <w:ind w:firstLine="420" w:firstLineChars="200"/>
              <w:rPr>
                <w:color w:val="auto"/>
                <w:sz w:val="21"/>
                <w:szCs w:val="21"/>
                <w:highlight w:val="none"/>
              </w:rPr>
            </w:pPr>
            <w:r>
              <w:rPr>
                <w:rFonts w:hint="eastAsia"/>
                <w:color w:val="auto"/>
                <w:sz w:val="21"/>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color w:val="auto"/>
                <w:sz w:val="21"/>
                <w:szCs w:val="21"/>
                <w:highlight w:val="none"/>
              </w:rPr>
            </w:pPr>
            <w:r>
              <w:rPr>
                <w:rFonts w:hint="eastAsia"/>
                <w:color w:val="auto"/>
                <w:sz w:val="21"/>
                <w:szCs w:val="21"/>
                <w:highlight w:val="none"/>
              </w:rPr>
              <w:t>投标文件中须同时出具《政府采购促进中小企业发展管理办法》【财库（2020）46号】规定的《中小企业声明函》，否则不得享受价格扣除。</w:t>
            </w:r>
          </w:p>
          <w:p>
            <w:pPr>
              <w:spacing w:line="360" w:lineRule="auto"/>
              <w:rPr>
                <w:color w:val="auto"/>
                <w:sz w:val="21"/>
                <w:szCs w:val="21"/>
                <w:highlight w:val="none"/>
              </w:rPr>
            </w:pPr>
            <w:r>
              <w:rPr>
                <w:rFonts w:hint="eastAsia"/>
                <w:color w:val="auto"/>
                <w:sz w:val="21"/>
                <w:szCs w:val="21"/>
                <w:highlight w:val="none"/>
              </w:rPr>
              <w:t>（2）残疾人福利性单位</w:t>
            </w:r>
          </w:p>
          <w:p>
            <w:pPr>
              <w:spacing w:line="360" w:lineRule="auto"/>
              <w:ind w:firstLine="420" w:firstLineChars="200"/>
              <w:rPr>
                <w:color w:val="auto"/>
                <w:sz w:val="21"/>
                <w:szCs w:val="21"/>
                <w:highlight w:val="none"/>
              </w:rPr>
            </w:pPr>
            <w:r>
              <w:rPr>
                <w:rFonts w:hint="eastAsia"/>
                <w:color w:val="auto"/>
                <w:sz w:val="21"/>
                <w:szCs w:val="21"/>
                <w:highlight w:val="none"/>
              </w:rPr>
              <w:t>符合《关于促进残疾人就业政府采购政策的通知》（财库〔2017〕141号）规定的条件并提供提供《残疾人福利性单位声明函》的残疾人福利性单位视同小型、微型企业；</w:t>
            </w:r>
          </w:p>
          <w:p>
            <w:pPr>
              <w:spacing w:line="360" w:lineRule="auto"/>
              <w:rPr>
                <w:color w:val="auto"/>
                <w:sz w:val="21"/>
                <w:szCs w:val="21"/>
                <w:highlight w:val="none"/>
              </w:rPr>
            </w:pPr>
            <w:r>
              <w:rPr>
                <w:rFonts w:hint="eastAsia"/>
                <w:color w:val="auto"/>
                <w:sz w:val="21"/>
                <w:szCs w:val="21"/>
                <w:highlight w:val="none"/>
              </w:rPr>
              <w:t>（3）监狱企业</w:t>
            </w:r>
          </w:p>
          <w:p>
            <w:pPr>
              <w:spacing w:line="360" w:lineRule="auto"/>
              <w:ind w:firstLine="420" w:firstLineChars="200"/>
              <w:rPr>
                <w:color w:val="auto"/>
                <w:sz w:val="21"/>
                <w:szCs w:val="21"/>
                <w:highlight w:val="none"/>
              </w:rPr>
            </w:pPr>
            <w:r>
              <w:rPr>
                <w:rFonts w:hint="eastAsia"/>
                <w:color w:val="auto"/>
                <w:sz w:val="21"/>
                <w:szCs w:val="21"/>
                <w:highlight w:val="none"/>
              </w:rPr>
              <w:t>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rPr>
                <w:color w:val="auto"/>
                <w:sz w:val="21"/>
                <w:szCs w:val="21"/>
                <w:highlight w:val="none"/>
              </w:rPr>
            </w:pPr>
            <w:r>
              <w:rPr>
                <w:rFonts w:hint="eastAsia"/>
                <w:color w:val="auto"/>
                <w:sz w:val="21"/>
                <w:szCs w:val="21"/>
                <w:highlight w:val="none"/>
              </w:rPr>
              <w:t>2.价格扣除：</w:t>
            </w:r>
          </w:p>
          <w:p>
            <w:pPr>
              <w:spacing w:line="360" w:lineRule="auto"/>
              <w:ind w:firstLine="420" w:firstLineChars="200"/>
              <w:rPr>
                <w:color w:val="auto"/>
                <w:sz w:val="21"/>
                <w:szCs w:val="21"/>
                <w:highlight w:val="none"/>
              </w:rPr>
            </w:pPr>
            <w:r>
              <w:rPr>
                <w:rFonts w:hint="eastAsia"/>
                <w:color w:val="auto"/>
                <w:sz w:val="21"/>
                <w:szCs w:val="21"/>
                <w:highlight w:val="none"/>
              </w:rPr>
              <w:t>本项目对符合规定的小微企业（含小型企业）报价给予20%的扣除。</w:t>
            </w:r>
          </w:p>
          <w:p>
            <w:pPr>
              <w:numPr>
                <w:ilvl w:val="0"/>
                <w:numId w:val="4"/>
              </w:numPr>
              <w:spacing w:line="360" w:lineRule="auto"/>
              <w:rPr>
                <w:color w:val="auto"/>
                <w:sz w:val="21"/>
                <w:szCs w:val="21"/>
                <w:highlight w:val="none"/>
              </w:rPr>
            </w:pPr>
            <w:r>
              <w:rPr>
                <w:rFonts w:hint="eastAsia"/>
                <w:color w:val="auto"/>
                <w:sz w:val="21"/>
                <w:szCs w:val="21"/>
                <w:highlight w:val="none"/>
              </w:rPr>
              <w:t>本项目采购标的：保洁、运送及设备设施维保等服务。</w:t>
            </w:r>
          </w:p>
          <w:p>
            <w:pPr>
              <w:numPr>
                <w:ilvl w:val="0"/>
                <w:numId w:val="4"/>
              </w:numPr>
              <w:spacing w:line="360" w:lineRule="auto"/>
              <w:rPr>
                <w:color w:val="auto"/>
                <w:sz w:val="21"/>
                <w:szCs w:val="21"/>
                <w:highlight w:val="none"/>
              </w:rPr>
            </w:pPr>
            <w:r>
              <w:rPr>
                <w:rFonts w:hint="eastAsia"/>
                <w:color w:val="auto"/>
                <w:sz w:val="21"/>
                <w:szCs w:val="21"/>
                <w:highlight w:val="none"/>
              </w:rPr>
              <w:t>所属行业为：</w:t>
            </w:r>
            <w:r>
              <w:rPr>
                <w:rFonts w:hint="eastAsia"/>
                <w:color w:val="auto"/>
                <w:sz w:val="21"/>
                <w:szCs w:val="21"/>
                <w:highlight w:val="none"/>
                <w:u w:val="single"/>
              </w:rPr>
              <w:t>物业管理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sz w:val="21"/>
                <w:szCs w:val="21"/>
                <w:highlight w:val="none"/>
              </w:rPr>
            </w:pPr>
            <w:r>
              <w:rPr>
                <w:rFonts w:hint="eastAsia"/>
                <w:color w:val="auto"/>
                <w:kern w:val="0"/>
                <w:sz w:val="21"/>
                <w:szCs w:val="21"/>
                <w:highlight w:val="none"/>
              </w:rPr>
              <w:t>2</w:t>
            </w:r>
            <w:r>
              <w:rPr>
                <w:color w:val="auto"/>
                <w:kern w:val="0"/>
                <w:sz w:val="21"/>
                <w:szCs w:val="21"/>
                <w:highlight w:val="none"/>
              </w:rPr>
              <w:t>3</w:t>
            </w:r>
          </w:p>
        </w:tc>
        <w:tc>
          <w:tcPr>
            <w:tcW w:w="1830" w:type="dxa"/>
            <w:vAlign w:val="center"/>
          </w:tcPr>
          <w:p>
            <w:pPr>
              <w:adjustRightInd w:val="0"/>
              <w:snapToGrid w:val="0"/>
              <w:jc w:val="left"/>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联合体和分包</w:t>
            </w:r>
          </w:p>
        </w:tc>
        <w:tc>
          <w:tcPr>
            <w:tcW w:w="6604" w:type="dxa"/>
            <w:vAlign w:val="center"/>
          </w:tcPr>
          <w:p>
            <w:pPr>
              <w:spacing w:line="360" w:lineRule="auto"/>
              <w:rPr>
                <w:color w:val="auto"/>
                <w:sz w:val="21"/>
                <w:szCs w:val="21"/>
                <w:highlight w:val="none"/>
              </w:rPr>
            </w:pPr>
            <w:r>
              <w:rPr>
                <w:rFonts w:hint="eastAsia"/>
                <w:color w:val="auto"/>
                <w:sz w:val="21"/>
                <w:szCs w:val="21"/>
                <w:highlight w:val="none"/>
              </w:rPr>
              <w:t>（1）对于联合协议约定小微企业的合同份额占到合同总金额30%以上的，其报价给</w:t>
            </w:r>
            <w:r>
              <w:rPr>
                <w:rFonts w:hint="eastAsia"/>
                <w:color w:val="auto"/>
                <w:sz w:val="21"/>
                <w:szCs w:val="21"/>
                <w:highlight w:val="none"/>
              </w:rPr>
              <w:t>予6%的扣除</w:t>
            </w:r>
            <w:r>
              <w:rPr>
                <w:rFonts w:hint="eastAsia"/>
                <w:color w:val="auto"/>
                <w:sz w:val="21"/>
                <w:szCs w:val="21"/>
                <w:highlight w:val="none"/>
              </w:rPr>
              <w:t>，用扣除后的价格参加评审。组成联合体的小微企业与联合体内其他企业之间存在直接控股、管理关系的，不享受价格扣除优惠政策。</w:t>
            </w:r>
          </w:p>
          <w:p>
            <w:pPr>
              <w:spacing w:line="360" w:lineRule="auto"/>
              <w:rPr>
                <w:color w:val="auto"/>
                <w:sz w:val="21"/>
                <w:szCs w:val="21"/>
                <w:highlight w:val="none"/>
              </w:rPr>
            </w:pPr>
            <w:r>
              <w:rPr>
                <w:rFonts w:hint="eastAsia"/>
                <w:color w:val="auto"/>
                <w:sz w:val="21"/>
                <w:szCs w:val="21"/>
                <w:highlight w:val="none"/>
              </w:rPr>
              <w:t>（2）对于分包意向协议约定小微企业的合同份额占到合同总金额30%以上的，其</w:t>
            </w:r>
            <w:r>
              <w:rPr>
                <w:rFonts w:hint="eastAsia"/>
                <w:color w:val="auto"/>
                <w:sz w:val="21"/>
                <w:szCs w:val="21"/>
                <w:highlight w:val="none"/>
              </w:rPr>
              <w:t>报价给予6%的扣除，用</w:t>
            </w:r>
            <w:r>
              <w:rPr>
                <w:rFonts w:hint="eastAsia"/>
                <w:color w:val="auto"/>
                <w:sz w:val="21"/>
                <w:szCs w:val="21"/>
                <w:highlight w:val="none"/>
              </w:rPr>
              <w:t>扣除后的价格参加评审。接受分包的小微企业与分包企业之间存在直接控股、管理关系的，不享受价格扣除优惠政策。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sz w:val="21"/>
                <w:szCs w:val="21"/>
                <w:highlight w:val="none"/>
              </w:rPr>
            </w:pPr>
            <w:r>
              <w:rPr>
                <w:rFonts w:hint="eastAsia"/>
                <w:color w:val="auto"/>
                <w:kern w:val="0"/>
                <w:sz w:val="21"/>
                <w:szCs w:val="21"/>
                <w:highlight w:val="none"/>
              </w:rPr>
              <w:t>2</w:t>
            </w:r>
            <w:r>
              <w:rPr>
                <w:color w:val="auto"/>
                <w:kern w:val="0"/>
                <w:sz w:val="21"/>
                <w:szCs w:val="21"/>
                <w:highlight w:val="none"/>
              </w:rPr>
              <w:t>4</w:t>
            </w:r>
          </w:p>
        </w:tc>
        <w:tc>
          <w:tcPr>
            <w:tcW w:w="1830" w:type="dxa"/>
            <w:vAlign w:val="center"/>
          </w:tcPr>
          <w:p>
            <w:pPr>
              <w:adjustRightInd w:val="0"/>
              <w:snapToGrid w:val="0"/>
              <w:jc w:val="left"/>
              <w:rPr>
                <w:rFonts w:ascii="宋体" w:hAnsi="宋体" w:cs="宋体"/>
                <w:snapToGrid w:val="0"/>
                <w:color w:val="auto"/>
                <w:kern w:val="0"/>
                <w:sz w:val="21"/>
                <w:szCs w:val="21"/>
                <w:highlight w:val="none"/>
              </w:rPr>
            </w:pPr>
            <w:r>
              <w:rPr>
                <w:rFonts w:hint="eastAsia" w:ascii="宋体" w:hAnsi="宋体" w:cs="宋体"/>
                <w:snapToGrid w:val="0"/>
                <w:color w:val="auto"/>
                <w:kern w:val="0"/>
                <w:sz w:val="21"/>
                <w:szCs w:val="21"/>
                <w:highlight w:val="none"/>
              </w:rPr>
              <w:t>联合体投标说明</w:t>
            </w:r>
          </w:p>
        </w:tc>
        <w:tc>
          <w:tcPr>
            <w:tcW w:w="6604" w:type="dxa"/>
            <w:vAlign w:val="center"/>
          </w:tcPr>
          <w:p>
            <w:pPr>
              <w:spacing w:line="360" w:lineRule="auto"/>
              <w:rPr>
                <w:color w:val="auto"/>
                <w:sz w:val="21"/>
                <w:szCs w:val="21"/>
                <w:highlight w:val="none"/>
              </w:rPr>
            </w:pPr>
            <w:r>
              <w:rPr>
                <w:rFonts w:hint="eastAsia"/>
                <w:color w:val="auto"/>
                <w:sz w:val="21"/>
                <w:szCs w:val="21"/>
                <w:highlight w:val="none"/>
              </w:rPr>
              <w:t>（1）以联合体形式投标的，联合体各方的业绩证明材料均认可。</w:t>
            </w:r>
          </w:p>
          <w:p>
            <w:pPr>
              <w:spacing w:line="360" w:lineRule="auto"/>
              <w:rPr>
                <w:color w:val="auto"/>
                <w:sz w:val="21"/>
                <w:szCs w:val="21"/>
                <w:highlight w:val="none"/>
              </w:rPr>
            </w:pPr>
            <w:r>
              <w:rPr>
                <w:rFonts w:hint="eastAsia"/>
                <w:color w:val="auto"/>
                <w:sz w:val="21"/>
                <w:szCs w:val="21"/>
                <w:highlight w:val="none"/>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sz w:val="21"/>
                <w:szCs w:val="21"/>
                <w:highlight w:val="none"/>
              </w:rPr>
            </w:pPr>
            <w:r>
              <w:rPr>
                <w:rFonts w:hint="eastAsia"/>
                <w:color w:val="auto"/>
                <w:kern w:val="0"/>
                <w:sz w:val="21"/>
                <w:szCs w:val="21"/>
                <w:highlight w:val="none"/>
              </w:rPr>
              <w:t>2</w:t>
            </w:r>
            <w:r>
              <w:rPr>
                <w:color w:val="auto"/>
                <w:kern w:val="0"/>
                <w:sz w:val="21"/>
                <w:szCs w:val="21"/>
                <w:highlight w:val="none"/>
              </w:rPr>
              <w:t>5</w:t>
            </w:r>
          </w:p>
        </w:tc>
        <w:tc>
          <w:tcPr>
            <w:tcW w:w="1830" w:type="dxa"/>
            <w:vAlign w:val="center"/>
          </w:tcPr>
          <w:p>
            <w:pPr>
              <w:snapToGrid w:val="0"/>
              <w:spacing w:line="360" w:lineRule="auto"/>
              <w:rPr>
                <w:color w:val="auto"/>
                <w:kern w:val="0"/>
                <w:sz w:val="21"/>
                <w:szCs w:val="21"/>
                <w:highlight w:val="none"/>
              </w:rPr>
            </w:pPr>
            <w:r>
              <w:rPr>
                <w:color w:val="auto"/>
                <w:kern w:val="0"/>
                <w:sz w:val="21"/>
                <w:szCs w:val="21"/>
                <w:highlight w:val="none"/>
              </w:rPr>
              <w:t>其他</w:t>
            </w:r>
          </w:p>
        </w:tc>
        <w:tc>
          <w:tcPr>
            <w:tcW w:w="6604" w:type="dxa"/>
            <w:vAlign w:val="center"/>
          </w:tcPr>
          <w:p>
            <w:pPr>
              <w:pStyle w:val="41"/>
              <w:adjustRightInd w:val="0"/>
              <w:snapToGrid w:val="0"/>
              <w:spacing w:line="360" w:lineRule="auto"/>
              <w:rPr>
                <w:rFonts w:ascii="Times New Roman" w:hAnsi="Times New Roman"/>
                <w:snapToGrid w:val="0"/>
                <w:color w:val="auto"/>
                <w:kern w:val="0"/>
                <w:sz w:val="21"/>
                <w:szCs w:val="21"/>
                <w:highlight w:val="none"/>
              </w:rPr>
            </w:pPr>
            <w:r>
              <w:rPr>
                <w:rFonts w:ascii="Times New Roman" w:hAnsi="Times New Roman"/>
                <w:color w:val="auto"/>
                <w:sz w:val="21"/>
                <w:szCs w:val="21"/>
                <w:highlight w:val="none"/>
              </w:rPr>
              <w:t>（1）</w:t>
            </w:r>
            <w:r>
              <w:rPr>
                <w:rFonts w:ascii="Times New Roman" w:hAnsi="Times New Roman"/>
                <w:snapToGrid w:val="0"/>
                <w:color w:val="auto"/>
                <w:kern w:val="0"/>
                <w:sz w:val="21"/>
                <w:szCs w:val="21"/>
                <w:highlight w:val="none"/>
              </w:rPr>
              <w:t>采购文件中凡标注“▲”的条款均为实质性要求，不响应的投标文件将作无效标处理。</w:t>
            </w:r>
          </w:p>
          <w:p>
            <w:pPr>
              <w:pStyle w:val="41"/>
              <w:adjustRightInd w:val="0"/>
              <w:snapToGrid w:val="0"/>
              <w:spacing w:line="360" w:lineRule="auto"/>
              <w:rPr>
                <w:rFonts w:ascii="Times New Roman" w:hAnsi="Times New Roman"/>
                <w:snapToGrid w:val="0"/>
                <w:color w:val="auto"/>
                <w:kern w:val="0"/>
                <w:sz w:val="21"/>
                <w:szCs w:val="21"/>
                <w:highlight w:val="none"/>
              </w:rPr>
            </w:pPr>
            <w:r>
              <w:rPr>
                <w:rFonts w:ascii="Times New Roman" w:hAnsi="Times New Roman"/>
                <w:snapToGrid w:val="0"/>
                <w:color w:val="auto"/>
                <w:kern w:val="0"/>
                <w:sz w:val="21"/>
                <w:szCs w:val="21"/>
                <w:highlight w:val="none"/>
              </w:rPr>
              <w:t>（2）</w:t>
            </w:r>
            <w:r>
              <w:rPr>
                <w:rFonts w:ascii="Times New Roman" w:hAnsi="Times New Roman"/>
                <w:color w:val="auto"/>
                <w:sz w:val="21"/>
                <w:szCs w:val="21"/>
                <w:highlight w:val="none"/>
              </w:rPr>
              <w:t>供应商未上传电子加密投标文件，其投标无效。</w:t>
            </w:r>
          </w:p>
          <w:p>
            <w:pPr>
              <w:pStyle w:val="41"/>
              <w:adjustRightInd w:val="0"/>
              <w:snapToGrid w:val="0"/>
              <w:spacing w:line="360" w:lineRule="auto"/>
              <w:rPr>
                <w:rFonts w:ascii="Times New Roman" w:hAnsi="Times New Roman"/>
                <w:color w:val="auto"/>
                <w:sz w:val="21"/>
                <w:szCs w:val="21"/>
                <w:highlight w:val="none"/>
              </w:rPr>
            </w:pPr>
            <w:r>
              <w:rPr>
                <w:rFonts w:ascii="Times New Roman" w:hAnsi="Times New Roman"/>
                <w:snapToGrid w:val="0"/>
                <w:color w:val="auto"/>
                <w:kern w:val="0"/>
                <w:sz w:val="21"/>
                <w:szCs w:val="21"/>
                <w:highlight w:val="none"/>
              </w:rPr>
              <w:t>（</w:t>
            </w:r>
            <w:r>
              <w:rPr>
                <w:rFonts w:hint="eastAsia" w:ascii="Times New Roman" w:hAnsi="Times New Roman"/>
                <w:snapToGrid w:val="0"/>
                <w:color w:val="auto"/>
                <w:kern w:val="0"/>
                <w:sz w:val="21"/>
                <w:szCs w:val="21"/>
                <w:highlight w:val="none"/>
              </w:rPr>
              <w:t>3</w:t>
            </w:r>
            <w:r>
              <w:rPr>
                <w:rFonts w:ascii="Times New Roman" w:hAnsi="Times New Roman"/>
                <w:snapToGrid w:val="0"/>
                <w:color w:val="auto"/>
                <w:kern w:val="0"/>
                <w:sz w:val="21"/>
                <w:szCs w:val="21"/>
                <w:highlight w:val="none"/>
              </w:rPr>
              <w:t>）供应商上传了</w:t>
            </w:r>
            <w:r>
              <w:rPr>
                <w:rFonts w:ascii="Times New Roman" w:hAnsi="Times New Roman"/>
                <w:color w:val="auto"/>
                <w:sz w:val="21"/>
                <w:szCs w:val="21"/>
                <w:highlight w:val="none"/>
              </w:rPr>
              <w:t>电子加密投标文件，未提供备份投标文件，解密出现问题后，由此导致对该供应商投标无法评审的，其后果由该供应商自行承担。</w:t>
            </w:r>
          </w:p>
          <w:p>
            <w:pPr>
              <w:pStyle w:val="41"/>
              <w:adjustRightInd w:val="0"/>
              <w:snapToGrid w:val="0"/>
              <w:spacing w:line="360" w:lineRule="auto"/>
              <w:rPr>
                <w:rFonts w:ascii="Times New Roman" w:hAnsi="Times New Roman"/>
                <w:color w:val="auto"/>
                <w:sz w:val="21"/>
                <w:szCs w:val="21"/>
                <w:highlight w:val="none"/>
              </w:rPr>
            </w:pPr>
            <w:r>
              <w:rPr>
                <w:rFonts w:hint="eastAsia" w:ascii="Times New Roman" w:hAnsi="Times New Roman"/>
                <w:color w:val="auto"/>
                <w:sz w:val="21"/>
                <w:szCs w:val="21"/>
                <w:highlight w:val="none"/>
              </w:rPr>
              <w:t>（4）</w:t>
            </w:r>
            <w:r>
              <w:rPr>
                <w:rFonts w:ascii="Times New Roman" w:hAnsi="Times New Roman"/>
                <w:color w:val="auto"/>
                <w:sz w:val="21"/>
                <w:szCs w:val="21"/>
                <w:highlight w:val="none"/>
              </w:rPr>
              <w:t>各供应商自行在</w:t>
            </w:r>
            <w:r>
              <w:rPr>
                <w:rFonts w:ascii="Times New Roman" w:hAnsi="Times New Roman"/>
                <w:color w:val="auto"/>
                <w:kern w:val="0"/>
                <w:sz w:val="21"/>
                <w:szCs w:val="21"/>
                <w:highlight w:val="none"/>
              </w:rPr>
              <w:t>浙江政府采购网</w:t>
            </w:r>
            <w:r>
              <w:rPr>
                <w:rFonts w:ascii="Times New Roman" w:hAnsi="Times New Roman"/>
                <w:color w:val="auto"/>
                <w:sz w:val="21"/>
                <w:szCs w:val="21"/>
                <w:highlight w:val="none"/>
              </w:rPr>
              <w:t>下载或查阅采购文件和相关更正公告等，不另行通知，如有遗漏采购人、采购代理机构概不负责。</w:t>
            </w:r>
          </w:p>
          <w:p>
            <w:pPr>
              <w:pStyle w:val="41"/>
              <w:adjustRightInd w:val="0"/>
              <w:snapToGrid w:val="0"/>
              <w:spacing w:line="360" w:lineRule="auto"/>
              <w:rPr>
                <w:color w:val="auto"/>
                <w:sz w:val="21"/>
                <w:szCs w:val="21"/>
                <w:highlight w:val="none"/>
              </w:rPr>
            </w:pPr>
            <w:r>
              <w:rPr>
                <w:rFonts w:hint="eastAsia" w:ascii="Times New Roman" w:hAnsi="Times New Roman"/>
                <w:color w:val="auto"/>
                <w:sz w:val="21"/>
                <w:szCs w:val="21"/>
                <w:highlight w:val="none"/>
              </w:rPr>
              <w:t>（5）两家或两家以上供应商提供的投标文件出自同一终端设备的，或在相同Internet主机分配地址（相同IP地址）报名或网上投标的，后果由供应商自行承担。</w:t>
            </w:r>
          </w:p>
        </w:tc>
      </w:tr>
    </w:tbl>
    <w:p>
      <w:pPr>
        <w:pStyle w:val="4"/>
        <w:snapToGrid w:val="0"/>
        <w:rPr>
          <w:rFonts w:ascii="Times New Roman" w:hAnsi="Times New Roman" w:eastAsia="宋体"/>
          <w:color w:val="auto"/>
          <w:szCs w:val="32"/>
          <w:highlight w:val="none"/>
        </w:rPr>
      </w:pPr>
      <w:r>
        <w:rPr>
          <w:rFonts w:ascii="Times New Roman" w:hAnsi="Times New Roman" w:eastAsia="宋体"/>
          <w:color w:val="auto"/>
          <w:kern w:val="0"/>
          <w:szCs w:val="21"/>
          <w:highlight w:val="none"/>
        </w:rPr>
        <w:br w:type="page"/>
      </w:r>
      <w:bookmarkStart w:id="3" w:name="_Toc298767927"/>
      <w:bookmarkStart w:id="4" w:name="_Toc294012141"/>
      <w:bookmarkStart w:id="5" w:name="_Toc495317669"/>
      <w:r>
        <w:rPr>
          <w:rFonts w:ascii="Times New Roman" w:hAnsi="Times New Roman" w:eastAsia="宋体"/>
          <w:color w:val="auto"/>
          <w:szCs w:val="32"/>
          <w:highlight w:val="none"/>
        </w:rPr>
        <w:t>第二章</w:t>
      </w:r>
      <w:bookmarkEnd w:id="3"/>
      <w:bookmarkEnd w:id="4"/>
      <w:r>
        <w:rPr>
          <w:rFonts w:ascii="Times New Roman" w:hAnsi="Times New Roman" w:eastAsia="宋体"/>
          <w:color w:val="auto"/>
          <w:szCs w:val="32"/>
          <w:highlight w:val="none"/>
        </w:rPr>
        <w:t xml:space="preserve">  采购内容及需求</w:t>
      </w:r>
      <w:bookmarkEnd w:id="5"/>
    </w:p>
    <w:p>
      <w:pPr>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一、概述</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1、医院概况</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浙江中医药大学附属第二医院成立于1960年，原名浙江省建工医院，2003年成建制划转浙江中医药大学，现为一所集医疗、教学、科研和健康管理为一体的三级甲等中西医结合医院。医院设有潮王院区、新华国际院区和同质化管理医院（金华市婺城区中医医院），总占地面积125亩，核定床位1500张,年出院量超过2.5万人次，开设浙江名中医馆分馆，中西医结合是医院的特色和优势。列入全国重点中西医结合医院、国家中医临床研究基地建设单位、全国中医药传承创新工程重点中医医院建设项目、国家中医应急救治医疗队浙江省牵头单位、全国中医药传承创新中心建设单位。</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医院现有职工1100余人，其中高级职称188人、硕博士399人，拥有全国973首席科学家1名，全国名中医1名，浙江省国医名师2名，浙江省省级名中医6名。拥有国家临床重点专科2个（风湿病科、外科），国家中医药重点学科3个（中医痹病学、中医全科医学、中医预防医学）、国家中医药重点专科6个（肺病科、外科、护理学、风湿病科、肝病科、骨伤科），浙江省一流学科建设项目1个、浙江省高校重点学科2个、浙江省中医药重点学科11个、重点专科专病10个。</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2、服务理念</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“新华有礼、全优服务”</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3、总体要求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 本次招标范围为：浙江中医药大学附属第二医院保洁、运送及设备运维服务。保洁、运送岗位数185.5个，设备运维服务岗位数17个。</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3.2服务内容：保洁、运送服务主要包括医院的保洁（含医院院区内所有楼宇外墙（</w:t>
      </w:r>
      <w:r>
        <w:rPr>
          <w:rFonts w:hint="default" w:ascii="Times New Roman" w:hAnsi="Times New Roman" w:eastAsia="宋体" w:cs="Times New Roman"/>
          <w:color w:val="auto"/>
          <w:sz w:val="21"/>
          <w:szCs w:val="21"/>
          <w:highlight w:val="none"/>
          <w:lang w:eastAsia="zh-CN"/>
        </w:rPr>
        <w:t>包括</w:t>
      </w:r>
      <w:r>
        <w:rPr>
          <w:rFonts w:hint="default" w:ascii="Times New Roman" w:hAnsi="Times New Roman" w:eastAsia="宋体" w:cs="Times New Roman"/>
          <w:color w:val="auto"/>
          <w:sz w:val="21"/>
          <w:szCs w:val="21"/>
          <w:highlight w:val="none"/>
        </w:rPr>
        <w:t>玻璃幕墙）每年一次的外墙清洗）、运送(含电梯操作)等项目；设备运维服务主要包括综合维修、后勤运维等服务内容。</w:t>
      </w:r>
    </w:p>
    <w:p>
      <w:pPr>
        <w:spacing w:line="360" w:lineRule="auto"/>
        <w:ind w:firstLine="42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 服务期限：2年，合同一年一签，一年到期经招标人考核合格，可签订第二年合同。具体起止时间在签订合同时由招标人确定。</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 对投标人的要求：投标人具有丰富的同类项目工作经验，</w:t>
      </w:r>
      <w:r>
        <w:rPr>
          <w:rFonts w:hint="default" w:ascii="Times New Roman" w:hAnsi="Times New Roman" w:eastAsia="宋体" w:cs="Times New Roman"/>
          <w:color w:val="auto"/>
          <w:sz w:val="21"/>
          <w:szCs w:val="21"/>
          <w:highlight w:val="none"/>
        </w:rPr>
        <w:t>具有完善的管理体系、拥</w:t>
      </w:r>
      <w:r>
        <w:rPr>
          <w:rFonts w:hint="default" w:ascii="Times New Roman" w:hAnsi="Times New Roman" w:eastAsia="宋体" w:cs="Times New Roman"/>
          <w:color w:val="auto"/>
          <w:sz w:val="21"/>
          <w:szCs w:val="21"/>
          <w:highlight w:val="none"/>
        </w:rPr>
        <w:t>有科学合理的组织架构、严格的管理细则和岗位责任制度，能为招标人提供完善的日常保洁运送、设备运维及各类应急任务等保障服务。投标人应根据项目实际情况、结合现场了解和</w:t>
      </w:r>
      <w:r>
        <w:rPr>
          <w:rFonts w:hint="default" w:ascii="Times New Roman" w:hAnsi="Times New Roman" w:eastAsia="宋体" w:cs="Times New Roman"/>
          <w:color w:val="auto"/>
          <w:sz w:val="21"/>
          <w:szCs w:val="21"/>
          <w:highlight w:val="none"/>
        </w:rPr>
        <w:t>踏勘</w:t>
      </w:r>
      <w:r>
        <w:rPr>
          <w:rFonts w:hint="default" w:ascii="Times New Roman" w:hAnsi="Times New Roman" w:eastAsia="宋体" w:cs="Times New Roman"/>
          <w:color w:val="auto"/>
          <w:sz w:val="21"/>
          <w:szCs w:val="21"/>
          <w:highlight w:val="none"/>
        </w:rPr>
        <w:t>，提供详细、优质的服务方案。</w:t>
      </w:r>
    </w:p>
    <w:p>
      <w:pPr>
        <w:spacing w:line="360" w:lineRule="auto"/>
        <w:ind w:firstLine="420" w:firstLineChars="200"/>
        <w:rPr>
          <w:rFonts w:hint="default" w:ascii="Times New Roman" w:hAnsi="Times New Roman" w:eastAsia="宋体" w:cs="Times New Roman"/>
          <w:color w:val="auto"/>
          <w:sz w:val="21"/>
          <w:szCs w:val="21"/>
          <w:highlight w:val="none"/>
        </w:rPr>
      </w:pPr>
    </w:p>
    <w:p>
      <w:pPr>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二、服务要求</w:t>
      </w:r>
    </w:p>
    <w:p>
      <w:pPr>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（一）服务总体要求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对所有服务区域按照三级甲等医院的标准提供保洁、运送、设备设施维护及医院各项应急任务等，并针对特殊情况，制定防止交叉感染、消毒隔离制度和工作标准、流程，同时做好病区内服务员工的日常培训与管理工作，配合医院做好迎接各类检查和突发性公共卫生事件等的应急卫生保洁、运送工作。投标人未按照行业规范及医院规定操作所引起的所有责任均由投标人自行承担。</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r>
        <w:rPr>
          <w:rStyle w:val="344"/>
          <w:rFonts w:hint="default" w:ascii="Times New Roman" w:hAnsi="Times New Roman" w:eastAsia="宋体" w:cs="Times New Roman"/>
          <w:color w:val="auto"/>
          <w:sz w:val="21"/>
          <w:szCs w:val="21"/>
          <w:highlight w:val="none"/>
          <w:lang w:val="en-US" w:eastAsia="zh-CN" w:bidi="ar"/>
        </w:rPr>
        <w:t>保洁服务具体范围为：杭州市潮王路318号院区全部楼宇（含楼顶、雨棚、平台、电梯厅、地下室、楼梯、通道等），医疗废物房、生活垃圾房、废品间及危化品暂存间、院区通道及外围、建科院行政办公区、之江饭店北楼行政办公区、东部软件园行政办公区、三官弄沿街4间房间等全部区域的保洁工作，包括室外绿植的养护、浇水等。</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1.2运送（含司梯）服务具体范围为：杭州市潮王路318号院区内全部楼宇及院区外行政办公用房（建科院、之江</w:t>
      </w:r>
      <w:r>
        <w:rPr>
          <w:rFonts w:hint="default" w:ascii="Times New Roman" w:hAnsi="Times New Roman" w:eastAsia="宋体" w:cs="Times New Roman"/>
          <w:color w:val="auto"/>
          <w:sz w:val="21"/>
          <w:szCs w:val="21"/>
          <w:highlight w:val="none"/>
          <w:lang w:eastAsia="zh-CN"/>
        </w:rPr>
        <w:t>饭店</w:t>
      </w:r>
      <w:r>
        <w:rPr>
          <w:rFonts w:hint="default" w:ascii="Times New Roman" w:hAnsi="Times New Roman" w:eastAsia="宋体" w:cs="Times New Roman"/>
          <w:color w:val="auto"/>
          <w:sz w:val="21"/>
          <w:szCs w:val="21"/>
          <w:highlight w:val="none"/>
        </w:rPr>
        <w:t>北楼、东部软件园、三官弄沿街4间房间）等区域，负责药品运送、司梯服务、医疗废物/生活废物收集以及转运等。</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1.3设备设施维护服务具体范围为：杭州市潮王路318号院区内。（具体工种有：水电维修、机修、管道疏通、话务、配电值班、氧气值守、事务处理等。）</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2、投标人的医疗废物回收等工作交接记录完整、可查，具有可追溯性，各种日报表、月或季报表随时可调用、年报表汇总情况分列内容齐全完整，采购人将不定期对各类记录进行抽查。</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3、投标人必须严格遵守《浙江中医药大学附属第二医院保洁、运送服务暂行管理办法》要求落实的各项服务工作，具体考核办法详见附件。</w:t>
      </w:r>
    </w:p>
    <w:p>
      <w:pPr>
        <w:pStyle w:val="56"/>
        <w:ind w:firstLine="420" w:firstLineChars="20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4、公共防疫要求投标人所有员工按医院要求进行监测及管理，由于管理不到位引起疫情等公共事件发生由中标方承担全部责任。</w:t>
      </w:r>
    </w:p>
    <w:p>
      <w:pPr>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5、因投标人管理不善，导致招标人发生直接或间接损失的，由此产生的全部责任由投标人自行承担。</w:t>
      </w:r>
    </w:p>
    <w:p>
      <w:pPr>
        <w:spacing w:line="360" w:lineRule="auto"/>
        <w:ind w:firstLine="420" w:firstLineChars="200"/>
        <w:rPr>
          <w:rFonts w:hint="default" w:ascii="Times New Roman" w:hAnsi="Times New Roman" w:eastAsia="宋体" w:cs="Times New Roman"/>
          <w:color w:val="auto"/>
          <w:sz w:val="21"/>
          <w:szCs w:val="21"/>
          <w:highlight w:val="none"/>
        </w:rPr>
      </w:pPr>
    </w:p>
    <w:p>
      <w:pPr>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（一）保洁</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rPr>
        <w:t>运送服务</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1、服务工作范围</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浙江中医药大学附属第二医院：杭州市潮王路318号院区、建科院行政办公区、之江饭店北楼行政办公区、东部软件园行政办公区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三官弄沿街4间房间等全部区域。</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2、区域面积概况</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院区总占地面积19.5亩，医院总建筑面积约60700平方米，其中：门诊楼6791.65平方米，急诊楼8392平方米，住院综合楼建筑面积43255平方米，其他建筑面积2061.35平方米，行政外租房4945平方米，绿化总面积1000平方米，主要服务区域的分布情况详参表1、《主要服务区域面积分布表》。</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3、服务岗位设置情况</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医院各岗位的服务内容、人员要求等，核定保洁运送服务岗位共计185.5个，其中保洁岗位（含花工）共计148.5个，运送岗位共计32个，管理岗5个。投标人应根据招标人给出的岗位数量和保洁运送工作要求，合理配备保洁运送人员，保质保量完成各岗位保洁运送工作。</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根据岗位服务内容、岗位人员要求等将保洁运送服务分为一级、二级、三级和管理岗，具体如下： </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一级岗：岗位数7个，主要从事发热门诊、隔离病房的保洁服务、医疗废弃物的收集、整理、专项保洁等工作。</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二级岗：岗位数18</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t>个，主要进行ICU、EICU、NICU、120等驻守工作。</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三级岗：岗位数155.5个，基本的运送工作，超声科、放射科、药房等区域的驻守工作，基础保洁，包括外围、病区、公共区域和卫生间的清洁服务。</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管理岗：岗位数5个，负责保洁运送项目管理工作。</w:t>
      </w:r>
    </w:p>
    <w:p>
      <w:pPr>
        <w:spacing w:line="360" w:lineRule="auto"/>
        <w:ind w:right="105" w:rightChars="5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保洁运送岗位设置方案</w:t>
      </w:r>
    </w:p>
    <w:tbl>
      <w:tblPr>
        <w:tblStyle w:val="80"/>
        <w:tblW w:w="9154"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1480"/>
        <w:gridCol w:w="28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790" w:type="dxa"/>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岗位等级及岗位明细</w:t>
            </w:r>
          </w:p>
        </w:tc>
        <w:tc>
          <w:tcPr>
            <w:tcW w:w="148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岗位数（个）</w:t>
            </w:r>
          </w:p>
        </w:tc>
        <w:tc>
          <w:tcPr>
            <w:tcW w:w="2884" w:type="dxa"/>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建议岗位工资不低于</w:t>
            </w:r>
          </w:p>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(元／岗／月)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790" w:type="dxa"/>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管理岗</w:t>
            </w:r>
          </w:p>
        </w:tc>
        <w:tc>
          <w:tcPr>
            <w:tcW w:w="148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2884" w:type="dxa"/>
            <w:vAlign w:val="center"/>
          </w:tcPr>
          <w:p>
            <w:pP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790" w:type="dxa"/>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一级岗：（医废回收处置、发热门诊、红码患者在时的隔离病房保洁消杀）</w:t>
            </w:r>
          </w:p>
        </w:tc>
        <w:tc>
          <w:tcPr>
            <w:tcW w:w="148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2884" w:type="dxa"/>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5500元/岗/月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4790" w:type="dxa"/>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二级岗：（EICU、 NICU、 ICU等处护理员、120担架工）</w:t>
            </w:r>
          </w:p>
        </w:tc>
        <w:tc>
          <w:tcPr>
            <w:tcW w:w="148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2884" w:type="dxa"/>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4600元/岗/月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790" w:type="dxa"/>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三级岗：（门诊、公区、病房保洁、运送、驻守科室岗位）</w:t>
            </w:r>
          </w:p>
        </w:tc>
        <w:tc>
          <w:tcPr>
            <w:tcW w:w="148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155.5</w:t>
            </w:r>
          </w:p>
        </w:tc>
        <w:tc>
          <w:tcPr>
            <w:tcW w:w="2884" w:type="dxa"/>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4200元/岗/月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790" w:type="dxa"/>
            <w:vAlign w:val="center"/>
          </w:tcPr>
          <w:p>
            <w:pPr>
              <w:rPr>
                <w:rFonts w:hint="default" w:ascii="Times New Roman" w:hAnsi="Times New Roman" w:eastAsia="宋体" w:cs="Times New Roman"/>
                <w:color w:val="auto"/>
                <w:sz w:val="21"/>
                <w:szCs w:val="21"/>
                <w:highlight w:val="none"/>
              </w:rPr>
            </w:pPr>
          </w:p>
        </w:tc>
        <w:tc>
          <w:tcPr>
            <w:tcW w:w="1480" w:type="dxa"/>
            <w:vAlign w:val="center"/>
          </w:tcPr>
          <w:p>
            <w:pPr>
              <w:jc w:val="center"/>
              <w:rPr>
                <w:rFonts w:hint="default" w:ascii="Times New Roman" w:hAnsi="Times New Roman" w:eastAsia="宋体" w:cs="Times New Roman"/>
                <w:color w:val="auto"/>
                <w:sz w:val="21"/>
                <w:szCs w:val="21"/>
                <w:highlight w:val="none"/>
              </w:rPr>
            </w:pPr>
          </w:p>
        </w:tc>
        <w:tc>
          <w:tcPr>
            <w:tcW w:w="2884" w:type="dxa"/>
            <w:vAlign w:val="center"/>
          </w:tcPr>
          <w:p>
            <w:pP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790" w:type="dxa"/>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总计</w:t>
            </w:r>
          </w:p>
        </w:tc>
        <w:tc>
          <w:tcPr>
            <w:tcW w:w="4364" w:type="dxa"/>
            <w:gridSpan w:val="2"/>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185.5（个）</w:t>
            </w:r>
          </w:p>
        </w:tc>
      </w:tr>
    </w:tbl>
    <w:p>
      <w:pPr>
        <w:spacing w:line="360" w:lineRule="auto"/>
        <w:ind w:left="600" w:right="320" w:firstLine="600"/>
        <w:rPr>
          <w:rFonts w:hint="default" w:ascii="Times New Roman" w:hAnsi="Times New Roman" w:eastAsia="宋体" w:cs="Times New Roman"/>
          <w:color w:val="auto"/>
          <w:sz w:val="21"/>
          <w:szCs w:val="21"/>
          <w:highlight w:val="none"/>
        </w:rPr>
      </w:pP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说明：</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（1）岗位分布情况及各岗位基本要求详见表4、《保洁运送服务岗位配置明细》；</w:t>
      </w:r>
    </w:p>
    <w:p>
      <w:pPr>
        <w:pStyle w:val="2"/>
        <w:ind w:left="0" w:leftChars="0" w:firstLine="48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（2）重要岗位人员更换</w:t>
      </w:r>
      <w:r>
        <w:rPr>
          <w:rFonts w:hint="default" w:ascii="Times New Roman" w:hAnsi="Times New Roman" w:eastAsia="宋体" w:cs="Times New Roman"/>
          <w:color w:val="auto"/>
          <w:sz w:val="21"/>
          <w:szCs w:val="21"/>
          <w:highlight w:val="none"/>
          <w:lang w:eastAsia="zh-CN"/>
        </w:rPr>
        <w:t>要求：</w:t>
      </w:r>
    </w:p>
    <w:p>
      <w:pPr>
        <w:pStyle w:val="2"/>
        <w:ind w:left="0" w:leftChars="0" w:firstLine="48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服务期内，投标人投入本项目的重要岗位人员不满足招标人工作要求时，招标人具有更换不满意人员的权利，投标人应自接到招标人更换人员通知之日起，于2日内响应，且7日内人员更换完毕，如上述时间内未完成人员更换，超出的时间视为缺岗，按照招标人的保洁运送考核办法相关要求落实扣罚；</w:t>
      </w:r>
    </w:p>
    <w:p>
      <w:pPr>
        <w:pStyle w:val="2"/>
        <w:spacing w:line="480" w:lineRule="auto"/>
        <w:ind w:left="0" w:leftChars="0" w:firstLine="48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投标人在接到招标人第二次更换重要岗位人员的通知后，28日内仍未更换的，招标人有权暂停支付服务费，直至投标人更换后的重要岗位人员到岗且满足岗位服务要求，服务费支付恢复，并承担重要岗位人员更换不及时导致的罚款10万元，于当月服务费中扣除</w:t>
      </w:r>
      <w:r>
        <w:rPr>
          <w:rFonts w:hint="default" w:ascii="Times New Roman" w:hAnsi="Times New Roman" w:eastAsia="宋体" w:cs="Times New Roman"/>
          <w:color w:val="auto"/>
          <w:sz w:val="21"/>
          <w:szCs w:val="21"/>
          <w:highlight w:val="none"/>
          <w:lang w:eastAsia="zh-CN"/>
        </w:rPr>
        <w:t>；</w:t>
      </w:r>
    </w:p>
    <w:p>
      <w:pPr>
        <w:pStyle w:val="2"/>
        <w:spacing w:line="480" w:lineRule="auto"/>
        <w:ind w:left="0" w:leftChars="0" w:firstLine="48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3）自招标人暂停支付服务费之日起，14日内仍未更换项目经理的，招标人有权解除合同</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并承担</w:t>
      </w:r>
      <w:r>
        <w:rPr>
          <w:rFonts w:hint="default" w:ascii="Times New Roman" w:hAnsi="Times New Roman" w:eastAsia="宋体" w:cs="Times New Roman"/>
          <w:color w:val="auto"/>
          <w:sz w:val="21"/>
          <w:szCs w:val="21"/>
          <w:highlight w:val="none"/>
          <w:lang w:val="en-US" w:eastAsia="zh-CN"/>
        </w:rPr>
        <w:t>项目经理</w:t>
      </w:r>
      <w:r>
        <w:rPr>
          <w:rFonts w:hint="default" w:ascii="Times New Roman" w:hAnsi="Times New Roman" w:eastAsia="宋体" w:cs="Times New Roman"/>
          <w:color w:val="auto"/>
          <w:sz w:val="21"/>
          <w:szCs w:val="21"/>
          <w:highlight w:val="none"/>
        </w:rPr>
        <w:t>更换不及时导致的罚款10万元</w:t>
      </w:r>
      <w:r>
        <w:rPr>
          <w:rFonts w:hint="default" w:ascii="Times New Roman" w:hAnsi="Times New Roman" w:eastAsia="宋体" w:cs="Times New Roman"/>
          <w:color w:val="auto"/>
          <w:sz w:val="21"/>
          <w:szCs w:val="21"/>
          <w:highlight w:val="none"/>
          <w:lang w:eastAsia="zh-CN"/>
        </w:rPr>
        <w:t>；</w:t>
      </w:r>
    </w:p>
    <w:p>
      <w:pPr>
        <w:pStyle w:val="2"/>
        <w:ind w:left="0" w:leftChars="0" w:firstLine="480"/>
        <w:rPr>
          <w:rStyle w:val="92"/>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4）投标人在未接到招标人更换要求时，重要岗位人员一般不准更换，特殊情况要求更换项目负责人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保洁、运送主管的，需在招标人相关部门备案，且经招标人同意后方可更换，同时按以下标准扣罚：更换项目负责人，扣罚2万元人民币/次，更换保洁主管、运送主管，扣罚1万元人民币/次，于当月服务费中扣除</w:t>
      </w:r>
      <w:r>
        <w:rPr>
          <w:rFonts w:hint="default" w:ascii="Times New Roman" w:hAnsi="Times New Roman" w:eastAsia="宋体" w:cs="Times New Roman"/>
          <w:color w:val="auto"/>
          <w:sz w:val="21"/>
          <w:szCs w:val="21"/>
          <w:highlight w:val="none"/>
          <w:lang w:eastAsia="zh-CN"/>
        </w:rPr>
        <w:t>。</w:t>
      </w:r>
    </w:p>
    <w:p>
      <w:pPr>
        <w:pStyle w:val="2"/>
        <w:ind w:left="0" w:leftChars="0" w:firstLine="480"/>
        <w:rPr>
          <w:rStyle w:val="92"/>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注：</w:t>
      </w:r>
      <w:r>
        <w:rPr>
          <w:rFonts w:hint="default" w:ascii="Times New Roman" w:hAnsi="Times New Roman" w:eastAsia="宋体" w:cs="Times New Roman"/>
          <w:color w:val="auto"/>
          <w:sz w:val="21"/>
          <w:szCs w:val="21"/>
          <w:highlight w:val="none"/>
        </w:rPr>
        <w:t>重要岗位</w:t>
      </w:r>
      <w:r>
        <w:rPr>
          <w:rFonts w:hint="default" w:ascii="Times New Roman" w:hAnsi="Times New Roman" w:eastAsia="宋体" w:cs="Times New Roman"/>
          <w:color w:val="auto"/>
          <w:sz w:val="21"/>
          <w:szCs w:val="21"/>
          <w:highlight w:val="none"/>
          <w:lang w:val="en-US" w:eastAsia="zh-CN"/>
        </w:rPr>
        <w:t>主要指</w:t>
      </w:r>
      <w:r>
        <w:rPr>
          <w:rFonts w:hint="default" w:ascii="Times New Roman" w:hAnsi="Times New Roman" w:eastAsia="宋体" w:cs="Times New Roman"/>
          <w:color w:val="auto"/>
          <w:sz w:val="21"/>
          <w:szCs w:val="21"/>
          <w:highlight w:val="none"/>
        </w:rPr>
        <w:t>项目负责人、保洁</w:t>
      </w:r>
      <w:r>
        <w:rPr>
          <w:rFonts w:hint="default" w:ascii="Times New Roman" w:hAnsi="Times New Roman" w:eastAsia="宋体" w:cs="Times New Roman"/>
          <w:color w:val="auto"/>
          <w:sz w:val="21"/>
          <w:szCs w:val="21"/>
          <w:highlight w:val="none"/>
          <w:lang w:val="en-US" w:eastAsia="zh-CN"/>
        </w:rPr>
        <w:t>主管</w:t>
      </w:r>
      <w:r>
        <w:rPr>
          <w:rFonts w:hint="default" w:ascii="Times New Roman" w:hAnsi="Times New Roman" w:eastAsia="宋体" w:cs="Times New Roman"/>
          <w:color w:val="auto"/>
          <w:sz w:val="21"/>
          <w:szCs w:val="21"/>
          <w:highlight w:val="none"/>
        </w:rPr>
        <w:t>、运送主管、设施设备运维管理岗、医废回收处置岗、发热门诊保洁岗等</w:t>
      </w:r>
      <w:r>
        <w:rPr>
          <w:rFonts w:hint="default" w:ascii="Times New Roman" w:hAnsi="Times New Roman" w:eastAsia="宋体" w:cs="Times New Roman"/>
          <w:color w:val="auto"/>
          <w:sz w:val="21"/>
          <w:szCs w:val="21"/>
          <w:highlight w:val="none"/>
          <w:lang w:eastAsia="zh-CN"/>
        </w:rPr>
        <w:t>。</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bookmarkStart w:id="6" w:name="_Hlk47940664"/>
      <w:r>
        <w:rPr>
          <w:rFonts w:hint="default" w:ascii="Times New Roman" w:hAnsi="Times New Roman" w:eastAsia="宋体" w:cs="Times New Roman"/>
          <w:color w:val="auto"/>
          <w:sz w:val="21"/>
          <w:szCs w:val="21"/>
          <w:highlight w:val="none"/>
        </w:rPr>
        <w:t>4、保洁总体要求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投标人根据医院各科室的特点，对服务区域内提供合理时段的室内外清洁服务（服务区域的卫生符合保洁要求，包括</w:t>
      </w:r>
      <w:r>
        <w:rPr>
          <w:rFonts w:hint="default" w:ascii="Times New Roman" w:hAnsi="Times New Roman" w:eastAsia="宋体" w:cs="Times New Roman"/>
          <w:color w:val="auto"/>
          <w:sz w:val="21"/>
          <w:szCs w:val="21"/>
          <w:highlight w:val="none"/>
          <w:lang w:val="en-US" w:eastAsia="zh-CN"/>
        </w:rPr>
        <w:t>但不限于</w:t>
      </w:r>
      <w:r>
        <w:rPr>
          <w:rFonts w:hint="default" w:ascii="Times New Roman" w:hAnsi="Times New Roman" w:eastAsia="宋体" w:cs="Times New Roman"/>
          <w:color w:val="auto"/>
          <w:sz w:val="21"/>
          <w:szCs w:val="21"/>
          <w:highlight w:val="none"/>
        </w:rPr>
        <w:t>门诊、急诊、病区、医技科室、会议室、示教室、院</w:t>
      </w:r>
      <w:r>
        <w:rPr>
          <w:rFonts w:hint="default" w:ascii="Times New Roman" w:hAnsi="Times New Roman" w:eastAsia="宋体" w:cs="Times New Roman"/>
          <w:color w:val="auto"/>
          <w:sz w:val="21"/>
          <w:szCs w:val="21"/>
          <w:highlight w:val="none"/>
          <w:lang w:eastAsia="zh-CN"/>
        </w:rPr>
        <w:t>区</w:t>
      </w:r>
      <w:r>
        <w:rPr>
          <w:rFonts w:hint="default" w:ascii="Times New Roman" w:hAnsi="Times New Roman" w:eastAsia="宋体" w:cs="Times New Roman"/>
          <w:color w:val="auto"/>
          <w:sz w:val="21"/>
          <w:szCs w:val="21"/>
          <w:highlight w:val="none"/>
        </w:rPr>
        <w:t>内道路、绿化带、车库、行政办公区等范围），使其有一个整洁、舒适、安静、安全的就医环境，同时针对医院的特殊情况及各个不同的服务区域，制订消毒隔离制度及预防交叉感染的具体措施。</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5、保洁服务内容</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 保洁服务主要内容（包括但不仅限于以下内容）</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各建筑物内的楼梯、大厅、走廊、吊顶、平台、雨棚、电梯厅、电梯间、卫生间、茶水间、会议室、接待室、办公区域、公共活动场所的台（地）面、明沟、墙面、门、窗、灯具、果壳箱、花盆、挂饰、器皿等；建筑外墙、天台、屋顶、连廊等；院区内的道路、园林、花坛、停车场(库)、垃圾房等所有公共场地及设施和“门前三包”区域的日常保洁保养以及垃圾、废弃物清理等医院范围内的所有环境卫生保洁。</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5.2日常保洁具体内容</w:t>
      </w:r>
    </w:p>
    <w:p>
      <w:pPr>
        <w:numPr>
          <w:ilvl w:val="0"/>
          <w:numId w:val="5"/>
        </w:num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公共区域日常保洁：地面、扶手、门窗玻璃、门及门窗框、玻璃幕墙及有关附体，沙发、桌子、各类宣传牌、橱窗及有关附体，天花板、栏杆、消防楼梯区域等位置的清洁。</w:t>
      </w:r>
    </w:p>
    <w:p>
      <w:pPr>
        <w:numPr>
          <w:ilvl w:val="0"/>
          <w:numId w:val="5"/>
        </w:num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会议、活动服务：根据招标人需要提供会议、庆典、节日、学术等活动的日常服务，包括协助布置会场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绿化（盆景）摆设和保养</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悬挂横幅</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搬运器材、桌椅、音响、空调、水果、鲜花</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会后清场等工作。</w:t>
      </w:r>
    </w:p>
    <w:p>
      <w:pPr>
        <w:numPr>
          <w:ilvl w:val="0"/>
          <w:numId w:val="5"/>
        </w:num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外围保洁：绿化带、花箱内杂物、烟蒂、果壳、残枝落叶等清扫，围墙、围墙内的道路、停车场、自行车棚、过道、宣传栏、明沟渠、车道、消防栓及所有公共区域的地面，有形垃圾和建筑垃圾清理。每日清扫两次，巡回保洁。院区</w:t>
      </w:r>
      <w:r>
        <w:rPr>
          <w:rFonts w:hint="default" w:ascii="Times New Roman" w:hAnsi="Times New Roman" w:eastAsia="宋体" w:cs="Times New Roman"/>
          <w:color w:val="auto"/>
          <w:sz w:val="21"/>
          <w:szCs w:val="21"/>
          <w:highlight w:val="none"/>
          <w:lang w:eastAsia="zh-CN"/>
        </w:rPr>
        <w:t>内</w:t>
      </w:r>
      <w:r>
        <w:rPr>
          <w:rFonts w:hint="default" w:ascii="Times New Roman" w:hAnsi="Times New Roman" w:eastAsia="宋体" w:cs="Times New Roman"/>
          <w:color w:val="auto"/>
          <w:sz w:val="21"/>
          <w:szCs w:val="21"/>
          <w:highlight w:val="none"/>
        </w:rPr>
        <w:t>道路（尤其是各入口处）每周高压水枪冲洗地面，室外花箱、座椅的清洁等。</w:t>
      </w:r>
    </w:p>
    <w:p>
      <w:p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（4）特定区域保洁：办公区、会议室等区域的地面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大厅石材墙面、天花板、门窗玻璃、门及门窗框、墙壁附体，灯具、音响、垃圾桶等公用设施表面，电梯及卫生间，办公室内储衣柜和桌椅表面等严格按要求做好清洁、清运及日常消杀工作，桌面简单整理等，随时保持清洁。确保地面、桌面、玻璃面整洁干净。白色墙面及顶面如有污渍等应及时清除，病房的保洁要求“一房一拖”。</w:t>
      </w:r>
    </w:p>
    <w:p>
      <w:p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（5）公共及病房卫生间保洁：确保医疗场所、病房、卫生间达到专业清洁与消毒要求，防止交叉感染，对不同区域的清洁工具按医院感染管理科的要求实行严格分类摆放和使用，用颜色、字标等方式进行区分。</w:t>
      </w:r>
    </w:p>
    <w:p>
      <w:p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（6）顶篷等边缘区域保洁：屋顶屋面、沟槽、地面、雨篷及边角区域，各种附体的表面清洁。</w:t>
      </w:r>
    </w:p>
    <w:p>
      <w:p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（7）电梯保洁：每天对轿厢内及各厅门用布擦拭二次，消毒四次，每周用不锈钢油对轿厢内外进行轻抹保养一次。</w:t>
      </w:r>
    </w:p>
    <w:p>
      <w:p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（8）公共及病房卫生间保洁服务：每天消毒1-2次。公共区域卫生间保洁人员要求专人专岗，合理统筹安排。</w:t>
      </w:r>
    </w:p>
    <w:p>
      <w:p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（9）负责行政区域各办公室、会议室、门诊区域各诊室的开水供应。</w:t>
      </w:r>
    </w:p>
    <w:p>
      <w:p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（10）配合招标人禁烟和节能降耗工作的落实。</w:t>
      </w:r>
    </w:p>
    <w:p>
      <w:p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5.3专项保洁具体内容：</w:t>
      </w:r>
    </w:p>
    <w:p>
      <w:p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保洁专项管理服务，投标人每年年初提供给招标人全年专项保洁计划，每月月中上交次月月度专项保洁计划，每周上交周专项保洁计划，注明每项专项保洁的具体落实时间，定期汇报进展。</w:t>
      </w:r>
    </w:p>
    <w:p>
      <w:p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（1）院区内所有楼宇外墙（含玻璃幕墙）清洗，每年清洗</w:t>
      </w:r>
      <w:r>
        <w:rPr>
          <w:rFonts w:hint="default" w:ascii="Times New Roman" w:hAnsi="Times New Roman" w:eastAsia="宋体" w:cs="Times New Roman"/>
          <w:b/>
          <w:bCs/>
          <w:color w:val="auto"/>
          <w:sz w:val="21"/>
          <w:szCs w:val="21"/>
          <w:highlight w:val="none"/>
        </w:rPr>
        <w:t>一</w:t>
      </w:r>
      <w:r>
        <w:rPr>
          <w:rFonts w:hint="default" w:ascii="Times New Roman" w:hAnsi="Times New Roman" w:eastAsia="宋体" w:cs="Times New Roman"/>
          <w:color w:val="auto"/>
          <w:sz w:val="21"/>
          <w:szCs w:val="21"/>
          <w:highlight w:val="none"/>
        </w:rPr>
        <w:t>次，费用包含在本次投标报价中，其中清洗服务人员需要具备高空作业人员相应资质，投标人委托的外墙清洗服务单位</w:t>
      </w:r>
      <w:r>
        <w:rPr>
          <w:rFonts w:hint="default" w:ascii="Times New Roman" w:hAnsi="Times New Roman" w:eastAsia="宋体" w:cs="Times New Roman"/>
          <w:color w:val="auto"/>
          <w:sz w:val="21"/>
          <w:szCs w:val="21"/>
          <w:highlight w:val="none"/>
          <w:lang w:eastAsia="zh-CN"/>
        </w:rPr>
        <w:t>需为</w:t>
      </w:r>
      <w:r>
        <w:rPr>
          <w:rFonts w:hint="default" w:ascii="Times New Roman" w:hAnsi="Times New Roman" w:eastAsia="宋体" w:cs="Times New Roman"/>
          <w:color w:val="auto"/>
          <w:sz w:val="21"/>
          <w:szCs w:val="21"/>
          <w:highlight w:val="none"/>
        </w:rPr>
        <w:t>高空作业人员</w:t>
      </w:r>
      <w:r>
        <w:rPr>
          <w:rFonts w:hint="default" w:ascii="Times New Roman" w:hAnsi="Times New Roman" w:eastAsia="宋体" w:cs="Times New Roman"/>
          <w:color w:val="auto"/>
          <w:sz w:val="21"/>
          <w:szCs w:val="21"/>
          <w:highlight w:val="none"/>
          <w:lang w:eastAsia="zh-CN"/>
        </w:rPr>
        <w:t>购买</w:t>
      </w:r>
      <w:r>
        <w:rPr>
          <w:rFonts w:hint="default" w:ascii="Times New Roman" w:hAnsi="Times New Roman" w:eastAsia="宋体" w:cs="Times New Roman"/>
          <w:color w:val="auto"/>
          <w:sz w:val="21"/>
          <w:szCs w:val="21"/>
          <w:highlight w:val="none"/>
        </w:rPr>
        <w:t>高空作业雇主险。</w:t>
      </w:r>
    </w:p>
    <w:p>
      <w:pPr>
        <w:pStyle w:val="2"/>
        <w:ind w:left="0" w:leftChars="0" w:firstLine="48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如招标人需要额外增加外墙清洗服务的，服务收费价格按清单价执行（增加次数的外墙清洗服务收费不包含合同价内）。</w:t>
      </w:r>
    </w:p>
    <w:tbl>
      <w:tblPr>
        <w:tblStyle w:val="80"/>
        <w:tblW w:w="894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516"/>
        <w:gridCol w:w="1635"/>
        <w:gridCol w:w="40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tcPr>
          <w:p>
            <w:pPr>
              <w:pStyle w:val="2"/>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服务项目</w:t>
            </w:r>
          </w:p>
        </w:tc>
        <w:tc>
          <w:tcPr>
            <w:tcW w:w="1516" w:type="dxa"/>
          </w:tcPr>
          <w:p>
            <w:pPr>
              <w:pStyle w:val="2"/>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单价</w:t>
            </w:r>
          </w:p>
        </w:tc>
        <w:tc>
          <w:tcPr>
            <w:tcW w:w="1635" w:type="dxa"/>
          </w:tcPr>
          <w:p>
            <w:pPr>
              <w:pStyle w:val="2"/>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费用（元）</w:t>
            </w:r>
          </w:p>
        </w:tc>
        <w:tc>
          <w:tcPr>
            <w:tcW w:w="4048" w:type="dxa"/>
          </w:tcPr>
          <w:p>
            <w:pPr>
              <w:pStyle w:val="2"/>
              <w:ind w:left="0" w:lef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tcPr>
          <w:p>
            <w:pPr>
              <w:pStyle w:val="2"/>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外墙清洗服务</w:t>
            </w:r>
          </w:p>
        </w:tc>
        <w:tc>
          <w:tcPr>
            <w:tcW w:w="1516" w:type="dxa"/>
          </w:tcPr>
          <w:p>
            <w:pPr>
              <w:pStyle w:val="2"/>
              <w:ind w:left="0" w:lef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元/平方米</w:t>
            </w:r>
          </w:p>
        </w:tc>
        <w:tc>
          <w:tcPr>
            <w:tcW w:w="1635" w:type="dxa"/>
          </w:tcPr>
          <w:p>
            <w:pPr>
              <w:pStyle w:val="2"/>
              <w:ind w:left="0" w:leftChars="0" w:firstLine="0" w:firstLineChars="0"/>
              <w:rPr>
                <w:rFonts w:hint="default" w:ascii="Times New Roman" w:hAnsi="Times New Roman" w:eastAsia="宋体" w:cs="Times New Roman"/>
                <w:color w:val="auto"/>
                <w:sz w:val="21"/>
                <w:szCs w:val="21"/>
                <w:highlight w:val="none"/>
              </w:rPr>
            </w:pPr>
          </w:p>
        </w:tc>
        <w:tc>
          <w:tcPr>
            <w:tcW w:w="4048" w:type="dxa"/>
          </w:tcPr>
          <w:p>
            <w:pPr>
              <w:pStyle w:val="2"/>
              <w:ind w:left="0" w:leftChars="0"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费用在清洗完毕后，按实际清洗面积结合单价结算，经招标人验收通过后支付。</w:t>
            </w:r>
          </w:p>
        </w:tc>
      </w:tr>
    </w:tbl>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（2）对住院</w:t>
      </w:r>
      <w:r>
        <w:rPr>
          <w:rFonts w:hint="default" w:ascii="Times New Roman" w:hAnsi="Times New Roman" w:eastAsia="宋体" w:cs="Times New Roman"/>
          <w:color w:val="auto"/>
          <w:sz w:val="21"/>
          <w:szCs w:val="21"/>
          <w:highlight w:val="none"/>
          <w:lang w:eastAsia="zh-CN"/>
        </w:rPr>
        <w:t>综合</w:t>
      </w:r>
      <w:r>
        <w:rPr>
          <w:rFonts w:hint="default" w:ascii="Times New Roman" w:hAnsi="Times New Roman" w:eastAsia="宋体" w:cs="Times New Roman"/>
          <w:color w:val="auto"/>
          <w:sz w:val="21"/>
          <w:szCs w:val="21"/>
          <w:highlight w:val="none"/>
        </w:rPr>
        <w:t>楼出入处前门、侧门的玻璃顶棚进行高空刮洗和住院</w:t>
      </w:r>
      <w:r>
        <w:rPr>
          <w:rFonts w:hint="default" w:ascii="Times New Roman" w:hAnsi="Times New Roman" w:eastAsia="宋体" w:cs="Times New Roman"/>
          <w:color w:val="auto"/>
          <w:sz w:val="21"/>
          <w:szCs w:val="21"/>
          <w:highlight w:val="none"/>
          <w:lang w:eastAsia="zh-CN"/>
        </w:rPr>
        <w:t>综合</w:t>
      </w:r>
      <w:r>
        <w:rPr>
          <w:rFonts w:hint="default" w:ascii="Times New Roman" w:hAnsi="Times New Roman" w:eastAsia="宋体" w:cs="Times New Roman"/>
          <w:color w:val="auto"/>
          <w:sz w:val="21"/>
          <w:szCs w:val="21"/>
          <w:highlight w:val="none"/>
        </w:rPr>
        <w:t>楼4楼连廊的清洁，每月一次。</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（3）保持窗帘、床帘表面清洁，负责窗帘、床帘的换洗拆装，普通窗帘根据窗帘清洁情况定时拆装清洗，布质窗帘一年至少清洗一次，床帘每季度清洗一次。</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（4）所有不锈钢制品、设施、设备，除有明确规定的保洁要求外，至少每两个月用不锈钢油保养一次。</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（5）医疗/生活垃圾清运服务内容：按时巡视，及时收集垃圾，送到院内指定地点，符合院感要求。各类垃圾</w:t>
      </w:r>
      <w:r>
        <w:rPr>
          <w:rFonts w:hint="default" w:ascii="Times New Roman" w:hAnsi="Times New Roman" w:eastAsia="宋体" w:cs="Times New Roman"/>
          <w:color w:val="auto"/>
          <w:sz w:val="21"/>
          <w:szCs w:val="21"/>
          <w:highlight w:val="none"/>
          <w:lang w:eastAsia="zh-CN"/>
        </w:rPr>
        <w:t>先</w:t>
      </w:r>
      <w:r>
        <w:rPr>
          <w:rFonts w:hint="default" w:ascii="Times New Roman" w:hAnsi="Times New Roman" w:eastAsia="宋体" w:cs="Times New Roman"/>
          <w:color w:val="auto"/>
          <w:sz w:val="21"/>
          <w:szCs w:val="21"/>
          <w:highlight w:val="none"/>
        </w:rPr>
        <w:t>运到规定的地方，再将垃圾运到垃圾转运站，其中公共区、卫生间</w:t>
      </w:r>
      <w:r>
        <w:rPr>
          <w:rFonts w:hint="default" w:ascii="Times New Roman" w:hAnsi="Times New Roman" w:eastAsia="宋体" w:cs="Times New Roman"/>
          <w:color w:val="auto"/>
          <w:sz w:val="21"/>
          <w:szCs w:val="21"/>
          <w:highlight w:val="none"/>
          <w:lang w:eastAsia="zh-CN"/>
        </w:rPr>
        <w:t>不得</w:t>
      </w:r>
      <w:r>
        <w:rPr>
          <w:rFonts w:hint="default" w:ascii="Times New Roman" w:hAnsi="Times New Roman" w:eastAsia="宋体" w:cs="Times New Roman"/>
          <w:color w:val="auto"/>
          <w:sz w:val="21"/>
          <w:szCs w:val="21"/>
          <w:highlight w:val="none"/>
        </w:rPr>
        <w:t>堆积垃圾。</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（6）做好生活垃圾分类，符合《杭州市垃圾管理条例》要求。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（7）做好地胶板以及其它各种材质地板、墙面的养护。各类材质地面定期进行抛光、喷磨、刷洗、补蜡、全面保养打蜡。地面类型详见表2、《地面类型》。</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（8）PVC（橡胶）地板打蜡保养、石材地面修补翻新养护内容：每半年对全院PVC（橡胶）地板进行一次常规打蜡保养；每季度对全院石材地面进行一次常规修补翻新养护；及时完成</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对PVC地板及石材地面的临时保养需求。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（9）外围保洁要求无堆积杂物、无积灰、无积水和淤泥、无阻塞等。</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6、保洁服务要求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（1）公共区域、特定区域的日常保洁服务人员，负责服务范围内环境清洁卫生，提供24小时循环巡视保洁，接到临时性和突发性保洁任务时</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必须在20分钟内到岗清理。做到无积灰、印迹、污渍。要求对环境保洁进行科学的划分，并且强调计划性。</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会议、活动服务要求：会议期间全过程值班，包括及时倒开水、保证音响效果，满足会议服务需求。制定完备的会务服务工作流程、细则及服务工作计划并严格执行，保证各项会议的正常进行。会务接待及服务人员应仪表端庄、举止文明、知晓相关礼仪，并经过专业培训。</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PVC（橡胶）地板打蜡保养、石材地面修补翻新养护服务要求：打蜡时要注意均匀涂抹，不应过厚或过薄，用蜡拖把液蜡均匀拖打在地板上，使地面光亮、整洁，长期保持良好的使用状态。石材地面翻新养护抛光后亮度达85度以上。</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（4）顶篷等边缘区域保洁服务要求不积水、不留杂物，排水通畅。</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（5）保持电梯轿厢内外无果壳、纸屑等杂物，无污渍、无灰尘、手印、鞋印，表面光亮可映出人影。</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医疗/生活垃圾清运、垃圾分类服务：医疗垃圾、生活垃圾存放处要做到干净、整洁，无蜘蛛丝，无异味，无明显积水，无蚊蝇飞舞，每日消毒一次。垃圾桶每日清洗，垃圾存量不超过三分之二且做到当日清。垃圾清运工具应保持清洁无破损，清运过程中不得产生二次污染。转运站工具摆放整齐。</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公共及病房卫生间保洁标准：无异味；地面无污渍、积水、尿渍、垃圾烟头等；洗水池无污垢、痰迹、头发等不洁物；水龙头无印迹、污垢，光亮整洁；台面无积水、污物；镜面无水渍、物资；便池无污渍、黄迹、污物，喷水嘴洁净。</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（8）要求对清洁工具每天进行清洗消毒，避免用手洗，以防止交叉感染。</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（9）不锈钢保洁要求：哑光不锈钢表面无污渍、无灰尘；镜面不锈钢表面光亮，三米内能清晰映出人影。</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要求中标人对招标人的项目管理配置专用的洗地机、自动洗地吸水机、抛光机、吸水洗尘机、地坪/地毯吹干机、真空吸尘机、垃圾车等。为避免尘土飞扬，地面干拖应使用尘推加牵尘剂的方法进行处理。所使用的清洁车辆必须是先进的全方位清洁手推车。</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7、其他说明：</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（1）报价中须包含PVC地面、橡胶地面以及其它各种材质地面的护理，包括起蜡落蜡，刷洗补蜡，喷磨和抛光等处理，保持地面的光亮、整洁。所使用耗材应为知名优质品牌产品。</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）保洁具体工作包括但不限于以上所列，各项保洁工作所需要求的专业设备、器材、材料、耗材、人工以及相关费用等均包含在投标单价、合价和投标总报价中。</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）保洁服务具体要求详见表3、《各区域保洁工作具体要求》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8、运送服务内容（含电梯操作工）</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（1）收送化验标本、会诊单、检查预约单、手术通知单、资料或文件。</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（2）取检查结果、化验</w:t>
      </w:r>
      <w:r>
        <w:rPr>
          <w:rFonts w:hint="default" w:ascii="Times New Roman" w:hAnsi="Times New Roman" w:eastAsia="宋体" w:cs="Times New Roman"/>
          <w:color w:val="auto"/>
          <w:sz w:val="21"/>
          <w:szCs w:val="21"/>
          <w:highlight w:val="none"/>
          <w:lang w:eastAsia="zh-CN"/>
        </w:rPr>
        <w:t>报告</w:t>
      </w:r>
      <w:r>
        <w:rPr>
          <w:rFonts w:hint="default" w:ascii="Times New Roman" w:hAnsi="Times New Roman" w:eastAsia="宋体" w:cs="Times New Roman"/>
          <w:color w:val="auto"/>
          <w:sz w:val="21"/>
          <w:szCs w:val="21"/>
          <w:highlight w:val="none"/>
        </w:rPr>
        <w:t>单；血库拿血。</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（3）送病人院内做检查、手术。</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（4）送资料、复印、送感染报告、物品申领单。</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（5）办公家具、医疗用品、医疗消耗品、设备总务库房等物品的运送。</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（6）临时去供应室取送消毒物品。</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（7）领输液药品、病区患者中药发送（含汤剂、草药、颗粒剂）。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（8）取药、借药（临时）、设备借用、设备送</w:t>
      </w:r>
      <w:r>
        <w:rPr>
          <w:rFonts w:hint="default" w:ascii="Times New Roman" w:hAnsi="Times New Roman" w:eastAsia="宋体" w:cs="Times New Roman"/>
          <w:color w:val="auto"/>
          <w:sz w:val="21"/>
          <w:szCs w:val="21"/>
          <w:highlight w:val="none"/>
          <w:lang w:eastAsia="zh-CN"/>
        </w:rPr>
        <w:t>检</w:t>
      </w:r>
      <w:r>
        <w:rPr>
          <w:rFonts w:hint="default" w:ascii="Times New Roman" w:hAnsi="Times New Roman" w:eastAsia="宋体" w:cs="Times New Roman"/>
          <w:color w:val="auto"/>
          <w:sz w:val="21"/>
          <w:szCs w:val="21"/>
          <w:highlight w:val="none"/>
        </w:rPr>
        <w:t>修。</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（9）棉织品（含工作衣）收送、签单、部分修补，窗帘和床帘更换清洗,并与科室、洗衣公司交接点数。</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（10）加床运送等。</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（11）投标人应具备提供医院所有病区送餐</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rPr>
        <w:t>服务能力，本项目不设专职送餐员。当招标人需要投标人提供送餐到病房服务时，费用收费价格按清单价执行，根据实际提供服务天数结算，此项费用不包含本次投标报价中。</w:t>
      </w:r>
    </w:p>
    <w:tbl>
      <w:tblPr>
        <w:tblStyle w:val="80"/>
        <w:tblW w:w="86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15"/>
        <w:gridCol w:w="1065"/>
        <w:gridCol w:w="45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80" w:type="dxa"/>
            <w:tcBorders>
              <w:tl2br w:val="nil"/>
              <w:tr2bl w:val="nil"/>
            </w:tcBorders>
            <w:noWrap/>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服务项目</w:t>
            </w:r>
          </w:p>
        </w:tc>
        <w:tc>
          <w:tcPr>
            <w:tcW w:w="1015" w:type="dxa"/>
            <w:tcBorders>
              <w:tl2br w:val="nil"/>
              <w:tr2bl w:val="nil"/>
            </w:tcBorders>
            <w:noWrap/>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单位</w:t>
            </w:r>
          </w:p>
        </w:tc>
        <w:tc>
          <w:tcPr>
            <w:tcW w:w="1065" w:type="dxa"/>
            <w:tcBorders>
              <w:tl2br w:val="nil"/>
              <w:tr2bl w:val="nil"/>
            </w:tcBorders>
            <w:noWrap/>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价格</w:t>
            </w:r>
          </w:p>
        </w:tc>
        <w:tc>
          <w:tcPr>
            <w:tcW w:w="4570" w:type="dxa"/>
            <w:tcBorders>
              <w:tl2br w:val="nil"/>
              <w:tr2bl w:val="nil"/>
            </w:tcBorders>
            <w:noWrap/>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980" w:type="dxa"/>
            <w:tcBorders>
              <w:tl2br w:val="nil"/>
              <w:tr2bl w:val="nil"/>
            </w:tcBorders>
            <w:noWrap/>
            <w:vAlign w:val="center"/>
          </w:tcPr>
          <w:p>
            <w:pPr>
              <w:widowControl/>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病房送餐服务</w:t>
            </w:r>
          </w:p>
        </w:tc>
        <w:tc>
          <w:tcPr>
            <w:tcW w:w="1015" w:type="dxa"/>
            <w:tcBorders>
              <w:tl2br w:val="nil"/>
              <w:tr2bl w:val="nil"/>
            </w:tcBorders>
            <w:noWrap/>
            <w:vAlign w:val="center"/>
          </w:tcPr>
          <w:p>
            <w:pPr>
              <w:widowControl/>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元/天</w:t>
            </w:r>
          </w:p>
        </w:tc>
        <w:tc>
          <w:tcPr>
            <w:tcW w:w="1065" w:type="dxa"/>
            <w:tcBorders>
              <w:tl2br w:val="nil"/>
              <w:tr2bl w:val="nil"/>
            </w:tcBorders>
            <w:noWrap/>
            <w:vAlign w:val="center"/>
          </w:tcPr>
          <w:p>
            <w:pPr>
              <w:widowControl/>
              <w:jc w:val="left"/>
              <w:rPr>
                <w:rFonts w:hint="default" w:ascii="Times New Roman" w:hAnsi="Times New Roman" w:eastAsia="宋体" w:cs="Times New Roman"/>
                <w:color w:val="auto"/>
                <w:kern w:val="0"/>
                <w:sz w:val="21"/>
                <w:szCs w:val="21"/>
                <w:highlight w:val="none"/>
              </w:rPr>
            </w:pPr>
          </w:p>
        </w:tc>
        <w:tc>
          <w:tcPr>
            <w:tcW w:w="4570" w:type="dxa"/>
            <w:tcBorders>
              <w:tl2br w:val="nil"/>
              <w:tr2bl w:val="nil"/>
            </w:tcBorders>
            <w:noWrap/>
            <w:vAlign w:val="center"/>
          </w:tcPr>
          <w:p>
            <w:pPr>
              <w:widowControl/>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与招标人膳食部门</w:t>
            </w:r>
            <w:r>
              <w:rPr>
                <w:rFonts w:hint="default" w:ascii="Times New Roman" w:hAnsi="Times New Roman" w:eastAsia="宋体" w:cs="Times New Roman"/>
                <w:color w:val="auto"/>
                <w:kern w:val="0"/>
                <w:sz w:val="21"/>
                <w:szCs w:val="21"/>
                <w:highlight w:val="none"/>
                <w:lang w:eastAsia="zh-CN"/>
              </w:rPr>
              <w:t>一起对</w:t>
            </w:r>
            <w:r>
              <w:rPr>
                <w:rFonts w:hint="default" w:ascii="Times New Roman" w:hAnsi="Times New Roman" w:eastAsia="宋体" w:cs="Times New Roman"/>
                <w:color w:val="auto"/>
                <w:kern w:val="0"/>
                <w:sz w:val="21"/>
                <w:szCs w:val="21"/>
                <w:highlight w:val="none"/>
              </w:rPr>
              <w:t>餐食核对准确无误后，从食堂取餐，根据订单信息，发放至病房对应患者手中</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报价不多于5个岗费用。</w:t>
            </w:r>
          </w:p>
        </w:tc>
      </w:tr>
    </w:tbl>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（12）医疗/生活垃圾院内收集清运服务。</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（13）其他未提及的医院需要的运送工作。</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说明：上述内容只是招标人提出的运送服务基本要求，要求各投标人制定针对招标人的详细、标准化的工作程序和作业计划，并开展服务，以便用最精简的方案高效完成运送服务，并确保医院各科室和部门之间运送工作按时、准确、无误。</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9、运送服务主要要求：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（1）设立24小时的调度中心，保证24小时/天，365天/年的连续服务，合理安排运送人员，相关人员配置必要的通讯设备，调度人员接听电话采用礼貌用语。</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（2）招标人负责提供运送用工具，中标人应合理调配并负责管理与保养。</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（3）要求投标人对运送的数据进行定期汇总和统计，能随时提供相应的数据，为招标人的决策提供支持。</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i w:val="0"/>
          <w:color w:val="auto"/>
          <w:kern w:val="0"/>
          <w:sz w:val="21"/>
          <w:szCs w:val="21"/>
          <w:highlight w:val="none"/>
          <w:u w:val="none"/>
          <w:lang w:val="en-US" w:eastAsia="zh-CN" w:bidi="ar"/>
        </w:rPr>
        <w:t>运送及时率、准确率均不低于99%，原则上常规标本1小时循环1次，转运患者自接到任务通知时起，30分钟内到场转运患者，紧急运送任务，自接到通知时时，15分钟内到达现场，各类转运服务超出上述时间要求，视为不及时，对于标本，患者或物品送错的情况，招标人物业服务监管部门接到临床科室反映的，按次纳入月度物业服务质量考核，按相关考核规定执行。</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（5）招标人强调运送服务安全、及时、准确、快捷，要求工作人员具有为临床、为患者、为客户高度负责的服务意识。</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（6）严格执行感染控制和消毒隔离制度，防止交叉感染。</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服务人员根据运送通知要求的时间、限定的转运工具（如有）到指定地点接送患者，运送患者后整理好运送工具，并送回原位。注意送检途中患者的安全，运送途中保持平车、轮椅等平稳，平车不撞击外墙和门。</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（8）标本登记、签收准确、及时。</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（9）服务人员取血、取药时查对准确，及时安全送达后与科室核对、签收。途中要防止碰撞</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避免破损、丢失，破损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丢失后，应照价赔偿，</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电梯操作人员按国家相关规定持证上岗，本项目电梯上岗证持证人员不少于4人，按规范操作电梯行驶，安全正确地引导各类人员乘坐电梯，掌握发生一般险情的处理方法，电梯故障时第一时间报修，配合协助维保单位做好相关工作。建议针对电梯的功能、使用频次、高峰时段、运行年限等合理编制电梯运行操作班次和专业的电梯操作人员，并在投标文件中进行专门具体阐述。</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（11）统一工作服、劳动防护用品（如：一次性手套、口罩）。</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（12）定期给招标人后勤及相关科室提供相关工作报表等，对相关工作流程等及时与院方沟通并调整，提出合理化建议，并顺应医院的管理和运行模式。</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（13）送各种检查申请单及会诊单要实行专人接收签收制度，不可顺带运送，以防漏送或遗失。</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（14）送化验单及标本要及时，按各种标本的性质进行必要的保护，如保温等，并查视标本存放容器，不得有破损、脏污或标本量不足等情况，并按医生嘱咐办理，以免影响结果。</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（15）各种运送服务具体要求需根据医院管理要求实施。</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（16）投标人应具有信息化管理软件，为招标人提供信息化智能运送服务，高效开展各类运送工作。软件系统具体要求如下：</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系统管理</w:t>
      </w:r>
      <w:r>
        <w:rPr>
          <w:rFonts w:hint="default" w:ascii="Times New Roman" w:hAnsi="Times New Roman" w:eastAsia="宋体" w:cs="Times New Roman"/>
          <w:color w:val="auto"/>
          <w:sz w:val="21"/>
          <w:szCs w:val="21"/>
          <w:highlight w:val="none"/>
        </w:rPr>
        <w:t>范围：接送手术患者；运送住院患者院内检查及治疗；收送各类检查相关单据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检查报告、预约单、会诊单、化验单</w:t>
      </w:r>
      <w:r>
        <w:rPr>
          <w:rFonts w:hint="default" w:ascii="Times New Roman" w:hAnsi="Times New Roman" w:eastAsia="宋体"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rPr>
        <w:t>；；负责急诊取血与送血；送取各类医疗标本；午间、夜间急诊取药；病区加床的运送；设备借用及送检送修；医用电梯运行管理；临时性任务等。</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2）功能要求：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2.1与我院HIS系统（品牌：创业慧康 ）对接，能实现运送任务的自动提交和分配，系统内数据自动派单，其他服务需求手动派单，所有运送工作均在系统内实现闭环管理，未能在预设时间内完成则有预警提醒；</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2.2用户管理：按照不同岗位分别设置用户角色并维护角色系统菜单权限，不同人员可维护成不同角色并按角色予以授权；</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2.3考勤管理：对运送人员出勤进行信息化管理，包括排班管理、请假管理、补卡管理等，为员工薪资发放、奖惩提供数据支撑；</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2.4在线下单：手工下单，支持移动端、PC端手工提交工单；自动下单，和HIS系统对接，通过检查项目预约完成等功能节点直接生成需求订单；</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 在线接单：手工派工，调度中心或系统内设置的管理人员可手工调度、安排特殊紧急订单；自动派工，系统可按照事先维护的自动派工逻辑实现自动派工；用户抢单，可维护抢单模式，实现区域内工作人员抢单模式接单；</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 运送签到：自动签到，可通过RFID等技术手段实现运送流程节点自动识别，工作人员确认签到节点；手工签到，在允许的区域内可通过工作人员手工确认签到节点；</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2.7订单管理：对完成所有流程闭环节点的订单可自动设置成确认状态，可实时更新已完成状态；</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2.8满意度评价：订单申请人可对订单进行满意度评分，对不符合要求的订单可申请管理员督导；</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2.9流程管理：可实时查看订单流转情况及流程闭环各节点进行情况，对异常订单进行实时干预督导；</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2.10数据统计：可按时间区间查询业务数据，包括按订单类型、科室、人员统计订单数量，订单完成率，接单用时，平均流程用时，标准时间内完成率等，为招标人管理提供各种参考数据。</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投标时提供后勤智能运送系统建设周期时长承诺、数据交互对招标人系统的需求以及本项目上线截止时间等，原则上进场后（签订合同后七日内进场）三个月内完成。</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审现场提供后勤智能运送系统演示，最长不超过10分钟，可选择现场演示，也可录制演示讲解视频，无论选择何种方式，均应在真实系统环境下演示，所演示的内容包含现有系统数据交互的原理、派单模式的流程和功能节点的展示、任务的自动提交和分配模式展示、可视化各类分析报表展示等内容（具体演示内容后附），录制视频的，需要同步录制讲解音视频。</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10、医疗废物管理服务</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10.1服务范围：含医院内各类医疗废物的收集、交接、运送、暂存等全流程管理。</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10.2服务内容和服务标准</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（1）遵守国家的法律、法规和医院的规章制度，严格按照《医疗废物管理条例》负责院内医疗废弃物的收集、运送、暂存、交接等管理，杜绝医疗废物外泄。</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（2）按要求做好院感</w:t>
      </w:r>
      <w:r>
        <w:rPr>
          <w:rFonts w:hint="default" w:ascii="Times New Roman" w:hAnsi="Times New Roman" w:eastAsia="宋体" w:cs="Times New Roman"/>
          <w:color w:val="auto"/>
          <w:sz w:val="21"/>
          <w:szCs w:val="21"/>
          <w:highlight w:val="none"/>
          <w:lang w:eastAsia="zh-CN"/>
        </w:rPr>
        <w:t>防控</w:t>
      </w:r>
      <w:r>
        <w:rPr>
          <w:rFonts w:hint="default" w:ascii="Times New Roman" w:hAnsi="Times New Roman" w:eastAsia="宋体" w:cs="Times New Roman"/>
          <w:color w:val="auto"/>
          <w:sz w:val="21"/>
          <w:szCs w:val="21"/>
          <w:highlight w:val="none"/>
        </w:rPr>
        <w:t>工作，做好个人防护，熟悉锐器伤的处理流程。</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（3）按规定时间、路线、流程、要求到各责任区产废点收集医疗废物，并及时上传收集数据。</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（4）按科室需求规范发放医疗废物包装袋、容器到各科室产废点。</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（5）正确使用、爱护各类工具，负责医疗废物暂存间及其周围、收集车的清洁、消毒工作。</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（6）按要求规范做好各项登记。</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（7）配合完成医院相关科室交予的其他工作。、</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11、对投标人拟派保洁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运送人员基本要求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t>项目负责人：具有大专及以上学历，年龄不超过50周岁；具有物业管理师证，为投标供应商正式员工，具有相应工作管理经验，身体健康，作风正派，品行端正，有较强的统筹管理能力。从事医疗行业物业工作经验≥5年，三甲医院物业管理经验≥3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且具有物业经理从业经历</w:t>
      </w:r>
      <w:r>
        <w:rPr>
          <w:rFonts w:hint="default" w:ascii="Times New Roman" w:hAnsi="Times New Roman" w:eastAsia="宋体" w:cs="Times New Roman"/>
          <w:color w:val="auto"/>
          <w:sz w:val="21"/>
          <w:szCs w:val="21"/>
          <w:highlight w:val="none"/>
        </w:rPr>
        <w:t>；</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t>保洁主管：具有高中及以上文化程度，年龄不超过55周岁。对医院的清洁、消毒工作有一定了解，有五年以上的医院清洁保养工作经验，能带领清洁工保质保量完成清洁、消毒任务。从事行业经验≥3年，管理经验≥2年。</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t>运送主管：具有高中及以上文化程度，年龄不超过55周岁。对医院的运送工作有专业性了解，有医院医疗运送工作经验，能带领运送人员保质保量完成医院运送任务。从事行业经验≥3年，管理经验≥2年。</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（4）保洁人员：原则上男不超过60周岁（要求55—60周岁的男员工</w:t>
      </w:r>
      <w:r>
        <w:rPr>
          <w:rFonts w:hint="default" w:ascii="Times New Roman" w:hAnsi="Times New Roman" w:eastAsia="宋体" w:cs="Times New Roman"/>
          <w:color w:val="auto"/>
          <w:sz w:val="21"/>
          <w:szCs w:val="21"/>
          <w:highlight w:val="none"/>
          <w:lang w:eastAsia="zh-CN"/>
        </w:rPr>
        <w:t>人数</w:t>
      </w:r>
      <w:r>
        <w:rPr>
          <w:rFonts w:hint="default" w:ascii="Times New Roman" w:hAnsi="Times New Roman" w:eastAsia="宋体" w:cs="Times New Roman"/>
          <w:color w:val="auto"/>
          <w:sz w:val="21"/>
          <w:szCs w:val="21"/>
          <w:highlight w:val="none"/>
        </w:rPr>
        <w:t>占所有男员工</w:t>
      </w:r>
      <w:r>
        <w:rPr>
          <w:rFonts w:hint="default" w:ascii="Times New Roman" w:hAnsi="Times New Roman" w:eastAsia="宋体" w:cs="Times New Roman"/>
          <w:color w:val="auto"/>
          <w:sz w:val="21"/>
          <w:szCs w:val="21"/>
          <w:highlight w:val="none"/>
          <w:lang w:eastAsia="zh-CN"/>
        </w:rPr>
        <w:t>人数</w:t>
      </w:r>
      <w:r>
        <w:rPr>
          <w:rFonts w:hint="default" w:ascii="Times New Roman" w:hAnsi="Times New Roman" w:eastAsia="宋体" w:cs="Times New Roman"/>
          <w:color w:val="auto"/>
          <w:sz w:val="21"/>
          <w:szCs w:val="21"/>
          <w:highlight w:val="none"/>
        </w:rPr>
        <w:t>的30%以内），女不超过55周岁（要求50—55周岁的女员工人</w:t>
      </w:r>
      <w:r>
        <w:rPr>
          <w:rFonts w:hint="default" w:ascii="Times New Roman" w:hAnsi="Times New Roman" w:eastAsia="宋体" w:cs="Times New Roman"/>
          <w:color w:val="auto"/>
          <w:sz w:val="21"/>
          <w:szCs w:val="21"/>
          <w:highlight w:val="none"/>
          <w:lang w:eastAsia="zh-CN"/>
        </w:rPr>
        <w:t>数</w:t>
      </w:r>
      <w:r>
        <w:rPr>
          <w:rFonts w:hint="default" w:ascii="Times New Roman" w:hAnsi="Times New Roman" w:eastAsia="宋体" w:cs="Times New Roman"/>
          <w:color w:val="auto"/>
          <w:sz w:val="21"/>
          <w:szCs w:val="21"/>
          <w:highlight w:val="none"/>
        </w:rPr>
        <w:t>占所有女员工</w:t>
      </w:r>
      <w:r>
        <w:rPr>
          <w:rFonts w:hint="default" w:ascii="Times New Roman" w:hAnsi="Times New Roman" w:eastAsia="宋体" w:cs="Times New Roman"/>
          <w:color w:val="auto"/>
          <w:sz w:val="21"/>
          <w:szCs w:val="21"/>
          <w:highlight w:val="none"/>
          <w:lang w:eastAsia="zh-CN"/>
        </w:rPr>
        <w:t>人数</w:t>
      </w:r>
      <w:r>
        <w:rPr>
          <w:rFonts w:hint="default" w:ascii="Times New Roman" w:hAnsi="Times New Roman" w:eastAsia="宋体" w:cs="Times New Roman"/>
          <w:color w:val="auto"/>
          <w:sz w:val="21"/>
          <w:szCs w:val="21"/>
          <w:highlight w:val="none"/>
        </w:rPr>
        <w:t>的30%以内）。原有员工</w:t>
      </w:r>
      <w:r>
        <w:rPr>
          <w:rFonts w:hint="default" w:ascii="Times New Roman" w:hAnsi="Times New Roman" w:eastAsia="宋体" w:cs="Times New Roman"/>
          <w:color w:val="auto"/>
          <w:sz w:val="21"/>
          <w:szCs w:val="21"/>
          <w:highlight w:val="none"/>
          <w:lang w:eastAsia="zh-CN"/>
        </w:rPr>
        <w:t>中</w:t>
      </w:r>
      <w:r>
        <w:rPr>
          <w:rFonts w:hint="default" w:ascii="Times New Roman" w:hAnsi="Times New Roman" w:eastAsia="宋体" w:cs="Times New Roman"/>
          <w:color w:val="auto"/>
          <w:sz w:val="21"/>
          <w:szCs w:val="21"/>
          <w:highlight w:val="none"/>
        </w:rPr>
        <w:t>男性年龄超过60周岁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女性年龄超过55周岁的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在半年内逐步更换达到上述要求。手术室、发热门诊、供应室、内镜室等院感重点科室以及急诊等24小时服务科室</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rPr>
        <w:t>从业人员年龄不超过55周岁。知晓本岗位的服务礼仪。</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（5）运送人员：原则上男不超过60周岁（要求55—60周岁的男员工人</w:t>
      </w:r>
      <w:r>
        <w:rPr>
          <w:rFonts w:hint="default" w:ascii="Times New Roman" w:hAnsi="Times New Roman" w:eastAsia="宋体" w:cs="Times New Roman"/>
          <w:color w:val="auto"/>
          <w:sz w:val="21"/>
          <w:szCs w:val="21"/>
          <w:highlight w:val="none"/>
          <w:lang w:eastAsia="zh-CN"/>
        </w:rPr>
        <w:t>数</w:t>
      </w:r>
      <w:r>
        <w:rPr>
          <w:rFonts w:hint="default" w:ascii="Times New Roman" w:hAnsi="Times New Roman" w:eastAsia="宋体" w:cs="Times New Roman"/>
          <w:color w:val="auto"/>
          <w:sz w:val="21"/>
          <w:szCs w:val="21"/>
          <w:highlight w:val="none"/>
        </w:rPr>
        <w:t>占所有男员工</w:t>
      </w:r>
      <w:r>
        <w:rPr>
          <w:rFonts w:hint="default" w:ascii="Times New Roman" w:hAnsi="Times New Roman" w:eastAsia="宋体" w:cs="Times New Roman"/>
          <w:color w:val="auto"/>
          <w:sz w:val="21"/>
          <w:szCs w:val="21"/>
          <w:highlight w:val="none"/>
          <w:lang w:eastAsia="zh-CN"/>
        </w:rPr>
        <w:t>人数</w:t>
      </w:r>
      <w:r>
        <w:rPr>
          <w:rFonts w:hint="default" w:ascii="Times New Roman" w:hAnsi="Times New Roman" w:eastAsia="宋体" w:cs="Times New Roman"/>
          <w:color w:val="auto"/>
          <w:sz w:val="21"/>
          <w:szCs w:val="21"/>
          <w:highlight w:val="none"/>
        </w:rPr>
        <w:t>的30%以内），女不超过55周岁（要求50—55周岁的女员工人</w:t>
      </w:r>
      <w:r>
        <w:rPr>
          <w:rFonts w:hint="default" w:ascii="Times New Roman" w:hAnsi="Times New Roman" w:eastAsia="宋体" w:cs="Times New Roman"/>
          <w:color w:val="auto"/>
          <w:sz w:val="21"/>
          <w:szCs w:val="21"/>
          <w:highlight w:val="none"/>
          <w:lang w:eastAsia="zh-CN"/>
        </w:rPr>
        <w:t>数</w:t>
      </w:r>
      <w:r>
        <w:rPr>
          <w:rFonts w:hint="default" w:ascii="Times New Roman" w:hAnsi="Times New Roman" w:eastAsia="宋体" w:cs="Times New Roman"/>
          <w:color w:val="auto"/>
          <w:sz w:val="21"/>
          <w:szCs w:val="21"/>
          <w:highlight w:val="none"/>
        </w:rPr>
        <w:t>占所有女员工</w:t>
      </w:r>
      <w:r>
        <w:rPr>
          <w:rFonts w:hint="default" w:ascii="Times New Roman" w:hAnsi="Times New Roman" w:eastAsia="宋体" w:cs="Times New Roman"/>
          <w:color w:val="auto"/>
          <w:sz w:val="21"/>
          <w:szCs w:val="21"/>
          <w:highlight w:val="none"/>
          <w:lang w:eastAsia="zh-CN"/>
        </w:rPr>
        <w:t>人数</w:t>
      </w:r>
      <w:r>
        <w:rPr>
          <w:rFonts w:hint="default" w:ascii="Times New Roman" w:hAnsi="Times New Roman" w:eastAsia="宋体" w:cs="Times New Roman"/>
          <w:color w:val="auto"/>
          <w:sz w:val="21"/>
          <w:szCs w:val="21"/>
          <w:highlight w:val="none"/>
        </w:rPr>
        <w:t>的30%以内）。原有员工</w:t>
      </w:r>
      <w:r>
        <w:rPr>
          <w:rFonts w:hint="default" w:ascii="Times New Roman" w:hAnsi="Times New Roman" w:eastAsia="宋体" w:cs="Times New Roman"/>
          <w:color w:val="auto"/>
          <w:sz w:val="21"/>
          <w:szCs w:val="21"/>
          <w:highlight w:val="none"/>
          <w:lang w:eastAsia="zh-CN"/>
        </w:rPr>
        <w:t>中</w:t>
      </w:r>
      <w:r>
        <w:rPr>
          <w:rFonts w:hint="default" w:ascii="Times New Roman" w:hAnsi="Times New Roman" w:eastAsia="宋体" w:cs="Times New Roman"/>
          <w:color w:val="auto"/>
          <w:sz w:val="21"/>
          <w:szCs w:val="21"/>
          <w:highlight w:val="none"/>
        </w:rPr>
        <w:t>男性年龄超过60周岁</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女性年龄超过55周岁的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在半年内逐步更换达到上述要求。初中及以上文化，有经过专业或岗前培训，身体健康，品行端正，无不良犯罪记录，知晓本岗位的服务礼仪。</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rPr>
        <w:t xml:space="preserve">医废收集员：不超过60周岁，初中及以上文化，经过专业培训，能严格遵守《医疗废物管理条例》，规范收集，身体健康，品行端正。 </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12、人员要求具体内容</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12.1项目负责人</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（1）具有较好的语言、文字组织能力，能配合招标人工作要求完成月度工作总结和</w:t>
      </w:r>
      <w:r>
        <w:rPr>
          <w:rFonts w:hint="default" w:ascii="Times New Roman" w:hAnsi="Times New Roman" w:eastAsia="宋体" w:cs="Times New Roman"/>
          <w:color w:val="auto"/>
          <w:sz w:val="21"/>
          <w:szCs w:val="21"/>
          <w:highlight w:val="none"/>
          <w:lang w:eastAsia="zh-CN"/>
        </w:rPr>
        <w:t>次</w:t>
      </w:r>
      <w:r>
        <w:rPr>
          <w:rFonts w:hint="default" w:ascii="Times New Roman" w:hAnsi="Times New Roman" w:eastAsia="宋体" w:cs="Times New Roman"/>
          <w:color w:val="auto"/>
          <w:sz w:val="21"/>
          <w:szCs w:val="21"/>
          <w:highlight w:val="none"/>
        </w:rPr>
        <w:t>月工作计划；</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（2）具有较强的奉献精神，面对各类应急事件积极响应，第一时间妥善开展各项工作；</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（3）做好现场管理的同时合理安排人员招聘，科学储备人才；</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（4）执行力强，根据采购人的工作要求有条不紊合理安排部署各项工作；</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（5）具有较好的语言、文字组织能力；</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（6）具有基本的电脑知识和操作能力；</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（7）在仪容仪表、言谈举止等方面，具有良好的个人修养；</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（8）具有较强的管理意识与创新精神，不墨守陈规，能提出创新的管理方法及高效清洁方法。</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12.2保洁主管</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（1）能吃苦耐劳，工作认真负责；</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（2）具有带领、督导保洁员工的能力；</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（3）具有良好的人际关系能力与沟通能力；</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（4）具有基本的电脑知识和操作能力；</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（5）具有良好的个人品质，办事公平合理；</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（6）具有较强的团体意识。</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12.3运送主管</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（1）具有运送管理软件操作和维护的能力，在医疗运送工作上严谨、快速、无</w:t>
      </w:r>
      <w:r>
        <w:rPr>
          <w:rFonts w:hint="default" w:ascii="Times New Roman" w:hAnsi="Times New Roman" w:eastAsia="宋体" w:cs="Times New Roman"/>
          <w:color w:val="auto"/>
          <w:sz w:val="21"/>
          <w:szCs w:val="21"/>
          <w:highlight w:val="none"/>
          <w:lang w:eastAsia="zh-CN"/>
        </w:rPr>
        <w:t>差</w:t>
      </w:r>
      <w:r>
        <w:rPr>
          <w:rFonts w:hint="default" w:ascii="Times New Roman" w:hAnsi="Times New Roman" w:eastAsia="宋体" w:cs="Times New Roman"/>
          <w:color w:val="auto"/>
          <w:sz w:val="21"/>
          <w:szCs w:val="21"/>
          <w:highlight w:val="none"/>
        </w:rPr>
        <w:t>错，具有高度的责任感，做事雷厉风行，吃苦耐劳，能很好</w:t>
      </w:r>
      <w:r>
        <w:rPr>
          <w:rFonts w:hint="default" w:ascii="Times New Roman" w:hAnsi="Times New Roman" w:eastAsia="宋体" w:cs="Times New Roman"/>
          <w:color w:val="auto"/>
          <w:sz w:val="21"/>
          <w:szCs w:val="21"/>
          <w:highlight w:val="none"/>
          <w:lang w:eastAsia="zh-CN"/>
        </w:rPr>
        <w:t>地</w:t>
      </w:r>
      <w:r>
        <w:rPr>
          <w:rFonts w:hint="default" w:ascii="Times New Roman" w:hAnsi="Times New Roman" w:eastAsia="宋体" w:cs="Times New Roman"/>
          <w:color w:val="auto"/>
          <w:sz w:val="21"/>
          <w:szCs w:val="21"/>
          <w:highlight w:val="none"/>
        </w:rPr>
        <w:t>与医护人员和患者沟通，能有效解决投诉和运送调度工作；</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（2）具有健康的身体，充沛的体力，具有较好的业务素质和较宽的知识面，略懂心理学。具有优秀的个人品质，为人正直，能公平合理的处理各种关系与矛盾；</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（3）具有良好的沟通能力和组织协调能力；</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（4）具有较好的语言、文字组织能力；</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（5）具有基本的电脑知识和操作能力；</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（6）在仪容仪表、言谈举止等方面，具有良好的个人修养；</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（7）具有较强的管理意识与创新精神，不墨守陈规，能提出创新的管理方法及高效运送管理方法。</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（8）能吃苦耐劳，工作认真负责；</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（9）具有带领、督导运送人员的能力；</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12.4人员基本要求：拟派本项目</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rPr>
        <w:t>所有服务人员须相对固定，由各投标人仔细了解并现场察看医院的具体情况后，在投标文件中做出详细的岗位人员安排计划表，中标后不得自行更换。</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12.5服务人员具有与承担的服务工作相符的文化程度或工作能力，身体健康，提供体检证明或健康证。</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12.6服务人员100%经过岗前培训合格后才能上岗，且有岗前培训记录。</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12.7保洁运送人员素质要求：小学及以上学历，遵纪守法，敬业爱岗，身体健康，无传染病，无不良行为记录，知晓本岗位的服务礼仪。</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12.8投标时应明确以上各管理人员的岗位职责。服务人员岗位设置情况应根据招标人要求随时进行调整。</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12.9部分特殊岗位保洁运送员工要求具有初中及以上文化水平，如静配中心、供应室、各类药房、运送调度、运送人员、司梯等。其中调度中心工作人员要求具有大专及以上文化水平，具有两年及以上医院运送调度工作经验，具备良好沟通协调能力。</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12.10如果招标人基于适当的理由确认投标人的任何人员为招标人所不能接受，招标人可以书面形式要求撤换该人员。投标人必须无条件予以响应，且在招标人要求的时间内向招标人提供其可接受的替换人员，更换的人员资历和经验不得低于原投标承诺的各项资质，经招标人认可后方可上岗。</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12.14到岗率及人员更换要求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应根据项目服务实际需要，结合招标人的岗位需求数量及工作时间、工作要求等实际情况，配足配好各岗位的工作人员，出现缺岗，所缺岗位服务费用根据缺少天数，按照150元/天/岗，于当月物业服务费中扣除。</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 双方自签订合同之日起，投标人应于一个月以内，配</w:t>
      </w:r>
      <w:r>
        <w:rPr>
          <w:rFonts w:hint="default" w:ascii="Times New Roman" w:hAnsi="Times New Roman" w:eastAsia="宋体" w:cs="Times New Roman"/>
          <w:color w:val="auto"/>
          <w:sz w:val="21"/>
          <w:szCs w:val="21"/>
          <w:highlight w:val="none"/>
          <w:lang w:eastAsia="zh-CN"/>
        </w:rPr>
        <w:t>足</w:t>
      </w:r>
      <w:r>
        <w:rPr>
          <w:rFonts w:hint="default" w:ascii="Times New Roman" w:hAnsi="Times New Roman" w:eastAsia="宋体" w:cs="Times New Roman"/>
          <w:color w:val="auto"/>
          <w:sz w:val="21"/>
          <w:szCs w:val="21"/>
          <w:highlight w:val="none"/>
        </w:rPr>
        <w:t xml:space="preserve">本项目全部岗位人员，服务期内，对出现违反国家法律法规、行业规定等不良行为的员工，2日内完成清退工作。 </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12.15招标人目前部分岗位的特定需求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医院部分科室和岗位有固定驻守要求，如：120急救中心、供应室、静配中心、急诊室、血透室、放射科、检验科、胃镜室、各类药房、妇产科、口腔科、高压氧中心等，由投标人在编写服务大纲时，结合现场查勘情况及各自的服务管理经验，对该部分的服务方案等应有专门的详细阐述。</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医院部分保洁运送岗位有相对固定要求：如：卫生间、运送调度、专项保洁、会议室等。</w:t>
      </w:r>
      <w:bookmarkEnd w:id="6"/>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12.16投标人负责区域范围内公共区域的控烟及巡视，要求服务团队中具有卫生监督部门颁发的控烟培训合格证书。在投标文件中提供控烟及巡视方案和相关的控烟培训内容。</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12.17服务期内，医院范围内非租赁花木植被，投标人需按招标人的要求进行日常养护。</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12.18服务期内，招标人按相关部门的要求需完成文明城市创建工作的内容，投标人按招标人的要求协助完成该项任务，并制定相应的服务方案。</w:t>
      </w:r>
    </w:p>
    <w:p>
      <w:pPr>
        <w:snapToGrid w:val="0"/>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表1、《主要服务区域面积分布表》</w:t>
      </w:r>
    </w:p>
    <w:tbl>
      <w:tblPr>
        <w:tblStyle w:val="80"/>
        <w:tblW w:w="915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058"/>
        <w:gridCol w:w="4201"/>
        <w:gridCol w:w="1064"/>
        <w:gridCol w:w="11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3" w:type="dxa"/>
            <w:gridSpan w:val="5"/>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门诊楼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058"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楼层</w:t>
            </w:r>
          </w:p>
        </w:tc>
        <w:tc>
          <w:tcPr>
            <w:tcW w:w="420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功能</w:t>
            </w:r>
          </w:p>
        </w:tc>
        <w:tc>
          <w:tcPr>
            <w:tcW w:w="1064"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面积</w:t>
            </w:r>
          </w:p>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w:t>
            </w:r>
          </w:p>
        </w:tc>
        <w:tc>
          <w:tcPr>
            <w:tcW w:w="113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门诊一楼</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各科诊室放射科门诊收费处</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1040</w:t>
            </w:r>
          </w:p>
        </w:tc>
        <w:tc>
          <w:tcPr>
            <w:tcW w:w="1131" w:type="dxa"/>
            <w:vMerge w:val="restart"/>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门诊二楼</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内科等各诊室检验科放射科</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1040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门诊三楼</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外科各诊室中药房针灸科推拿科</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1040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门诊四楼</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口腔科眼科五官科美容科妇产科</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1040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门诊五楼</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门诊专家诊室</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门诊六楼</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血透室</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3" w:type="dxa"/>
            <w:gridSpan w:val="5"/>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急诊楼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058"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楼层</w:t>
            </w:r>
          </w:p>
        </w:tc>
        <w:tc>
          <w:tcPr>
            <w:tcW w:w="420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功能</w:t>
            </w:r>
          </w:p>
        </w:tc>
        <w:tc>
          <w:tcPr>
            <w:tcW w:w="1064"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面积</w:t>
            </w:r>
          </w:p>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w:t>
            </w:r>
          </w:p>
        </w:tc>
        <w:tc>
          <w:tcPr>
            <w:tcW w:w="113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2058"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Cs/>
                <w:color w:val="auto"/>
                <w:sz w:val="21"/>
                <w:szCs w:val="21"/>
                <w:highlight w:val="none"/>
              </w:rPr>
              <w:t>地下一楼</w:t>
            </w:r>
          </w:p>
        </w:tc>
        <w:tc>
          <w:tcPr>
            <w:tcW w:w="420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Cs/>
                <w:color w:val="auto"/>
                <w:sz w:val="21"/>
                <w:szCs w:val="21"/>
                <w:highlight w:val="none"/>
              </w:rPr>
              <w:t>自行车库</w:t>
            </w:r>
          </w:p>
        </w:tc>
        <w:tc>
          <w:tcPr>
            <w:tcW w:w="1064"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Cs/>
                <w:color w:val="auto"/>
                <w:sz w:val="21"/>
                <w:szCs w:val="21"/>
                <w:highlight w:val="none"/>
              </w:rPr>
              <w:t>600</w:t>
            </w:r>
          </w:p>
        </w:tc>
        <w:tc>
          <w:tcPr>
            <w:tcW w:w="1131" w:type="dxa"/>
            <w:vAlign w:val="center"/>
          </w:tcPr>
          <w:p>
            <w:pPr>
              <w:jc w:val="center"/>
              <w:rPr>
                <w:rFonts w:hint="default" w:ascii="Times New Roman" w:hAnsi="Times New Roman" w:eastAsia="宋体" w:cs="Times New Roman"/>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急诊一层</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急诊区域</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1200</w:t>
            </w:r>
          </w:p>
        </w:tc>
        <w:tc>
          <w:tcPr>
            <w:tcW w:w="1131" w:type="dxa"/>
            <w:vMerge w:val="restart"/>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急诊二层</w:t>
            </w:r>
          </w:p>
        </w:tc>
        <w:tc>
          <w:tcPr>
            <w:tcW w:w="4201" w:type="dxa"/>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门诊诊室   儿科门诊  儿科病区</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急诊三层</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肝科病区  检验科</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急诊四层</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消化内科病区 （消化内镜中心）</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急诊五层</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辅助检查科室  口腔科</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急诊六层</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体检中心  消化内镜中心</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1200</w:t>
            </w:r>
          </w:p>
        </w:tc>
        <w:tc>
          <w:tcPr>
            <w:tcW w:w="1131" w:type="dxa"/>
            <w:vMerge w:val="continue"/>
            <w:vAlign w:val="center"/>
          </w:tcPr>
          <w:p>
            <w:pPr>
              <w:ind w:firstLine="315" w:firstLineChars="150"/>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急诊七层</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信息中心 中心实验室 医学生殖中心</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3" w:type="dxa"/>
            <w:gridSpan w:val="5"/>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住院综合楼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058"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楼层</w:t>
            </w:r>
          </w:p>
        </w:tc>
        <w:tc>
          <w:tcPr>
            <w:tcW w:w="420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功能</w:t>
            </w:r>
          </w:p>
        </w:tc>
        <w:tc>
          <w:tcPr>
            <w:tcW w:w="1064"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面积</w:t>
            </w:r>
          </w:p>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w:t>
            </w:r>
          </w:p>
        </w:tc>
        <w:tc>
          <w:tcPr>
            <w:tcW w:w="113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19楼电梯厅及屋顶</w:t>
            </w:r>
          </w:p>
        </w:tc>
        <w:tc>
          <w:tcPr>
            <w:tcW w:w="4201" w:type="dxa"/>
            <w:vAlign w:val="center"/>
          </w:tcPr>
          <w:p>
            <w:pPr>
              <w:jc w:val="center"/>
              <w:rPr>
                <w:rFonts w:hint="default" w:ascii="Times New Roman" w:hAnsi="Times New Roman" w:eastAsia="宋体" w:cs="Times New Roman"/>
                <w:bCs/>
                <w:color w:val="auto"/>
                <w:sz w:val="21"/>
                <w:szCs w:val="21"/>
                <w:highlight w:val="none"/>
              </w:rPr>
            </w:pP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Align w:val="center"/>
          </w:tcPr>
          <w:p>
            <w:pPr>
              <w:jc w:val="center"/>
              <w:rPr>
                <w:rFonts w:hint="default" w:ascii="Times New Roman" w:hAnsi="Times New Roman" w:eastAsia="宋体" w:cs="Times New Roman"/>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住院病房</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Merge w:val="restart"/>
            <w:vAlign w:val="center"/>
          </w:tcPr>
          <w:p>
            <w:pP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住院病房</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住院病房</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住院病房</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住院病房</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住院病房</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住院病房</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9</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住院病房</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住院病房</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11</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住院病房</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住院病房</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13</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住院病房</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14</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住院病房</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15</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5病区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妇科  产科</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2280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16</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4层</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病区药房  药库  话务机房</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计算机中心  净化机房  勤务中心</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2280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17</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3层</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手术室  麻醉科</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2280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18</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2层</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重症医学科  静脉药物配置中心</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2280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19</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1层</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预约中心  住院部  餐厅</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康复中心 门诊药房  消控监控中心</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2280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地下1层</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供应中心  高低压配电间</w:t>
            </w:r>
          </w:p>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运维办公室 中央空调机房  污水站</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2640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21</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地下2层</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员工食堂  仓库</w:t>
            </w:r>
          </w:p>
        </w:tc>
        <w:tc>
          <w:tcPr>
            <w:tcW w:w="106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2640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3" w:type="dxa"/>
            <w:gridSpan w:val="5"/>
            <w:vAlign w:val="center"/>
          </w:tcPr>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医院示教室、会议室分布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058"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科室</w:t>
            </w:r>
          </w:p>
        </w:tc>
        <w:tc>
          <w:tcPr>
            <w:tcW w:w="420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地点</w:t>
            </w:r>
          </w:p>
        </w:tc>
        <w:tc>
          <w:tcPr>
            <w:tcW w:w="1064"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面积</w:t>
            </w:r>
          </w:p>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w:t>
            </w:r>
          </w:p>
        </w:tc>
        <w:tc>
          <w:tcPr>
            <w:tcW w:w="113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5病区示教室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住院综合楼5楼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7病区示教室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住院综合楼7楼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8病区示教室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住院综合楼8楼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9病区示教室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住院综合楼9楼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10病区示教室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住院综合楼10楼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11病区示教室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住院综合楼11楼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12病区示教室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住院综合楼12楼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13病区示教室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住院综合楼13楼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9</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14病区示教室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住院综合楼14楼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15病区示教室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住院综合楼15楼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11</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16病区示教室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住院综合楼16楼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17病区示教室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住院综合楼17楼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13</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18病区示教室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住院综合楼18楼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14</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手术室示教室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住院综合楼3楼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57</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15</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ICU示教室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住院综合楼2楼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16</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药剂科示教室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住院综合楼4楼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71</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17</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儿科/急诊示教室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急诊楼2楼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29</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18</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肝科示教室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急诊楼3楼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19</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消化内科示教室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急诊楼4楼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医务科会议室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5号楼1楼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48</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21</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门诊小会议室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门诊4楼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48</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22</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门诊大会议室</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门诊4楼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207</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23</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行政会议室1</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建科院2层</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13.5</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24</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行政会议室2</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建科院2层</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之江会议室1</w:t>
            </w:r>
          </w:p>
        </w:tc>
        <w:tc>
          <w:tcPr>
            <w:tcW w:w="4201" w:type="dxa"/>
            <w:vAlign w:val="center"/>
          </w:tcPr>
          <w:p>
            <w:pPr>
              <w:jc w:val="center"/>
              <w:rPr>
                <w:rFonts w:hint="default" w:ascii="Times New Roman" w:hAnsi="Times New Roman" w:eastAsia="宋体" w:cs="Times New Roman"/>
                <w:color w:val="auto"/>
                <w:sz w:val="21"/>
                <w:szCs w:val="21"/>
                <w:highlight w:val="none"/>
              </w:rPr>
            </w:pP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30</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之江会议室2</w:t>
            </w:r>
          </w:p>
        </w:tc>
        <w:tc>
          <w:tcPr>
            <w:tcW w:w="4201" w:type="dxa"/>
            <w:vAlign w:val="center"/>
          </w:tcPr>
          <w:p>
            <w:pPr>
              <w:jc w:val="center"/>
              <w:rPr>
                <w:rFonts w:hint="default" w:ascii="Times New Roman" w:hAnsi="Times New Roman" w:eastAsia="宋体" w:cs="Times New Roman"/>
                <w:color w:val="auto"/>
                <w:sz w:val="21"/>
                <w:szCs w:val="21"/>
                <w:highlight w:val="none"/>
              </w:rPr>
            </w:pP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之江会议室3</w:t>
            </w:r>
          </w:p>
        </w:tc>
        <w:tc>
          <w:tcPr>
            <w:tcW w:w="4201" w:type="dxa"/>
            <w:vAlign w:val="center"/>
          </w:tcPr>
          <w:p>
            <w:pPr>
              <w:jc w:val="center"/>
              <w:rPr>
                <w:rFonts w:hint="default" w:ascii="Times New Roman" w:hAnsi="Times New Roman" w:eastAsia="宋体" w:cs="Times New Roman"/>
                <w:color w:val="auto"/>
                <w:sz w:val="21"/>
                <w:szCs w:val="21"/>
                <w:highlight w:val="none"/>
              </w:rPr>
            </w:pP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3" w:type="dxa"/>
            <w:gridSpan w:val="5"/>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之江饭店北楼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058"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科室</w:t>
            </w:r>
          </w:p>
        </w:tc>
        <w:tc>
          <w:tcPr>
            <w:tcW w:w="420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地点</w:t>
            </w:r>
          </w:p>
        </w:tc>
        <w:tc>
          <w:tcPr>
            <w:tcW w:w="1064"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面积</w:t>
            </w:r>
          </w:p>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w:t>
            </w:r>
          </w:p>
        </w:tc>
        <w:tc>
          <w:tcPr>
            <w:tcW w:w="113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2058"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行政办公区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六楼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850</w:t>
            </w:r>
          </w:p>
        </w:tc>
        <w:tc>
          <w:tcPr>
            <w:tcW w:w="1131"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2058" w:type="dxa"/>
            <w:vMerge w:val="continue"/>
            <w:vAlign w:val="center"/>
          </w:tcPr>
          <w:p>
            <w:pPr>
              <w:jc w:val="center"/>
              <w:rPr>
                <w:rFonts w:hint="default" w:ascii="Times New Roman" w:hAnsi="Times New Roman" w:eastAsia="宋体" w:cs="Times New Roman"/>
                <w:color w:val="auto"/>
                <w:sz w:val="21"/>
                <w:szCs w:val="21"/>
                <w:highlight w:val="none"/>
              </w:rPr>
            </w:pP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五楼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850</w:t>
            </w:r>
          </w:p>
        </w:tc>
        <w:tc>
          <w:tcPr>
            <w:tcW w:w="1131" w:type="dxa"/>
            <w:vMerge w:val="continue"/>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2058" w:type="dxa"/>
            <w:vMerge w:val="continue"/>
            <w:vAlign w:val="center"/>
          </w:tcPr>
          <w:p>
            <w:pPr>
              <w:jc w:val="center"/>
              <w:rPr>
                <w:rFonts w:hint="default" w:ascii="Times New Roman" w:hAnsi="Times New Roman" w:eastAsia="宋体" w:cs="Times New Roman"/>
                <w:color w:val="auto"/>
                <w:sz w:val="21"/>
                <w:szCs w:val="21"/>
                <w:highlight w:val="none"/>
              </w:rPr>
            </w:pP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二楼</w:t>
            </w:r>
          </w:p>
        </w:tc>
        <w:tc>
          <w:tcPr>
            <w:tcW w:w="106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137</w:t>
            </w:r>
          </w:p>
        </w:tc>
        <w:tc>
          <w:tcPr>
            <w:tcW w:w="1131" w:type="dxa"/>
            <w:vAlign w:val="center"/>
          </w:tcPr>
          <w:p>
            <w:pPr>
              <w:jc w:val="center"/>
              <w:rPr>
                <w:rFonts w:hint="default" w:ascii="Times New Roman" w:hAnsi="Times New Roman" w:eastAsia="宋体" w:cs="Times New Roman"/>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3" w:type="dxa"/>
            <w:gridSpan w:val="5"/>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建科院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058"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科室</w:t>
            </w:r>
          </w:p>
        </w:tc>
        <w:tc>
          <w:tcPr>
            <w:tcW w:w="420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地点</w:t>
            </w:r>
          </w:p>
        </w:tc>
        <w:tc>
          <w:tcPr>
            <w:tcW w:w="1064"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面积</w:t>
            </w:r>
          </w:p>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w:t>
            </w:r>
          </w:p>
        </w:tc>
        <w:tc>
          <w:tcPr>
            <w:tcW w:w="113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行政办公区</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建科院二楼</w:t>
            </w:r>
          </w:p>
        </w:tc>
        <w:tc>
          <w:tcPr>
            <w:tcW w:w="1064"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1863</w:t>
            </w:r>
          </w:p>
        </w:tc>
        <w:tc>
          <w:tcPr>
            <w:tcW w:w="1131" w:type="dxa"/>
            <w:vAlign w:val="center"/>
          </w:tcPr>
          <w:p>
            <w:pPr>
              <w:jc w:val="center"/>
              <w:rPr>
                <w:rFonts w:hint="default" w:ascii="Times New Roman" w:hAnsi="Times New Roman" w:eastAsia="宋体" w:cs="Times New Roman"/>
                <w:b/>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3" w:type="dxa"/>
            <w:gridSpan w:val="5"/>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东部软件园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2058"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科室</w:t>
            </w:r>
          </w:p>
        </w:tc>
        <w:tc>
          <w:tcPr>
            <w:tcW w:w="420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地点</w:t>
            </w:r>
          </w:p>
        </w:tc>
        <w:tc>
          <w:tcPr>
            <w:tcW w:w="1064"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面积</w:t>
            </w:r>
          </w:p>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w:t>
            </w:r>
          </w:p>
        </w:tc>
        <w:tc>
          <w:tcPr>
            <w:tcW w:w="1131"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0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技能中心</w:t>
            </w:r>
          </w:p>
        </w:tc>
        <w:tc>
          <w:tcPr>
            <w:tcW w:w="4201"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东部软件园</w:t>
            </w:r>
          </w:p>
        </w:tc>
        <w:tc>
          <w:tcPr>
            <w:tcW w:w="1064"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1137</w:t>
            </w:r>
          </w:p>
        </w:tc>
        <w:tc>
          <w:tcPr>
            <w:tcW w:w="1131" w:type="dxa"/>
            <w:vAlign w:val="center"/>
          </w:tcPr>
          <w:p>
            <w:pPr>
              <w:jc w:val="center"/>
              <w:rPr>
                <w:rFonts w:hint="default" w:ascii="Times New Roman" w:hAnsi="Times New Roman" w:eastAsia="宋体" w:cs="Times New Roman"/>
                <w:b/>
                <w:color w:val="auto"/>
                <w:sz w:val="21"/>
                <w:szCs w:val="21"/>
                <w:highlight w:val="none"/>
              </w:rPr>
            </w:pPr>
          </w:p>
        </w:tc>
      </w:tr>
    </w:tbl>
    <w:p>
      <w:pPr>
        <w:spacing w:line="360" w:lineRule="auto"/>
        <w:ind w:firstLine="420" w:firstLineChars="200"/>
        <w:rPr>
          <w:rFonts w:hint="default" w:ascii="Times New Roman" w:hAnsi="Times New Roman" w:eastAsia="宋体" w:cs="Times New Roman"/>
          <w:color w:val="auto"/>
          <w:sz w:val="21"/>
          <w:szCs w:val="21"/>
          <w:highlight w:val="none"/>
        </w:rPr>
      </w:pP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表2《地面类型》</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656"/>
        <w:gridCol w:w="2153"/>
        <w:gridCol w:w="2153"/>
        <w:gridCol w:w="19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区域</w:t>
            </w:r>
          </w:p>
        </w:tc>
        <w:tc>
          <w:tcPr>
            <w:tcW w:w="1656"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地面类型</w:t>
            </w:r>
          </w:p>
        </w:tc>
        <w:tc>
          <w:tcPr>
            <w:tcW w:w="2153"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门诊楼面积</w:t>
            </w:r>
          </w:p>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w:t>
            </w:r>
          </w:p>
        </w:tc>
        <w:tc>
          <w:tcPr>
            <w:tcW w:w="2153"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住院楼面积</w:t>
            </w:r>
          </w:p>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w:t>
            </w:r>
          </w:p>
        </w:tc>
        <w:tc>
          <w:tcPr>
            <w:tcW w:w="1986"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急诊楼面积（㎡）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室内</w:t>
            </w:r>
          </w:p>
        </w:tc>
        <w:tc>
          <w:tcPr>
            <w:tcW w:w="16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地砖</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417</w:t>
            </w:r>
          </w:p>
        </w:tc>
        <w:tc>
          <w:tcPr>
            <w:tcW w:w="19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Merge w:val="continue"/>
            <w:vAlign w:val="center"/>
          </w:tcPr>
          <w:p>
            <w:pPr>
              <w:jc w:val="center"/>
              <w:rPr>
                <w:rFonts w:hint="default" w:ascii="Times New Roman" w:hAnsi="Times New Roman" w:eastAsia="宋体" w:cs="Times New Roman"/>
                <w:color w:val="auto"/>
                <w:sz w:val="21"/>
                <w:szCs w:val="21"/>
                <w:highlight w:val="none"/>
              </w:rPr>
            </w:pPr>
          </w:p>
        </w:tc>
        <w:tc>
          <w:tcPr>
            <w:tcW w:w="16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石材</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265</w:t>
            </w:r>
          </w:p>
        </w:tc>
        <w:tc>
          <w:tcPr>
            <w:tcW w:w="19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453" w:type="dxa"/>
            <w:vMerge w:val="continue"/>
            <w:vAlign w:val="center"/>
          </w:tcPr>
          <w:p>
            <w:pPr>
              <w:jc w:val="center"/>
              <w:rPr>
                <w:rFonts w:hint="default" w:ascii="Times New Roman" w:hAnsi="Times New Roman" w:eastAsia="宋体" w:cs="Times New Roman"/>
                <w:color w:val="auto"/>
                <w:sz w:val="21"/>
                <w:szCs w:val="21"/>
                <w:highlight w:val="none"/>
              </w:rPr>
            </w:pPr>
          </w:p>
        </w:tc>
        <w:tc>
          <w:tcPr>
            <w:tcW w:w="16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PVC</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389</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20223</w:t>
            </w:r>
          </w:p>
        </w:tc>
        <w:tc>
          <w:tcPr>
            <w:tcW w:w="19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3446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Merge w:val="continue"/>
            <w:vAlign w:val="center"/>
          </w:tcPr>
          <w:p>
            <w:pPr>
              <w:jc w:val="center"/>
              <w:rPr>
                <w:rFonts w:hint="default" w:ascii="Times New Roman" w:hAnsi="Times New Roman" w:eastAsia="宋体" w:cs="Times New Roman"/>
                <w:color w:val="auto"/>
                <w:sz w:val="21"/>
                <w:szCs w:val="21"/>
                <w:highlight w:val="none"/>
              </w:rPr>
            </w:pPr>
          </w:p>
        </w:tc>
        <w:tc>
          <w:tcPr>
            <w:tcW w:w="16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水磨石</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1478</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9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公共区域</w:t>
            </w:r>
          </w:p>
        </w:tc>
        <w:tc>
          <w:tcPr>
            <w:tcW w:w="16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地砖</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230</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569</w:t>
            </w:r>
          </w:p>
        </w:tc>
        <w:tc>
          <w:tcPr>
            <w:tcW w:w="19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Merge w:val="continue"/>
            <w:vAlign w:val="center"/>
          </w:tcPr>
          <w:p>
            <w:pPr>
              <w:jc w:val="center"/>
              <w:rPr>
                <w:rFonts w:hint="default" w:ascii="Times New Roman" w:hAnsi="Times New Roman" w:eastAsia="宋体" w:cs="Times New Roman"/>
                <w:color w:val="auto"/>
                <w:sz w:val="21"/>
                <w:szCs w:val="21"/>
                <w:highlight w:val="none"/>
              </w:rPr>
            </w:pPr>
          </w:p>
        </w:tc>
        <w:tc>
          <w:tcPr>
            <w:tcW w:w="16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PVC</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5328</w:t>
            </w:r>
          </w:p>
        </w:tc>
        <w:tc>
          <w:tcPr>
            <w:tcW w:w="19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453" w:type="dxa"/>
            <w:vMerge w:val="continue"/>
            <w:vAlign w:val="center"/>
          </w:tcPr>
          <w:p>
            <w:pPr>
              <w:jc w:val="center"/>
              <w:rPr>
                <w:rFonts w:hint="default" w:ascii="Times New Roman" w:hAnsi="Times New Roman" w:eastAsia="宋体" w:cs="Times New Roman"/>
                <w:color w:val="auto"/>
                <w:sz w:val="21"/>
                <w:szCs w:val="21"/>
                <w:highlight w:val="none"/>
              </w:rPr>
            </w:pPr>
          </w:p>
        </w:tc>
        <w:tc>
          <w:tcPr>
            <w:tcW w:w="16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水磨石</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1478</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w:t>
            </w:r>
          </w:p>
        </w:tc>
        <w:tc>
          <w:tcPr>
            <w:tcW w:w="19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Merge w:val="continue"/>
            <w:vAlign w:val="center"/>
          </w:tcPr>
          <w:p>
            <w:pPr>
              <w:jc w:val="center"/>
              <w:rPr>
                <w:rFonts w:hint="default" w:ascii="Times New Roman" w:hAnsi="Times New Roman" w:eastAsia="宋体" w:cs="Times New Roman"/>
                <w:color w:val="auto"/>
                <w:sz w:val="21"/>
                <w:szCs w:val="21"/>
                <w:highlight w:val="none"/>
              </w:rPr>
            </w:pPr>
          </w:p>
        </w:tc>
        <w:tc>
          <w:tcPr>
            <w:tcW w:w="16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石材</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215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4187</w:t>
            </w:r>
          </w:p>
        </w:tc>
        <w:tc>
          <w:tcPr>
            <w:tcW w:w="19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189</w:t>
            </w:r>
          </w:p>
        </w:tc>
      </w:tr>
    </w:tbl>
    <w:p>
      <w:pPr>
        <w:spacing w:line="360" w:lineRule="auto"/>
        <w:ind w:firstLine="420" w:firstLineChars="200"/>
        <w:rPr>
          <w:rFonts w:hint="default" w:ascii="Times New Roman" w:hAnsi="Times New Roman" w:eastAsia="宋体" w:cs="Times New Roman"/>
          <w:color w:val="auto"/>
          <w:sz w:val="21"/>
          <w:szCs w:val="21"/>
          <w:highlight w:val="none"/>
        </w:rPr>
      </w:pPr>
    </w:p>
    <w:p>
      <w:pPr>
        <w:adjustRightInd w:val="0"/>
        <w:snapToGrid w:val="0"/>
        <w:spacing w:line="360" w:lineRule="auto"/>
        <w:ind w:firstLine="367" w:firstLineChars="175"/>
        <w:rPr>
          <w:rFonts w:hint="default" w:ascii="Times New Roman" w:hAnsi="Times New Roman" w:eastAsia="宋体" w:cs="Times New Roman"/>
          <w:color w:val="auto"/>
          <w:sz w:val="21"/>
          <w:szCs w:val="21"/>
          <w:highlight w:val="none"/>
        </w:rPr>
      </w:pPr>
      <w:bookmarkStart w:id="7" w:name="_Hlk47940647"/>
      <w:r>
        <w:rPr>
          <w:rFonts w:hint="default" w:ascii="Times New Roman" w:hAnsi="Times New Roman" w:eastAsia="宋体" w:cs="Times New Roman"/>
          <w:color w:val="auto"/>
          <w:sz w:val="21"/>
          <w:szCs w:val="21"/>
          <w:highlight w:val="none"/>
        </w:rPr>
        <w:t>表3、《各区域保洁工作具体要求》</w:t>
      </w:r>
    </w:p>
    <w:bookmarkEnd w:id="7"/>
    <w:tbl>
      <w:tblPr>
        <w:tblStyle w:val="80"/>
        <w:tblW w:w="940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66"/>
        <w:gridCol w:w="1151"/>
        <w:gridCol w:w="3807"/>
        <w:gridCol w:w="23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区域</w:t>
            </w:r>
          </w:p>
        </w:tc>
        <w:tc>
          <w:tcPr>
            <w:tcW w:w="766"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4958" w:type="dxa"/>
            <w:gridSpan w:val="2"/>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工作内容</w:t>
            </w:r>
          </w:p>
        </w:tc>
        <w:tc>
          <w:tcPr>
            <w:tcW w:w="2340"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大厅/急诊室/输液室/门诊诊室/医技科室/行政区各办公室/之江饭店北楼2层、5层六层行政区（建科院2层行政区/东部软件园</w:t>
            </w: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收集区域内垃圾、更换垃圾袋</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区域内地面扫尘（无扬尘干扫）</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区域内地面湿拖（进行地面消毒、清洁）</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区域内家具（桌椅、橱柜等）、台面擦拭</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区域内电脑、电话、仪器（含各种医用器材，特殊仪器在医院人员指导下进行）、低处电器表面清洗或擦拭消毒；诊室内电脑桌、就诊椅、电脑键盘擦拭消毒</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区域内洗手池、水池、水龙头、皂盒、清洗、擦拭</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卫生间（含水龙头、洗手池、台面、马桶、地面）冲洗、擦拭、消毒</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随时保持洁净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区域内窗台、阳台、把手、栏杆、花盆、开关盒、接线盒、各类低处标牌、垃圾桶擦拭</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开水机、冰箱（如有）外表面清洁消毒</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门、门框、低处窗框擦拭</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玻璃及窗框擦拭</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低处墙面除尘、落地瓷砖、踢脚板、地角、低处管道擦拭</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非医疗不锈钢物体表面闪钢保养</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高处标牌、壁挂物擦拭</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高处除尘</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灯具、烟感、监视器、通风口、管道、空调、风扇、空调等高处设备擦拭清洁（净化区域按院感要求）。</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1151"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地面</w:t>
            </w:r>
          </w:p>
        </w:tc>
        <w:tc>
          <w:tcPr>
            <w:tcW w:w="380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全部地面机洗保养打蜡</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每年2次以上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Merge w:val="continue"/>
            <w:vAlign w:val="center"/>
          </w:tcPr>
          <w:p>
            <w:pPr>
              <w:jc w:val="center"/>
              <w:rPr>
                <w:rFonts w:hint="default" w:ascii="Times New Roman" w:hAnsi="Times New Roman" w:eastAsia="宋体" w:cs="Times New Roman"/>
                <w:color w:val="auto"/>
                <w:sz w:val="21"/>
                <w:szCs w:val="21"/>
                <w:highlight w:val="none"/>
              </w:rPr>
            </w:pPr>
          </w:p>
        </w:tc>
        <w:tc>
          <w:tcPr>
            <w:tcW w:w="1151" w:type="dxa"/>
            <w:vMerge w:val="continue"/>
            <w:vAlign w:val="center"/>
          </w:tcPr>
          <w:p>
            <w:pPr>
              <w:jc w:val="center"/>
              <w:rPr>
                <w:rFonts w:hint="default" w:ascii="Times New Roman" w:hAnsi="Times New Roman" w:eastAsia="宋体" w:cs="Times New Roman"/>
                <w:color w:val="auto"/>
                <w:sz w:val="21"/>
                <w:szCs w:val="21"/>
                <w:highlight w:val="none"/>
              </w:rPr>
            </w:pPr>
          </w:p>
        </w:tc>
        <w:tc>
          <w:tcPr>
            <w:tcW w:w="380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通道地面护理</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每年4次以上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Merge w:val="continue"/>
            <w:vAlign w:val="center"/>
          </w:tcPr>
          <w:p>
            <w:pPr>
              <w:jc w:val="center"/>
              <w:rPr>
                <w:rFonts w:hint="default" w:ascii="Times New Roman" w:hAnsi="Times New Roman" w:eastAsia="宋体" w:cs="Times New Roman"/>
                <w:color w:val="auto"/>
                <w:sz w:val="21"/>
                <w:szCs w:val="21"/>
                <w:highlight w:val="none"/>
              </w:rPr>
            </w:pPr>
          </w:p>
        </w:tc>
        <w:tc>
          <w:tcPr>
            <w:tcW w:w="1151" w:type="dxa"/>
            <w:vMerge w:val="continue"/>
            <w:vAlign w:val="center"/>
          </w:tcPr>
          <w:p>
            <w:pPr>
              <w:jc w:val="center"/>
              <w:rPr>
                <w:rFonts w:hint="default" w:ascii="Times New Roman" w:hAnsi="Times New Roman" w:eastAsia="宋体" w:cs="Times New Roman"/>
                <w:color w:val="auto"/>
                <w:sz w:val="21"/>
                <w:szCs w:val="21"/>
                <w:highlight w:val="none"/>
              </w:rPr>
            </w:pPr>
          </w:p>
        </w:tc>
        <w:tc>
          <w:tcPr>
            <w:tcW w:w="380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日常地面晶面处理（抛光）</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隔帘拆换（污染时随时拆换）</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每季度1次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平车上布类整理、更换，床上用品拆换</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巡视保洁</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4958" w:type="dxa"/>
            <w:gridSpan w:val="2"/>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负责各办公室，各诊室的开水供应</w:t>
            </w:r>
          </w:p>
        </w:tc>
        <w:tc>
          <w:tcPr>
            <w:tcW w:w="234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bl>
    <w:p>
      <w:pPr>
        <w:rPr>
          <w:rFonts w:hint="default" w:ascii="Times New Roman" w:hAnsi="Times New Roman" w:eastAsia="宋体" w:cs="Times New Roman"/>
          <w:vanish/>
          <w:color w:val="auto"/>
          <w:sz w:val="21"/>
          <w:szCs w:val="21"/>
          <w:highlight w:val="none"/>
        </w:rPr>
      </w:pPr>
    </w:p>
    <w:tbl>
      <w:tblPr>
        <w:tblStyle w:val="80"/>
        <w:tblW w:w="93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767"/>
        <w:gridCol w:w="4958"/>
        <w:gridCol w:w="24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2"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区域</w:t>
            </w:r>
          </w:p>
        </w:tc>
        <w:tc>
          <w:tcPr>
            <w:tcW w:w="767"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4958"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工作内容</w:t>
            </w:r>
          </w:p>
        </w:tc>
        <w:tc>
          <w:tcPr>
            <w:tcW w:w="2436"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手术室/静配中心/供应室/重症监护室/院内其他有洁净要求的区域</w:t>
            </w: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收集区域内垃圾、更换垃圾袋</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区域内地面湿拖（进行地面消毒、清洁）</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区域内家具（桌椅、橱柜等）、办公用品、台面擦拭</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区域内电脑、电话、仪器（含各种医用器材、无影灯）、低处电器表面清洗、擦拭</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区域内洗手池、水池、水龙头、皂盒、隔拦处清洗、擦拭</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卫生间（含镜子、水龙头、脸盆、台面、毛巾架、马桶、沐浴器、地面）冲洗、擦拭、消毒</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区域内窗台、阳台、把手、扶手、栏杆、开关盒、接线盒、各类低处标牌、垃圾桶擦拭</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拖鞋清洗</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术后整理、清洁、消毒</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开水机、空气消毒机、空调设备外表面的清洁与消毒</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门、门框、窗框、玻璃、高处标牌、壁挂物擦拭</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低处墙面除尘、落地瓷砖、踢脚板、地角、低处管道擦拭</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非医疗不锈钢物体表面闪钢保养</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高处除尘</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灯具、音响、烟感、监视器、通风口、排气扇、风扇、空调等高处设备擦洗</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地面机洗、打蜡、晶面处理和保养</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每3月1次以上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巡视保洁</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平车上布类整理、更换，手术台上用品拆换</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库房的打扫</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隔帘拆换（污染时随时拆换）</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每季度1次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495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各类平车轮椅车轮上油、去污，保证正常运行</w:t>
            </w:r>
          </w:p>
        </w:tc>
        <w:tc>
          <w:tcPr>
            <w:tcW w:w="243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bl>
    <w:p>
      <w:pPr>
        <w:spacing w:line="360" w:lineRule="auto"/>
        <w:rPr>
          <w:rFonts w:hint="default" w:ascii="Times New Roman" w:hAnsi="Times New Roman" w:eastAsia="宋体" w:cs="Times New Roman"/>
          <w:color w:val="auto"/>
          <w:sz w:val="21"/>
          <w:szCs w:val="21"/>
          <w:highlight w:val="none"/>
        </w:rPr>
      </w:pPr>
    </w:p>
    <w:tbl>
      <w:tblPr>
        <w:tblStyle w:val="80"/>
        <w:tblW w:w="94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765"/>
        <w:gridCol w:w="4956"/>
        <w:gridCol w:w="24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区域</w:t>
            </w:r>
          </w:p>
        </w:tc>
        <w:tc>
          <w:tcPr>
            <w:tcW w:w="765"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4956"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工作内容</w:t>
            </w:r>
          </w:p>
        </w:tc>
        <w:tc>
          <w:tcPr>
            <w:tcW w:w="2486"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血透中心</w:t>
            </w: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核对和清点医用垃圾，收集区域内垃圾、更换垃圾袋</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区域内地面湿拖（进行地面消毒、清洁）</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区域内家具（桌椅、橱柜等）、办公用品、台面擦拭</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区域内电脑、电话、仪器（含各种医用器材、无影灯）、低处电器表面清洗、擦拭</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区域内洗手池、水池、水龙头、皂盒、隔拦处清洗、擦拭</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卫生间（含镜子、水龙头、脸盆、台面、毛巾架、马桶、沐浴器、地面）冲洗、擦拭、消毒</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区域内窗台、阳台、把手、扶手、栏杆、开关盒、接线盒、各类低处标牌、垃圾桶擦拭</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拖鞋清洗</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病人血透后整理、清洁、消毒</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开水机、空气消毒机、空调设备外表面的清洁与消毒</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门、门框、窗框、玻璃、高处标牌、壁挂物擦拭</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低处墙面除尘、落地瓷砖、踢脚板、地角、低处管道擦拭</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非医疗不锈钢物体表面闪钢保养</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高处除尘</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每天做好透析前的准备工作</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工作日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灯具、音响、烟感、监视器、通风口、排气扇、风扇、空调等高处设备擦洗</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地面机洗、打蜡、晶面处理和保养</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每2月1次以上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巡视保洁</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库房的打扫</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隔帘拆换</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每季度1次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5"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各类平车轮椅车轮上油、去污，保证正常运行</w:t>
            </w:r>
          </w:p>
        </w:tc>
        <w:tc>
          <w:tcPr>
            <w:tcW w:w="248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bl>
    <w:p>
      <w:pPr>
        <w:spacing w:line="360" w:lineRule="auto"/>
        <w:rPr>
          <w:rFonts w:hint="default" w:ascii="Times New Roman" w:hAnsi="Times New Roman" w:eastAsia="宋体" w:cs="Times New Roman"/>
          <w:color w:val="auto"/>
          <w:sz w:val="21"/>
          <w:szCs w:val="21"/>
          <w:highlight w:val="none"/>
        </w:rPr>
      </w:pPr>
    </w:p>
    <w:tbl>
      <w:tblPr>
        <w:tblStyle w:val="80"/>
        <w:tblW w:w="931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767"/>
        <w:gridCol w:w="495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6"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区域</w:t>
            </w:r>
          </w:p>
        </w:tc>
        <w:tc>
          <w:tcPr>
            <w:tcW w:w="767"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4954"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工作内容</w:t>
            </w:r>
          </w:p>
        </w:tc>
        <w:tc>
          <w:tcPr>
            <w:tcW w:w="2376"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住院病区</w:t>
            </w: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收集区域内垃圾、更换垃圾袋</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区域内地面牵尘（无扬尘干扫）</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区域内地面湿拖（进行地面消毒、清洁）</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区域内家具（桌椅、橱柜等）、办公用品（含病历牌）、台面擦拭</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区域内电脑、电话、仪器（含各种医用器材）、器械（治疗车、病历架等）、低处电器表面的清洗或擦拭</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区域内洗手池、水池、水龙头、皂盒清洗、擦拭</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卫生间（含镜子、水龙头、脸盆、台面、毛巾架、马桶、沐浴器、地面）、开水间冲洗、擦拭、消毒</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区域内窗台、阳台、把手、栏杆、花瓶、花盆、开关盒、接线盒、各类低处标牌、垃圾桶擦拭</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床单位终末消毒</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开水机、冰箱外表面清洁消毒</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门、门框、窗框、玻璃</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低处墙面除尘、落地瓷砖、踢脚板、地角、低处管道擦拭</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非医疗不锈钢物体表面闪钢保养</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高处标牌、壁挂物擦拭</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高处除尘</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灯具、音响、烟感、监视器、通风口、排气扇、风扇、空调等高处设备擦洗</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地面机洗、打蜡、晶面处理和保养</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每3月1次以上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18</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石材地面的日常维护保养</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每2周1次以上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19</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巡视保洁、小手巾清洗、晾晒</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平车上布类整理、更换</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隔帘的拆换（污染时随时拆换）</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每季度1次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16"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w:t>
            </w:r>
          </w:p>
        </w:tc>
        <w:tc>
          <w:tcPr>
            <w:tcW w:w="49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给所有病人打开水、床单位擦拭</w:t>
            </w:r>
          </w:p>
        </w:tc>
        <w:tc>
          <w:tcPr>
            <w:tcW w:w="237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每天2次以上</w:t>
            </w:r>
          </w:p>
        </w:tc>
      </w:tr>
    </w:tbl>
    <w:p>
      <w:pPr>
        <w:spacing w:line="360" w:lineRule="auto"/>
        <w:rPr>
          <w:rFonts w:hint="default" w:ascii="Times New Roman" w:hAnsi="Times New Roman" w:eastAsia="宋体" w:cs="Times New Roman"/>
          <w:color w:val="auto"/>
          <w:sz w:val="21"/>
          <w:szCs w:val="21"/>
          <w:highlight w:val="none"/>
        </w:rPr>
      </w:pPr>
    </w:p>
    <w:tbl>
      <w:tblPr>
        <w:tblStyle w:val="80"/>
        <w:tblW w:w="929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33"/>
        <w:gridCol w:w="5048"/>
        <w:gridCol w:w="23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5"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区域</w:t>
            </w:r>
          </w:p>
        </w:tc>
        <w:tc>
          <w:tcPr>
            <w:tcW w:w="733"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5048"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工作内容</w:t>
            </w:r>
          </w:p>
        </w:tc>
        <w:tc>
          <w:tcPr>
            <w:tcW w:w="2354"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会议室</w:t>
            </w: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收集区域内垃圾、更换垃圾袋</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区域内地面扫尘（无扬尘干扫）</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每日1次以上，会前会后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区域内地面湿拖（进行地面消毒、清洁）</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每日1次以上，会前会后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区域内家具（桌椅、橱柜等）、台面擦拭、整理</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每日1次以上，会前会后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区域内电脑、电话、仪器、低处电器表面清洗或擦拭</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区域内洗手池、水池、水龙头、皂盒清洗、擦拭</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区域内窗台、花瓶、花盆、开关盒、接线盒、各类低处标牌、垃圾桶擦拭</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开水机、冰箱外表面清洁消毒</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门、门框、窗框、玻璃</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低处墙面除尘、落地瓷砖、踢脚板、地角、低处管道擦拭</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非医疗不锈钢物体表面闪钢保养</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高处标牌、壁挂物擦拭</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高处除尘</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灯具、音响、烟感、通风口、排气扇、风扇、空调等高处设备擦洗</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地面机洗、打蜡、晶面处理和保养</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每季度1次以上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地毯吸尘</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会前会后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55" w:type="dxa"/>
            <w:vMerge w:val="continue"/>
            <w:vAlign w:val="center"/>
          </w:tcPr>
          <w:p>
            <w:pPr>
              <w:jc w:val="center"/>
              <w:rPr>
                <w:rFonts w:hint="default" w:ascii="Times New Roman" w:hAnsi="Times New Roman" w:eastAsia="宋体" w:cs="Times New Roman"/>
                <w:color w:val="auto"/>
                <w:sz w:val="21"/>
                <w:szCs w:val="21"/>
                <w:highlight w:val="none"/>
              </w:rPr>
            </w:pPr>
          </w:p>
        </w:tc>
        <w:tc>
          <w:tcPr>
            <w:tcW w:w="73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17</w:t>
            </w:r>
          </w:p>
        </w:tc>
        <w:tc>
          <w:tcPr>
            <w:tcW w:w="5048"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供应开水</w:t>
            </w:r>
          </w:p>
        </w:tc>
        <w:tc>
          <w:tcPr>
            <w:tcW w:w="2354"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每天2次以上，并保证会议期间的供应</w:t>
            </w:r>
          </w:p>
        </w:tc>
      </w:tr>
    </w:tbl>
    <w:p>
      <w:pPr>
        <w:rPr>
          <w:rFonts w:hint="default" w:ascii="Times New Roman" w:hAnsi="Times New Roman" w:eastAsia="宋体" w:cs="Times New Roman"/>
          <w:vanish/>
          <w:color w:val="auto"/>
          <w:sz w:val="21"/>
          <w:szCs w:val="21"/>
          <w:highlight w:val="none"/>
        </w:rPr>
      </w:pPr>
    </w:p>
    <w:tbl>
      <w:tblPr>
        <w:tblStyle w:val="80"/>
        <w:tblW w:w="943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766"/>
        <w:gridCol w:w="4956"/>
        <w:gridCol w:w="24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区域</w:t>
            </w:r>
          </w:p>
        </w:tc>
        <w:tc>
          <w:tcPr>
            <w:tcW w:w="766"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4956"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工作内容</w:t>
            </w:r>
          </w:p>
        </w:tc>
        <w:tc>
          <w:tcPr>
            <w:tcW w:w="2492"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室内公共区域</w:t>
            </w: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收集区域内垃圾、更换垃圾袋，清洁垃圾桶表面</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区域内地面扫尘并地面湿拖（进行地面消毒、清洁）</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区域内洗手池、水池、水龙头清洗、擦拭</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卫生间（含镜子、水龙头、脸盆、台面、马桶、地面）、开水间冲洗、擦拭、消毒</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随时保持洁净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区域内把手、栏杆、花瓶、花盆、开关盒、接线盒、各类低处标牌、垃圾桶擦拭</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公共座椅的保洁，清洁擦拭</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随时，每日1次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玻璃清洁</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非医疗不锈钢物体表面闪钢保养</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高处标牌、壁挂物擦拭</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高处除尘</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灯具、音响、烟感、监视器等高处设备擦洗</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各材质地面的保养</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每2月1次以上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地毯、踏垫保持地毯干净、松软、无污渍斑点，洗后无色差</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每日清扫，每周吸尘清洁，每周局部使用清洁剂清洁，每月一次用清洁剂清洗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大厅内玻璃除尘、清洗，无尘，光亮</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每季度全面清尘一次以上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224"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495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巡逻保洁</w:t>
            </w:r>
          </w:p>
        </w:tc>
        <w:tc>
          <w:tcPr>
            <w:tcW w:w="249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bl>
    <w:p>
      <w:pPr>
        <w:spacing w:line="360" w:lineRule="auto"/>
        <w:rPr>
          <w:rFonts w:hint="default" w:ascii="Times New Roman" w:hAnsi="Times New Roman" w:eastAsia="宋体" w:cs="Times New Roman"/>
          <w:color w:val="auto"/>
          <w:sz w:val="21"/>
          <w:szCs w:val="21"/>
          <w:highlight w:val="none"/>
        </w:rPr>
      </w:pPr>
    </w:p>
    <w:tbl>
      <w:tblPr>
        <w:tblStyle w:val="80"/>
        <w:tblW w:w="918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763"/>
        <w:gridCol w:w="4957"/>
        <w:gridCol w:w="21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3"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区域</w:t>
            </w:r>
          </w:p>
        </w:tc>
        <w:tc>
          <w:tcPr>
            <w:tcW w:w="763"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4957"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工作内容</w:t>
            </w:r>
          </w:p>
        </w:tc>
        <w:tc>
          <w:tcPr>
            <w:tcW w:w="2120"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室外公共区域</w:t>
            </w:r>
          </w:p>
        </w:tc>
        <w:tc>
          <w:tcPr>
            <w:tcW w:w="76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收集区域内垃圾、更换垃圾袋</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区域内垃圾桶刷洗</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明沟、暗沟月彻底清理，如有堵塞情况，及时上报，随时清理。</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路灯除尘</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每月2次以上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各出入口地面清扫、收集垃圾、水力冲洗</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循环清扫，每周冲洗1次以上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广场及道路清扫、收集垃圾、水力冲洗</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循环清扫，每周冲洗1次以上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外墙及外露管道（二米以下）除尘，无积灰、污渍</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每日清抹1次以上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屋顶及周边清扫、收集垃圾、刷洗、清洁堵塞物</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每日清扫，雨雪天气、台风季节重点清扫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公共座椅保洁</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玻璃清洁</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每周1次以上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外墙金属嵌条、标志牌除尘无积灰、污渍</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每日清抹1次以上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外立面幕墙玻璃</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每月清洗1次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监控探头除尘</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每半年清洗1次以上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ind w:firstLine="105" w:firstLineChar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室外绿地清扫，无垃圾、无杂物</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每天清洁1次以上，随时清扫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3"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3" w:type="dxa"/>
            <w:vAlign w:val="center"/>
          </w:tcPr>
          <w:p>
            <w:pPr>
              <w:ind w:firstLine="105" w:firstLineChar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495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巡逻保洁</w:t>
            </w:r>
          </w:p>
        </w:tc>
        <w:tc>
          <w:tcPr>
            <w:tcW w:w="2120"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随时</w:t>
            </w:r>
          </w:p>
        </w:tc>
      </w:tr>
    </w:tbl>
    <w:p>
      <w:pPr>
        <w:spacing w:line="360" w:lineRule="auto"/>
        <w:rPr>
          <w:rFonts w:hint="default" w:ascii="Times New Roman" w:hAnsi="Times New Roman" w:eastAsia="宋体" w:cs="Times New Roman"/>
          <w:color w:val="auto"/>
          <w:sz w:val="21"/>
          <w:szCs w:val="21"/>
          <w:highlight w:val="none"/>
        </w:rPr>
      </w:pPr>
    </w:p>
    <w:tbl>
      <w:tblPr>
        <w:tblStyle w:val="80"/>
        <w:tblW w:w="91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66"/>
        <w:gridCol w:w="4759"/>
        <w:gridCol w:w="22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0"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区域</w:t>
            </w:r>
          </w:p>
        </w:tc>
        <w:tc>
          <w:tcPr>
            <w:tcW w:w="766"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4759"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工作内容</w:t>
            </w:r>
          </w:p>
        </w:tc>
        <w:tc>
          <w:tcPr>
            <w:tcW w:w="2297" w:type="dxa"/>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0"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电梯</w:t>
            </w: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4759" w:type="dxa"/>
            <w:vAlign w:val="center"/>
          </w:tcPr>
          <w:p>
            <w:pPr>
              <w:autoSpaceDE w:val="0"/>
              <w:autoSpaceDN w:val="0"/>
              <w:adjustRightIn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地毯除尘、清洗，无灰尘、垃圾及污渍</w:t>
            </w:r>
          </w:p>
        </w:tc>
        <w:tc>
          <w:tcPr>
            <w:tcW w:w="229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每日吸尘2次以上，每月清洗1次以上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475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墙面，木质（除尘）铝合金（上保护剂）、镜面清洁，无灰尘及手印，光亮</w:t>
            </w:r>
          </w:p>
        </w:tc>
        <w:tc>
          <w:tcPr>
            <w:tcW w:w="229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每日保洁，每周清洁、上光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475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门（内外）抹净（上保护剂），无灰尘及手印，光亮</w:t>
            </w:r>
          </w:p>
        </w:tc>
        <w:tc>
          <w:tcPr>
            <w:tcW w:w="229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循环保洁，每周清洁、上光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475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门槽清除垃圾、杂物，无灰尘及垃圾，光亮</w:t>
            </w:r>
          </w:p>
        </w:tc>
        <w:tc>
          <w:tcPr>
            <w:tcW w:w="229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每日及时清除，每周清洁、上光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475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指示牌和按钮除尘，无灰尘、无手印</w:t>
            </w:r>
          </w:p>
        </w:tc>
        <w:tc>
          <w:tcPr>
            <w:tcW w:w="229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每日清抹1次以上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475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灯片和风口除尘无灰尘</w:t>
            </w:r>
          </w:p>
        </w:tc>
        <w:tc>
          <w:tcPr>
            <w:tcW w:w="229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每日清抹1次以上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40" w:type="dxa"/>
            <w:vMerge w:val="continue"/>
            <w:vAlign w:val="center"/>
          </w:tcPr>
          <w:p>
            <w:pPr>
              <w:jc w:val="center"/>
              <w:rPr>
                <w:rFonts w:hint="default" w:ascii="Times New Roman" w:hAnsi="Times New Roman" w:eastAsia="宋体" w:cs="Times New Roman"/>
                <w:color w:val="auto"/>
                <w:sz w:val="21"/>
                <w:szCs w:val="21"/>
                <w:highlight w:val="none"/>
              </w:rPr>
            </w:pPr>
          </w:p>
        </w:tc>
        <w:tc>
          <w:tcPr>
            <w:tcW w:w="76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475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电梯清洁消毒</w:t>
            </w:r>
          </w:p>
        </w:tc>
        <w:tc>
          <w:tcPr>
            <w:tcW w:w="2297"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每日消毒4次以上（有污染时随时消毒），每日每次清洁消毒要有记录</w:t>
            </w:r>
          </w:p>
        </w:tc>
      </w:tr>
    </w:tbl>
    <w:p>
      <w:pPr>
        <w:spacing w:line="360" w:lineRule="auto"/>
        <w:ind w:firstLine="420" w:firstLineChars="200"/>
        <w:rPr>
          <w:rFonts w:hint="default" w:ascii="Times New Roman" w:hAnsi="Times New Roman" w:eastAsia="宋体" w:cs="Times New Roman"/>
          <w:color w:val="auto"/>
          <w:sz w:val="21"/>
          <w:szCs w:val="21"/>
          <w:highlight w:val="none"/>
        </w:rPr>
      </w:pPr>
    </w:p>
    <w:tbl>
      <w:tblPr>
        <w:tblStyle w:val="80"/>
        <w:tblW w:w="91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785"/>
        <w:gridCol w:w="4684"/>
        <w:gridCol w:w="23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w:t>
            </w:r>
          </w:p>
        </w:tc>
        <w:tc>
          <w:tcPr>
            <w:tcW w:w="785"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序号</w:t>
            </w:r>
          </w:p>
        </w:tc>
        <w:tc>
          <w:tcPr>
            <w:tcW w:w="468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工作内容</w:t>
            </w:r>
          </w:p>
        </w:tc>
        <w:tc>
          <w:tcPr>
            <w:tcW w:w="231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频次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0" w:type="dxa"/>
            <w:vMerge w:val="restart"/>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其他</w:t>
            </w:r>
          </w:p>
        </w:tc>
        <w:tc>
          <w:tcPr>
            <w:tcW w:w="785"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468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地下车库、地面清扫、冲洗，无垃圾、无杂物</w:t>
            </w:r>
          </w:p>
        </w:tc>
        <w:tc>
          <w:tcPr>
            <w:tcW w:w="231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循环保洁，每天清洁1次以上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0" w:type="dxa"/>
            <w:vMerge w:val="continue"/>
            <w:vAlign w:val="center"/>
          </w:tcPr>
          <w:p>
            <w:pPr>
              <w:jc w:val="center"/>
              <w:rPr>
                <w:rFonts w:hint="default" w:ascii="Times New Roman" w:hAnsi="Times New Roman" w:eastAsia="宋体" w:cs="Times New Roman"/>
                <w:bCs/>
                <w:color w:val="auto"/>
                <w:sz w:val="21"/>
                <w:szCs w:val="21"/>
                <w:highlight w:val="none"/>
              </w:rPr>
            </w:pPr>
          </w:p>
        </w:tc>
        <w:tc>
          <w:tcPr>
            <w:tcW w:w="785"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468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标线清洁，保证清晰</w:t>
            </w:r>
          </w:p>
        </w:tc>
        <w:tc>
          <w:tcPr>
            <w:tcW w:w="231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按需描线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380" w:type="dxa"/>
            <w:vMerge w:val="continue"/>
            <w:vAlign w:val="center"/>
          </w:tcPr>
          <w:p>
            <w:pPr>
              <w:jc w:val="center"/>
              <w:rPr>
                <w:rFonts w:hint="default" w:ascii="Times New Roman" w:hAnsi="Times New Roman" w:eastAsia="宋体" w:cs="Times New Roman"/>
                <w:bCs/>
                <w:color w:val="auto"/>
                <w:sz w:val="21"/>
                <w:szCs w:val="21"/>
                <w:highlight w:val="none"/>
              </w:rPr>
            </w:pPr>
          </w:p>
        </w:tc>
        <w:tc>
          <w:tcPr>
            <w:tcW w:w="785"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468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图书馆书架、书橱除尘、抹净</w:t>
            </w:r>
          </w:p>
        </w:tc>
        <w:tc>
          <w:tcPr>
            <w:tcW w:w="2313" w:type="dxa"/>
            <w:vAlign w:val="center"/>
          </w:tcPr>
          <w:p>
            <w:pPr>
              <w:autoSpaceDE w:val="0"/>
              <w:autoSpaceDN w:val="0"/>
              <w:adjustRightIn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循环保洁，随时清抹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0" w:type="dxa"/>
            <w:vMerge w:val="continue"/>
            <w:vAlign w:val="center"/>
          </w:tcPr>
          <w:p>
            <w:pPr>
              <w:jc w:val="center"/>
              <w:rPr>
                <w:rFonts w:hint="default" w:ascii="Times New Roman" w:hAnsi="Times New Roman" w:eastAsia="宋体" w:cs="Times New Roman"/>
                <w:bCs/>
                <w:color w:val="auto"/>
                <w:sz w:val="21"/>
                <w:szCs w:val="21"/>
                <w:highlight w:val="none"/>
              </w:rPr>
            </w:pPr>
          </w:p>
        </w:tc>
        <w:tc>
          <w:tcPr>
            <w:tcW w:w="785"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468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垃圾收集及暂存点保洁</w:t>
            </w:r>
          </w:p>
        </w:tc>
        <w:tc>
          <w:tcPr>
            <w:tcW w:w="2313" w:type="dxa"/>
            <w:vAlign w:val="center"/>
          </w:tcPr>
          <w:p>
            <w:pPr>
              <w:autoSpaceDE w:val="0"/>
              <w:autoSpaceDN w:val="0"/>
              <w:adjustRightIn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医院内部垃圾存放区域每天清洗、消毒1次，每周全面清洗消毒1次；每天对垃圾的收集情况进行及时登记，以备检查。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0" w:type="dxa"/>
            <w:vMerge w:val="continue"/>
            <w:vAlign w:val="center"/>
          </w:tcPr>
          <w:p>
            <w:pPr>
              <w:jc w:val="center"/>
              <w:rPr>
                <w:rFonts w:hint="default" w:ascii="Times New Roman" w:hAnsi="Times New Roman" w:eastAsia="宋体" w:cs="Times New Roman"/>
                <w:bCs/>
                <w:color w:val="auto"/>
                <w:sz w:val="21"/>
                <w:szCs w:val="21"/>
                <w:highlight w:val="none"/>
              </w:rPr>
            </w:pPr>
          </w:p>
        </w:tc>
        <w:tc>
          <w:tcPr>
            <w:tcW w:w="785"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468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上级部门和重要嘉宾参观或检查，根据院方要求进行突击性服务。</w:t>
            </w:r>
          </w:p>
        </w:tc>
        <w:tc>
          <w:tcPr>
            <w:tcW w:w="2313" w:type="dxa"/>
            <w:vAlign w:val="center"/>
          </w:tcPr>
          <w:p>
            <w:pPr>
              <w:autoSpaceDE w:val="0"/>
              <w:autoSpaceDN w:val="0"/>
              <w:adjustRightIn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按医院要求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0" w:type="dxa"/>
            <w:vMerge w:val="continue"/>
            <w:vAlign w:val="center"/>
          </w:tcPr>
          <w:p>
            <w:pPr>
              <w:jc w:val="center"/>
              <w:rPr>
                <w:rFonts w:hint="default" w:ascii="Times New Roman" w:hAnsi="Times New Roman" w:eastAsia="宋体" w:cs="Times New Roman"/>
                <w:bCs/>
                <w:color w:val="auto"/>
                <w:sz w:val="21"/>
                <w:szCs w:val="21"/>
                <w:highlight w:val="none"/>
              </w:rPr>
            </w:pPr>
          </w:p>
        </w:tc>
        <w:tc>
          <w:tcPr>
            <w:tcW w:w="785"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468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如遇火警、水管爆裂、台风袭击、冬季雨雪冰冻、突发传染病等特殊情况，要有应急预案和机动人员配合院方搞好特殊保洁及服务工作。</w:t>
            </w:r>
          </w:p>
        </w:tc>
        <w:tc>
          <w:tcPr>
            <w:tcW w:w="2313" w:type="dxa"/>
            <w:vAlign w:val="center"/>
          </w:tcPr>
          <w:p>
            <w:pPr>
              <w:autoSpaceDE w:val="0"/>
              <w:autoSpaceDN w:val="0"/>
              <w:adjustRightIn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按医院要求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jc w:val="center"/>
        </w:trPr>
        <w:tc>
          <w:tcPr>
            <w:tcW w:w="1380" w:type="dxa"/>
            <w:vMerge w:val="continue"/>
            <w:vAlign w:val="center"/>
          </w:tcPr>
          <w:p>
            <w:pPr>
              <w:jc w:val="center"/>
              <w:rPr>
                <w:rFonts w:hint="default" w:ascii="Times New Roman" w:hAnsi="Times New Roman" w:eastAsia="宋体" w:cs="Times New Roman"/>
                <w:bCs/>
                <w:color w:val="auto"/>
                <w:sz w:val="21"/>
                <w:szCs w:val="21"/>
                <w:highlight w:val="none"/>
              </w:rPr>
            </w:pPr>
          </w:p>
        </w:tc>
        <w:tc>
          <w:tcPr>
            <w:tcW w:w="785"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468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医疗垃圾、生活垃圾的院内运输暂存管理；</w:t>
            </w:r>
          </w:p>
        </w:tc>
        <w:tc>
          <w:tcPr>
            <w:tcW w:w="2313" w:type="dxa"/>
            <w:vAlign w:val="center"/>
          </w:tcPr>
          <w:p>
            <w:pPr>
              <w:autoSpaceDE w:val="0"/>
              <w:autoSpaceDN w:val="0"/>
              <w:adjustRightIn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按医院要求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0" w:type="dxa"/>
            <w:vMerge w:val="continue"/>
            <w:vAlign w:val="center"/>
          </w:tcPr>
          <w:p>
            <w:pPr>
              <w:jc w:val="center"/>
              <w:rPr>
                <w:rFonts w:hint="default" w:ascii="Times New Roman" w:hAnsi="Times New Roman" w:eastAsia="宋体" w:cs="Times New Roman"/>
                <w:bCs/>
                <w:color w:val="auto"/>
                <w:sz w:val="21"/>
                <w:szCs w:val="21"/>
                <w:highlight w:val="none"/>
              </w:rPr>
            </w:pPr>
          </w:p>
        </w:tc>
        <w:tc>
          <w:tcPr>
            <w:tcW w:w="785"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w:t>
            </w:r>
          </w:p>
        </w:tc>
        <w:tc>
          <w:tcPr>
            <w:tcW w:w="468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维护承包范围内院容、院貌的整洁，劝阻病人及家属在病房窗外或公共通道晾挂衣服、杂物；冷暖气开放时，劝阻病人自觉关闭窗户，关灯。</w:t>
            </w:r>
          </w:p>
        </w:tc>
        <w:tc>
          <w:tcPr>
            <w:tcW w:w="2313" w:type="dxa"/>
            <w:vAlign w:val="center"/>
          </w:tcPr>
          <w:p>
            <w:pPr>
              <w:autoSpaceDE w:val="0"/>
              <w:autoSpaceDN w:val="0"/>
              <w:adjustRightIn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按医院要求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0" w:type="dxa"/>
            <w:vMerge w:val="continue"/>
            <w:vAlign w:val="center"/>
          </w:tcPr>
          <w:p>
            <w:pPr>
              <w:jc w:val="center"/>
              <w:rPr>
                <w:rFonts w:hint="default" w:ascii="Times New Roman" w:hAnsi="Times New Roman" w:eastAsia="宋体" w:cs="Times New Roman"/>
                <w:bCs/>
                <w:color w:val="auto"/>
                <w:sz w:val="21"/>
                <w:szCs w:val="21"/>
                <w:highlight w:val="none"/>
              </w:rPr>
            </w:pPr>
          </w:p>
        </w:tc>
        <w:tc>
          <w:tcPr>
            <w:tcW w:w="785"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9</w:t>
            </w:r>
          </w:p>
        </w:tc>
        <w:tc>
          <w:tcPr>
            <w:tcW w:w="4684"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行政或办公用物的临时搬运、房屋装修改造的搬运保洁工作。</w:t>
            </w:r>
          </w:p>
        </w:tc>
        <w:tc>
          <w:tcPr>
            <w:tcW w:w="2313" w:type="dxa"/>
            <w:vAlign w:val="center"/>
          </w:tcPr>
          <w:p>
            <w:pPr>
              <w:autoSpaceDE w:val="0"/>
              <w:autoSpaceDN w:val="0"/>
              <w:adjustRightInd w:val="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按医院要求</w:t>
            </w:r>
          </w:p>
        </w:tc>
      </w:tr>
    </w:tbl>
    <w:p>
      <w:pPr>
        <w:widowControl/>
        <w:spacing w:line="560" w:lineRule="atLeast"/>
        <w:jc w:val="left"/>
        <w:rPr>
          <w:rFonts w:hint="default" w:ascii="Times New Roman" w:hAnsi="Times New Roman" w:eastAsia="宋体" w:cs="Times New Roman"/>
          <w:color w:val="auto"/>
          <w:kern w:val="0"/>
          <w:sz w:val="21"/>
          <w:szCs w:val="21"/>
          <w:highlight w:val="none"/>
          <w:shd w:val="clear" w:color="auto" w:fill="FFFFFF"/>
          <w:lang w:bidi="ar"/>
        </w:rPr>
      </w:pPr>
      <w:r>
        <w:rPr>
          <w:rFonts w:hint="default" w:ascii="Times New Roman" w:hAnsi="Times New Roman" w:eastAsia="宋体" w:cs="Times New Roman"/>
          <w:color w:val="auto"/>
          <w:kern w:val="0"/>
          <w:sz w:val="21"/>
          <w:szCs w:val="21"/>
          <w:highlight w:val="none"/>
          <w:shd w:val="clear" w:color="auto" w:fill="FFFFFF"/>
          <w:lang w:bidi="ar"/>
        </w:rPr>
        <w:t>表4、《保洁运送服务岗位配置明细》</w:t>
      </w:r>
    </w:p>
    <w:tbl>
      <w:tblPr>
        <w:tblStyle w:val="80"/>
        <w:tblW w:w="913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8"/>
        <w:gridCol w:w="850"/>
        <w:gridCol w:w="993"/>
        <w:gridCol w:w="992"/>
        <w:gridCol w:w="2786"/>
        <w:gridCol w:w="14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5" w:type="dxa"/>
            <w:vMerge w:val="restart"/>
            <w:noWrap/>
            <w:vAlign w:val="center"/>
          </w:tcPr>
          <w:p>
            <w:pPr>
              <w:jc w:val="center"/>
              <w:rPr>
                <w:rFonts w:hint="default" w:ascii="Times New Roman" w:hAnsi="Times New Roman" w:eastAsia="宋体" w:cs="Times New Roman"/>
                <w:bCs/>
                <w:color w:val="auto"/>
                <w:sz w:val="21"/>
                <w:szCs w:val="21"/>
                <w:highlight w:val="none"/>
              </w:rPr>
            </w:pPr>
            <w:bookmarkStart w:id="8" w:name="_Hlk47940626"/>
            <w:r>
              <w:rPr>
                <w:rFonts w:hint="default" w:ascii="Times New Roman" w:hAnsi="Times New Roman" w:eastAsia="宋体" w:cs="Times New Roman"/>
                <w:bCs/>
                <w:color w:val="auto"/>
                <w:sz w:val="21"/>
                <w:szCs w:val="21"/>
                <w:highlight w:val="none"/>
              </w:rPr>
              <w:t>区域</w:t>
            </w:r>
          </w:p>
        </w:tc>
        <w:tc>
          <w:tcPr>
            <w:tcW w:w="1418" w:type="dxa"/>
            <w:vMerge w:val="restart"/>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科室/楼层</w:t>
            </w:r>
          </w:p>
        </w:tc>
        <w:tc>
          <w:tcPr>
            <w:tcW w:w="850" w:type="dxa"/>
            <w:vMerge w:val="restart"/>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岗位配置</w:t>
            </w:r>
          </w:p>
        </w:tc>
        <w:tc>
          <w:tcPr>
            <w:tcW w:w="993" w:type="dxa"/>
            <w:vMerge w:val="restart"/>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上班时间</w:t>
            </w:r>
          </w:p>
        </w:tc>
        <w:tc>
          <w:tcPr>
            <w:tcW w:w="992" w:type="dxa"/>
            <w:vMerge w:val="restart"/>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每周工作天数</w:t>
            </w:r>
          </w:p>
        </w:tc>
        <w:tc>
          <w:tcPr>
            <w:tcW w:w="2786" w:type="dxa"/>
            <w:vMerge w:val="restart"/>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工作内容</w:t>
            </w:r>
          </w:p>
        </w:tc>
        <w:tc>
          <w:tcPr>
            <w:tcW w:w="1420" w:type="dxa"/>
            <w:vMerge w:val="restart"/>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岗位级别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5" w:type="dxa"/>
            <w:vMerge w:val="continue"/>
            <w:vAlign w:val="center"/>
          </w:tcPr>
          <w:p>
            <w:pPr>
              <w:rPr>
                <w:rFonts w:hint="default" w:ascii="Times New Roman" w:hAnsi="Times New Roman" w:eastAsia="宋体" w:cs="Times New Roman"/>
                <w:bCs/>
                <w:color w:val="auto"/>
                <w:sz w:val="21"/>
                <w:szCs w:val="21"/>
                <w:highlight w:val="none"/>
              </w:rPr>
            </w:pPr>
          </w:p>
        </w:tc>
        <w:tc>
          <w:tcPr>
            <w:tcW w:w="1418" w:type="dxa"/>
            <w:vMerge w:val="continue"/>
            <w:vAlign w:val="center"/>
          </w:tcPr>
          <w:p>
            <w:pPr>
              <w:rPr>
                <w:rFonts w:hint="default" w:ascii="Times New Roman" w:hAnsi="Times New Roman" w:eastAsia="宋体" w:cs="Times New Roman"/>
                <w:bCs/>
                <w:color w:val="auto"/>
                <w:sz w:val="21"/>
                <w:szCs w:val="21"/>
                <w:highlight w:val="none"/>
              </w:rPr>
            </w:pPr>
          </w:p>
        </w:tc>
        <w:tc>
          <w:tcPr>
            <w:tcW w:w="850" w:type="dxa"/>
            <w:vMerge w:val="continue"/>
            <w:vAlign w:val="center"/>
          </w:tcPr>
          <w:p>
            <w:pPr>
              <w:rPr>
                <w:rFonts w:hint="default" w:ascii="Times New Roman" w:hAnsi="Times New Roman" w:eastAsia="宋体" w:cs="Times New Roman"/>
                <w:bCs/>
                <w:color w:val="auto"/>
                <w:sz w:val="21"/>
                <w:szCs w:val="21"/>
                <w:highlight w:val="none"/>
              </w:rPr>
            </w:pPr>
          </w:p>
        </w:tc>
        <w:tc>
          <w:tcPr>
            <w:tcW w:w="993" w:type="dxa"/>
            <w:vMerge w:val="continue"/>
            <w:vAlign w:val="center"/>
          </w:tcPr>
          <w:p>
            <w:pPr>
              <w:rPr>
                <w:rFonts w:hint="default" w:ascii="Times New Roman" w:hAnsi="Times New Roman" w:eastAsia="宋体" w:cs="Times New Roman"/>
                <w:bCs/>
                <w:color w:val="auto"/>
                <w:sz w:val="21"/>
                <w:szCs w:val="21"/>
                <w:highlight w:val="none"/>
              </w:rPr>
            </w:pPr>
          </w:p>
        </w:tc>
        <w:tc>
          <w:tcPr>
            <w:tcW w:w="992" w:type="dxa"/>
            <w:vMerge w:val="continue"/>
            <w:vAlign w:val="center"/>
          </w:tcPr>
          <w:p>
            <w:pPr>
              <w:rPr>
                <w:rFonts w:hint="default" w:ascii="Times New Roman" w:hAnsi="Times New Roman" w:eastAsia="宋体" w:cs="Times New Roman"/>
                <w:bCs/>
                <w:color w:val="auto"/>
                <w:sz w:val="21"/>
                <w:szCs w:val="21"/>
                <w:highlight w:val="none"/>
              </w:rPr>
            </w:pPr>
          </w:p>
        </w:tc>
        <w:tc>
          <w:tcPr>
            <w:tcW w:w="2786" w:type="dxa"/>
            <w:vMerge w:val="continue"/>
            <w:vAlign w:val="center"/>
          </w:tcPr>
          <w:p>
            <w:pPr>
              <w:rPr>
                <w:rFonts w:hint="default" w:ascii="Times New Roman" w:hAnsi="Times New Roman" w:eastAsia="宋体" w:cs="Times New Roman"/>
                <w:bCs/>
                <w:color w:val="auto"/>
                <w:sz w:val="21"/>
                <w:szCs w:val="21"/>
                <w:highlight w:val="none"/>
              </w:rPr>
            </w:pPr>
          </w:p>
        </w:tc>
        <w:tc>
          <w:tcPr>
            <w:tcW w:w="1420" w:type="dxa"/>
            <w:vMerge w:val="continue"/>
            <w:vAlign w:val="center"/>
          </w:tcPr>
          <w:p>
            <w:pPr>
              <w:rPr>
                <w:rFonts w:hint="default" w:ascii="Times New Roman" w:hAnsi="Times New Roman" w:eastAsia="宋体" w:cs="Times New Roman"/>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5" w:type="dxa"/>
            <w:vMerge w:val="continue"/>
            <w:vAlign w:val="center"/>
          </w:tcPr>
          <w:p>
            <w:pPr>
              <w:rPr>
                <w:rFonts w:hint="default" w:ascii="Times New Roman" w:hAnsi="Times New Roman" w:eastAsia="宋体" w:cs="Times New Roman"/>
                <w:bCs/>
                <w:color w:val="auto"/>
                <w:sz w:val="21"/>
                <w:szCs w:val="21"/>
                <w:highlight w:val="none"/>
              </w:rPr>
            </w:pPr>
          </w:p>
        </w:tc>
        <w:tc>
          <w:tcPr>
            <w:tcW w:w="1418" w:type="dxa"/>
            <w:vMerge w:val="continue"/>
            <w:vAlign w:val="center"/>
          </w:tcPr>
          <w:p>
            <w:pPr>
              <w:rPr>
                <w:rFonts w:hint="default" w:ascii="Times New Roman" w:hAnsi="Times New Roman" w:eastAsia="宋体" w:cs="Times New Roman"/>
                <w:bCs/>
                <w:color w:val="auto"/>
                <w:sz w:val="21"/>
                <w:szCs w:val="21"/>
                <w:highlight w:val="none"/>
              </w:rPr>
            </w:pPr>
          </w:p>
        </w:tc>
        <w:tc>
          <w:tcPr>
            <w:tcW w:w="850" w:type="dxa"/>
            <w:vMerge w:val="continue"/>
            <w:vAlign w:val="center"/>
          </w:tcPr>
          <w:p>
            <w:pPr>
              <w:rPr>
                <w:rFonts w:hint="default" w:ascii="Times New Roman" w:hAnsi="Times New Roman" w:eastAsia="宋体" w:cs="Times New Roman"/>
                <w:bCs/>
                <w:color w:val="auto"/>
                <w:sz w:val="21"/>
                <w:szCs w:val="21"/>
                <w:highlight w:val="none"/>
              </w:rPr>
            </w:pPr>
          </w:p>
        </w:tc>
        <w:tc>
          <w:tcPr>
            <w:tcW w:w="993" w:type="dxa"/>
            <w:vMerge w:val="continue"/>
            <w:vAlign w:val="center"/>
          </w:tcPr>
          <w:p>
            <w:pPr>
              <w:rPr>
                <w:rFonts w:hint="default" w:ascii="Times New Roman" w:hAnsi="Times New Roman" w:eastAsia="宋体" w:cs="Times New Roman"/>
                <w:bCs/>
                <w:color w:val="auto"/>
                <w:sz w:val="21"/>
                <w:szCs w:val="21"/>
                <w:highlight w:val="none"/>
              </w:rPr>
            </w:pPr>
          </w:p>
        </w:tc>
        <w:tc>
          <w:tcPr>
            <w:tcW w:w="992" w:type="dxa"/>
            <w:vMerge w:val="continue"/>
            <w:vAlign w:val="center"/>
          </w:tcPr>
          <w:p>
            <w:pPr>
              <w:rPr>
                <w:rFonts w:hint="default" w:ascii="Times New Roman" w:hAnsi="Times New Roman" w:eastAsia="宋体" w:cs="Times New Roman"/>
                <w:bCs/>
                <w:color w:val="auto"/>
                <w:sz w:val="21"/>
                <w:szCs w:val="21"/>
                <w:highlight w:val="none"/>
              </w:rPr>
            </w:pPr>
          </w:p>
        </w:tc>
        <w:tc>
          <w:tcPr>
            <w:tcW w:w="2786" w:type="dxa"/>
            <w:vMerge w:val="continue"/>
            <w:vAlign w:val="center"/>
          </w:tcPr>
          <w:p>
            <w:pPr>
              <w:rPr>
                <w:rFonts w:hint="default" w:ascii="Times New Roman" w:hAnsi="Times New Roman" w:eastAsia="宋体" w:cs="Times New Roman"/>
                <w:bCs/>
                <w:color w:val="auto"/>
                <w:sz w:val="21"/>
                <w:szCs w:val="21"/>
                <w:highlight w:val="none"/>
              </w:rPr>
            </w:pPr>
          </w:p>
        </w:tc>
        <w:tc>
          <w:tcPr>
            <w:tcW w:w="1420" w:type="dxa"/>
            <w:vMerge w:val="continue"/>
            <w:vAlign w:val="center"/>
          </w:tcPr>
          <w:p>
            <w:pPr>
              <w:rPr>
                <w:rFonts w:hint="default" w:ascii="Times New Roman" w:hAnsi="Times New Roman" w:eastAsia="宋体" w:cs="Times New Roman"/>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w:t>
            </w:r>
            <w:r>
              <w:rPr>
                <w:rFonts w:hint="default" w:ascii="Times New Roman" w:hAnsi="Times New Roman" w:eastAsia="宋体" w:cs="Times New Roman"/>
                <w:bCs/>
                <w:color w:val="auto"/>
                <w:sz w:val="21"/>
                <w:szCs w:val="21"/>
                <w:highlight w:val="none"/>
                <w:lang w:eastAsia="zh-CN"/>
              </w:rPr>
              <w:t>综合</w:t>
            </w:r>
            <w:r>
              <w:rPr>
                <w:rFonts w:hint="default" w:ascii="Times New Roman" w:hAnsi="Times New Roman" w:eastAsia="宋体" w:cs="Times New Roman"/>
                <w:bCs/>
                <w:color w:val="auto"/>
                <w:sz w:val="21"/>
                <w:szCs w:val="21"/>
                <w:highlight w:val="none"/>
              </w:rPr>
              <w:t>楼</w:t>
            </w: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住院楼5F（含电梯厅）（含妇产科门诊）</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24小时</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住院楼6F（含电梯厅）</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住院楼7F（含电梯厅）</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住院楼8F（含电梯厅）</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住院楼9F（含电梯厅）</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住院楼10F（含电梯厅）</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住院楼11F（含电梯厅）</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住院楼12F（含电梯厅）</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住院楼13F（含电梯厅）</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住院楼14F（含电梯厅）</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住院楼15F（含电梯厅）</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住院楼16F（含电梯厅）</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住院楼17F护理员</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24小时</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协助驻守科室工作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二级岗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住院楼17F（含电梯厅）</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住院楼18F（含电梯厅）</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病房内清洁以及卫生间清洁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ICU病区（护理员）</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24小时</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协助驻守科室工作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二级岗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ICU病区</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静脉配置中心</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住院楼3F手术室</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住院楼3F手术室</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夜班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住院楼3F手术室</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Style w:val="495"/>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门诊药房</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病区药房</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西药库</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Merge w:val="restart"/>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供应室</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786" w:type="dxa"/>
            <w:vMerge w:val="restart"/>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vMerge w:val="restart"/>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Merge w:val="continue"/>
            <w:vAlign w:val="center"/>
          </w:tcPr>
          <w:p>
            <w:pPr>
              <w:rPr>
                <w:rFonts w:hint="default" w:ascii="Times New Roman" w:hAnsi="Times New Roman" w:eastAsia="宋体" w:cs="Times New Roman"/>
                <w:bCs/>
                <w:color w:val="auto"/>
                <w:sz w:val="21"/>
                <w:szCs w:val="21"/>
                <w:highlight w:val="none"/>
              </w:rPr>
            </w:pP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Merge w:val="continue"/>
            <w:vAlign w:val="center"/>
          </w:tcPr>
          <w:p>
            <w:pPr>
              <w:jc w:val="center"/>
              <w:rPr>
                <w:rFonts w:hint="default" w:ascii="Times New Roman" w:hAnsi="Times New Roman" w:eastAsia="宋体" w:cs="Times New Roman"/>
                <w:bCs/>
                <w:color w:val="auto"/>
                <w:sz w:val="21"/>
                <w:szCs w:val="21"/>
                <w:highlight w:val="none"/>
              </w:rPr>
            </w:pPr>
          </w:p>
        </w:tc>
        <w:tc>
          <w:tcPr>
            <w:tcW w:w="1420" w:type="dxa"/>
            <w:vMerge w:val="continue"/>
            <w:noWrap/>
            <w:vAlign w:val="center"/>
          </w:tcPr>
          <w:p>
            <w:pPr>
              <w:jc w:val="center"/>
              <w:rPr>
                <w:rFonts w:hint="default" w:ascii="Times New Roman" w:hAnsi="Times New Roman" w:eastAsia="宋体" w:cs="Times New Roman"/>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住院1F</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住院-2F-4F公共区域、公共卫生间</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住院楼楼梯</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门诊楼</w:t>
            </w: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血透室</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门诊1F（诊室+公区）</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门诊2F（诊室+公区）</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门诊3F（诊室+公区）</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门诊4F（诊室+公区）</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门诊5F（诊室+公区）</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放射科</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急诊楼</w:t>
            </w: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急诊护理员</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24小时</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协助驻守科室工作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二级岗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急诊科</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夜班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急诊科</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发热门诊</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24小时</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一级岗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 xml:space="preserve">肠道门诊 </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24小时</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7（5月-10月）</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急诊2F（儿科病房）</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急诊2F诊室+公区</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5号楼、7号楼、之江租用临工部办公室维修间</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急诊3F（肝科病区+隔离病房）</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一级岗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急诊4F（消化内科病区）</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急诊5F</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5F（口腔科）</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急诊6F</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急诊6F（内镜中心）</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急诊7F</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门诊2F检验科</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急诊3F检验/1F检验科</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急诊7F检验科</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其他</w:t>
            </w: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中药房</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中药库</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高压氧</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区域内清洁以及卫生间清洁协助科室驻守工作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东部软件园、建科院办公区</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公共区域以及卫生间清洁工作（含会务）</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之江办公区、会议室</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公共区域以及卫生间清洁工作（含会务）</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中央运送</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24</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人员转运、标本、药物、仪器等运送工作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中央运送</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夜班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人员转运、标本、药物、仪器等运送工作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中心调度</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786" w:type="dxa"/>
            <w:vAlign w:val="center"/>
          </w:tcPr>
          <w:p>
            <w:pPr>
              <w:rPr>
                <w:rFonts w:hint="default" w:ascii="Times New Roman" w:hAnsi="Times New Roman" w:eastAsia="宋体" w:cs="Times New Roman"/>
                <w:bCs/>
                <w:color w:val="auto"/>
                <w:sz w:val="21"/>
                <w:szCs w:val="21"/>
                <w:highlight w:val="none"/>
              </w:rPr>
            </w:pP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血站取急血</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24小时</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血液中心取血</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0.5</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上午</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w:t>
            </w:r>
          </w:p>
        </w:tc>
        <w:tc>
          <w:tcPr>
            <w:tcW w:w="2786" w:type="dxa"/>
            <w:vAlign w:val="center"/>
          </w:tcPr>
          <w:p>
            <w:pPr>
              <w:jc w:val="center"/>
              <w:rPr>
                <w:rFonts w:hint="default" w:ascii="Times New Roman" w:hAnsi="Times New Roman" w:eastAsia="宋体" w:cs="Times New Roman"/>
                <w:bCs/>
                <w:color w:val="auto"/>
                <w:sz w:val="21"/>
                <w:szCs w:val="21"/>
                <w:highlight w:val="none"/>
              </w:rPr>
            </w:pP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机动人员</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Merge w:val="restart"/>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电梯员</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w:t>
            </w:r>
          </w:p>
        </w:tc>
        <w:tc>
          <w:tcPr>
            <w:tcW w:w="2786" w:type="dxa"/>
            <w:vMerge w:val="restart"/>
            <w:vAlign w:val="center"/>
          </w:tcPr>
          <w:p>
            <w:pPr>
              <w:jc w:val="center"/>
              <w:rPr>
                <w:rFonts w:hint="default" w:ascii="Times New Roman" w:hAnsi="Times New Roman" w:eastAsia="宋体" w:cs="Times New Roman"/>
                <w:bCs/>
                <w:color w:val="auto"/>
                <w:sz w:val="21"/>
                <w:szCs w:val="21"/>
                <w:highlight w:val="none"/>
              </w:rPr>
            </w:pPr>
          </w:p>
        </w:tc>
        <w:tc>
          <w:tcPr>
            <w:tcW w:w="1420" w:type="dxa"/>
            <w:vMerge w:val="restart"/>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Merge w:val="continue"/>
            <w:vAlign w:val="center"/>
          </w:tcPr>
          <w:p>
            <w:pPr>
              <w:rPr>
                <w:rFonts w:hint="default" w:ascii="Times New Roman" w:hAnsi="Times New Roman" w:eastAsia="宋体" w:cs="Times New Roman"/>
                <w:bCs/>
                <w:color w:val="auto"/>
                <w:sz w:val="21"/>
                <w:szCs w:val="21"/>
                <w:highlight w:val="none"/>
              </w:rPr>
            </w:pP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Merge w:val="continue"/>
            <w:vAlign w:val="center"/>
          </w:tcPr>
          <w:p>
            <w:pPr>
              <w:jc w:val="center"/>
              <w:rPr>
                <w:rFonts w:hint="default" w:ascii="Times New Roman" w:hAnsi="Times New Roman" w:eastAsia="宋体" w:cs="Times New Roman"/>
                <w:bCs/>
                <w:color w:val="auto"/>
                <w:sz w:val="21"/>
                <w:szCs w:val="21"/>
                <w:highlight w:val="none"/>
              </w:rPr>
            </w:pPr>
          </w:p>
        </w:tc>
        <w:tc>
          <w:tcPr>
            <w:tcW w:w="1420" w:type="dxa"/>
            <w:vMerge w:val="continue"/>
            <w:noWrap/>
            <w:vAlign w:val="center"/>
          </w:tcPr>
          <w:p>
            <w:pPr>
              <w:jc w:val="center"/>
              <w:rPr>
                <w:rFonts w:hint="default" w:ascii="Times New Roman" w:hAnsi="Times New Roman" w:eastAsia="宋体" w:cs="Times New Roman"/>
                <w:bCs/>
                <w:color w:val="auto"/>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120担架工</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993"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24小时</w:t>
            </w:r>
          </w:p>
        </w:tc>
        <w:tc>
          <w:tcPr>
            <w:tcW w:w="992"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二级岗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核酸采样点（驻点人员）</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区域内清洁协助科室驻守工作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外围、地下空间</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区域内清洁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生活垃圾+特殊垃圾（输液瓶袋）</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根据实际工作排班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生活垃圾、特殊垃圾分类、收取、登记工作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医疗垃圾</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根据实际工作排班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医疗垃圾收取交接登记工作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一级岗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保洁工具收送</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织物轮转</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夜间保洁</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夜班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电梯巡视保洁</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根据实际工作排班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专项保洁</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根据实际工作排班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786" w:type="dxa"/>
            <w:vAlign w:val="center"/>
          </w:tcPr>
          <w:p>
            <w:pPr>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专项工作安排，仓库管理，工时统计。各项专项清洗工作，包括卫生间专项清洁、洗地、打蜡、不锈钢保养、玻璃清洗、假山景观清洗、公共区域除尘及清蛛网、高空清洁等专项工作。19楼活动室及保洁工作，临时性及其他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急诊1-2F厕所、住院1F厕所、门诊5F厕所</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门诊1-4F厕所</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卫生间清洁</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花工</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室外绿植养护</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三级岗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管理部</w:t>
            </w: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项目负责人</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管理工作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管理岗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noWrap/>
            <w:vAlign w:val="center"/>
          </w:tcPr>
          <w:p>
            <w:pPr>
              <w:jc w:val="center"/>
              <w:rPr>
                <w:rFonts w:hint="default" w:ascii="Times New Roman" w:hAnsi="Times New Roman" w:eastAsia="宋体" w:cs="Times New Roman"/>
                <w:bCs/>
                <w:color w:val="auto"/>
                <w:sz w:val="21"/>
                <w:szCs w:val="21"/>
                <w:highlight w:val="none"/>
              </w:rPr>
            </w:pPr>
          </w:p>
        </w:tc>
        <w:tc>
          <w:tcPr>
            <w:tcW w:w="1418" w:type="dxa"/>
            <w:vAlign w:val="center"/>
          </w:tcPr>
          <w:p>
            <w:pP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保洁</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运送主管</w:t>
            </w:r>
          </w:p>
        </w:tc>
        <w:tc>
          <w:tcPr>
            <w:tcW w:w="85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w:t>
            </w:r>
          </w:p>
        </w:tc>
        <w:tc>
          <w:tcPr>
            <w:tcW w:w="993"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白班、夜班</w:t>
            </w:r>
          </w:p>
        </w:tc>
        <w:tc>
          <w:tcPr>
            <w:tcW w:w="992"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tc>
        <w:tc>
          <w:tcPr>
            <w:tcW w:w="2786" w:type="dxa"/>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管理工作</w:t>
            </w:r>
          </w:p>
        </w:tc>
        <w:tc>
          <w:tcPr>
            <w:tcW w:w="1420" w:type="dxa"/>
            <w:noWrap/>
            <w:vAlign w:val="center"/>
          </w:tcPr>
          <w:p>
            <w:pPr>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管理岗</w:t>
            </w:r>
          </w:p>
        </w:tc>
      </w:tr>
      <w:bookmarkEnd w:id="8"/>
    </w:tbl>
    <w:p>
      <w:pPr>
        <w:spacing w:line="360" w:lineRule="auto"/>
        <w:ind w:firstLine="413" w:firstLineChars="196"/>
        <w:rPr>
          <w:rFonts w:hint="default" w:ascii="Times New Roman" w:hAnsi="Times New Roman" w:eastAsia="宋体" w:cs="Times New Roman"/>
          <w:b/>
          <w:color w:val="auto"/>
          <w:sz w:val="21"/>
          <w:szCs w:val="21"/>
          <w:highlight w:val="none"/>
        </w:rPr>
      </w:pPr>
    </w:p>
    <w:p>
      <w:pPr>
        <w:spacing w:line="360" w:lineRule="auto"/>
        <w:ind w:firstLine="413" w:firstLineChars="196"/>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（二）设备运维服务</w:t>
      </w:r>
    </w:p>
    <w:p>
      <w:pPr>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结合医院后勤运维总体情况和招标人提供的岗位数量，具体服务人数与岗位配比情况要求各投标人实地勘测了解，并结合企业的管理水平和服务人员的能力在投标文件中作出具体响应。</w:t>
      </w:r>
    </w:p>
    <w:p>
      <w:pPr>
        <w:spacing w:line="360" w:lineRule="auto"/>
        <w:ind w:firstLine="420" w:firstLineChars="20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1、岗位配置需求</w:t>
      </w:r>
    </w:p>
    <w:tbl>
      <w:tblPr>
        <w:tblStyle w:val="80"/>
        <w:tblW w:w="911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8"/>
        <w:gridCol w:w="34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3" w:type="dxa"/>
            <w:noWrap/>
            <w:vAlign w:val="center"/>
          </w:tcPr>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sz w:val="21"/>
                <w:szCs w:val="21"/>
                <w:highlight w:val="none"/>
              </w:rPr>
              <w:t>岗位类别</w:t>
            </w:r>
          </w:p>
        </w:tc>
        <w:tc>
          <w:tcPr>
            <w:tcW w:w="1418" w:type="dxa"/>
            <w:noWrap/>
            <w:vAlign w:val="center"/>
          </w:tcPr>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sz w:val="21"/>
                <w:szCs w:val="21"/>
                <w:highlight w:val="none"/>
              </w:rPr>
              <w:t>岗位数（个）</w:t>
            </w:r>
          </w:p>
        </w:tc>
        <w:tc>
          <w:tcPr>
            <w:tcW w:w="3443" w:type="dxa"/>
            <w:noWrap/>
            <w:vAlign w:val="center"/>
          </w:tcPr>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每周工作时长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3" w:type="dxa"/>
            <w:noWrap/>
            <w:vAlign w:val="center"/>
          </w:tcPr>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sz w:val="21"/>
                <w:szCs w:val="21"/>
                <w:highlight w:val="none"/>
              </w:rPr>
              <w:t>管理岗</w:t>
            </w:r>
          </w:p>
        </w:tc>
        <w:tc>
          <w:tcPr>
            <w:tcW w:w="1418" w:type="dxa"/>
            <w:noWrap/>
            <w:vAlign w:val="center"/>
          </w:tcPr>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sz w:val="21"/>
                <w:szCs w:val="21"/>
                <w:highlight w:val="none"/>
              </w:rPr>
              <w:t>1</w:t>
            </w:r>
          </w:p>
        </w:tc>
        <w:tc>
          <w:tcPr>
            <w:tcW w:w="3443" w:type="dxa"/>
            <w:noWrap/>
            <w:vAlign w:val="center"/>
          </w:tcPr>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白天8小时，每周6天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3" w:type="dxa"/>
            <w:noWrap/>
            <w:vAlign w:val="center"/>
          </w:tcPr>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sz w:val="21"/>
                <w:szCs w:val="21"/>
                <w:highlight w:val="none"/>
              </w:rPr>
              <w:t>高配</w:t>
            </w:r>
          </w:p>
        </w:tc>
        <w:tc>
          <w:tcPr>
            <w:tcW w:w="1418" w:type="dxa"/>
            <w:noWrap/>
            <w:vAlign w:val="center"/>
          </w:tcPr>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sz w:val="21"/>
                <w:szCs w:val="21"/>
                <w:highlight w:val="none"/>
              </w:rPr>
              <w:t>7</w:t>
            </w:r>
          </w:p>
        </w:tc>
        <w:tc>
          <w:tcPr>
            <w:tcW w:w="3443" w:type="dxa"/>
            <w:noWrap/>
            <w:vAlign w:val="center"/>
          </w:tcPr>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12小时，5天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4253" w:type="dxa"/>
            <w:noWrap/>
            <w:vAlign w:val="center"/>
          </w:tcPr>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sz w:val="21"/>
                <w:szCs w:val="21"/>
                <w:highlight w:val="none"/>
              </w:rPr>
              <w:t>氧站值守</w:t>
            </w:r>
          </w:p>
        </w:tc>
        <w:tc>
          <w:tcPr>
            <w:tcW w:w="1418" w:type="dxa"/>
            <w:noWrap/>
            <w:vAlign w:val="center"/>
          </w:tcPr>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sz w:val="21"/>
                <w:szCs w:val="21"/>
                <w:highlight w:val="none"/>
              </w:rPr>
              <w:t>3</w:t>
            </w:r>
          </w:p>
        </w:tc>
        <w:tc>
          <w:tcPr>
            <w:tcW w:w="3443" w:type="dxa"/>
            <w:noWrap/>
            <w:vAlign w:val="center"/>
          </w:tcPr>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24小时，每周7天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3" w:type="dxa"/>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综合维修</w:t>
            </w:r>
          </w:p>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sz w:val="21"/>
                <w:szCs w:val="21"/>
                <w:highlight w:val="none"/>
              </w:rPr>
              <w:t>（水电、机修、木工、话务、泥工油漆）</w:t>
            </w:r>
          </w:p>
        </w:tc>
        <w:tc>
          <w:tcPr>
            <w:tcW w:w="1418" w:type="dxa"/>
            <w:noWrap/>
            <w:vAlign w:val="center"/>
          </w:tcPr>
          <w:p>
            <w:pPr>
              <w:widowControl/>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sz w:val="21"/>
                <w:szCs w:val="21"/>
                <w:highlight w:val="none"/>
              </w:rPr>
              <w:t>6</w:t>
            </w:r>
          </w:p>
        </w:tc>
        <w:tc>
          <w:tcPr>
            <w:tcW w:w="3443" w:type="dxa"/>
            <w:noWrap/>
            <w:vAlign w:val="center"/>
          </w:tcPr>
          <w:p>
            <w:pPr>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8小时，每周7天，有夜间值班（前夜</w:t>
            </w:r>
            <w:r>
              <w:rPr>
                <w:rFonts w:hint="default" w:ascii="Times New Roman" w:hAnsi="Times New Roman" w:eastAsia="宋体" w:cs="Times New Roman"/>
                <w:bCs/>
                <w:color w:val="auto"/>
                <w:kern w:val="0"/>
                <w:sz w:val="21"/>
                <w:szCs w:val="21"/>
                <w:highlight w:val="none"/>
                <w:lang w:eastAsia="zh-CN"/>
              </w:rPr>
              <w:t>、</w:t>
            </w:r>
            <w:r>
              <w:rPr>
                <w:rFonts w:hint="default" w:ascii="Times New Roman" w:hAnsi="Times New Roman" w:eastAsia="宋体" w:cs="Times New Roman"/>
                <w:bCs/>
                <w:color w:val="auto"/>
                <w:kern w:val="0"/>
                <w:sz w:val="21"/>
                <w:szCs w:val="21"/>
                <w:highlight w:val="none"/>
              </w:rPr>
              <w:t>后夜每日2班）</w:t>
            </w:r>
          </w:p>
        </w:tc>
      </w:tr>
    </w:tbl>
    <w:p>
      <w:pPr>
        <w:spacing w:line="360" w:lineRule="auto"/>
        <w:ind w:firstLine="420" w:firstLineChars="200"/>
        <w:rPr>
          <w:rFonts w:hint="default" w:ascii="Times New Roman" w:hAnsi="Times New Roman" w:eastAsia="宋体" w:cs="Times New Roman"/>
          <w:color w:val="auto"/>
          <w:sz w:val="21"/>
          <w:szCs w:val="21"/>
          <w:highlight w:val="none"/>
        </w:rPr>
      </w:pP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2、后勤设备运维及综合维修服务范围</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（1）洗脸、洗衣盆（池）、马桶、淋浴房的水龙头等卫生洁具的维修，所有上下水设施维修维护。实际工作中若有工作范围未明确之事宜，可由双方协商解决。</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（2）三角阀、软管、水暖设备热水器、饮水器及小家电等设施的简单维修。</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电路：漏电、电路短路、电线老化、更换漏电保护开关和继电器，跳闸维修，插座维修，照明器材更换，电话通信基本线缆敷设等各类故障维修维保。实际工作中若有工作范围未明确之事宜，可由招标人主管协调解决。</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医院内既有及新增非医疗设施、设备的日常运转、养护、维修和管理，包含但不限于：给排水设备设施、管网、用水终端等的运行、维护、维修；变配电系统、照明系统等的运行、维护、维修；阴沟暗渠的疏通；话务服务、防洪排涝等。</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所有蒸汽管道维修；食堂设备机修（灶具类除外）；桌椅类机修；除医用推车以外的手推车维修；院内其他机修等维修工作（不含医疗设备的运行维护、维修）。实际工作中若有工作范围未明确之事宜，可由招标人主管协调解决。</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（6）家具修理、门窗修理、包括但不限于玻璃门窗和医院防火门维护（不含闭门器、门禁系统）、吊顶维护、宣传橱窗维护、各类锁具更换等木工维修工作。</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（7）小范围的不成项的泥工修补及顶地面油漆粉刷工作。实际工作中若有工作范围未明确之事宜，可由招标人主管协调解决。</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投标人需提供配电间值班人员至少7人，与招标人高配间员工共同排班，严格落实24小时双人双岗，持电工高配证上岗，对医院高低压配电设施进行经常性检查，做好巡检及设备设施监测，并认真记录、交接、汇报。</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（9）投标人需提供氧站值班人员至少3人，与招标人的氧站员工共同排班，24小时值守，持特种设备作业人员证（R1）上岗，对供氧设备进行定期巡查，及时处理并解决存在的问题与隐患，并做好记录与汇报。</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（10）有计划地安排院内电气安全、强电井的巡检工作，发现问题及时上报。</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（11）合同期内,要求白天派驻综合维修类维修人员</w:t>
      </w:r>
      <w:r>
        <w:rPr>
          <w:rFonts w:hint="default" w:ascii="Times New Roman" w:hAnsi="Times New Roman" w:eastAsia="宋体" w:cs="Times New Roman"/>
          <w:color w:val="auto"/>
          <w:sz w:val="21"/>
          <w:szCs w:val="21"/>
          <w:highlight w:val="none"/>
          <w:lang w:eastAsia="zh-CN"/>
        </w:rPr>
        <w:t>至少</w:t>
      </w:r>
      <w:r>
        <w:rPr>
          <w:rFonts w:hint="default" w:ascii="Times New Roman" w:hAnsi="Times New Roman" w:eastAsia="宋体" w:cs="Times New Roman"/>
          <w:color w:val="auto"/>
          <w:sz w:val="21"/>
          <w:szCs w:val="21"/>
          <w:highlight w:val="none"/>
        </w:rPr>
        <w:t>5人（包括专业主管一名），持证上岗；晚上派驻至少两名水电专业维修人员，持证上岗，对设备进行巡查，遇到紧急情况，无条件派驻多名工作人员前来维修维保。配电间、氧站和净化驻点人员按上述要求（第8、9、10条）配驻。所有驻点人员需有当地社保缴纳证明和意外伤害保险。</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综合维修服务人员除木工和泥瓦工以外，都必须具有电工上岗证，其中机修工作从事人员须有电焊工操作证，且所有人员工作年限在3年及以上。配电间、氧站和净化驻点人员所需专业上岗证书按上述第（8）、（9）、（10）条要求配备。</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3、服务要求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全天候为招标人提供水、电、木工、机修维修服务并根据招标人要求开展维修工作，在投标人接到招标人各部门的维修通知后立即安排人员维修，如更换疏通等普通的维修任务应即时完成，须上下水移位的工作需在24小时内完成。电类维修任务当天完成，涉及电安装任务根据招标人要求完成。</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（2）如有特殊情况无法按时完成应及时通知院方。</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（3）工作时服务人员应穿着印有本公司LOGO的统一的工作服、戴工作牌。</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（4）要求投标人提出后勤运维一站式服务方案，并提供服务所需的信息系统使用的建设方案以及实施方案。</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4、对投标人拟派设备运维服务人员的基本要求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（1）人员要求：拟派本项目</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rPr>
        <w:t>所有服务人员须相对固定，由各投标人仔细了解并现场察看医院的具体情况后，在投标文件中做出详细的岗位人员安排计划表，中标后不得自行更换。</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（2）服务人员需统一着装上岗，并佩戴胸牌（胸牌样式需根据医院要求统一制作）。</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（3）服务人员具有与承担的服务工作相符的文化程度或工作能力，身体健康，提供体检证明或健康证。</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（4）服务人员100%经过岗前培训合格才上岗，且有岗前培训记录。</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（5）设备运维类服务人员年龄要求：男性，年龄不超过55周岁。</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（6）设备运维类服务人员素质要求：初中及以上学历，遵纪守法，敬业爱岗，身体健康，无传染病，无不良行为记录，知晓本岗位的基本操作规范。</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设备运维类项目负责人要求：负责中标后工程服务项目的具体组织实施，承担与本项目有关的全部管理责任，年龄50周岁及以下，大专及以上学历，电气及相关专业工程师，类似项目工作经验≥5年，类似项目管理经验≥3年；</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（8）主管以上管理人员具有中专</w:t>
      </w:r>
      <w:r>
        <w:rPr>
          <w:rFonts w:hint="default" w:ascii="Times New Roman" w:hAnsi="Times New Roman" w:eastAsia="宋体" w:cs="Times New Roman"/>
          <w:color w:val="auto"/>
          <w:sz w:val="21"/>
          <w:szCs w:val="21"/>
          <w:highlight w:val="none"/>
          <w:lang w:eastAsia="zh-CN"/>
        </w:rPr>
        <w:t>及</w:t>
      </w:r>
      <w:r>
        <w:rPr>
          <w:rFonts w:hint="default" w:ascii="Times New Roman" w:hAnsi="Times New Roman" w:eastAsia="宋体" w:cs="Times New Roman"/>
          <w:color w:val="auto"/>
          <w:sz w:val="21"/>
          <w:szCs w:val="21"/>
          <w:highlight w:val="none"/>
        </w:rPr>
        <w:t>以上学历，从事行业经验≥3年，管理经验≥2年。</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（9）以上主要管理人员在项目实施过程中不得随意更换，确需更换的，必须以书面形式向招标人申请，项目负责人、主管</w:t>
      </w:r>
      <w:r>
        <w:rPr>
          <w:rFonts w:hint="default" w:ascii="Times New Roman" w:hAnsi="Times New Roman" w:eastAsia="宋体" w:cs="Times New Roman"/>
          <w:color w:val="auto"/>
          <w:sz w:val="21"/>
          <w:szCs w:val="21"/>
          <w:highlight w:val="none"/>
          <w:lang w:eastAsia="zh-CN"/>
        </w:rPr>
        <w:t>拟更换的，</w:t>
      </w:r>
      <w:r>
        <w:rPr>
          <w:rFonts w:hint="default" w:ascii="Times New Roman" w:hAnsi="Times New Roman" w:eastAsia="宋体" w:cs="Times New Roman"/>
          <w:color w:val="auto"/>
          <w:sz w:val="21"/>
          <w:szCs w:val="21"/>
          <w:highlight w:val="none"/>
        </w:rPr>
        <w:t>需提前一个月告知招标人并得到同意后才能更换，更换的人员应符合同等资质要求。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（10）投标时应明确以上各岗位同</w:t>
      </w:r>
      <w:r>
        <w:rPr>
          <w:rFonts w:hint="default" w:ascii="Times New Roman" w:hAnsi="Times New Roman" w:eastAsia="宋体" w:cs="Times New Roman"/>
          <w:color w:val="auto"/>
          <w:sz w:val="21"/>
          <w:szCs w:val="21"/>
          <w:highlight w:val="none"/>
          <w:lang w:eastAsia="zh-CN"/>
        </w:rPr>
        <w:t>级</w:t>
      </w:r>
      <w:r>
        <w:rPr>
          <w:rFonts w:hint="default" w:ascii="Times New Roman" w:hAnsi="Times New Roman" w:eastAsia="宋体" w:cs="Times New Roman"/>
          <w:color w:val="auto"/>
          <w:sz w:val="21"/>
          <w:szCs w:val="21"/>
          <w:highlight w:val="none"/>
        </w:rPr>
        <w:t>人员的岗位职责。服务人员岗位设置情况应根据招标人要求随时进行调整。</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（11）工作岗位人数不足时，按相应岗位成本扣除服务费，缺岗时间超过15天</w:t>
      </w:r>
      <w:r>
        <w:rPr>
          <w:rFonts w:hint="default" w:ascii="Times New Roman" w:hAnsi="Times New Roman" w:eastAsia="宋体" w:cs="Times New Roman"/>
          <w:color w:val="auto"/>
          <w:sz w:val="21"/>
          <w:szCs w:val="21"/>
          <w:highlight w:val="none"/>
          <w:lang w:eastAsia="zh-CN"/>
        </w:rPr>
        <w:t>则</w:t>
      </w:r>
      <w:r>
        <w:rPr>
          <w:rFonts w:hint="default" w:ascii="Times New Roman" w:hAnsi="Times New Roman" w:eastAsia="宋体" w:cs="Times New Roman"/>
          <w:color w:val="auto"/>
          <w:sz w:val="21"/>
          <w:szCs w:val="21"/>
          <w:highlight w:val="none"/>
        </w:rPr>
        <w:t>双倍扣除服务费（具体扣罚方法参照医院物业考核方案执行）。</w:t>
      </w:r>
    </w:p>
    <w:p>
      <w:pPr>
        <w:spacing w:line="360" w:lineRule="auto"/>
        <w:ind w:firstLine="420" w:firstLineChars="200"/>
        <w:rPr>
          <w:rFonts w:hint="default" w:ascii="Times New Roman" w:hAnsi="Times New Roman" w:eastAsia="宋体" w:cs="Times New Roman"/>
          <w:color w:val="auto"/>
          <w:sz w:val="21"/>
          <w:szCs w:val="21"/>
          <w:highlight w:val="none"/>
        </w:rPr>
      </w:pPr>
    </w:p>
    <w:p>
      <w:pPr>
        <w:spacing w:line="360" w:lineRule="auto"/>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（三）、应急服务需求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应制定针对招标人的应急服务方案，包括特殊天气的处置应对，突发公共事件或群体性事件的处置应对，大型活动、检查的保障，其他各类应急情况等，投标人应根据医院实际需要配备充足的应急人员，且在规定的时间内到岗。单项应急服务在48小时以内完成的，以及大型活动、检查的临时性抽调外案保障人员在10人以内时，投标人不得以任何理由向招标人索取额外服务费。</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2、因招标人工作需要</w:t>
      </w:r>
      <w:r>
        <w:rPr>
          <w:rFonts w:hint="default" w:ascii="Times New Roman" w:hAnsi="Times New Roman" w:eastAsia="宋体" w:cs="Times New Roman"/>
          <w:color w:val="auto"/>
          <w:sz w:val="21"/>
          <w:szCs w:val="21"/>
          <w:highlight w:val="none"/>
          <w:lang w:eastAsia="zh-CN"/>
        </w:rPr>
        <w:t>，使得</w:t>
      </w:r>
      <w:r>
        <w:rPr>
          <w:rFonts w:hint="default" w:ascii="Times New Roman" w:hAnsi="Times New Roman" w:eastAsia="宋体" w:cs="Times New Roman"/>
          <w:color w:val="auto"/>
          <w:sz w:val="21"/>
          <w:szCs w:val="21"/>
          <w:highlight w:val="none"/>
        </w:rPr>
        <w:t>部分工作岗位需要长期处于应急服务状态时，招标人将在应急服务终止后根据投标人服务品质情况</w:t>
      </w:r>
      <w:r>
        <w:rPr>
          <w:rFonts w:hint="default" w:ascii="Times New Roman" w:hAnsi="Times New Roman" w:eastAsia="宋体" w:cs="Times New Roman"/>
          <w:color w:val="auto"/>
          <w:sz w:val="21"/>
          <w:szCs w:val="21"/>
          <w:highlight w:val="none"/>
          <w:lang w:eastAsia="zh-CN"/>
        </w:rPr>
        <w:t>另行</w:t>
      </w:r>
      <w:r>
        <w:rPr>
          <w:rFonts w:hint="default" w:ascii="Times New Roman" w:hAnsi="Times New Roman" w:eastAsia="宋体" w:cs="Times New Roman"/>
          <w:color w:val="auto"/>
          <w:sz w:val="21"/>
          <w:szCs w:val="21"/>
          <w:highlight w:val="none"/>
        </w:rPr>
        <w:t>支付相应补贴，补助标准按浙江省最低小时工资标准计算，投标人须提供应急服务情况的相关证明材料。</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3、保洁运送服务夜间及节假日应常规安排1名管理人员值班，处理协调各类突发应急事件。夜间需配备1名具有电梯上岗证的工作人员以便应对临时性应急任务。</w:t>
      </w:r>
    </w:p>
    <w:p>
      <w:pPr>
        <w:spacing w:line="360" w:lineRule="auto"/>
        <w:ind w:firstLine="420" w:firstLineChars="200"/>
        <w:rPr>
          <w:rFonts w:hint="default" w:ascii="Times New Roman" w:hAnsi="Times New Roman" w:eastAsia="宋体" w:cs="Times New Roman"/>
          <w:color w:val="auto"/>
          <w:sz w:val="21"/>
          <w:szCs w:val="21"/>
          <w:highlight w:val="none"/>
        </w:rPr>
      </w:pPr>
    </w:p>
    <w:p>
      <w:pPr>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（四）其他要求</w:t>
      </w:r>
    </w:p>
    <w:p>
      <w:pPr>
        <w:numPr>
          <w:ilvl w:val="0"/>
          <w:numId w:val="6"/>
        </w:num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如在招标文件中对同一事项的要求有不同描述时，则以要求严格的、高标准的、有利于招标人的方式确定。</w:t>
      </w:r>
    </w:p>
    <w:p>
      <w:pPr>
        <w:pStyle w:val="3"/>
        <w:spacing w:before="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2、人员要求：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如果招标人基于适当的理由确认投标人的任何人员为招标人所不能接受，招标人可以书面形式要求撤换该人员。投标人必须无条件予以响应，且在投标人要求的时间内向提供其可接受的替换人员，更换的人员资历和经验不得低于原投标承诺的各项资质，经招标人认可后方可上岗。</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（2）中标人应保证在</w:t>
      </w:r>
      <w:r>
        <w:rPr>
          <w:rFonts w:hint="default" w:ascii="Times New Roman" w:hAnsi="Times New Roman" w:eastAsia="宋体" w:cs="Times New Roman"/>
          <w:color w:val="auto"/>
          <w:sz w:val="21"/>
          <w:szCs w:val="21"/>
          <w:highlight w:val="none"/>
          <w:lang w:eastAsia="zh-CN"/>
        </w:rPr>
        <w:t>服务</w:t>
      </w:r>
      <w:r>
        <w:rPr>
          <w:rFonts w:hint="default" w:ascii="Times New Roman" w:hAnsi="Times New Roman" w:eastAsia="宋体" w:cs="Times New Roman"/>
          <w:color w:val="auto"/>
          <w:sz w:val="21"/>
          <w:szCs w:val="21"/>
          <w:highlight w:val="none"/>
        </w:rPr>
        <w:t>期内其员工最低月工资不低于</w:t>
      </w:r>
      <w:r>
        <w:rPr>
          <w:rFonts w:hint="default" w:ascii="Times New Roman" w:hAnsi="Times New Roman" w:eastAsia="宋体" w:cs="Times New Roman"/>
          <w:bCs/>
          <w:color w:val="auto"/>
          <w:sz w:val="21"/>
          <w:szCs w:val="21"/>
          <w:highlight w:val="none"/>
        </w:rPr>
        <w:t>现行公布的</w:t>
      </w:r>
      <w:r>
        <w:rPr>
          <w:rFonts w:hint="default" w:ascii="Times New Roman" w:hAnsi="Times New Roman" w:eastAsia="宋体" w:cs="Times New Roman"/>
          <w:color w:val="auto"/>
          <w:sz w:val="21"/>
          <w:szCs w:val="21"/>
          <w:highlight w:val="none"/>
        </w:rPr>
        <w:t>杭州市最低工资标准，投标人也不得以优惠报价为理由降低人员的工资待遇。</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（3）拟派作业人员的各类工种，如果国家规定须持证上岗的，其作业人员必须有相应的上岗证且证书在有效期内。</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（4）服务期内，中标人派遣的服务人员不符合招标文件要求或投标文件所承诺要求</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rPr>
        <w:t>，招标人三次书面告知中标人后</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仍不整改的，招标人有权另行安排服务人员，所涉及的费用均由中标人承担。</w:t>
      </w:r>
    </w:p>
    <w:p>
      <w:pPr>
        <w:pStyle w:val="3"/>
        <w:spacing w:before="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3、所使用的服务设备、耗材及服务配套内容，含在投标总价中</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（1）所使用的服务设备、工器具须先进、高效、适用。</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（2）提供使用的保洁、洗涤剂、地面保养产品，必须是通过国家相关部门审批并予以使用的优质环保产品，地面保养产品品牌为3M、庄臣或同档次及以上品牌。</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（3）中标人提供保洁用的清洁剂、洗涤剂、消毒剂和地面保护材料，并符合医院院感科的要求，并且要求提供优质的产品。</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（4）服务管理人员、服务人员统一配置工</w:t>
      </w:r>
      <w:r>
        <w:rPr>
          <w:rFonts w:hint="default" w:ascii="Times New Roman" w:hAnsi="Times New Roman" w:eastAsia="宋体" w:cs="Times New Roman"/>
          <w:color w:val="auto"/>
          <w:sz w:val="21"/>
          <w:szCs w:val="21"/>
          <w:highlight w:val="none"/>
          <w:lang w:eastAsia="zh-CN"/>
        </w:rPr>
        <w:t>作</w:t>
      </w:r>
      <w:r>
        <w:rPr>
          <w:rFonts w:hint="default" w:ascii="Times New Roman" w:hAnsi="Times New Roman" w:eastAsia="宋体" w:cs="Times New Roman"/>
          <w:color w:val="auto"/>
          <w:sz w:val="21"/>
          <w:szCs w:val="21"/>
          <w:highlight w:val="none"/>
        </w:rPr>
        <w:t>制服、并定期清洗、消毒，保持洁净。</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（5）自备办公电脑、考勤设备和打印机等办公设备、设施和耗材；自行负责桌椅等办公家私和员工更衣柜等；自备工作装备（包括对讲机以及对讲机公共频道占用费及维修费用等）。</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4、项目实施过程中的文档、材料。</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（1）要求投标人做到工作交接记录完整、可查，具有可追溯性，各种日报表、月或季报表随时可调用、年报表汇总情况分列内容齐全完整，并在服务期满时向招标人移交全部数据的电子文档和书面存档资料。</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（2）投标人每年应将服务人员档案及所有管理及培训资料交一份给招标人后勤管理部门，每月将人员的考勤考核等资料交一份给招标人后勤管理部门。</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（3）每月定期召开招标人、投标人双方的联席会议，投标人向招标人汇报每月工作总结、投诉处理等工作情况，及时联系沟通日常工作情况、研究协调有关问题、讨论和提出保洁运送工作的意见建议。</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（4）投标人有责任配合接受上级领导部门的监督、检查，提供必须的资料。每个月双方对服务的各项条款进行综合满意度的调查和现场督查。</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（5）合同履行完毕时，投标人应将包含保洁、运送服务、设备运维服务的全部资料移交给招标人。</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5、投标人所有员工入院服务时都必须体检，并且合格的才能上岗（费用由中标方负责）。</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6、培训教育费用，特殊岗位所需要的持证费用，均由中标人负责。</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7、招标人不为投标人的服务人员提供住宿，需要投标人自行解决员工住宿问题。严禁非值班人员在院内留宿。</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8、投标人必须提供本项目点的管理人员和员工（包括更换人员）的身份证复印件。</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9、投标人须每月向招标人提供员工的基本情况清单、员工辞职名单和员工社会保险缴纳情况清单。</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10、工作过程中因投标人责任所造成的经济损失由投标人按实际金额赔偿。</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投标人自行负责其员工的一切工资、福利；如发生工伤、疾病乃至死亡的一切责任及费用由投标人全部负责；投标人应严格遵守国家有关的法律、法规及行业标准。如因投标人原因造成第三方损失的，一切责任及费用由投标人全部负责。</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12、招标人不接受投标人任何因遗漏报价而发生的费用追加，因中标人违反《劳动法》等法律法规而造成院方的连带责任和损失全部由投标人承担。</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13、以下材料和设施由招标人统一提供和配置</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（1）招标人负责提供各类垃圾桶、医疗垃圾袋（黄色垃圾袋），负责生活垃圾、医疗垃圾的外运费和垃圾处理费用；</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（2）医护人员手消毒剂。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（3）超标排污费。</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i w:val="0"/>
          <w:color w:val="auto"/>
          <w:kern w:val="0"/>
          <w:sz w:val="21"/>
          <w:szCs w:val="21"/>
          <w:highlight w:val="none"/>
          <w:u w:val="none"/>
          <w:lang w:val="en-US" w:eastAsia="zh-CN" w:bidi="ar"/>
        </w:rPr>
        <w:t>在条件允许的情况下招标人提供适当的办公场地、现有摆放物料设备的场地。投标人进行管理服务所使用的办公室、更衣室、设备工具库房以及各种公用设施(包括上下水、电以及电话和网线)由招标人向投标人免费提供，目前有医院四号楼下裙房（原物业织物周转、物业洗衣机位置）、住院楼负二楼（保洁设备充电、储存间1间，物料仓库1间，更衣室1间）。</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bCs w:val="0"/>
          <w:color w:val="auto"/>
          <w:sz w:val="21"/>
          <w:szCs w:val="21"/>
          <w:highlight w:val="none"/>
        </w:rPr>
        <w:t>合同期内因招标人因工作发展需要，不设置洗衣房、烘干场地，地巾、拖片、毛巾等保洁工具外送洗涤服务费用包含在本项目投标报价中，招标人不另外承担该部分清洗费用。外送洗涤服务单位报招标人备案，并应符合院感洗涤及运送要求。</w:t>
      </w:r>
    </w:p>
    <w:tbl>
      <w:tblPr>
        <w:tblStyle w:val="80"/>
        <w:tblW w:w="971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Layout w:type="fixed"/>
        <w:tblCellMar>
          <w:top w:w="0" w:type="dxa"/>
          <w:left w:w="10" w:type="dxa"/>
          <w:bottom w:w="0" w:type="dxa"/>
          <w:right w:w="10" w:type="dxa"/>
        </w:tblCellMar>
      </w:tblPr>
      <w:tblGrid>
        <w:gridCol w:w="728"/>
        <w:gridCol w:w="1740"/>
        <w:gridCol w:w="3082"/>
        <w:gridCol w:w="1193"/>
        <w:gridCol w:w="29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FFFFFF" w:themeFill="background1"/>
          <w:tblCellMar>
            <w:top w:w="0" w:type="dxa"/>
            <w:left w:w="10" w:type="dxa"/>
            <w:bottom w:w="0" w:type="dxa"/>
            <w:right w:w="10" w:type="dxa"/>
          </w:tblCellMar>
        </w:tblPrEx>
        <w:trPr>
          <w:trHeight w:val="0" w:hRule="atLeast"/>
        </w:trPr>
        <w:tc>
          <w:tcPr>
            <w:tcW w:w="728" w:type="dxa"/>
            <w:tcBorders>
              <w:tl2br w:val="nil"/>
              <w:tr2bl w:val="nil"/>
            </w:tcBorders>
            <w:shd w:val="clear" w:color="auto" w:fill="FFFFFF" w:themeFill="background1"/>
            <w:noWrap/>
            <w:tcMar>
              <w:top w:w="80" w:type="dxa"/>
              <w:left w:w="80" w:type="dxa"/>
              <w:bottom w:w="80" w:type="dxa"/>
              <w:right w:w="80" w:type="dxa"/>
            </w:tcMar>
            <w:vAlign w:val="center"/>
          </w:tcPr>
          <w:p>
            <w:pPr>
              <w:rPr>
                <w:rFonts w:hint="default"/>
                <w:color w:val="auto"/>
                <w:highlight w:val="none"/>
                <w:lang w:val="zh-TW" w:eastAsia="zh-TW"/>
              </w:rPr>
            </w:pPr>
            <w:r>
              <w:rPr>
                <w:rFonts w:hint="default"/>
                <w:color w:val="auto"/>
                <w:highlight w:val="none"/>
              </w:rPr>
              <w:t>序号</w:t>
            </w:r>
          </w:p>
        </w:tc>
        <w:tc>
          <w:tcPr>
            <w:tcW w:w="1740" w:type="dxa"/>
            <w:tcBorders>
              <w:tl2br w:val="nil"/>
              <w:tr2bl w:val="nil"/>
            </w:tcBorders>
            <w:shd w:val="clear" w:color="auto" w:fill="FFFFFF" w:themeFill="background1"/>
            <w:noWrap/>
            <w:tcMar>
              <w:top w:w="80" w:type="dxa"/>
              <w:left w:w="80" w:type="dxa"/>
              <w:bottom w:w="80" w:type="dxa"/>
              <w:right w:w="80" w:type="dxa"/>
            </w:tcMar>
            <w:vAlign w:val="center"/>
          </w:tcPr>
          <w:p>
            <w:pPr>
              <w:rPr>
                <w:rFonts w:hint="default"/>
                <w:color w:val="auto"/>
                <w:highlight w:val="none"/>
                <w:lang w:val="zh-TW"/>
              </w:rPr>
            </w:pPr>
            <w:r>
              <w:rPr>
                <w:rFonts w:hint="default"/>
                <w:color w:val="auto"/>
                <w:highlight w:val="none"/>
                <w:lang w:val="zh-TW"/>
              </w:rPr>
              <w:t>外送服务名称</w:t>
            </w:r>
          </w:p>
        </w:tc>
        <w:tc>
          <w:tcPr>
            <w:tcW w:w="3082" w:type="dxa"/>
            <w:tcBorders>
              <w:tl2br w:val="nil"/>
              <w:tr2bl w:val="nil"/>
            </w:tcBorders>
            <w:shd w:val="clear" w:color="auto" w:fill="FFFFFF" w:themeFill="background1"/>
            <w:noWrap/>
            <w:tcMar>
              <w:top w:w="80" w:type="dxa"/>
              <w:left w:w="80" w:type="dxa"/>
              <w:bottom w:w="80" w:type="dxa"/>
              <w:right w:w="80" w:type="dxa"/>
            </w:tcMar>
            <w:vAlign w:val="center"/>
          </w:tcPr>
          <w:p>
            <w:pPr>
              <w:rPr>
                <w:rFonts w:hint="default"/>
                <w:color w:val="auto"/>
                <w:highlight w:val="none"/>
                <w:lang w:val="zh-TW" w:eastAsia="zh-TW"/>
              </w:rPr>
            </w:pPr>
            <w:r>
              <w:rPr>
                <w:rFonts w:hint="default"/>
                <w:color w:val="auto"/>
                <w:highlight w:val="none"/>
                <w:lang w:val="zh-TW"/>
              </w:rPr>
              <w:t>服务</w:t>
            </w:r>
            <w:r>
              <w:rPr>
                <w:rFonts w:hint="default"/>
                <w:color w:val="auto"/>
                <w:highlight w:val="none"/>
                <w:lang w:val="zh-TW" w:eastAsia="zh-TW"/>
              </w:rPr>
              <w:t>要求</w:t>
            </w:r>
          </w:p>
        </w:tc>
        <w:tc>
          <w:tcPr>
            <w:tcW w:w="1193" w:type="dxa"/>
            <w:tcBorders>
              <w:tl2br w:val="nil"/>
              <w:tr2bl w:val="nil"/>
            </w:tcBorders>
            <w:shd w:val="clear" w:color="auto" w:fill="FFFFFF" w:themeFill="background1"/>
            <w:noWrap/>
            <w:tcMar>
              <w:top w:w="80" w:type="dxa"/>
              <w:left w:w="80" w:type="dxa"/>
              <w:bottom w:w="80" w:type="dxa"/>
              <w:right w:w="80" w:type="dxa"/>
            </w:tcMar>
            <w:vAlign w:val="center"/>
          </w:tcPr>
          <w:p>
            <w:pPr>
              <w:rPr>
                <w:rFonts w:hint="default"/>
                <w:color w:val="auto"/>
                <w:highlight w:val="none"/>
                <w:lang w:val="zh-TW" w:eastAsia="zh-TW"/>
              </w:rPr>
            </w:pPr>
            <w:r>
              <w:rPr>
                <w:rFonts w:hint="default"/>
                <w:color w:val="auto"/>
                <w:highlight w:val="none"/>
                <w:lang w:val="zh-TW" w:eastAsia="zh-TW"/>
              </w:rPr>
              <w:t>项目数量</w:t>
            </w:r>
          </w:p>
        </w:tc>
        <w:tc>
          <w:tcPr>
            <w:tcW w:w="2976" w:type="dxa"/>
            <w:tcBorders>
              <w:tl2br w:val="nil"/>
              <w:tr2bl w:val="nil"/>
            </w:tcBorders>
            <w:shd w:val="clear" w:color="auto" w:fill="FFFFFF" w:themeFill="background1"/>
            <w:noWrap/>
            <w:tcMar>
              <w:top w:w="80" w:type="dxa"/>
              <w:left w:w="80" w:type="dxa"/>
              <w:bottom w:w="80" w:type="dxa"/>
              <w:right w:w="80" w:type="dxa"/>
            </w:tcMar>
            <w:vAlign w:val="center"/>
          </w:tcPr>
          <w:p>
            <w:pPr>
              <w:rPr>
                <w:rFonts w:hint="default"/>
                <w:color w:val="auto"/>
                <w:highlight w:val="none"/>
                <w:lang w:val="zh-TW" w:eastAsia="zh-TW"/>
              </w:rPr>
            </w:pPr>
            <w:r>
              <w:rPr>
                <w:rFonts w:hint="default"/>
                <w:color w:val="auto"/>
                <w:highlight w:val="none"/>
                <w:lang w:val="zh-TW" w:eastAsia="zh-TW"/>
              </w:rPr>
              <w:t>主要作用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 w:type="dxa"/>
            <w:bottom w:w="0" w:type="dxa"/>
            <w:right w:w="10" w:type="dxa"/>
          </w:tblCellMar>
        </w:tblPrEx>
        <w:trPr>
          <w:trHeight w:val="0" w:hRule="atLeast"/>
        </w:trPr>
        <w:tc>
          <w:tcPr>
            <w:tcW w:w="728" w:type="dxa"/>
            <w:tcBorders>
              <w:tl2br w:val="nil"/>
              <w:tr2bl w:val="nil"/>
            </w:tcBorders>
            <w:shd w:val="clear" w:color="auto" w:fill="FFFFFF" w:themeFill="background1"/>
            <w:noWrap/>
            <w:tcMar>
              <w:top w:w="80" w:type="dxa"/>
              <w:left w:w="80" w:type="dxa"/>
              <w:bottom w:w="80" w:type="dxa"/>
              <w:right w:w="80" w:type="dxa"/>
            </w:tcMar>
            <w:vAlign w:val="center"/>
          </w:tcPr>
          <w:p>
            <w:pPr>
              <w:rPr>
                <w:rFonts w:hint="default"/>
                <w:color w:val="auto"/>
                <w:highlight w:val="none"/>
              </w:rPr>
            </w:pPr>
            <w:r>
              <w:rPr>
                <w:rFonts w:hint="default"/>
                <w:color w:val="auto"/>
                <w:highlight w:val="none"/>
              </w:rPr>
              <w:t>1</w:t>
            </w:r>
          </w:p>
        </w:tc>
        <w:tc>
          <w:tcPr>
            <w:tcW w:w="1740" w:type="dxa"/>
            <w:tcBorders>
              <w:tl2br w:val="nil"/>
              <w:tr2bl w:val="nil"/>
            </w:tcBorders>
            <w:shd w:val="clear" w:color="auto" w:fill="FFFFFF" w:themeFill="background1"/>
            <w:noWrap/>
            <w:tcMar>
              <w:top w:w="80" w:type="dxa"/>
              <w:left w:w="80" w:type="dxa"/>
              <w:bottom w:w="80" w:type="dxa"/>
              <w:right w:w="80" w:type="dxa"/>
            </w:tcMar>
            <w:vAlign w:val="center"/>
          </w:tcPr>
          <w:p>
            <w:pPr>
              <w:rPr>
                <w:rFonts w:hint="default"/>
                <w:color w:val="auto"/>
                <w:highlight w:val="none"/>
              </w:rPr>
            </w:pPr>
            <w:r>
              <w:rPr>
                <w:rFonts w:hint="default"/>
                <w:color w:val="auto"/>
                <w:highlight w:val="none"/>
                <w:lang w:val="zh-TW" w:eastAsia="zh-TW"/>
              </w:rPr>
              <w:t>所有抹布及地巾外送洗涤消毒服务</w:t>
            </w:r>
          </w:p>
        </w:tc>
        <w:tc>
          <w:tcPr>
            <w:tcW w:w="3082" w:type="dxa"/>
            <w:tcBorders>
              <w:tl2br w:val="nil"/>
              <w:tr2bl w:val="nil"/>
            </w:tcBorders>
            <w:shd w:val="clear" w:color="auto" w:fill="FFFFFF" w:themeFill="background1"/>
            <w:noWrap/>
            <w:tcMar>
              <w:top w:w="80" w:type="dxa"/>
              <w:left w:w="80" w:type="dxa"/>
              <w:bottom w:w="80" w:type="dxa"/>
              <w:right w:w="80" w:type="dxa"/>
            </w:tcMar>
            <w:vAlign w:val="center"/>
          </w:tcPr>
          <w:p>
            <w:pPr>
              <w:rPr>
                <w:rFonts w:hint="default"/>
                <w:color w:val="auto"/>
                <w:highlight w:val="none"/>
              </w:rPr>
            </w:pPr>
            <w:r>
              <w:rPr>
                <w:rFonts w:hint="default"/>
                <w:color w:val="auto"/>
                <w:highlight w:val="none"/>
              </w:rPr>
              <w:t>洗涤消毒和烘干标准符合院感要求，合作的第三方清洗单位开展服务前，需经招标人的管理部门同意备案后可实施</w:t>
            </w:r>
          </w:p>
        </w:tc>
        <w:tc>
          <w:tcPr>
            <w:tcW w:w="1193" w:type="dxa"/>
            <w:tcBorders>
              <w:tl2br w:val="nil"/>
              <w:tr2bl w:val="nil"/>
            </w:tcBorders>
            <w:shd w:val="clear" w:color="auto" w:fill="FFFFFF" w:themeFill="background1"/>
            <w:noWrap/>
            <w:tcMar>
              <w:top w:w="80" w:type="dxa"/>
              <w:left w:w="80" w:type="dxa"/>
              <w:bottom w:w="80" w:type="dxa"/>
              <w:right w:w="80" w:type="dxa"/>
            </w:tcMar>
            <w:vAlign w:val="center"/>
          </w:tcPr>
          <w:p>
            <w:pPr>
              <w:rPr>
                <w:rFonts w:hint="default"/>
                <w:color w:val="auto"/>
                <w:highlight w:val="none"/>
              </w:rPr>
            </w:pPr>
            <w:r>
              <w:rPr>
                <w:rFonts w:hint="default"/>
                <w:color w:val="auto"/>
                <w:highlight w:val="none"/>
              </w:rPr>
              <w:t>1项</w:t>
            </w:r>
          </w:p>
        </w:tc>
        <w:tc>
          <w:tcPr>
            <w:tcW w:w="2976" w:type="dxa"/>
            <w:tcBorders>
              <w:tl2br w:val="nil"/>
              <w:tr2bl w:val="nil"/>
            </w:tcBorders>
            <w:shd w:val="clear" w:color="auto" w:fill="FFFFFF" w:themeFill="background1"/>
            <w:noWrap/>
            <w:tcMar>
              <w:top w:w="80" w:type="dxa"/>
              <w:left w:w="80" w:type="dxa"/>
              <w:bottom w:w="80" w:type="dxa"/>
              <w:right w:w="80" w:type="dxa"/>
            </w:tcMar>
            <w:vAlign w:val="center"/>
          </w:tcPr>
          <w:p>
            <w:pPr>
              <w:rPr>
                <w:rFonts w:hint="default"/>
                <w:color w:val="auto"/>
                <w:highlight w:val="none"/>
              </w:rPr>
            </w:pPr>
            <w:r>
              <w:rPr>
                <w:rFonts w:hint="default"/>
                <w:color w:val="auto"/>
                <w:highlight w:val="none"/>
              </w:rPr>
              <w:t>抹布、毛巾、地巾清洗消毒烘干</w:t>
            </w:r>
          </w:p>
        </w:tc>
      </w:tr>
    </w:tbl>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、在服务过程中，因医院升级改造涉及的服务场地、人员增减或服务类别的增减等，由双方根据实际情况另行协商。</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、关于医院废旧物资回收处</w:t>
      </w:r>
      <w:r>
        <w:rPr>
          <w:rFonts w:hint="default" w:ascii="Times New Roman" w:hAnsi="Times New Roman" w:eastAsia="宋体" w:cs="Times New Roman"/>
          <w:color w:val="auto"/>
          <w:sz w:val="21"/>
          <w:szCs w:val="21"/>
          <w:highlight w:val="none"/>
          <w:lang w:eastAsia="zh-CN"/>
        </w:rPr>
        <w:t>理</w:t>
      </w:r>
      <w:r>
        <w:rPr>
          <w:rFonts w:hint="default" w:ascii="Times New Roman" w:hAnsi="Times New Roman" w:eastAsia="宋体" w:cs="Times New Roman"/>
          <w:color w:val="auto"/>
          <w:sz w:val="21"/>
          <w:szCs w:val="21"/>
          <w:highlight w:val="none"/>
        </w:rPr>
        <w:t>要求</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投标人在合同约定的服务期间，须额外承担服务区域内日常可回收废旧物资（主要为报纸、纸板、塑料饮料瓶、金属物易拉罐等）的清理、收集、回收工作，需要做到日清。废品回收费用按年度服务期向招标人缴纳。</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（2）投标人设立专人服务，定时上门收集运送，各部门（科室）、暂存点要求日清，并确保消防安全；服务人员不得进入与服务无关的区域，不得做与服务无关的事，不得超范围收集处置。</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（3）投标人应设立服务电话</w:t>
      </w:r>
      <w:r>
        <w:rPr>
          <w:rFonts w:hint="default" w:ascii="Times New Roman" w:hAnsi="Times New Roman" w:eastAsia="宋体" w:cs="Times New Roman"/>
          <w:color w:val="auto"/>
          <w:sz w:val="21"/>
          <w:szCs w:val="21"/>
          <w:highlight w:val="none"/>
          <w:lang w:eastAsia="zh-CN"/>
        </w:rPr>
        <w:t>，以便</w:t>
      </w:r>
      <w:r>
        <w:rPr>
          <w:rFonts w:hint="default" w:ascii="Times New Roman" w:hAnsi="Times New Roman" w:eastAsia="宋体" w:cs="Times New Roman"/>
          <w:color w:val="auto"/>
          <w:sz w:val="21"/>
          <w:szCs w:val="21"/>
          <w:highlight w:val="none"/>
        </w:rPr>
        <w:t>招标人</w:t>
      </w:r>
      <w:r>
        <w:rPr>
          <w:rFonts w:hint="default" w:ascii="Times New Roman" w:hAnsi="Times New Roman" w:eastAsia="宋体" w:cs="Times New Roman"/>
          <w:color w:val="auto"/>
          <w:sz w:val="21"/>
          <w:szCs w:val="21"/>
          <w:highlight w:val="none"/>
          <w:lang w:eastAsia="zh-CN"/>
        </w:rPr>
        <w:t>有</w:t>
      </w:r>
      <w:r>
        <w:rPr>
          <w:rFonts w:hint="default" w:ascii="Times New Roman" w:hAnsi="Times New Roman" w:eastAsia="宋体" w:cs="Times New Roman"/>
          <w:color w:val="auto"/>
          <w:sz w:val="21"/>
          <w:szCs w:val="21"/>
          <w:highlight w:val="none"/>
        </w:rPr>
        <w:t>临时性收集需求</w:t>
      </w:r>
      <w:r>
        <w:rPr>
          <w:rFonts w:hint="default" w:ascii="Times New Roman" w:hAnsi="Times New Roman" w:eastAsia="宋体" w:cs="Times New Roman"/>
          <w:color w:val="auto"/>
          <w:sz w:val="21"/>
          <w:szCs w:val="21"/>
          <w:highlight w:val="none"/>
          <w:lang w:eastAsia="zh-CN"/>
        </w:rPr>
        <w:t>时联系</w:t>
      </w:r>
      <w:r>
        <w:rPr>
          <w:rFonts w:hint="default" w:ascii="Times New Roman" w:hAnsi="Times New Roman" w:eastAsia="宋体" w:cs="Times New Roman"/>
          <w:color w:val="auto"/>
          <w:sz w:val="21"/>
          <w:szCs w:val="21"/>
          <w:highlight w:val="none"/>
        </w:rPr>
        <w:t>。</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（4）投标人服务人员在服务时应注意安全，不得影响</w:t>
      </w:r>
      <w:r>
        <w:rPr>
          <w:rFonts w:hint="default" w:ascii="Times New Roman" w:hAnsi="Times New Roman" w:eastAsia="宋体" w:cs="Times New Roman"/>
          <w:color w:val="auto"/>
          <w:sz w:val="21"/>
          <w:szCs w:val="21"/>
          <w:highlight w:val="none"/>
          <w:lang w:eastAsia="zh-CN"/>
        </w:rPr>
        <w:t>或</w:t>
      </w:r>
      <w:r>
        <w:rPr>
          <w:rFonts w:hint="default" w:ascii="Times New Roman" w:hAnsi="Times New Roman" w:eastAsia="宋体" w:cs="Times New Roman"/>
          <w:color w:val="auto"/>
          <w:sz w:val="21"/>
          <w:szCs w:val="21"/>
          <w:highlight w:val="none"/>
        </w:rPr>
        <w:t>破坏招标人正常工作秩序，爱护招标人设施，保持现场清洁卫生，做到人走净场。</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（5）废品回收人员的工资、保险、福利等全部费用由投标人承担，并由投标人负责人员的日常管理。</w:t>
      </w:r>
    </w:p>
    <w:p>
      <w:pPr>
        <w:pStyle w:val="2"/>
        <w:rPr>
          <w:rFonts w:hint="default" w:ascii="Times New Roman" w:hAnsi="Times New Roman" w:eastAsia="宋体" w:cs="Times New Roman"/>
          <w:color w:val="auto"/>
          <w:sz w:val="21"/>
          <w:szCs w:val="21"/>
          <w:highlight w:val="none"/>
        </w:rPr>
      </w:pPr>
    </w:p>
    <w:p>
      <w:pPr>
        <w:spacing w:line="360" w:lineRule="auto"/>
        <w:ind w:firstLine="422"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三、商务要求</w:t>
      </w:r>
    </w:p>
    <w:p>
      <w:pPr>
        <w:spacing w:line="360" w:lineRule="auto"/>
        <w:ind w:firstLine="525" w:firstLineChars="25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（一）投标报价</w:t>
      </w:r>
    </w:p>
    <w:p>
      <w:pPr>
        <w:spacing w:line="360" w:lineRule="auto"/>
        <w:ind w:firstLine="525" w:firstLineChars="25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1、本次投标报价：</w:t>
      </w:r>
      <w:r>
        <w:rPr>
          <w:rFonts w:hint="default" w:ascii="Times New Roman" w:hAnsi="Times New Roman" w:eastAsia="宋体" w:cs="Times New Roman"/>
          <w:color w:val="auto"/>
          <w:sz w:val="21"/>
          <w:szCs w:val="21"/>
          <w:highlight w:val="none"/>
        </w:rPr>
        <w:t>投标报价为2年的总价</w:t>
      </w:r>
      <w:r>
        <w:rPr>
          <w:rFonts w:hint="default" w:ascii="Times New Roman" w:hAnsi="Times New Roman" w:eastAsia="宋体" w:cs="Times New Roman"/>
          <w:color w:val="auto"/>
          <w:kern w:val="0"/>
          <w:sz w:val="21"/>
          <w:szCs w:val="21"/>
          <w:highlight w:val="none"/>
        </w:rPr>
        <w:t>，提供分项价格。</w:t>
      </w:r>
    </w:p>
    <w:p>
      <w:pPr>
        <w:spacing w:line="360" w:lineRule="auto"/>
        <w:ind w:firstLine="525" w:firstLineChars="25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2、投标报价应包括投标人</w:t>
      </w:r>
      <w:r>
        <w:rPr>
          <w:rFonts w:hint="default" w:ascii="Times New Roman" w:hAnsi="Times New Roman" w:eastAsia="宋体" w:cs="Times New Roman"/>
          <w:color w:val="auto"/>
          <w:sz w:val="21"/>
          <w:szCs w:val="21"/>
          <w:highlight w:val="none"/>
        </w:rPr>
        <w:t>在承包区域内提供本项目服务所需的所有</w:t>
      </w:r>
      <w:r>
        <w:rPr>
          <w:rFonts w:hint="default" w:ascii="Times New Roman" w:hAnsi="Times New Roman" w:eastAsia="宋体" w:cs="Times New Roman"/>
          <w:color w:val="auto"/>
          <w:sz w:val="21"/>
          <w:szCs w:val="21"/>
          <w:highlight w:val="none"/>
        </w:rPr>
        <w:t>人员的人工费【包括工资、奖金、超时和法定节假日加班费、日常及突发事件的临时加班费用、夜餐费、五险一金（基本养老保险、基本医疗保险、工伤保险、生育保险、失业保险、公积金）、高温费、食宿与交通费等所有费用】、设备器材、消耗材料（各种卫生工具、清洗液</w:t>
      </w:r>
      <w:r>
        <w:rPr>
          <w:rFonts w:hint="default" w:ascii="Times New Roman" w:hAnsi="Times New Roman" w:eastAsia="宋体" w:cs="Times New Roman"/>
          <w:bCs/>
          <w:color w:val="auto"/>
          <w:sz w:val="21"/>
          <w:szCs w:val="21"/>
          <w:highlight w:val="none"/>
        </w:rPr>
        <w:t>及其他职业防护物品</w:t>
      </w:r>
      <w:r>
        <w:rPr>
          <w:rFonts w:hint="default" w:ascii="Times New Roman" w:hAnsi="Times New Roman" w:eastAsia="宋体" w:cs="Times New Roman"/>
          <w:color w:val="auto"/>
          <w:sz w:val="21"/>
          <w:szCs w:val="21"/>
          <w:highlight w:val="none"/>
        </w:rPr>
        <w:t>等提供保洁服务所需要的所有消耗材料）、服装、安全保障、仓储、运输、垃圾清运、教育培训、管理费用、利润、完成合同所需的不可或缺的所有工作开支和政策性文件规定及包含的所有风险责任等各项全部费用，并承担一切风险责任。</w:t>
      </w:r>
    </w:p>
    <w:p>
      <w:pPr>
        <w:spacing w:line="360" w:lineRule="auto"/>
        <w:ind w:firstLine="525" w:firstLineChars="25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bCs/>
          <w:color w:val="auto"/>
          <w:sz w:val="21"/>
          <w:szCs w:val="21"/>
          <w:highlight w:val="none"/>
        </w:rPr>
        <w:t>黄色医疗垃圾袋、橙色医用织物袋和消毒药片</w:t>
      </w:r>
      <w:r>
        <w:rPr>
          <w:rFonts w:hint="default" w:ascii="Times New Roman" w:hAnsi="Times New Roman" w:eastAsia="宋体" w:cs="Times New Roman"/>
          <w:color w:val="auto"/>
          <w:sz w:val="21"/>
          <w:szCs w:val="21"/>
          <w:highlight w:val="none"/>
        </w:rPr>
        <w:t>由招标人提供和承担费用，不含在投标总价中</w:t>
      </w:r>
      <w:r>
        <w:rPr>
          <w:rFonts w:hint="default" w:ascii="Times New Roman" w:hAnsi="Times New Roman" w:eastAsia="宋体" w:cs="Times New Roman"/>
          <w:bCs/>
          <w:color w:val="auto"/>
          <w:sz w:val="21"/>
          <w:szCs w:val="21"/>
          <w:highlight w:val="none"/>
        </w:rPr>
        <w:t>。</w:t>
      </w:r>
    </w:p>
    <w:p>
      <w:pPr>
        <w:spacing w:line="360" w:lineRule="auto"/>
        <w:ind w:firstLine="525" w:firstLineChars="250"/>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4、投标人每月支付服务人员的工资不低于现行公布的杭州市最低工资标准。在合同期内，若杭州市最低工资标准或社保缴费基数上调，招标人不承担上调费用，投标人在报价时自行承担相关风险。</w:t>
      </w:r>
      <w:r>
        <w:rPr>
          <w:rFonts w:hint="default" w:ascii="Times New Roman" w:hAnsi="Times New Roman" w:eastAsia="宋体" w:cs="Times New Roman"/>
          <w:bCs/>
          <w:color w:val="auto"/>
          <w:sz w:val="21"/>
          <w:szCs w:val="21"/>
          <w:highlight w:val="none"/>
          <w:lang w:val="en-US" w:eastAsia="zh-CN"/>
        </w:rPr>
        <w:t>投标人应严格执行劳动法相关规定。</w:t>
      </w:r>
    </w:p>
    <w:p>
      <w:pPr>
        <w:spacing w:line="360" w:lineRule="auto"/>
        <w:ind w:firstLine="525" w:firstLineChars="25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5、</w:t>
      </w:r>
      <w:r>
        <w:rPr>
          <w:rFonts w:hint="default" w:ascii="Times New Roman" w:hAnsi="Times New Roman" w:eastAsia="宋体" w:cs="Times New Roman"/>
          <w:bCs/>
          <w:color w:val="auto"/>
          <w:sz w:val="21"/>
          <w:szCs w:val="21"/>
          <w:highlight w:val="none"/>
        </w:rPr>
        <w:t>在合同约定的服务期</w:t>
      </w:r>
      <w:r>
        <w:rPr>
          <w:rFonts w:hint="default" w:ascii="Times New Roman" w:hAnsi="Times New Roman" w:eastAsia="宋体" w:cs="Times New Roman"/>
          <w:bCs/>
          <w:color w:val="auto"/>
          <w:sz w:val="21"/>
          <w:szCs w:val="21"/>
          <w:highlight w:val="none"/>
          <w:lang w:eastAsia="zh-CN"/>
        </w:rPr>
        <w:t>内</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投标人</w:t>
      </w:r>
      <w:r>
        <w:rPr>
          <w:rFonts w:hint="default" w:ascii="Times New Roman" w:hAnsi="Times New Roman" w:eastAsia="宋体" w:cs="Times New Roman"/>
          <w:bCs/>
          <w:color w:val="auto"/>
          <w:sz w:val="21"/>
          <w:szCs w:val="21"/>
          <w:highlight w:val="none"/>
        </w:rPr>
        <w:t>须承担服务区域内日常可回收废旧物资（主要为报纸、纸板、塑料饮料瓶、金属物易拉罐等）的清理、收集、回收工作。每个年度上缴招标人废品费人民币</w:t>
      </w:r>
      <w:r>
        <w:rPr>
          <w:rFonts w:hint="default" w:ascii="Times New Roman" w:hAnsi="Times New Roman" w:eastAsia="宋体" w:cs="Times New Roman"/>
          <w:bCs/>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rPr>
        <w:t>元整</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color w:val="auto"/>
          <w:sz w:val="21"/>
          <w:szCs w:val="21"/>
          <w:highlight w:val="none"/>
        </w:rPr>
        <w:t>费用不得低于</w:t>
      </w:r>
      <w:r>
        <w:rPr>
          <w:rFonts w:hint="default" w:ascii="Times New Roman" w:hAnsi="Times New Roman" w:eastAsia="宋体" w:cs="Times New Roman"/>
          <w:color w:val="auto"/>
          <w:sz w:val="21"/>
          <w:szCs w:val="21"/>
          <w:highlight w:val="none"/>
          <w:lang w:val="en-US" w:eastAsia="zh-CN"/>
        </w:rPr>
        <w:t>3.5</w:t>
      </w:r>
      <w:r>
        <w:rPr>
          <w:rFonts w:hint="default" w:ascii="Times New Roman" w:hAnsi="Times New Roman" w:eastAsia="宋体" w:cs="Times New Roman"/>
          <w:color w:val="auto"/>
          <w:sz w:val="21"/>
          <w:szCs w:val="21"/>
          <w:highlight w:val="none"/>
        </w:rPr>
        <w:t>万元/年</w:t>
      </w:r>
      <w:r>
        <w:rPr>
          <w:rFonts w:hint="default" w:ascii="Times New Roman" w:hAnsi="Times New Roman" w:eastAsia="宋体" w:cs="Times New Roman"/>
          <w:bCs/>
          <w:color w:val="auto"/>
          <w:sz w:val="21"/>
          <w:szCs w:val="21"/>
          <w:highlight w:val="none"/>
        </w:rPr>
        <w:t>。废品费</w:t>
      </w:r>
      <w:r>
        <w:rPr>
          <w:rFonts w:hint="default" w:ascii="Times New Roman" w:hAnsi="Times New Roman" w:eastAsia="宋体" w:cs="Times New Roman"/>
          <w:bCs/>
          <w:color w:val="auto"/>
          <w:sz w:val="21"/>
          <w:szCs w:val="21"/>
          <w:highlight w:val="none"/>
          <w:lang w:eastAsia="zh-CN"/>
        </w:rPr>
        <w:t>投</w:t>
      </w:r>
      <w:r>
        <w:rPr>
          <w:rFonts w:hint="default" w:ascii="Times New Roman" w:hAnsi="Times New Roman" w:eastAsia="宋体" w:cs="Times New Roman"/>
          <w:bCs/>
          <w:color w:val="auto"/>
          <w:sz w:val="21"/>
          <w:szCs w:val="21"/>
          <w:highlight w:val="none"/>
        </w:rPr>
        <w:t>标人单独向招标人上缴，不包含本次投标价中</w:t>
      </w:r>
      <w:r>
        <w:rPr>
          <w:rFonts w:hint="default" w:ascii="Times New Roman" w:hAnsi="Times New Roman" w:eastAsia="宋体" w:cs="Times New Roman"/>
          <w:color w:val="auto"/>
          <w:sz w:val="21"/>
          <w:szCs w:val="21"/>
          <w:highlight w:val="none"/>
        </w:rPr>
        <w:t>。</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（二）结算与付款</w:t>
      </w:r>
    </w:p>
    <w:p>
      <w:pPr>
        <w:spacing w:line="360" w:lineRule="auto"/>
        <w:ind w:firstLine="525" w:firstLineChars="25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w:t>
      </w:r>
      <w:r>
        <w:rPr>
          <w:rFonts w:hint="default" w:ascii="Times New Roman" w:hAnsi="Times New Roman" w:eastAsia="宋体" w:cs="Times New Roman"/>
          <w:bCs/>
          <w:color w:val="auto"/>
          <w:sz w:val="21"/>
          <w:szCs w:val="21"/>
          <w:highlight w:val="none"/>
          <w:u w:val="single"/>
        </w:rPr>
        <w:t>履</w:t>
      </w:r>
      <w:r>
        <w:rPr>
          <w:rFonts w:hint="default" w:ascii="Times New Roman" w:hAnsi="Times New Roman" w:eastAsia="宋体" w:cs="Times New Roman"/>
          <w:bCs/>
          <w:color w:val="auto"/>
          <w:sz w:val="21"/>
          <w:szCs w:val="21"/>
          <w:highlight w:val="none"/>
        </w:rPr>
        <w:t>约保证金：合同签订后5个工作日内中标人向招标人缴纳合同金额的1%为履约保证金。缴纳形式为支票、汇票、本票或者银行、保险公司出具的保函等非现金形式。招标人在服务期满后30天内一次性无息退还。</w:t>
      </w:r>
    </w:p>
    <w:p>
      <w:pPr>
        <w:spacing w:line="360" w:lineRule="auto"/>
        <w:ind w:firstLine="525" w:firstLineChars="25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Cs/>
          <w:color w:val="auto"/>
          <w:sz w:val="21"/>
          <w:szCs w:val="21"/>
          <w:highlight w:val="none"/>
        </w:rPr>
        <w:t>2、</w:t>
      </w:r>
      <w:r>
        <w:rPr>
          <w:rFonts w:hint="default" w:ascii="Times New Roman" w:hAnsi="Times New Roman" w:eastAsia="宋体" w:cs="Times New Roman"/>
          <w:b/>
          <w:color w:val="auto"/>
          <w:kern w:val="0"/>
          <w:sz w:val="21"/>
          <w:szCs w:val="21"/>
          <w:highlight w:val="none"/>
          <w:u w:val="single"/>
        </w:rPr>
        <w:t>服务费按月结算支付；每月根据乙方服务及甲方考核情况，经双方核对确认后，乙方提供相应金额合法正规税务发票，</w:t>
      </w:r>
      <w:r>
        <w:rPr>
          <w:rFonts w:hint="default" w:ascii="Times New Roman" w:hAnsi="Times New Roman" w:eastAsia="宋体" w:cs="Times New Roman"/>
          <w:bCs/>
          <w:color w:val="auto"/>
          <w:sz w:val="21"/>
          <w:szCs w:val="21"/>
          <w:highlight w:val="none"/>
        </w:rPr>
        <w:t>甲方收到发票后7个工作日内</w:t>
      </w:r>
      <w:r>
        <w:rPr>
          <w:rFonts w:hint="default" w:ascii="Times New Roman" w:hAnsi="Times New Roman" w:eastAsia="宋体" w:cs="Times New Roman"/>
          <w:b/>
          <w:color w:val="auto"/>
          <w:kern w:val="0"/>
          <w:sz w:val="21"/>
          <w:szCs w:val="21"/>
          <w:highlight w:val="none"/>
          <w:u w:val="single"/>
        </w:rPr>
        <w:t>支付月度服务费。</w:t>
      </w:r>
    </w:p>
    <w:p>
      <w:pPr>
        <w:spacing w:line="360" w:lineRule="auto"/>
        <w:ind w:firstLine="0" w:firstLineChars="0"/>
        <w:jc w:val="both"/>
        <w:rPr>
          <w:rFonts w:hint="default" w:ascii="Times New Roman" w:hAnsi="Times New Roman" w:eastAsia="宋体" w:cs="Times New Roman"/>
          <w:b/>
          <w:color w:val="auto"/>
          <w:sz w:val="21"/>
          <w:szCs w:val="21"/>
          <w:highlight w:val="none"/>
        </w:rPr>
      </w:pPr>
    </w:p>
    <w:p>
      <w:pPr>
        <w:spacing w:line="360" w:lineRule="auto"/>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附：</w:t>
      </w:r>
      <w:r>
        <w:rPr>
          <w:rFonts w:hint="default" w:ascii="Times New Roman" w:hAnsi="Times New Roman" w:eastAsia="宋体" w:cs="Times New Roman"/>
          <w:color w:val="auto"/>
          <w:sz w:val="21"/>
          <w:szCs w:val="21"/>
          <w:highlight w:val="none"/>
        </w:rPr>
        <w:t>10分钟后勤智能运送系统具体演示内容：</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1用户管理：按不同岗位分别设置用户角色并维护系统菜单权限，人员可维护成不同角色并按角色授权；</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2下单模式：手工下单，支持调度中心或移动端、PC端手工提交工单；自动下单，和HIS系统对接通过检查项目预约完成等功能节点直接生成需求订单；</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3派工模式：手工派工，调度中心或临床工作人员可手工调度、安排特殊紧急工单；自动派工，系统可按照事先维护的自动派工逻辑实现自动派工；可维护抢单模式，实现区域内工作人员抢单模式接单；</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4签到方式：自动签到，可通过技术手段实现运送流程节点自动识别，工作人员确认签到节点；手工签到，在允许的区域内可通过工作人员手工确认签到节点；</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5满意度评价：订单申请人可对订单进行满意度评分，对不符合要求的订单可申请管理员督导；</w:t>
      </w:r>
    </w:p>
    <w:p>
      <w:pPr>
        <w:spacing w:line="360" w:lineRule="auto"/>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6流程管理：可实时查看订单流转情况及流程闭环各节点进行情况，对异常订单进行干预督导；</w:t>
      </w:r>
    </w:p>
    <w:p>
      <w:pPr>
        <w:spacing w:line="360" w:lineRule="auto"/>
        <w:ind w:firstLine="420" w:firstLineChars="200"/>
        <w:rPr>
          <w:b/>
          <w:color w:val="auto"/>
          <w:szCs w:val="21"/>
          <w:highlight w:val="none"/>
        </w:rPr>
      </w:pPr>
      <w:r>
        <w:rPr>
          <w:rFonts w:hint="default" w:ascii="Times New Roman" w:hAnsi="Times New Roman" w:eastAsia="宋体" w:cs="Times New Roman"/>
          <w:color w:val="auto"/>
          <w:sz w:val="21"/>
          <w:szCs w:val="21"/>
          <w:highlight w:val="none"/>
        </w:rPr>
        <w:t>7数据统计：可按时间区间查询业务数据，包括按订单类型、科室、人员统计订单数量，订单完成率，接单用时，平均流程用时，标准时间内完成率等。</w:t>
      </w:r>
    </w:p>
    <w:p>
      <w:pPr>
        <w:spacing w:line="360" w:lineRule="auto"/>
        <w:jc w:val="center"/>
        <w:rPr>
          <w:b/>
          <w:bCs/>
          <w:color w:val="auto"/>
          <w:sz w:val="32"/>
          <w:szCs w:val="32"/>
          <w:highlight w:val="none"/>
        </w:rPr>
      </w:pPr>
      <w:r>
        <w:rPr>
          <w:b/>
          <w:color w:val="auto"/>
          <w:szCs w:val="21"/>
          <w:highlight w:val="none"/>
        </w:rPr>
        <w:br w:type="page"/>
      </w:r>
      <w:bookmarkStart w:id="9" w:name="_Toc273624872"/>
      <w:bookmarkStart w:id="10" w:name="_Toc495317670"/>
      <w:bookmarkStart w:id="11" w:name="_Toc82873316"/>
      <w:bookmarkStart w:id="12" w:name="_Toc211745565"/>
      <w:bookmarkStart w:id="13" w:name="_Toc82338233"/>
      <w:r>
        <w:rPr>
          <w:b/>
          <w:bCs/>
          <w:color w:val="auto"/>
          <w:sz w:val="32"/>
          <w:szCs w:val="32"/>
          <w:highlight w:val="none"/>
        </w:rPr>
        <w:t>第三章</w:t>
      </w:r>
      <w:bookmarkEnd w:id="9"/>
      <w:r>
        <w:rPr>
          <w:b/>
          <w:bCs/>
          <w:color w:val="auto"/>
          <w:sz w:val="32"/>
          <w:szCs w:val="32"/>
          <w:highlight w:val="none"/>
        </w:rPr>
        <w:t xml:space="preserve">  </w:t>
      </w:r>
      <w:r>
        <w:rPr>
          <w:rFonts w:hint="eastAsia"/>
          <w:b/>
          <w:bCs/>
          <w:color w:val="auto"/>
          <w:sz w:val="32"/>
          <w:szCs w:val="32"/>
          <w:highlight w:val="none"/>
        </w:rPr>
        <w:t>供应商</w:t>
      </w:r>
      <w:r>
        <w:rPr>
          <w:b/>
          <w:bCs/>
          <w:color w:val="auto"/>
          <w:sz w:val="32"/>
          <w:szCs w:val="32"/>
          <w:highlight w:val="none"/>
        </w:rPr>
        <w:t>须知</w:t>
      </w:r>
      <w:bookmarkEnd w:id="10"/>
      <w:bookmarkEnd w:id="11"/>
      <w:bookmarkEnd w:id="12"/>
      <w:bookmarkEnd w:id="13"/>
      <w:bookmarkStart w:id="14" w:name="_Toc82873322"/>
      <w:bookmarkStart w:id="15" w:name="_Toc82338239"/>
    </w:p>
    <w:p>
      <w:pPr>
        <w:pStyle w:val="5"/>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一、</w:t>
      </w:r>
      <w:bookmarkEnd w:id="14"/>
      <w:bookmarkEnd w:id="15"/>
      <w:r>
        <w:rPr>
          <w:rFonts w:ascii="Times New Roman" w:hAnsi="Times New Roman"/>
          <w:color w:val="auto"/>
          <w:sz w:val="21"/>
          <w:szCs w:val="21"/>
          <w:highlight w:val="none"/>
        </w:rPr>
        <w:t>总则</w:t>
      </w:r>
    </w:p>
    <w:p>
      <w:pPr>
        <w:pStyle w:val="6"/>
        <w:spacing w:line="360" w:lineRule="auto"/>
        <w:ind w:firstLine="422"/>
        <w:rPr>
          <w:rFonts w:ascii="Times New Roman" w:hAnsi="Times New Roman"/>
          <w:color w:val="auto"/>
          <w:sz w:val="21"/>
          <w:szCs w:val="21"/>
          <w:highlight w:val="none"/>
        </w:rPr>
      </w:pPr>
      <w:bookmarkStart w:id="16" w:name="_Toc82338240"/>
      <w:bookmarkStart w:id="17" w:name="_Toc82873323"/>
      <w:r>
        <w:rPr>
          <w:rFonts w:ascii="Times New Roman" w:hAnsi="Times New Roman"/>
          <w:color w:val="auto"/>
          <w:sz w:val="21"/>
          <w:szCs w:val="21"/>
          <w:highlight w:val="none"/>
        </w:rPr>
        <w:t>1.1 实施依据</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本次招标工作是按照</w:t>
      </w:r>
      <w:r>
        <w:rPr>
          <w:rFonts w:ascii="Times New Roman" w:hAnsi="Times New Roman"/>
          <w:color w:val="auto"/>
          <w:kern w:val="0"/>
          <w:sz w:val="21"/>
          <w:szCs w:val="21"/>
          <w:highlight w:val="none"/>
        </w:rPr>
        <w:t>《中华人民共和国政府采购法》</w:t>
      </w:r>
      <w:r>
        <w:rPr>
          <w:rFonts w:ascii="Times New Roman" w:hAnsi="Times New Roman"/>
          <w:color w:val="auto"/>
          <w:sz w:val="21"/>
          <w:szCs w:val="21"/>
          <w:highlight w:val="none"/>
        </w:rPr>
        <w:t>、《中华人民共和国政府采购法实施条例》、《政府采购货物和服务招标投标管理办法》等有关法律、法规、规章、文件的规定组织和实施。</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1.2 采购方式</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公开招标，是指招标采购单位依法以招标公告的方式邀请不特定的供应商参加投标。</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1.3 定义</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采购人：是指依法进行政府采购的国家机关、事业单位、团体组织，见“</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须知前附表”；</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采购代理机构：受采购人委托，在委托的范围内办理政府采购事宜的机构，见“</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须知前附表”；</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：是指参加本政府采购项目投标的供应商；</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代表：是指参加本项目投标活动的供应商法定代表人或法定代表人授权代表；</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投标联合体：是指两个以上供应商组成联合体，以一个供应商的身份参加投标；</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甲方：是指合同签订的一方，一般与采购人、用户相同；</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乙方：是指合同签订的另一方，与中标人相同；</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制造商：是指拥有投标产品自主知识产权的单位；</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1.4 联合体投标</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联合体中有同类资质的供应商按照联合体分工承担相同工作的，应当按照资质等级较低的供应商确定资质等级。</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以联合体形式参加投标的，联合体各方不得再单独参加或者与其他供应商另外组成联合体参加本项目的投标。</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1.5 投标费用</w:t>
      </w:r>
    </w:p>
    <w:p>
      <w:pPr>
        <w:adjustRightInd w:val="0"/>
        <w:snapToGrid w:val="0"/>
        <w:spacing w:line="360" w:lineRule="auto"/>
        <w:ind w:firstLine="420" w:firstLineChars="200"/>
        <w:rPr>
          <w:b/>
          <w:bCs/>
          <w:color w:val="auto"/>
          <w:sz w:val="21"/>
          <w:szCs w:val="21"/>
          <w:highlight w:val="none"/>
        </w:rPr>
      </w:pPr>
      <w:r>
        <w:rPr>
          <w:color w:val="auto"/>
          <w:sz w:val="21"/>
          <w:szCs w:val="21"/>
          <w:highlight w:val="none"/>
        </w:rPr>
        <w:t>无论招投标过程中的做法和结果如何，</w:t>
      </w:r>
      <w:r>
        <w:rPr>
          <w:rFonts w:hint="eastAsia"/>
          <w:color w:val="auto"/>
          <w:sz w:val="21"/>
          <w:szCs w:val="21"/>
          <w:highlight w:val="none"/>
        </w:rPr>
        <w:t>供应商</w:t>
      </w:r>
      <w:r>
        <w:rPr>
          <w:color w:val="auto"/>
          <w:sz w:val="21"/>
          <w:szCs w:val="21"/>
          <w:highlight w:val="none"/>
        </w:rPr>
        <w:t>自行承担招投标活动中所发生的全部费用。</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1.6 保密</w:t>
      </w:r>
    </w:p>
    <w:p>
      <w:pPr>
        <w:adjustRightInd w:val="0"/>
        <w:snapToGrid w:val="0"/>
        <w:spacing w:line="360" w:lineRule="auto"/>
        <w:ind w:firstLine="420" w:firstLineChars="200"/>
        <w:rPr>
          <w:color w:val="auto"/>
          <w:sz w:val="21"/>
          <w:szCs w:val="21"/>
          <w:highlight w:val="none"/>
        </w:rPr>
      </w:pPr>
      <w:r>
        <w:rPr>
          <w:color w:val="auto"/>
          <w:sz w:val="21"/>
          <w:szCs w:val="21"/>
          <w:highlight w:val="none"/>
        </w:rPr>
        <w:t>参与招标投标活动的各方应对采购文件和投标文件中的商业和技术等秘密保密，违者应对此造成的后果承担法律责任。</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1.7 语言文字</w:t>
      </w:r>
    </w:p>
    <w:p>
      <w:pPr>
        <w:adjustRightInd w:val="0"/>
        <w:snapToGrid w:val="0"/>
        <w:spacing w:line="360" w:lineRule="auto"/>
        <w:ind w:firstLine="420" w:firstLineChars="200"/>
        <w:rPr>
          <w:color w:val="auto"/>
          <w:sz w:val="21"/>
          <w:szCs w:val="21"/>
          <w:highlight w:val="none"/>
        </w:rPr>
      </w:pPr>
      <w:r>
        <w:rPr>
          <w:color w:val="auto"/>
          <w:sz w:val="21"/>
          <w:szCs w:val="21"/>
          <w:highlight w:val="none"/>
        </w:rPr>
        <w:t>除专用术语外，与招标投标有关的语言使用中文。专用术语应附有中文注释。</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1.8 计量单位</w:t>
      </w:r>
    </w:p>
    <w:p>
      <w:pPr>
        <w:adjustRightInd w:val="0"/>
        <w:snapToGrid w:val="0"/>
        <w:spacing w:line="360" w:lineRule="auto"/>
        <w:ind w:firstLine="420" w:firstLineChars="200"/>
        <w:rPr>
          <w:color w:val="auto"/>
          <w:sz w:val="21"/>
          <w:szCs w:val="21"/>
          <w:highlight w:val="none"/>
        </w:rPr>
      </w:pPr>
      <w:r>
        <w:rPr>
          <w:color w:val="auto"/>
          <w:sz w:val="21"/>
          <w:szCs w:val="21"/>
          <w:highlight w:val="none"/>
        </w:rPr>
        <w:t>所有计量均采用中华人民共和国法定计量单位。</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1.9 踏勘现场（如适用）</w:t>
      </w:r>
    </w:p>
    <w:p>
      <w:pPr>
        <w:adjustRightInd w:val="0"/>
        <w:snapToGrid w:val="0"/>
        <w:spacing w:line="360" w:lineRule="auto"/>
        <w:ind w:firstLine="420" w:firstLineChars="200"/>
        <w:rPr>
          <w:color w:val="auto"/>
          <w:sz w:val="21"/>
          <w:szCs w:val="21"/>
          <w:highlight w:val="none"/>
        </w:rPr>
      </w:pPr>
      <w:r>
        <w:rPr>
          <w:color w:val="auto"/>
          <w:sz w:val="21"/>
          <w:szCs w:val="21"/>
          <w:highlight w:val="none"/>
        </w:rPr>
        <w:t>1.9.1</w:t>
      </w:r>
      <w:r>
        <w:rPr>
          <w:rFonts w:hint="eastAsia"/>
          <w:color w:val="auto"/>
          <w:sz w:val="21"/>
          <w:szCs w:val="21"/>
          <w:highlight w:val="none"/>
        </w:rPr>
        <w:t>供应商</w:t>
      </w:r>
      <w:r>
        <w:rPr>
          <w:color w:val="auto"/>
          <w:sz w:val="21"/>
          <w:szCs w:val="21"/>
          <w:highlight w:val="none"/>
        </w:rPr>
        <w:t>须知前附表规定组织踏勘现场的，采购人按</w:t>
      </w:r>
      <w:r>
        <w:rPr>
          <w:rFonts w:hint="eastAsia"/>
          <w:color w:val="auto"/>
          <w:sz w:val="21"/>
          <w:szCs w:val="21"/>
          <w:highlight w:val="none"/>
        </w:rPr>
        <w:t>供应商</w:t>
      </w:r>
      <w:r>
        <w:rPr>
          <w:color w:val="auto"/>
          <w:sz w:val="21"/>
          <w:szCs w:val="21"/>
          <w:highlight w:val="none"/>
        </w:rPr>
        <w:t>须知前附表规定的时间、地点组织</w:t>
      </w:r>
      <w:r>
        <w:rPr>
          <w:rFonts w:hint="eastAsia"/>
          <w:color w:val="auto"/>
          <w:sz w:val="21"/>
          <w:szCs w:val="21"/>
          <w:highlight w:val="none"/>
        </w:rPr>
        <w:t>供应商</w:t>
      </w:r>
      <w:r>
        <w:rPr>
          <w:color w:val="auto"/>
          <w:sz w:val="21"/>
          <w:szCs w:val="21"/>
          <w:highlight w:val="none"/>
        </w:rPr>
        <w:t>踏勘项目现场。</w:t>
      </w:r>
    </w:p>
    <w:p>
      <w:pPr>
        <w:adjustRightInd w:val="0"/>
        <w:snapToGrid w:val="0"/>
        <w:spacing w:line="360" w:lineRule="auto"/>
        <w:ind w:firstLine="420" w:firstLineChars="200"/>
        <w:rPr>
          <w:color w:val="auto"/>
          <w:sz w:val="21"/>
          <w:szCs w:val="21"/>
          <w:highlight w:val="none"/>
        </w:rPr>
      </w:pPr>
      <w:r>
        <w:rPr>
          <w:color w:val="auto"/>
          <w:sz w:val="21"/>
          <w:szCs w:val="21"/>
          <w:highlight w:val="none"/>
        </w:rPr>
        <w:t>1.9.2</w:t>
      </w:r>
      <w:r>
        <w:rPr>
          <w:rFonts w:hint="eastAsia"/>
          <w:color w:val="auto"/>
          <w:sz w:val="21"/>
          <w:szCs w:val="21"/>
          <w:highlight w:val="none"/>
        </w:rPr>
        <w:t>供应商</w:t>
      </w:r>
      <w:r>
        <w:rPr>
          <w:color w:val="auto"/>
          <w:sz w:val="21"/>
          <w:szCs w:val="21"/>
          <w:highlight w:val="none"/>
        </w:rPr>
        <w:t>踏勘现场发生的费用自理。</w:t>
      </w:r>
    </w:p>
    <w:p>
      <w:pPr>
        <w:adjustRightInd w:val="0"/>
        <w:snapToGrid w:val="0"/>
        <w:spacing w:line="360" w:lineRule="auto"/>
        <w:ind w:firstLine="420" w:firstLineChars="200"/>
        <w:rPr>
          <w:color w:val="auto"/>
          <w:sz w:val="21"/>
          <w:szCs w:val="21"/>
          <w:highlight w:val="none"/>
        </w:rPr>
      </w:pPr>
      <w:r>
        <w:rPr>
          <w:color w:val="auto"/>
          <w:sz w:val="21"/>
          <w:szCs w:val="21"/>
          <w:highlight w:val="none"/>
        </w:rPr>
        <w:t>1.9.3除采购人的原因外，</w:t>
      </w:r>
      <w:r>
        <w:rPr>
          <w:rFonts w:hint="eastAsia"/>
          <w:color w:val="auto"/>
          <w:sz w:val="21"/>
          <w:szCs w:val="21"/>
          <w:highlight w:val="none"/>
        </w:rPr>
        <w:t>供应商</w:t>
      </w:r>
      <w:r>
        <w:rPr>
          <w:color w:val="auto"/>
          <w:sz w:val="21"/>
          <w:szCs w:val="21"/>
          <w:highlight w:val="none"/>
        </w:rPr>
        <w:t>自行负责在踏勘现场中所发生的人员伤亡和财产损失。</w:t>
      </w:r>
    </w:p>
    <w:p>
      <w:pPr>
        <w:adjustRightInd w:val="0"/>
        <w:snapToGrid w:val="0"/>
        <w:spacing w:line="360" w:lineRule="auto"/>
        <w:ind w:firstLine="420" w:firstLineChars="200"/>
        <w:rPr>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1.9.4采购人在踏勘现场中介绍的场地、设备和相关的周边环境情况，供供应商在编制投标文件时参考，采购人不对供应商据此作出的判断和决策负责。</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1.10 分包（如适用）</w:t>
      </w:r>
    </w:p>
    <w:p>
      <w:pPr>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供应商</w:t>
      </w:r>
      <w:r>
        <w:rPr>
          <w:color w:val="auto"/>
          <w:sz w:val="21"/>
          <w:szCs w:val="21"/>
          <w:highlight w:val="none"/>
        </w:rPr>
        <w:t>须知前附表规定允许分包的，</w:t>
      </w:r>
      <w:r>
        <w:rPr>
          <w:rFonts w:hint="eastAsia"/>
          <w:color w:val="auto"/>
          <w:sz w:val="21"/>
          <w:szCs w:val="21"/>
          <w:highlight w:val="none"/>
        </w:rPr>
        <w:t>供应商</w:t>
      </w:r>
      <w:r>
        <w:rPr>
          <w:color w:val="auto"/>
          <w:sz w:val="21"/>
          <w:szCs w:val="21"/>
          <w:highlight w:val="none"/>
        </w:rPr>
        <w:t>应当在投标文件载明分包的具体情况，应符合采购人在</w:t>
      </w:r>
      <w:r>
        <w:rPr>
          <w:rFonts w:hint="eastAsia"/>
          <w:color w:val="auto"/>
          <w:sz w:val="21"/>
          <w:szCs w:val="21"/>
          <w:highlight w:val="none"/>
        </w:rPr>
        <w:t>供应商</w:t>
      </w:r>
      <w:r>
        <w:rPr>
          <w:color w:val="auto"/>
          <w:sz w:val="21"/>
          <w:szCs w:val="21"/>
          <w:highlight w:val="none"/>
        </w:rPr>
        <w:t>须知前附表规定的分包内容、分包金额和接受分包的第三人资质要求等限制条件。</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1.11 偏离</w:t>
      </w:r>
    </w:p>
    <w:p>
      <w:pPr>
        <w:adjustRightInd w:val="0"/>
        <w:snapToGrid w:val="0"/>
        <w:spacing w:line="360" w:lineRule="auto"/>
        <w:ind w:firstLine="420" w:firstLineChars="200"/>
        <w:rPr>
          <w:color w:val="auto"/>
          <w:sz w:val="21"/>
          <w:szCs w:val="21"/>
          <w:highlight w:val="none"/>
        </w:rPr>
      </w:pPr>
      <w:r>
        <w:rPr>
          <w:color w:val="auto"/>
          <w:sz w:val="21"/>
          <w:szCs w:val="21"/>
          <w:highlight w:val="none"/>
        </w:rPr>
        <w:t>投标文件应完全响应采购文件规定的实质性内容和条件。</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1.12 其他说明</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1.12.1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pStyle w:val="176"/>
        <w:snapToGrid w:val="0"/>
        <w:spacing w:line="360" w:lineRule="auto"/>
        <w:ind w:firstLine="420"/>
        <w:rPr>
          <w:rFonts w:ascii="Times New Roman" w:hAnsi="Times New Roman"/>
          <w:color w:val="auto"/>
          <w:sz w:val="21"/>
          <w:szCs w:val="21"/>
          <w:highlight w:val="none"/>
          <w:u w:val="single"/>
        </w:rPr>
      </w:pPr>
      <w:r>
        <w:rPr>
          <w:rFonts w:ascii="Times New Roman" w:hAnsi="Times New Roman"/>
          <w:color w:val="auto"/>
          <w:sz w:val="21"/>
          <w:szCs w:val="21"/>
          <w:highlight w:val="none"/>
        </w:rPr>
        <w:t>▲1.12.2</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对所投标项内的采购内容必须全部进行投标。</w:t>
      </w:r>
    </w:p>
    <w:p>
      <w:pPr>
        <w:pStyle w:val="176"/>
        <w:snapToGrid w:val="0"/>
        <w:spacing w:line="360" w:lineRule="auto"/>
        <w:ind w:firstLine="420"/>
        <w:rPr>
          <w:rFonts w:ascii="Times New Roman" w:hAnsi="Times New Roman"/>
          <w:bCs/>
          <w:color w:val="auto"/>
          <w:sz w:val="21"/>
          <w:szCs w:val="21"/>
          <w:highlight w:val="none"/>
        </w:rPr>
      </w:pPr>
      <w:r>
        <w:rPr>
          <w:rFonts w:ascii="Times New Roman" w:hAnsi="Times New Roman"/>
          <w:color w:val="auto"/>
          <w:sz w:val="21"/>
          <w:szCs w:val="21"/>
          <w:highlight w:val="none"/>
        </w:rPr>
        <w:t>1.12.3</w:t>
      </w:r>
      <w:r>
        <w:rPr>
          <w:rFonts w:ascii="Times New Roman" w:hAnsi="Times New Roman"/>
          <w:bCs/>
          <w:color w:val="auto"/>
          <w:sz w:val="21"/>
          <w:szCs w:val="21"/>
          <w:highlight w:val="none"/>
        </w:rPr>
        <w:t>采购文件中所涉及的产品品牌或型号均为建议性要求或为代替部分技术指标描述，</w:t>
      </w:r>
      <w:r>
        <w:rPr>
          <w:rFonts w:hint="eastAsia" w:ascii="Times New Roman" w:hAnsi="Times New Roman"/>
          <w:bCs/>
          <w:color w:val="auto"/>
          <w:sz w:val="21"/>
          <w:szCs w:val="21"/>
          <w:highlight w:val="none"/>
        </w:rPr>
        <w:t>供应商</w:t>
      </w:r>
      <w:r>
        <w:rPr>
          <w:rFonts w:ascii="Times New Roman" w:hAnsi="Times New Roman"/>
          <w:bCs/>
          <w:color w:val="auto"/>
          <w:sz w:val="21"/>
          <w:szCs w:val="21"/>
          <w:highlight w:val="none"/>
        </w:rPr>
        <w:t>可以选择其他品牌型号的产品参加投标但投标产品须具有相当于或优于采购文件要求的指标、性能。否则，评标委员会将对其作出不利的评审。</w:t>
      </w:r>
    </w:p>
    <w:p>
      <w:pPr>
        <w:pStyle w:val="176"/>
        <w:snapToGrid w:val="0"/>
        <w:spacing w:line="360" w:lineRule="auto"/>
        <w:ind w:firstLine="420"/>
        <w:rPr>
          <w:rFonts w:ascii="Times New Roman" w:hAnsi="Times New Roman"/>
          <w:bCs/>
          <w:color w:val="auto"/>
          <w:sz w:val="21"/>
          <w:szCs w:val="21"/>
          <w:highlight w:val="none"/>
        </w:rPr>
      </w:pPr>
      <w:r>
        <w:rPr>
          <w:rFonts w:ascii="Times New Roman" w:hAnsi="Times New Roman"/>
          <w:bCs/>
          <w:color w:val="auto"/>
          <w:sz w:val="21"/>
          <w:szCs w:val="21"/>
          <w:highlight w:val="none"/>
        </w:rPr>
        <w:t>1.12.4采购文件中如有描述歧义或前后不一致的地方，评标委员会有权按公平、合理的原则进行评判，但对同一条款的评判适用于每个</w:t>
      </w:r>
      <w:r>
        <w:rPr>
          <w:rFonts w:hint="eastAsia" w:ascii="Times New Roman" w:hAnsi="Times New Roman"/>
          <w:bCs/>
          <w:color w:val="auto"/>
          <w:sz w:val="21"/>
          <w:szCs w:val="21"/>
          <w:highlight w:val="none"/>
        </w:rPr>
        <w:t>供应商</w:t>
      </w:r>
      <w:r>
        <w:rPr>
          <w:rFonts w:ascii="Times New Roman" w:hAnsi="Times New Roman"/>
          <w:bCs/>
          <w:color w:val="auto"/>
          <w:sz w:val="21"/>
          <w:szCs w:val="21"/>
          <w:highlight w:val="none"/>
        </w:rPr>
        <w:t>。</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bCs/>
          <w:color w:val="auto"/>
          <w:sz w:val="21"/>
          <w:szCs w:val="21"/>
          <w:highlight w:val="none"/>
        </w:rPr>
        <w:t>1.12.5投标文件的响应内容必须真实、明确、准确。否则，评标委员会将对其作出不利的评审。</w:t>
      </w:r>
    </w:p>
    <w:p>
      <w:pPr>
        <w:adjustRightInd w:val="0"/>
        <w:snapToGrid w:val="0"/>
        <w:spacing w:line="360" w:lineRule="auto"/>
        <w:ind w:firstLine="420" w:firstLineChars="200"/>
        <w:rPr>
          <w:color w:val="auto"/>
          <w:sz w:val="21"/>
          <w:szCs w:val="21"/>
          <w:highlight w:val="none"/>
        </w:rPr>
      </w:pPr>
      <w:r>
        <w:rPr>
          <w:color w:val="auto"/>
          <w:sz w:val="21"/>
          <w:szCs w:val="21"/>
          <w:highlight w:val="none"/>
        </w:rPr>
        <w:t>1.</w:t>
      </w:r>
      <w:r>
        <w:rPr>
          <w:bCs/>
          <w:color w:val="auto"/>
          <w:sz w:val="21"/>
          <w:szCs w:val="21"/>
          <w:highlight w:val="none"/>
        </w:rPr>
        <w:t>12.6</w:t>
      </w:r>
      <w:r>
        <w:rPr>
          <w:rFonts w:hint="eastAsia"/>
          <w:bCs/>
          <w:color w:val="auto"/>
          <w:sz w:val="21"/>
          <w:szCs w:val="21"/>
          <w:highlight w:val="none"/>
        </w:rPr>
        <w:t>供应商</w:t>
      </w:r>
      <w:r>
        <w:rPr>
          <w:color w:val="auto"/>
          <w:sz w:val="21"/>
          <w:szCs w:val="21"/>
          <w:highlight w:val="none"/>
        </w:rPr>
        <w:t>为履行合同引起的相关人员的差旅费、食宿费以及其它费用由</w:t>
      </w:r>
      <w:r>
        <w:rPr>
          <w:rFonts w:hint="eastAsia"/>
          <w:color w:val="auto"/>
          <w:sz w:val="21"/>
          <w:szCs w:val="21"/>
          <w:highlight w:val="none"/>
        </w:rPr>
        <w:t>供应商</w:t>
      </w:r>
      <w:r>
        <w:rPr>
          <w:color w:val="auto"/>
          <w:sz w:val="21"/>
          <w:szCs w:val="21"/>
          <w:highlight w:val="none"/>
        </w:rPr>
        <w:t>自理。合同实施过程中，须与</w:t>
      </w:r>
      <w:r>
        <w:rPr>
          <w:rFonts w:hint="eastAsia"/>
          <w:color w:val="auto"/>
          <w:sz w:val="21"/>
          <w:szCs w:val="21"/>
          <w:highlight w:val="none"/>
        </w:rPr>
        <w:t>采购人</w:t>
      </w:r>
      <w:r>
        <w:rPr>
          <w:color w:val="auto"/>
          <w:sz w:val="21"/>
          <w:szCs w:val="21"/>
          <w:highlight w:val="none"/>
        </w:rPr>
        <w:t>积极配合。</w:t>
      </w:r>
    </w:p>
    <w:p>
      <w:pPr>
        <w:adjustRightInd w:val="0"/>
        <w:snapToGrid w:val="0"/>
        <w:spacing w:line="360" w:lineRule="auto"/>
        <w:ind w:firstLine="420" w:firstLineChars="200"/>
        <w:rPr>
          <w:color w:val="auto"/>
          <w:sz w:val="21"/>
          <w:szCs w:val="21"/>
          <w:highlight w:val="none"/>
        </w:rPr>
      </w:pPr>
      <w:r>
        <w:rPr>
          <w:color w:val="auto"/>
          <w:sz w:val="21"/>
          <w:szCs w:val="21"/>
          <w:highlight w:val="none"/>
        </w:rPr>
        <w:t>1.12.7项目资金性质见</w:t>
      </w:r>
      <w:r>
        <w:rPr>
          <w:rFonts w:hint="eastAsia"/>
          <w:color w:val="auto"/>
          <w:sz w:val="21"/>
          <w:szCs w:val="21"/>
          <w:highlight w:val="none"/>
        </w:rPr>
        <w:t>供应商</w:t>
      </w:r>
      <w:r>
        <w:rPr>
          <w:color w:val="auto"/>
          <w:sz w:val="21"/>
          <w:szCs w:val="21"/>
          <w:highlight w:val="none"/>
        </w:rPr>
        <w:t>须知前附表规定，且资金已落实。</w:t>
      </w:r>
    </w:p>
    <w:p>
      <w:pPr>
        <w:adjustRightInd w:val="0"/>
        <w:snapToGrid w:val="0"/>
        <w:spacing w:line="360" w:lineRule="auto"/>
        <w:ind w:firstLine="420" w:firstLineChars="200"/>
        <w:rPr>
          <w:color w:val="auto"/>
          <w:sz w:val="21"/>
          <w:szCs w:val="21"/>
          <w:highlight w:val="none"/>
        </w:rPr>
      </w:pPr>
      <w:r>
        <w:rPr>
          <w:color w:val="auto"/>
          <w:sz w:val="21"/>
          <w:szCs w:val="21"/>
          <w:highlight w:val="none"/>
        </w:rPr>
        <w:t>1.12.8</w:t>
      </w:r>
      <w:r>
        <w:rPr>
          <w:rFonts w:hint="eastAsia"/>
          <w:color w:val="auto"/>
          <w:sz w:val="21"/>
          <w:szCs w:val="21"/>
          <w:highlight w:val="none"/>
        </w:rPr>
        <w:t>供应商</w:t>
      </w:r>
      <w:r>
        <w:rPr>
          <w:color w:val="auto"/>
          <w:sz w:val="21"/>
          <w:szCs w:val="21"/>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adjustRightInd w:val="0"/>
        <w:snapToGrid w:val="0"/>
        <w:spacing w:line="360" w:lineRule="auto"/>
        <w:ind w:firstLine="420" w:firstLineChars="200"/>
        <w:rPr>
          <w:color w:val="auto"/>
          <w:kern w:val="0"/>
          <w:sz w:val="21"/>
          <w:szCs w:val="21"/>
          <w:highlight w:val="none"/>
        </w:rPr>
      </w:pPr>
      <w:r>
        <w:rPr>
          <w:color w:val="auto"/>
          <w:sz w:val="21"/>
          <w:szCs w:val="21"/>
          <w:highlight w:val="none"/>
        </w:rPr>
        <w:t>1.12.9</w:t>
      </w:r>
      <w:r>
        <w:rPr>
          <w:color w:val="auto"/>
          <w:kern w:val="0"/>
          <w:sz w:val="21"/>
          <w:szCs w:val="21"/>
          <w:highlight w:val="none"/>
        </w:rPr>
        <w:t>单位负责人为同一人或者存在直接控股、管理关系的不同供应商，不得参加同一合同项下的政府采购活动。违反该款规定的，相关投标均无效。</w:t>
      </w:r>
    </w:p>
    <w:p>
      <w:pPr>
        <w:adjustRightInd w:val="0"/>
        <w:snapToGrid w:val="0"/>
        <w:spacing w:line="360" w:lineRule="auto"/>
        <w:ind w:firstLine="420" w:firstLineChars="200"/>
        <w:rPr>
          <w:color w:val="auto"/>
          <w:kern w:val="0"/>
          <w:sz w:val="21"/>
          <w:szCs w:val="21"/>
          <w:highlight w:val="none"/>
        </w:rPr>
      </w:pPr>
      <w:r>
        <w:rPr>
          <w:color w:val="auto"/>
          <w:kern w:val="0"/>
          <w:sz w:val="21"/>
          <w:szCs w:val="21"/>
          <w:highlight w:val="none"/>
        </w:rPr>
        <w:t>1.12.10为证明</w:t>
      </w:r>
      <w:r>
        <w:rPr>
          <w:rFonts w:hint="eastAsia"/>
          <w:color w:val="auto"/>
          <w:kern w:val="0"/>
          <w:sz w:val="21"/>
          <w:szCs w:val="21"/>
          <w:highlight w:val="none"/>
        </w:rPr>
        <w:t>供应商</w:t>
      </w:r>
      <w:r>
        <w:rPr>
          <w:color w:val="auto"/>
          <w:kern w:val="0"/>
          <w:sz w:val="21"/>
          <w:szCs w:val="21"/>
          <w:highlight w:val="none"/>
        </w:rPr>
        <w:t>拥有的人员、业绩、荣誉、知识产权、项目案例等而在投标文件中提供的证明材料必须为</w:t>
      </w:r>
      <w:r>
        <w:rPr>
          <w:rFonts w:hint="eastAsia"/>
          <w:color w:val="auto"/>
          <w:kern w:val="0"/>
          <w:sz w:val="21"/>
          <w:szCs w:val="21"/>
          <w:highlight w:val="none"/>
        </w:rPr>
        <w:t>供应商</w:t>
      </w:r>
      <w:r>
        <w:rPr>
          <w:color w:val="auto"/>
          <w:kern w:val="0"/>
          <w:sz w:val="21"/>
          <w:szCs w:val="21"/>
          <w:highlight w:val="none"/>
        </w:rPr>
        <w:t>自身所有。不同法人、其他组织的资料与</w:t>
      </w:r>
      <w:r>
        <w:rPr>
          <w:rFonts w:hint="eastAsia"/>
          <w:color w:val="auto"/>
          <w:kern w:val="0"/>
          <w:sz w:val="21"/>
          <w:szCs w:val="21"/>
          <w:highlight w:val="none"/>
        </w:rPr>
        <w:t>供应商</w:t>
      </w:r>
      <w:r>
        <w:rPr>
          <w:color w:val="auto"/>
          <w:kern w:val="0"/>
          <w:sz w:val="21"/>
          <w:szCs w:val="21"/>
          <w:highlight w:val="none"/>
        </w:rPr>
        <w:t>无关。</w:t>
      </w:r>
    </w:p>
    <w:p>
      <w:pPr>
        <w:adjustRightInd w:val="0"/>
        <w:snapToGrid w:val="0"/>
        <w:spacing w:line="360" w:lineRule="auto"/>
        <w:ind w:firstLine="420" w:firstLineChars="200"/>
        <w:rPr>
          <w:color w:val="auto"/>
          <w:kern w:val="0"/>
          <w:sz w:val="21"/>
          <w:szCs w:val="21"/>
          <w:highlight w:val="none"/>
        </w:rPr>
      </w:pPr>
      <w:r>
        <w:rPr>
          <w:color w:val="auto"/>
          <w:kern w:val="0"/>
          <w:sz w:val="21"/>
          <w:szCs w:val="21"/>
          <w:highlight w:val="none"/>
        </w:rPr>
        <w:t>1.12.11采用最低评标价法的采购项目，</w:t>
      </w:r>
      <w:r>
        <w:rPr>
          <w:bCs/>
          <w:color w:val="auto"/>
          <w:sz w:val="21"/>
          <w:szCs w:val="21"/>
          <w:highlight w:val="none"/>
        </w:rPr>
        <w:t>核心产品</w:t>
      </w:r>
      <w:r>
        <w:rPr>
          <w:color w:val="auto"/>
          <w:kern w:val="0"/>
          <w:sz w:val="21"/>
          <w:szCs w:val="21"/>
          <w:highlight w:val="none"/>
        </w:rPr>
        <w:t>提供相同品牌产品的不同</w:t>
      </w:r>
      <w:r>
        <w:rPr>
          <w:rFonts w:hint="eastAsia"/>
          <w:color w:val="auto"/>
          <w:kern w:val="0"/>
          <w:sz w:val="21"/>
          <w:szCs w:val="21"/>
          <w:highlight w:val="none"/>
        </w:rPr>
        <w:t>供应商</w:t>
      </w:r>
      <w:r>
        <w:rPr>
          <w:color w:val="auto"/>
          <w:kern w:val="0"/>
          <w:sz w:val="21"/>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auto"/>
          <w:kern w:val="0"/>
          <w:sz w:val="21"/>
          <w:szCs w:val="21"/>
          <w:highlight w:val="none"/>
        </w:rPr>
      </w:pPr>
      <w:r>
        <w:rPr>
          <w:color w:val="auto"/>
          <w:kern w:val="0"/>
          <w:sz w:val="21"/>
          <w:szCs w:val="21"/>
          <w:highlight w:val="none"/>
        </w:rPr>
        <w:t>使用综合评分法的采购项目，</w:t>
      </w:r>
      <w:r>
        <w:rPr>
          <w:bCs/>
          <w:color w:val="auto"/>
          <w:sz w:val="21"/>
          <w:szCs w:val="21"/>
          <w:highlight w:val="none"/>
        </w:rPr>
        <w:t>核心产品</w:t>
      </w:r>
      <w:r>
        <w:rPr>
          <w:color w:val="auto"/>
          <w:kern w:val="0"/>
          <w:sz w:val="21"/>
          <w:szCs w:val="21"/>
          <w:highlight w:val="none"/>
        </w:rPr>
        <w:t>提供相同品牌产品且通过资格审查、符合性审查的不同</w:t>
      </w:r>
      <w:r>
        <w:rPr>
          <w:rFonts w:hint="eastAsia"/>
          <w:color w:val="auto"/>
          <w:kern w:val="0"/>
          <w:sz w:val="21"/>
          <w:szCs w:val="21"/>
          <w:highlight w:val="none"/>
        </w:rPr>
        <w:t>供应商</w:t>
      </w:r>
      <w:r>
        <w:rPr>
          <w:color w:val="auto"/>
          <w:kern w:val="0"/>
          <w:sz w:val="21"/>
          <w:szCs w:val="21"/>
          <w:highlight w:val="none"/>
        </w:rPr>
        <w:t>参加同一合同项下投标的，按一家</w:t>
      </w:r>
      <w:r>
        <w:rPr>
          <w:rFonts w:hint="eastAsia"/>
          <w:color w:val="auto"/>
          <w:kern w:val="0"/>
          <w:sz w:val="21"/>
          <w:szCs w:val="21"/>
          <w:highlight w:val="none"/>
        </w:rPr>
        <w:t>供应商</w:t>
      </w:r>
      <w:r>
        <w:rPr>
          <w:color w:val="auto"/>
          <w:kern w:val="0"/>
          <w:sz w:val="21"/>
          <w:szCs w:val="21"/>
          <w:highlight w:val="none"/>
        </w:rPr>
        <w:t>计算，评审后得分最高的同品牌</w:t>
      </w:r>
      <w:r>
        <w:rPr>
          <w:rFonts w:hint="eastAsia"/>
          <w:color w:val="auto"/>
          <w:kern w:val="0"/>
          <w:sz w:val="21"/>
          <w:szCs w:val="21"/>
          <w:highlight w:val="none"/>
        </w:rPr>
        <w:t>供应商</w:t>
      </w:r>
      <w:r>
        <w:rPr>
          <w:color w:val="auto"/>
          <w:kern w:val="0"/>
          <w:sz w:val="21"/>
          <w:szCs w:val="21"/>
          <w:highlight w:val="none"/>
        </w:rPr>
        <w:t>获得中标人推荐资格；评审得分相同的，由评标委员会按照商务技术部分得分最高的</w:t>
      </w:r>
      <w:r>
        <w:rPr>
          <w:rFonts w:hint="eastAsia"/>
          <w:color w:val="auto"/>
          <w:kern w:val="0"/>
          <w:sz w:val="21"/>
          <w:szCs w:val="21"/>
          <w:highlight w:val="none"/>
        </w:rPr>
        <w:t>供应商</w:t>
      </w:r>
      <w:r>
        <w:rPr>
          <w:color w:val="auto"/>
          <w:kern w:val="0"/>
          <w:sz w:val="21"/>
          <w:szCs w:val="21"/>
          <w:highlight w:val="none"/>
        </w:rPr>
        <w:t>获得中标人推荐资格，其他同品牌</w:t>
      </w:r>
      <w:r>
        <w:rPr>
          <w:rFonts w:hint="eastAsia"/>
          <w:color w:val="auto"/>
          <w:kern w:val="0"/>
          <w:sz w:val="21"/>
          <w:szCs w:val="21"/>
          <w:highlight w:val="none"/>
        </w:rPr>
        <w:t>供应商</w:t>
      </w:r>
      <w:r>
        <w:rPr>
          <w:color w:val="auto"/>
          <w:kern w:val="0"/>
          <w:sz w:val="21"/>
          <w:szCs w:val="21"/>
          <w:highlight w:val="none"/>
        </w:rPr>
        <w:t>不作为中标候选人。</w:t>
      </w:r>
    </w:p>
    <w:p>
      <w:pPr>
        <w:pStyle w:val="5"/>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二、采购文件</w:t>
      </w:r>
      <w:bookmarkEnd w:id="16"/>
      <w:bookmarkEnd w:id="17"/>
    </w:p>
    <w:p>
      <w:pPr>
        <w:pStyle w:val="6"/>
        <w:spacing w:line="360" w:lineRule="auto"/>
        <w:ind w:firstLine="422"/>
        <w:rPr>
          <w:rFonts w:ascii="Times New Roman" w:hAnsi="Times New Roman"/>
          <w:color w:val="auto"/>
          <w:sz w:val="21"/>
          <w:szCs w:val="21"/>
          <w:highlight w:val="none"/>
        </w:rPr>
      </w:pPr>
      <w:bookmarkStart w:id="18" w:name="_Toc82338241"/>
      <w:bookmarkStart w:id="19" w:name="_Toc82873324"/>
      <w:r>
        <w:rPr>
          <w:rFonts w:ascii="Times New Roman" w:hAnsi="Times New Roman"/>
          <w:color w:val="auto"/>
          <w:sz w:val="21"/>
          <w:szCs w:val="21"/>
          <w:highlight w:val="none"/>
        </w:rPr>
        <w:t>2.1 采购文件组成</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2.1.1第一章  招标公告</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2.1.2</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须知前附表</w:t>
      </w:r>
      <w:r>
        <w:rPr>
          <w:rFonts w:ascii="Times New Roman" w:hAnsi="Times New Roman"/>
          <w:color w:val="auto"/>
          <w:sz w:val="21"/>
          <w:szCs w:val="21"/>
          <w:highlight w:val="none"/>
        </w:rPr>
        <w:tab/>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2.1.3第二章  采购内容及需求</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 xml:space="preserve">2.1.4第三章  </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须知</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2.1.5第四章  评标办法</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2.1.6第五章  采购合同</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2.1.7第六章  投标文件格式</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2.1.8补充文件</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2.2 采购文件的解释权</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采购文件的解释权归采购人所有。</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2.3 采购文件的质疑</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2.3.1</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认为采购文件规定内容使自己的合法权益受到损害的，</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可以提出书面质疑。</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2.3.2质疑书须包括以下内容：</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（一）供应商的姓名或者名称、地址、邮编、联系人及联系电话；</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（二）质疑项目的名称、编号；</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（三）具体、明确的质疑事项和与质疑事项相关的请求；</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（四）事实依据；</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（五）必要的法律依据；</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（六）提出质疑的日期。</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2.3.3质疑期限为</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收到采购文件之日或者招标公告期限届满之日起7个工作日内向采购代理机构提出。</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2.3.4质疑书中涉及的相关材料中有外文资料的，应当将与质疑相关的外文资料完整、客观、真实地翻译为中文，并注明翻译人员姓名、工作单位、联系方式等信息。</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2.3.5质疑书必须署名，供应商为自然人的，应当由本人签字；供应商为法人或者其他组织的，应当由法定代表人、主要负责人，或者其授权代表签字或者盖章，并加盖公章，否则不予受理。</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2.3.6质疑书以直接提交、传真或邮寄方式提交（一式三份）。</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2.3.7质疑书以传真形式提交后，同时须向采购代理机构提交质疑书原件，实际收到原件之日作为收到质疑日。</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2.4 采购文件的澄清</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见供应商须知前附表“采购文件的澄清和修改”。</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2.5 采购文件的修改</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见供应商须知前附表“采购文件的澄清和修改”。</w:t>
      </w:r>
    </w:p>
    <w:p>
      <w:pPr>
        <w:pStyle w:val="5"/>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三、投标文件</w:t>
      </w:r>
      <w:bookmarkEnd w:id="18"/>
      <w:bookmarkEnd w:id="19"/>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3.1 投标文件</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 xml:space="preserve">3.1.1 </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应仔细阅读采购文件规定的所有内容，以保证能全面准确理解采购文件，并按照采购文件要求，详细编制投标文件，投标文件内容必须针对本次招标响应。</w:t>
      </w:r>
    </w:p>
    <w:p>
      <w:pPr>
        <w:pStyle w:val="176"/>
        <w:snapToGrid w:val="0"/>
        <w:spacing w:line="360" w:lineRule="auto"/>
        <w:ind w:firstLine="420"/>
        <w:rPr>
          <w:rFonts w:ascii="Times New Roman" w:hAnsi="Times New Roman"/>
          <w:bCs/>
          <w:color w:val="auto"/>
          <w:sz w:val="21"/>
          <w:szCs w:val="21"/>
          <w:highlight w:val="none"/>
        </w:rPr>
      </w:pPr>
      <w:r>
        <w:rPr>
          <w:rFonts w:ascii="Times New Roman" w:hAnsi="Times New Roman"/>
          <w:color w:val="auto"/>
          <w:sz w:val="21"/>
          <w:szCs w:val="21"/>
          <w:highlight w:val="none"/>
        </w:rPr>
        <w:t>3.1.2</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必须按采购文件的要求提供相关资料，并对采购文件中提出的所有内容要求给予实质性响应，须保证投标文件的准确、真实、明确</w:t>
      </w:r>
      <w:r>
        <w:rPr>
          <w:rFonts w:ascii="Times New Roman" w:hAnsi="Times New Roman"/>
          <w:bCs/>
          <w:color w:val="auto"/>
          <w:sz w:val="21"/>
          <w:szCs w:val="21"/>
          <w:highlight w:val="none"/>
        </w:rPr>
        <w:t>。投标文件响应内容对采购文件要求如有偏离均应填写偏离表，如不填写，采购人有权视作投标文件完全响应采购文件要求。</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3.2 投标文件组成</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3.2.1报价文件</w:t>
      </w:r>
    </w:p>
    <w:p>
      <w:pPr>
        <w:pStyle w:val="176"/>
        <w:snapToGrid w:val="0"/>
        <w:spacing w:line="360" w:lineRule="auto"/>
        <w:ind w:left="420"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（1）开标一览表；</w:t>
      </w:r>
    </w:p>
    <w:p>
      <w:pPr>
        <w:pStyle w:val="176"/>
        <w:tabs>
          <w:tab w:val="left" w:pos="454"/>
        </w:tabs>
        <w:snapToGrid w:val="0"/>
        <w:spacing w:line="360" w:lineRule="auto"/>
        <w:ind w:left="420"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（2）投标价格组成明细表；</w:t>
      </w:r>
    </w:p>
    <w:p>
      <w:pPr>
        <w:pStyle w:val="176"/>
        <w:tabs>
          <w:tab w:val="left" w:pos="454"/>
        </w:tabs>
        <w:snapToGrid w:val="0"/>
        <w:spacing w:line="360" w:lineRule="auto"/>
        <w:ind w:left="420" w:firstLine="0" w:firstLineChars="0"/>
        <w:rPr>
          <w:rFonts w:ascii="Times New Roman" w:hAnsi="Times New Roman"/>
          <w:color w:val="auto"/>
          <w:sz w:val="21"/>
          <w:szCs w:val="21"/>
          <w:highlight w:val="none"/>
        </w:rPr>
      </w:pPr>
      <w:r>
        <w:rPr>
          <w:rFonts w:ascii="Times New Roman" w:hAnsi="Times New Roman"/>
          <w:color w:val="auto"/>
          <w:sz w:val="21"/>
          <w:szCs w:val="21"/>
          <w:highlight w:val="none"/>
        </w:rPr>
        <w:t>（3）</w:t>
      </w:r>
      <w:r>
        <w:rPr>
          <w:rFonts w:ascii="Times New Roman" w:hAnsi="Times New Roman"/>
          <w:color w:val="auto"/>
          <w:sz w:val="21"/>
          <w:szCs w:val="21"/>
          <w:highlight w:val="none"/>
        </w:rPr>
        <w:tab/>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认为有必要提供的其它文件。</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3.2.2</w:t>
      </w:r>
      <w:r>
        <w:rPr>
          <w:rFonts w:hint="eastAsia" w:ascii="Times New Roman" w:hAnsi="Times New Roman"/>
          <w:color w:val="auto"/>
          <w:sz w:val="21"/>
          <w:szCs w:val="21"/>
          <w:highlight w:val="none"/>
        </w:rPr>
        <w:t>资格文件</w:t>
      </w:r>
    </w:p>
    <w:p>
      <w:pPr>
        <w:pStyle w:val="176"/>
        <w:snapToGrid w:val="0"/>
        <w:spacing w:line="360" w:lineRule="auto"/>
        <w:ind w:firstLine="420"/>
        <w:rPr>
          <w:rFonts w:ascii="Times New Roman" w:hAnsi="Times New Roman"/>
          <w:color w:val="auto"/>
          <w:sz w:val="21"/>
          <w:szCs w:val="21"/>
          <w:highlight w:val="none"/>
        </w:rPr>
      </w:pPr>
      <w:r>
        <w:rPr>
          <w:rFonts w:hint="eastAsia"/>
          <w:color w:val="auto"/>
          <w:sz w:val="21"/>
          <w:szCs w:val="21"/>
          <w:highlight w:val="none"/>
        </w:rPr>
        <w:t>以联合体形式参加本项目投标的，联合体各方均应当提供如下资格证明材料。</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（1）符合《中华人民共和国政府采购法》第二十二条规定的相关证明材料；</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各投标人须在投标文件中出具对应证明材料。（商业信誉可提前自查，投标文件中可不提供）</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a.具有独立承担民事责任能力的证明材料；</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投标人须在投标文件中出具符合以下情况的证明材料复印件（五选一）：</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①　如投标人是企业（包括合伙企业），提供在工商部门注册的有效“企业法人营业执照”或“营业执照”；</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②　如投标人是事业单位，提供有效的“事业单位法人证书”；</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③　如投标人是非企业专业服务机构的，提供执业许可证等证明文件；</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④　如投标人是个体工商户，提供有效的“个体工商户营业执照”；</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⑤　如投标人是自然人，提供有效的自然人身份证明（居民身份证正反面或公安机关出具的临时居民身份证正反面或港澳台胞证或护照）。</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b.符合参与政府采购活动资格条件的承诺函；</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c.商业信誉：</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对列入失信被执行人、重大税收违法案件当事人名单、政府采购严重违法失信行为记录名单的投标人，其投标将作无效标处理。</w:t>
      </w:r>
    </w:p>
    <w:p>
      <w:pPr>
        <w:pStyle w:val="176"/>
        <w:snapToGrid w:val="0"/>
        <w:spacing w:line="360" w:lineRule="auto"/>
        <w:ind w:firstLine="420"/>
        <w:rPr>
          <w:rFonts w:ascii="Times New Roman" w:hAnsi="Times New Roman"/>
          <w:color w:val="auto"/>
          <w:sz w:val="21"/>
          <w:szCs w:val="21"/>
          <w:highlight w:val="none"/>
        </w:rPr>
      </w:pPr>
      <w:r>
        <w:rPr>
          <w:rFonts w:hint="eastAsia"/>
          <w:color w:val="auto"/>
          <w:sz w:val="21"/>
          <w:szCs w:val="21"/>
          <w:highlight w:val="none"/>
        </w:rPr>
        <w:t>（2）落实政府采购政策需满足的资格要求：无</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（3）特定资格条件：无。</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（4）联合协议（如为联合体投标）。</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3.2.</w:t>
      </w:r>
      <w:r>
        <w:rPr>
          <w:rFonts w:hint="eastAsia" w:ascii="Times New Roman" w:hAnsi="Times New Roman"/>
          <w:color w:val="auto"/>
          <w:sz w:val="21"/>
          <w:szCs w:val="21"/>
          <w:highlight w:val="none"/>
        </w:rPr>
        <w:t>3</w:t>
      </w:r>
      <w:r>
        <w:rPr>
          <w:rFonts w:ascii="Times New Roman" w:hAnsi="Times New Roman"/>
          <w:color w:val="auto"/>
          <w:sz w:val="21"/>
          <w:szCs w:val="21"/>
          <w:highlight w:val="none"/>
        </w:rPr>
        <w:t>商务技术文件</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w:t>
      </w:r>
      <w:r>
        <w:rPr>
          <w:rFonts w:hint="eastAsia" w:ascii="Times New Roman" w:hAnsi="Times New Roman"/>
          <w:color w:val="auto"/>
          <w:sz w:val="21"/>
          <w:szCs w:val="21"/>
          <w:highlight w:val="none"/>
        </w:rPr>
        <w:t>1</w:t>
      </w:r>
      <w:r>
        <w:rPr>
          <w:rFonts w:ascii="Times New Roman" w:hAnsi="Times New Roman"/>
          <w:color w:val="auto"/>
          <w:sz w:val="21"/>
          <w:szCs w:val="21"/>
          <w:highlight w:val="none"/>
        </w:rPr>
        <w:t>）投标函；</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w:t>
      </w:r>
      <w:r>
        <w:rPr>
          <w:rFonts w:hint="eastAsia" w:ascii="Times New Roman" w:hAnsi="Times New Roman"/>
          <w:color w:val="auto"/>
          <w:sz w:val="21"/>
          <w:szCs w:val="21"/>
          <w:highlight w:val="none"/>
        </w:rPr>
        <w:t>2</w:t>
      </w:r>
      <w:r>
        <w:rPr>
          <w:rFonts w:ascii="Times New Roman" w:hAnsi="Times New Roman"/>
          <w:color w:val="auto"/>
          <w:sz w:val="21"/>
          <w:szCs w:val="21"/>
          <w:highlight w:val="none"/>
        </w:rPr>
        <w:t>）法定代表人资格证明书；</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w:t>
      </w:r>
      <w:r>
        <w:rPr>
          <w:rFonts w:hint="eastAsia" w:ascii="Times New Roman" w:hAnsi="Times New Roman"/>
          <w:color w:val="auto"/>
          <w:sz w:val="21"/>
          <w:szCs w:val="21"/>
          <w:highlight w:val="none"/>
        </w:rPr>
        <w:t>3</w:t>
      </w:r>
      <w:r>
        <w:rPr>
          <w:rFonts w:ascii="Times New Roman" w:hAnsi="Times New Roman"/>
          <w:color w:val="auto"/>
          <w:sz w:val="21"/>
          <w:szCs w:val="21"/>
          <w:highlight w:val="none"/>
        </w:rPr>
        <w:t>）法定代表人授权委托书（法定代表人签署不需提供此书）；</w:t>
      </w:r>
    </w:p>
    <w:p>
      <w:pPr>
        <w:pStyle w:val="176"/>
        <w:snapToGrid w:val="0"/>
        <w:spacing w:line="360" w:lineRule="auto"/>
        <w:ind w:firstLine="1050" w:firstLineChars="500"/>
        <w:rPr>
          <w:rFonts w:ascii="Times New Roman" w:hAnsi="Times New Roman"/>
          <w:color w:val="auto"/>
          <w:sz w:val="21"/>
          <w:szCs w:val="21"/>
          <w:highlight w:val="none"/>
        </w:rPr>
      </w:pPr>
      <w:r>
        <w:rPr>
          <w:rFonts w:ascii="Times New Roman" w:hAnsi="Times New Roman"/>
          <w:color w:val="auto"/>
          <w:sz w:val="21"/>
          <w:szCs w:val="21"/>
          <w:highlight w:val="none"/>
        </w:rPr>
        <w:t>法定代表人及授权代表身份证正反面复印件；</w:t>
      </w:r>
    </w:p>
    <w:p>
      <w:pPr>
        <w:pStyle w:val="176"/>
        <w:snapToGrid w:val="0"/>
        <w:spacing w:line="360" w:lineRule="auto"/>
        <w:ind w:firstLine="1050" w:firstLineChars="500"/>
        <w:rPr>
          <w:rFonts w:ascii="Times New Roman" w:hAnsi="Times New Roman"/>
          <w:color w:val="auto"/>
          <w:sz w:val="21"/>
          <w:szCs w:val="21"/>
          <w:highlight w:val="none"/>
        </w:rPr>
      </w:pPr>
      <w:r>
        <w:rPr>
          <w:rFonts w:ascii="Times New Roman" w:hAnsi="Times New Roman"/>
          <w:color w:val="auto"/>
          <w:sz w:val="21"/>
          <w:szCs w:val="21"/>
          <w:highlight w:val="none"/>
        </w:rPr>
        <w:t>社保机构出具的投标截止日前6个月内授权代表的投标单位社保缴纳证明，任职不足6个月的可提供劳动合同证明文件；</w:t>
      </w:r>
    </w:p>
    <w:p>
      <w:pPr>
        <w:spacing w:line="360" w:lineRule="auto"/>
        <w:ind w:firstLine="420" w:firstLineChars="200"/>
        <w:rPr>
          <w:color w:val="auto"/>
          <w:sz w:val="21"/>
          <w:szCs w:val="21"/>
          <w:highlight w:val="none"/>
        </w:rPr>
      </w:pPr>
      <w:r>
        <w:rPr>
          <w:color w:val="auto"/>
          <w:sz w:val="21"/>
          <w:szCs w:val="21"/>
          <w:highlight w:val="none"/>
        </w:rPr>
        <w:t>（</w:t>
      </w:r>
      <w:r>
        <w:rPr>
          <w:rFonts w:hint="eastAsia"/>
          <w:color w:val="auto"/>
          <w:sz w:val="21"/>
          <w:szCs w:val="21"/>
          <w:highlight w:val="none"/>
        </w:rPr>
        <w:t>4</w:t>
      </w:r>
      <w:r>
        <w:rPr>
          <w:color w:val="auto"/>
          <w:sz w:val="21"/>
          <w:szCs w:val="21"/>
          <w:highlight w:val="none"/>
        </w:rPr>
        <w:t>）中小企业声明函（如有）</w:t>
      </w:r>
      <w:r>
        <w:rPr>
          <w:rFonts w:hint="eastAsia"/>
          <w:color w:val="auto"/>
          <w:sz w:val="21"/>
          <w:szCs w:val="21"/>
          <w:highlight w:val="none"/>
        </w:rPr>
        <w:t>；</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w:t>
      </w:r>
      <w:r>
        <w:rPr>
          <w:rFonts w:hint="eastAsia" w:ascii="Times New Roman" w:hAnsi="Times New Roman"/>
          <w:color w:val="auto"/>
          <w:sz w:val="21"/>
          <w:szCs w:val="21"/>
          <w:highlight w:val="none"/>
        </w:rPr>
        <w:t>5</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为监狱企业的证明文件：省级以上监狱管理局、戒毒管理局（含新疆生产建设兵团）出具</w:t>
      </w:r>
      <w:r>
        <w:rPr>
          <w:rFonts w:hint="eastAsia" w:ascii="Times New Roman" w:hAnsi="Times New Roman"/>
          <w:color w:val="auto"/>
          <w:sz w:val="21"/>
          <w:szCs w:val="21"/>
          <w:highlight w:val="none"/>
        </w:rPr>
        <w:t>（如有）；</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w:t>
      </w:r>
      <w:r>
        <w:rPr>
          <w:rFonts w:hint="eastAsia" w:ascii="Times New Roman" w:hAnsi="Times New Roman"/>
          <w:color w:val="auto"/>
          <w:sz w:val="21"/>
          <w:szCs w:val="21"/>
          <w:highlight w:val="none"/>
        </w:rPr>
        <w:t>6</w:t>
      </w:r>
      <w:r>
        <w:rPr>
          <w:rFonts w:ascii="Times New Roman" w:hAnsi="Times New Roman"/>
          <w:color w:val="auto"/>
          <w:sz w:val="21"/>
          <w:szCs w:val="21"/>
          <w:highlight w:val="none"/>
        </w:rPr>
        <w:t>）残疾人福利性单位声明函（如有）</w:t>
      </w:r>
      <w:r>
        <w:rPr>
          <w:rFonts w:ascii="Times New Roman" w:hAnsi="Times New Roman"/>
          <w:color w:val="auto"/>
          <w:sz w:val="21"/>
          <w:szCs w:val="21"/>
          <w:highlight w:val="none"/>
        </w:rPr>
        <w:tab/>
      </w:r>
      <w:r>
        <w:rPr>
          <w:rFonts w:hint="eastAsia" w:ascii="Times New Roman" w:hAnsi="Times New Roman"/>
          <w:color w:val="auto"/>
          <w:sz w:val="21"/>
          <w:szCs w:val="21"/>
          <w:highlight w:val="none"/>
        </w:rPr>
        <w:t>；</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（7）分包意向协议（如有分包）；</w:t>
      </w:r>
    </w:p>
    <w:p>
      <w:pPr>
        <w:pStyle w:val="176"/>
        <w:snapToGrid w:val="0"/>
        <w:spacing w:line="360" w:lineRule="auto"/>
        <w:ind w:firstLine="42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w:t>
      </w:r>
      <w:r>
        <w:rPr>
          <w:rFonts w:ascii="Times New Roman" w:hAnsi="Times New Roman"/>
          <w:color w:val="auto"/>
          <w:sz w:val="21"/>
          <w:szCs w:val="21"/>
          <w:highlight w:val="none"/>
        </w:rPr>
        <w:t>8</w:t>
      </w:r>
      <w:r>
        <w:rPr>
          <w:rFonts w:hint="eastAsia" w:ascii="Times New Roman" w:hAnsi="Times New Roman"/>
          <w:color w:val="auto"/>
          <w:sz w:val="21"/>
          <w:szCs w:val="21"/>
          <w:highlight w:val="none"/>
        </w:rPr>
        <w:t>）中标服务费支付承诺书；</w:t>
      </w:r>
    </w:p>
    <w:p>
      <w:pPr>
        <w:pStyle w:val="176"/>
        <w:snapToGrid w:val="0"/>
        <w:spacing w:line="360" w:lineRule="auto"/>
        <w:ind w:firstLine="420"/>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9</w:t>
      </w:r>
      <w:r>
        <w:rPr>
          <w:rFonts w:hint="eastAsia" w:ascii="Times New Roman" w:hAnsi="Times New Roman"/>
          <w:color w:val="auto"/>
          <w:sz w:val="21"/>
          <w:szCs w:val="21"/>
          <w:highlight w:val="none"/>
          <w:lang w:eastAsia="zh-CN"/>
        </w:rPr>
        <w:t>）</w:t>
      </w:r>
      <w:r>
        <w:rPr>
          <w:rFonts w:hint="eastAsia"/>
          <w:color w:val="auto"/>
          <w:sz w:val="21"/>
          <w:szCs w:val="21"/>
          <w:highlight w:val="none"/>
          <w:lang w:val="en-US" w:eastAsia="zh-CN"/>
        </w:rPr>
        <w:t>供应商</w:t>
      </w:r>
      <w:r>
        <w:rPr>
          <w:rFonts w:hint="eastAsia"/>
          <w:color w:val="auto"/>
          <w:sz w:val="21"/>
          <w:szCs w:val="21"/>
          <w:highlight w:val="none"/>
        </w:rPr>
        <w:t>体系认证</w:t>
      </w:r>
      <w:r>
        <w:rPr>
          <w:rFonts w:hint="eastAsia"/>
          <w:color w:val="auto"/>
          <w:sz w:val="21"/>
          <w:szCs w:val="21"/>
          <w:highlight w:val="none"/>
          <w:lang w:eastAsia="zh-CN"/>
        </w:rPr>
        <w:t>：有效的质量管理体系认证证书、环境管理体系认证证书、职业健康安全管理体系认证证书。提供证书复印件</w:t>
      </w:r>
    </w:p>
    <w:p>
      <w:pPr>
        <w:pStyle w:val="176"/>
        <w:snapToGrid w:val="0"/>
        <w:spacing w:line="360" w:lineRule="auto"/>
        <w:ind w:firstLine="420"/>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10</w:t>
      </w:r>
      <w:r>
        <w:rPr>
          <w:rFonts w:hint="eastAsia" w:ascii="Times New Roman" w:hAnsi="Times New Roman"/>
          <w:color w:val="auto"/>
          <w:sz w:val="21"/>
          <w:szCs w:val="21"/>
          <w:highlight w:val="none"/>
          <w:lang w:eastAsia="zh-CN"/>
        </w:rPr>
        <w:t>）</w:t>
      </w:r>
      <w:r>
        <w:rPr>
          <w:rFonts w:hint="eastAsia"/>
          <w:color w:val="auto"/>
          <w:sz w:val="21"/>
          <w:szCs w:val="21"/>
          <w:highlight w:val="none"/>
        </w:rPr>
        <w:t>同类项目案例</w:t>
      </w:r>
      <w:r>
        <w:rPr>
          <w:rFonts w:hint="eastAsia"/>
          <w:color w:val="auto"/>
          <w:sz w:val="21"/>
          <w:szCs w:val="21"/>
          <w:highlight w:val="none"/>
          <w:lang w:eastAsia="zh-CN"/>
        </w:rPr>
        <w:t>：供应商2019年12月1日至响应文件递交截止时间（以合同签订时间为准）的同类项目案例（服务内容需包含保洁及运送服务），同时提供合同复印件和业主评价表（或考核表）且反馈内容为好评（或优秀）的。证明材料：合同复印件及业主反馈表（或其他形式的反馈意见）须加盖业主单位章（格式不限）</w:t>
      </w:r>
    </w:p>
    <w:p>
      <w:pPr>
        <w:pStyle w:val="176"/>
        <w:snapToGrid w:val="0"/>
        <w:spacing w:line="360" w:lineRule="auto"/>
        <w:ind w:firstLine="420"/>
        <w:rPr>
          <w:rFonts w:hint="eastAsia"/>
          <w:color w:val="auto"/>
          <w:sz w:val="21"/>
          <w:szCs w:val="21"/>
          <w:highlight w:val="none"/>
        </w:rPr>
      </w:pP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11</w:t>
      </w:r>
      <w:r>
        <w:rPr>
          <w:rFonts w:hint="eastAsia" w:ascii="Times New Roman" w:hAnsi="Times New Roman"/>
          <w:color w:val="auto"/>
          <w:sz w:val="21"/>
          <w:szCs w:val="21"/>
          <w:highlight w:val="none"/>
          <w:lang w:eastAsia="zh-CN"/>
        </w:rPr>
        <w:t>）</w:t>
      </w:r>
      <w:r>
        <w:rPr>
          <w:rFonts w:hint="eastAsia"/>
          <w:color w:val="auto"/>
          <w:sz w:val="21"/>
          <w:szCs w:val="21"/>
          <w:highlight w:val="none"/>
        </w:rPr>
        <w:t>服务方案</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11.1</w:t>
      </w:r>
      <w:r>
        <w:rPr>
          <w:rFonts w:hint="eastAsia"/>
          <w:color w:val="auto"/>
          <w:sz w:val="21"/>
          <w:szCs w:val="21"/>
          <w:highlight w:val="none"/>
        </w:rPr>
        <w:t>运送中心服务方案：提供详细的中央运送工作方案，方案中体现信息化手段的支持，有患者、各类标本、物资、器械、药品等运送程序的详细说明，还包括组织架构、岗位职责，培训体系、考核办法等详细说明。</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11.2</w:t>
      </w:r>
      <w:r>
        <w:rPr>
          <w:rFonts w:hint="eastAsia"/>
          <w:color w:val="auto"/>
          <w:sz w:val="21"/>
          <w:szCs w:val="21"/>
          <w:highlight w:val="none"/>
        </w:rPr>
        <w:t>保洁服务方案：提供详细的保洁服务方案，方案中体现科学智能的管理人员日常巡检制度，有医院各个区域详细的保洁分析以及日后工作标准，方案中体现现场员工实操操作程序。</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11.3</w:t>
      </w:r>
      <w:r>
        <w:rPr>
          <w:rFonts w:hint="eastAsia"/>
          <w:color w:val="auto"/>
          <w:sz w:val="21"/>
          <w:szCs w:val="21"/>
          <w:highlight w:val="none"/>
        </w:rPr>
        <w:t>工作交接过渡方案：针对本项目提出的各项工作要求，提供科学可行的交接过渡方案。</w:t>
      </w:r>
    </w:p>
    <w:p>
      <w:pPr>
        <w:pStyle w:val="176"/>
        <w:snapToGrid w:val="0"/>
        <w:spacing w:line="360" w:lineRule="auto"/>
        <w:ind w:firstLine="420"/>
        <w:rPr>
          <w:rFonts w:hint="eastAsia"/>
          <w:color w:val="auto"/>
          <w:sz w:val="21"/>
          <w:szCs w:val="21"/>
          <w:highlight w:val="none"/>
          <w:lang w:eastAsia="zh-CN"/>
        </w:rPr>
      </w:pPr>
      <w:r>
        <w:rPr>
          <w:rFonts w:hint="eastAsia"/>
          <w:color w:val="auto"/>
          <w:sz w:val="21"/>
          <w:szCs w:val="21"/>
          <w:highlight w:val="none"/>
          <w:lang w:val="en-US" w:eastAsia="zh-CN"/>
        </w:rPr>
        <w:t>11.4</w:t>
      </w:r>
      <w:r>
        <w:rPr>
          <w:rFonts w:hint="eastAsia"/>
          <w:color w:val="auto"/>
          <w:sz w:val="21"/>
          <w:szCs w:val="21"/>
          <w:highlight w:val="none"/>
        </w:rPr>
        <w:t>人员到岗承诺：根据人员到岗要求提供人员到岗时间计划承诺</w:t>
      </w:r>
      <w:r>
        <w:rPr>
          <w:rFonts w:hint="eastAsia"/>
          <w:color w:val="auto"/>
          <w:sz w:val="21"/>
          <w:szCs w:val="21"/>
          <w:highlight w:val="none"/>
          <w:lang w:eastAsia="zh-CN"/>
        </w:rPr>
        <w:t>。</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11.5</w:t>
      </w:r>
      <w:r>
        <w:rPr>
          <w:rFonts w:hint="eastAsia"/>
          <w:color w:val="auto"/>
          <w:sz w:val="21"/>
          <w:szCs w:val="21"/>
          <w:highlight w:val="none"/>
        </w:rPr>
        <w:t>地面专项保养服务方案：地面保养服务方案的全面性、科学性，提供详细的PVC、大理石等地面的保养方式、程序，各程序使用养护剂情况。</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11.6</w:t>
      </w:r>
      <w:r>
        <w:rPr>
          <w:rFonts w:hint="eastAsia"/>
          <w:color w:val="auto"/>
          <w:sz w:val="21"/>
          <w:szCs w:val="21"/>
          <w:highlight w:val="none"/>
        </w:rPr>
        <w:t>司梯服务方案</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11.7</w:t>
      </w:r>
      <w:r>
        <w:rPr>
          <w:rFonts w:hint="eastAsia"/>
          <w:color w:val="auto"/>
          <w:sz w:val="21"/>
          <w:szCs w:val="21"/>
          <w:highlight w:val="none"/>
        </w:rPr>
        <w:t>生活垃圾服务方案：根据生活垃圾分类的具体要求，有详细的生活垃圾分类具体工作实施方案。</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11.8</w:t>
      </w:r>
      <w:r>
        <w:rPr>
          <w:rFonts w:hint="eastAsia"/>
          <w:color w:val="auto"/>
          <w:sz w:val="21"/>
          <w:szCs w:val="21"/>
          <w:highlight w:val="none"/>
        </w:rPr>
        <w:t>医疗废弃物服务方案：医疗废弃物的收集、集中管理、交接方案。</w:t>
      </w:r>
    </w:p>
    <w:p>
      <w:pPr>
        <w:pStyle w:val="176"/>
        <w:snapToGrid w:val="0"/>
        <w:spacing w:line="360" w:lineRule="auto"/>
        <w:ind w:firstLine="420"/>
        <w:rPr>
          <w:rFonts w:hint="eastAsia"/>
          <w:color w:val="auto"/>
          <w:sz w:val="21"/>
          <w:szCs w:val="21"/>
          <w:highlight w:val="none"/>
          <w:lang w:val="en-US" w:eastAsia="zh-CN"/>
        </w:rPr>
      </w:pPr>
      <w:r>
        <w:rPr>
          <w:rFonts w:hint="eastAsia"/>
          <w:color w:val="auto"/>
          <w:sz w:val="21"/>
          <w:szCs w:val="21"/>
          <w:highlight w:val="none"/>
          <w:lang w:val="en-US" w:eastAsia="zh-CN"/>
        </w:rPr>
        <w:t>11.9设备运维服务方案。</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11.10</w:t>
      </w:r>
      <w:r>
        <w:rPr>
          <w:rFonts w:hint="eastAsia"/>
          <w:color w:val="auto"/>
          <w:sz w:val="21"/>
          <w:szCs w:val="21"/>
          <w:highlight w:val="none"/>
        </w:rPr>
        <w:t>防止院</w:t>
      </w:r>
      <w:r>
        <w:rPr>
          <w:rFonts w:hint="eastAsia"/>
          <w:color w:val="auto"/>
          <w:sz w:val="21"/>
          <w:szCs w:val="21"/>
          <w:highlight w:val="none"/>
          <w:lang w:eastAsia="zh-CN"/>
        </w:rPr>
        <w:t>内</w:t>
      </w:r>
      <w:r>
        <w:rPr>
          <w:rFonts w:hint="eastAsia"/>
          <w:color w:val="auto"/>
          <w:sz w:val="21"/>
          <w:szCs w:val="21"/>
          <w:highlight w:val="none"/>
        </w:rPr>
        <w:t>感</w:t>
      </w:r>
      <w:r>
        <w:rPr>
          <w:rFonts w:hint="eastAsia"/>
          <w:color w:val="auto"/>
          <w:sz w:val="21"/>
          <w:szCs w:val="21"/>
          <w:highlight w:val="none"/>
          <w:lang w:eastAsia="zh-CN"/>
        </w:rPr>
        <w:t>染</w:t>
      </w:r>
      <w:r>
        <w:rPr>
          <w:rFonts w:hint="eastAsia"/>
          <w:color w:val="auto"/>
          <w:sz w:val="21"/>
          <w:szCs w:val="21"/>
          <w:highlight w:val="none"/>
        </w:rPr>
        <w:t>措施方案：提供防止医院交叉感染措施，预防和控制交叉感染、消毒隔离制度的工作方案。</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11.11</w:t>
      </w:r>
      <w:r>
        <w:rPr>
          <w:rFonts w:hint="eastAsia"/>
          <w:color w:val="auto"/>
          <w:sz w:val="21"/>
          <w:szCs w:val="21"/>
          <w:highlight w:val="none"/>
        </w:rPr>
        <w:t>针对突发性事件的应急方案及措施（包括但不限于：公共安全事件、恶劣天气和自然灾害风险、突发事故、公共卫生事件、保洁、运送服务中突发事件）。</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11.12</w:t>
      </w:r>
      <w:r>
        <w:rPr>
          <w:rFonts w:hint="eastAsia"/>
          <w:color w:val="auto"/>
          <w:sz w:val="21"/>
          <w:szCs w:val="21"/>
          <w:highlight w:val="none"/>
        </w:rPr>
        <w:t>详细的应对新冠疫情的应急方案措施，尤其是因疫情封闭医院的应急预案，人员培训、考核等。</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11.13</w:t>
      </w:r>
      <w:r>
        <w:rPr>
          <w:rFonts w:hint="eastAsia"/>
          <w:color w:val="auto"/>
          <w:sz w:val="21"/>
          <w:szCs w:val="21"/>
          <w:highlight w:val="none"/>
        </w:rPr>
        <w:t>供应商投诉处理、协调管理、内部应急处置等方案。</w:t>
      </w:r>
    </w:p>
    <w:p>
      <w:pPr>
        <w:pStyle w:val="176"/>
        <w:snapToGrid w:val="0"/>
        <w:spacing w:line="360" w:lineRule="auto"/>
        <w:ind w:firstLine="420"/>
        <w:rPr>
          <w:rFonts w:hint="eastAsia"/>
          <w:color w:val="auto"/>
          <w:sz w:val="21"/>
          <w:szCs w:val="21"/>
          <w:highlight w:val="none"/>
          <w:lang w:eastAsia="zh-CN"/>
        </w:rPr>
      </w:pPr>
      <w:r>
        <w:rPr>
          <w:rFonts w:hint="eastAsia"/>
          <w:color w:val="auto"/>
          <w:sz w:val="21"/>
          <w:szCs w:val="21"/>
          <w:highlight w:val="none"/>
          <w:lang w:val="en-US" w:eastAsia="zh-CN"/>
        </w:rPr>
        <w:t>11.14</w:t>
      </w:r>
      <w:r>
        <w:rPr>
          <w:rFonts w:hint="eastAsia"/>
          <w:color w:val="auto"/>
          <w:sz w:val="21"/>
          <w:szCs w:val="21"/>
          <w:highlight w:val="none"/>
        </w:rPr>
        <w:t>重要活动服务保障方案</w:t>
      </w:r>
      <w:r>
        <w:rPr>
          <w:rFonts w:hint="eastAsia"/>
          <w:color w:val="auto"/>
          <w:sz w:val="21"/>
          <w:szCs w:val="21"/>
          <w:highlight w:val="none"/>
          <w:lang w:eastAsia="zh-CN"/>
        </w:rPr>
        <w:t>。</w:t>
      </w:r>
    </w:p>
    <w:p>
      <w:pPr>
        <w:pStyle w:val="176"/>
        <w:snapToGrid w:val="0"/>
        <w:spacing w:line="360" w:lineRule="auto"/>
        <w:ind w:firstLine="420"/>
        <w:rPr>
          <w:rFonts w:hint="eastAsia"/>
          <w:color w:val="auto"/>
          <w:sz w:val="21"/>
          <w:szCs w:val="21"/>
          <w:highlight w:val="none"/>
          <w:lang w:eastAsia="zh-CN"/>
        </w:rPr>
      </w:pPr>
      <w:r>
        <w:rPr>
          <w:rFonts w:hint="eastAsia"/>
          <w:color w:val="auto"/>
          <w:sz w:val="21"/>
          <w:szCs w:val="21"/>
          <w:highlight w:val="none"/>
          <w:lang w:val="en-US" w:eastAsia="zh-CN"/>
        </w:rPr>
        <w:t>11.15</w:t>
      </w:r>
      <w:r>
        <w:rPr>
          <w:rFonts w:hint="eastAsia"/>
          <w:color w:val="auto"/>
          <w:sz w:val="21"/>
          <w:szCs w:val="21"/>
          <w:highlight w:val="none"/>
        </w:rPr>
        <w:t>标准化与智慧化物业管理方案</w:t>
      </w:r>
      <w:r>
        <w:rPr>
          <w:rFonts w:hint="eastAsia"/>
          <w:color w:val="auto"/>
          <w:sz w:val="21"/>
          <w:szCs w:val="21"/>
          <w:highlight w:val="none"/>
          <w:lang w:eastAsia="zh-CN"/>
        </w:rPr>
        <w:t>。</w:t>
      </w:r>
    </w:p>
    <w:p>
      <w:pPr>
        <w:pStyle w:val="176"/>
        <w:snapToGrid w:val="0"/>
        <w:spacing w:line="360" w:lineRule="auto"/>
        <w:ind w:firstLine="420"/>
        <w:rPr>
          <w:rFonts w:hint="eastAsia"/>
          <w:color w:val="auto"/>
          <w:sz w:val="21"/>
          <w:szCs w:val="21"/>
          <w:highlight w:val="none"/>
          <w:lang w:eastAsia="zh-CN"/>
        </w:rPr>
      </w:pPr>
      <w:r>
        <w:rPr>
          <w:rFonts w:hint="eastAsia"/>
          <w:color w:val="auto"/>
          <w:sz w:val="21"/>
          <w:szCs w:val="21"/>
          <w:highlight w:val="none"/>
          <w:lang w:val="en-US" w:eastAsia="zh-CN"/>
        </w:rPr>
        <w:t>11.16</w:t>
      </w:r>
      <w:r>
        <w:rPr>
          <w:rFonts w:hint="eastAsia"/>
          <w:color w:val="auto"/>
          <w:sz w:val="21"/>
          <w:szCs w:val="21"/>
          <w:highlight w:val="none"/>
        </w:rPr>
        <w:t>稳定员工队伍方案</w:t>
      </w:r>
      <w:r>
        <w:rPr>
          <w:rFonts w:hint="eastAsia"/>
          <w:color w:val="auto"/>
          <w:sz w:val="21"/>
          <w:szCs w:val="21"/>
          <w:highlight w:val="none"/>
          <w:lang w:eastAsia="zh-CN"/>
        </w:rPr>
        <w:t>。</w:t>
      </w:r>
    </w:p>
    <w:p>
      <w:pPr>
        <w:pStyle w:val="176"/>
        <w:snapToGrid w:val="0"/>
        <w:spacing w:line="360" w:lineRule="auto"/>
        <w:ind w:firstLine="420"/>
        <w:rPr>
          <w:rFonts w:hint="eastAsia"/>
          <w:color w:val="auto"/>
          <w:sz w:val="21"/>
          <w:szCs w:val="21"/>
          <w:highlight w:val="none"/>
          <w:lang w:eastAsia="zh-CN"/>
        </w:rPr>
      </w:pPr>
      <w:r>
        <w:rPr>
          <w:rFonts w:hint="eastAsia"/>
          <w:color w:val="auto"/>
          <w:sz w:val="21"/>
          <w:szCs w:val="21"/>
          <w:highlight w:val="none"/>
          <w:lang w:val="en-US" w:eastAsia="zh-CN"/>
        </w:rPr>
        <w:t>11.17</w:t>
      </w:r>
      <w:r>
        <w:rPr>
          <w:rFonts w:hint="eastAsia"/>
          <w:color w:val="auto"/>
          <w:sz w:val="21"/>
          <w:szCs w:val="21"/>
          <w:highlight w:val="none"/>
        </w:rPr>
        <w:t>春节员工缺岗解决方案</w:t>
      </w:r>
      <w:r>
        <w:rPr>
          <w:rFonts w:hint="eastAsia"/>
          <w:color w:val="auto"/>
          <w:sz w:val="21"/>
          <w:szCs w:val="21"/>
          <w:highlight w:val="none"/>
          <w:lang w:eastAsia="zh-CN"/>
        </w:rPr>
        <w:t>。</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11.18</w:t>
      </w:r>
      <w:r>
        <w:rPr>
          <w:rFonts w:hint="eastAsia"/>
          <w:color w:val="auto"/>
          <w:sz w:val="21"/>
          <w:szCs w:val="21"/>
          <w:highlight w:val="none"/>
        </w:rPr>
        <w:t>人员补充方案：提供有人员流失控制及时补充的方案。</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11.19</w:t>
      </w:r>
      <w:r>
        <w:rPr>
          <w:rFonts w:hint="eastAsia"/>
          <w:color w:val="auto"/>
          <w:sz w:val="21"/>
          <w:szCs w:val="21"/>
          <w:highlight w:val="none"/>
        </w:rPr>
        <w:t>提供员工住宿解决方案：包括但不限于宿舍来源的稳定性、宿舍的数量、住宿条件与安全性、与医院的距离远近，宿舍管理措施。</w:t>
      </w:r>
    </w:p>
    <w:p>
      <w:pPr>
        <w:pStyle w:val="176"/>
        <w:snapToGrid w:val="0"/>
        <w:spacing w:line="360" w:lineRule="auto"/>
        <w:ind w:firstLine="420"/>
        <w:rPr>
          <w:rFonts w:hint="eastAsia"/>
          <w:color w:val="auto"/>
          <w:sz w:val="21"/>
          <w:szCs w:val="21"/>
          <w:highlight w:val="none"/>
        </w:rPr>
      </w:pPr>
      <w:r>
        <w:rPr>
          <w:rFonts w:hint="eastAsia"/>
          <w:color w:val="auto"/>
          <w:sz w:val="21"/>
          <w:szCs w:val="21"/>
          <w:highlight w:val="none"/>
          <w:lang w:val="en-US" w:eastAsia="zh-CN"/>
        </w:rPr>
        <w:t>11.20</w:t>
      </w:r>
      <w:r>
        <w:rPr>
          <w:rFonts w:hint="eastAsia"/>
          <w:color w:val="auto"/>
          <w:sz w:val="21"/>
          <w:szCs w:val="21"/>
          <w:highlight w:val="none"/>
        </w:rPr>
        <w:t>其他符合本项目采购需求且有利于合同履约的特色服务方案。</w:t>
      </w:r>
    </w:p>
    <w:p>
      <w:pPr>
        <w:pStyle w:val="176"/>
        <w:snapToGrid w:val="0"/>
        <w:spacing w:line="360" w:lineRule="auto"/>
        <w:ind w:firstLine="420"/>
        <w:rPr>
          <w:rFonts w:hint="eastAsia"/>
          <w:color w:val="auto"/>
          <w:sz w:val="21"/>
          <w:szCs w:val="21"/>
          <w:highlight w:val="none"/>
        </w:rPr>
      </w:pP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12</w:t>
      </w:r>
      <w:r>
        <w:rPr>
          <w:rFonts w:hint="eastAsia" w:ascii="Times New Roman" w:hAnsi="Times New Roman"/>
          <w:color w:val="auto"/>
          <w:sz w:val="21"/>
          <w:szCs w:val="21"/>
          <w:highlight w:val="none"/>
          <w:lang w:eastAsia="zh-CN"/>
        </w:rPr>
        <w:t>）</w:t>
      </w:r>
      <w:r>
        <w:rPr>
          <w:rFonts w:hint="eastAsia"/>
          <w:color w:val="auto"/>
          <w:sz w:val="21"/>
          <w:szCs w:val="21"/>
          <w:highlight w:val="none"/>
        </w:rPr>
        <w:t>投入本项目服务团队人员</w:t>
      </w:r>
    </w:p>
    <w:p>
      <w:pPr>
        <w:pStyle w:val="176"/>
        <w:snapToGrid w:val="0"/>
        <w:spacing w:line="360" w:lineRule="auto"/>
        <w:ind w:firstLine="420"/>
        <w:rPr>
          <w:rFonts w:hint="eastAsia"/>
          <w:color w:val="auto"/>
          <w:sz w:val="21"/>
          <w:szCs w:val="21"/>
          <w:highlight w:val="none"/>
          <w:lang w:eastAsia="zh-CN"/>
        </w:rPr>
      </w:pPr>
      <w:r>
        <w:rPr>
          <w:rFonts w:hint="eastAsia"/>
          <w:color w:val="auto"/>
          <w:sz w:val="21"/>
          <w:szCs w:val="21"/>
          <w:highlight w:val="none"/>
          <w:lang w:val="en-US" w:eastAsia="zh-CN"/>
        </w:rPr>
        <w:t>12.1</w:t>
      </w:r>
      <w:r>
        <w:rPr>
          <w:rFonts w:hint="eastAsia"/>
          <w:color w:val="auto"/>
          <w:sz w:val="21"/>
          <w:szCs w:val="21"/>
          <w:highlight w:val="none"/>
          <w:lang w:eastAsia="zh-CN"/>
        </w:rPr>
        <w:t>项目负责人：具有大专及以上学历，年龄不超过50周岁，具有物业管理师证，为投标供应商正式员工，从事医疗行业物业工作经验≥5年，三甲医院物业管理经验≥3年，且具有项目负责人（或物业经理）从业经历；提供学历证明，物业管理师证，医疗服务单位出具的担任项目负责人工作经历、年限且有评价的证明材料及在投标供应商处近三个月内任意一个月社会保险参保证明。</w:t>
      </w:r>
    </w:p>
    <w:p>
      <w:pPr>
        <w:pStyle w:val="176"/>
        <w:snapToGrid w:val="0"/>
        <w:spacing w:line="360" w:lineRule="auto"/>
        <w:ind w:firstLine="420"/>
        <w:rPr>
          <w:rFonts w:hint="eastAsia"/>
          <w:color w:val="auto"/>
          <w:sz w:val="21"/>
          <w:szCs w:val="21"/>
          <w:highlight w:val="none"/>
          <w:lang w:val="en-US" w:eastAsia="zh-CN"/>
        </w:rPr>
      </w:pPr>
      <w:r>
        <w:rPr>
          <w:rFonts w:hint="eastAsia"/>
          <w:color w:val="auto"/>
          <w:sz w:val="21"/>
          <w:szCs w:val="21"/>
          <w:highlight w:val="none"/>
          <w:lang w:val="en-US" w:eastAsia="zh-CN"/>
        </w:rPr>
        <w:t>12.2保洁主管：年龄不超过55周岁，具有高中及以上学历。提供学历证明及在投标供应商近三个月内任意一个月社会保险参保证明；提供服务单位出具的工作经历证明。</w:t>
      </w:r>
    </w:p>
    <w:p>
      <w:pPr>
        <w:pStyle w:val="176"/>
        <w:snapToGrid w:val="0"/>
        <w:spacing w:line="360" w:lineRule="auto"/>
        <w:ind w:firstLine="420"/>
        <w:rPr>
          <w:rFonts w:hint="eastAsia"/>
          <w:color w:val="auto"/>
          <w:sz w:val="21"/>
          <w:szCs w:val="21"/>
          <w:highlight w:val="none"/>
          <w:lang w:val="en-US" w:eastAsia="zh-CN"/>
        </w:rPr>
      </w:pPr>
      <w:r>
        <w:rPr>
          <w:rFonts w:hint="eastAsia"/>
          <w:color w:val="auto"/>
          <w:sz w:val="21"/>
          <w:szCs w:val="21"/>
          <w:highlight w:val="none"/>
          <w:lang w:val="en-US" w:eastAsia="zh-CN"/>
        </w:rPr>
        <w:t>12.3运送主管：年龄不超过55周岁，具有高中及以上学历。提供学历证明及在投标供应商近半年内任意一个月社会保险参保证明；提供提供服务单位出具的工作经历证明。</w:t>
      </w:r>
    </w:p>
    <w:p>
      <w:pPr>
        <w:pStyle w:val="176"/>
        <w:snapToGrid w:val="0"/>
        <w:spacing w:line="360" w:lineRule="auto"/>
        <w:ind w:firstLine="420"/>
        <w:rPr>
          <w:rFonts w:hint="default"/>
          <w:color w:val="auto"/>
          <w:sz w:val="21"/>
          <w:szCs w:val="21"/>
          <w:highlight w:val="none"/>
          <w:lang w:val="en-US" w:eastAsia="zh-CN"/>
        </w:rPr>
      </w:pPr>
      <w:r>
        <w:rPr>
          <w:rFonts w:hint="eastAsia"/>
          <w:color w:val="auto"/>
          <w:sz w:val="21"/>
          <w:szCs w:val="21"/>
          <w:highlight w:val="none"/>
          <w:lang w:val="en-US" w:eastAsia="zh-CN"/>
        </w:rPr>
        <w:t>12.4其他人员配置：根据本项目服务管理委托内容中的人员需求，针对履行合同的条件，结合对本项目的了解，制定具体实施服务人员的组织结构、人员配置情况、重要岗位职责等。</w:t>
      </w:r>
    </w:p>
    <w:p>
      <w:pPr>
        <w:pStyle w:val="176"/>
        <w:snapToGrid w:val="0"/>
        <w:spacing w:line="360" w:lineRule="auto"/>
        <w:ind w:firstLine="420"/>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13</w:t>
      </w:r>
      <w:r>
        <w:rPr>
          <w:rFonts w:hint="eastAsia" w:ascii="Times New Roman" w:hAnsi="Times New Roman"/>
          <w:color w:val="auto"/>
          <w:sz w:val="21"/>
          <w:szCs w:val="21"/>
          <w:highlight w:val="none"/>
          <w:lang w:eastAsia="zh-CN"/>
        </w:rPr>
        <w:t>）</w:t>
      </w:r>
      <w:r>
        <w:rPr>
          <w:rFonts w:hint="eastAsia"/>
          <w:color w:val="auto"/>
          <w:sz w:val="21"/>
          <w:szCs w:val="21"/>
          <w:highlight w:val="none"/>
        </w:rPr>
        <w:t>信息化管理</w:t>
      </w:r>
      <w:r>
        <w:rPr>
          <w:rFonts w:hint="eastAsia"/>
          <w:color w:val="auto"/>
          <w:sz w:val="21"/>
          <w:szCs w:val="21"/>
          <w:highlight w:val="none"/>
          <w:lang w:eastAsia="zh-CN"/>
        </w:rPr>
        <w:t>：</w:t>
      </w:r>
      <w:r>
        <w:rPr>
          <w:rFonts w:hint="eastAsia"/>
          <w:color w:val="auto"/>
          <w:sz w:val="21"/>
          <w:szCs w:val="21"/>
          <w:highlight w:val="none"/>
        </w:rPr>
        <w:t>供应商可投入本服务项目中的信息化管理软件（包括但不限于</w:t>
      </w:r>
      <w:r>
        <w:rPr>
          <w:rFonts w:hint="eastAsia"/>
          <w:color w:val="auto"/>
          <w:sz w:val="21"/>
          <w:szCs w:val="21"/>
          <w:highlight w:val="none"/>
          <w:lang w:val="zh-TW" w:eastAsia="zh-TW"/>
        </w:rPr>
        <w:t>后勤智能运送</w:t>
      </w:r>
      <w:r>
        <w:rPr>
          <w:rFonts w:hint="eastAsia"/>
          <w:color w:val="auto"/>
          <w:sz w:val="21"/>
          <w:szCs w:val="21"/>
          <w:highlight w:val="none"/>
        </w:rPr>
        <w:t>系统），提供相关软件著作权证书复印件</w:t>
      </w:r>
      <w:r>
        <w:rPr>
          <w:rFonts w:hint="eastAsia"/>
          <w:color w:val="auto"/>
          <w:sz w:val="21"/>
          <w:szCs w:val="21"/>
          <w:highlight w:val="none"/>
          <w:lang w:eastAsia="zh-CN"/>
        </w:rPr>
        <w:t>。</w:t>
      </w:r>
    </w:p>
    <w:p>
      <w:pPr>
        <w:pStyle w:val="176"/>
        <w:snapToGrid w:val="0"/>
        <w:spacing w:line="360" w:lineRule="auto"/>
        <w:ind w:firstLine="420"/>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14</w:t>
      </w:r>
      <w:r>
        <w:rPr>
          <w:rFonts w:hint="eastAsia" w:ascii="Times New Roman" w:hAnsi="Times New Roman"/>
          <w:color w:val="auto"/>
          <w:sz w:val="21"/>
          <w:szCs w:val="21"/>
          <w:highlight w:val="none"/>
          <w:lang w:eastAsia="zh-CN"/>
        </w:rPr>
        <w:t>）</w:t>
      </w:r>
      <w:r>
        <w:rPr>
          <w:rFonts w:hint="eastAsia"/>
          <w:color w:val="auto"/>
          <w:sz w:val="21"/>
          <w:szCs w:val="21"/>
          <w:highlight w:val="none"/>
        </w:rPr>
        <w:t>运送软件对接HIS的案例</w:t>
      </w:r>
      <w:r>
        <w:rPr>
          <w:rFonts w:hint="eastAsia"/>
          <w:color w:val="auto"/>
          <w:sz w:val="21"/>
          <w:szCs w:val="21"/>
          <w:highlight w:val="none"/>
          <w:lang w:eastAsia="zh-CN"/>
        </w:rPr>
        <w:t>：供应商承诺运送软件系统能够与医院的HIS系统（品牌：创业慧康）进行对接并成功运行，进场后（签订合同后七日内进场）三个月内完成。</w:t>
      </w:r>
    </w:p>
    <w:p>
      <w:pPr>
        <w:pStyle w:val="176"/>
        <w:snapToGrid w:val="0"/>
        <w:spacing w:line="360" w:lineRule="auto"/>
        <w:ind w:firstLine="420"/>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15</w:t>
      </w:r>
      <w:r>
        <w:rPr>
          <w:rFonts w:hint="eastAsia" w:ascii="Times New Roman" w:hAnsi="Times New Roman"/>
          <w:color w:val="auto"/>
          <w:sz w:val="21"/>
          <w:szCs w:val="21"/>
          <w:highlight w:val="none"/>
          <w:lang w:eastAsia="zh-CN"/>
        </w:rPr>
        <w:t>）</w:t>
      </w:r>
      <w:r>
        <w:rPr>
          <w:rFonts w:hint="eastAsia"/>
          <w:color w:val="auto"/>
          <w:sz w:val="21"/>
          <w:szCs w:val="21"/>
          <w:highlight w:val="none"/>
        </w:rPr>
        <w:t>人员培训</w:t>
      </w:r>
      <w:r>
        <w:rPr>
          <w:rFonts w:hint="eastAsia"/>
          <w:color w:val="auto"/>
          <w:sz w:val="21"/>
          <w:szCs w:val="21"/>
          <w:highlight w:val="none"/>
          <w:lang w:eastAsia="zh-CN"/>
        </w:rPr>
        <w:t>：</w:t>
      </w:r>
      <w:r>
        <w:rPr>
          <w:rFonts w:hint="eastAsia"/>
          <w:color w:val="auto"/>
          <w:sz w:val="21"/>
          <w:szCs w:val="21"/>
          <w:highlight w:val="none"/>
        </w:rPr>
        <w:t>根据项目情况，针对本项目岗位人员制定科学、合理的培训方案和实施计划。</w:t>
      </w:r>
    </w:p>
    <w:p>
      <w:pPr>
        <w:pStyle w:val="176"/>
        <w:snapToGrid w:val="0"/>
        <w:spacing w:line="360" w:lineRule="auto"/>
        <w:ind w:firstLine="420"/>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16</w:t>
      </w:r>
      <w:r>
        <w:rPr>
          <w:rFonts w:hint="eastAsia" w:ascii="Times New Roman" w:hAnsi="Times New Roman"/>
          <w:color w:val="auto"/>
          <w:sz w:val="21"/>
          <w:szCs w:val="21"/>
          <w:highlight w:val="none"/>
          <w:lang w:eastAsia="zh-CN"/>
        </w:rPr>
        <w:t>）</w:t>
      </w:r>
      <w:r>
        <w:rPr>
          <w:rFonts w:hint="eastAsia"/>
          <w:color w:val="auto"/>
          <w:sz w:val="21"/>
          <w:szCs w:val="21"/>
          <w:highlight w:val="none"/>
        </w:rPr>
        <w:t>合理化建议</w:t>
      </w:r>
      <w:r>
        <w:rPr>
          <w:rFonts w:hint="eastAsia"/>
          <w:color w:val="auto"/>
          <w:sz w:val="21"/>
          <w:szCs w:val="21"/>
          <w:highlight w:val="none"/>
          <w:lang w:eastAsia="zh-CN"/>
        </w:rPr>
        <w:t>：</w:t>
      </w:r>
      <w:r>
        <w:rPr>
          <w:rFonts w:hint="eastAsia"/>
          <w:color w:val="auto"/>
          <w:sz w:val="21"/>
          <w:szCs w:val="21"/>
          <w:highlight w:val="none"/>
        </w:rPr>
        <w:t>针对项目推进和实施中可能会出现的问题和存在的困难，进行客观仔细地分析，并结合自身专业、经验等实际情况，在对项目理解的基础上提出合理化建议（解决对策）。</w:t>
      </w:r>
    </w:p>
    <w:p>
      <w:pPr>
        <w:pStyle w:val="176"/>
        <w:snapToGrid w:val="0"/>
        <w:spacing w:line="360" w:lineRule="auto"/>
        <w:ind w:firstLine="420"/>
        <w:rPr>
          <w:rFonts w:hint="eastAsia" w:ascii="Times New Roman" w:hAnsi="Times New Roman" w:eastAsia="宋体"/>
          <w:color w:val="auto"/>
          <w:sz w:val="21"/>
          <w:szCs w:val="21"/>
          <w:highlight w:val="none"/>
          <w:lang w:eastAsia="zh-CN"/>
        </w:rPr>
      </w:pPr>
      <w:r>
        <w:rPr>
          <w:rFonts w:hint="eastAsia" w:ascii="Times New Roman" w:hAnsi="Times New Roman"/>
          <w:color w:val="auto"/>
          <w:sz w:val="21"/>
          <w:szCs w:val="21"/>
          <w:highlight w:val="none"/>
          <w:lang w:eastAsia="zh-CN"/>
        </w:rPr>
        <w:t>（</w:t>
      </w:r>
      <w:r>
        <w:rPr>
          <w:rFonts w:hint="eastAsia" w:ascii="Times New Roman" w:hAnsi="Times New Roman"/>
          <w:color w:val="auto"/>
          <w:sz w:val="21"/>
          <w:szCs w:val="21"/>
          <w:highlight w:val="none"/>
          <w:lang w:val="en-US" w:eastAsia="zh-CN"/>
        </w:rPr>
        <w:t>17</w:t>
      </w:r>
      <w:r>
        <w:rPr>
          <w:rFonts w:hint="eastAsia" w:ascii="Times New Roman" w:hAnsi="Times New Roman"/>
          <w:color w:val="auto"/>
          <w:sz w:val="21"/>
          <w:szCs w:val="21"/>
          <w:highlight w:val="none"/>
          <w:lang w:eastAsia="zh-CN"/>
        </w:rPr>
        <w:t>）</w:t>
      </w:r>
      <w:r>
        <w:rPr>
          <w:rFonts w:hint="eastAsia"/>
          <w:color w:val="auto"/>
          <w:sz w:val="21"/>
          <w:szCs w:val="21"/>
          <w:highlight w:val="none"/>
        </w:rPr>
        <w:t>设备及耗材</w:t>
      </w:r>
      <w:r>
        <w:rPr>
          <w:rFonts w:hint="eastAsia"/>
          <w:color w:val="auto"/>
          <w:sz w:val="21"/>
          <w:szCs w:val="21"/>
          <w:highlight w:val="none"/>
          <w:lang w:eastAsia="zh-CN"/>
        </w:rPr>
        <w:t>：</w:t>
      </w:r>
      <w:r>
        <w:rPr>
          <w:rFonts w:hint="eastAsia"/>
          <w:color w:val="auto"/>
          <w:sz w:val="21"/>
          <w:szCs w:val="21"/>
          <w:highlight w:val="none"/>
        </w:rPr>
        <w:t>供应商拟投入本项目的机械、设备及耗材的品牌、数量</w:t>
      </w:r>
      <w:r>
        <w:rPr>
          <w:rFonts w:hint="eastAsia"/>
          <w:color w:val="auto"/>
          <w:sz w:val="21"/>
          <w:szCs w:val="21"/>
          <w:highlight w:val="none"/>
          <w:lang w:eastAsia="zh-CN"/>
        </w:rPr>
        <w:t>。</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eastAsia="zh-CN"/>
        </w:rPr>
        <w:t>1</w:t>
      </w:r>
      <w:r>
        <w:rPr>
          <w:rFonts w:hint="eastAsia" w:ascii="Times New Roman" w:hAnsi="Times New Roman"/>
          <w:color w:val="auto"/>
          <w:sz w:val="21"/>
          <w:szCs w:val="21"/>
          <w:highlight w:val="none"/>
          <w:lang w:val="en-US" w:eastAsia="zh-CN"/>
        </w:rPr>
        <w:t>8</w:t>
      </w:r>
      <w:r>
        <w:rPr>
          <w:rFonts w:hint="eastAsia" w:ascii="Times New Roman" w:hAnsi="Times New Roman"/>
          <w:color w:val="auto"/>
          <w:sz w:val="21"/>
          <w:szCs w:val="21"/>
          <w:highlight w:val="none"/>
        </w:rPr>
        <w:t>）供应商认为有必要提供的其它文件。</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3.3 投标文件的编制</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3.3.1本项目实行网上投标。</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3.3.2</w:t>
      </w:r>
      <w:r>
        <w:rPr>
          <w:rFonts w:hint="eastAsia"/>
          <w:color w:val="auto"/>
          <w:sz w:val="21"/>
          <w:szCs w:val="21"/>
          <w:highlight w:val="none"/>
        </w:rPr>
        <w:t>供应商应准备2种形式的投标文件：</w:t>
      </w:r>
      <w:r>
        <w:rPr>
          <w:rFonts w:hint="eastAsia" w:ascii="Times New Roman" w:hAnsi="Times New Roman"/>
          <w:color w:val="auto"/>
          <w:sz w:val="21"/>
          <w:szCs w:val="21"/>
          <w:highlight w:val="none"/>
        </w:rPr>
        <w:t>电子加密投标文件、以介质存储的数据电文形式的备份投标文件。</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投标文件均由资格文件、报价文件、商务技术文件组成。</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（1）“电子加密投标文件”是指通过“政采云电子交易客户端”完成投标文件编制后生成并加密的数据电文形式的投标文件（后缀格式为.jmbs）</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3.3.3投标文件须按照采购文件要求加盖供应商公章或电子签章（除此之外的投标专用章、合同章等均视为无效）。</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3.3.4以联合体形式参与本项目投标的，除联合协议外，其他采购文件要求需盖章的部分，仅由联合体牵头人加盖供应商公章或电子签章即可。</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3.4 投标报价</w:t>
      </w:r>
    </w:p>
    <w:p>
      <w:pPr>
        <w:pStyle w:val="176"/>
        <w:snapToGrid w:val="0"/>
        <w:spacing w:line="360" w:lineRule="auto"/>
        <w:ind w:firstLine="420"/>
        <w:rPr>
          <w:rFonts w:ascii="Times New Roman" w:hAnsi="Times New Roman"/>
          <w:color w:val="auto"/>
          <w:sz w:val="21"/>
          <w:szCs w:val="21"/>
          <w:highlight w:val="none"/>
          <w:u w:val="thick"/>
        </w:rPr>
      </w:pPr>
      <w:r>
        <w:rPr>
          <w:rFonts w:ascii="Times New Roman" w:hAnsi="Times New Roman"/>
          <w:color w:val="auto"/>
          <w:sz w:val="21"/>
          <w:szCs w:val="21"/>
          <w:highlight w:val="none"/>
        </w:rPr>
        <w:t>▲3.4.1</w:t>
      </w:r>
      <w:r>
        <w:rPr>
          <w:rFonts w:ascii="Times New Roman" w:hAnsi="Times New Roman"/>
          <w:b/>
          <w:color w:val="auto"/>
          <w:sz w:val="21"/>
          <w:szCs w:val="21"/>
          <w:highlight w:val="none"/>
          <w:u w:val="single"/>
        </w:rPr>
        <w:t>本次投标报价为含税人民币价</w:t>
      </w:r>
      <w:r>
        <w:rPr>
          <w:rFonts w:ascii="Times New Roman" w:hAnsi="Times New Roman"/>
          <w:color w:val="auto"/>
          <w:sz w:val="21"/>
          <w:szCs w:val="21"/>
          <w:highlight w:val="none"/>
          <w:u w:val="single"/>
        </w:rPr>
        <w:t>。</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3.4.2投标报价包括完成所有产品供货及履行所有规定服务所产生的全部费用。产品及服务须达到采购文件规定的质量标准及使用要求。</w:t>
      </w:r>
    </w:p>
    <w:p>
      <w:pPr>
        <w:pStyle w:val="176"/>
        <w:snapToGrid w:val="0"/>
        <w:spacing w:line="360" w:lineRule="auto"/>
        <w:ind w:firstLine="420"/>
        <w:rPr>
          <w:rFonts w:ascii="Times New Roman" w:hAnsi="Times New Roman"/>
          <w:b/>
          <w:bCs/>
          <w:color w:val="auto"/>
          <w:sz w:val="21"/>
          <w:szCs w:val="21"/>
          <w:highlight w:val="none"/>
          <w:u w:val="thick"/>
        </w:rPr>
      </w:pPr>
      <w:r>
        <w:rPr>
          <w:rFonts w:ascii="Times New Roman" w:hAnsi="Times New Roman"/>
          <w:color w:val="auto"/>
          <w:sz w:val="21"/>
          <w:szCs w:val="21"/>
          <w:highlight w:val="none"/>
        </w:rPr>
        <w:t>3.4.3报价应按不同费用构成分开填写，具体详见“投标文件格式”。</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▲3.4.4</w:t>
      </w:r>
      <w:r>
        <w:rPr>
          <w:rFonts w:ascii="Times New Roman" w:hAnsi="Times New Roman"/>
          <w:b/>
          <w:color w:val="auto"/>
          <w:sz w:val="21"/>
          <w:szCs w:val="21"/>
          <w:highlight w:val="none"/>
          <w:u w:val="single"/>
        </w:rPr>
        <w:t>所投标项只允许有一个报价，不接受有选择报价的投标文件。</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3.5 投标保证金</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3.5.1 本项目不收取投标保证金</w:t>
      </w:r>
      <w:r>
        <w:rPr>
          <w:rFonts w:hint="eastAsia" w:ascii="Times New Roman" w:hAnsi="Times New Roman"/>
          <w:color w:val="auto"/>
          <w:sz w:val="21"/>
          <w:szCs w:val="21"/>
          <w:highlight w:val="none"/>
        </w:rPr>
        <w:t>。</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3.6 投标文件有效期</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3.6.1 投标文件有效期按“</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须知前附表”规定，投标文件应在该有效期内保持有效。合同签订后，投标文件作为合同附件，投标文件有效期同合同有效期。</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3.6.2 在特殊情况下，采购人可与</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协商延长投标文件有效期，这种要求和答复均应以书面形式进行。</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3.6.3同意延长有效期的</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不能修改投标文件。</w:t>
      </w:r>
    </w:p>
    <w:p>
      <w:pPr>
        <w:pStyle w:val="5"/>
        <w:spacing w:line="360" w:lineRule="auto"/>
        <w:ind w:firstLine="422"/>
        <w:rPr>
          <w:rFonts w:ascii="Times New Roman" w:hAnsi="Times New Roman"/>
          <w:color w:val="auto"/>
          <w:sz w:val="21"/>
          <w:szCs w:val="21"/>
          <w:highlight w:val="none"/>
        </w:rPr>
      </w:pPr>
      <w:bookmarkStart w:id="20" w:name="_Toc82338242"/>
      <w:bookmarkStart w:id="21" w:name="_Toc82873325"/>
      <w:r>
        <w:rPr>
          <w:rFonts w:ascii="Times New Roman" w:hAnsi="Times New Roman"/>
          <w:color w:val="auto"/>
          <w:sz w:val="21"/>
          <w:szCs w:val="21"/>
          <w:highlight w:val="none"/>
        </w:rPr>
        <w:t>四、投标</w:t>
      </w:r>
      <w:bookmarkEnd w:id="20"/>
      <w:bookmarkEnd w:id="21"/>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4.1 投标文件的</w:t>
      </w:r>
      <w:r>
        <w:rPr>
          <w:rFonts w:hint="eastAsia" w:ascii="Times New Roman" w:hAnsi="Times New Roman"/>
          <w:color w:val="auto"/>
          <w:sz w:val="21"/>
          <w:szCs w:val="21"/>
          <w:highlight w:val="none"/>
        </w:rPr>
        <w:t>上传和递交</w:t>
      </w:r>
    </w:p>
    <w:p>
      <w:pPr>
        <w:pStyle w:val="6"/>
        <w:spacing w:line="360" w:lineRule="auto"/>
        <w:ind w:firstLine="420"/>
        <w:rPr>
          <w:rFonts w:ascii="Times New Roman" w:hAnsi="Times New Roman"/>
          <w:b w:val="0"/>
          <w:bCs/>
          <w:color w:val="auto"/>
          <w:sz w:val="21"/>
          <w:szCs w:val="21"/>
          <w:highlight w:val="none"/>
        </w:rPr>
      </w:pPr>
      <w:r>
        <w:rPr>
          <w:rFonts w:hint="eastAsia" w:ascii="Times New Roman" w:hAnsi="Times New Roman"/>
          <w:b w:val="0"/>
          <w:bCs/>
          <w:color w:val="auto"/>
          <w:sz w:val="21"/>
          <w:szCs w:val="21"/>
          <w:highlight w:val="none"/>
        </w:rPr>
        <w:t>见供应商须知前附表“投标文件的上传和递交”。</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4.</w:t>
      </w:r>
      <w:r>
        <w:rPr>
          <w:rFonts w:hint="eastAsia" w:ascii="Times New Roman" w:hAnsi="Times New Roman"/>
          <w:color w:val="auto"/>
          <w:sz w:val="21"/>
          <w:szCs w:val="21"/>
          <w:highlight w:val="none"/>
        </w:rPr>
        <w:t>2</w:t>
      </w:r>
      <w:r>
        <w:rPr>
          <w:rFonts w:ascii="Times New Roman" w:hAnsi="Times New Roman"/>
          <w:color w:val="auto"/>
          <w:sz w:val="21"/>
          <w:szCs w:val="21"/>
          <w:highlight w:val="none"/>
        </w:rPr>
        <w:t xml:space="preserve"> 投标文件的修改和撤回</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4.2.2 从投标截止期至供应商在投标函格式中确定的投标有效期期满这段时间内，供应商不得撤回其投标。</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4.</w:t>
      </w:r>
      <w:r>
        <w:rPr>
          <w:rFonts w:hint="eastAsia" w:ascii="Times New Roman" w:hAnsi="Times New Roman"/>
          <w:color w:val="auto"/>
          <w:sz w:val="21"/>
          <w:szCs w:val="21"/>
          <w:highlight w:val="none"/>
        </w:rPr>
        <w:t>3</w:t>
      </w:r>
      <w:r>
        <w:rPr>
          <w:rFonts w:ascii="Times New Roman" w:hAnsi="Times New Roman"/>
          <w:color w:val="auto"/>
          <w:sz w:val="21"/>
          <w:szCs w:val="21"/>
          <w:highlight w:val="none"/>
        </w:rPr>
        <w:t xml:space="preserve"> 备选投标方案</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不得提交备选投标方案，否则，投标文件将被判定为无效标。</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4.</w:t>
      </w:r>
      <w:r>
        <w:rPr>
          <w:rFonts w:hint="eastAsia" w:ascii="Times New Roman" w:hAnsi="Times New Roman"/>
          <w:color w:val="auto"/>
          <w:sz w:val="21"/>
          <w:szCs w:val="21"/>
          <w:highlight w:val="none"/>
        </w:rPr>
        <w:t>4</w:t>
      </w:r>
      <w:r>
        <w:rPr>
          <w:rFonts w:ascii="Times New Roman" w:hAnsi="Times New Roman"/>
          <w:color w:val="auto"/>
          <w:sz w:val="21"/>
          <w:szCs w:val="21"/>
          <w:highlight w:val="none"/>
        </w:rPr>
        <w:t xml:space="preserve"> </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不足三家情况处理</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投标截止时间后参加标项投标的供应商不足三家的，本标项作废标处理，重新组织采购</w:t>
      </w:r>
      <w:r>
        <w:rPr>
          <w:rFonts w:hint="eastAsia" w:ascii="Times New Roman" w:hAnsi="Times New Roman"/>
          <w:color w:val="auto"/>
          <w:sz w:val="21"/>
          <w:szCs w:val="21"/>
          <w:highlight w:val="none"/>
        </w:rPr>
        <w:t>。</w:t>
      </w:r>
    </w:p>
    <w:p>
      <w:pPr>
        <w:pStyle w:val="5"/>
        <w:spacing w:line="360" w:lineRule="auto"/>
        <w:ind w:firstLine="422"/>
        <w:rPr>
          <w:rFonts w:ascii="Times New Roman" w:hAnsi="Times New Roman"/>
          <w:color w:val="auto"/>
          <w:sz w:val="21"/>
          <w:szCs w:val="21"/>
          <w:highlight w:val="none"/>
        </w:rPr>
      </w:pPr>
      <w:bookmarkStart w:id="22" w:name="_Toc82338243"/>
      <w:bookmarkStart w:id="23" w:name="_Toc82873326"/>
      <w:r>
        <w:rPr>
          <w:rFonts w:ascii="Times New Roman" w:hAnsi="Times New Roman"/>
          <w:color w:val="auto"/>
          <w:sz w:val="21"/>
          <w:szCs w:val="21"/>
          <w:highlight w:val="none"/>
        </w:rPr>
        <w:t>五、开标、评标</w:t>
      </w:r>
      <w:bookmarkEnd w:id="22"/>
      <w:bookmarkEnd w:id="23"/>
      <w:r>
        <w:rPr>
          <w:rFonts w:ascii="Times New Roman" w:hAnsi="Times New Roman"/>
          <w:color w:val="auto"/>
          <w:sz w:val="21"/>
          <w:szCs w:val="21"/>
          <w:highlight w:val="none"/>
        </w:rPr>
        <w:t>及合同签订</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5.1 开标准备</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5.1.1 采购代理机构将按照采购文件规定的时间通过浙江政府采购网组织开标、开启</w:t>
      </w:r>
      <w:r>
        <w:rPr>
          <w:color w:val="auto"/>
          <w:sz w:val="21"/>
          <w:szCs w:val="21"/>
          <w:highlight w:val="none"/>
        </w:rPr>
        <w:t>电子加密投标文件</w:t>
      </w:r>
      <w:r>
        <w:rPr>
          <w:rFonts w:hint="eastAsia" w:ascii="Times New Roman" w:hAnsi="Times New Roman"/>
          <w:color w:val="auto"/>
          <w:sz w:val="21"/>
          <w:szCs w:val="21"/>
          <w:highlight w:val="none"/>
        </w:rPr>
        <w:t>，所有供应商均应当准时在线参加。供应商因未在线参加开标而导致</w:t>
      </w:r>
      <w:r>
        <w:rPr>
          <w:color w:val="auto"/>
          <w:sz w:val="21"/>
          <w:szCs w:val="21"/>
          <w:highlight w:val="none"/>
        </w:rPr>
        <w:t>电子加密投标文件</w:t>
      </w:r>
      <w:r>
        <w:rPr>
          <w:rFonts w:hint="eastAsia" w:ascii="Times New Roman" w:hAnsi="Times New Roman"/>
          <w:color w:val="auto"/>
          <w:sz w:val="21"/>
          <w:szCs w:val="21"/>
          <w:highlight w:val="none"/>
        </w:rPr>
        <w:t>无法按时解密等一切后果由供应商自己承担。</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5.2 开标流程（两阶段）</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5.2.1 开标第一阶段</w:t>
      </w:r>
    </w:p>
    <w:p>
      <w:pPr>
        <w:pStyle w:val="176"/>
        <w:snapToGrid w:val="0"/>
        <w:spacing w:line="360" w:lineRule="auto"/>
        <w:ind w:left="420" w:leftChars="200" w:firstLine="0" w:firstLineChars="0"/>
        <w:rPr>
          <w:rFonts w:ascii="Times New Roman" w:hAnsi="Times New Roman"/>
          <w:color w:val="auto"/>
          <w:sz w:val="21"/>
          <w:szCs w:val="21"/>
          <w:highlight w:val="none"/>
        </w:rPr>
      </w:pPr>
      <w:r>
        <w:rPr>
          <w:rFonts w:hint="eastAsia" w:ascii="Times New Roman" w:hAnsi="Times New Roman"/>
          <w:color w:val="auto"/>
          <w:sz w:val="21"/>
          <w:szCs w:val="21"/>
          <w:highlight w:val="none"/>
        </w:rPr>
        <w:t>（1）采购代理机构开始解密，供应商在规定的时间内自行进行</w:t>
      </w:r>
      <w:r>
        <w:rPr>
          <w:color w:val="auto"/>
          <w:sz w:val="21"/>
          <w:szCs w:val="21"/>
          <w:highlight w:val="none"/>
        </w:rPr>
        <w:t>电子加密投标文件</w:t>
      </w:r>
      <w:r>
        <w:rPr>
          <w:rFonts w:hint="eastAsia" w:ascii="Times New Roman" w:hAnsi="Times New Roman"/>
          <w:color w:val="auto"/>
          <w:sz w:val="21"/>
          <w:szCs w:val="21"/>
          <w:highlight w:val="none"/>
        </w:rPr>
        <w:t>解密。</w:t>
      </w:r>
    </w:p>
    <w:p>
      <w:pPr>
        <w:pStyle w:val="176"/>
        <w:snapToGrid w:val="0"/>
        <w:spacing w:line="360" w:lineRule="auto"/>
        <w:ind w:left="420" w:leftChars="200" w:firstLine="0" w:firstLineChars="0"/>
        <w:rPr>
          <w:rFonts w:ascii="Times New Roman" w:hAnsi="Times New Roman"/>
          <w:color w:val="auto"/>
          <w:sz w:val="21"/>
          <w:szCs w:val="21"/>
          <w:highlight w:val="none"/>
        </w:rPr>
      </w:pPr>
      <w:r>
        <w:rPr>
          <w:rFonts w:hint="eastAsia" w:ascii="Times New Roman" w:hAnsi="Times New Roman"/>
          <w:color w:val="auto"/>
          <w:sz w:val="21"/>
          <w:szCs w:val="21"/>
          <w:highlight w:val="none"/>
        </w:rPr>
        <w:t>（2）解密时间为开标后30分钟内。</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（3）解密失败的异常处理：供应商在规定的时间内无法完成已递交的</w:t>
      </w:r>
      <w:r>
        <w:rPr>
          <w:color w:val="auto"/>
          <w:sz w:val="21"/>
          <w:szCs w:val="21"/>
          <w:highlight w:val="none"/>
        </w:rPr>
        <w:t>电子加密投标文件</w:t>
      </w:r>
      <w:r>
        <w:rPr>
          <w:rFonts w:hint="eastAsia" w:ascii="Times New Roman" w:hAnsi="Times New Roman"/>
          <w:color w:val="auto"/>
          <w:sz w:val="21"/>
          <w:szCs w:val="21"/>
          <w:highlight w:val="none"/>
        </w:rPr>
        <w:t>解密的，如已按规定递交了备份投标文件的，将由采购代理机构将备份投标文件上传至浙江政府采购网，上传成功后，原</w:t>
      </w:r>
      <w:r>
        <w:rPr>
          <w:color w:val="auto"/>
          <w:sz w:val="21"/>
          <w:szCs w:val="21"/>
          <w:highlight w:val="none"/>
        </w:rPr>
        <w:t>电子加密投标文件</w:t>
      </w:r>
      <w:r>
        <w:rPr>
          <w:rFonts w:hint="eastAsia" w:ascii="Times New Roman" w:hAnsi="Times New Roman"/>
          <w:color w:val="auto"/>
          <w:sz w:val="21"/>
          <w:szCs w:val="21"/>
          <w:highlight w:val="none"/>
        </w:rPr>
        <w:t>自动失效。</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（4）第一阶段开标结束。</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（5）转入资格文件和商务技术文件评审。</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（6）商务技术文件开启后30分钟内，供应商通过邮件形式将经授权代表签署的《政府采购活动现场确认声明书》（格式见附件）扫描件发至代理机构经办人邮箱（邮箱地址：</w:t>
      </w:r>
      <w:r>
        <w:rPr>
          <w:rFonts w:hint="eastAsia" w:ascii="Times New Roman" w:hAnsi="Times New Roman"/>
          <w:color w:val="auto"/>
          <w:sz w:val="21"/>
          <w:szCs w:val="21"/>
          <w:highlight w:val="none"/>
          <w:lang w:val="en-US" w:eastAsia="zh-CN"/>
        </w:rPr>
        <w:t>403873921</w:t>
      </w:r>
      <w:r>
        <w:rPr>
          <w:rFonts w:hint="eastAsia" w:ascii="Times New Roman" w:hAnsi="Times New Roman"/>
          <w:color w:val="auto"/>
          <w:sz w:val="21"/>
          <w:szCs w:val="21"/>
          <w:highlight w:val="none"/>
        </w:rPr>
        <w:t>@qq.com，联系人：</w:t>
      </w:r>
      <w:r>
        <w:rPr>
          <w:rFonts w:hint="eastAsia" w:ascii="Times New Roman" w:hAnsi="Times New Roman"/>
          <w:color w:val="auto"/>
          <w:sz w:val="21"/>
          <w:szCs w:val="21"/>
          <w:highlight w:val="none"/>
          <w:lang w:eastAsia="zh-CN"/>
        </w:rPr>
        <w:t>李博</w:t>
      </w:r>
      <w:r>
        <w:rPr>
          <w:rFonts w:hint="eastAsia" w:ascii="Times New Roman" w:hAnsi="Times New Roman"/>
          <w:color w:val="auto"/>
          <w:sz w:val="21"/>
          <w:szCs w:val="21"/>
          <w:highlight w:val="none"/>
        </w:rPr>
        <w:t>）；</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说明：未按上述要求提供《政府采购活动现场确认声明书》的，视同</w:t>
      </w:r>
      <w:r>
        <w:rPr>
          <w:rFonts w:ascii="仿宋" w:hAnsi="仿宋"/>
          <w:color w:val="auto"/>
          <w:kern w:val="0"/>
          <w:sz w:val="21"/>
          <w:szCs w:val="21"/>
          <w:highlight w:val="none"/>
        </w:rPr>
        <w:t>不存在</w:t>
      </w:r>
      <w:r>
        <w:rPr>
          <w:rFonts w:hint="eastAsia" w:ascii="Times New Roman" w:hAnsi="Times New Roman"/>
          <w:color w:val="auto"/>
          <w:sz w:val="21"/>
          <w:szCs w:val="21"/>
          <w:highlight w:val="none"/>
        </w:rPr>
        <w:t>《声明书》中所涉及的利害关系。</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5.2.2 开标第二阶段</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（1）资格文件和商务技术文件评审结束后，进入开标大会第二阶段。公布无效供应商名称及理由，同时公布有效供应商的商务技术部分得分情况。</w:t>
      </w:r>
    </w:p>
    <w:p>
      <w:pPr>
        <w:pStyle w:val="176"/>
        <w:snapToGrid w:val="0"/>
        <w:spacing w:line="360" w:lineRule="auto"/>
        <w:ind w:firstLine="420"/>
        <w:rPr>
          <w:rFonts w:ascii="Times New Roman" w:hAnsi="Times New Roman"/>
          <w:color w:val="auto"/>
          <w:sz w:val="21"/>
          <w:szCs w:val="21"/>
          <w:highlight w:val="none"/>
        </w:rPr>
      </w:pPr>
      <w:r>
        <w:rPr>
          <w:rFonts w:hint="eastAsia" w:ascii="Times New Roman" w:hAnsi="Times New Roman"/>
          <w:color w:val="auto"/>
          <w:sz w:val="21"/>
          <w:szCs w:val="21"/>
          <w:highlight w:val="none"/>
        </w:rPr>
        <w:t>（2）开启有效供应商的报价文件，公布开标一览表有关内容。开标结束后，由评标委员会对报价的合理性、准确性等进行审查核实。</w:t>
      </w:r>
    </w:p>
    <w:p>
      <w:pPr>
        <w:pStyle w:val="6"/>
        <w:spacing w:line="360" w:lineRule="auto"/>
        <w:ind w:firstLine="420"/>
        <w:rPr>
          <w:rFonts w:ascii="Times New Roman" w:hAnsi="Times New Roman"/>
          <w:b w:val="0"/>
          <w:bCs/>
          <w:color w:val="auto"/>
          <w:sz w:val="21"/>
          <w:szCs w:val="21"/>
          <w:highlight w:val="none"/>
        </w:rPr>
      </w:pPr>
      <w:r>
        <w:rPr>
          <w:rFonts w:ascii="Times New Roman" w:hAnsi="Times New Roman"/>
          <w:b w:val="0"/>
          <w:bCs/>
          <w:color w:val="auto"/>
          <w:sz w:val="21"/>
          <w:szCs w:val="21"/>
          <w:highlight w:val="none"/>
        </w:rPr>
        <w:t>5.3 投标文件初步评审</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5.3.1采购人或采购代理机构将首先审查各供应商的资格条件是否满足采购文件的要求。</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5.3.2评标委员会将首先审查每份投标文件是否实质上响应了采购文件的要求，实质性响应的投标文件是指投标文件符合采购文件规定的实质性内容、条件和规定。</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5.3.3重大偏离或保留是指将会影响到采购文件规定的服务范围、质量标准，或会给合同中规定的采购人的权利和</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的责任造成实质性限制，而纠正这些偏离或保留将对其他提交了实质性响应的投标文件的</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产生不公平影响的。</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5.3.4细微偏离是指投标文件对采购文件的非实质性内容存在不完全响应或不响应。</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的评审。</w:t>
      </w:r>
    </w:p>
    <w:p>
      <w:pPr>
        <w:adjustRightInd w:val="0"/>
        <w:snapToGrid w:val="0"/>
        <w:spacing w:line="360" w:lineRule="auto"/>
        <w:ind w:firstLine="420" w:firstLineChars="200"/>
        <w:rPr>
          <w:color w:val="auto"/>
          <w:sz w:val="21"/>
          <w:szCs w:val="21"/>
          <w:highlight w:val="none"/>
        </w:rPr>
      </w:pPr>
      <w:r>
        <w:rPr>
          <w:color w:val="auto"/>
          <w:sz w:val="21"/>
          <w:szCs w:val="21"/>
          <w:highlight w:val="none"/>
        </w:rPr>
        <w:t>5.3.6初步评审工作内容</w:t>
      </w:r>
    </w:p>
    <w:p>
      <w:pPr>
        <w:pStyle w:val="41"/>
        <w:snapToGrid w:val="0"/>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（1）资格性检查</w:t>
      </w:r>
    </w:p>
    <w:p>
      <w:pPr>
        <w:pStyle w:val="41"/>
        <w:snapToGrid w:val="0"/>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依据法律法规及采购文件的规定，对投标文件中的提供的资格证明材料进行审查，以确定</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是否具备投标资格。</w:t>
      </w:r>
    </w:p>
    <w:p>
      <w:pPr>
        <w:pStyle w:val="41"/>
        <w:snapToGrid w:val="0"/>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（2）符合性检查</w:t>
      </w:r>
    </w:p>
    <w:p>
      <w:pPr>
        <w:pStyle w:val="41"/>
        <w:snapToGrid w:val="0"/>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auto"/>
          <w:sz w:val="21"/>
          <w:szCs w:val="21"/>
          <w:highlight w:val="none"/>
        </w:rPr>
      </w:pPr>
      <w:r>
        <w:rPr>
          <w:color w:val="auto"/>
          <w:sz w:val="21"/>
          <w:szCs w:val="21"/>
          <w:highlight w:val="none"/>
        </w:rPr>
        <w:t>5.3.7除符合5.6款规定外，评标委员会对投标文件的判定，只依据投标文件内容本身和按采购文件规定提交资料，不依靠开标后的任何外来证明。如</w:t>
      </w:r>
      <w:r>
        <w:rPr>
          <w:rFonts w:hint="eastAsia"/>
          <w:color w:val="auto"/>
          <w:sz w:val="21"/>
          <w:szCs w:val="21"/>
          <w:highlight w:val="none"/>
        </w:rPr>
        <w:t>供应商</w:t>
      </w:r>
      <w:r>
        <w:rPr>
          <w:color w:val="auto"/>
          <w:sz w:val="21"/>
          <w:szCs w:val="21"/>
          <w:highlight w:val="none"/>
        </w:rPr>
        <w:t>提交的资质证明或其他内容不齐全，由此造成的后果由</w:t>
      </w:r>
      <w:r>
        <w:rPr>
          <w:rFonts w:hint="eastAsia"/>
          <w:color w:val="auto"/>
          <w:sz w:val="21"/>
          <w:szCs w:val="21"/>
          <w:highlight w:val="none"/>
        </w:rPr>
        <w:t>供应商</w:t>
      </w:r>
      <w:r>
        <w:rPr>
          <w:color w:val="auto"/>
          <w:sz w:val="21"/>
          <w:szCs w:val="21"/>
          <w:highlight w:val="none"/>
        </w:rPr>
        <w:t>自己负责。</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5.4 投标文件的澄清</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5.4.1评标委员会可要求</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对投标文件中含义不明确、同类问题表述不一致、有明显的文字和计算错误的内容等进行澄清并做出书面答复。</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 xml:space="preserve">5.4.2 </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对投标文件的澄清不得超出投标文件的范围或者改变投标文件的实质性内容。</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5.5 错误修正</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评标委员会将对确定为实质上响应采购文件要求的投标文件进行校核，看其在投标报价方面是否有计算、累计或表达上的错误，</w:t>
      </w:r>
      <w:r>
        <w:rPr>
          <w:rFonts w:ascii="Times New Roman" w:hAnsi="Times New Roman"/>
          <w:bCs/>
          <w:color w:val="auto"/>
          <w:sz w:val="21"/>
          <w:szCs w:val="21"/>
          <w:highlight w:val="none"/>
        </w:rPr>
        <w:t>修正错误的原则及顺序如下：</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bCs/>
          <w:color w:val="auto"/>
          <w:sz w:val="21"/>
          <w:szCs w:val="21"/>
          <w:highlight w:val="none"/>
        </w:rPr>
        <w:t>（1）</w:t>
      </w:r>
      <w:r>
        <w:rPr>
          <w:rFonts w:ascii="Times New Roman" w:hAnsi="Times New Roman"/>
          <w:color w:val="auto"/>
          <w:sz w:val="21"/>
          <w:szCs w:val="21"/>
          <w:highlight w:val="none"/>
        </w:rPr>
        <w:t>正本与副本不一致时，以正本为准；</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（2）投标文件中开标一览表（报价表）内容与投标文件中相应内容不一致的，以开标一览表（报价表）为准；</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（3）大写金额和小写金额不一致的，以大写金额为准；</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（4）单价金额小数点或者百分比有明显错位的，以开标一览表的总价为准，并修改单价；</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（5）总价金额与按单价汇总金额不一致的，以单价金额计算结果为准。</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（6）如投标文件中报价明细表分项价格或单价有遗报，应视作已含在投标总价中；其投标总价在评标过程中不予调整。其分项价或单价由评标委员会在投标总价不变的前提下根据合理的原则对其予以确定；</w:t>
      </w:r>
    </w:p>
    <w:p>
      <w:pPr>
        <w:pStyle w:val="176"/>
        <w:snapToGrid w:val="0"/>
        <w:spacing w:line="360" w:lineRule="auto"/>
        <w:ind w:firstLine="420"/>
        <w:rPr>
          <w:rFonts w:ascii="Times New Roman" w:hAnsi="Times New Roman"/>
          <w:color w:val="auto"/>
          <w:sz w:val="21"/>
          <w:szCs w:val="21"/>
          <w:highlight w:val="none"/>
        </w:rPr>
      </w:pPr>
      <w:r>
        <w:rPr>
          <w:rFonts w:hint="eastAsia"/>
          <w:color w:val="auto"/>
          <w:sz w:val="21"/>
          <w:szCs w:val="21"/>
          <w:highlight w:val="none"/>
        </w:rPr>
        <w:t>（7）</w:t>
      </w:r>
      <w:r>
        <w:rPr>
          <w:rFonts w:hint="eastAsia"/>
          <w:color w:val="auto"/>
          <w:sz w:val="21"/>
          <w:szCs w:val="21"/>
          <w:highlight w:val="none"/>
        </w:rPr>
        <w:tab/>
      </w:r>
      <w:r>
        <w:rPr>
          <w:rFonts w:hint="eastAsia"/>
          <w:color w:val="auto"/>
          <w:sz w:val="21"/>
          <w:szCs w:val="21"/>
          <w:highlight w:val="none"/>
        </w:rPr>
        <w:t>政采云平台填报的开标一览表中的价格与上传的报价文件中开标一览表的报价不一致的，以上传的报价文件为准。</w:t>
      </w:r>
    </w:p>
    <w:p>
      <w:pPr>
        <w:pStyle w:val="176"/>
        <w:snapToGrid w:val="0"/>
        <w:spacing w:line="360" w:lineRule="auto"/>
        <w:ind w:firstLine="420"/>
        <w:rPr>
          <w:rFonts w:ascii="Times New Roman" w:hAnsi="Times New Roman"/>
          <w:bCs/>
          <w:color w:val="auto"/>
          <w:sz w:val="21"/>
          <w:szCs w:val="21"/>
          <w:highlight w:val="none"/>
        </w:rPr>
      </w:pPr>
      <w:r>
        <w:rPr>
          <w:rFonts w:ascii="Times New Roman" w:hAnsi="Times New Roman"/>
          <w:bCs/>
          <w:color w:val="auto"/>
          <w:sz w:val="21"/>
          <w:szCs w:val="21"/>
          <w:highlight w:val="none"/>
        </w:rPr>
        <w:t>同时出现两种以上不一致的，按照前款规定的顺序修正。修正后的报价以澄清方式经</w:t>
      </w:r>
      <w:r>
        <w:rPr>
          <w:rFonts w:hint="eastAsia" w:ascii="Times New Roman" w:hAnsi="Times New Roman"/>
          <w:bCs/>
          <w:color w:val="auto"/>
          <w:sz w:val="21"/>
          <w:szCs w:val="21"/>
          <w:highlight w:val="none"/>
        </w:rPr>
        <w:t>供应商</w:t>
      </w:r>
      <w:r>
        <w:rPr>
          <w:rFonts w:ascii="Times New Roman" w:hAnsi="Times New Roman"/>
          <w:bCs/>
          <w:color w:val="auto"/>
          <w:sz w:val="21"/>
          <w:szCs w:val="21"/>
          <w:highlight w:val="none"/>
        </w:rPr>
        <w:t>确认后产生约束力，</w:t>
      </w:r>
      <w:r>
        <w:rPr>
          <w:rFonts w:hint="eastAsia" w:ascii="Times New Roman" w:hAnsi="Times New Roman"/>
          <w:bCs/>
          <w:color w:val="auto"/>
          <w:sz w:val="21"/>
          <w:szCs w:val="21"/>
          <w:highlight w:val="none"/>
        </w:rPr>
        <w:t>供应商</w:t>
      </w:r>
      <w:r>
        <w:rPr>
          <w:rFonts w:ascii="Times New Roman" w:hAnsi="Times New Roman"/>
          <w:bCs/>
          <w:color w:val="auto"/>
          <w:sz w:val="21"/>
          <w:szCs w:val="21"/>
          <w:highlight w:val="none"/>
        </w:rPr>
        <w:t>不确认的，其投标无效。</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5.6 合理报价澄清说明</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评标委员会认为</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的报价明显低于其他通过符合性审查</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的报价，有可能影响产品质量或者不能诚信履约的，应当要求其在30分钟内提供书面说明，必要时提交相关证明材料；</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不能证明其报价合理性的，评标委员会应当将其作为无效投标处理。</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5.7 无效标</w:t>
      </w:r>
    </w:p>
    <w:p>
      <w:pPr>
        <w:snapToGrid w:val="0"/>
        <w:spacing w:line="360" w:lineRule="auto"/>
        <w:ind w:firstLine="411" w:firstLineChars="196"/>
        <w:rPr>
          <w:color w:val="auto"/>
          <w:sz w:val="21"/>
          <w:szCs w:val="21"/>
          <w:highlight w:val="none"/>
        </w:rPr>
      </w:pPr>
      <w:r>
        <w:rPr>
          <w:rFonts w:hint="eastAsia"/>
          <w:color w:val="auto"/>
          <w:sz w:val="21"/>
          <w:szCs w:val="21"/>
          <w:highlight w:val="none"/>
        </w:rPr>
        <w:t>5.7.1</w:t>
      </w:r>
      <w:r>
        <w:rPr>
          <w:color w:val="auto"/>
          <w:sz w:val="21"/>
          <w:szCs w:val="21"/>
          <w:highlight w:val="none"/>
        </w:rPr>
        <w:t>资格证明</w:t>
      </w:r>
      <w:r>
        <w:rPr>
          <w:rFonts w:hint="eastAsia"/>
          <w:color w:val="auto"/>
          <w:sz w:val="21"/>
          <w:szCs w:val="21"/>
          <w:highlight w:val="none"/>
        </w:rPr>
        <w:t>文件</w:t>
      </w:r>
      <w:r>
        <w:rPr>
          <w:color w:val="auto"/>
          <w:sz w:val="21"/>
          <w:szCs w:val="21"/>
          <w:highlight w:val="none"/>
        </w:rPr>
        <w:t>评审阶段：</w:t>
      </w:r>
    </w:p>
    <w:p>
      <w:pPr>
        <w:snapToGrid w:val="0"/>
        <w:spacing w:line="360" w:lineRule="auto"/>
        <w:ind w:firstLine="411" w:firstLineChars="196"/>
        <w:rPr>
          <w:color w:val="auto"/>
          <w:sz w:val="21"/>
          <w:szCs w:val="21"/>
          <w:highlight w:val="none"/>
        </w:rPr>
      </w:pPr>
      <w:r>
        <w:rPr>
          <w:color w:val="auto"/>
          <w:sz w:val="21"/>
          <w:szCs w:val="21"/>
          <w:highlight w:val="none"/>
        </w:rPr>
        <w:t>有下列情形之一的投标文件，经</w:t>
      </w:r>
      <w:r>
        <w:rPr>
          <w:rFonts w:hint="eastAsia"/>
          <w:color w:val="auto"/>
          <w:sz w:val="21"/>
          <w:szCs w:val="21"/>
          <w:highlight w:val="none"/>
        </w:rPr>
        <w:t>采购人或采购代理机构</w:t>
      </w:r>
      <w:r>
        <w:rPr>
          <w:color w:val="auto"/>
          <w:sz w:val="21"/>
          <w:szCs w:val="21"/>
          <w:highlight w:val="none"/>
        </w:rPr>
        <w:t>认定属实后将该投标文件作无效标处理：</w:t>
      </w:r>
    </w:p>
    <w:p>
      <w:pPr>
        <w:snapToGrid w:val="0"/>
        <w:spacing w:line="360" w:lineRule="auto"/>
        <w:ind w:firstLine="411" w:firstLineChars="196"/>
        <w:rPr>
          <w:color w:val="auto"/>
          <w:sz w:val="21"/>
          <w:szCs w:val="21"/>
          <w:highlight w:val="none"/>
        </w:rPr>
      </w:pPr>
      <w:r>
        <w:rPr>
          <w:color w:val="auto"/>
          <w:sz w:val="21"/>
          <w:szCs w:val="21"/>
          <w:highlight w:val="none"/>
        </w:rPr>
        <w:t>1）</w:t>
      </w:r>
      <w:r>
        <w:rPr>
          <w:color w:val="auto"/>
          <w:sz w:val="21"/>
          <w:szCs w:val="21"/>
          <w:highlight w:val="none"/>
        </w:rPr>
        <w:tab/>
      </w:r>
      <w:r>
        <w:rPr>
          <w:color w:val="auto"/>
          <w:sz w:val="21"/>
          <w:szCs w:val="21"/>
          <w:highlight w:val="none"/>
        </w:rPr>
        <w:t>投标文件内容不能充分证明</w:t>
      </w:r>
      <w:r>
        <w:rPr>
          <w:rFonts w:hint="eastAsia"/>
          <w:color w:val="auto"/>
          <w:sz w:val="21"/>
          <w:szCs w:val="21"/>
          <w:highlight w:val="none"/>
        </w:rPr>
        <w:t>供应商</w:t>
      </w:r>
      <w:r>
        <w:rPr>
          <w:color w:val="auto"/>
          <w:sz w:val="21"/>
          <w:szCs w:val="21"/>
          <w:highlight w:val="none"/>
        </w:rPr>
        <w:t>符合投标资格条件的；</w:t>
      </w:r>
    </w:p>
    <w:p>
      <w:pPr>
        <w:snapToGrid w:val="0"/>
        <w:spacing w:line="360" w:lineRule="auto"/>
        <w:ind w:firstLine="420" w:firstLineChars="200"/>
        <w:rPr>
          <w:color w:val="auto"/>
          <w:sz w:val="21"/>
          <w:szCs w:val="21"/>
          <w:highlight w:val="none"/>
        </w:rPr>
      </w:pPr>
      <w:r>
        <w:rPr>
          <w:rFonts w:hint="eastAsia" w:ascii="宋体" w:hAnsi="宋体" w:cs="宋体"/>
          <w:color w:val="auto"/>
          <w:sz w:val="21"/>
          <w:szCs w:val="21"/>
          <w:highlight w:val="none"/>
        </w:rPr>
        <w:t>2）如以联合体形式参加政府采购活动的，</w:t>
      </w:r>
      <w:r>
        <w:rPr>
          <w:rFonts w:hint="eastAsia"/>
          <w:color w:val="auto"/>
          <w:sz w:val="21"/>
          <w:szCs w:val="21"/>
          <w:highlight w:val="none"/>
        </w:rPr>
        <w:t>未出具联合协议或联合协议不符合采购文件规定的。</w:t>
      </w:r>
    </w:p>
    <w:p>
      <w:pPr>
        <w:snapToGrid w:val="0"/>
        <w:spacing w:line="360" w:lineRule="auto"/>
        <w:ind w:firstLine="411" w:firstLineChars="196"/>
        <w:rPr>
          <w:color w:val="auto"/>
          <w:sz w:val="21"/>
          <w:szCs w:val="21"/>
          <w:highlight w:val="none"/>
        </w:rPr>
      </w:pPr>
      <w:r>
        <w:rPr>
          <w:rFonts w:hint="eastAsia"/>
          <w:color w:val="auto"/>
          <w:sz w:val="21"/>
          <w:szCs w:val="21"/>
          <w:highlight w:val="none"/>
        </w:rPr>
        <w:t>5.7.2</w:t>
      </w:r>
      <w:r>
        <w:rPr>
          <w:color w:val="auto"/>
          <w:sz w:val="21"/>
          <w:szCs w:val="21"/>
          <w:highlight w:val="none"/>
        </w:rPr>
        <w:t>商务技术</w:t>
      </w:r>
      <w:r>
        <w:rPr>
          <w:rFonts w:hint="eastAsia"/>
          <w:color w:val="auto"/>
          <w:sz w:val="21"/>
          <w:szCs w:val="21"/>
          <w:highlight w:val="none"/>
        </w:rPr>
        <w:t>文件</w:t>
      </w:r>
      <w:r>
        <w:rPr>
          <w:color w:val="auto"/>
          <w:sz w:val="21"/>
          <w:szCs w:val="21"/>
          <w:highlight w:val="none"/>
        </w:rPr>
        <w:t>评审阶段：</w:t>
      </w:r>
    </w:p>
    <w:p>
      <w:pPr>
        <w:spacing w:line="360" w:lineRule="auto"/>
        <w:ind w:firstLine="420" w:firstLineChars="200"/>
        <w:rPr>
          <w:color w:val="auto"/>
          <w:sz w:val="21"/>
          <w:szCs w:val="21"/>
          <w:highlight w:val="none"/>
        </w:rPr>
      </w:pPr>
      <w:r>
        <w:rPr>
          <w:color w:val="auto"/>
          <w:sz w:val="21"/>
          <w:szCs w:val="21"/>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color w:val="auto"/>
          <w:sz w:val="21"/>
          <w:szCs w:val="21"/>
          <w:highlight w:val="none"/>
        </w:rPr>
        <w:tab/>
      </w:r>
      <w:r>
        <w:rPr>
          <w:rFonts w:hint="eastAsia"/>
          <w:color w:val="auto"/>
          <w:sz w:val="21"/>
          <w:szCs w:val="21"/>
          <w:highlight w:val="none"/>
        </w:rPr>
        <w:t>供应商</w:t>
      </w:r>
      <w:r>
        <w:rPr>
          <w:color w:val="auto"/>
          <w:sz w:val="21"/>
          <w:szCs w:val="21"/>
          <w:highlight w:val="none"/>
        </w:rPr>
        <w:t>提交两份或两份以上内容不同的投标方案，未声明哪一份有效的；</w:t>
      </w:r>
    </w:p>
    <w:p>
      <w:pPr>
        <w:snapToGrid w:val="0"/>
        <w:spacing w:line="360" w:lineRule="auto"/>
        <w:ind w:firstLine="420" w:firstLineChars="200"/>
        <w:rPr>
          <w:color w:val="auto"/>
          <w:sz w:val="21"/>
          <w:szCs w:val="21"/>
          <w:highlight w:val="none"/>
        </w:rPr>
      </w:pPr>
      <w:r>
        <w:rPr>
          <w:rFonts w:hint="eastAsia"/>
          <w:color w:val="auto"/>
          <w:sz w:val="21"/>
          <w:szCs w:val="21"/>
          <w:highlight w:val="none"/>
        </w:rPr>
        <w:t>2</w:t>
      </w:r>
      <w:r>
        <w:rPr>
          <w:color w:val="auto"/>
          <w:sz w:val="21"/>
          <w:szCs w:val="21"/>
          <w:highlight w:val="none"/>
        </w:rPr>
        <w:t>）</w:t>
      </w:r>
      <w:r>
        <w:rPr>
          <w:color w:val="auto"/>
          <w:sz w:val="21"/>
          <w:szCs w:val="21"/>
          <w:highlight w:val="none"/>
        </w:rPr>
        <w:tab/>
      </w:r>
      <w:r>
        <w:rPr>
          <w:color w:val="auto"/>
          <w:sz w:val="21"/>
          <w:szCs w:val="21"/>
          <w:highlight w:val="none"/>
        </w:rPr>
        <w:t>投标文件非</w:t>
      </w:r>
      <w:r>
        <w:rPr>
          <w:rFonts w:hint="eastAsia"/>
          <w:color w:val="auto"/>
          <w:sz w:val="21"/>
          <w:szCs w:val="21"/>
          <w:highlight w:val="none"/>
        </w:rPr>
        <w:t>供应商</w:t>
      </w:r>
      <w:r>
        <w:rPr>
          <w:color w:val="auto"/>
          <w:sz w:val="21"/>
          <w:szCs w:val="21"/>
          <w:highlight w:val="none"/>
        </w:rPr>
        <w:t>法定代表人签署的，未提供或提供无效的法定代表人授权书；</w:t>
      </w:r>
    </w:p>
    <w:p>
      <w:pPr>
        <w:snapToGrid w:val="0"/>
        <w:spacing w:line="360" w:lineRule="auto"/>
        <w:ind w:firstLine="420" w:firstLineChars="200"/>
        <w:rPr>
          <w:color w:val="auto"/>
          <w:sz w:val="21"/>
          <w:szCs w:val="21"/>
          <w:highlight w:val="none"/>
        </w:rPr>
      </w:pPr>
      <w:r>
        <w:rPr>
          <w:rFonts w:hint="eastAsia"/>
          <w:snapToGrid w:val="0"/>
          <w:color w:val="auto"/>
          <w:kern w:val="0"/>
          <w:sz w:val="21"/>
          <w:szCs w:val="21"/>
          <w:highlight w:val="none"/>
        </w:rPr>
        <w:t>3</w:t>
      </w:r>
      <w:r>
        <w:rPr>
          <w:snapToGrid w:val="0"/>
          <w:color w:val="auto"/>
          <w:kern w:val="0"/>
          <w:sz w:val="21"/>
          <w:szCs w:val="21"/>
          <w:highlight w:val="none"/>
        </w:rPr>
        <w:t>）投标文件中法定代表人和授权代表身份证复印件不齐全的；</w:t>
      </w:r>
    </w:p>
    <w:p>
      <w:pPr>
        <w:snapToGrid w:val="0"/>
        <w:spacing w:line="360"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color w:val="auto"/>
          <w:sz w:val="21"/>
          <w:szCs w:val="21"/>
          <w:highlight w:val="none"/>
        </w:rPr>
        <w:tab/>
      </w:r>
      <w:r>
        <w:rPr>
          <w:color w:val="auto"/>
          <w:sz w:val="21"/>
          <w:szCs w:val="21"/>
          <w:highlight w:val="none"/>
        </w:rPr>
        <w:t>投标文件内容未按采购文件规定盖章的；</w:t>
      </w:r>
    </w:p>
    <w:p>
      <w:pPr>
        <w:snapToGrid w:val="0"/>
        <w:spacing w:line="360" w:lineRule="auto"/>
        <w:ind w:firstLine="420" w:firstLineChars="200"/>
        <w:rPr>
          <w:color w:val="auto"/>
          <w:sz w:val="21"/>
          <w:szCs w:val="21"/>
          <w:highlight w:val="none"/>
        </w:rPr>
      </w:pPr>
      <w:r>
        <w:rPr>
          <w:rFonts w:hint="eastAsia"/>
          <w:color w:val="auto"/>
          <w:sz w:val="21"/>
          <w:szCs w:val="21"/>
          <w:highlight w:val="none"/>
        </w:rPr>
        <w:t>5</w:t>
      </w:r>
      <w:r>
        <w:rPr>
          <w:color w:val="auto"/>
          <w:sz w:val="21"/>
          <w:szCs w:val="21"/>
          <w:highlight w:val="none"/>
        </w:rPr>
        <w:t>）</w:t>
      </w:r>
      <w:r>
        <w:rPr>
          <w:color w:val="auto"/>
          <w:sz w:val="21"/>
          <w:szCs w:val="21"/>
          <w:highlight w:val="none"/>
        </w:rPr>
        <w:tab/>
      </w:r>
      <w:r>
        <w:rPr>
          <w:color w:val="auto"/>
          <w:sz w:val="21"/>
          <w:szCs w:val="21"/>
          <w:highlight w:val="none"/>
        </w:rPr>
        <w:t>投标文件内容不全或内容字迹模糊辨认不清的等而导致评标活动无法正常进行；</w:t>
      </w:r>
    </w:p>
    <w:p>
      <w:pPr>
        <w:snapToGrid w:val="0"/>
        <w:spacing w:line="360" w:lineRule="auto"/>
        <w:ind w:firstLine="420" w:firstLineChars="200"/>
        <w:rPr>
          <w:color w:val="auto"/>
          <w:sz w:val="21"/>
          <w:szCs w:val="21"/>
          <w:highlight w:val="none"/>
        </w:rPr>
      </w:pPr>
      <w:r>
        <w:rPr>
          <w:rFonts w:hint="eastAsia"/>
          <w:color w:val="auto"/>
          <w:sz w:val="21"/>
          <w:szCs w:val="21"/>
          <w:highlight w:val="none"/>
        </w:rPr>
        <w:t>6</w:t>
      </w:r>
      <w:r>
        <w:rPr>
          <w:color w:val="auto"/>
          <w:sz w:val="21"/>
          <w:szCs w:val="21"/>
          <w:highlight w:val="none"/>
        </w:rPr>
        <w:t>）</w:t>
      </w:r>
      <w:r>
        <w:rPr>
          <w:color w:val="auto"/>
          <w:sz w:val="21"/>
          <w:szCs w:val="21"/>
          <w:highlight w:val="none"/>
        </w:rPr>
        <w:tab/>
      </w:r>
      <w:r>
        <w:rPr>
          <w:rFonts w:hint="eastAsia"/>
          <w:color w:val="auto"/>
          <w:sz w:val="21"/>
          <w:szCs w:val="21"/>
          <w:highlight w:val="none"/>
        </w:rPr>
        <w:t>供应商</w:t>
      </w:r>
      <w:r>
        <w:rPr>
          <w:color w:val="auto"/>
          <w:sz w:val="21"/>
          <w:szCs w:val="21"/>
          <w:highlight w:val="none"/>
        </w:rPr>
        <w:t>未按采购文件变更通知更改投标文件的；</w:t>
      </w:r>
    </w:p>
    <w:p>
      <w:pPr>
        <w:snapToGrid w:val="0"/>
        <w:spacing w:line="360" w:lineRule="auto"/>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w:t>
      </w:r>
      <w:r>
        <w:rPr>
          <w:color w:val="auto"/>
          <w:sz w:val="21"/>
          <w:szCs w:val="21"/>
          <w:highlight w:val="none"/>
        </w:rPr>
        <w:tab/>
      </w:r>
      <w:r>
        <w:rPr>
          <w:color w:val="auto"/>
          <w:sz w:val="21"/>
          <w:szCs w:val="21"/>
          <w:highlight w:val="none"/>
        </w:rPr>
        <w:t>未实质性响应采购文件中带“▲”条款要求的投标文件；</w:t>
      </w:r>
    </w:p>
    <w:p>
      <w:pPr>
        <w:snapToGrid w:val="0"/>
        <w:spacing w:line="360" w:lineRule="auto"/>
        <w:ind w:firstLine="420" w:firstLineChars="200"/>
        <w:rPr>
          <w:color w:val="auto"/>
          <w:sz w:val="21"/>
          <w:szCs w:val="21"/>
          <w:highlight w:val="none"/>
        </w:rPr>
      </w:pPr>
      <w:r>
        <w:rPr>
          <w:rFonts w:hint="eastAsia"/>
          <w:color w:val="auto"/>
          <w:sz w:val="21"/>
          <w:szCs w:val="21"/>
          <w:highlight w:val="none"/>
        </w:rPr>
        <w:t>8</w:t>
      </w:r>
      <w:r>
        <w:rPr>
          <w:color w:val="auto"/>
          <w:sz w:val="21"/>
          <w:szCs w:val="21"/>
          <w:highlight w:val="none"/>
        </w:rPr>
        <w:t>）</w:t>
      </w:r>
      <w:r>
        <w:rPr>
          <w:snapToGrid w:val="0"/>
          <w:color w:val="auto"/>
          <w:kern w:val="0"/>
          <w:sz w:val="21"/>
          <w:szCs w:val="21"/>
          <w:highlight w:val="none"/>
        </w:rPr>
        <w:t>投标有效期、</w:t>
      </w:r>
      <w:r>
        <w:rPr>
          <w:rFonts w:hint="eastAsia"/>
          <w:snapToGrid w:val="0"/>
          <w:color w:val="auto"/>
          <w:kern w:val="0"/>
          <w:sz w:val="21"/>
          <w:szCs w:val="21"/>
          <w:highlight w:val="none"/>
        </w:rPr>
        <w:t>服务期</w:t>
      </w:r>
      <w:r>
        <w:rPr>
          <w:snapToGrid w:val="0"/>
          <w:color w:val="auto"/>
          <w:kern w:val="0"/>
          <w:sz w:val="21"/>
          <w:szCs w:val="21"/>
          <w:highlight w:val="none"/>
        </w:rPr>
        <w:t>不能满足</w:t>
      </w:r>
      <w:r>
        <w:rPr>
          <w:rFonts w:hint="eastAsia"/>
          <w:snapToGrid w:val="0"/>
          <w:color w:val="auto"/>
          <w:kern w:val="0"/>
          <w:sz w:val="21"/>
          <w:szCs w:val="21"/>
          <w:highlight w:val="none"/>
        </w:rPr>
        <w:t>采购文件</w:t>
      </w:r>
      <w:r>
        <w:rPr>
          <w:snapToGrid w:val="0"/>
          <w:color w:val="auto"/>
          <w:kern w:val="0"/>
          <w:sz w:val="21"/>
          <w:szCs w:val="21"/>
          <w:highlight w:val="none"/>
        </w:rPr>
        <w:t>要求的；</w:t>
      </w:r>
    </w:p>
    <w:p>
      <w:pPr>
        <w:snapToGrid w:val="0"/>
        <w:spacing w:line="360" w:lineRule="auto"/>
        <w:ind w:firstLine="420" w:firstLineChars="200"/>
        <w:rPr>
          <w:color w:val="auto"/>
          <w:sz w:val="21"/>
          <w:szCs w:val="21"/>
          <w:highlight w:val="none"/>
        </w:rPr>
      </w:pPr>
      <w:r>
        <w:rPr>
          <w:rFonts w:hint="eastAsia"/>
          <w:color w:val="auto"/>
          <w:sz w:val="21"/>
          <w:szCs w:val="21"/>
          <w:highlight w:val="none"/>
        </w:rPr>
        <w:t>9</w:t>
      </w:r>
      <w:r>
        <w:rPr>
          <w:color w:val="auto"/>
          <w:sz w:val="21"/>
          <w:szCs w:val="21"/>
          <w:highlight w:val="none"/>
        </w:rPr>
        <w:t>）</w:t>
      </w:r>
      <w:r>
        <w:rPr>
          <w:color w:val="auto"/>
          <w:sz w:val="21"/>
          <w:szCs w:val="21"/>
          <w:highlight w:val="none"/>
        </w:rPr>
        <w:tab/>
      </w:r>
      <w:r>
        <w:rPr>
          <w:color w:val="auto"/>
          <w:sz w:val="21"/>
          <w:szCs w:val="21"/>
          <w:highlight w:val="none"/>
        </w:rPr>
        <w:t>投标文件附有采购人不能接受的条款；</w:t>
      </w:r>
    </w:p>
    <w:p>
      <w:pPr>
        <w:snapToGrid w:val="0"/>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0</w:t>
      </w:r>
      <w:r>
        <w:rPr>
          <w:color w:val="auto"/>
          <w:sz w:val="21"/>
          <w:szCs w:val="21"/>
          <w:highlight w:val="none"/>
        </w:rPr>
        <w:t>）</w:t>
      </w:r>
      <w:r>
        <w:rPr>
          <w:color w:val="auto"/>
          <w:sz w:val="21"/>
          <w:szCs w:val="21"/>
          <w:highlight w:val="none"/>
        </w:rPr>
        <w:tab/>
      </w:r>
      <w:r>
        <w:rPr>
          <w:color w:val="auto"/>
          <w:sz w:val="21"/>
          <w:szCs w:val="21"/>
          <w:highlight w:val="none"/>
        </w:rPr>
        <w:t>投标文件中提供了与采购无关的赠品、回扣或者其他商品、服务；</w:t>
      </w:r>
    </w:p>
    <w:p>
      <w:pPr>
        <w:snapToGrid w:val="0"/>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1</w:t>
      </w:r>
      <w:r>
        <w:rPr>
          <w:color w:val="auto"/>
          <w:sz w:val="21"/>
          <w:szCs w:val="21"/>
          <w:highlight w:val="none"/>
        </w:rPr>
        <w:t>）</w:t>
      </w:r>
      <w:r>
        <w:rPr>
          <w:color w:val="auto"/>
          <w:sz w:val="21"/>
          <w:szCs w:val="21"/>
          <w:highlight w:val="none"/>
        </w:rPr>
        <w:tab/>
      </w:r>
      <w:r>
        <w:rPr>
          <w:rFonts w:hint="eastAsia"/>
          <w:color w:val="auto"/>
          <w:sz w:val="21"/>
          <w:szCs w:val="21"/>
          <w:highlight w:val="none"/>
        </w:rPr>
        <w:t>供应商</w:t>
      </w:r>
      <w:r>
        <w:rPr>
          <w:color w:val="auto"/>
          <w:sz w:val="21"/>
          <w:szCs w:val="21"/>
          <w:highlight w:val="none"/>
        </w:rPr>
        <w:t>串通投标，妨碍其他</w:t>
      </w:r>
      <w:r>
        <w:rPr>
          <w:rFonts w:hint="eastAsia"/>
          <w:color w:val="auto"/>
          <w:sz w:val="21"/>
          <w:szCs w:val="21"/>
          <w:highlight w:val="none"/>
        </w:rPr>
        <w:t>供应商</w:t>
      </w:r>
      <w:r>
        <w:rPr>
          <w:color w:val="auto"/>
          <w:sz w:val="21"/>
          <w:szCs w:val="21"/>
          <w:highlight w:val="none"/>
        </w:rPr>
        <w:t>的竞争行为，损害采购人或者其他</w:t>
      </w:r>
      <w:r>
        <w:rPr>
          <w:rFonts w:hint="eastAsia"/>
          <w:color w:val="auto"/>
          <w:sz w:val="21"/>
          <w:szCs w:val="21"/>
          <w:highlight w:val="none"/>
        </w:rPr>
        <w:t>供应商</w:t>
      </w:r>
      <w:r>
        <w:rPr>
          <w:color w:val="auto"/>
          <w:sz w:val="21"/>
          <w:szCs w:val="21"/>
          <w:highlight w:val="none"/>
        </w:rPr>
        <w:t>的合法权益；</w:t>
      </w:r>
    </w:p>
    <w:p>
      <w:pPr>
        <w:snapToGrid w:val="0"/>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2</w:t>
      </w:r>
      <w:r>
        <w:rPr>
          <w:color w:val="auto"/>
          <w:sz w:val="21"/>
          <w:szCs w:val="21"/>
          <w:highlight w:val="none"/>
        </w:rPr>
        <w:t>）</w:t>
      </w:r>
      <w:r>
        <w:rPr>
          <w:color w:val="auto"/>
          <w:sz w:val="21"/>
          <w:szCs w:val="21"/>
          <w:highlight w:val="none"/>
        </w:rPr>
        <w:tab/>
      </w:r>
      <w:r>
        <w:rPr>
          <w:color w:val="auto"/>
          <w:sz w:val="21"/>
          <w:szCs w:val="21"/>
          <w:highlight w:val="none"/>
        </w:rPr>
        <w:t>违反国家及政府部门相关法律、法规、文件规定或经评标委员会认定的其他属于重大偏离。</w:t>
      </w:r>
    </w:p>
    <w:p>
      <w:pPr>
        <w:snapToGrid w:val="0"/>
        <w:spacing w:line="360" w:lineRule="auto"/>
        <w:ind w:firstLine="420" w:firstLineChars="200"/>
        <w:rPr>
          <w:color w:val="auto"/>
          <w:sz w:val="21"/>
          <w:szCs w:val="21"/>
          <w:highlight w:val="none"/>
        </w:rPr>
      </w:pPr>
      <w:r>
        <w:rPr>
          <w:rFonts w:hint="eastAsia"/>
          <w:color w:val="auto"/>
          <w:sz w:val="21"/>
          <w:szCs w:val="21"/>
          <w:highlight w:val="none"/>
        </w:rPr>
        <w:t>5.7.3</w:t>
      </w:r>
      <w:r>
        <w:rPr>
          <w:color w:val="auto"/>
          <w:sz w:val="21"/>
          <w:szCs w:val="21"/>
          <w:highlight w:val="none"/>
        </w:rPr>
        <w:t>报价文件评审阶段：</w:t>
      </w:r>
    </w:p>
    <w:p>
      <w:pPr>
        <w:snapToGrid w:val="0"/>
        <w:spacing w:line="360" w:lineRule="auto"/>
        <w:ind w:firstLine="420" w:firstLineChars="200"/>
        <w:rPr>
          <w:color w:val="auto"/>
          <w:sz w:val="21"/>
          <w:szCs w:val="21"/>
          <w:highlight w:val="none"/>
        </w:rPr>
      </w:pPr>
      <w:r>
        <w:rPr>
          <w:color w:val="auto"/>
          <w:sz w:val="21"/>
          <w:szCs w:val="21"/>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sz w:val="21"/>
          <w:szCs w:val="21"/>
          <w:highlight w:val="none"/>
        </w:rPr>
      </w:pPr>
      <w:r>
        <w:rPr>
          <w:color w:val="auto"/>
          <w:sz w:val="21"/>
          <w:szCs w:val="21"/>
          <w:highlight w:val="none"/>
        </w:rPr>
        <w:t>1）</w:t>
      </w:r>
      <w:r>
        <w:rPr>
          <w:color w:val="auto"/>
          <w:sz w:val="21"/>
          <w:szCs w:val="21"/>
          <w:highlight w:val="none"/>
        </w:rPr>
        <w:tab/>
      </w:r>
      <w:r>
        <w:rPr>
          <w:rFonts w:hint="eastAsia"/>
          <w:color w:val="auto"/>
          <w:sz w:val="21"/>
          <w:szCs w:val="21"/>
          <w:highlight w:val="none"/>
        </w:rPr>
        <w:t>供应商</w:t>
      </w:r>
      <w:r>
        <w:rPr>
          <w:color w:val="auto"/>
          <w:sz w:val="21"/>
          <w:szCs w:val="21"/>
          <w:highlight w:val="none"/>
        </w:rPr>
        <w:t>提交两份或两份以上内容不同的投标报价，未声明哪一份有效的；</w:t>
      </w:r>
    </w:p>
    <w:p>
      <w:pPr>
        <w:snapToGrid w:val="0"/>
        <w:spacing w:line="360" w:lineRule="auto"/>
        <w:ind w:firstLine="420" w:firstLineChars="200"/>
        <w:rPr>
          <w:color w:val="auto"/>
          <w:sz w:val="21"/>
          <w:szCs w:val="21"/>
          <w:highlight w:val="none"/>
        </w:rPr>
      </w:pPr>
      <w:r>
        <w:rPr>
          <w:color w:val="auto"/>
          <w:sz w:val="21"/>
          <w:szCs w:val="21"/>
          <w:highlight w:val="none"/>
        </w:rPr>
        <w:t>2）</w:t>
      </w:r>
      <w:r>
        <w:rPr>
          <w:color w:val="auto"/>
          <w:sz w:val="21"/>
          <w:szCs w:val="21"/>
          <w:highlight w:val="none"/>
        </w:rPr>
        <w:tab/>
      </w:r>
      <w:r>
        <w:rPr>
          <w:color w:val="auto"/>
          <w:sz w:val="21"/>
          <w:szCs w:val="21"/>
          <w:highlight w:val="none"/>
        </w:rPr>
        <w:t>投标文件内容未按采购文件规定盖章的；</w:t>
      </w:r>
    </w:p>
    <w:p>
      <w:pPr>
        <w:snapToGrid w:val="0"/>
        <w:spacing w:line="360" w:lineRule="auto"/>
        <w:ind w:firstLine="420" w:firstLineChars="200"/>
        <w:rPr>
          <w:color w:val="auto"/>
          <w:sz w:val="21"/>
          <w:szCs w:val="21"/>
          <w:highlight w:val="none"/>
        </w:rPr>
      </w:pPr>
      <w:r>
        <w:rPr>
          <w:color w:val="auto"/>
          <w:sz w:val="21"/>
          <w:szCs w:val="21"/>
          <w:highlight w:val="none"/>
        </w:rPr>
        <w:t>3）</w:t>
      </w:r>
      <w:r>
        <w:rPr>
          <w:color w:val="auto"/>
          <w:sz w:val="21"/>
          <w:szCs w:val="21"/>
          <w:highlight w:val="none"/>
        </w:rPr>
        <w:tab/>
      </w:r>
      <w:r>
        <w:rPr>
          <w:color w:val="auto"/>
          <w:sz w:val="21"/>
          <w:szCs w:val="21"/>
          <w:highlight w:val="none"/>
        </w:rPr>
        <w:t>《开标一览表》和《投标价格组成明细表》内容不完整且不接受修正意见或字迹不能辨认的或未提供；</w:t>
      </w:r>
    </w:p>
    <w:p>
      <w:pPr>
        <w:snapToGrid w:val="0"/>
        <w:spacing w:line="360" w:lineRule="auto"/>
        <w:ind w:firstLine="420" w:firstLineChars="200"/>
        <w:rPr>
          <w:color w:val="auto"/>
          <w:sz w:val="21"/>
          <w:szCs w:val="21"/>
          <w:highlight w:val="none"/>
        </w:rPr>
      </w:pPr>
      <w:r>
        <w:rPr>
          <w:color w:val="auto"/>
          <w:sz w:val="21"/>
          <w:szCs w:val="21"/>
          <w:highlight w:val="none"/>
        </w:rPr>
        <w:t>4）</w:t>
      </w:r>
      <w:r>
        <w:rPr>
          <w:color w:val="auto"/>
          <w:sz w:val="21"/>
          <w:szCs w:val="21"/>
          <w:highlight w:val="none"/>
        </w:rPr>
        <w:tab/>
      </w:r>
      <w:r>
        <w:rPr>
          <w:color w:val="auto"/>
          <w:sz w:val="21"/>
          <w:szCs w:val="21"/>
          <w:highlight w:val="none"/>
        </w:rPr>
        <w:t>所投标项的投标报价超过采购文件规定的预算金额或最高限价；</w:t>
      </w:r>
    </w:p>
    <w:p>
      <w:pPr>
        <w:snapToGrid w:val="0"/>
        <w:spacing w:line="360" w:lineRule="auto"/>
        <w:ind w:firstLine="420" w:firstLineChars="200"/>
        <w:rPr>
          <w:color w:val="auto"/>
          <w:sz w:val="21"/>
          <w:szCs w:val="21"/>
          <w:highlight w:val="none"/>
        </w:rPr>
      </w:pPr>
      <w:r>
        <w:rPr>
          <w:color w:val="auto"/>
          <w:sz w:val="21"/>
          <w:szCs w:val="21"/>
          <w:highlight w:val="none"/>
        </w:rPr>
        <w:t>5）</w:t>
      </w:r>
      <w:r>
        <w:rPr>
          <w:color w:val="auto"/>
          <w:sz w:val="21"/>
          <w:szCs w:val="21"/>
          <w:highlight w:val="none"/>
        </w:rPr>
        <w:tab/>
      </w:r>
      <w:r>
        <w:rPr>
          <w:color w:val="auto"/>
          <w:sz w:val="21"/>
          <w:szCs w:val="21"/>
          <w:highlight w:val="none"/>
        </w:rPr>
        <w:t>《开标一览表》投标报价为零的，或其报价（大写）无法按正常书写方式进行报价唱标的或无投标报价的；</w:t>
      </w:r>
    </w:p>
    <w:p>
      <w:pPr>
        <w:snapToGrid w:val="0"/>
        <w:spacing w:line="360" w:lineRule="auto"/>
        <w:ind w:firstLine="420" w:firstLineChars="200"/>
        <w:rPr>
          <w:color w:val="auto"/>
          <w:sz w:val="21"/>
          <w:szCs w:val="21"/>
          <w:highlight w:val="none"/>
        </w:rPr>
      </w:pPr>
      <w:r>
        <w:rPr>
          <w:rFonts w:hint="eastAsia"/>
          <w:color w:val="auto"/>
          <w:sz w:val="21"/>
          <w:szCs w:val="21"/>
          <w:highlight w:val="none"/>
        </w:rPr>
        <w:t>6</w:t>
      </w:r>
      <w:r>
        <w:rPr>
          <w:color w:val="auto"/>
          <w:sz w:val="21"/>
          <w:szCs w:val="21"/>
          <w:highlight w:val="none"/>
        </w:rPr>
        <w:t>）</w:t>
      </w:r>
      <w:r>
        <w:rPr>
          <w:rFonts w:hint="eastAsia"/>
          <w:color w:val="auto"/>
          <w:sz w:val="21"/>
          <w:szCs w:val="21"/>
          <w:highlight w:val="none"/>
        </w:rPr>
        <w:t>投标人的报价明显低于其他通过符合性审查投标人的报价，有可能影响产品或服务质量或者不能诚信履约，未能按评标委员会要求其在评标现场合理的时间内提供书面说明及相关证明材料以证明其报价合理性的</w:t>
      </w:r>
      <w:r>
        <w:rPr>
          <w:color w:val="auto"/>
          <w:sz w:val="21"/>
          <w:szCs w:val="21"/>
          <w:highlight w:val="none"/>
        </w:rPr>
        <w:t>；</w:t>
      </w:r>
    </w:p>
    <w:p>
      <w:pPr>
        <w:snapToGrid w:val="0"/>
        <w:spacing w:line="360" w:lineRule="auto"/>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）投标文件内容不全或内容字迹模糊辨认不清的等而导致评标活动无法正常进行；</w:t>
      </w:r>
    </w:p>
    <w:p>
      <w:pPr>
        <w:snapToGrid w:val="0"/>
        <w:spacing w:line="360" w:lineRule="auto"/>
        <w:ind w:firstLine="420" w:firstLineChars="200"/>
        <w:rPr>
          <w:color w:val="auto"/>
          <w:sz w:val="21"/>
          <w:szCs w:val="21"/>
          <w:highlight w:val="none"/>
        </w:rPr>
      </w:pPr>
      <w:r>
        <w:rPr>
          <w:rFonts w:hint="eastAsia"/>
          <w:color w:val="auto"/>
          <w:sz w:val="21"/>
          <w:szCs w:val="21"/>
          <w:highlight w:val="none"/>
        </w:rPr>
        <w:t>8</w:t>
      </w:r>
      <w:r>
        <w:rPr>
          <w:color w:val="auto"/>
          <w:sz w:val="21"/>
          <w:szCs w:val="21"/>
          <w:highlight w:val="none"/>
        </w:rPr>
        <w:t>）</w:t>
      </w:r>
      <w:r>
        <w:rPr>
          <w:color w:val="auto"/>
          <w:sz w:val="21"/>
          <w:szCs w:val="21"/>
          <w:highlight w:val="none"/>
        </w:rPr>
        <w:tab/>
      </w:r>
      <w:r>
        <w:rPr>
          <w:rFonts w:hint="eastAsia"/>
          <w:color w:val="auto"/>
          <w:sz w:val="21"/>
          <w:szCs w:val="21"/>
          <w:highlight w:val="none"/>
        </w:rPr>
        <w:t>供应商</w:t>
      </w:r>
      <w:r>
        <w:rPr>
          <w:color w:val="auto"/>
          <w:sz w:val="21"/>
          <w:szCs w:val="21"/>
          <w:highlight w:val="none"/>
        </w:rPr>
        <w:t>未按采购文件变更通知更改投标文件的；</w:t>
      </w:r>
    </w:p>
    <w:p>
      <w:pPr>
        <w:snapToGrid w:val="0"/>
        <w:spacing w:line="360" w:lineRule="auto"/>
        <w:ind w:firstLine="420" w:firstLineChars="200"/>
        <w:rPr>
          <w:color w:val="auto"/>
          <w:sz w:val="21"/>
          <w:szCs w:val="21"/>
          <w:highlight w:val="none"/>
        </w:rPr>
      </w:pPr>
      <w:r>
        <w:rPr>
          <w:rFonts w:hint="eastAsia"/>
          <w:color w:val="auto"/>
          <w:sz w:val="21"/>
          <w:szCs w:val="21"/>
          <w:highlight w:val="none"/>
        </w:rPr>
        <w:t>9</w:t>
      </w:r>
      <w:r>
        <w:rPr>
          <w:color w:val="auto"/>
          <w:sz w:val="21"/>
          <w:szCs w:val="21"/>
          <w:highlight w:val="none"/>
        </w:rPr>
        <w:t>）</w:t>
      </w:r>
      <w:r>
        <w:rPr>
          <w:color w:val="auto"/>
          <w:sz w:val="21"/>
          <w:szCs w:val="21"/>
          <w:highlight w:val="none"/>
        </w:rPr>
        <w:tab/>
      </w:r>
      <w:r>
        <w:rPr>
          <w:color w:val="auto"/>
          <w:sz w:val="21"/>
          <w:szCs w:val="21"/>
          <w:highlight w:val="none"/>
        </w:rPr>
        <w:t>未实质性响应采购文件中带“▲”条款要求的投标文件；</w:t>
      </w:r>
    </w:p>
    <w:p>
      <w:pPr>
        <w:snapToGrid w:val="0"/>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0</w:t>
      </w:r>
      <w:r>
        <w:rPr>
          <w:color w:val="auto"/>
          <w:sz w:val="21"/>
          <w:szCs w:val="21"/>
          <w:highlight w:val="none"/>
        </w:rPr>
        <w:t>）</w:t>
      </w:r>
      <w:r>
        <w:rPr>
          <w:color w:val="auto"/>
          <w:sz w:val="21"/>
          <w:szCs w:val="21"/>
          <w:highlight w:val="none"/>
        </w:rPr>
        <w:tab/>
      </w:r>
      <w:r>
        <w:rPr>
          <w:color w:val="auto"/>
          <w:sz w:val="21"/>
          <w:szCs w:val="21"/>
          <w:highlight w:val="none"/>
        </w:rPr>
        <w:t>投标文件附有采购人不能接受的条款；</w:t>
      </w:r>
    </w:p>
    <w:p>
      <w:pPr>
        <w:snapToGrid w:val="0"/>
        <w:spacing w:line="360" w:lineRule="auto"/>
        <w:ind w:firstLine="420" w:firstLineChars="200"/>
        <w:rPr>
          <w:color w:val="auto"/>
          <w:sz w:val="21"/>
          <w:szCs w:val="21"/>
          <w:highlight w:val="none"/>
        </w:rPr>
      </w:pPr>
      <w:r>
        <w:rPr>
          <w:rFonts w:hint="eastAsia"/>
          <w:color w:val="auto"/>
          <w:sz w:val="21"/>
          <w:szCs w:val="21"/>
          <w:highlight w:val="none"/>
        </w:rPr>
        <w:t>11</w:t>
      </w:r>
      <w:r>
        <w:rPr>
          <w:color w:val="auto"/>
          <w:sz w:val="21"/>
          <w:szCs w:val="21"/>
          <w:highlight w:val="none"/>
        </w:rPr>
        <w:t>）投标文件中提供了与采购无关的赠品、回扣或者其他商品、服务；</w:t>
      </w:r>
    </w:p>
    <w:p>
      <w:pPr>
        <w:snapToGrid w:val="0"/>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2</w:t>
      </w:r>
      <w:r>
        <w:rPr>
          <w:color w:val="auto"/>
          <w:sz w:val="21"/>
          <w:szCs w:val="21"/>
          <w:highlight w:val="none"/>
        </w:rPr>
        <w:t>）</w:t>
      </w:r>
      <w:r>
        <w:rPr>
          <w:color w:val="auto"/>
          <w:sz w:val="21"/>
          <w:szCs w:val="21"/>
          <w:highlight w:val="none"/>
        </w:rPr>
        <w:tab/>
      </w:r>
      <w:r>
        <w:rPr>
          <w:rFonts w:hint="eastAsia"/>
          <w:color w:val="auto"/>
          <w:sz w:val="21"/>
          <w:szCs w:val="21"/>
          <w:highlight w:val="none"/>
        </w:rPr>
        <w:t>供应商</w:t>
      </w:r>
      <w:r>
        <w:rPr>
          <w:color w:val="auto"/>
          <w:sz w:val="21"/>
          <w:szCs w:val="21"/>
          <w:highlight w:val="none"/>
        </w:rPr>
        <w:t>串通投标，妨碍其他</w:t>
      </w:r>
      <w:r>
        <w:rPr>
          <w:rFonts w:hint="eastAsia"/>
          <w:color w:val="auto"/>
          <w:sz w:val="21"/>
          <w:szCs w:val="21"/>
          <w:highlight w:val="none"/>
        </w:rPr>
        <w:t>供应商</w:t>
      </w:r>
      <w:r>
        <w:rPr>
          <w:color w:val="auto"/>
          <w:sz w:val="21"/>
          <w:szCs w:val="21"/>
          <w:highlight w:val="none"/>
        </w:rPr>
        <w:t>的竞争行为，损害采购人或者其他</w:t>
      </w:r>
      <w:r>
        <w:rPr>
          <w:rFonts w:hint="eastAsia"/>
          <w:color w:val="auto"/>
          <w:sz w:val="21"/>
          <w:szCs w:val="21"/>
          <w:highlight w:val="none"/>
        </w:rPr>
        <w:t>供应商</w:t>
      </w:r>
      <w:r>
        <w:rPr>
          <w:color w:val="auto"/>
          <w:sz w:val="21"/>
          <w:szCs w:val="21"/>
          <w:highlight w:val="none"/>
        </w:rPr>
        <w:t>的合法权益；</w:t>
      </w:r>
    </w:p>
    <w:p>
      <w:pPr>
        <w:snapToGrid w:val="0"/>
        <w:spacing w:line="360" w:lineRule="auto"/>
        <w:ind w:firstLine="420" w:firstLineChars="200"/>
        <w:rPr>
          <w:color w:val="auto"/>
          <w:sz w:val="21"/>
          <w:szCs w:val="21"/>
          <w:highlight w:val="none"/>
        </w:rPr>
      </w:pPr>
      <w:r>
        <w:rPr>
          <w:color w:val="auto"/>
          <w:sz w:val="21"/>
          <w:szCs w:val="21"/>
          <w:highlight w:val="none"/>
        </w:rPr>
        <w:t>1</w:t>
      </w:r>
      <w:r>
        <w:rPr>
          <w:rFonts w:hint="eastAsia"/>
          <w:color w:val="auto"/>
          <w:sz w:val="21"/>
          <w:szCs w:val="21"/>
          <w:highlight w:val="none"/>
        </w:rPr>
        <w:t>3</w:t>
      </w:r>
      <w:r>
        <w:rPr>
          <w:color w:val="auto"/>
          <w:sz w:val="21"/>
          <w:szCs w:val="21"/>
          <w:highlight w:val="none"/>
        </w:rPr>
        <w:t>）</w:t>
      </w:r>
      <w:r>
        <w:rPr>
          <w:color w:val="auto"/>
          <w:sz w:val="21"/>
          <w:szCs w:val="21"/>
          <w:highlight w:val="none"/>
        </w:rPr>
        <w:tab/>
      </w:r>
      <w:r>
        <w:rPr>
          <w:color w:val="auto"/>
          <w:sz w:val="21"/>
          <w:szCs w:val="21"/>
          <w:highlight w:val="none"/>
        </w:rPr>
        <w:t>违反国家及政府部门相关法律、法规、文件规定或经评标委员会认定的其他属于重大偏离。</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5.8 串通投标</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有下列情形之一的，视为</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串通投标：</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1）不同</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的投标文件由同一单位或者个人编制；</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2）不同</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委托同一单位或者个人办理投标事宜；</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3）不同</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的投标文件载明的项目管理成员或者联系人员为同一人；</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4）不同</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的投标文件异常一致或者投标报价呈规律性差异；</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5）不同</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的投标文件相互混装。</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5.9 评标</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5.9.1 采购人将按相关规定组织评标委员会，对投标文件进行审查、比较和评价。</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5.9.2评标办法</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评标办法详见第四章。</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5.10 有效</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少于三家的情况处理</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评审期间，出现符合资格条件的供应商或者对采购文件做出实质响应的供应商不足三家，本标项作废标处理，重新组织采购</w:t>
      </w:r>
      <w:r>
        <w:rPr>
          <w:rFonts w:hint="eastAsia" w:ascii="Times New Roman" w:hAnsi="Times New Roman"/>
          <w:color w:val="auto"/>
          <w:sz w:val="21"/>
          <w:szCs w:val="21"/>
          <w:highlight w:val="none"/>
        </w:rPr>
        <w:t>。</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5.11 废标</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在招标采购中，出现下列情形之一的，应予废标：</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（1）符合采购文件规定废标情形的；</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（2）出现影响采购公正的违法、违规行为的；</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（3）</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的报价均超过了采购预算，采购人不能支付的；</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（4）因重大变故，采购任务取消的；</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5.12 确定采购结果</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采购代理机构自评审结束之日起2个工作日内将评审报告送交采购人。采购人自收到评审报告之日起5个工作日内在评审报告推荐的中标候选人中按顺序确定中标人。</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5.13 结果公告</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采购代理机构自中标人确定之日起2个工作日内，在省级以上财政部门指定的媒体上公告中标结果，在公告中标结果的同时，采购代理机构向中标人发出中标通知书。</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w:t>
      </w:r>
      <w:r>
        <w:rPr>
          <w:rFonts w:ascii="Times New Roman" w:hAnsi="Times New Roman"/>
          <w:bCs/>
          <w:color w:val="auto"/>
          <w:sz w:val="21"/>
          <w:szCs w:val="21"/>
          <w:highlight w:val="none"/>
        </w:rPr>
        <w:t xml:space="preserve">14 </w:t>
      </w:r>
      <w:r>
        <w:rPr>
          <w:rFonts w:ascii="Times New Roman" w:hAnsi="Times New Roman"/>
          <w:color w:val="auto"/>
          <w:sz w:val="21"/>
          <w:szCs w:val="21"/>
          <w:highlight w:val="none"/>
        </w:rPr>
        <w:t>采购过程、采购结果质疑</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5.14.1</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认为采购过程、采购结果使自己的合法权益受到损害的，</w:t>
      </w:r>
      <w:r>
        <w:rPr>
          <w:rFonts w:hint="eastAsia" w:ascii="Times New Roman" w:hAnsi="Times New Roman"/>
          <w:color w:val="auto"/>
          <w:sz w:val="21"/>
          <w:szCs w:val="21"/>
          <w:highlight w:val="none"/>
        </w:rPr>
        <w:t>供应商</w:t>
      </w:r>
      <w:r>
        <w:rPr>
          <w:rFonts w:ascii="Times New Roman" w:hAnsi="Times New Roman"/>
          <w:color w:val="auto"/>
          <w:sz w:val="21"/>
          <w:szCs w:val="21"/>
          <w:highlight w:val="none"/>
        </w:rPr>
        <w:t>可以提出书面质疑。</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5.14.2质疑书须包括以下内容：</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（一）供应商的姓名或者名称、地址、邮编、联系人及联系电话；</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（二）质疑项目的名称、编号；</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（三）具体、明确的质疑事项和与质疑事项相关的请求；</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（四）事实依据；</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（五）必要的法律依据；</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（六）提出质疑的日期。</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5.14.3采购过程的质疑期限自各采购程序环节结束之日起计算，7个工作日内向采购代理机构提出，逾期提出不予受理。</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采购结果的质疑期限自采购结果公告期限届满之日（自本公告发布之日起至第2日24时止）之日起计算，7个工作日内向采购代理机构提出，逾期提出不予受理。</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5.14.4质疑书中涉及的相关材料中有外文资料的，应当将与质疑相关的外文资料完整、客观、真实地翻译为中文，并注明翻译人员姓名、工作单位、联系方式等信息。</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5.14.5质疑书必须署名，供应商为自然人的，应当由本人签字；供应商为法人或者其他组织的，应当由法定代表人、主要负责人，或者其授权代表签字或者盖章，并加盖公章，否则不予受理。</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5.14.6质疑书以直接提交、传真或邮寄方式提交（一式三份）。</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5.14.7质疑书以传真形式提交后，同时须向采购代理机构提交质疑书原件，采购代理机构以收到原件之日作为收到质疑日。</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5.14.8供应商不得捏造事实、提供虚假材料或者以非法手段取得证明材料进行质疑。</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5.15 发出中标通知书</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5.15.1采购人及采购代理机构将以书面形式向中标人发出中标通知书。中标通知书发出后，采购人不得违法改变中标结果，中标人无正当理由不得放弃中标。</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5.16 签订合同</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5.16.2采购文件及补充文件、中标人的投标文件及投标修改文件、评标过程中有关澄清文件和中标通知书均作为合同附件。</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5.16.3拒签合同的责任</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中标人接到中标通知书后，在规定时间内借故否认已经承诺的条件而拒签合同者，以投标违约处理，应赔偿采购人由此造成的直接经济损失。</w:t>
      </w:r>
    </w:p>
    <w:p>
      <w:pPr>
        <w:pStyle w:val="6"/>
        <w:spacing w:line="360" w:lineRule="auto"/>
        <w:ind w:firstLine="422"/>
        <w:rPr>
          <w:rFonts w:ascii="Times New Roman" w:hAnsi="Times New Roman"/>
          <w:color w:val="auto"/>
          <w:sz w:val="21"/>
          <w:szCs w:val="21"/>
          <w:highlight w:val="none"/>
        </w:rPr>
      </w:pPr>
      <w:r>
        <w:rPr>
          <w:rFonts w:ascii="Times New Roman" w:hAnsi="Times New Roman"/>
          <w:color w:val="auto"/>
          <w:sz w:val="21"/>
          <w:szCs w:val="21"/>
          <w:highlight w:val="none"/>
        </w:rPr>
        <w:t>5.17 采购代理服务费</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5.17.1 中标人须向采购代理机构按如下标准和规定交纳中标服务费。</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5.17.2 以</w:t>
      </w:r>
      <w:r>
        <w:rPr>
          <w:rFonts w:hint="eastAsia" w:ascii="Times New Roman" w:hAnsi="Times New Roman"/>
          <w:color w:val="auto"/>
          <w:sz w:val="21"/>
          <w:szCs w:val="21"/>
          <w:highlight w:val="none"/>
        </w:rPr>
        <w:t>中标金额</w:t>
      </w:r>
      <w:r>
        <w:rPr>
          <w:rFonts w:ascii="Times New Roman" w:hAnsi="Times New Roman"/>
          <w:color w:val="auto"/>
          <w:sz w:val="21"/>
          <w:szCs w:val="21"/>
          <w:highlight w:val="none"/>
        </w:rPr>
        <w:t>作为收费的计算基数。</w:t>
      </w:r>
    </w:p>
    <w:p>
      <w:pPr>
        <w:pStyle w:val="176"/>
        <w:snapToGrid w:val="0"/>
        <w:spacing w:line="360" w:lineRule="auto"/>
        <w:ind w:firstLine="420"/>
        <w:rPr>
          <w:rFonts w:ascii="Times New Roman" w:hAnsi="Times New Roman"/>
          <w:color w:val="auto"/>
          <w:sz w:val="21"/>
          <w:szCs w:val="21"/>
          <w:highlight w:val="none"/>
        </w:rPr>
      </w:pPr>
      <w:r>
        <w:rPr>
          <w:rFonts w:ascii="Times New Roman" w:hAnsi="Times New Roman"/>
          <w:color w:val="auto"/>
          <w:sz w:val="21"/>
          <w:szCs w:val="21"/>
          <w:highlight w:val="none"/>
        </w:rPr>
        <w:t>5.17.3 中标服务费按计价[2002]1980号文规定</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0</w:t>
      </w:r>
      <w:r>
        <w:rPr>
          <w:rFonts w:ascii="Times New Roman" w:hAnsi="Times New Roman"/>
          <w:color w:val="auto"/>
          <w:sz w:val="21"/>
          <w:szCs w:val="21"/>
          <w:highlight w:val="none"/>
        </w:rPr>
        <w:t>%（见下）收取：</w:t>
      </w:r>
    </w:p>
    <w:tbl>
      <w:tblPr>
        <w:tblStyle w:val="80"/>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 w:val="21"/>
                <w:szCs w:val="21"/>
                <w:highlight w:val="none"/>
              </w:rPr>
            </w:pPr>
            <w:r>
              <w:rPr>
                <w:color w:val="auto"/>
                <w:kern w:val="0"/>
                <w:sz w:val="21"/>
                <w:szCs w:val="21"/>
                <w:highlight w:val="none"/>
              </w:rPr>
              <w:t>中标金额</w:t>
            </w:r>
            <w:r>
              <w:rPr>
                <w:color w:val="auto"/>
                <w:spacing w:val="20"/>
                <w:sz w:val="21"/>
                <w:szCs w:val="21"/>
                <w:highlight w:val="none"/>
              </w:rPr>
              <w:t>P</w:t>
            </w:r>
            <w:r>
              <w:rPr>
                <w:color w:val="auto"/>
                <w:kern w:val="0"/>
                <w:sz w:val="21"/>
                <w:szCs w:val="21"/>
                <w:highlight w:val="none"/>
              </w:rPr>
              <w:t>（万元人民币）</w:t>
            </w:r>
          </w:p>
        </w:tc>
        <w:tc>
          <w:tcPr>
            <w:tcW w:w="4315" w:type="dxa"/>
          </w:tcPr>
          <w:p>
            <w:pPr>
              <w:widowControl/>
              <w:spacing w:after="156" w:line="360" w:lineRule="auto"/>
              <w:jc w:val="center"/>
              <w:rPr>
                <w:color w:val="auto"/>
                <w:kern w:val="0"/>
                <w:sz w:val="21"/>
                <w:szCs w:val="21"/>
                <w:highlight w:val="none"/>
              </w:rPr>
            </w:pPr>
            <w:r>
              <w:rPr>
                <w:rFonts w:hint="eastAsia"/>
                <w:color w:val="auto"/>
                <w:kern w:val="0"/>
                <w:sz w:val="21"/>
                <w:szCs w:val="21"/>
                <w:highlight w:val="none"/>
              </w:rPr>
              <w:t>服务采购代理</w:t>
            </w:r>
            <w:r>
              <w:rPr>
                <w:color w:val="auto"/>
                <w:kern w:val="0"/>
                <w:sz w:val="21"/>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 w:val="21"/>
                <w:szCs w:val="21"/>
                <w:highlight w:val="none"/>
              </w:rPr>
            </w:pPr>
            <w:r>
              <w:rPr>
                <w:color w:val="auto"/>
                <w:kern w:val="0"/>
                <w:sz w:val="21"/>
                <w:szCs w:val="21"/>
                <w:highlight w:val="none"/>
              </w:rPr>
              <w:t>100以下</w:t>
            </w:r>
          </w:p>
        </w:tc>
        <w:tc>
          <w:tcPr>
            <w:tcW w:w="4315" w:type="dxa"/>
            <w:vAlign w:val="center"/>
          </w:tcPr>
          <w:p>
            <w:pPr>
              <w:jc w:val="center"/>
              <w:rPr>
                <w:color w:val="auto"/>
                <w:sz w:val="21"/>
                <w:szCs w:val="21"/>
                <w:highlight w:val="none"/>
              </w:rPr>
            </w:pPr>
            <w:r>
              <w:rPr>
                <w:color w:val="auto"/>
                <w:sz w:val="21"/>
                <w:szCs w:val="21"/>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 w:val="21"/>
                <w:szCs w:val="21"/>
                <w:highlight w:val="none"/>
              </w:rPr>
            </w:pPr>
            <w:r>
              <w:rPr>
                <w:color w:val="auto"/>
                <w:kern w:val="0"/>
                <w:sz w:val="21"/>
                <w:szCs w:val="21"/>
                <w:highlight w:val="none"/>
              </w:rPr>
              <w:t>100-500</w:t>
            </w:r>
          </w:p>
        </w:tc>
        <w:tc>
          <w:tcPr>
            <w:tcW w:w="4315" w:type="dxa"/>
            <w:vAlign w:val="center"/>
          </w:tcPr>
          <w:p>
            <w:pPr>
              <w:jc w:val="center"/>
              <w:rPr>
                <w:color w:val="auto"/>
                <w:sz w:val="21"/>
                <w:szCs w:val="21"/>
                <w:highlight w:val="none"/>
              </w:rPr>
            </w:pPr>
            <w:r>
              <w:rPr>
                <w:color w:val="auto"/>
                <w:sz w:val="21"/>
                <w:szCs w:val="21"/>
                <w:highlight w:val="none"/>
              </w:rPr>
              <w:t>0.7+P*0.8%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 w:val="21"/>
                <w:szCs w:val="21"/>
                <w:highlight w:val="none"/>
              </w:rPr>
            </w:pPr>
            <w:r>
              <w:rPr>
                <w:color w:val="auto"/>
                <w:kern w:val="0"/>
                <w:sz w:val="21"/>
                <w:szCs w:val="21"/>
                <w:highlight w:val="none"/>
              </w:rPr>
              <w:t>500-1000</w:t>
            </w:r>
          </w:p>
        </w:tc>
        <w:tc>
          <w:tcPr>
            <w:tcW w:w="4315" w:type="dxa"/>
            <w:vAlign w:val="center"/>
          </w:tcPr>
          <w:p>
            <w:pPr>
              <w:jc w:val="center"/>
              <w:rPr>
                <w:color w:val="auto"/>
                <w:sz w:val="21"/>
                <w:szCs w:val="21"/>
                <w:highlight w:val="none"/>
              </w:rPr>
            </w:pPr>
            <w:r>
              <w:rPr>
                <w:color w:val="auto"/>
                <w:sz w:val="21"/>
                <w:szCs w:val="21"/>
                <w:highlight w:val="none"/>
              </w:rPr>
              <w:t>2.45+P</w:t>
            </w:r>
            <w:bookmarkStart w:id="44" w:name="_GoBack"/>
            <w:r>
              <w:rPr>
                <w:color w:val="auto"/>
                <w:sz w:val="21"/>
                <w:szCs w:val="21"/>
                <w:highlight w:val="none"/>
              </w:rPr>
              <w:t>*</w:t>
            </w:r>
            <w:bookmarkEnd w:id="44"/>
            <w:r>
              <w:rPr>
                <w:color w:val="auto"/>
                <w:sz w:val="21"/>
                <w:szCs w:val="21"/>
                <w:highlight w:val="none"/>
              </w:rPr>
              <w:t>0.45%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 w:val="21"/>
                <w:szCs w:val="21"/>
                <w:highlight w:val="none"/>
              </w:rPr>
            </w:pPr>
            <w:r>
              <w:rPr>
                <w:color w:val="auto"/>
                <w:kern w:val="0"/>
                <w:sz w:val="21"/>
                <w:szCs w:val="21"/>
                <w:highlight w:val="none"/>
              </w:rPr>
              <w:t>1000-5000</w:t>
            </w:r>
          </w:p>
        </w:tc>
        <w:tc>
          <w:tcPr>
            <w:tcW w:w="4315" w:type="dxa"/>
            <w:vAlign w:val="center"/>
          </w:tcPr>
          <w:p>
            <w:pPr>
              <w:jc w:val="center"/>
              <w:rPr>
                <w:color w:val="auto"/>
                <w:sz w:val="21"/>
                <w:szCs w:val="21"/>
                <w:highlight w:val="none"/>
              </w:rPr>
            </w:pPr>
            <w:r>
              <w:rPr>
                <w:color w:val="auto"/>
                <w:sz w:val="21"/>
                <w:szCs w:val="21"/>
                <w:highlight w:val="none"/>
              </w:rPr>
              <w:t>4.45+P*0.25%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 w:val="21"/>
                <w:szCs w:val="21"/>
                <w:highlight w:val="none"/>
              </w:rPr>
            </w:pPr>
            <w:r>
              <w:rPr>
                <w:color w:val="auto"/>
                <w:kern w:val="0"/>
                <w:sz w:val="21"/>
                <w:szCs w:val="21"/>
                <w:highlight w:val="none"/>
              </w:rPr>
              <w:t>5000-10000</w:t>
            </w:r>
          </w:p>
        </w:tc>
        <w:tc>
          <w:tcPr>
            <w:tcW w:w="4315" w:type="dxa"/>
            <w:vAlign w:val="center"/>
          </w:tcPr>
          <w:p>
            <w:pPr>
              <w:jc w:val="center"/>
              <w:rPr>
                <w:color w:val="auto"/>
                <w:sz w:val="21"/>
                <w:szCs w:val="21"/>
                <w:highlight w:val="none"/>
              </w:rPr>
            </w:pPr>
            <w:r>
              <w:rPr>
                <w:color w:val="auto"/>
                <w:sz w:val="21"/>
                <w:szCs w:val="21"/>
                <w:highlight w:val="none"/>
              </w:rPr>
              <w:t>11.95+P*0.1%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pPr>
              <w:widowControl/>
              <w:spacing w:after="156" w:line="360" w:lineRule="auto"/>
              <w:jc w:val="center"/>
              <w:rPr>
                <w:color w:val="auto"/>
                <w:kern w:val="0"/>
                <w:sz w:val="21"/>
                <w:szCs w:val="21"/>
                <w:highlight w:val="none"/>
              </w:rPr>
            </w:pPr>
            <w:r>
              <w:rPr>
                <w:color w:val="auto"/>
                <w:kern w:val="0"/>
                <w:sz w:val="21"/>
                <w:szCs w:val="21"/>
                <w:highlight w:val="none"/>
              </w:rPr>
              <w:t>10000-100000</w:t>
            </w:r>
          </w:p>
        </w:tc>
        <w:tc>
          <w:tcPr>
            <w:tcW w:w="4315" w:type="dxa"/>
            <w:vAlign w:val="center"/>
          </w:tcPr>
          <w:p>
            <w:pPr>
              <w:jc w:val="center"/>
              <w:rPr>
                <w:color w:val="auto"/>
                <w:sz w:val="21"/>
                <w:szCs w:val="21"/>
                <w:highlight w:val="none"/>
              </w:rPr>
            </w:pPr>
            <w:r>
              <w:rPr>
                <w:color w:val="auto"/>
                <w:sz w:val="21"/>
                <w:szCs w:val="21"/>
                <w:highlight w:val="none"/>
              </w:rPr>
              <w:t>16.95+P*0.05%</w:t>
            </w:r>
          </w:p>
        </w:tc>
      </w:tr>
    </w:tbl>
    <w:p>
      <w:pPr>
        <w:pStyle w:val="4"/>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4" w:name="_Toc495317671"/>
      <w:r>
        <w:rPr>
          <w:rFonts w:ascii="Times New Roman" w:hAnsi="Times New Roman" w:eastAsia="宋体"/>
          <w:color w:val="auto"/>
          <w:highlight w:val="none"/>
        </w:rPr>
        <w:t>第四章  评标办法</w:t>
      </w:r>
      <w:bookmarkEnd w:id="24"/>
    </w:p>
    <w:p>
      <w:pPr>
        <w:adjustRightInd w:val="0"/>
        <w:snapToGrid w:val="0"/>
        <w:spacing w:line="360" w:lineRule="auto"/>
        <w:ind w:firstLine="420" w:firstLineChars="200"/>
        <w:rPr>
          <w:color w:val="auto"/>
          <w:highlight w:val="none"/>
        </w:rPr>
      </w:pPr>
      <w:r>
        <w:rPr>
          <w:color w:val="auto"/>
          <w:highlight w:val="none"/>
        </w:rPr>
        <w:t>根据《中华人民共和国政府采购法》、《中华人民共和国政府采购法实施条例》、《政府采购货物和服务招标投标管理办法》、《浙江省政府采购活动现场组织管理办法》等有关规定，结合本项目的实际情况，制定本评标办法。</w:t>
      </w:r>
    </w:p>
    <w:p>
      <w:pPr>
        <w:adjustRightInd w:val="0"/>
        <w:snapToGrid w:val="0"/>
        <w:spacing w:line="360" w:lineRule="auto"/>
        <w:ind w:firstLine="422" w:firstLineChars="200"/>
        <w:rPr>
          <w:b/>
          <w:bCs/>
          <w:color w:val="auto"/>
          <w:highlight w:val="none"/>
        </w:rPr>
      </w:pPr>
      <w:r>
        <w:rPr>
          <w:b/>
          <w:bCs/>
          <w:color w:val="auto"/>
          <w:highlight w:val="none"/>
        </w:rPr>
        <w:t>一、总则</w:t>
      </w:r>
    </w:p>
    <w:p>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auto"/>
          <w:highlight w:val="none"/>
        </w:rPr>
      </w:pPr>
      <w:r>
        <w:rPr>
          <w:color w:val="auto"/>
          <w:highlight w:val="none"/>
        </w:rPr>
        <w:t>对未中标人，评标委员会不作任何落标解释。</w:t>
      </w:r>
    </w:p>
    <w:p>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auto"/>
          <w:highlight w:val="none"/>
        </w:rPr>
      </w:pPr>
      <w:r>
        <w:rPr>
          <w:b/>
          <w:bCs/>
          <w:color w:val="auto"/>
          <w:highlight w:val="none"/>
        </w:rPr>
        <w:t>二、评标组织</w:t>
      </w:r>
    </w:p>
    <w:p>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auto"/>
          <w:highlight w:val="none"/>
        </w:rPr>
      </w:pPr>
      <w:r>
        <w:rPr>
          <w:b/>
          <w:bCs/>
          <w:color w:val="auto"/>
          <w:highlight w:val="none"/>
        </w:rPr>
        <w:t>三、评标纪律</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auto"/>
          <w:highlight w:val="none"/>
        </w:rPr>
      </w:pPr>
      <w:r>
        <w:rPr>
          <w:b/>
          <w:bCs/>
          <w:color w:val="auto"/>
          <w:highlight w:val="none"/>
        </w:rPr>
        <w:t>四、评标程序</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名单，组织评审小组各位成员签订《政府采购评审人员廉洁自律承诺书》。</w:t>
      </w:r>
    </w:p>
    <w:p>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auto"/>
          <w:szCs w:val="21"/>
          <w:highlight w:val="none"/>
        </w:rPr>
      </w:pPr>
      <w:r>
        <w:rPr>
          <w:color w:val="auto"/>
          <w:szCs w:val="21"/>
          <w:highlight w:val="none"/>
        </w:rPr>
        <w:t>2）评审小组组成；</w:t>
      </w:r>
    </w:p>
    <w:p>
      <w:pPr>
        <w:adjustRightInd w:val="0"/>
        <w:snapToGrid w:val="0"/>
        <w:spacing w:line="360" w:lineRule="auto"/>
        <w:ind w:firstLine="420" w:firstLineChars="200"/>
        <w:rPr>
          <w:color w:val="auto"/>
          <w:szCs w:val="21"/>
          <w:highlight w:val="none"/>
        </w:rPr>
      </w:pPr>
      <w:r>
        <w:rPr>
          <w:color w:val="auto"/>
          <w:szCs w:val="21"/>
          <w:highlight w:val="none"/>
        </w:rPr>
        <w:t>3）评审方法和标准；</w:t>
      </w:r>
    </w:p>
    <w:p>
      <w:pPr>
        <w:adjustRightInd w:val="0"/>
        <w:snapToGrid w:val="0"/>
        <w:spacing w:line="360" w:lineRule="auto"/>
        <w:ind w:firstLine="420" w:firstLineChars="200"/>
        <w:rPr>
          <w:color w:val="auto"/>
          <w:szCs w:val="21"/>
          <w:highlight w:val="none"/>
        </w:rPr>
      </w:pPr>
      <w:r>
        <w:rPr>
          <w:color w:val="auto"/>
          <w:szCs w:val="21"/>
          <w:highlight w:val="none"/>
        </w:rPr>
        <w:t>4）评审情况及说明；</w:t>
      </w:r>
    </w:p>
    <w:p>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pPr>
        <w:adjustRightInd w:val="0"/>
        <w:snapToGrid w:val="0"/>
        <w:spacing w:line="360" w:lineRule="auto"/>
        <w:ind w:firstLine="420" w:firstLineChars="200"/>
        <w:rPr>
          <w:color w:val="auto"/>
          <w:highlight w:val="none"/>
        </w:rPr>
      </w:pPr>
      <w:r>
        <w:rPr>
          <w:color w:val="auto"/>
          <w:szCs w:val="21"/>
          <w:highlight w:val="none"/>
        </w:rPr>
        <w:t>6）评标委员会的授标建议。</w:t>
      </w:r>
    </w:p>
    <w:p>
      <w:pPr>
        <w:adjustRightInd w:val="0"/>
        <w:snapToGrid w:val="0"/>
        <w:spacing w:line="360" w:lineRule="auto"/>
        <w:ind w:firstLine="422" w:firstLineChars="200"/>
        <w:rPr>
          <w:b/>
          <w:bCs/>
          <w:color w:val="auto"/>
          <w:highlight w:val="none"/>
        </w:rPr>
      </w:pPr>
      <w:r>
        <w:rPr>
          <w:b/>
          <w:bCs/>
          <w:color w:val="auto"/>
          <w:highlight w:val="none"/>
        </w:rPr>
        <w:t>五、评标细则</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pPr>
        <w:snapToGrid w:val="0"/>
        <w:spacing w:line="360" w:lineRule="auto"/>
        <w:ind w:firstLine="420" w:firstLineChars="200"/>
        <w:rPr>
          <w:color w:val="auto"/>
          <w:szCs w:val="21"/>
          <w:highlight w:val="none"/>
        </w:rPr>
      </w:pPr>
      <w:bookmarkStart w:id="25" w:name="_Toc345320402"/>
      <w:r>
        <w:rPr>
          <w:color w:val="auto"/>
          <w:szCs w:val="21"/>
          <w:highlight w:val="none"/>
        </w:rPr>
        <w:t>1）</w:t>
      </w:r>
      <w:r>
        <w:rPr>
          <w:b/>
          <w:bCs/>
          <w:color w:val="auto"/>
          <w:szCs w:val="21"/>
          <w:highlight w:val="none"/>
        </w:rPr>
        <w:t>商务技术分</w:t>
      </w:r>
      <w:bookmarkEnd w:id="25"/>
    </w:p>
    <w:p>
      <w:pPr>
        <w:pStyle w:val="66"/>
        <w:adjustRightInd w:val="0"/>
        <w:snapToGrid w:val="0"/>
        <w:spacing w:line="360" w:lineRule="auto"/>
        <w:ind w:firstLine="480"/>
        <w:rPr>
          <w:rFonts w:eastAsia="宋体"/>
          <w:color w:val="auto"/>
          <w:szCs w:val="21"/>
          <w:highlight w:val="none"/>
        </w:rPr>
      </w:pPr>
      <w:r>
        <w:rPr>
          <w:rFonts w:eastAsia="宋体"/>
          <w:color w:val="auto"/>
          <w:szCs w:val="21"/>
          <w:highlight w:val="none"/>
        </w:rPr>
        <w:t>该评分分值由评标委员会根据</w:t>
      </w:r>
      <w:r>
        <w:rPr>
          <w:rFonts w:hint="eastAsia" w:eastAsia="宋体"/>
          <w:color w:val="auto"/>
          <w:szCs w:val="21"/>
          <w:highlight w:val="none"/>
        </w:rPr>
        <w:t>评分细则</w:t>
      </w:r>
      <w:r>
        <w:rPr>
          <w:rFonts w:eastAsia="宋体"/>
          <w:color w:val="auto"/>
          <w:szCs w:val="21"/>
          <w:highlight w:val="none"/>
        </w:rPr>
        <w:t>在分值范围内独立打分（具体分值设定详见表格），小数点后保留一位小数。每个</w:t>
      </w:r>
      <w:r>
        <w:rPr>
          <w:rFonts w:hint="eastAsia" w:eastAsia="宋体"/>
          <w:color w:val="auto"/>
          <w:szCs w:val="21"/>
          <w:highlight w:val="none"/>
        </w:rPr>
        <w:t>供应商</w:t>
      </w:r>
      <w:r>
        <w:rPr>
          <w:rFonts w:eastAsia="宋体"/>
          <w:color w:val="auto"/>
          <w:szCs w:val="21"/>
          <w:highlight w:val="none"/>
        </w:rPr>
        <w:t>的最终得分为评标委员会打分汇总后的算术平均值</w:t>
      </w:r>
      <w:r>
        <w:rPr>
          <w:rFonts w:eastAsia="宋体"/>
          <w:color w:val="auto"/>
          <w:kern w:val="0"/>
          <w:szCs w:val="21"/>
          <w:highlight w:val="none"/>
        </w:rPr>
        <w:t>（小数点后保留二位小数，第三位四舍五入）</w:t>
      </w:r>
      <w:r>
        <w:rPr>
          <w:rFonts w:eastAsia="宋体"/>
          <w:color w:val="auto"/>
          <w:szCs w:val="21"/>
          <w:highlight w:val="none"/>
        </w:rPr>
        <w:t>。</w:t>
      </w:r>
    </w:p>
    <w:tbl>
      <w:tblPr>
        <w:tblStyle w:val="80"/>
        <w:tblW w:w="95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341"/>
        <w:gridCol w:w="6286"/>
        <w:gridCol w:w="8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noWrap/>
            <w:tcMar>
              <w:top w:w="15" w:type="dxa"/>
              <w:left w:w="15" w:type="dxa"/>
              <w:right w:w="15" w:type="dxa"/>
            </w:tcMar>
            <w:vAlign w:val="center"/>
          </w:tcPr>
          <w:p>
            <w:pPr>
              <w:spacing w:line="360" w:lineRule="auto"/>
              <w:rPr>
                <w:color w:val="auto"/>
                <w:highlight w:val="none"/>
              </w:rPr>
            </w:pPr>
            <w:bookmarkStart w:id="26" w:name="_Toc345320401"/>
            <w:r>
              <w:rPr>
                <w:rFonts w:hint="eastAsia"/>
                <w:color w:val="auto"/>
                <w:highlight w:val="none"/>
              </w:rPr>
              <w:t>序号</w:t>
            </w:r>
          </w:p>
        </w:tc>
        <w:tc>
          <w:tcPr>
            <w:tcW w:w="1341"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项目</w:t>
            </w: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评分内容和标准</w:t>
            </w:r>
          </w:p>
        </w:tc>
        <w:tc>
          <w:tcPr>
            <w:tcW w:w="874" w:type="dxa"/>
            <w:vAlign w:val="center"/>
          </w:tcPr>
          <w:p>
            <w:pPr>
              <w:spacing w:line="360" w:lineRule="auto"/>
              <w:jc w:val="center"/>
              <w:rPr>
                <w:color w:val="auto"/>
                <w:highlight w:val="none"/>
              </w:rPr>
            </w:pPr>
            <w:r>
              <w:rPr>
                <w:rFonts w:hint="eastAsia"/>
                <w:color w:val="auto"/>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180" w:type="dxa"/>
            <w:gridSpan w:val="4"/>
            <w:noWrap/>
            <w:tcMar>
              <w:top w:w="15" w:type="dxa"/>
              <w:left w:w="15" w:type="dxa"/>
              <w:right w:w="15" w:type="dxa"/>
            </w:tcMar>
            <w:vAlign w:val="center"/>
          </w:tcPr>
          <w:p>
            <w:pPr>
              <w:spacing w:line="360" w:lineRule="auto"/>
              <w:jc w:val="center"/>
              <w:rPr>
                <w:color w:val="auto"/>
                <w:highlight w:val="none"/>
              </w:rPr>
            </w:pPr>
            <w:r>
              <w:rPr>
                <w:rFonts w:hint="eastAsia"/>
                <w:color w:val="auto"/>
                <w:highlight w:val="none"/>
              </w:rPr>
              <w:t>商务资信部分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w:t>
            </w:r>
          </w:p>
        </w:tc>
        <w:tc>
          <w:tcPr>
            <w:tcW w:w="1341" w:type="dxa"/>
            <w:noWrap/>
            <w:tcMar>
              <w:top w:w="15" w:type="dxa"/>
              <w:left w:w="15" w:type="dxa"/>
              <w:right w:w="15" w:type="dxa"/>
            </w:tcMar>
            <w:vAlign w:val="center"/>
          </w:tcPr>
          <w:p>
            <w:pPr>
              <w:spacing w:line="360" w:lineRule="auto"/>
              <w:rPr>
                <w:color w:val="auto"/>
                <w:highlight w:val="none"/>
              </w:rPr>
            </w:pPr>
            <w:r>
              <w:rPr>
                <w:rFonts w:hint="eastAsia"/>
                <w:color w:val="auto"/>
                <w:highlight w:val="none"/>
                <w:lang w:val="en-US" w:eastAsia="zh-CN"/>
              </w:rPr>
              <w:t>供应商</w:t>
            </w:r>
            <w:r>
              <w:rPr>
                <w:rFonts w:hint="eastAsia"/>
                <w:color w:val="auto"/>
                <w:highlight w:val="none"/>
              </w:rPr>
              <w:t>体系认证</w:t>
            </w: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提供有效的质量管理体系认证证书、环境管理体系认证证书、职业健康安全管理体系认证证书，</w:t>
            </w:r>
            <w:r>
              <w:rPr>
                <w:color w:val="auto"/>
                <w:highlight w:val="none"/>
              </w:rPr>
              <w:t>每提供一个证书</w:t>
            </w:r>
            <w:r>
              <w:rPr>
                <w:rFonts w:hint="eastAsia"/>
                <w:color w:val="auto"/>
                <w:highlight w:val="none"/>
              </w:rPr>
              <w:t>得1分</w:t>
            </w:r>
            <w:r>
              <w:rPr>
                <w:color w:val="auto"/>
                <w:highlight w:val="none"/>
              </w:rPr>
              <w:t>，最高得</w:t>
            </w:r>
            <w:r>
              <w:rPr>
                <w:rFonts w:hint="eastAsia"/>
                <w:color w:val="auto"/>
                <w:highlight w:val="none"/>
              </w:rPr>
              <w:t>3</w:t>
            </w:r>
            <w:r>
              <w:rPr>
                <w:color w:val="auto"/>
                <w:highlight w:val="none"/>
              </w:rPr>
              <w:t>分。</w:t>
            </w:r>
          </w:p>
          <w:p>
            <w:pPr>
              <w:spacing w:line="360" w:lineRule="auto"/>
              <w:rPr>
                <w:color w:val="auto"/>
                <w:highlight w:val="none"/>
              </w:rPr>
            </w:pPr>
            <w:r>
              <w:rPr>
                <w:rFonts w:hint="eastAsia"/>
                <w:color w:val="auto"/>
                <w:highlight w:val="none"/>
              </w:rPr>
              <w:t>注：须提供证书复印件，未提供的不</w:t>
            </w:r>
            <w:r>
              <w:rPr>
                <w:color w:val="auto"/>
                <w:highlight w:val="none"/>
              </w:rPr>
              <w:t>得分。</w:t>
            </w:r>
          </w:p>
        </w:tc>
        <w:tc>
          <w:tcPr>
            <w:tcW w:w="874" w:type="dxa"/>
            <w:vAlign w:val="center"/>
          </w:tcPr>
          <w:p>
            <w:pPr>
              <w:spacing w:line="360" w:lineRule="auto"/>
              <w:jc w:val="center"/>
              <w:rPr>
                <w:color w:val="auto"/>
                <w:highlight w:val="none"/>
              </w:rPr>
            </w:pPr>
            <w:r>
              <w:rPr>
                <w:rFonts w:hint="eastAsia"/>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2</w:t>
            </w:r>
          </w:p>
        </w:tc>
        <w:tc>
          <w:tcPr>
            <w:tcW w:w="1341"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同类项目案例</w:t>
            </w: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供应商2019年12月1日至响应文件递交截止时间（以合同签订时间为准）的同类项目案例（服务内容需包含保洁及运送服务），同时提供合同复印件和业主评价表（或考核表）且反馈内容为好评（或优秀）的，每提供一份证明材料得</w:t>
            </w:r>
            <w:r>
              <w:rPr>
                <w:color w:val="auto"/>
                <w:highlight w:val="none"/>
              </w:rPr>
              <w:t>0.2</w:t>
            </w:r>
            <w:r>
              <w:rPr>
                <w:rFonts w:hint="eastAsia"/>
                <w:color w:val="auto"/>
                <w:highlight w:val="none"/>
              </w:rPr>
              <w:t>分，最高得分不超过</w:t>
            </w:r>
            <w:r>
              <w:rPr>
                <w:color w:val="auto"/>
                <w:highlight w:val="none"/>
              </w:rPr>
              <w:t>1</w:t>
            </w:r>
            <w:r>
              <w:rPr>
                <w:rFonts w:hint="eastAsia"/>
                <w:color w:val="auto"/>
                <w:highlight w:val="none"/>
              </w:rPr>
              <w:t>，否则不得分。</w:t>
            </w:r>
          </w:p>
          <w:p>
            <w:pPr>
              <w:spacing w:line="360" w:lineRule="auto"/>
              <w:rPr>
                <w:color w:val="auto"/>
                <w:highlight w:val="none"/>
              </w:rPr>
            </w:pPr>
            <w:r>
              <w:rPr>
                <w:rFonts w:hint="eastAsia"/>
                <w:color w:val="auto"/>
                <w:highlight w:val="none"/>
              </w:rPr>
              <w:t>证明材料：合同复印件及业主反馈表（或其他形式的反馈意见）须加盖业主单位章（格式不限），要求能体现评审需要的要素。</w:t>
            </w:r>
          </w:p>
        </w:tc>
        <w:tc>
          <w:tcPr>
            <w:tcW w:w="874" w:type="dxa"/>
            <w:vAlign w:val="center"/>
          </w:tcPr>
          <w:p>
            <w:pPr>
              <w:spacing w:line="360" w:lineRule="auto"/>
              <w:jc w:val="center"/>
              <w:rPr>
                <w:color w:val="auto"/>
                <w:highlight w:val="none"/>
              </w:rPr>
            </w:pPr>
            <w:r>
              <w:rPr>
                <w:rFonts w:hint="eastAsia"/>
                <w:color w:val="auto"/>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180" w:type="dxa"/>
            <w:gridSpan w:val="4"/>
            <w:noWrap/>
            <w:tcMar>
              <w:top w:w="15" w:type="dxa"/>
              <w:left w:w="15" w:type="dxa"/>
              <w:right w:w="15" w:type="dxa"/>
            </w:tcMar>
            <w:vAlign w:val="center"/>
          </w:tcPr>
          <w:p>
            <w:pPr>
              <w:spacing w:line="360" w:lineRule="auto"/>
              <w:jc w:val="center"/>
              <w:rPr>
                <w:color w:val="auto"/>
                <w:highlight w:val="none"/>
              </w:rPr>
            </w:pPr>
            <w:r>
              <w:rPr>
                <w:rFonts w:hint="eastAsia"/>
                <w:color w:val="auto"/>
                <w:highlight w:val="none"/>
              </w:rPr>
              <w:t>技术部分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restart"/>
            <w:noWrap/>
            <w:tcMar>
              <w:top w:w="15" w:type="dxa"/>
              <w:left w:w="15" w:type="dxa"/>
              <w:right w:w="15" w:type="dxa"/>
            </w:tcMar>
            <w:vAlign w:val="center"/>
          </w:tcPr>
          <w:p>
            <w:pPr>
              <w:spacing w:line="360" w:lineRule="auto"/>
              <w:rPr>
                <w:color w:val="auto"/>
                <w:highlight w:val="none"/>
              </w:rPr>
            </w:pPr>
            <w:r>
              <w:rPr>
                <w:rFonts w:hint="eastAsia"/>
                <w:color w:val="auto"/>
                <w:highlight w:val="none"/>
              </w:rPr>
              <w:t>1</w:t>
            </w:r>
          </w:p>
        </w:tc>
        <w:tc>
          <w:tcPr>
            <w:tcW w:w="1341" w:type="dxa"/>
            <w:vMerge w:val="restart"/>
            <w:noWrap/>
            <w:tcMar>
              <w:top w:w="15" w:type="dxa"/>
              <w:left w:w="15" w:type="dxa"/>
              <w:right w:w="15" w:type="dxa"/>
            </w:tcMar>
            <w:vAlign w:val="center"/>
          </w:tcPr>
          <w:p>
            <w:pPr>
              <w:spacing w:line="360" w:lineRule="auto"/>
              <w:rPr>
                <w:color w:val="auto"/>
                <w:highlight w:val="none"/>
              </w:rPr>
            </w:pPr>
            <w:r>
              <w:rPr>
                <w:rFonts w:hint="eastAsia"/>
                <w:color w:val="auto"/>
                <w:highlight w:val="none"/>
              </w:rPr>
              <w:t>服务方案</w:t>
            </w: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1.1运送中心服务方案：提供详细的中央运送工作方案，方案中体现信息化手段的支持，有患者、各类标本、物资、器械、药品等运送程序的详细说明，还包括组织架构、岗位职责，培训体系、考核办法等详细说明。方案完善、具有较强针对性、措施切实有效的得4分；</w:t>
            </w:r>
            <w:r>
              <w:rPr>
                <w:color w:val="auto"/>
                <w:highlight w:val="none"/>
              </w:rPr>
              <w:t>方案</w:t>
            </w:r>
            <w:r>
              <w:rPr>
                <w:rFonts w:hint="eastAsia"/>
                <w:color w:val="auto"/>
                <w:highlight w:val="none"/>
              </w:rPr>
              <w:t>全面、有针对性、措施较有效的得3分；</w:t>
            </w:r>
            <w:r>
              <w:rPr>
                <w:color w:val="auto"/>
                <w:highlight w:val="none"/>
              </w:rPr>
              <w:t>方案</w:t>
            </w:r>
            <w:r>
              <w:rPr>
                <w:rFonts w:hint="eastAsia"/>
                <w:color w:val="auto"/>
                <w:highlight w:val="none"/>
              </w:rPr>
              <w:t>完整、有一定针对性、有措施的得2分；方案有瑕疵，措施有待提高的得1分，</w:t>
            </w:r>
            <w:r>
              <w:rPr>
                <w:color w:val="auto"/>
                <w:highlight w:val="none"/>
              </w:rPr>
              <w:t>方案</w:t>
            </w:r>
            <w:r>
              <w:rPr>
                <w:rFonts w:hint="eastAsia"/>
                <w:color w:val="auto"/>
                <w:highlight w:val="none"/>
              </w:rPr>
              <w:t>欠缺、措施不明确的得0.5分；未提供说明的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1.2保洁服务方案：提供详细的保洁服务方案，方案中体现科学智能的管理人员日常巡检制度，有医院各个区域详细的保洁分析以及日后工作标准，方案中体现现场员工实操操作程序。方案完善、具有较强针对性、措施切实有效的得4分；</w:t>
            </w:r>
            <w:r>
              <w:rPr>
                <w:color w:val="auto"/>
                <w:highlight w:val="none"/>
              </w:rPr>
              <w:t>方案</w:t>
            </w:r>
            <w:r>
              <w:rPr>
                <w:rFonts w:hint="eastAsia"/>
                <w:color w:val="auto"/>
                <w:highlight w:val="none"/>
              </w:rPr>
              <w:t>全面、有针对性、措施较有效的得3分；</w:t>
            </w:r>
            <w:r>
              <w:rPr>
                <w:color w:val="auto"/>
                <w:highlight w:val="none"/>
              </w:rPr>
              <w:t>方案</w:t>
            </w:r>
            <w:r>
              <w:rPr>
                <w:rFonts w:hint="eastAsia"/>
                <w:color w:val="auto"/>
                <w:highlight w:val="none"/>
              </w:rPr>
              <w:t>完整、有一定针对性、有措施的得2分；方案有瑕疵，措施有待提高的得1分，</w:t>
            </w:r>
            <w:r>
              <w:rPr>
                <w:color w:val="auto"/>
                <w:highlight w:val="none"/>
              </w:rPr>
              <w:t>方案</w:t>
            </w:r>
            <w:r>
              <w:rPr>
                <w:rFonts w:hint="eastAsia"/>
                <w:color w:val="auto"/>
                <w:highlight w:val="none"/>
              </w:rPr>
              <w:t>欠缺、措施不明确的得0.5分；未提供说明的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1.3工作交接过渡方案：针对本项目提出的各项工作要求，提供科学可行的交接过渡方案。方案完善、具有较强针对性、措施切实有效的得2分；</w:t>
            </w:r>
            <w:r>
              <w:rPr>
                <w:color w:val="auto"/>
                <w:highlight w:val="none"/>
              </w:rPr>
              <w:t>方案</w:t>
            </w:r>
            <w:r>
              <w:rPr>
                <w:rFonts w:hint="eastAsia"/>
                <w:color w:val="auto"/>
                <w:highlight w:val="none"/>
              </w:rPr>
              <w:t>全面、有针对性、措施较有效的得1分；</w:t>
            </w:r>
            <w:r>
              <w:rPr>
                <w:color w:val="auto"/>
                <w:highlight w:val="none"/>
              </w:rPr>
              <w:t>方案</w:t>
            </w:r>
            <w:r>
              <w:rPr>
                <w:rFonts w:hint="eastAsia"/>
                <w:color w:val="auto"/>
                <w:highlight w:val="none"/>
              </w:rPr>
              <w:t>完整、有一定针对性、有措施的得0.5分；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1.4人员到岗承诺：根据人员到岗要求提供人员到岗时间计划承诺，得2分，不提供不得分。</w:t>
            </w:r>
          </w:p>
        </w:tc>
        <w:tc>
          <w:tcPr>
            <w:tcW w:w="874" w:type="dxa"/>
            <w:vAlign w:val="center"/>
          </w:tcPr>
          <w:p>
            <w:pPr>
              <w:spacing w:line="360" w:lineRule="auto"/>
              <w:jc w:val="center"/>
              <w:rPr>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1.5地面专项保养服务方案：地面保养服务方案的全面性、科学性，提供详细的PVC、大理石等地面的保养方式、程序，各程序使用养护剂情况。方案完善、具有较强针对性、措施切实有效的得2分；</w:t>
            </w:r>
            <w:r>
              <w:rPr>
                <w:color w:val="auto"/>
                <w:highlight w:val="none"/>
              </w:rPr>
              <w:t>方案</w:t>
            </w:r>
            <w:r>
              <w:rPr>
                <w:rFonts w:hint="eastAsia"/>
                <w:color w:val="auto"/>
                <w:highlight w:val="none"/>
              </w:rPr>
              <w:t>全面、有针对性、措施较有效的得1分；</w:t>
            </w:r>
            <w:r>
              <w:rPr>
                <w:color w:val="auto"/>
                <w:highlight w:val="none"/>
              </w:rPr>
              <w:t>方案</w:t>
            </w:r>
            <w:r>
              <w:rPr>
                <w:rFonts w:hint="eastAsia"/>
                <w:color w:val="auto"/>
                <w:highlight w:val="none"/>
              </w:rPr>
              <w:t>完整、有一定针对性、有措施的得0.5分；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1.6司梯服务方案：方案完善、具有较强针对性、措施切实有效的得2分；</w:t>
            </w:r>
            <w:r>
              <w:rPr>
                <w:color w:val="auto"/>
                <w:highlight w:val="none"/>
              </w:rPr>
              <w:t>方案</w:t>
            </w:r>
            <w:r>
              <w:rPr>
                <w:rFonts w:hint="eastAsia"/>
                <w:color w:val="auto"/>
                <w:highlight w:val="none"/>
              </w:rPr>
              <w:t>全面、有针对性、措施较有效的得1分；</w:t>
            </w:r>
            <w:r>
              <w:rPr>
                <w:color w:val="auto"/>
                <w:highlight w:val="none"/>
              </w:rPr>
              <w:t>方案</w:t>
            </w:r>
            <w:r>
              <w:rPr>
                <w:rFonts w:hint="eastAsia"/>
                <w:color w:val="auto"/>
                <w:highlight w:val="none"/>
              </w:rPr>
              <w:t>完整、有一定针对性、有措施的得0.5分；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1.7生活垃圾服务方案：根据生活垃圾分类的具体要求，有详细的生活垃圾分类具体工作实施方案。方案完善、具有较强针对性、措施切实有效的得2分；</w:t>
            </w:r>
            <w:r>
              <w:rPr>
                <w:color w:val="auto"/>
                <w:highlight w:val="none"/>
              </w:rPr>
              <w:t>方案</w:t>
            </w:r>
            <w:r>
              <w:rPr>
                <w:rFonts w:hint="eastAsia"/>
                <w:color w:val="auto"/>
                <w:highlight w:val="none"/>
              </w:rPr>
              <w:t>全面、有针对性、措施较有效的得1分；</w:t>
            </w:r>
            <w:r>
              <w:rPr>
                <w:color w:val="auto"/>
                <w:highlight w:val="none"/>
              </w:rPr>
              <w:t>方案</w:t>
            </w:r>
            <w:r>
              <w:rPr>
                <w:rFonts w:hint="eastAsia"/>
                <w:color w:val="auto"/>
                <w:highlight w:val="none"/>
              </w:rPr>
              <w:t>完整、有一定针对性、有措施的得0.5分；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1.8医疗废弃物服务方案：医疗废弃物的收集、集中管理、交接方案。方案完善、具有较强针对性、措施切实有效的得2分；</w:t>
            </w:r>
            <w:r>
              <w:rPr>
                <w:color w:val="auto"/>
                <w:highlight w:val="none"/>
              </w:rPr>
              <w:t>方案</w:t>
            </w:r>
            <w:r>
              <w:rPr>
                <w:rFonts w:hint="eastAsia"/>
                <w:color w:val="auto"/>
                <w:highlight w:val="none"/>
              </w:rPr>
              <w:t>全面、有针对性、措施较有效的得1分；</w:t>
            </w:r>
            <w:r>
              <w:rPr>
                <w:color w:val="auto"/>
                <w:highlight w:val="none"/>
              </w:rPr>
              <w:t>方案</w:t>
            </w:r>
            <w:r>
              <w:rPr>
                <w:rFonts w:hint="eastAsia"/>
                <w:color w:val="auto"/>
                <w:highlight w:val="none"/>
              </w:rPr>
              <w:t>完整、有一定针对性、有措施的得0.5分；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rFonts w:hint="eastAsia"/>
                <w:color w:val="auto"/>
                <w:highlight w:val="none"/>
              </w:rPr>
            </w:pPr>
            <w:r>
              <w:rPr>
                <w:rFonts w:hint="eastAsia"/>
                <w:color w:val="auto"/>
                <w:highlight w:val="none"/>
                <w:lang w:val="en-US" w:eastAsia="zh-CN"/>
              </w:rPr>
              <w:t>1.9 设备运维服务方案。方案完善、具有较强针对性、措施切实有效的得2分；方案全面、有针对性、措施较有效的得1.5分；方案完整、有一定针对性、有措施的得1分；方案欠缺、措施不明确的得0分。</w:t>
            </w:r>
          </w:p>
        </w:tc>
        <w:tc>
          <w:tcPr>
            <w:tcW w:w="874" w:type="dxa"/>
            <w:vAlign w:val="center"/>
          </w:tcPr>
          <w:p>
            <w:pPr>
              <w:spacing w:line="360" w:lineRule="auto"/>
              <w:jc w:val="center"/>
              <w:rPr>
                <w:rFonts w:hint="eastAsia"/>
                <w:color w:val="auto"/>
                <w:highlight w:val="none"/>
                <w:lang w:val="en-US" w:eastAsia="zh-CN"/>
              </w:rPr>
            </w:pPr>
            <w:r>
              <w:rPr>
                <w:rFonts w:hint="eastAsia"/>
                <w:color w:val="auto"/>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w:t>
            </w:r>
            <w:r>
              <w:rPr>
                <w:rFonts w:hint="eastAsia"/>
                <w:color w:val="auto"/>
                <w:highlight w:val="none"/>
                <w:lang w:val="en-US" w:eastAsia="zh-CN"/>
              </w:rPr>
              <w:t>10</w:t>
            </w:r>
            <w:r>
              <w:rPr>
                <w:rFonts w:hint="eastAsia"/>
                <w:color w:val="auto"/>
                <w:highlight w:val="none"/>
              </w:rPr>
              <w:t>防止院</w:t>
            </w:r>
            <w:r>
              <w:rPr>
                <w:rFonts w:hint="eastAsia"/>
                <w:color w:val="auto"/>
                <w:highlight w:val="none"/>
                <w:lang w:eastAsia="zh-CN"/>
              </w:rPr>
              <w:t>内</w:t>
            </w:r>
            <w:r>
              <w:rPr>
                <w:rFonts w:hint="eastAsia"/>
                <w:color w:val="auto"/>
                <w:highlight w:val="none"/>
              </w:rPr>
              <w:t>感</w:t>
            </w:r>
            <w:r>
              <w:rPr>
                <w:rFonts w:hint="eastAsia"/>
                <w:color w:val="auto"/>
                <w:highlight w:val="none"/>
                <w:lang w:eastAsia="zh-CN"/>
              </w:rPr>
              <w:t>染</w:t>
            </w:r>
            <w:r>
              <w:rPr>
                <w:rFonts w:hint="eastAsia"/>
                <w:color w:val="auto"/>
                <w:highlight w:val="none"/>
              </w:rPr>
              <w:t>措施方案：提供防止医院交叉感染措施，预防和控制交叉感染、消毒隔离制度的工作方案。方案完善、具有较强针对性、措施切实有效的得</w:t>
            </w:r>
            <w:r>
              <w:rPr>
                <w:rFonts w:hint="eastAsia"/>
                <w:color w:val="auto"/>
                <w:highlight w:val="none"/>
                <w:lang w:val="en-US" w:eastAsia="zh-CN"/>
              </w:rPr>
              <w:t>2</w:t>
            </w:r>
            <w:r>
              <w:rPr>
                <w:rFonts w:hint="eastAsia"/>
                <w:color w:val="auto"/>
                <w:highlight w:val="none"/>
              </w:rPr>
              <w:t>分；</w:t>
            </w:r>
            <w:r>
              <w:rPr>
                <w:color w:val="auto"/>
                <w:highlight w:val="none"/>
              </w:rPr>
              <w:t>方案</w:t>
            </w:r>
            <w:r>
              <w:rPr>
                <w:rFonts w:hint="eastAsia"/>
                <w:color w:val="auto"/>
                <w:highlight w:val="none"/>
              </w:rPr>
              <w:t>全面、有针对性、措施较有效的得</w:t>
            </w:r>
            <w:r>
              <w:rPr>
                <w:rFonts w:hint="eastAsia"/>
                <w:color w:val="auto"/>
                <w:highlight w:val="none"/>
                <w:lang w:val="en-US" w:eastAsia="zh-CN"/>
              </w:rPr>
              <w:t>1.5</w:t>
            </w:r>
            <w:r>
              <w:rPr>
                <w:rFonts w:hint="eastAsia"/>
                <w:color w:val="auto"/>
                <w:highlight w:val="none"/>
              </w:rPr>
              <w:t>分；</w:t>
            </w:r>
            <w:r>
              <w:rPr>
                <w:color w:val="auto"/>
                <w:highlight w:val="none"/>
              </w:rPr>
              <w:t>方案</w:t>
            </w:r>
            <w:r>
              <w:rPr>
                <w:rFonts w:hint="eastAsia"/>
                <w:color w:val="auto"/>
                <w:highlight w:val="none"/>
              </w:rPr>
              <w:t>完整、有一定针对性、有措施的得1分；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rFonts w:hint="eastAsia"/>
                <w:color w:val="auto"/>
                <w:highlight w:val="none"/>
                <w:lang w:eastAsia="zh-CN"/>
              </w:rPr>
            </w:pPr>
            <w:r>
              <w:rPr>
                <w:rFonts w:hint="eastAsia"/>
                <w:color w:val="auto"/>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1.1</w:t>
            </w:r>
            <w:r>
              <w:rPr>
                <w:rFonts w:hint="eastAsia"/>
                <w:color w:val="auto"/>
                <w:highlight w:val="none"/>
                <w:lang w:val="en-US" w:eastAsia="zh-CN"/>
              </w:rPr>
              <w:t>1</w:t>
            </w:r>
            <w:r>
              <w:rPr>
                <w:rFonts w:hint="eastAsia"/>
                <w:color w:val="auto"/>
                <w:highlight w:val="none"/>
              </w:rPr>
              <w:t>针对突发性事件的应急方案及措施（包括但不限于：公共安全事件、恶劣天气和自然灾害风险、突发事故、公共卫生事件、保洁、运送服务中突发事件）。方案完善、具有较强针对性、措施切实有效的得</w:t>
            </w:r>
            <w:r>
              <w:rPr>
                <w:rFonts w:hint="eastAsia"/>
                <w:color w:val="auto"/>
                <w:highlight w:val="none"/>
                <w:lang w:val="en-US" w:eastAsia="zh-CN"/>
              </w:rPr>
              <w:t>2</w:t>
            </w:r>
            <w:r>
              <w:rPr>
                <w:rFonts w:hint="eastAsia"/>
                <w:color w:val="auto"/>
                <w:highlight w:val="none"/>
              </w:rPr>
              <w:t>分；</w:t>
            </w:r>
            <w:r>
              <w:rPr>
                <w:color w:val="auto"/>
                <w:highlight w:val="none"/>
              </w:rPr>
              <w:t>方案</w:t>
            </w:r>
            <w:r>
              <w:rPr>
                <w:rFonts w:hint="eastAsia"/>
                <w:color w:val="auto"/>
                <w:highlight w:val="none"/>
              </w:rPr>
              <w:t>全面、有针对性、措施较有效的得</w:t>
            </w:r>
            <w:r>
              <w:rPr>
                <w:rFonts w:hint="eastAsia"/>
                <w:color w:val="auto"/>
                <w:highlight w:val="none"/>
                <w:lang w:val="en-US" w:eastAsia="zh-CN"/>
              </w:rPr>
              <w:t>1.5</w:t>
            </w:r>
            <w:r>
              <w:rPr>
                <w:rFonts w:hint="eastAsia"/>
                <w:color w:val="auto"/>
                <w:highlight w:val="none"/>
              </w:rPr>
              <w:t>分；</w:t>
            </w:r>
            <w:r>
              <w:rPr>
                <w:color w:val="auto"/>
                <w:highlight w:val="none"/>
              </w:rPr>
              <w:t>方案</w:t>
            </w:r>
            <w:r>
              <w:rPr>
                <w:rFonts w:hint="eastAsia"/>
                <w:color w:val="auto"/>
                <w:highlight w:val="none"/>
              </w:rPr>
              <w:t>完整、有一定针对性、有措施的得1分；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rFonts w:hint="eastAsia"/>
                <w:color w:val="auto"/>
                <w:highlight w:val="none"/>
                <w:lang w:eastAsia="zh-CN"/>
              </w:rPr>
            </w:pPr>
            <w:r>
              <w:rPr>
                <w:rFonts w:hint="eastAsia"/>
                <w:color w:val="auto"/>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1.1</w:t>
            </w:r>
            <w:r>
              <w:rPr>
                <w:rFonts w:hint="eastAsia"/>
                <w:color w:val="auto"/>
                <w:highlight w:val="none"/>
                <w:lang w:val="en-US" w:eastAsia="zh-CN"/>
              </w:rPr>
              <w:t>2</w:t>
            </w:r>
            <w:r>
              <w:rPr>
                <w:rFonts w:hint="eastAsia"/>
                <w:color w:val="auto"/>
                <w:highlight w:val="none"/>
              </w:rPr>
              <w:t>有详细的应对新冠疫情的应急方案措施，尤其是因疫情封闭医院的应急预案，人员培训、考核等。方案完善、具有较强针对性、措施切实有效的得3分；</w:t>
            </w:r>
            <w:r>
              <w:rPr>
                <w:color w:val="auto"/>
                <w:highlight w:val="none"/>
              </w:rPr>
              <w:t>方案</w:t>
            </w:r>
            <w:r>
              <w:rPr>
                <w:rFonts w:hint="eastAsia"/>
                <w:color w:val="auto"/>
                <w:highlight w:val="none"/>
              </w:rPr>
              <w:t>全面、有针对性、措施较有效的得2分；</w:t>
            </w:r>
            <w:r>
              <w:rPr>
                <w:color w:val="auto"/>
                <w:highlight w:val="none"/>
              </w:rPr>
              <w:t>方案</w:t>
            </w:r>
            <w:r>
              <w:rPr>
                <w:rFonts w:hint="eastAsia"/>
                <w:color w:val="auto"/>
                <w:highlight w:val="none"/>
              </w:rPr>
              <w:t>完整、有一定针对性、有措施的得1分；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1.1</w:t>
            </w:r>
            <w:r>
              <w:rPr>
                <w:rFonts w:hint="eastAsia"/>
                <w:color w:val="auto"/>
                <w:highlight w:val="none"/>
                <w:lang w:val="en-US" w:eastAsia="zh-CN"/>
              </w:rPr>
              <w:t>3</w:t>
            </w:r>
            <w:r>
              <w:rPr>
                <w:rFonts w:hint="eastAsia"/>
                <w:color w:val="auto"/>
                <w:highlight w:val="none"/>
              </w:rPr>
              <w:t>供应商投诉处理、协调管理、内部应急处置等方案。方案完善、具有较强针对性、措施切实有效的得2分；</w:t>
            </w:r>
            <w:r>
              <w:rPr>
                <w:color w:val="auto"/>
                <w:highlight w:val="none"/>
              </w:rPr>
              <w:t>方案</w:t>
            </w:r>
            <w:r>
              <w:rPr>
                <w:rFonts w:hint="eastAsia"/>
                <w:color w:val="auto"/>
                <w:highlight w:val="none"/>
              </w:rPr>
              <w:t>全面、有针对性、措施较有效的得1分；</w:t>
            </w:r>
            <w:r>
              <w:rPr>
                <w:color w:val="auto"/>
                <w:highlight w:val="none"/>
              </w:rPr>
              <w:t>方案</w:t>
            </w:r>
            <w:r>
              <w:rPr>
                <w:rFonts w:hint="eastAsia"/>
                <w:color w:val="auto"/>
                <w:highlight w:val="none"/>
              </w:rPr>
              <w:t>完整、有一定针对性、有措施的得0.5分；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1.1</w:t>
            </w:r>
            <w:r>
              <w:rPr>
                <w:rFonts w:hint="eastAsia"/>
                <w:color w:val="auto"/>
                <w:highlight w:val="none"/>
                <w:lang w:val="en-US" w:eastAsia="zh-CN"/>
              </w:rPr>
              <w:t>4</w:t>
            </w:r>
            <w:r>
              <w:rPr>
                <w:rFonts w:hint="eastAsia"/>
                <w:color w:val="auto"/>
                <w:highlight w:val="none"/>
              </w:rPr>
              <w:t>重要活动服务保障方案：方案完善、具有较强针对性、措施切实有效的得2分；</w:t>
            </w:r>
            <w:r>
              <w:rPr>
                <w:color w:val="auto"/>
                <w:highlight w:val="none"/>
              </w:rPr>
              <w:t>方案</w:t>
            </w:r>
            <w:r>
              <w:rPr>
                <w:rFonts w:hint="eastAsia"/>
                <w:color w:val="auto"/>
                <w:highlight w:val="none"/>
              </w:rPr>
              <w:t>全面、有针对性、措施较有效的得1分；</w:t>
            </w:r>
            <w:r>
              <w:rPr>
                <w:color w:val="auto"/>
                <w:highlight w:val="none"/>
              </w:rPr>
              <w:t>方案</w:t>
            </w:r>
            <w:r>
              <w:rPr>
                <w:rFonts w:hint="eastAsia"/>
                <w:color w:val="auto"/>
                <w:highlight w:val="none"/>
              </w:rPr>
              <w:t>完整、有一定针对性、有措施的得0.5分；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1.1</w:t>
            </w:r>
            <w:r>
              <w:rPr>
                <w:rFonts w:hint="eastAsia"/>
                <w:color w:val="auto"/>
                <w:highlight w:val="none"/>
                <w:lang w:val="en-US" w:eastAsia="zh-CN"/>
              </w:rPr>
              <w:t>5</w:t>
            </w:r>
            <w:r>
              <w:rPr>
                <w:rFonts w:hint="eastAsia"/>
                <w:color w:val="auto"/>
                <w:highlight w:val="none"/>
              </w:rPr>
              <w:t>标准化与智慧化物业管理方案：方案完善、具有较强针对性、措施切实有效的得3分；</w:t>
            </w:r>
            <w:r>
              <w:rPr>
                <w:color w:val="auto"/>
                <w:highlight w:val="none"/>
              </w:rPr>
              <w:t>方案</w:t>
            </w:r>
            <w:r>
              <w:rPr>
                <w:rFonts w:hint="eastAsia"/>
                <w:color w:val="auto"/>
                <w:highlight w:val="none"/>
              </w:rPr>
              <w:t>全面、有针对性、措施较有效的得2分；</w:t>
            </w:r>
            <w:r>
              <w:rPr>
                <w:color w:val="auto"/>
                <w:highlight w:val="none"/>
              </w:rPr>
              <w:t>方案</w:t>
            </w:r>
            <w:r>
              <w:rPr>
                <w:rFonts w:hint="eastAsia"/>
                <w:color w:val="auto"/>
                <w:highlight w:val="none"/>
              </w:rPr>
              <w:t>完整、有一定针对性、有措施的得1分；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1.1</w:t>
            </w:r>
            <w:r>
              <w:rPr>
                <w:rFonts w:hint="eastAsia"/>
                <w:color w:val="auto"/>
                <w:highlight w:val="none"/>
                <w:lang w:val="en-US" w:eastAsia="zh-CN"/>
              </w:rPr>
              <w:t>6</w:t>
            </w:r>
            <w:r>
              <w:rPr>
                <w:rFonts w:hint="eastAsia"/>
                <w:color w:val="auto"/>
                <w:highlight w:val="none"/>
              </w:rPr>
              <w:t>稳定员工队伍方案：方案完善、具有较强针对性、措施切实有效的得3分；</w:t>
            </w:r>
            <w:r>
              <w:rPr>
                <w:color w:val="auto"/>
                <w:highlight w:val="none"/>
              </w:rPr>
              <w:t>方案</w:t>
            </w:r>
            <w:r>
              <w:rPr>
                <w:rFonts w:hint="eastAsia"/>
                <w:color w:val="auto"/>
                <w:highlight w:val="none"/>
              </w:rPr>
              <w:t>全面、有针对性、措施较有效的得2分；</w:t>
            </w:r>
            <w:r>
              <w:rPr>
                <w:color w:val="auto"/>
                <w:highlight w:val="none"/>
              </w:rPr>
              <w:t>方案</w:t>
            </w:r>
            <w:r>
              <w:rPr>
                <w:rFonts w:hint="eastAsia"/>
                <w:color w:val="auto"/>
                <w:highlight w:val="none"/>
              </w:rPr>
              <w:t>完整、有一定针对性、有措施的得1分；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w:t>
            </w:r>
            <w:r>
              <w:rPr>
                <w:color w:val="auto"/>
                <w:highlight w:val="none"/>
              </w:rPr>
              <w:t>.1</w:t>
            </w:r>
            <w:r>
              <w:rPr>
                <w:rFonts w:hint="eastAsia"/>
                <w:color w:val="auto"/>
                <w:highlight w:val="none"/>
                <w:lang w:val="en-US" w:eastAsia="zh-CN"/>
              </w:rPr>
              <w:t>7</w:t>
            </w:r>
            <w:r>
              <w:rPr>
                <w:rFonts w:hint="eastAsia"/>
                <w:color w:val="auto"/>
                <w:highlight w:val="none"/>
              </w:rPr>
              <w:t>春节员工缺岗解决方案：方案完善、具有较强针对性、措施切实有效的得2分；</w:t>
            </w:r>
            <w:r>
              <w:rPr>
                <w:color w:val="auto"/>
                <w:highlight w:val="none"/>
              </w:rPr>
              <w:t>方案</w:t>
            </w:r>
            <w:r>
              <w:rPr>
                <w:rFonts w:hint="eastAsia"/>
                <w:color w:val="auto"/>
                <w:highlight w:val="none"/>
              </w:rPr>
              <w:t>全面、有针对性、措施较有效的得1分；</w:t>
            </w:r>
            <w:r>
              <w:rPr>
                <w:color w:val="auto"/>
                <w:highlight w:val="none"/>
              </w:rPr>
              <w:t>方案</w:t>
            </w:r>
            <w:r>
              <w:rPr>
                <w:rFonts w:hint="eastAsia"/>
                <w:color w:val="auto"/>
                <w:highlight w:val="none"/>
              </w:rPr>
              <w:t>完整、有一定针对性、有措施的得0.5分；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1.1</w:t>
            </w:r>
            <w:r>
              <w:rPr>
                <w:rFonts w:hint="eastAsia"/>
                <w:color w:val="auto"/>
                <w:highlight w:val="none"/>
                <w:lang w:val="en-US" w:eastAsia="zh-CN"/>
              </w:rPr>
              <w:t>8</w:t>
            </w:r>
            <w:r>
              <w:rPr>
                <w:rFonts w:hint="eastAsia"/>
                <w:color w:val="auto"/>
                <w:highlight w:val="none"/>
              </w:rPr>
              <w:t>人员补充方案：提供有人员流失控制及时补充的方案。方案完善、具有较强针对性、措施切实有效的得3分；</w:t>
            </w:r>
            <w:r>
              <w:rPr>
                <w:color w:val="auto"/>
                <w:highlight w:val="none"/>
              </w:rPr>
              <w:t>方案</w:t>
            </w:r>
            <w:r>
              <w:rPr>
                <w:rFonts w:hint="eastAsia"/>
                <w:color w:val="auto"/>
                <w:highlight w:val="none"/>
              </w:rPr>
              <w:t>全面、有针对性、措施较有效的得2分；</w:t>
            </w:r>
            <w:r>
              <w:rPr>
                <w:color w:val="auto"/>
                <w:highlight w:val="none"/>
              </w:rPr>
              <w:t>方案</w:t>
            </w:r>
            <w:r>
              <w:rPr>
                <w:rFonts w:hint="eastAsia"/>
                <w:color w:val="auto"/>
                <w:highlight w:val="none"/>
              </w:rPr>
              <w:t>完整、有一定针对性、有措施的得1分；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w:t>
            </w:r>
            <w:r>
              <w:rPr>
                <w:color w:val="auto"/>
                <w:highlight w:val="none"/>
              </w:rPr>
              <w:t>.1</w:t>
            </w:r>
            <w:r>
              <w:rPr>
                <w:rFonts w:hint="eastAsia"/>
                <w:color w:val="auto"/>
                <w:highlight w:val="none"/>
                <w:lang w:val="en-US" w:eastAsia="zh-CN"/>
              </w:rPr>
              <w:t>9</w:t>
            </w:r>
            <w:r>
              <w:rPr>
                <w:rFonts w:hint="eastAsia"/>
                <w:color w:val="auto"/>
                <w:highlight w:val="none"/>
              </w:rPr>
              <w:t>提供员工住宿解决方案：包括但不限于宿舍来源的稳定性、宿舍的数量、住宿条件与安全性、与医院的距离远近，宿舍管理措施。方案完善、具有较强针对性、措施切实有效的得</w:t>
            </w:r>
            <w:r>
              <w:rPr>
                <w:color w:val="auto"/>
                <w:highlight w:val="none"/>
              </w:rPr>
              <w:t>2</w:t>
            </w:r>
            <w:r>
              <w:rPr>
                <w:rFonts w:hint="eastAsia"/>
                <w:color w:val="auto"/>
                <w:highlight w:val="none"/>
              </w:rPr>
              <w:t>分；</w:t>
            </w:r>
            <w:r>
              <w:rPr>
                <w:color w:val="auto"/>
                <w:highlight w:val="none"/>
              </w:rPr>
              <w:t>方案</w:t>
            </w:r>
            <w:r>
              <w:rPr>
                <w:rFonts w:hint="eastAsia"/>
                <w:color w:val="auto"/>
                <w:highlight w:val="none"/>
              </w:rPr>
              <w:t>完整、有一定针对性、有措施的得</w:t>
            </w:r>
            <w:r>
              <w:rPr>
                <w:color w:val="auto"/>
                <w:highlight w:val="none"/>
              </w:rPr>
              <w:t>1</w:t>
            </w:r>
            <w:r>
              <w:rPr>
                <w:rFonts w:hint="eastAsia"/>
                <w:color w:val="auto"/>
                <w:highlight w:val="none"/>
              </w:rPr>
              <w:t>分；方案有瑕疵，措施有待提高的得</w:t>
            </w:r>
            <w:r>
              <w:rPr>
                <w:color w:val="auto"/>
                <w:highlight w:val="none"/>
              </w:rPr>
              <w:t>0.5</w:t>
            </w:r>
            <w:r>
              <w:rPr>
                <w:rFonts w:hint="eastAsia"/>
                <w:color w:val="auto"/>
                <w:highlight w:val="none"/>
              </w:rPr>
              <w:t>分，未提供</w:t>
            </w:r>
            <w:r>
              <w:rPr>
                <w:rFonts w:hint="eastAsia"/>
                <w:color w:val="auto"/>
                <w:highlight w:val="none"/>
                <w:lang w:eastAsia="zh-CN"/>
              </w:rPr>
              <w:t>方案</w:t>
            </w:r>
            <w:r>
              <w:rPr>
                <w:rFonts w:hint="eastAsia"/>
                <w:color w:val="auto"/>
                <w:highlight w:val="none"/>
              </w:rPr>
              <w:t>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1.</w:t>
            </w:r>
            <w:r>
              <w:rPr>
                <w:rFonts w:hint="eastAsia"/>
                <w:color w:val="auto"/>
                <w:highlight w:val="none"/>
                <w:lang w:val="en-US" w:eastAsia="zh-CN"/>
              </w:rPr>
              <w:t>20</w:t>
            </w:r>
            <w:r>
              <w:rPr>
                <w:rFonts w:hint="eastAsia"/>
                <w:color w:val="auto"/>
                <w:highlight w:val="none"/>
              </w:rPr>
              <w:t>其他符合本项目采购需求且有利于合同履约的特色服务方案。方案完善、具有较强针对性、措施切实有效的得2分；</w:t>
            </w:r>
            <w:r>
              <w:rPr>
                <w:color w:val="auto"/>
                <w:highlight w:val="none"/>
              </w:rPr>
              <w:t>方案</w:t>
            </w:r>
            <w:r>
              <w:rPr>
                <w:rFonts w:hint="eastAsia"/>
                <w:color w:val="auto"/>
                <w:highlight w:val="none"/>
              </w:rPr>
              <w:t>全面、有针对性、措施较有效的得1分；</w:t>
            </w:r>
            <w:r>
              <w:rPr>
                <w:color w:val="auto"/>
                <w:highlight w:val="none"/>
              </w:rPr>
              <w:t>方案</w:t>
            </w:r>
            <w:r>
              <w:rPr>
                <w:rFonts w:hint="eastAsia"/>
                <w:color w:val="auto"/>
                <w:highlight w:val="none"/>
              </w:rPr>
              <w:t>完整、有一定针对性、有措施的得0.5分；</w:t>
            </w:r>
            <w:r>
              <w:rPr>
                <w:color w:val="auto"/>
                <w:highlight w:val="none"/>
              </w:rPr>
              <w:t>方案</w:t>
            </w:r>
            <w:r>
              <w:rPr>
                <w:rFonts w:hint="eastAsia"/>
                <w:color w:val="auto"/>
                <w:highlight w:val="none"/>
              </w:rPr>
              <w:t>欠缺、措施不明确的</w:t>
            </w:r>
            <w:r>
              <w:rPr>
                <w:color w:val="auto"/>
                <w:highlight w:val="none"/>
              </w:rPr>
              <w:t>得0分</w:t>
            </w:r>
            <w:r>
              <w:rPr>
                <w:rFonts w:hint="eastAsia"/>
                <w:color w:val="auto"/>
                <w:highlight w:val="none"/>
              </w:rPr>
              <w:t>。</w:t>
            </w:r>
          </w:p>
        </w:tc>
        <w:tc>
          <w:tcPr>
            <w:tcW w:w="874" w:type="dxa"/>
            <w:vAlign w:val="center"/>
          </w:tcPr>
          <w:p>
            <w:pPr>
              <w:spacing w:line="360" w:lineRule="auto"/>
              <w:jc w:val="center"/>
              <w:rPr>
                <w:color w:val="auto"/>
                <w:highlight w:val="none"/>
              </w:rPr>
            </w:pPr>
            <w:r>
              <w:rPr>
                <w:rFonts w:hint="eastAsia"/>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restart"/>
            <w:noWrap/>
            <w:tcMar>
              <w:top w:w="15" w:type="dxa"/>
              <w:left w:w="15" w:type="dxa"/>
              <w:right w:w="15" w:type="dxa"/>
            </w:tcMar>
            <w:vAlign w:val="center"/>
          </w:tcPr>
          <w:p>
            <w:pPr>
              <w:spacing w:line="360" w:lineRule="auto"/>
              <w:rPr>
                <w:color w:val="auto"/>
                <w:highlight w:val="none"/>
              </w:rPr>
            </w:pPr>
            <w:r>
              <w:rPr>
                <w:rFonts w:hint="eastAsia"/>
                <w:color w:val="auto"/>
                <w:highlight w:val="none"/>
              </w:rPr>
              <w:t>2</w:t>
            </w:r>
          </w:p>
        </w:tc>
        <w:tc>
          <w:tcPr>
            <w:tcW w:w="1341" w:type="dxa"/>
            <w:vMerge w:val="restart"/>
            <w:noWrap/>
            <w:tcMar>
              <w:top w:w="15" w:type="dxa"/>
              <w:left w:w="15" w:type="dxa"/>
              <w:right w:w="15" w:type="dxa"/>
            </w:tcMar>
            <w:vAlign w:val="center"/>
          </w:tcPr>
          <w:p>
            <w:pPr>
              <w:spacing w:line="360" w:lineRule="auto"/>
              <w:rPr>
                <w:color w:val="auto"/>
                <w:highlight w:val="none"/>
              </w:rPr>
            </w:pPr>
            <w:r>
              <w:rPr>
                <w:rFonts w:hint="eastAsia"/>
                <w:color w:val="auto"/>
                <w:highlight w:val="none"/>
              </w:rPr>
              <w:t>投入本项目服务团队人员</w:t>
            </w:r>
          </w:p>
        </w:tc>
        <w:tc>
          <w:tcPr>
            <w:tcW w:w="6286" w:type="dxa"/>
            <w:noWrap/>
            <w:tcMar>
              <w:top w:w="15" w:type="dxa"/>
              <w:left w:w="15" w:type="dxa"/>
              <w:right w:w="15" w:type="dxa"/>
            </w:tcMar>
            <w:vAlign w:val="center"/>
          </w:tcPr>
          <w:p>
            <w:pPr>
              <w:spacing w:line="360" w:lineRule="auto"/>
              <w:rPr>
                <w:rFonts w:hint="eastAsia"/>
                <w:color w:val="auto"/>
                <w:highlight w:val="none"/>
              </w:rPr>
            </w:pPr>
            <w:r>
              <w:rPr>
                <w:rFonts w:hint="eastAsia"/>
                <w:color w:val="auto"/>
                <w:highlight w:val="none"/>
              </w:rPr>
              <w:t>2.1项目负责人：具有大专及以上学历，年龄不超过50周岁，具有物业管理师证，为投标供应商正式员工，从事医疗行业物业工作经验≥5年，三甲医院物业管理经验≥3年，且具有项目负责人（或物业经理）从业经历，同时满足的得2分，否则不得分；</w:t>
            </w:r>
          </w:p>
          <w:p>
            <w:pPr>
              <w:spacing w:line="360" w:lineRule="auto"/>
              <w:rPr>
                <w:rFonts w:hint="eastAsia"/>
                <w:color w:val="auto"/>
                <w:highlight w:val="none"/>
              </w:rPr>
            </w:pPr>
            <w:r>
              <w:rPr>
                <w:rFonts w:hint="eastAsia"/>
                <w:color w:val="auto"/>
                <w:highlight w:val="none"/>
              </w:rPr>
              <w:t>提供学历证明，物业管理师证，医疗服务单位出具的担任项目负责人工作经历、年限且有评价的证明材料及在投标供应商处近三个月内任意一个月社会保险参保证明；未提供或无评价的不得分。</w:t>
            </w:r>
          </w:p>
          <w:p>
            <w:pPr>
              <w:spacing w:line="360" w:lineRule="auto"/>
              <w:rPr>
                <w:color w:val="auto"/>
                <w:highlight w:val="none"/>
              </w:rPr>
            </w:pPr>
            <w:r>
              <w:rPr>
                <w:rFonts w:hint="eastAsia"/>
                <w:color w:val="auto"/>
                <w:highlight w:val="none"/>
              </w:rPr>
              <w:t>2.2项目负责人： 资源调配和管理能力强得2分；资源调配管理能力一般得1分；调配能力和管理能力有缺陷得0.5分；</w:t>
            </w:r>
          </w:p>
        </w:tc>
        <w:tc>
          <w:tcPr>
            <w:tcW w:w="874" w:type="dxa"/>
            <w:vAlign w:val="center"/>
          </w:tcPr>
          <w:p>
            <w:pPr>
              <w:spacing w:line="360" w:lineRule="auto"/>
              <w:jc w:val="center"/>
              <w:rPr>
                <w:color w:val="auto"/>
                <w:highlight w:val="none"/>
              </w:rPr>
            </w:pPr>
            <w:r>
              <w:rPr>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2.3保洁主管：年龄不超过</w:t>
            </w:r>
            <w:r>
              <w:rPr>
                <w:color w:val="auto"/>
                <w:highlight w:val="none"/>
              </w:rPr>
              <w:t>55</w:t>
            </w:r>
            <w:r>
              <w:rPr>
                <w:rFonts w:hint="eastAsia"/>
                <w:color w:val="auto"/>
                <w:highlight w:val="none"/>
              </w:rPr>
              <w:t>周岁，具有高中及以上学历。提供学历证明及在投标供应商近三个月</w:t>
            </w:r>
            <w:r>
              <w:rPr>
                <w:rFonts w:hint="eastAsia"/>
                <w:color w:val="auto"/>
                <w:highlight w:val="none"/>
                <w:lang w:eastAsia="zh-CN"/>
              </w:rPr>
              <w:t>内</w:t>
            </w:r>
            <w:r>
              <w:rPr>
                <w:rFonts w:hint="eastAsia"/>
                <w:color w:val="auto"/>
                <w:highlight w:val="none"/>
              </w:rPr>
              <w:t>任意一个月社会保险参保证明，同时满足的得2分，否则不得分；</w:t>
            </w:r>
          </w:p>
          <w:p>
            <w:pPr>
              <w:spacing w:line="360" w:lineRule="auto"/>
              <w:rPr>
                <w:color w:val="auto"/>
                <w:highlight w:val="none"/>
              </w:rPr>
            </w:pPr>
            <w:r>
              <w:rPr>
                <w:rFonts w:hint="eastAsia"/>
                <w:color w:val="auto"/>
                <w:highlight w:val="none"/>
              </w:rPr>
              <w:t>2.4保洁主管：担任同类项目管理工作经验丰富，管理能力强得1分，管理能力一般得0.5分，提供</w:t>
            </w:r>
            <w:r>
              <w:rPr>
                <w:rFonts w:hint="eastAsia"/>
                <w:color w:val="auto"/>
                <w:highlight w:val="none"/>
                <w:lang w:val="en-US" w:eastAsia="zh-CN"/>
              </w:rPr>
              <w:t>服务单位出具的工作经历证明</w:t>
            </w:r>
            <w:r>
              <w:rPr>
                <w:rFonts w:hint="eastAsia"/>
                <w:color w:val="auto"/>
                <w:highlight w:val="none"/>
                <w:lang w:eastAsia="zh-CN"/>
              </w:rPr>
              <w:t>，</w:t>
            </w:r>
            <w:r>
              <w:rPr>
                <w:rFonts w:hint="eastAsia"/>
                <w:color w:val="auto"/>
                <w:highlight w:val="none"/>
              </w:rPr>
              <w:t>管理能力有缺陷或未提供</w:t>
            </w:r>
            <w:r>
              <w:rPr>
                <w:rFonts w:hint="eastAsia"/>
                <w:color w:val="auto"/>
                <w:highlight w:val="none"/>
                <w:lang w:eastAsia="zh-CN"/>
              </w:rPr>
              <w:t>证明材料</w:t>
            </w:r>
            <w:r>
              <w:rPr>
                <w:rFonts w:hint="eastAsia"/>
                <w:color w:val="auto"/>
                <w:highlight w:val="none"/>
              </w:rPr>
              <w:t>不得分。</w:t>
            </w:r>
          </w:p>
        </w:tc>
        <w:tc>
          <w:tcPr>
            <w:tcW w:w="874" w:type="dxa"/>
            <w:vAlign w:val="center"/>
          </w:tcPr>
          <w:p>
            <w:pPr>
              <w:spacing w:line="360" w:lineRule="auto"/>
              <w:jc w:val="center"/>
              <w:rPr>
                <w:color w:val="auto"/>
                <w:highlight w:val="none"/>
              </w:rPr>
            </w:pPr>
            <w:r>
              <w:rPr>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2.5运送主管：年龄不超过55周岁，具有高中及以上学历。提供学历证明及在投标供应商近半年</w:t>
            </w:r>
            <w:r>
              <w:rPr>
                <w:rFonts w:hint="eastAsia"/>
                <w:color w:val="auto"/>
                <w:highlight w:val="none"/>
                <w:lang w:eastAsia="zh-CN"/>
              </w:rPr>
              <w:t>内</w:t>
            </w:r>
            <w:r>
              <w:rPr>
                <w:rFonts w:hint="eastAsia"/>
                <w:color w:val="auto"/>
                <w:highlight w:val="none"/>
              </w:rPr>
              <w:t>任意一个月社会保险参保证明，同时满足的得2分，否则不得分；</w:t>
            </w:r>
          </w:p>
          <w:p>
            <w:pPr>
              <w:spacing w:line="360" w:lineRule="auto"/>
              <w:rPr>
                <w:color w:val="auto"/>
                <w:highlight w:val="none"/>
              </w:rPr>
            </w:pPr>
            <w:r>
              <w:rPr>
                <w:rFonts w:hint="eastAsia"/>
                <w:color w:val="auto"/>
                <w:highlight w:val="none"/>
              </w:rPr>
              <w:t>2.6运送主管：担任同类项目管理工作经验丰富，管理能力强得1分，管理能力一般得0.5分，提供提供</w:t>
            </w:r>
            <w:r>
              <w:rPr>
                <w:rFonts w:hint="eastAsia"/>
                <w:color w:val="auto"/>
                <w:highlight w:val="none"/>
                <w:lang w:val="en-US" w:eastAsia="zh-CN"/>
              </w:rPr>
              <w:t>服务单位出具的工作经历证明</w:t>
            </w:r>
            <w:r>
              <w:rPr>
                <w:rFonts w:hint="eastAsia"/>
                <w:color w:val="auto"/>
                <w:highlight w:val="none"/>
                <w:lang w:eastAsia="zh-CN"/>
              </w:rPr>
              <w:t>，</w:t>
            </w:r>
            <w:r>
              <w:rPr>
                <w:rFonts w:hint="eastAsia"/>
                <w:color w:val="auto"/>
                <w:highlight w:val="none"/>
              </w:rPr>
              <w:t>管理能力有缺陷或未提供</w:t>
            </w:r>
            <w:r>
              <w:rPr>
                <w:rFonts w:hint="eastAsia"/>
                <w:color w:val="auto"/>
                <w:highlight w:val="none"/>
                <w:lang w:eastAsia="zh-CN"/>
              </w:rPr>
              <w:t>证明材料</w:t>
            </w:r>
            <w:r>
              <w:rPr>
                <w:rFonts w:hint="eastAsia"/>
                <w:color w:val="auto"/>
                <w:highlight w:val="none"/>
              </w:rPr>
              <w:t>不得分。</w:t>
            </w:r>
          </w:p>
        </w:tc>
        <w:tc>
          <w:tcPr>
            <w:tcW w:w="874" w:type="dxa"/>
            <w:vAlign w:val="center"/>
          </w:tcPr>
          <w:p>
            <w:pPr>
              <w:spacing w:line="360" w:lineRule="auto"/>
              <w:jc w:val="center"/>
              <w:rPr>
                <w:color w:val="auto"/>
                <w:highlight w:val="none"/>
              </w:rPr>
            </w:pPr>
            <w:r>
              <w:rPr>
                <w:color w:val="auto"/>
                <w:highlight w:val="none"/>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vMerge w:val="continue"/>
            <w:noWrap/>
            <w:tcMar>
              <w:top w:w="15" w:type="dxa"/>
              <w:left w:w="15" w:type="dxa"/>
              <w:right w:w="15" w:type="dxa"/>
            </w:tcMar>
            <w:vAlign w:val="center"/>
          </w:tcPr>
          <w:p>
            <w:pPr>
              <w:spacing w:line="360" w:lineRule="auto"/>
              <w:rPr>
                <w:color w:val="auto"/>
                <w:highlight w:val="none"/>
              </w:rPr>
            </w:pPr>
          </w:p>
        </w:tc>
        <w:tc>
          <w:tcPr>
            <w:tcW w:w="1341" w:type="dxa"/>
            <w:vMerge w:val="continue"/>
            <w:noWrap/>
            <w:tcMar>
              <w:top w:w="15" w:type="dxa"/>
              <w:left w:w="15" w:type="dxa"/>
              <w:right w:w="15" w:type="dxa"/>
            </w:tcMar>
            <w:vAlign w:val="center"/>
          </w:tcPr>
          <w:p>
            <w:pPr>
              <w:spacing w:line="360" w:lineRule="auto"/>
              <w:rPr>
                <w:color w:val="auto"/>
                <w:highlight w:val="none"/>
              </w:rPr>
            </w:pP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2.7其他人员配置：根据本项目服务管理委托内容中的人员需求，针对履行合同的条件，结合对本项目的了解，制定具体实施服务人员的组织结构、人员配置情况、重要岗位职责等。组织结构、人员配置和岗位设置合理，职责明确详细得4分；组织结构、人员配置和岗位设置基本合理，职责分工合理得3分；组织结构、人员配置和岗位设置基本满足项目要求，有职责分工得2分，组织结构、人员配置和岗位设置有缺陷，职责分工不明确得1分，未提供</w:t>
            </w:r>
            <w:r>
              <w:rPr>
                <w:rFonts w:hint="eastAsia"/>
                <w:color w:val="auto"/>
                <w:highlight w:val="none"/>
                <w:lang w:eastAsia="zh-CN"/>
              </w:rPr>
              <w:t>说明</w:t>
            </w:r>
            <w:r>
              <w:rPr>
                <w:rFonts w:hint="eastAsia"/>
                <w:color w:val="auto"/>
                <w:highlight w:val="none"/>
              </w:rPr>
              <w:t>的不得分。</w:t>
            </w:r>
          </w:p>
        </w:tc>
        <w:tc>
          <w:tcPr>
            <w:tcW w:w="874" w:type="dxa"/>
            <w:vAlign w:val="center"/>
          </w:tcPr>
          <w:p>
            <w:pPr>
              <w:spacing w:line="360" w:lineRule="auto"/>
              <w:jc w:val="center"/>
              <w:rPr>
                <w:color w:val="auto"/>
                <w:highlight w:val="none"/>
              </w:rPr>
            </w:pPr>
            <w:r>
              <w:rPr>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3</w:t>
            </w:r>
          </w:p>
        </w:tc>
        <w:tc>
          <w:tcPr>
            <w:tcW w:w="1341"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信息化管理</w:t>
            </w: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供应商可投入本服务项目中的信息化管理软件（包括但不限于</w:t>
            </w:r>
            <w:r>
              <w:rPr>
                <w:rFonts w:hint="eastAsia"/>
                <w:color w:val="auto"/>
                <w:highlight w:val="none"/>
                <w:lang w:val="zh-TW" w:eastAsia="zh-TW"/>
              </w:rPr>
              <w:t>后勤智能运送</w:t>
            </w:r>
            <w:r>
              <w:rPr>
                <w:rFonts w:hint="eastAsia"/>
                <w:color w:val="auto"/>
                <w:highlight w:val="none"/>
              </w:rPr>
              <w:t>系统），提供相关软件著作权证书复印件，每提供1个得1分，最高得2分，未提供的不得分。</w:t>
            </w:r>
          </w:p>
        </w:tc>
        <w:tc>
          <w:tcPr>
            <w:tcW w:w="874" w:type="dxa"/>
            <w:vAlign w:val="center"/>
          </w:tcPr>
          <w:p>
            <w:pPr>
              <w:spacing w:line="360" w:lineRule="auto"/>
              <w:jc w:val="center"/>
              <w:rPr>
                <w:color w:val="auto"/>
                <w:highlight w:val="none"/>
              </w:rPr>
            </w:pPr>
            <w:r>
              <w:rPr>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4</w:t>
            </w:r>
          </w:p>
        </w:tc>
        <w:tc>
          <w:tcPr>
            <w:tcW w:w="1341" w:type="dxa"/>
            <w:noWrap/>
            <w:tcMar>
              <w:top w:w="15" w:type="dxa"/>
              <w:left w:w="15" w:type="dxa"/>
              <w:right w:w="15" w:type="dxa"/>
            </w:tcMar>
            <w:vAlign w:val="center"/>
          </w:tcPr>
          <w:p>
            <w:pPr>
              <w:spacing w:line="360" w:lineRule="auto"/>
              <w:rPr>
                <w:color w:val="auto"/>
                <w:highlight w:val="none"/>
              </w:rPr>
            </w:pPr>
            <w:r>
              <w:rPr>
                <w:rFonts w:hint="eastAsia"/>
                <w:color w:val="auto"/>
                <w:highlight w:val="none"/>
                <w:lang w:val="zh-TW" w:eastAsia="zh-TW"/>
              </w:rPr>
              <w:t>后勤智能运送</w:t>
            </w:r>
            <w:r>
              <w:rPr>
                <w:rFonts w:hint="eastAsia"/>
                <w:color w:val="auto"/>
                <w:highlight w:val="none"/>
              </w:rPr>
              <w:t>系统演示</w:t>
            </w: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投标人需提供真实系统环境对</w:t>
            </w:r>
            <w:r>
              <w:rPr>
                <w:rFonts w:hint="eastAsia"/>
                <w:color w:val="auto"/>
                <w:highlight w:val="none"/>
                <w:lang w:val="zh-TW" w:eastAsia="zh-TW"/>
              </w:rPr>
              <w:t>后勤智能运送</w:t>
            </w:r>
            <w:r>
              <w:rPr>
                <w:rFonts w:hint="eastAsia"/>
                <w:color w:val="auto"/>
                <w:highlight w:val="none"/>
              </w:rPr>
              <w:t>系统的以下功能进行演示，每成功演示1项得分，部分演示或无演示不得分。</w:t>
            </w:r>
          </w:p>
          <w:p>
            <w:pPr>
              <w:spacing w:line="360" w:lineRule="auto"/>
              <w:rPr>
                <w:color w:val="auto"/>
                <w:highlight w:val="none"/>
              </w:rPr>
            </w:pPr>
            <w:r>
              <w:rPr>
                <w:rFonts w:hint="eastAsia"/>
                <w:color w:val="auto"/>
                <w:highlight w:val="none"/>
              </w:rPr>
              <w:t>4.1用户管理：按不同岗位分别设置用户角色并维护系统菜单权限，人员可维护成不同角色并按角色授权；1分</w:t>
            </w:r>
          </w:p>
          <w:p>
            <w:pPr>
              <w:spacing w:line="360" w:lineRule="auto"/>
              <w:rPr>
                <w:color w:val="auto"/>
                <w:highlight w:val="none"/>
              </w:rPr>
            </w:pPr>
            <w:r>
              <w:rPr>
                <w:rFonts w:hint="eastAsia"/>
                <w:color w:val="auto"/>
                <w:highlight w:val="none"/>
              </w:rPr>
              <w:t>4.2下单模式：</w:t>
            </w:r>
          </w:p>
          <w:p>
            <w:pPr>
              <w:spacing w:line="360" w:lineRule="auto"/>
              <w:rPr>
                <w:color w:val="auto"/>
                <w:highlight w:val="none"/>
              </w:rPr>
            </w:pPr>
            <w:r>
              <w:rPr>
                <w:rFonts w:hint="eastAsia"/>
                <w:color w:val="auto"/>
                <w:highlight w:val="none"/>
              </w:rPr>
              <w:t>手工下单，支持调度中心或移动端、PC端手工提交工单，1分；</w:t>
            </w:r>
          </w:p>
          <w:p>
            <w:pPr>
              <w:spacing w:line="360" w:lineRule="auto"/>
              <w:rPr>
                <w:color w:val="auto"/>
                <w:highlight w:val="none"/>
              </w:rPr>
            </w:pPr>
            <w:r>
              <w:rPr>
                <w:rFonts w:hint="eastAsia"/>
                <w:color w:val="auto"/>
                <w:highlight w:val="none"/>
              </w:rPr>
              <w:t xml:space="preserve">自动下单，和HIS系统对接通过检查项目预约完成等功能节点直接生成需求订单，1分； </w:t>
            </w:r>
          </w:p>
          <w:p>
            <w:pPr>
              <w:spacing w:line="360" w:lineRule="auto"/>
              <w:rPr>
                <w:color w:val="auto"/>
                <w:highlight w:val="none"/>
              </w:rPr>
            </w:pPr>
            <w:r>
              <w:rPr>
                <w:rFonts w:hint="eastAsia"/>
                <w:color w:val="auto"/>
                <w:highlight w:val="none"/>
              </w:rPr>
              <w:t>4.3派工模式：</w:t>
            </w:r>
          </w:p>
          <w:p>
            <w:pPr>
              <w:spacing w:line="360" w:lineRule="auto"/>
              <w:rPr>
                <w:color w:val="auto"/>
                <w:highlight w:val="none"/>
              </w:rPr>
            </w:pPr>
            <w:r>
              <w:rPr>
                <w:rFonts w:hint="eastAsia"/>
                <w:color w:val="auto"/>
                <w:highlight w:val="none"/>
              </w:rPr>
              <w:t>手工派工，调度中心或临床工作人员可手工调度安排特殊紧急工单，1分；</w:t>
            </w:r>
          </w:p>
          <w:p>
            <w:pPr>
              <w:spacing w:line="360" w:lineRule="auto"/>
              <w:rPr>
                <w:color w:val="auto"/>
                <w:highlight w:val="none"/>
              </w:rPr>
            </w:pPr>
            <w:r>
              <w:rPr>
                <w:rFonts w:hint="eastAsia"/>
                <w:color w:val="auto"/>
                <w:highlight w:val="none"/>
              </w:rPr>
              <w:t>自动派工，系统可按照事先维护的自动派工逻辑实现自动派工；可维护抢单模式，实现区域内工作人员抢单模式接单，1分；</w:t>
            </w:r>
          </w:p>
          <w:p>
            <w:pPr>
              <w:spacing w:line="360" w:lineRule="auto"/>
              <w:rPr>
                <w:color w:val="auto"/>
                <w:highlight w:val="none"/>
              </w:rPr>
            </w:pPr>
            <w:r>
              <w:rPr>
                <w:rFonts w:hint="eastAsia"/>
                <w:color w:val="auto"/>
                <w:highlight w:val="none"/>
              </w:rPr>
              <w:t>4.4自动签到方式，可通过技术手段实现运送流程节点自动识别工作人员并对确认签到节点，1分；</w:t>
            </w:r>
          </w:p>
          <w:p>
            <w:pPr>
              <w:spacing w:line="360" w:lineRule="auto"/>
              <w:rPr>
                <w:color w:val="auto"/>
                <w:highlight w:val="none"/>
              </w:rPr>
            </w:pPr>
            <w:r>
              <w:rPr>
                <w:rFonts w:hint="eastAsia"/>
                <w:color w:val="auto"/>
                <w:highlight w:val="none"/>
              </w:rPr>
              <w:t xml:space="preserve">手工签到，在允许的区域内可通过工作人员手工确认签到节点，1分； </w:t>
            </w:r>
          </w:p>
          <w:p>
            <w:pPr>
              <w:spacing w:line="360" w:lineRule="auto"/>
              <w:rPr>
                <w:color w:val="auto"/>
                <w:highlight w:val="none"/>
              </w:rPr>
            </w:pPr>
            <w:r>
              <w:rPr>
                <w:rFonts w:hint="eastAsia"/>
                <w:color w:val="auto"/>
                <w:highlight w:val="none"/>
              </w:rPr>
              <w:t xml:space="preserve">4.5满意度评价：订单申请人可对订单进行满意度评分，对不符合要求的订单可申请管理员督导，1分； </w:t>
            </w:r>
          </w:p>
          <w:p>
            <w:pPr>
              <w:spacing w:line="360" w:lineRule="auto"/>
              <w:rPr>
                <w:color w:val="auto"/>
                <w:highlight w:val="none"/>
              </w:rPr>
            </w:pPr>
            <w:r>
              <w:rPr>
                <w:rFonts w:hint="eastAsia"/>
                <w:color w:val="auto"/>
                <w:highlight w:val="none"/>
              </w:rPr>
              <w:t xml:space="preserve">4.6流程管理：可实时查看订单流转情况及流程闭环各节点进行情况，1分；对异常订单进行干预督导，1分； </w:t>
            </w:r>
          </w:p>
          <w:p>
            <w:pPr>
              <w:spacing w:line="360" w:lineRule="auto"/>
              <w:rPr>
                <w:color w:val="auto"/>
                <w:highlight w:val="none"/>
              </w:rPr>
            </w:pPr>
            <w:r>
              <w:rPr>
                <w:rFonts w:hint="eastAsia"/>
                <w:color w:val="auto"/>
                <w:highlight w:val="none"/>
              </w:rPr>
              <w:t>4.7数据统计：可按时间区间查询业务数据，包括按订单类型、科室、人员统计订单数量，订单完成率，接单用时，平均流程用时，标准时间内完成率等，1分。</w:t>
            </w:r>
          </w:p>
        </w:tc>
        <w:tc>
          <w:tcPr>
            <w:tcW w:w="874" w:type="dxa"/>
            <w:vAlign w:val="center"/>
          </w:tcPr>
          <w:p>
            <w:pPr>
              <w:spacing w:line="360" w:lineRule="auto"/>
              <w:jc w:val="center"/>
              <w:rPr>
                <w:color w:val="auto"/>
                <w:highlight w:val="none"/>
              </w:rPr>
            </w:pPr>
            <w:r>
              <w:rPr>
                <w:color w:val="auto"/>
                <w:highlight w:val="none"/>
              </w:rPr>
              <w:t>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5</w:t>
            </w:r>
          </w:p>
        </w:tc>
        <w:tc>
          <w:tcPr>
            <w:tcW w:w="1341"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运送软件对接HIS的案例</w:t>
            </w: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供应商承诺运送软件系统能够与医院的HIS系统（品牌：创业慧康 ）进行对接并成功运行，进场后（签订合同后七日内进场）三个月内完成的得2分，否则不得分。</w:t>
            </w:r>
          </w:p>
        </w:tc>
        <w:tc>
          <w:tcPr>
            <w:tcW w:w="874" w:type="dxa"/>
            <w:vAlign w:val="center"/>
          </w:tcPr>
          <w:p>
            <w:pPr>
              <w:spacing w:line="360" w:lineRule="auto"/>
              <w:jc w:val="center"/>
              <w:rPr>
                <w:color w:val="auto"/>
                <w:highlight w:val="none"/>
              </w:rPr>
            </w:pPr>
            <w:r>
              <w:rPr>
                <w:color w:val="auto"/>
                <w:highlight w:val="none"/>
              </w:rPr>
              <w:t>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6</w:t>
            </w:r>
          </w:p>
        </w:tc>
        <w:tc>
          <w:tcPr>
            <w:tcW w:w="1341"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人员培训</w:t>
            </w: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根据项目情况，针对本项目岗位人员制定科学、合理的培训方案和实施计划。方案考虑充分、措施完善的得4分；方案考虑较充分、措施较完善的得3分；方案考虑能够满足需求、措施有效得2分；方案考虑存在不足、措施不明确的得1分；无方案不得分。</w:t>
            </w:r>
          </w:p>
        </w:tc>
        <w:tc>
          <w:tcPr>
            <w:tcW w:w="874" w:type="dxa"/>
            <w:vAlign w:val="center"/>
          </w:tcPr>
          <w:p>
            <w:pPr>
              <w:spacing w:line="360" w:lineRule="auto"/>
              <w:jc w:val="center"/>
              <w:rPr>
                <w:color w:val="auto"/>
                <w:highlight w:val="none"/>
              </w:rPr>
            </w:pPr>
            <w:r>
              <w:rPr>
                <w:rFonts w:hint="eastAsia"/>
                <w:color w:val="auto"/>
                <w:highlight w:val="none"/>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7</w:t>
            </w:r>
          </w:p>
        </w:tc>
        <w:tc>
          <w:tcPr>
            <w:tcW w:w="1341"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合理化建议</w:t>
            </w:r>
          </w:p>
        </w:tc>
        <w:tc>
          <w:tcPr>
            <w:tcW w:w="6286" w:type="dxa"/>
            <w:noWrap/>
            <w:tcMar>
              <w:top w:w="15" w:type="dxa"/>
              <w:left w:w="15" w:type="dxa"/>
              <w:right w:w="15" w:type="dxa"/>
            </w:tcMar>
            <w:vAlign w:val="center"/>
          </w:tcPr>
          <w:p>
            <w:pPr>
              <w:spacing w:line="360" w:lineRule="auto"/>
              <w:rPr>
                <w:rFonts w:hint="eastAsia"/>
                <w:color w:val="auto"/>
                <w:highlight w:val="none"/>
                <w:lang w:eastAsia="zh-CN"/>
              </w:rPr>
            </w:pPr>
            <w:r>
              <w:rPr>
                <w:rFonts w:hint="eastAsia"/>
                <w:color w:val="auto"/>
                <w:highlight w:val="none"/>
              </w:rPr>
              <w:t>针对项目推进和实施中可能会出现的问题和存在的困难，进行客观仔细地分析，并结合自身专业、经验等实际情况，在对项目理解的基础上提出合理化建议（解决对策）。每提供1条合理化建议（解决对策）得0.5分，最高得1分。</w:t>
            </w:r>
            <w:r>
              <w:rPr>
                <w:rFonts w:hint="eastAsia"/>
                <w:color w:val="auto"/>
                <w:highlight w:val="none"/>
                <w:lang w:eastAsia="zh-CN"/>
              </w:rPr>
              <w:t>未提供的，不得分。</w:t>
            </w:r>
          </w:p>
        </w:tc>
        <w:tc>
          <w:tcPr>
            <w:tcW w:w="874" w:type="dxa"/>
            <w:vAlign w:val="center"/>
          </w:tcPr>
          <w:p>
            <w:pPr>
              <w:spacing w:line="360" w:lineRule="auto"/>
              <w:jc w:val="center"/>
              <w:rPr>
                <w:color w:val="auto"/>
                <w:highlight w:val="none"/>
              </w:rPr>
            </w:pPr>
            <w:r>
              <w:rPr>
                <w:color w:val="auto"/>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8</w:t>
            </w:r>
          </w:p>
        </w:tc>
        <w:tc>
          <w:tcPr>
            <w:tcW w:w="1341"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设备及耗材</w:t>
            </w:r>
          </w:p>
        </w:tc>
        <w:tc>
          <w:tcPr>
            <w:tcW w:w="6286" w:type="dxa"/>
            <w:noWrap/>
            <w:tcMar>
              <w:top w:w="15" w:type="dxa"/>
              <w:left w:w="15" w:type="dxa"/>
              <w:right w:w="15" w:type="dxa"/>
            </w:tcMar>
            <w:vAlign w:val="center"/>
          </w:tcPr>
          <w:p>
            <w:pPr>
              <w:spacing w:line="360" w:lineRule="auto"/>
              <w:rPr>
                <w:color w:val="auto"/>
                <w:highlight w:val="none"/>
              </w:rPr>
            </w:pPr>
            <w:r>
              <w:rPr>
                <w:rFonts w:hint="eastAsia"/>
                <w:color w:val="auto"/>
                <w:highlight w:val="none"/>
              </w:rPr>
              <w:t>根据供应商拟投入本项目的机械、设备及耗材的品牌、数量：设备用品数量充足、质量保障充分、管理方案完善的得4分；设备用品数量较充足、质量保障较充分、管理方案较完善的得3分；设备用品数量较充足、质量一般、管理方案较齐全的得2分；设备用品数量符合要求的得1分；设备用品数量不足的不得分。</w:t>
            </w:r>
          </w:p>
        </w:tc>
        <w:tc>
          <w:tcPr>
            <w:tcW w:w="874" w:type="dxa"/>
            <w:vAlign w:val="center"/>
          </w:tcPr>
          <w:p>
            <w:pPr>
              <w:spacing w:line="360" w:lineRule="auto"/>
              <w:jc w:val="center"/>
              <w:rPr>
                <w:color w:val="auto"/>
                <w:highlight w:val="none"/>
              </w:rPr>
            </w:pPr>
            <w:r>
              <w:rPr>
                <w:color w:val="auto"/>
                <w:highlight w:val="none"/>
              </w:rPr>
              <w:t>4</w:t>
            </w:r>
          </w:p>
        </w:tc>
      </w:tr>
    </w:tbl>
    <w:p>
      <w:pPr>
        <w:pStyle w:val="66"/>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2）</w:t>
      </w:r>
      <w:r>
        <w:rPr>
          <w:rFonts w:eastAsia="宋体"/>
          <w:b/>
          <w:color w:val="auto"/>
          <w:sz w:val="21"/>
          <w:szCs w:val="21"/>
          <w:highlight w:val="none"/>
        </w:rPr>
        <w:t>价格分</w:t>
      </w:r>
      <w:bookmarkEnd w:id="26"/>
    </w:p>
    <w:p>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rPr>
        <w:t>1</w:t>
      </w:r>
      <w:r>
        <w:rPr>
          <w:color w:val="auto"/>
          <w:kern w:val="0"/>
          <w:szCs w:val="21"/>
          <w:highlight w:val="none"/>
        </w:rPr>
        <w:t>0分，最低得0分（小数点后保留二位小数，第三位四舍五入）。满足采购文件要求且投标价格最低的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rPr>
        <w:t>1</w:t>
      </w:r>
      <w:r>
        <w:rPr>
          <w:color w:val="auto"/>
          <w:kern w:val="0"/>
          <w:szCs w:val="21"/>
          <w:highlight w:val="none"/>
        </w:rPr>
        <w:t>0%×100</w:t>
      </w:r>
    </w:p>
    <w:p>
      <w:pPr>
        <w:widowControl/>
        <w:snapToGrid w:val="0"/>
        <w:spacing w:line="360" w:lineRule="auto"/>
        <w:ind w:firstLine="422" w:firstLineChars="200"/>
        <w:rPr>
          <w:b/>
          <w:color w:val="auto"/>
          <w:szCs w:val="21"/>
          <w:highlight w:val="none"/>
        </w:rPr>
      </w:pPr>
      <w:r>
        <w:rPr>
          <w:b/>
          <w:color w:val="auto"/>
          <w:szCs w:val="21"/>
          <w:highlight w:val="none"/>
        </w:rPr>
        <w:t>扶持政策说明：</w:t>
      </w:r>
    </w:p>
    <w:p>
      <w:pPr>
        <w:widowControl/>
        <w:snapToGrid w:val="0"/>
        <w:spacing w:line="360" w:lineRule="auto"/>
        <w:ind w:firstLine="420" w:firstLineChars="200"/>
        <w:rPr>
          <w:color w:val="auto"/>
          <w:szCs w:val="21"/>
          <w:highlight w:val="none"/>
        </w:rPr>
      </w:pPr>
      <w:r>
        <w:rPr>
          <w:color w:val="auto"/>
          <w:szCs w:val="21"/>
          <w:highlight w:val="none"/>
        </w:rPr>
        <w:t>（1）根据</w:t>
      </w:r>
      <w:r>
        <w:rPr>
          <w:rFonts w:hint="eastAsia"/>
          <w:color w:val="auto"/>
          <w:szCs w:val="21"/>
          <w:highlight w:val="none"/>
        </w:rPr>
        <w:t>《政府采购促进中小企业发展管理办法》（财库（2020）46号）</w:t>
      </w:r>
      <w:r>
        <w:rPr>
          <w:color w:val="auto"/>
          <w:szCs w:val="21"/>
          <w:highlight w:val="none"/>
        </w:rPr>
        <w:t>的规定，</w:t>
      </w:r>
      <w:r>
        <w:rPr>
          <w:rFonts w:hint="eastAsia"/>
          <w:color w:val="auto"/>
          <w:szCs w:val="21"/>
          <w:highlight w:val="none"/>
        </w:rPr>
        <w:t>对符合规定的小微企业（含小型企业）</w:t>
      </w:r>
      <w:r>
        <w:rPr>
          <w:color w:val="auto"/>
          <w:szCs w:val="21"/>
          <w:highlight w:val="none"/>
        </w:rPr>
        <w:t>，其投标报价扣除</w:t>
      </w:r>
      <w:r>
        <w:rPr>
          <w:rFonts w:hint="eastAsia"/>
          <w:color w:val="auto"/>
          <w:szCs w:val="21"/>
          <w:highlight w:val="none"/>
        </w:rPr>
        <w:t>20%</w:t>
      </w:r>
      <w:r>
        <w:rPr>
          <w:color w:val="auto"/>
          <w:szCs w:val="21"/>
          <w:highlight w:val="none"/>
        </w:rPr>
        <w:t>后参与评审。</w:t>
      </w:r>
    </w:p>
    <w:p>
      <w:pPr>
        <w:widowControl/>
        <w:snapToGrid w:val="0"/>
        <w:spacing w:line="360" w:lineRule="auto"/>
        <w:ind w:firstLine="420" w:firstLineChars="200"/>
        <w:rPr>
          <w:color w:val="auto"/>
          <w:szCs w:val="21"/>
          <w:highlight w:val="none"/>
        </w:rPr>
      </w:pPr>
      <w:r>
        <w:rPr>
          <w:color w:val="auto"/>
          <w:szCs w:val="21"/>
          <w:highlight w:val="none"/>
        </w:rPr>
        <w:t>（2）根据《关于政府采购支持监狱企业发展有关问题的通知》（财库[2014]68号）的规定，监狱企业</w:t>
      </w:r>
      <w:r>
        <w:rPr>
          <w:rFonts w:hint="eastAsia"/>
          <w:color w:val="auto"/>
          <w:szCs w:val="21"/>
          <w:highlight w:val="none"/>
        </w:rPr>
        <w:t>视同小型、微型企业，</w:t>
      </w:r>
      <w:r>
        <w:rPr>
          <w:color w:val="auto"/>
          <w:szCs w:val="21"/>
          <w:highlight w:val="none"/>
          <w:shd w:val="clear" w:color="auto" w:fill="FFFFFF"/>
        </w:rPr>
        <w:t>享受预留份额、评审中价格扣除等促进中小企业发展的政府采购政策。</w:t>
      </w:r>
    </w:p>
    <w:p>
      <w:pPr>
        <w:widowControl/>
        <w:snapToGrid w:val="0"/>
        <w:spacing w:line="360" w:lineRule="auto"/>
        <w:ind w:firstLine="420" w:firstLineChars="200"/>
        <w:rPr>
          <w:color w:val="auto"/>
          <w:szCs w:val="21"/>
          <w:highlight w:val="none"/>
          <w:shd w:val="clear" w:color="auto" w:fill="FFFFFF"/>
        </w:rPr>
      </w:pPr>
      <w:r>
        <w:rPr>
          <w:color w:val="auto"/>
          <w:szCs w:val="21"/>
          <w:highlight w:val="none"/>
        </w:rPr>
        <w:t>（3）根据《财政部、民政部、中国残疾人联合会关于促进残疾人就业政府采购政策的通知》（财库〔2017〕141号）的规定，</w:t>
      </w:r>
      <w:r>
        <w:rPr>
          <w:color w:val="auto"/>
          <w:szCs w:val="21"/>
          <w:highlight w:val="none"/>
          <w:shd w:val="clear" w:color="auto" w:fill="FFFFFF"/>
        </w:rPr>
        <w:t>残疾人福利性单位视同小型、微型企业，享受预留份额、评审中价格扣除等促进中小企业发展的政府采购政策。</w:t>
      </w:r>
    </w:p>
    <w:p>
      <w:pPr>
        <w:widowControl/>
        <w:snapToGrid w:val="0"/>
        <w:spacing w:line="360" w:lineRule="auto"/>
        <w:ind w:firstLine="420" w:firstLineChars="200"/>
        <w:rPr>
          <w:color w:val="auto"/>
          <w:szCs w:val="21"/>
          <w:highlight w:val="none"/>
        </w:rPr>
      </w:pPr>
      <w:r>
        <w:rPr>
          <w:color w:val="auto"/>
          <w:szCs w:val="21"/>
          <w:highlight w:val="none"/>
        </w:rPr>
        <w:t>上述（1），（2），（3）政策不重复计算。</w:t>
      </w:r>
    </w:p>
    <w:p>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pPr>
        <w:pStyle w:val="66"/>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pPr>
        <w:pStyle w:val="66"/>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pPr>
        <w:adjustRightInd w:val="0"/>
        <w:snapToGrid w:val="0"/>
        <w:spacing w:line="360" w:lineRule="auto"/>
        <w:ind w:firstLine="420" w:firstLineChars="200"/>
        <w:rPr>
          <w:b/>
          <w:bCs/>
          <w:color w:val="auto"/>
          <w:szCs w:val="21"/>
          <w:highlight w:val="none"/>
        </w:rPr>
      </w:pPr>
      <w:r>
        <w:rPr>
          <w:rStyle w:val="303"/>
          <w:rFonts w:hint="default" w:ascii="Times New Roman" w:hAnsi="Times New Roman"/>
          <w:color w:val="auto"/>
          <w:sz w:val="21"/>
          <w:szCs w:val="21"/>
          <w:highlight w:val="none"/>
        </w:rPr>
        <w:t>评标结果汇总完成后，除下列情形外，任何人不得修改评标结果：</w:t>
      </w:r>
    </w:p>
    <w:p>
      <w:pPr>
        <w:adjustRightInd w:val="0"/>
        <w:snapToGrid w:val="0"/>
        <w:spacing w:line="360" w:lineRule="auto"/>
        <w:ind w:firstLine="420" w:firstLineChars="200"/>
        <w:rPr>
          <w:rStyle w:val="303"/>
          <w:rFonts w:hint="default" w:ascii="Times New Roman" w:hAnsi="Times New Roman"/>
          <w:color w:val="auto"/>
          <w:sz w:val="21"/>
          <w:szCs w:val="21"/>
          <w:highlight w:val="none"/>
        </w:rPr>
      </w:pPr>
      <w:r>
        <w:rPr>
          <w:rStyle w:val="303"/>
          <w:rFonts w:hint="default" w:ascii="Times New Roman" w:hAnsi="Times New Roman"/>
          <w:color w:val="auto"/>
          <w:sz w:val="21"/>
          <w:szCs w:val="21"/>
          <w:highlight w:val="none"/>
        </w:rPr>
        <w:t>（一）分值汇总计算错误的</w:t>
      </w:r>
    </w:p>
    <w:p>
      <w:pPr>
        <w:adjustRightInd w:val="0"/>
        <w:snapToGrid w:val="0"/>
        <w:spacing w:line="360" w:lineRule="auto"/>
        <w:ind w:firstLine="420" w:firstLineChars="200"/>
        <w:rPr>
          <w:rStyle w:val="303"/>
          <w:rFonts w:hint="default" w:ascii="Times New Roman" w:hAnsi="Times New Roman"/>
          <w:color w:val="auto"/>
          <w:sz w:val="21"/>
          <w:szCs w:val="21"/>
          <w:highlight w:val="none"/>
        </w:rPr>
      </w:pPr>
      <w:r>
        <w:rPr>
          <w:rStyle w:val="303"/>
          <w:rFonts w:hint="default" w:ascii="Times New Roman" w:hAnsi="Times New Roman"/>
          <w:color w:val="auto"/>
          <w:sz w:val="21"/>
          <w:szCs w:val="21"/>
          <w:highlight w:val="none"/>
        </w:rPr>
        <w:t>（二）分项评分超出评分标准范围的；</w:t>
      </w:r>
    </w:p>
    <w:p>
      <w:pPr>
        <w:adjustRightInd w:val="0"/>
        <w:snapToGrid w:val="0"/>
        <w:spacing w:line="360" w:lineRule="auto"/>
        <w:ind w:firstLine="420" w:firstLineChars="200"/>
        <w:rPr>
          <w:rStyle w:val="303"/>
          <w:rFonts w:hint="default" w:ascii="Times New Roman" w:hAnsi="Times New Roman"/>
          <w:color w:val="auto"/>
          <w:sz w:val="21"/>
          <w:szCs w:val="21"/>
          <w:highlight w:val="none"/>
        </w:rPr>
      </w:pPr>
      <w:r>
        <w:rPr>
          <w:rStyle w:val="303"/>
          <w:rFonts w:hint="default" w:ascii="Times New Roman" w:hAnsi="Times New Roman"/>
          <w:color w:val="auto"/>
          <w:sz w:val="21"/>
          <w:szCs w:val="21"/>
          <w:highlight w:val="none"/>
        </w:rPr>
        <w:t>（三）评标委员会成员对客观评审因素评分不一致的；</w:t>
      </w:r>
    </w:p>
    <w:p>
      <w:pPr>
        <w:adjustRightInd w:val="0"/>
        <w:snapToGrid w:val="0"/>
        <w:spacing w:line="360" w:lineRule="auto"/>
        <w:ind w:firstLine="420" w:firstLineChars="200"/>
        <w:rPr>
          <w:rStyle w:val="303"/>
          <w:rFonts w:hint="default" w:ascii="Times New Roman" w:hAnsi="Times New Roman"/>
          <w:color w:val="auto"/>
          <w:sz w:val="21"/>
          <w:szCs w:val="21"/>
          <w:highlight w:val="none"/>
        </w:rPr>
      </w:pPr>
      <w:r>
        <w:rPr>
          <w:rStyle w:val="303"/>
          <w:rFonts w:hint="default" w:ascii="Times New Roman" w:hAnsi="Times New Roman"/>
          <w:color w:val="auto"/>
          <w:sz w:val="21"/>
          <w:szCs w:val="21"/>
          <w:highlight w:val="none"/>
        </w:rPr>
        <w:t>（四）经评标委员会认定评分畸高、畸低的。</w:t>
      </w:r>
    </w:p>
    <w:p>
      <w:pPr>
        <w:keepNext/>
        <w:snapToGrid w:val="0"/>
        <w:spacing w:line="360" w:lineRule="auto"/>
        <w:jc w:val="center"/>
        <w:outlineLvl w:val="0"/>
        <w:rPr>
          <w:b/>
          <w:color w:val="auto"/>
          <w:sz w:val="32"/>
          <w:highlight w:val="none"/>
        </w:rPr>
      </w:pPr>
      <w:r>
        <w:rPr>
          <w:color w:val="auto"/>
          <w:highlight w:val="none"/>
        </w:rPr>
        <w:br w:type="page"/>
      </w:r>
      <w:bookmarkStart w:id="27" w:name="_Toc211745569"/>
      <w:bookmarkStart w:id="28" w:name="_Toc82873328"/>
      <w:bookmarkStart w:id="29" w:name="_Toc82338245"/>
      <w:bookmarkStart w:id="30" w:name="_Toc495317672"/>
      <w:r>
        <w:rPr>
          <w:b/>
          <w:color w:val="auto"/>
          <w:sz w:val="32"/>
          <w:highlight w:val="none"/>
        </w:rPr>
        <w:t>第五章  采购合同</w:t>
      </w:r>
    </w:p>
    <w:p>
      <w:pPr>
        <w:spacing w:line="360" w:lineRule="auto"/>
        <w:rPr>
          <w:color w:val="auto"/>
          <w:sz w:val="21"/>
          <w:szCs w:val="21"/>
          <w:highlight w:val="none"/>
        </w:rPr>
      </w:pPr>
    </w:p>
    <w:p>
      <w:pPr>
        <w:spacing w:line="360" w:lineRule="auto"/>
        <w:ind w:right="-185" w:rightChars="-88" w:firstLine="422" w:firstLineChars="200"/>
        <w:rPr>
          <w:rFonts w:ascii="宋体" w:hAnsi="宋体"/>
          <w:b/>
          <w:color w:val="auto"/>
          <w:sz w:val="21"/>
          <w:szCs w:val="21"/>
          <w:highlight w:val="none"/>
        </w:rPr>
      </w:pPr>
      <w:r>
        <w:rPr>
          <w:rFonts w:ascii="宋体" w:hAnsi="宋体"/>
          <w:b/>
          <w:color w:val="auto"/>
          <w:sz w:val="21"/>
          <w:szCs w:val="21"/>
          <w:highlight w:val="none"/>
        </w:rPr>
        <w:t>（本条款为双方必须遵守的基本条款，双方可根据实际情况签订合同</w:t>
      </w:r>
      <w:r>
        <w:rPr>
          <w:rFonts w:hint="eastAsia" w:ascii="宋体" w:hAnsi="宋体"/>
          <w:b/>
          <w:color w:val="auto"/>
          <w:sz w:val="21"/>
          <w:szCs w:val="21"/>
          <w:highlight w:val="none"/>
        </w:rPr>
        <w:t>文本</w:t>
      </w:r>
      <w:r>
        <w:rPr>
          <w:rFonts w:ascii="宋体" w:hAnsi="宋体"/>
          <w:b/>
          <w:color w:val="auto"/>
          <w:sz w:val="21"/>
          <w:szCs w:val="21"/>
          <w:highlight w:val="none"/>
        </w:rPr>
        <w:t>；正式合同以双方签字盖章的文本为准。）</w:t>
      </w:r>
    </w:p>
    <w:p>
      <w:pPr>
        <w:spacing w:line="360" w:lineRule="auto"/>
        <w:rPr>
          <w:rFonts w:ascii="宋体" w:hAnsi="宋体"/>
          <w:color w:val="auto"/>
          <w:sz w:val="21"/>
          <w:szCs w:val="21"/>
          <w:highlight w:val="none"/>
          <w:u w:val="single"/>
        </w:rPr>
      </w:pPr>
      <w:r>
        <w:rPr>
          <w:rFonts w:hint="eastAsia" w:ascii="宋体" w:hAnsi="宋体"/>
          <w:color w:val="auto"/>
          <w:sz w:val="21"/>
          <w:szCs w:val="21"/>
          <w:highlight w:val="none"/>
        </w:rPr>
        <w:t>甲方：</w:t>
      </w:r>
      <w:r>
        <w:rPr>
          <w:rFonts w:hint="eastAsia" w:ascii="宋体" w:hAnsi="宋体"/>
          <w:color w:val="auto"/>
          <w:sz w:val="21"/>
          <w:szCs w:val="21"/>
          <w:highlight w:val="none"/>
          <w:u w:val="single"/>
        </w:rPr>
        <w:t>浙江中医药大学附属第二医院</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乙方：</w:t>
      </w:r>
      <w:r>
        <w:rPr>
          <w:rFonts w:hint="eastAsia" w:ascii="宋体" w:hAnsi="宋体"/>
          <w:color w:val="auto"/>
          <w:sz w:val="21"/>
          <w:szCs w:val="21"/>
          <w:highlight w:val="none"/>
          <w:u w:val="single"/>
        </w:rPr>
        <w:t xml:space="preserve">                   </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根据</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r>
        <w:rPr>
          <w:rFonts w:hint="eastAsia" w:ascii="宋体" w:hAnsi="宋体"/>
          <w:color w:val="auto"/>
          <w:sz w:val="21"/>
          <w:szCs w:val="21"/>
          <w:highlight w:val="none"/>
          <w:u w:val="single"/>
        </w:rPr>
        <w:t>浙江中医药大学附属第二医院保洁运送及设备运维服务项目</w:t>
      </w:r>
      <w:r>
        <w:rPr>
          <w:rFonts w:hint="eastAsia" w:ascii="宋体" w:hAnsi="宋体"/>
          <w:color w:val="auto"/>
          <w:sz w:val="21"/>
          <w:szCs w:val="21"/>
          <w:highlight w:val="none"/>
        </w:rPr>
        <w:t>（招标编号：</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）招标结果和招标文件要求，并依照《中华人民共和国民法典》及其他等有关法律、行政法规的规定，同时在平等、公平、诚实和信用的原则下，经双方协商一致，订立本合同。</w:t>
      </w:r>
    </w:p>
    <w:p>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一、合同概要</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 </w:t>
      </w:r>
      <w:r>
        <w:rPr>
          <w:rStyle w:val="344"/>
          <w:color w:val="auto"/>
          <w:sz w:val="21"/>
          <w:szCs w:val="21"/>
          <w:highlight w:val="none"/>
          <w:lang w:val="en-US" w:eastAsia="zh-CN" w:bidi="ar"/>
        </w:rPr>
        <w:t>乙方负责提供甲方约定区域内的保洁、运送，室外绿植的养护、浇水，设备运维等物业管理服务，服务岗位核定202.5个，其中保洁运送185.5个，设备运维17个，并由乙方提供必需的人员、材料、物品、设备以及有效地履行相应的管理服务职责。</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2、合同总价为人民币       元（大写：        ），包括招标项目中的所有服务内容、连带内容、关联内容及合同中明示或暗示的所有一般风险、责任和义务等一切应由乙方支付的费用。</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3、本服务实施过程中甲方保留调整服务范围和内容的权利，如根据甲方需求增加或减少服务范围、内容和服务岗位等，则服务费相应调整，具体由双方根据实际情况协商确定。</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4、本项目服务期两年，合同一年一签，首次合同于，   年   月   日起，至   年    月    止，合同期满，经甲方管理部门</w:t>
      </w:r>
      <w:r>
        <w:rPr>
          <w:color w:val="auto"/>
          <w:sz w:val="21"/>
          <w:szCs w:val="21"/>
          <w:highlight w:val="none"/>
        </w:rPr>
        <w:t>考核合格，</w:t>
      </w:r>
      <w:r>
        <w:rPr>
          <w:rFonts w:hint="eastAsia" w:ascii="宋体" w:hAnsi="宋体" w:cs="宋体"/>
          <w:color w:val="auto"/>
          <w:kern w:val="0"/>
          <w:sz w:val="21"/>
          <w:szCs w:val="21"/>
          <w:highlight w:val="none"/>
        </w:rPr>
        <w:t>可签署第二年合同，政府政策性文件规定引起的工资的上涨及其他税费的增长等情况，甲方不予承担。</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5、在合同有效期内一方不得擅自变更或中止本合同，如未经双方同意，擅自变更或中止本合同的一方要负违约责任。</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6、下列文件为本合同不可分割部分：</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① 中标通知书；</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② 乙方的投标文件；（如有负偏离于招标文件要求的内容，则须按招标文件要求执行）</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③ 乙方在招投标过程中所作的其它承诺、声明、书面澄清等；</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④ 招标文件及其附件；</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⑤ 本合同附件。</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双方在合同履行过程中签署的协议等，其解释顺序</w:t>
      </w:r>
      <w:r>
        <w:rPr>
          <w:rFonts w:hint="eastAsia" w:ascii="宋体" w:hAnsi="宋体" w:cs="宋体"/>
          <w:color w:val="auto"/>
          <w:kern w:val="0"/>
          <w:sz w:val="21"/>
          <w:szCs w:val="21"/>
          <w:highlight w:val="none"/>
          <w:lang w:val="en-US" w:eastAsia="zh-CN"/>
        </w:rPr>
        <w:t>服务质量以高者优先，违约责任以较高者优先，其他</w:t>
      </w:r>
      <w:r>
        <w:rPr>
          <w:rFonts w:hint="eastAsia" w:ascii="宋体" w:hAnsi="宋体" w:cs="宋体"/>
          <w:color w:val="auto"/>
          <w:kern w:val="0"/>
          <w:sz w:val="21"/>
          <w:szCs w:val="21"/>
          <w:highlight w:val="none"/>
        </w:rPr>
        <w:t>以签署时间最近的优先。</w:t>
      </w:r>
    </w:p>
    <w:p>
      <w:pPr>
        <w:snapToGrid w:val="0"/>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以上文件与本合同具有同等法律效力。</w:t>
      </w:r>
    </w:p>
    <w:p>
      <w:pPr>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二、乙方服务范围和主要内容</w:t>
      </w:r>
    </w:p>
    <w:p>
      <w:pPr>
        <w:tabs>
          <w:tab w:val="left" w:pos="720"/>
        </w:tabs>
        <w:spacing w:line="360" w:lineRule="auto"/>
        <w:ind w:firstLine="420" w:firstLineChars="200"/>
        <w:rPr>
          <w:rFonts w:ascii="宋体" w:hAnsi="宋体" w:cs="Courier New"/>
          <w:color w:val="auto"/>
          <w:sz w:val="21"/>
          <w:szCs w:val="21"/>
          <w:highlight w:val="none"/>
        </w:rPr>
      </w:pPr>
      <w:r>
        <w:rPr>
          <w:rFonts w:hint="eastAsia" w:ascii="宋体" w:hAnsi="宋体"/>
          <w:color w:val="auto"/>
          <w:sz w:val="21"/>
          <w:szCs w:val="21"/>
          <w:highlight w:val="none"/>
        </w:rPr>
        <w:t xml:space="preserve">1、本项目负责人姓名：（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），身份证号：（</w:t>
      </w:r>
      <w:r>
        <w:rPr>
          <w:rFonts w:ascii="宋体" w:hAnsi="宋体"/>
          <w:color w:val="auto"/>
          <w:sz w:val="21"/>
          <w:szCs w:val="21"/>
          <w:highlight w:val="none"/>
        </w:rPr>
        <w:t xml:space="preserve">                 </w:t>
      </w:r>
      <w:r>
        <w:rPr>
          <w:rFonts w:hint="eastAsia" w:ascii="宋体" w:hAnsi="宋体"/>
          <w:color w:val="auto"/>
          <w:sz w:val="21"/>
          <w:szCs w:val="21"/>
          <w:highlight w:val="none"/>
        </w:rPr>
        <w:t>），项目负责人负责中标后项目的具体组织实施，承担与本项目有关的全部管理责任，</w:t>
      </w:r>
      <w:r>
        <w:rPr>
          <w:rFonts w:hint="eastAsia" w:ascii="宋体" w:hAnsi="宋体" w:cs="Courier New"/>
          <w:color w:val="auto"/>
          <w:sz w:val="21"/>
          <w:szCs w:val="21"/>
          <w:highlight w:val="none"/>
        </w:rPr>
        <w:t>在合同约定的服务期内未经甲方同意不得随意更换，如因项目负责人健康状况原因、法律纠纷等客观原因致其已实际无法承担合同约定的工作时，须经甲方同意，且更换的项目经理的资历和经验不得低于原投标承诺的项目经理的各项资质等，否则甲方有权单方解除合同，由此造成的一切损失由乙方承担并赔偿。</w:t>
      </w:r>
    </w:p>
    <w:p>
      <w:pPr>
        <w:tabs>
          <w:tab w:val="left" w:pos="720"/>
        </w:tabs>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2、乙方承担甲方</w:t>
      </w:r>
      <w:r>
        <w:rPr>
          <w:rFonts w:hint="eastAsia" w:ascii="宋体" w:hAnsi="宋体"/>
          <w:color w:val="auto"/>
          <w:sz w:val="21"/>
          <w:szCs w:val="21"/>
          <w:highlight w:val="none"/>
          <w:lang w:val="en-US" w:eastAsia="zh-CN"/>
        </w:rPr>
        <w:t>合同期</w:t>
      </w:r>
      <w:r>
        <w:rPr>
          <w:rFonts w:hint="eastAsia" w:ascii="宋体" w:hAnsi="宋体"/>
          <w:color w:val="auto"/>
          <w:sz w:val="21"/>
          <w:szCs w:val="21"/>
          <w:highlight w:val="none"/>
        </w:rPr>
        <w:t>内的保洁、运送</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设备运维等服务，具体服务范围、服务要求与服务内容按照甲方招标文件要求执行。</w:t>
      </w:r>
    </w:p>
    <w:p>
      <w:pPr>
        <w:tabs>
          <w:tab w:val="left" w:pos="720"/>
        </w:tabs>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3、甲乙双方在合同约谈时及服务期内经谈判达成共识的服务具体要求及细节，双方应按约定内容予以实施。</w:t>
      </w:r>
    </w:p>
    <w:p>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三、合同价款的支付：</w:t>
      </w:r>
    </w:p>
    <w:p>
      <w:pPr>
        <w:spacing w:line="360" w:lineRule="auto"/>
        <w:ind w:firstLine="422" w:firstLineChars="200"/>
        <w:rPr>
          <w:rFonts w:ascii="宋体" w:hAnsi="宋体"/>
          <w:b/>
          <w:color w:val="auto"/>
          <w:kern w:val="0"/>
          <w:sz w:val="21"/>
          <w:szCs w:val="21"/>
          <w:highlight w:val="none"/>
          <w:u w:val="single"/>
        </w:rPr>
      </w:pPr>
      <w:r>
        <w:rPr>
          <w:rFonts w:hint="eastAsia" w:ascii="宋体" w:hAnsi="宋体"/>
          <w:b/>
          <w:color w:val="auto"/>
          <w:kern w:val="0"/>
          <w:sz w:val="21"/>
          <w:szCs w:val="21"/>
          <w:highlight w:val="none"/>
          <w:u w:val="single"/>
        </w:rPr>
        <w:t>1、</w:t>
      </w:r>
      <w:r>
        <w:rPr>
          <w:rFonts w:hint="eastAsia" w:ascii="宋体" w:hAnsi="宋体"/>
          <w:bCs/>
          <w:color w:val="auto"/>
          <w:sz w:val="21"/>
          <w:szCs w:val="21"/>
          <w:highlight w:val="none"/>
          <w:u w:val="single"/>
        </w:rPr>
        <w:t>履</w:t>
      </w:r>
      <w:r>
        <w:rPr>
          <w:rFonts w:hint="eastAsia" w:ascii="宋体" w:hAnsi="宋体"/>
          <w:bCs/>
          <w:color w:val="auto"/>
          <w:sz w:val="21"/>
          <w:szCs w:val="21"/>
          <w:highlight w:val="none"/>
        </w:rPr>
        <w:t>约保证金：合同签订后5个工作日内中标人向招标人缴纳合同金额的1%为履约保证金。缴纳形式为支票、汇票、本票或者银行、保险公司出具的保函等非现金形式。招标人在服务期满后30天内一次性无息退还。</w:t>
      </w:r>
    </w:p>
    <w:p>
      <w:pPr>
        <w:spacing w:line="360" w:lineRule="auto"/>
        <w:ind w:firstLine="422" w:firstLineChars="200"/>
        <w:rPr>
          <w:rFonts w:ascii="宋体" w:hAnsi="宋体"/>
          <w:b/>
          <w:color w:val="auto"/>
          <w:kern w:val="0"/>
          <w:sz w:val="21"/>
          <w:szCs w:val="21"/>
          <w:highlight w:val="none"/>
          <w:u w:val="single"/>
        </w:rPr>
      </w:pPr>
      <w:r>
        <w:rPr>
          <w:rFonts w:hint="eastAsia" w:ascii="宋体" w:hAnsi="宋体"/>
          <w:b/>
          <w:color w:val="auto"/>
          <w:kern w:val="0"/>
          <w:sz w:val="21"/>
          <w:szCs w:val="21"/>
          <w:highlight w:val="none"/>
          <w:u w:val="single"/>
        </w:rPr>
        <w:t>2、服务费按月结算支付；每月应付服务费为人民币</w:t>
      </w:r>
      <w:r>
        <w:rPr>
          <w:rFonts w:ascii="宋体" w:hAnsi="宋体"/>
          <w:b/>
          <w:color w:val="auto"/>
          <w:kern w:val="0"/>
          <w:sz w:val="21"/>
          <w:szCs w:val="21"/>
          <w:highlight w:val="none"/>
          <w:u w:val="single"/>
        </w:rPr>
        <w:t xml:space="preserve">    </w:t>
      </w:r>
      <w:r>
        <w:rPr>
          <w:rFonts w:hint="eastAsia" w:ascii="宋体" w:hAnsi="宋体"/>
          <w:b/>
          <w:color w:val="auto"/>
          <w:kern w:val="0"/>
          <w:sz w:val="21"/>
          <w:szCs w:val="21"/>
          <w:highlight w:val="none"/>
          <w:u w:val="single"/>
        </w:rPr>
        <w:t xml:space="preserve">元（大写： </w:t>
      </w:r>
      <w:r>
        <w:rPr>
          <w:rFonts w:ascii="宋体" w:hAnsi="宋体"/>
          <w:b/>
          <w:color w:val="auto"/>
          <w:kern w:val="0"/>
          <w:sz w:val="21"/>
          <w:szCs w:val="21"/>
          <w:highlight w:val="none"/>
          <w:u w:val="single"/>
        </w:rPr>
        <w:t xml:space="preserve">     </w:t>
      </w:r>
      <w:r>
        <w:rPr>
          <w:rFonts w:hint="eastAsia" w:ascii="宋体" w:hAnsi="宋体"/>
          <w:b/>
          <w:color w:val="auto"/>
          <w:kern w:val="0"/>
          <w:sz w:val="21"/>
          <w:szCs w:val="21"/>
          <w:highlight w:val="none"/>
          <w:u w:val="single"/>
        </w:rPr>
        <w:t>）。每月根据乙方服务及甲方考核情况，经双方核对确认后，乙方提供相应金额合法正规税务发票，</w:t>
      </w:r>
      <w:r>
        <w:rPr>
          <w:rFonts w:hint="eastAsia" w:ascii="宋体" w:hAnsi="宋体"/>
          <w:bCs/>
          <w:color w:val="auto"/>
          <w:sz w:val="21"/>
          <w:szCs w:val="21"/>
          <w:highlight w:val="none"/>
        </w:rPr>
        <w:t>甲方收到发票后</w:t>
      </w:r>
      <w:r>
        <w:rPr>
          <w:rFonts w:ascii="宋体" w:hAnsi="宋体"/>
          <w:bCs/>
          <w:color w:val="auto"/>
          <w:sz w:val="21"/>
          <w:szCs w:val="21"/>
          <w:highlight w:val="none"/>
        </w:rPr>
        <w:t>7个工作日内</w:t>
      </w:r>
      <w:r>
        <w:rPr>
          <w:rFonts w:hint="eastAsia" w:ascii="宋体" w:hAnsi="宋体"/>
          <w:b/>
          <w:color w:val="auto"/>
          <w:kern w:val="0"/>
          <w:sz w:val="21"/>
          <w:szCs w:val="21"/>
          <w:highlight w:val="none"/>
          <w:u w:val="single"/>
        </w:rPr>
        <w:t>支付月度服务费。该服务除本合同约定外，月度服务费不做其他任何调整，且甲方无须就乙方本合同项下的服务工作支付其他任何费用。如果提供管理服务开始日期不是在月付款期的第一天，或不是在月付款期的最后一天终止本合同，第一次或最后一次支付的合同金额的数额应按实际提供的管理服务的天数，按比例支付。</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3、服务费用按以下形式支付：</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银行划帐方式付至如下乙方指定帐户：</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户　　名：</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开户银行：</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w:t>
      </w:r>
    </w:p>
    <w:p>
      <w:pPr>
        <w:spacing w:line="360" w:lineRule="auto"/>
        <w:ind w:firstLine="420" w:firstLineChars="200"/>
        <w:rPr>
          <w:rFonts w:ascii="宋体" w:hAnsi="宋体"/>
          <w:color w:val="auto"/>
          <w:sz w:val="21"/>
          <w:szCs w:val="21"/>
          <w:highlight w:val="none"/>
          <w:u w:val="single"/>
        </w:rPr>
      </w:pPr>
      <w:r>
        <w:rPr>
          <w:rFonts w:hint="eastAsia" w:ascii="宋体" w:hAnsi="宋体"/>
          <w:color w:val="auto"/>
          <w:sz w:val="21"/>
          <w:szCs w:val="21"/>
          <w:highlight w:val="none"/>
        </w:rPr>
        <w:t>账　　号：</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pPr>
        <w:spacing w:line="360" w:lineRule="auto"/>
        <w:ind w:firstLine="420" w:firstLineChars="200"/>
        <w:rPr>
          <w:rFonts w:ascii="宋体" w:hAnsi="宋体" w:cs="宋体"/>
          <w:color w:val="auto"/>
          <w:sz w:val="21"/>
          <w:szCs w:val="21"/>
          <w:highlight w:val="none"/>
        </w:rPr>
      </w:pPr>
      <w:r>
        <w:rPr>
          <w:rFonts w:hint="eastAsia" w:ascii="宋体" w:hAnsi="宋体"/>
          <w:color w:val="auto"/>
          <w:sz w:val="21"/>
          <w:szCs w:val="21"/>
          <w:highlight w:val="none"/>
        </w:rPr>
        <w:t>4、</w:t>
      </w:r>
      <w:r>
        <w:rPr>
          <w:rFonts w:hint="eastAsia" w:ascii="宋体" w:hAnsi="宋体" w:cs="宋体"/>
          <w:color w:val="auto"/>
          <w:sz w:val="21"/>
          <w:szCs w:val="21"/>
          <w:highlight w:val="none"/>
        </w:rPr>
        <w:t>甲方对乙方的服务工作进行月度考核，</w:t>
      </w:r>
      <w:r>
        <w:rPr>
          <w:rFonts w:hint="eastAsia" w:ascii="宋体" w:hAnsi="宋体" w:cs="宋体"/>
          <w:color w:val="auto"/>
          <w:sz w:val="21"/>
          <w:szCs w:val="21"/>
          <w:highlight w:val="none"/>
        </w:rPr>
        <w:t>考核分</w:t>
      </w:r>
      <w:r>
        <w:rPr>
          <w:rFonts w:hint="eastAsia" w:ascii="宋体" w:hAnsi="宋体" w:cs="宋体"/>
          <w:color w:val="auto"/>
          <w:sz w:val="21"/>
          <w:szCs w:val="21"/>
          <w:highlight w:val="none"/>
        </w:rPr>
        <w:t>为服务人员到岗率考核与服务</w:t>
      </w:r>
      <w:r>
        <w:rPr>
          <w:rFonts w:hint="eastAsia" w:ascii="宋体" w:hAnsi="宋体" w:cs="宋体"/>
          <w:color w:val="auto"/>
          <w:sz w:val="21"/>
          <w:szCs w:val="21"/>
          <w:highlight w:val="none"/>
        </w:rPr>
        <w:t>质量考核两部分，每月考核结果与乙方服务费的支付情况挂钩，乙方应根据考核结果对当月服务费作出相应调整，考核方案详见附件。</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服务费用金额的调整：服务费用金额是根据附件中所列的区域、区域用途、所管理的部门、设备和具体工作任务而确定的。如果乙方或者服务人员提供服务的区域、区域用途、所管理的部门、设备或工作任务的总量以任何方式出现增加、减少或变更的情况，则金额也要作相应的增加或者减少，具体由双方协商后确定。这种调整应在增加、减少或变更发生后的第一次付款中立即得以体现。</w:t>
      </w:r>
    </w:p>
    <w:p>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四、赔偿与保险</w:t>
      </w:r>
    </w:p>
    <w:p>
      <w:pPr>
        <w:spacing w:line="360" w:lineRule="auto"/>
        <w:ind w:firstLine="420" w:firstLineChars="200"/>
        <w:rPr>
          <w:rFonts w:ascii="宋体" w:hAnsi="宋体"/>
          <w:b/>
          <w:color w:val="auto"/>
          <w:sz w:val="21"/>
          <w:szCs w:val="21"/>
          <w:highlight w:val="none"/>
        </w:rPr>
      </w:pPr>
      <w:r>
        <w:rPr>
          <w:rFonts w:hint="eastAsia" w:ascii="宋体" w:hAnsi="宋体"/>
          <w:color w:val="auto"/>
          <w:sz w:val="21"/>
          <w:szCs w:val="21"/>
          <w:highlight w:val="none"/>
        </w:rPr>
        <w:t>1、对于乙方或其员工在提供本合同服务过程中的过失行为或疏忽给甲方和其管理人员，职工，患者等第三方人员所造成的任何损失</w:t>
      </w:r>
      <w:r>
        <w:rPr>
          <w:rFonts w:ascii="宋体" w:hAnsi="宋体"/>
          <w:color w:val="auto"/>
          <w:sz w:val="21"/>
          <w:szCs w:val="21"/>
          <w:highlight w:val="none"/>
        </w:rPr>
        <w:t>(</w:t>
      </w:r>
      <w:r>
        <w:rPr>
          <w:rFonts w:hint="eastAsia" w:ascii="宋体" w:hAnsi="宋体"/>
          <w:color w:val="auto"/>
          <w:sz w:val="21"/>
          <w:szCs w:val="21"/>
          <w:highlight w:val="none"/>
        </w:rPr>
        <w:t>包括合理的律师费</w:t>
      </w:r>
      <w:r>
        <w:rPr>
          <w:rFonts w:ascii="宋体" w:hAnsi="宋体"/>
          <w:color w:val="auto"/>
          <w:sz w:val="21"/>
          <w:szCs w:val="21"/>
          <w:highlight w:val="none"/>
        </w:rPr>
        <w:t>)</w:t>
      </w:r>
      <w:r>
        <w:rPr>
          <w:rFonts w:hint="eastAsia" w:ascii="宋体" w:hAnsi="宋体"/>
          <w:color w:val="auto"/>
          <w:sz w:val="21"/>
          <w:szCs w:val="21"/>
          <w:highlight w:val="none"/>
        </w:rPr>
        <w:t>，乙方同意给予赔偿使其免受损失。</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2、对于甲方或其员工的过失行为或疏忽给乙方管理人员和员工所造成的任何损失</w:t>
      </w:r>
      <w:r>
        <w:rPr>
          <w:rFonts w:ascii="宋体" w:hAnsi="宋体"/>
          <w:color w:val="auto"/>
          <w:sz w:val="21"/>
          <w:szCs w:val="21"/>
          <w:highlight w:val="none"/>
        </w:rPr>
        <w:t>(</w:t>
      </w:r>
      <w:r>
        <w:rPr>
          <w:rFonts w:hint="eastAsia" w:ascii="宋体" w:hAnsi="宋体"/>
          <w:color w:val="auto"/>
          <w:sz w:val="21"/>
          <w:szCs w:val="21"/>
          <w:highlight w:val="none"/>
        </w:rPr>
        <w:t>包括合理的律师费</w:t>
      </w:r>
      <w:r>
        <w:rPr>
          <w:rFonts w:ascii="宋体" w:hAnsi="宋体"/>
          <w:color w:val="auto"/>
          <w:sz w:val="21"/>
          <w:szCs w:val="21"/>
          <w:highlight w:val="none"/>
        </w:rPr>
        <w:t>)</w:t>
      </w:r>
      <w:r>
        <w:rPr>
          <w:rFonts w:hint="eastAsia" w:ascii="宋体" w:hAnsi="宋体"/>
          <w:color w:val="auto"/>
          <w:sz w:val="21"/>
          <w:szCs w:val="21"/>
          <w:highlight w:val="none"/>
        </w:rPr>
        <w:t>，甲方将给予赔偿直接损失。</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3、在服务期内，乙方所有人员的事故由乙方自行全权负责(如乙方应对其员工投保人身意外险)，以保证甲方向乙方工作人员索赔时不受任何责任的约束。</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4、乙方须按《劳动合同法》和政府有关各部门规定为全体服务人员交纳所有相关的社会保险及其他相关费用。乙方对此全权负责，并保证不得因此影响乙方对甲方服务质量，否则甲方有权无条件终止本合同。</w:t>
      </w:r>
    </w:p>
    <w:p>
      <w:pPr>
        <w:ind w:firstLine="480"/>
        <w:rPr>
          <w:rFonts w:ascii="宋体" w:hAnsi="宋体"/>
          <w:color w:val="auto"/>
          <w:sz w:val="21"/>
          <w:szCs w:val="21"/>
          <w:highlight w:val="none"/>
        </w:rPr>
      </w:pPr>
      <w:r>
        <w:rPr>
          <w:rFonts w:hint="eastAsia" w:ascii="宋体" w:hAnsi="宋体"/>
          <w:color w:val="auto"/>
          <w:sz w:val="21"/>
          <w:szCs w:val="21"/>
          <w:highlight w:val="none"/>
        </w:rPr>
        <w:t>5、以上办理各项保险需要的费用均已包含在合同总价中。</w:t>
      </w:r>
    </w:p>
    <w:p>
      <w:pPr>
        <w:spacing w:line="360" w:lineRule="auto"/>
        <w:ind w:firstLine="420" w:firstLineChars="200"/>
        <w:rPr>
          <w:rFonts w:hint="eastAsia" w:ascii="宋体" w:hAnsi="宋体"/>
          <w:color w:val="auto"/>
          <w:sz w:val="21"/>
          <w:szCs w:val="21"/>
          <w:highlight w:val="none"/>
        </w:rPr>
      </w:pPr>
    </w:p>
    <w:p>
      <w:pPr>
        <w:pStyle w:val="41"/>
        <w:spacing w:line="360" w:lineRule="auto"/>
        <w:ind w:firstLine="422" w:firstLineChars="200"/>
        <w:rPr>
          <w:rFonts w:hAnsi="宋体"/>
          <w:b/>
          <w:color w:val="auto"/>
          <w:sz w:val="21"/>
          <w:szCs w:val="21"/>
          <w:highlight w:val="none"/>
        </w:rPr>
      </w:pPr>
      <w:r>
        <w:rPr>
          <w:rFonts w:hint="eastAsia" w:hAnsi="宋体"/>
          <w:b/>
          <w:color w:val="auto"/>
          <w:sz w:val="21"/>
          <w:szCs w:val="21"/>
          <w:highlight w:val="none"/>
        </w:rPr>
        <w:t>五、甲、乙双方的权利义务</w:t>
      </w:r>
    </w:p>
    <w:p>
      <w:pPr>
        <w:pStyle w:val="41"/>
        <w:spacing w:line="360" w:lineRule="auto"/>
        <w:ind w:firstLine="422" w:firstLineChars="200"/>
        <w:rPr>
          <w:rFonts w:hAnsi="宋体"/>
          <w:b/>
          <w:bCs/>
          <w:color w:val="auto"/>
          <w:sz w:val="21"/>
          <w:szCs w:val="21"/>
          <w:highlight w:val="none"/>
        </w:rPr>
      </w:pPr>
      <w:r>
        <w:rPr>
          <w:rFonts w:hint="eastAsia" w:hAnsi="宋体"/>
          <w:b/>
          <w:color w:val="auto"/>
          <w:sz w:val="21"/>
          <w:szCs w:val="21"/>
          <w:highlight w:val="none"/>
        </w:rPr>
        <w:t>（一）甲方的权利义务：</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1、指定专人负责管理乙方服务工作。</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2、免费</w:t>
      </w:r>
      <w:r>
        <w:rPr>
          <w:rFonts w:hint="eastAsia" w:ascii="宋体" w:hAnsi="宋体"/>
          <w:color w:val="auto"/>
          <w:sz w:val="21"/>
          <w:szCs w:val="21"/>
          <w:highlight w:val="none"/>
        </w:rPr>
        <w:t>提供乙方服务工作所需的水、电。</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备注：合同期内，因甲方业务发展需要，不再设洗衣房、烘干场地，甲方不另外支付乙方拖把巾等保洁工具外送洗涤服务费用，且外送洗涤服务单位需提前报甲方审核备案，达到院感洗涤及运送服务要求后方可进行。</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3、尽最大努力为乙方人员开展服务工作提供方便。</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w:t>
      </w:r>
      <w:r>
        <w:rPr>
          <w:rFonts w:ascii="宋体" w:hAnsi="宋体"/>
          <w:color w:val="auto"/>
          <w:sz w:val="21"/>
          <w:szCs w:val="21"/>
          <w:highlight w:val="none"/>
        </w:rPr>
        <w:t>按期</w:t>
      </w:r>
      <w:r>
        <w:rPr>
          <w:rFonts w:hint="eastAsia" w:ascii="宋体" w:hAnsi="宋体"/>
          <w:color w:val="auto"/>
          <w:sz w:val="21"/>
          <w:szCs w:val="21"/>
          <w:highlight w:val="none"/>
        </w:rPr>
        <w:t>向</w:t>
      </w:r>
      <w:r>
        <w:rPr>
          <w:rFonts w:ascii="宋体" w:hAnsi="宋体"/>
          <w:color w:val="auto"/>
          <w:sz w:val="21"/>
          <w:szCs w:val="21"/>
          <w:highlight w:val="none"/>
        </w:rPr>
        <w:t>乙方支付</w:t>
      </w:r>
      <w:r>
        <w:rPr>
          <w:rFonts w:hint="eastAsia" w:ascii="宋体" w:hAnsi="宋体"/>
          <w:color w:val="auto"/>
          <w:sz w:val="21"/>
          <w:szCs w:val="21"/>
          <w:highlight w:val="none"/>
        </w:rPr>
        <w:t>服务费用。</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5、由于甲方原因造成乙方人员损伤或财产损失，由甲方承担责任。</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6、甲方有权要求乙方提供乙方人员的有关资料，包括员工身份证、信息登记表、健康证或健康证明、劳动合同、社会保险证明等；甲方有权要求乙方提供乙方的排班信息、员工收入信息、工作量统计信息等。</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7、其他：甲方考核人员对乙方当月服务情况进行服务质量考核，考核方案参照附件，如果考核标准存在不足，甲方有权根据实际情况调整，调整方案经双方确认后于次月起实施。</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8、甲方不承担乙方人员的任何住宿安排。</w:t>
      </w:r>
    </w:p>
    <w:p>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（二）乙方的权利义务：</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1、乙方在从事服务工作中应当做到文明工作、安全生产，采取必要的安全防范措施。 </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2、乙方负责委派其认为履行管理服务通常所需的管理人员，并指定一人为项目负责人，由该项目负责人作为乙方的主要代表执行本合同中乙方的权利和义务。</w:t>
      </w:r>
      <w:r>
        <w:rPr>
          <w:rFonts w:hint="eastAsia" w:ascii="宋体" w:hAnsi="宋体"/>
          <w:color w:val="auto"/>
          <w:sz w:val="21"/>
          <w:szCs w:val="21"/>
          <w:highlight w:val="none"/>
        </w:rPr>
        <w:t>如乙方调换项目</w:t>
      </w:r>
      <w:r>
        <w:rPr>
          <w:rFonts w:hint="eastAsia" w:ascii="宋体" w:hAnsi="宋体"/>
          <w:color w:val="auto"/>
          <w:sz w:val="21"/>
          <w:szCs w:val="21"/>
          <w:highlight w:val="none"/>
        </w:rPr>
        <w:t>负责人</w:t>
      </w:r>
      <w:r>
        <w:rPr>
          <w:rFonts w:hint="eastAsia" w:ascii="宋体" w:hAnsi="宋体"/>
          <w:color w:val="auto"/>
          <w:sz w:val="21"/>
          <w:szCs w:val="21"/>
          <w:highlight w:val="none"/>
        </w:rPr>
        <w:t>必须按照招标文件要求征得甲方同意方可调换</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并承担相应的责任</w:t>
      </w:r>
      <w:r>
        <w:rPr>
          <w:rFonts w:hint="eastAsia" w:ascii="宋体" w:hAnsi="宋体"/>
          <w:color w:val="auto"/>
          <w:sz w:val="21"/>
          <w:szCs w:val="21"/>
          <w:highlight w:val="none"/>
        </w:rPr>
        <w:t>。</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3、除管理人员外，乙方还必须提供有熟练技能、符合岗位要求，从而能有效进行本合同项下服务工作的人员在甲方从事服务工作。</w:t>
      </w:r>
    </w:p>
    <w:p>
      <w:pPr>
        <w:tabs>
          <w:tab w:val="left" w:pos="1620"/>
          <w:tab w:val="left" w:pos="1656"/>
        </w:tabs>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rPr>
        <w:t>乙方应承担乙方人员的工资津贴、奖金和与其工作相关的、国家或地方法规所征收的其它税收、费用、社会福利和加班费。</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5、乙方应及时调整不适应工作需求的服务人员及其员工。如甲方认为该员工不能胜任本职工作的，必须及时调整。</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6、乙方应经常对员工进行岗位职责和安全教育和技能培训，加强岗位责任考核。因管理不当、违规操作发生设备损坏、被盗等安全事故对甲方造成损失的，乙方需承担相应的赔偿责任。</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7、乙方将提供并维护所有培训服务人员必需的培训设备、胶片、幻灯片、文献、日常工作和项目日程表、索引、标准操作程序和培训服务人员的培训手册并承担上述材料的费用。培训材料归乙方所有。</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8、乙方委派出的工作人员必须按照合同所规定的服务范围和标准完成工作。</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9、乙方工作人员不得擅自进出与其服务范围无关的场所，经甲方主管同意除外。</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10、乙方工作人员可在甲方食堂用餐，享有与甲方员工同等菜价。</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11、乙方管理人员应配合甲方的定期及不定期质量检查，每季度应由公司派专员进行质量绩效评价检查，检查结果应及时反馈至院方。</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12、乙方应积极配合甲方的控烟、垃圾分类分拣及节能降耗工作。</w:t>
      </w:r>
    </w:p>
    <w:p>
      <w:pPr>
        <w:spacing w:line="360" w:lineRule="auto"/>
        <w:ind w:firstLine="420" w:firstLineChars="200"/>
        <w:rPr>
          <w:rFonts w:ascii="宋体" w:hAnsi="宋体"/>
          <w:bCs/>
          <w:color w:val="auto"/>
          <w:sz w:val="21"/>
          <w:szCs w:val="21"/>
          <w:highlight w:val="none"/>
        </w:rPr>
      </w:pPr>
      <w:r>
        <w:rPr>
          <w:rFonts w:hint="eastAsia" w:ascii="宋体" w:hAnsi="宋体"/>
          <w:bCs/>
          <w:color w:val="auto"/>
          <w:sz w:val="21"/>
          <w:szCs w:val="21"/>
          <w:highlight w:val="none"/>
        </w:rPr>
        <w:t>13、乙方应在节假日常规安排1名管理人员值班，处理协调各类突发应急事件。</w:t>
      </w:r>
    </w:p>
    <w:p>
      <w:pPr>
        <w:spacing w:line="360"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4</w:t>
      </w:r>
      <w:r>
        <w:rPr>
          <w:rFonts w:hint="eastAsia" w:ascii="宋体" w:hAnsi="宋体"/>
          <w:color w:val="auto"/>
          <w:sz w:val="21"/>
          <w:szCs w:val="21"/>
          <w:highlight w:val="none"/>
        </w:rPr>
        <w:t>、乙方承担甲方高配间、氧站、净化系统的运维值守服务，承担院区内、院外行政及业务租用房的综合维修服务。</w:t>
      </w:r>
    </w:p>
    <w:p>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六、</w:t>
      </w:r>
      <w:r>
        <w:rPr>
          <w:rFonts w:hint="eastAsia" w:ascii="宋体" w:hAnsi="宋体"/>
          <w:b/>
          <w:color w:val="auto"/>
          <w:sz w:val="21"/>
          <w:szCs w:val="21"/>
          <w:highlight w:val="none"/>
        </w:rPr>
        <w:t>材料、物品和设备的提供责任</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乙方负责提供履行管理服务所需的保洁设备及工具，绿化养护工具，对讲机、计算机软、硬件、打印机、打卡机和其他办公用品，并自行负责上述设备物品的维修、保养和设备更新，而不再向甲方另行收费。产品品牌应符合甲方招标要求。</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2、甲方负责提供医疗用消毒液、消毒片剂、医疗垃圾袋等与医疗运营相关的物品。</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3、甲方负责提供运送的物品、材料和工具设施设备，并负责上述设备的维修 (包括替换配件)及提供额外或替换的中央运输设备并承担费用。</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4、乙方所有资本性</w:t>
      </w:r>
      <w:r>
        <w:rPr>
          <w:rFonts w:hint="eastAsia" w:ascii="宋体" w:hAnsi="宋体"/>
          <w:color w:val="auto"/>
          <w:sz w:val="21"/>
          <w:szCs w:val="21"/>
          <w:highlight w:val="none"/>
        </w:rPr>
        <w:t>设备(除电脑设备外)按照政府规定的折旧办法按3年直线法提取使用费用。</w:t>
      </w:r>
      <w:r>
        <w:rPr>
          <w:rFonts w:hint="eastAsia" w:ascii="宋体" w:hAnsi="宋体"/>
          <w:color w:val="auto"/>
          <w:sz w:val="21"/>
          <w:szCs w:val="21"/>
          <w:highlight w:val="none"/>
        </w:rPr>
        <w:t>本合同到期终止时，甲方可选择从乙方处购买任何非乙方专利设备，价格为该设备届时残余帐面价值。在转让乙方的任何设备时，甲方应除去设备上所有乙方标识。如果本合同是由于甲方违约或甲方未能支付乙方有关款项而终止的，则甲方不享有行使本合同下购买乙方设备的选择权。</w:t>
      </w:r>
    </w:p>
    <w:p>
      <w:pPr>
        <w:spacing w:line="360" w:lineRule="auto"/>
        <w:ind w:firstLine="422" w:firstLineChars="200"/>
        <w:rPr>
          <w:rFonts w:ascii="宋体" w:hAnsi="宋体"/>
          <w:b/>
          <w:bCs/>
          <w:color w:val="auto"/>
          <w:sz w:val="21"/>
          <w:szCs w:val="21"/>
          <w:highlight w:val="none"/>
        </w:rPr>
      </w:pPr>
      <w:r>
        <w:rPr>
          <w:rFonts w:hint="eastAsia" w:ascii="宋体" w:hAnsi="宋体"/>
          <w:b/>
          <w:bCs/>
          <w:color w:val="auto"/>
          <w:sz w:val="21"/>
          <w:szCs w:val="21"/>
          <w:highlight w:val="none"/>
        </w:rPr>
        <w:t>七、执行检查</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双方代表应定期联合检查乙方的管理服务履行情况和其它相关事宜。</w:t>
      </w:r>
    </w:p>
    <w:p>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八、合同的变更和解除</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1、经双方协商一致并签订书面协议，本合同内容可予以变更。</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2、任何一方解除本合同，须提前2个月向对方以书面形式提出，经双方协商同意后方可解除。</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3、因乙方在服务期内连续超过三次服务综合考评未达到75分的，甲方可以单方面终止本合同。</w:t>
      </w:r>
    </w:p>
    <w:p>
      <w:pPr>
        <w:spacing w:line="360"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4、</w:t>
      </w:r>
      <w:r>
        <w:rPr>
          <w:rFonts w:hint="eastAsia" w:ascii="宋体" w:hAnsi="宋体"/>
          <w:color w:val="auto"/>
          <w:sz w:val="21"/>
          <w:szCs w:val="21"/>
          <w:highlight w:val="none"/>
        </w:rPr>
        <w:t>如甲方发现乙方出现转租、转让、抵押等情况，甲方可以单方面终止本合同，没收履约保证金</w:t>
      </w:r>
      <w:r>
        <w:rPr>
          <w:rFonts w:hint="eastAsia" w:ascii="宋体" w:hAnsi="宋体"/>
          <w:color w:val="auto"/>
          <w:sz w:val="21"/>
          <w:szCs w:val="21"/>
          <w:highlight w:val="none"/>
          <w:lang w:eastAsia="zh-CN"/>
        </w:rPr>
        <w:t>，</w:t>
      </w:r>
      <w:r>
        <w:rPr>
          <w:rFonts w:hint="eastAsia" w:ascii="宋体" w:hAnsi="宋体"/>
          <w:color w:val="auto"/>
          <w:sz w:val="21"/>
          <w:szCs w:val="21"/>
          <w:highlight w:val="none"/>
        </w:rPr>
        <w:t>且乙方须支付给甲方月度服务费二倍金额的赔偿金。</w:t>
      </w:r>
      <w:r>
        <w:rPr>
          <w:rFonts w:hint="eastAsia" w:ascii="宋体" w:hAnsi="宋体"/>
          <w:color w:val="auto"/>
          <w:sz w:val="21"/>
          <w:szCs w:val="21"/>
          <w:highlight w:val="none"/>
          <w:lang w:eastAsia="zh-CN"/>
        </w:rPr>
        <w:t>甲方将</w:t>
      </w:r>
      <w:r>
        <w:rPr>
          <w:rFonts w:hint="eastAsia" w:ascii="宋体" w:hAnsi="宋体"/>
          <w:color w:val="auto"/>
          <w:sz w:val="21"/>
          <w:szCs w:val="21"/>
          <w:highlight w:val="none"/>
        </w:rPr>
        <w:t>追究乙方的违约责任</w:t>
      </w:r>
      <w:r>
        <w:rPr>
          <w:rFonts w:hint="eastAsia" w:ascii="宋体" w:hAnsi="宋体"/>
          <w:color w:val="auto"/>
          <w:sz w:val="21"/>
          <w:szCs w:val="21"/>
          <w:highlight w:val="none"/>
          <w:lang w:eastAsia="zh-CN"/>
        </w:rPr>
        <w:t>。</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5、如果乙方在服务期内由于乙方原因造成重大责任事故或安全事故，甲方可以单方面终止本合同，且乙方须赔偿给甲方造成的经济损失。</w:t>
      </w:r>
    </w:p>
    <w:p>
      <w:pPr>
        <w:ind w:firstLine="420" w:firstLineChars="200"/>
        <w:rPr>
          <w:color w:val="auto"/>
          <w:sz w:val="21"/>
          <w:szCs w:val="21"/>
          <w:highlight w:val="none"/>
        </w:rPr>
      </w:pPr>
      <w:r>
        <w:rPr>
          <w:rFonts w:hint="eastAsia" w:ascii="宋体" w:hAnsi="宋体"/>
          <w:color w:val="auto"/>
          <w:sz w:val="21"/>
          <w:szCs w:val="21"/>
          <w:highlight w:val="none"/>
        </w:rPr>
        <w:t>6、乙方破产清处、重组及兼并等事实发生，或被债权人接管经营，甲方不必通知乙方即可终止本合同。</w:t>
      </w:r>
    </w:p>
    <w:p>
      <w:pPr>
        <w:spacing w:line="360" w:lineRule="auto"/>
        <w:ind w:firstLine="420" w:firstLineChars="200"/>
        <w:rPr>
          <w:color w:val="auto"/>
          <w:sz w:val="21"/>
          <w:szCs w:val="21"/>
          <w:highlight w:val="none"/>
        </w:rPr>
      </w:pPr>
      <w:r>
        <w:rPr>
          <w:rFonts w:hint="eastAsia"/>
          <w:color w:val="auto"/>
          <w:sz w:val="21"/>
          <w:szCs w:val="21"/>
          <w:highlight w:val="none"/>
        </w:rPr>
        <w:t>7、</w:t>
      </w:r>
      <w:r>
        <w:rPr>
          <w:color w:val="auto"/>
          <w:sz w:val="21"/>
          <w:szCs w:val="21"/>
          <w:highlight w:val="none"/>
        </w:rPr>
        <w:t>如出现以下情况之一，本合同将无条件终止，</w:t>
      </w:r>
      <w:r>
        <w:rPr>
          <w:rFonts w:hint="eastAsia"/>
          <w:color w:val="auto"/>
          <w:sz w:val="21"/>
          <w:szCs w:val="21"/>
          <w:highlight w:val="none"/>
        </w:rPr>
        <w:t>乙方</w:t>
      </w:r>
      <w:r>
        <w:rPr>
          <w:color w:val="auto"/>
          <w:sz w:val="21"/>
          <w:szCs w:val="21"/>
          <w:highlight w:val="none"/>
        </w:rPr>
        <w:t>应赔偿</w:t>
      </w:r>
      <w:r>
        <w:rPr>
          <w:rFonts w:hint="eastAsia"/>
          <w:color w:val="auto"/>
          <w:sz w:val="21"/>
          <w:szCs w:val="21"/>
          <w:highlight w:val="none"/>
        </w:rPr>
        <w:t>甲方</w:t>
      </w:r>
      <w:r>
        <w:rPr>
          <w:color w:val="auto"/>
          <w:sz w:val="21"/>
          <w:szCs w:val="21"/>
          <w:highlight w:val="none"/>
        </w:rPr>
        <w:t>因合同终止带来的各种损失：</w:t>
      </w:r>
    </w:p>
    <w:p>
      <w:pPr>
        <w:spacing w:line="360" w:lineRule="auto"/>
        <w:ind w:firstLine="420" w:firstLineChars="200"/>
        <w:rPr>
          <w:color w:val="auto"/>
          <w:sz w:val="21"/>
          <w:szCs w:val="21"/>
          <w:highlight w:val="none"/>
        </w:rPr>
      </w:pPr>
      <w:r>
        <w:rPr>
          <w:rFonts w:hint="eastAsia"/>
          <w:color w:val="auto"/>
          <w:sz w:val="21"/>
          <w:szCs w:val="21"/>
          <w:highlight w:val="none"/>
        </w:rPr>
        <w:t>7.1</w:t>
      </w:r>
      <w:r>
        <w:rPr>
          <w:color w:val="auto"/>
          <w:sz w:val="21"/>
          <w:szCs w:val="21"/>
          <w:highlight w:val="none"/>
        </w:rPr>
        <w:t>员工季度流失率≥20%。</w:t>
      </w:r>
    </w:p>
    <w:p>
      <w:pPr>
        <w:spacing w:line="360" w:lineRule="auto"/>
        <w:ind w:firstLine="420" w:firstLineChars="200"/>
        <w:rPr>
          <w:color w:val="auto"/>
          <w:sz w:val="21"/>
          <w:szCs w:val="21"/>
          <w:highlight w:val="none"/>
        </w:rPr>
      </w:pPr>
      <w:r>
        <w:rPr>
          <w:rFonts w:hint="eastAsia"/>
          <w:color w:val="auto"/>
          <w:sz w:val="21"/>
          <w:szCs w:val="21"/>
          <w:highlight w:val="none"/>
        </w:rPr>
        <w:t>7.2</w:t>
      </w:r>
      <w:r>
        <w:rPr>
          <w:color w:val="auto"/>
          <w:sz w:val="21"/>
          <w:szCs w:val="21"/>
          <w:highlight w:val="none"/>
        </w:rPr>
        <w:t>员工最低工资低于</w:t>
      </w:r>
      <w:r>
        <w:rPr>
          <w:rFonts w:hint="eastAsia" w:ascii="宋体" w:hAnsi="宋体"/>
          <w:bCs/>
          <w:color w:val="auto"/>
          <w:sz w:val="21"/>
          <w:szCs w:val="21"/>
          <w:highlight w:val="none"/>
        </w:rPr>
        <w:t>杭州市最低工资标准</w:t>
      </w:r>
      <w:r>
        <w:rPr>
          <w:color w:val="auto"/>
          <w:sz w:val="21"/>
          <w:szCs w:val="21"/>
          <w:highlight w:val="none"/>
        </w:rPr>
        <w:t>。</w:t>
      </w:r>
    </w:p>
    <w:p>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7.3</w:t>
      </w:r>
      <w:r>
        <w:rPr>
          <w:rFonts w:hint="eastAsia" w:ascii="宋体" w:hAnsi="宋体"/>
          <w:color w:val="auto"/>
          <w:sz w:val="21"/>
          <w:szCs w:val="21"/>
          <w:highlight w:val="none"/>
        </w:rPr>
        <w:t>乙方不愿意承担员工的工资津贴、奖金和与其工作相关的、国家或地方法规所征收的其他税收、费用、社会福利和加班费。</w:t>
      </w:r>
    </w:p>
    <w:p>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九、违约及其补救</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w:t>
      </w:r>
      <w:r>
        <w:rPr>
          <w:rFonts w:hint="eastAsia" w:ascii="宋体" w:hAnsi="宋体"/>
          <w:color w:val="auto"/>
          <w:sz w:val="21"/>
          <w:szCs w:val="21"/>
          <w:highlight w:val="none"/>
        </w:rPr>
        <w:t>甲方须按时支付服务费用，若服务费用未能在应付日后15天内付清，未付清部分从应付日起按日息万分之一向乙方计付利息，直至该款项付清为止。若甲方超过应付日一个月而未付清服务费用的，乙方有权中止履行服务义务，并保留相应索赔权利。</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关于本条所指的服务费用：如果本合同约定的服务费用是一次性付清的，则指该全部服务费用；如果本合同约定的服务总费用是分期支付的，则是指每一期的应付服务费用。</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一方（“违约方”）违约，另一方（“受害方”）应通知违约方并指出其违约性质。违约方应自收到通知之日起30天内就通知的违约事宜进行补救。若30天内违约方仍未补救的，受害方有权书面通知违约方终止本合同。</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rPr>
        <w:t>如果甲乙双方任何一方在服务期内无理由终止合同，违约方需支付给受害方月度服务费二倍金额的赔偿金。</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4、乙方未能履行合同和遵守有关规定，在甲方发出书面警告后一月内乙方仍无采取补救措施，甲方有权提前终止本合同。</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5、本合同的终止不免除甲方在终止合同日或之前存在的向乙方支付未付款项的义务。本合同终止时</w:t>
      </w:r>
      <w:r>
        <w:rPr>
          <w:rFonts w:hint="eastAsia" w:ascii="宋体" w:hAnsi="宋体"/>
          <w:color w:val="auto"/>
          <w:sz w:val="21"/>
          <w:szCs w:val="21"/>
          <w:highlight w:val="none"/>
        </w:rPr>
        <w:t>，甲方须向乙方付清所有到期或未到期款项。</w:t>
      </w:r>
    </w:p>
    <w:p>
      <w:pPr>
        <w:pStyle w:val="56"/>
        <w:ind w:firstLine="422" w:firstLineChars="200"/>
        <w:rPr>
          <w:color w:val="auto"/>
          <w:sz w:val="21"/>
          <w:szCs w:val="21"/>
          <w:highlight w:val="none"/>
        </w:rPr>
      </w:pPr>
      <w:r>
        <w:rPr>
          <w:rFonts w:hint="eastAsia" w:ascii="宋体" w:hAnsi="宋体"/>
          <w:color w:val="auto"/>
          <w:sz w:val="21"/>
          <w:szCs w:val="21"/>
          <w:highlight w:val="none"/>
        </w:rPr>
        <w:t>6</w:t>
      </w:r>
      <w:r>
        <w:rPr>
          <w:color w:val="auto"/>
          <w:sz w:val="21"/>
          <w:szCs w:val="21"/>
          <w:highlight w:val="none"/>
        </w:rPr>
        <w:t>本协议期限内及之后一年内的任何时候，未经另一方事先书面批准，任何一方不得聘用对方的人员或者在之前十二个月内曾是对方员工的人员，也不得干涉这些员工与另一方的合同关系。任何一方不得直接或间接地、为自己或为任何其它人、公司聘用或带走另一方的员工。双方同意本条的目的是为保护双方各自的合法商业权益而不是旨在限制有关人员的职业选择权利。如果任何一方违反上述约定，在不影响受害方可获得的其它补救(包括赔偿损失的权利)的前提下，受害方应有权向具有管辖权的法院申请制止违约方雇用对方的人员并获得强制执行所违反的条款的裁定。违约方应承担受害方为强制执行此约定所支出的所有合理的律师费、其它费用及开支。</w:t>
      </w:r>
    </w:p>
    <w:p>
      <w:pPr>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十、不可抗力及其合同后果</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如果乙方对本合同的履行因任何乙方不能控制的原因，包括火灾、洪水、意外事故、国内紧急情况而延迟的不视为违约，乙方履行合同的时间也应作相应延迟。延迟时间超过120天的，乙方有权终止本合同。</w:t>
      </w:r>
    </w:p>
    <w:p>
      <w:pPr>
        <w:autoSpaceDE w:val="0"/>
        <w:autoSpaceDN w:val="0"/>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十一、争议处理</w:t>
      </w:r>
    </w:p>
    <w:p>
      <w:pPr>
        <w:autoSpaceDE w:val="0"/>
        <w:autoSpaceDN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合同在履行过程中发生的因违反或终止合同而引起的损失、损害的赔偿、履约等一系列争议的，甲方与乙方及时协商解决。协商不成时，应提交甲方所在地的人民法院依据其法律程序进行判决。</w:t>
      </w:r>
    </w:p>
    <w:p>
      <w:pPr>
        <w:autoSpaceDE w:val="0"/>
        <w:autoSpaceDN w:val="0"/>
        <w:spacing w:line="360" w:lineRule="auto"/>
        <w:ind w:firstLine="422" w:firstLineChars="200"/>
        <w:rPr>
          <w:rFonts w:ascii="宋体" w:hAnsi="宋体"/>
          <w:b/>
          <w:color w:val="auto"/>
          <w:sz w:val="21"/>
          <w:szCs w:val="21"/>
          <w:highlight w:val="none"/>
        </w:rPr>
      </w:pPr>
      <w:r>
        <w:rPr>
          <w:rFonts w:hint="eastAsia" w:ascii="宋体" w:hAnsi="宋体"/>
          <w:b/>
          <w:color w:val="auto"/>
          <w:sz w:val="21"/>
          <w:szCs w:val="21"/>
          <w:highlight w:val="none"/>
        </w:rPr>
        <w:t>十二、其他</w:t>
      </w:r>
    </w:p>
    <w:p>
      <w:pPr>
        <w:autoSpaceDE w:val="0"/>
        <w:autoSpaceDN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1、乙方不得参与可能与合同规定的与甲方的利益相冲突的任何活动。</w:t>
      </w:r>
    </w:p>
    <w:p>
      <w:pPr>
        <w:tabs>
          <w:tab w:val="left" w:pos="0"/>
        </w:tabs>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2、乙方人员在甲方场地工作时，应遵守甲方行政管理、消防安全等规定和制度。</w:t>
      </w:r>
    </w:p>
    <w:p>
      <w:pPr>
        <w:tabs>
          <w:tab w:val="left" w:pos="0"/>
        </w:tabs>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3、乙方应做好职工的安全生产教育，并配备一定的劳动保护必需品以供职工使用。</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4、乙方应制定针对甲方的应急服务方案，包括特殊天气的处置应对，突发公共事件或群体性事件的处置应对，大型活动、检查的保障，其他各类应急情况等，甲方应根据医院需求配备充足的应急人员，且在规定的时间内到岗。单项应急服务在48小时以内完成的，及大型活动、检查的临时性抽调外案保障人员在10人以内时，乙方不得以任何理由向甲方索取额外服务费。</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Style w:val="344"/>
          <w:color w:val="auto"/>
          <w:sz w:val="21"/>
          <w:szCs w:val="21"/>
          <w:highlight w:val="none"/>
          <w:lang w:val="en-US" w:eastAsia="zh-CN" w:bidi="ar"/>
        </w:rPr>
        <w:t>按照甲方管理要求，做好室外绿植的养护、浇水服务。</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6、因甲方工作需要部分工作岗位需要长期处于应急服务状态时，将在应急服务终止后根据乙方服务品质情况支付相应补贴，补助标准按浙江省最低小时工资标准计算，乙方须提供非工作时间应急服务情况的相关依据及证明材料。</w:t>
      </w:r>
    </w:p>
    <w:p>
      <w:pPr>
        <w:autoSpaceDE w:val="0"/>
        <w:autoSpaceDN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7、本合同任何一方给另一方的通知，都应以书面或电传/传真/电报的形式发送，而另一方应以书面形式确认并发送到对方明确的地址。</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8、</w:t>
      </w:r>
      <w:r>
        <w:rPr>
          <w:rFonts w:hint="eastAsia" w:ascii="宋体" w:hAnsi="宋体"/>
          <w:bCs/>
          <w:color w:val="auto"/>
          <w:sz w:val="21"/>
          <w:szCs w:val="21"/>
          <w:highlight w:val="none"/>
        </w:rPr>
        <w:t>乙方在合同约定的服务期间，须承担服务区域内日常可回收的废旧物资（主要废旧纸类等）的清理、收集、回收工作，具体要求见附件。</w:t>
      </w:r>
    </w:p>
    <w:p>
      <w:pPr>
        <w:autoSpaceDE w:val="0"/>
        <w:autoSpaceDN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9、合同履行期内甲乙双方均不得随意变更或解除合同。合同若有未尽事宜，需经双方共同协商，并由采购机构鉴证，订立补充协议，补充协议与本合同有同等法律效力。</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10、乙方应保证在合同期内其员工最低月工资不低于</w:t>
      </w:r>
      <w:r>
        <w:rPr>
          <w:rFonts w:hint="eastAsia" w:ascii="宋体" w:hAnsi="宋体"/>
          <w:bCs w:val="0"/>
          <w:color w:val="auto"/>
          <w:sz w:val="21"/>
          <w:szCs w:val="21"/>
          <w:highlight w:val="none"/>
        </w:rPr>
        <w:t>现行公布的</w:t>
      </w:r>
      <w:r>
        <w:rPr>
          <w:rFonts w:hint="eastAsia" w:ascii="宋体" w:hAnsi="宋体"/>
          <w:color w:val="auto"/>
          <w:sz w:val="21"/>
          <w:szCs w:val="21"/>
          <w:highlight w:val="none"/>
        </w:rPr>
        <w:t>杭州市最低工资标准，否则相应的风险由乙方自行承担。</w:t>
      </w:r>
    </w:p>
    <w:p>
      <w:pPr>
        <w:autoSpaceDE w:val="0"/>
        <w:autoSpaceDN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11、本合同一式肆份，甲方执贰份、乙方执贰份，具有同等法律效力。</w:t>
      </w:r>
    </w:p>
    <w:p>
      <w:pPr>
        <w:autoSpaceDE w:val="0"/>
        <w:autoSpaceDN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12、适用法律：本合同应按照中华人民共和国的法律进行解释。</w:t>
      </w:r>
    </w:p>
    <w:p>
      <w:pPr>
        <w:spacing w:line="360" w:lineRule="auto"/>
        <w:rPr>
          <w:rFonts w:ascii="宋体" w:hAnsi="宋体"/>
          <w:color w:val="auto"/>
          <w:sz w:val="21"/>
          <w:szCs w:val="21"/>
          <w:highlight w:val="none"/>
        </w:rPr>
      </w:pPr>
    </w:p>
    <w:p>
      <w:pPr>
        <w:spacing w:line="360" w:lineRule="auto"/>
        <w:rPr>
          <w:rFonts w:ascii="宋体" w:hAnsi="宋体"/>
          <w:color w:val="auto"/>
          <w:sz w:val="21"/>
          <w:szCs w:val="21"/>
          <w:highlight w:val="none"/>
        </w:rPr>
      </w:pPr>
      <w:r>
        <w:rPr>
          <w:rFonts w:hint="eastAsia" w:ascii="宋体" w:hAnsi="宋体"/>
          <w:color w:val="auto"/>
          <w:sz w:val="21"/>
          <w:szCs w:val="21"/>
          <w:highlight w:val="none"/>
        </w:rPr>
        <w:t>甲方（盖章）：                         乙方（盖章）：</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法定代表人或受委托人（签字）：         法定代表人或受委托人（签字）：</w:t>
      </w:r>
    </w:p>
    <w:p>
      <w:pPr>
        <w:spacing w:line="360" w:lineRule="auto"/>
        <w:rPr>
          <w:rFonts w:ascii="宋体" w:hAnsi="宋体"/>
          <w:color w:val="auto"/>
          <w:sz w:val="21"/>
          <w:szCs w:val="21"/>
          <w:highlight w:val="none"/>
        </w:rPr>
      </w:pPr>
      <w:r>
        <w:rPr>
          <w:rFonts w:hint="eastAsia" w:ascii="宋体" w:hAnsi="宋体"/>
          <w:color w:val="auto"/>
          <w:sz w:val="21"/>
          <w:szCs w:val="21"/>
          <w:highlight w:val="none"/>
        </w:rPr>
        <w:t>签订日期：                              签订日期：</w:t>
      </w:r>
    </w:p>
    <w:p>
      <w:pPr>
        <w:rPr>
          <w:color w:val="auto"/>
          <w:highlight w:val="none"/>
        </w:rPr>
      </w:pPr>
      <w:r>
        <w:rPr>
          <w:color w:val="auto"/>
          <w:highlight w:val="none"/>
        </w:rPr>
        <w:br w:type="page"/>
      </w:r>
    </w:p>
    <w:p>
      <w:pPr>
        <w:spacing w:line="360" w:lineRule="auto"/>
        <w:rPr>
          <w:color w:val="auto"/>
          <w:sz w:val="24"/>
          <w:highlight w:val="none"/>
        </w:rPr>
      </w:pPr>
      <w:r>
        <w:rPr>
          <w:rFonts w:hint="eastAsia"/>
          <w:b/>
          <w:bCs/>
          <w:color w:val="auto"/>
          <w:sz w:val="24"/>
          <w:highlight w:val="none"/>
        </w:rPr>
        <w:t>附件：</w:t>
      </w:r>
    </w:p>
    <w:p>
      <w:pPr>
        <w:spacing w:line="360" w:lineRule="auto"/>
        <w:jc w:val="center"/>
        <w:rPr>
          <w:b/>
          <w:bCs/>
          <w:color w:val="auto"/>
          <w:sz w:val="24"/>
          <w:highlight w:val="none"/>
        </w:rPr>
      </w:pPr>
      <w:r>
        <w:rPr>
          <w:rFonts w:hint="eastAsia"/>
          <w:b/>
          <w:bCs/>
          <w:color w:val="auto"/>
          <w:sz w:val="24"/>
          <w:highlight w:val="none"/>
        </w:rPr>
        <w:t>《医院保洁、运送服务项目考核细则》（根据实际工作开展情况做微调）</w:t>
      </w:r>
    </w:p>
    <w:p>
      <w:pPr>
        <w:spacing w:line="360" w:lineRule="auto"/>
        <w:ind w:firstLine="480" w:firstLineChars="200"/>
        <w:rPr>
          <w:color w:val="auto"/>
          <w:sz w:val="24"/>
          <w:highlight w:val="none"/>
        </w:rPr>
      </w:pPr>
      <w:r>
        <w:rPr>
          <w:color w:val="auto"/>
          <w:sz w:val="24"/>
          <w:highlight w:val="none"/>
        </w:rPr>
        <w:t>一、根据合同规定，医院每月对乙方提供的保洁、运送服务项目进行考核，考核分为服务到岗率考核与服务质量考核两部分，每月考核结果与乙方服务费的支付情况挂钩。</w:t>
      </w:r>
    </w:p>
    <w:p>
      <w:pPr>
        <w:spacing w:line="360" w:lineRule="auto"/>
        <w:ind w:firstLine="480" w:firstLineChars="200"/>
        <w:rPr>
          <w:color w:val="auto"/>
          <w:sz w:val="24"/>
          <w:highlight w:val="none"/>
        </w:rPr>
      </w:pPr>
      <w:r>
        <w:rPr>
          <w:color w:val="auto"/>
          <w:sz w:val="24"/>
          <w:highlight w:val="none"/>
        </w:rPr>
        <w:t>二、乙方应按照医院保洁、运送各岗位工作要求配备服务人员，使用科室每月对乙方服务人员到岗情况进行检查，由乙方提交当月各岗位服务人员清单，总务科进行核实，实际到岗率应达到100%，如有特殊情况，经使用部门认可后，双方协商处理。</w:t>
      </w:r>
    </w:p>
    <w:p>
      <w:pPr>
        <w:spacing w:line="360" w:lineRule="auto"/>
        <w:ind w:firstLine="480" w:firstLineChars="200"/>
        <w:rPr>
          <w:color w:val="auto"/>
          <w:sz w:val="24"/>
          <w:highlight w:val="none"/>
        </w:rPr>
      </w:pPr>
      <w:r>
        <w:rPr>
          <w:color w:val="auto"/>
          <w:sz w:val="24"/>
          <w:highlight w:val="none"/>
        </w:rPr>
        <w:t>三、每月质量考核分为两部分，总分100分，第一部分为满意度测评得分，占50%，第二部分为日常考评得分，占50%。考核总分=（满意度测评平均得分*50%）+（日常考评得分*50%）+</w:t>
      </w:r>
      <w:r>
        <w:rPr>
          <w:rFonts w:hint="eastAsia"/>
          <w:color w:val="auto"/>
          <w:sz w:val="24"/>
          <w:highlight w:val="none"/>
        </w:rPr>
        <w:t>奖励</w:t>
      </w:r>
      <w:r>
        <w:rPr>
          <w:color w:val="auto"/>
          <w:sz w:val="24"/>
          <w:highlight w:val="none"/>
        </w:rPr>
        <w:t>分，由总务科负责核实、统计。</w:t>
      </w:r>
    </w:p>
    <w:p>
      <w:pPr>
        <w:spacing w:line="360" w:lineRule="auto"/>
        <w:ind w:firstLine="480" w:firstLineChars="200"/>
        <w:rPr>
          <w:color w:val="auto"/>
          <w:sz w:val="24"/>
          <w:highlight w:val="none"/>
        </w:rPr>
      </w:pPr>
      <w:r>
        <w:rPr>
          <w:color w:val="auto"/>
          <w:sz w:val="24"/>
          <w:highlight w:val="none"/>
        </w:rPr>
        <w:t>1、满意度测评</w:t>
      </w:r>
    </w:p>
    <w:p>
      <w:pPr>
        <w:spacing w:line="360" w:lineRule="auto"/>
        <w:ind w:firstLine="480" w:firstLineChars="200"/>
        <w:rPr>
          <w:color w:val="auto"/>
          <w:sz w:val="24"/>
          <w:highlight w:val="none"/>
        </w:rPr>
      </w:pPr>
      <w:r>
        <w:rPr>
          <w:color w:val="auto"/>
          <w:sz w:val="24"/>
          <w:highlight w:val="none"/>
        </w:rPr>
        <w:t>总务科每月向各科室发放医院保洁、运送服务满意度测评表，包括各病区、医技科室（主要为放射科、超声科、药剂科、检验科、病理科）、急诊科，其中门诊各区域由门诊办公室负责打分，行政区域由院办负责打分，测评表见医院保洁、运送服务满意度测评表。</w:t>
      </w:r>
    </w:p>
    <w:p>
      <w:pPr>
        <w:spacing w:line="360" w:lineRule="auto"/>
        <w:ind w:firstLine="480" w:firstLineChars="200"/>
        <w:rPr>
          <w:color w:val="auto"/>
          <w:sz w:val="24"/>
          <w:highlight w:val="none"/>
        </w:rPr>
      </w:pPr>
      <w:r>
        <w:rPr>
          <w:color w:val="auto"/>
          <w:sz w:val="24"/>
          <w:highlight w:val="none"/>
        </w:rPr>
        <w:t>2、日常考评</w:t>
      </w:r>
    </w:p>
    <w:p>
      <w:pPr>
        <w:spacing w:line="360" w:lineRule="auto"/>
        <w:ind w:firstLine="480" w:firstLineChars="200"/>
        <w:rPr>
          <w:color w:val="auto"/>
          <w:sz w:val="24"/>
          <w:highlight w:val="none"/>
        </w:rPr>
      </w:pPr>
      <w:r>
        <w:rPr>
          <w:color w:val="auto"/>
          <w:sz w:val="24"/>
          <w:highlight w:val="none"/>
        </w:rPr>
        <w:t>日常考评每月进行打分，包括每周巡查与专项巡查两部分内容，每周巡查由</w:t>
      </w:r>
      <w:r>
        <w:rPr>
          <w:rFonts w:hint="eastAsia"/>
          <w:color w:val="auto"/>
          <w:sz w:val="24"/>
          <w:highlight w:val="none"/>
        </w:rPr>
        <w:t>总务科</w:t>
      </w:r>
      <w:r>
        <w:rPr>
          <w:color w:val="auto"/>
          <w:sz w:val="24"/>
          <w:highlight w:val="none"/>
        </w:rPr>
        <w:t>管理人员与乙方员共同进行，专项巡查由</w:t>
      </w:r>
      <w:r>
        <w:rPr>
          <w:rFonts w:hint="eastAsia"/>
          <w:color w:val="auto"/>
          <w:sz w:val="24"/>
          <w:highlight w:val="none"/>
        </w:rPr>
        <w:t>总务科</w:t>
      </w:r>
      <w:r>
        <w:rPr>
          <w:color w:val="auto"/>
          <w:sz w:val="24"/>
          <w:highlight w:val="none"/>
        </w:rPr>
        <w:t>、院感科及相关科室护士长与乙方人员不定期进行。巡查应有记录，每次巡检后进行小结反馈，考评标准见医院保洁、运送服务质量日常考评表。</w:t>
      </w:r>
    </w:p>
    <w:p>
      <w:pPr>
        <w:spacing w:line="360" w:lineRule="auto"/>
        <w:ind w:firstLine="480" w:firstLineChars="200"/>
        <w:rPr>
          <w:color w:val="auto"/>
          <w:sz w:val="24"/>
          <w:highlight w:val="none"/>
        </w:rPr>
      </w:pPr>
      <w:r>
        <w:rPr>
          <w:color w:val="auto"/>
          <w:sz w:val="24"/>
          <w:highlight w:val="none"/>
        </w:rPr>
        <w:t>3、台账要求</w:t>
      </w:r>
    </w:p>
    <w:p>
      <w:pPr>
        <w:spacing w:line="360" w:lineRule="auto"/>
        <w:ind w:firstLine="480" w:firstLineChars="200"/>
        <w:rPr>
          <w:color w:val="auto"/>
          <w:sz w:val="24"/>
          <w:highlight w:val="none"/>
        </w:rPr>
      </w:pPr>
      <w:r>
        <w:rPr>
          <w:color w:val="auto"/>
          <w:sz w:val="24"/>
          <w:highlight w:val="none"/>
        </w:rPr>
        <w:t>乙方应在项目运行1个月后提交服务周期的整体工作计划，并于服务期内每个自然年年终（12月），提交年度工作总结与工作计划，每月10前提交上一月工作总结，每月25前提交下月工作计划。</w:t>
      </w:r>
    </w:p>
    <w:p>
      <w:pPr>
        <w:spacing w:line="360" w:lineRule="auto"/>
        <w:ind w:firstLine="480" w:firstLineChars="200"/>
        <w:rPr>
          <w:color w:val="auto"/>
          <w:sz w:val="24"/>
          <w:highlight w:val="none"/>
        </w:rPr>
      </w:pPr>
      <w:r>
        <w:rPr>
          <w:color w:val="auto"/>
          <w:sz w:val="24"/>
          <w:highlight w:val="none"/>
        </w:rPr>
        <w:t>4、考核反馈</w:t>
      </w:r>
    </w:p>
    <w:p>
      <w:pPr>
        <w:spacing w:line="360" w:lineRule="auto"/>
        <w:ind w:firstLine="480" w:firstLineChars="200"/>
        <w:rPr>
          <w:color w:val="auto"/>
          <w:sz w:val="24"/>
          <w:highlight w:val="none"/>
        </w:rPr>
      </w:pPr>
      <w:r>
        <w:rPr>
          <w:color w:val="auto"/>
          <w:sz w:val="24"/>
          <w:highlight w:val="none"/>
        </w:rPr>
        <w:t>总务科每月、每季度组织召开保洁、运送服务项目工作总结会议，对上一月考核结果及存在问题进行反馈；日常巡查中发现的问题及相关部门提供的问题清单，通过现场反馈、月度与即时书面反馈等形式进行双向沟通，乙方应根据甲方要求按时进行整改，必要时需提交书面整改报告。</w:t>
      </w:r>
    </w:p>
    <w:p>
      <w:pPr>
        <w:spacing w:line="360" w:lineRule="auto"/>
        <w:ind w:firstLine="480" w:firstLineChars="200"/>
        <w:rPr>
          <w:color w:val="auto"/>
          <w:sz w:val="24"/>
          <w:highlight w:val="none"/>
        </w:rPr>
      </w:pPr>
      <w:r>
        <w:rPr>
          <w:color w:val="auto"/>
          <w:sz w:val="24"/>
          <w:highlight w:val="none"/>
        </w:rPr>
        <w:t>四、根据评分规则，结合工作实际，确定85分为基准分，</w:t>
      </w:r>
      <w:r>
        <w:rPr>
          <w:rFonts w:hint="eastAsia" w:ascii="宋体" w:hAnsi="宋体" w:cs="宋体"/>
          <w:color w:val="auto"/>
          <w:sz w:val="24"/>
          <w:highlight w:val="none"/>
        </w:rPr>
        <w:t>得分≥85分，当月服务费全额给付，</w:t>
      </w:r>
      <w:r>
        <w:rPr>
          <w:color w:val="auto"/>
          <w:sz w:val="24"/>
          <w:highlight w:val="none"/>
        </w:rPr>
        <w:t>得分在80-85</w:t>
      </w:r>
      <w:r>
        <w:rPr>
          <w:rFonts w:hint="eastAsia"/>
          <w:color w:val="auto"/>
          <w:sz w:val="24"/>
          <w:highlight w:val="none"/>
        </w:rPr>
        <w:t>分</w:t>
      </w:r>
      <w:r>
        <w:rPr>
          <w:color w:val="auto"/>
          <w:sz w:val="24"/>
          <w:highlight w:val="none"/>
        </w:rPr>
        <w:t>（不含85</w:t>
      </w:r>
      <w:r>
        <w:rPr>
          <w:rFonts w:hint="eastAsia"/>
          <w:color w:val="auto"/>
          <w:sz w:val="24"/>
          <w:highlight w:val="none"/>
        </w:rPr>
        <w:t>分</w:t>
      </w:r>
      <w:r>
        <w:rPr>
          <w:color w:val="auto"/>
          <w:sz w:val="24"/>
          <w:highlight w:val="none"/>
        </w:rPr>
        <w:t>）之间的，每下降一分扣除乙方</w:t>
      </w:r>
      <w:r>
        <w:rPr>
          <w:rFonts w:hint="eastAsia"/>
          <w:color w:val="auto"/>
          <w:sz w:val="24"/>
          <w:highlight w:val="none"/>
        </w:rPr>
        <w:t>月度</w:t>
      </w:r>
      <w:r>
        <w:rPr>
          <w:color w:val="auto"/>
          <w:sz w:val="24"/>
          <w:highlight w:val="none"/>
        </w:rPr>
        <w:t>服务费</w:t>
      </w:r>
      <w:r>
        <w:rPr>
          <w:rFonts w:hint="eastAsia"/>
          <w:color w:val="auto"/>
          <w:sz w:val="24"/>
          <w:highlight w:val="none"/>
        </w:rPr>
        <w:t>的</w:t>
      </w:r>
      <w:r>
        <w:rPr>
          <w:color w:val="auto"/>
          <w:sz w:val="24"/>
          <w:highlight w:val="none"/>
        </w:rPr>
        <w:t>1‰，得分在80</w:t>
      </w:r>
      <w:r>
        <w:rPr>
          <w:rFonts w:hint="eastAsia"/>
          <w:color w:val="auto"/>
          <w:sz w:val="24"/>
          <w:highlight w:val="none"/>
        </w:rPr>
        <w:t>分</w:t>
      </w:r>
      <w:r>
        <w:rPr>
          <w:color w:val="auto"/>
          <w:sz w:val="24"/>
          <w:highlight w:val="none"/>
        </w:rPr>
        <w:t>以下的，每下降一分扣除乙方</w:t>
      </w:r>
      <w:r>
        <w:rPr>
          <w:rFonts w:hint="eastAsia"/>
          <w:color w:val="auto"/>
          <w:sz w:val="24"/>
          <w:highlight w:val="none"/>
        </w:rPr>
        <w:t>月度</w:t>
      </w:r>
      <w:r>
        <w:rPr>
          <w:color w:val="auto"/>
          <w:sz w:val="24"/>
          <w:highlight w:val="none"/>
        </w:rPr>
        <w:t>服务费</w:t>
      </w:r>
      <w:r>
        <w:rPr>
          <w:rFonts w:hint="eastAsia"/>
          <w:color w:val="auto"/>
          <w:sz w:val="24"/>
          <w:highlight w:val="none"/>
        </w:rPr>
        <w:t>的</w:t>
      </w:r>
      <w:r>
        <w:rPr>
          <w:color w:val="auto"/>
          <w:sz w:val="24"/>
          <w:highlight w:val="none"/>
        </w:rPr>
        <w:t>2‰。</w:t>
      </w:r>
    </w:p>
    <w:p>
      <w:pPr>
        <w:spacing w:line="360" w:lineRule="auto"/>
        <w:ind w:firstLine="480" w:firstLineChars="200"/>
        <w:rPr>
          <w:color w:val="auto"/>
          <w:sz w:val="24"/>
          <w:highlight w:val="none"/>
        </w:rPr>
      </w:pPr>
      <w:r>
        <w:rPr>
          <w:color w:val="auto"/>
          <w:sz w:val="24"/>
          <w:highlight w:val="none"/>
        </w:rPr>
        <w:t>五、乙方服务KPI指标</w:t>
      </w:r>
    </w:p>
    <w:p>
      <w:pPr>
        <w:spacing w:line="360" w:lineRule="auto"/>
        <w:ind w:firstLine="480" w:firstLineChars="200"/>
        <w:rPr>
          <w:rFonts w:ascii="宋体" w:hAnsi="宋体"/>
          <w:color w:val="auto"/>
          <w:highlight w:val="none"/>
        </w:rPr>
      </w:pPr>
      <w:r>
        <w:rPr>
          <w:color w:val="auto"/>
          <w:sz w:val="24"/>
          <w:highlight w:val="none"/>
        </w:rPr>
        <w:t>乙方服务设立月度KPI考核指标，指标未达到目标值时，额外扣除乙方服务费。</w:t>
      </w:r>
    </w:p>
    <w:tbl>
      <w:tblPr>
        <w:tblStyle w:val="80"/>
        <w:tblW w:w="852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1857"/>
        <w:gridCol w:w="2006"/>
        <w:gridCol w:w="19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监管指标</w:t>
            </w:r>
          </w:p>
        </w:tc>
        <w:tc>
          <w:tcPr>
            <w:tcW w:w="185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目标</w:t>
            </w:r>
          </w:p>
        </w:tc>
        <w:tc>
          <w:tcPr>
            <w:tcW w:w="2006" w:type="dxa"/>
          </w:tcPr>
          <w:p>
            <w:pPr>
              <w:spacing w:line="360" w:lineRule="auto"/>
              <w:jc w:val="center"/>
              <w:rPr>
                <w:rFonts w:ascii="宋体" w:hAnsi="宋体"/>
                <w:color w:val="auto"/>
                <w:sz w:val="24"/>
                <w:highlight w:val="none"/>
              </w:rPr>
            </w:pPr>
            <w:r>
              <w:rPr>
                <w:rFonts w:hint="eastAsia" w:ascii="宋体" w:hAnsi="宋体"/>
                <w:color w:val="auto"/>
                <w:sz w:val="24"/>
                <w:highlight w:val="none"/>
              </w:rPr>
              <w:t>监控频率</w:t>
            </w:r>
          </w:p>
        </w:tc>
        <w:tc>
          <w:tcPr>
            <w:tcW w:w="1990" w:type="dxa"/>
          </w:tcPr>
          <w:p>
            <w:pPr>
              <w:spacing w:line="360" w:lineRule="auto"/>
              <w:jc w:val="center"/>
              <w:rPr>
                <w:rFonts w:ascii="宋体" w:hAnsi="宋体"/>
                <w:color w:val="auto"/>
                <w:sz w:val="24"/>
                <w:highlight w:val="none"/>
              </w:rPr>
            </w:pPr>
            <w:r>
              <w:rPr>
                <w:rFonts w:hint="eastAsia" w:ascii="宋体" w:hAnsi="宋体"/>
                <w:color w:val="auto"/>
                <w:sz w:val="24"/>
                <w:highlight w:val="none"/>
              </w:rPr>
              <w:t>扣罚标准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管理人员到岗率</w:t>
            </w:r>
          </w:p>
        </w:tc>
        <w:tc>
          <w:tcPr>
            <w:tcW w:w="185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100%</w:t>
            </w:r>
          </w:p>
        </w:tc>
        <w:tc>
          <w:tcPr>
            <w:tcW w:w="2006" w:type="dxa"/>
          </w:tcPr>
          <w:p>
            <w:pPr>
              <w:spacing w:line="360" w:lineRule="auto"/>
              <w:jc w:val="center"/>
              <w:rPr>
                <w:rFonts w:ascii="宋体" w:hAnsi="宋体"/>
                <w:color w:val="auto"/>
                <w:sz w:val="24"/>
                <w:highlight w:val="none"/>
              </w:rPr>
            </w:pPr>
            <w:r>
              <w:rPr>
                <w:rFonts w:hint="eastAsia" w:ascii="宋体" w:hAnsi="宋体"/>
                <w:color w:val="auto"/>
                <w:sz w:val="24"/>
                <w:highlight w:val="none"/>
              </w:rPr>
              <w:t>每月</w:t>
            </w:r>
          </w:p>
        </w:tc>
        <w:tc>
          <w:tcPr>
            <w:tcW w:w="1990" w:type="dxa"/>
          </w:tcPr>
          <w:p>
            <w:pPr>
              <w:spacing w:line="360" w:lineRule="auto"/>
              <w:jc w:val="center"/>
              <w:rPr>
                <w:rFonts w:ascii="宋体" w:hAnsi="宋体"/>
                <w:color w:val="auto"/>
                <w:sz w:val="24"/>
                <w:highlight w:val="none"/>
              </w:rPr>
            </w:pPr>
            <w:r>
              <w:rPr>
                <w:rFonts w:hint="eastAsia" w:ascii="宋体" w:hAnsi="宋体"/>
                <w:color w:val="auto"/>
                <w:sz w:val="24"/>
                <w:highlight w:val="none"/>
              </w:rPr>
              <w:t>未达标扣500元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员工月度离职率</w:t>
            </w:r>
          </w:p>
        </w:tc>
        <w:tc>
          <w:tcPr>
            <w:tcW w:w="185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2006" w:type="dxa"/>
          </w:tcPr>
          <w:p>
            <w:pPr>
              <w:spacing w:line="360" w:lineRule="auto"/>
              <w:jc w:val="center"/>
              <w:rPr>
                <w:rFonts w:ascii="宋体" w:hAnsi="宋体"/>
                <w:color w:val="auto"/>
                <w:sz w:val="24"/>
                <w:highlight w:val="none"/>
              </w:rPr>
            </w:pPr>
            <w:r>
              <w:rPr>
                <w:rFonts w:hint="eastAsia" w:ascii="宋体" w:hAnsi="宋体"/>
                <w:color w:val="auto"/>
                <w:sz w:val="24"/>
                <w:highlight w:val="none"/>
              </w:rPr>
              <w:t>每月</w:t>
            </w:r>
          </w:p>
        </w:tc>
        <w:tc>
          <w:tcPr>
            <w:tcW w:w="1990" w:type="dxa"/>
          </w:tcPr>
          <w:p>
            <w:pPr>
              <w:spacing w:line="360" w:lineRule="auto"/>
              <w:jc w:val="center"/>
              <w:rPr>
                <w:rFonts w:ascii="宋体" w:hAnsi="宋体"/>
                <w:color w:val="auto"/>
                <w:sz w:val="24"/>
                <w:highlight w:val="none"/>
              </w:rPr>
            </w:pPr>
            <w:r>
              <w:rPr>
                <w:rFonts w:hint="eastAsia" w:ascii="宋体" w:hAnsi="宋体"/>
                <w:color w:val="auto"/>
                <w:sz w:val="24"/>
                <w:highlight w:val="none"/>
              </w:rPr>
              <w:t>未达标扣500元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66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运送投诉例次</w:t>
            </w:r>
          </w:p>
        </w:tc>
        <w:tc>
          <w:tcPr>
            <w:tcW w:w="185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006" w:type="dxa"/>
          </w:tcPr>
          <w:p>
            <w:pPr>
              <w:spacing w:line="360" w:lineRule="auto"/>
              <w:jc w:val="center"/>
              <w:rPr>
                <w:rFonts w:ascii="宋体" w:hAnsi="宋体"/>
                <w:color w:val="auto"/>
                <w:sz w:val="24"/>
                <w:highlight w:val="none"/>
              </w:rPr>
            </w:pPr>
            <w:r>
              <w:rPr>
                <w:rFonts w:hint="eastAsia" w:ascii="宋体" w:hAnsi="宋体"/>
                <w:color w:val="auto"/>
                <w:sz w:val="24"/>
                <w:highlight w:val="none"/>
              </w:rPr>
              <w:t>每月</w:t>
            </w:r>
          </w:p>
        </w:tc>
        <w:tc>
          <w:tcPr>
            <w:tcW w:w="1990" w:type="dxa"/>
          </w:tcPr>
          <w:p>
            <w:pPr>
              <w:spacing w:line="360" w:lineRule="auto"/>
              <w:jc w:val="center"/>
              <w:rPr>
                <w:rFonts w:ascii="宋体" w:hAnsi="宋体"/>
                <w:color w:val="auto"/>
                <w:sz w:val="24"/>
                <w:highlight w:val="none"/>
              </w:rPr>
            </w:pPr>
            <w:r>
              <w:rPr>
                <w:rFonts w:hint="eastAsia" w:ascii="宋体" w:hAnsi="宋体"/>
                <w:color w:val="auto"/>
                <w:sz w:val="24"/>
                <w:highlight w:val="none"/>
              </w:rPr>
              <w:t>每例次扣500元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其他投诉</w:t>
            </w:r>
          </w:p>
        </w:tc>
        <w:tc>
          <w:tcPr>
            <w:tcW w:w="185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006" w:type="dxa"/>
          </w:tcPr>
          <w:p>
            <w:pPr>
              <w:spacing w:line="360" w:lineRule="auto"/>
              <w:jc w:val="center"/>
              <w:rPr>
                <w:rFonts w:ascii="宋体" w:hAnsi="宋体"/>
                <w:color w:val="auto"/>
                <w:sz w:val="24"/>
                <w:highlight w:val="none"/>
              </w:rPr>
            </w:pPr>
            <w:r>
              <w:rPr>
                <w:rFonts w:hint="eastAsia" w:ascii="宋体" w:hAnsi="宋体"/>
                <w:color w:val="auto"/>
                <w:sz w:val="24"/>
                <w:highlight w:val="none"/>
              </w:rPr>
              <w:t>每月</w:t>
            </w:r>
          </w:p>
        </w:tc>
        <w:tc>
          <w:tcPr>
            <w:tcW w:w="1990" w:type="dxa"/>
          </w:tcPr>
          <w:p>
            <w:pPr>
              <w:spacing w:line="360" w:lineRule="auto"/>
              <w:jc w:val="center"/>
              <w:rPr>
                <w:rFonts w:ascii="宋体" w:hAnsi="宋体"/>
                <w:color w:val="auto"/>
                <w:sz w:val="24"/>
                <w:highlight w:val="none"/>
              </w:rPr>
            </w:pPr>
            <w:r>
              <w:rPr>
                <w:rFonts w:hint="eastAsia" w:ascii="宋体" w:hAnsi="宋体"/>
                <w:color w:val="auto"/>
                <w:sz w:val="24"/>
                <w:highlight w:val="none"/>
              </w:rPr>
              <w:t>每例次扣500元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第三方满意度测评情况</w:t>
            </w:r>
          </w:p>
        </w:tc>
        <w:tc>
          <w:tcPr>
            <w:tcW w:w="185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无不满意</w:t>
            </w:r>
          </w:p>
        </w:tc>
        <w:tc>
          <w:tcPr>
            <w:tcW w:w="2006" w:type="dxa"/>
          </w:tcPr>
          <w:p>
            <w:pPr>
              <w:spacing w:line="360" w:lineRule="auto"/>
              <w:jc w:val="center"/>
              <w:rPr>
                <w:rFonts w:ascii="宋体" w:hAnsi="宋体"/>
                <w:color w:val="auto"/>
                <w:sz w:val="24"/>
                <w:highlight w:val="none"/>
              </w:rPr>
            </w:pPr>
            <w:r>
              <w:rPr>
                <w:rFonts w:hint="eastAsia" w:ascii="宋体" w:hAnsi="宋体"/>
                <w:color w:val="auto"/>
                <w:sz w:val="24"/>
                <w:highlight w:val="none"/>
              </w:rPr>
              <w:t>每季</w:t>
            </w:r>
          </w:p>
        </w:tc>
        <w:tc>
          <w:tcPr>
            <w:tcW w:w="1990" w:type="dxa"/>
          </w:tcPr>
          <w:p>
            <w:pPr>
              <w:spacing w:line="360" w:lineRule="auto"/>
              <w:jc w:val="center"/>
              <w:rPr>
                <w:rFonts w:ascii="宋体" w:hAnsi="宋体"/>
                <w:color w:val="auto"/>
                <w:sz w:val="24"/>
                <w:highlight w:val="none"/>
              </w:rPr>
            </w:pPr>
            <w:r>
              <w:rPr>
                <w:rFonts w:hint="eastAsia" w:ascii="宋体" w:hAnsi="宋体"/>
                <w:color w:val="auto"/>
                <w:sz w:val="24"/>
                <w:highlight w:val="none"/>
              </w:rPr>
              <w:t>每项不满意扣500元</w:t>
            </w:r>
          </w:p>
        </w:tc>
      </w:tr>
    </w:tbl>
    <w:p>
      <w:pPr>
        <w:spacing w:line="360" w:lineRule="auto"/>
        <w:ind w:firstLine="480" w:firstLineChars="200"/>
        <w:rPr>
          <w:rFonts w:ascii="宋体" w:hAnsi="宋体"/>
          <w:b/>
          <w:bCs/>
          <w:color w:val="auto"/>
          <w:sz w:val="24"/>
          <w:highlight w:val="none"/>
        </w:rPr>
      </w:pPr>
      <w:r>
        <w:rPr>
          <w:rFonts w:hint="eastAsia" w:ascii="宋体" w:hAnsi="宋体" w:cs="宋体"/>
          <w:color w:val="auto"/>
          <w:sz w:val="24"/>
          <w:highlight w:val="none"/>
        </w:rPr>
        <w:t>六、甲方每月将考核结果及扣款情况书面通知乙方，</w:t>
      </w:r>
      <w:r>
        <w:rPr>
          <w:rFonts w:hint="eastAsia" w:ascii="宋体" w:hAnsi="宋体" w:cs="宋体"/>
          <w:color w:val="auto"/>
          <w:sz w:val="24"/>
          <w:highlight w:val="none"/>
        </w:rPr>
        <w:t>乙方</w:t>
      </w:r>
      <w:r>
        <w:rPr>
          <w:rFonts w:hint="eastAsia" w:ascii="宋体" w:hAnsi="宋体" w:cs="宋体"/>
          <w:color w:val="auto"/>
          <w:sz w:val="24"/>
          <w:highlight w:val="none"/>
        </w:rPr>
        <w:t>对扣款情况有异议的甲乙双方协商解决。</w:t>
      </w:r>
    </w:p>
    <w:p>
      <w:pPr>
        <w:shd w:val="clear" w:color="auto" w:fill="FFFFFF"/>
        <w:spacing w:line="360" w:lineRule="auto"/>
        <w:jc w:val="center"/>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u w:val="single"/>
        </w:rPr>
        <w:t xml:space="preserve">   </w:t>
      </w:r>
      <w:r>
        <w:rPr>
          <w:rFonts w:hint="eastAsia" w:ascii="宋体" w:hAnsi="宋体"/>
          <w:b/>
          <w:bCs/>
          <w:color w:val="auto"/>
          <w:sz w:val="24"/>
          <w:highlight w:val="none"/>
        </w:rPr>
        <w:t>年</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月医院保洁、运送服务满意度测评表</w:t>
      </w:r>
    </w:p>
    <w:p>
      <w:pPr>
        <w:shd w:val="clear" w:color="auto" w:fill="FFFFFF"/>
        <w:spacing w:line="360" w:lineRule="auto"/>
        <w:rPr>
          <w:rFonts w:ascii="宋体" w:hAnsi="宋体"/>
          <w:bCs/>
          <w:color w:val="auto"/>
          <w:sz w:val="24"/>
          <w:highlight w:val="none"/>
        </w:rPr>
      </w:pPr>
      <w:r>
        <w:rPr>
          <w:rFonts w:hint="eastAsia" w:ascii="宋体" w:hAnsi="宋体"/>
          <w:bCs/>
          <w:color w:val="auto"/>
          <w:sz w:val="24"/>
          <w:highlight w:val="none"/>
        </w:rPr>
        <w:t>尊敬的医院人员：</w:t>
      </w:r>
    </w:p>
    <w:p>
      <w:pPr>
        <w:shd w:val="clear" w:color="auto" w:fill="FFFFFF"/>
        <w:spacing w:line="360" w:lineRule="auto"/>
        <w:ind w:firstLine="468"/>
        <w:rPr>
          <w:rFonts w:ascii="宋体" w:hAnsi="宋体"/>
          <w:bCs/>
          <w:color w:val="auto"/>
          <w:sz w:val="24"/>
          <w:highlight w:val="none"/>
        </w:rPr>
      </w:pPr>
      <w:r>
        <w:rPr>
          <w:rFonts w:hint="eastAsia" w:ascii="宋体" w:hAnsi="宋体"/>
          <w:bCs/>
          <w:color w:val="auto"/>
          <w:sz w:val="24"/>
          <w:highlight w:val="none"/>
        </w:rPr>
        <w:t>为了进一步做好医院保洁、运送服务，提升服务质量，加强监督管理，请您在各项服务相应分值栏打“√</w:t>
      </w:r>
      <w:r>
        <w:rPr>
          <w:rFonts w:ascii="宋体" w:hAnsi="宋体"/>
          <w:bCs/>
          <w:color w:val="auto"/>
          <w:sz w:val="24"/>
          <w:highlight w:val="none"/>
        </w:rPr>
        <w:t>”</w:t>
      </w:r>
      <w:r>
        <w:rPr>
          <w:rFonts w:hint="eastAsia" w:ascii="宋体" w:hAnsi="宋体"/>
          <w:bCs/>
          <w:color w:val="auto"/>
          <w:sz w:val="24"/>
          <w:highlight w:val="none"/>
        </w:rPr>
        <w:t xml:space="preserve"> 并提出宝贵意见。您的评分结果将作为保洁、运送服务公司质量考核的重要依据。感谢您的支持！</w:t>
      </w:r>
    </w:p>
    <w:p>
      <w:pPr>
        <w:shd w:val="clear" w:color="auto" w:fill="FFFFFF"/>
        <w:spacing w:line="360" w:lineRule="auto"/>
        <w:rPr>
          <w:rFonts w:ascii="宋体" w:hAnsi="宋体"/>
          <w:color w:val="auto"/>
          <w:sz w:val="24"/>
          <w:highlight w:val="none"/>
        </w:rPr>
      </w:pPr>
      <w:r>
        <w:rPr>
          <w:rFonts w:hint="eastAsia" w:ascii="宋体" w:hAnsi="宋体"/>
          <w:bCs/>
          <w:color w:val="auto"/>
          <w:sz w:val="24"/>
          <w:highlight w:val="none"/>
        </w:rPr>
        <w:t>（评分说明：非常满意10分，基本满意9分，一般7-8分，不满意6分）</w:t>
      </w:r>
    </w:p>
    <w:p>
      <w:pPr>
        <w:spacing w:line="360" w:lineRule="auto"/>
        <w:rPr>
          <w:rFonts w:ascii="宋体" w:hAnsi="宋体"/>
          <w:vanish/>
          <w:color w:val="auto"/>
          <w:sz w:val="24"/>
          <w:highlight w:val="none"/>
        </w:rPr>
      </w:pPr>
    </w:p>
    <w:p>
      <w:pPr>
        <w:shd w:val="clear" w:color="auto" w:fill="FFFFFF"/>
        <w:spacing w:line="360" w:lineRule="auto"/>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、保洁、运送员工在岗期间仪容仪表和服务态度如何？</w:t>
      </w:r>
      <w:r>
        <w:rPr>
          <w:rFonts w:ascii="宋体" w:hAnsi="宋体"/>
          <w:b/>
          <w:color w:val="auto"/>
          <w:sz w:val="24"/>
          <w:highlight w:val="none"/>
        </w:rPr>
        <w:t xml:space="preserve"> </w:t>
      </w:r>
    </w:p>
    <w:p>
      <w:pPr>
        <w:shd w:val="clear" w:color="auto" w:fill="FFFFFF"/>
        <w:spacing w:line="360" w:lineRule="auto"/>
        <w:rPr>
          <w:rFonts w:ascii="宋体" w:hAnsi="宋体"/>
          <w:color w:val="auto"/>
          <w:sz w:val="24"/>
          <w:highlight w:val="none"/>
        </w:rPr>
      </w:pPr>
      <w:r>
        <w:rPr>
          <w:rFonts w:ascii="宋体" w:hAnsi="宋体"/>
          <w:color w:val="auto"/>
          <w:sz w:val="24"/>
          <w:highlight w:val="none"/>
        </w:rPr>
        <w:t>□10</w:t>
      </w:r>
      <w:r>
        <w:rPr>
          <w:rFonts w:hint="eastAsia" w:ascii="宋体" w:hAnsi="宋体"/>
          <w:color w:val="auto"/>
          <w:sz w:val="24"/>
          <w:highlight w:val="none"/>
        </w:rPr>
        <w:t xml:space="preserve">分    </w:t>
      </w:r>
      <w:r>
        <w:rPr>
          <w:rFonts w:ascii="宋体" w:hAnsi="宋体"/>
          <w:color w:val="auto"/>
          <w:sz w:val="24"/>
          <w:highlight w:val="none"/>
        </w:rPr>
        <w:t>□ </w:t>
      </w:r>
      <w:r>
        <w:rPr>
          <w:rFonts w:hint="eastAsia" w:ascii="宋体" w:hAnsi="宋体"/>
          <w:color w:val="auto"/>
          <w:sz w:val="24"/>
          <w:highlight w:val="none"/>
        </w:rPr>
        <w:t xml:space="preserve">9分   </w:t>
      </w:r>
      <w:r>
        <w:rPr>
          <w:rFonts w:ascii="宋体" w:hAnsi="宋体"/>
          <w:color w:val="auto"/>
          <w:sz w:val="24"/>
          <w:highlight w:val="none"/>
        </w:rPr>
        <w:t>□ </w:t>
      </w:r>
      <w:r>
        <w:rPr>
          <w:rFonts w:hint="eastAsia" w:ascii="宋体" w:hAnsi="宋体"/>
          <w:color w:val="auto"/>
          <w:sz w:val="24"/>
          <w:highlight w:val="none"/>
        </w:rPr>
        <w:t xml:space="preserve">8分   </w:t>
      </w:r>
      <w:r>
        <w:rPr>
          <w:rFonts w:ascii="宋体" w:hAnsi="宋体"/>
          <w:color w:val="auto"/>
          <w:sz w:val="24"/>
          <w:highlight w:val="none"/>
        </w:rPr>
        <w:t>□ </w:t>
      </w:r>
      <w:r>
        <w:rPr>
          <w:rFonts w:hint="eastAsia" w:ascii="宋体" w:hAnsi="宋体"/>
          <w:color w:val="auto"/>
          <w:sz w:val="24"/>
          <w:highlight w:val="none"/>
        </w:rPr>
        <w:t xml:space="preserve">7分   </w:t>
      </w:r>
      <w:r>
        <w:rPr>
          <w:rFonts w:ascii="宋体" w:hAnsi="宋体"/>
          <w:color w:val="auto"/>
          <w:sz w:val="24"/>
          <w:highlight w:val="none"/>
        </w:rPr>
        <w:t>□ </w:t>
      </w:r>
      <w:r>
        <w:rPr>
          <w:rFonts w:hint="eastAsia" w:ascii="宋体" w:hAnsi="宋体"/>
          <w:color w:val="auto"/>
          <w:sz w:val="24"/>
          <w:highlight w:val="none"/>
        </w:rPr>
        <w:t xml:space="preserve">6分   </w:t>
      </w:r>
    </w:p>
    <w:p>
      <w:pPr>
        <w:shd w:val="clear" w:color="auto" w:fill="FFFFFF"/>
        <w:spacing w:line="360" w:lineRule="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、医院外环境、公共区域、电梯、楼梯等卫生状况如何？</w:t>
      </w:r>
    </w:p>
    <w:p>
      <w:pPr>
        <w:shd w:val="clear" w:color="auto" w:fill="FFFFFF"/>
        <w:spacing w:line="360" w:lineRule="auto"/>
        <w:rPr>
          <w:rFonts w:ascii="宋体" w:hAnsi="宋体"/>
          <w:color w:val="auto"/>
          <w:sz w:val="24"/>
          <w:highlight w:val="none"/>
        </w:rPr>
      </w:pPr>
      <w:r>
        <w:rPr>
          <w:rFonts w:ascii="宋体" w:hAnsi="宋体"/>
          <w:color w:val="auto"/>
          <w:sz w:val="24"/>
          <w:highlight w:val="none"/>
        </w:rPr>
        <w:t>□ 10</w:t>
      </w:r>
      <w:r>
        <w:rPr>
          <w:rFonts w:hint="eastAsia" w:ascii="宋体" w:hAnsi="宋体"/>
          <w:color w:val="auto"/>
          <w:sz w:val="24"/>
          <w:highlight w:val="none"/>
        </w:rPr>
        <w:t xml:space="preserve">分   </w:t>
      </w:r>
      <w:r>
        <w:rPr>
          <w:rFonts w:ascii="宋体" w:hAnsi="宋体"/>
          <w:color w:val="auto"/>
          <w:sz w:val="24"/>
          <w:highlight w:val="none"/>
        </w:rPr>
        <w:t>□ </w:t>
      </w:r>
      <w:r>
        <w:rPr>
          <w:rFonts w:hint="eastAsia" w:ascii="宋体" w:hAnsi="宋体"/>
          <w:color w:val="auto"/>
          <w:sz w:val="24"/>
          <w:highlight w:val="none"/>
        </w:rPr>
        <w:t xml:space="preserve">9分   </w:t>
      </w:r>
      <w:r>
        <w:rPr>
          <w:rFonts w:ascii="宋体" w:hAnsi="宋体"/>
          <w:color w:val="auto"/>
          <w:sz w:val="24"/>
          <w:highlight w:val="none"/>
        </w:rPr>
        <w:t>□ </w:t>
      </w:r>
      <w:r>
        <w:rPr>
          <w:rFonts w:hint="eastAsia" w:ascii="宋体" w:hAnsi="宋体"/>
          <w:color w:val="auto"/>
          <w:sz w:val="24"/>
          <w:highlight w:val="none"/>
        </w:rPr>
        <w:t xml:space="preserve">8分   </w:t>
      </w:r>
      <w:r>
        <w:rPr>
          <w:rFonts w:ascii="宋体" w:hAnsi="宋体"/>
          <w:color w:val="auto"/>
          <w:sz w:val="24"/>
          <w:highlight w:val="none"/>
        </w:rPr>
        <w:t>□ </w:t>
      </w:r>
      <w:r>
        <w:rPr>
          <w:rFonts w:hint="eastAsia" w:ascii="宋体" w:hAnsi="宋体"/>
          <w:color w:val="auto"/>
          <w:sz w:val="24"/>
          <w:highlight w:val="none"/>
        </w:rPr>
        <w:t xml:space="preserve">7分   </w:t>
      </w:r>
      <w:r>
        <w:rPr>
          <w:rFonts w:ascii="宋体" w:hAnsi="宋体"/>
          <w:color w:val="auto"/>
          <w:sz w:val="24"/>
          <w:highlight w:val="none"/>
        </w:rPr>
        <w:t>□ </w:t>
      </w:r>
      <w:r>
        <w:rPr>
          <w:rFonts w:hint="eastAsia" w:ascii="宋体" w:hAnsi="宋体"/>
          <w:color w:val="auto"/>
          <w:sz w:val="24"/>
          <w:highlight w:val="none"/>
        </w:rPr>
        <w:t xml:space="preserve">6分   </w:t>
      </w:r>
    </w:p>
    <w:p>
      <w:pPr>
        <w:shd w:val="clear" w:color="auto" w:fill="FFFFFF"/>
        <w:spacing w:line="360" w:lineRule="auto"/>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、病房、诊室、治疗室、办公室、值班室、示教室等卫生状况如何？</w:t>
      </w:r>
    </w:p>
    <w:p>
      <w:pPr>
        <w:shd w:val="clear" w:color="auto" w:fill="FFFFFF"/>
        <w:spacing w:line="360" w:lineRule="auto"/>
        <w:rPr>
          <w:rFonts w:ascii="宋体" w:hAnsi="宋体"/>
          <w:color w:val="auto"/>
          <w:sz w:val="24"/>
          <w:highlight w:val="none"/>
        </w:rPr>
      </w:pPr>
      <w:r>
        <w:rPr>
          <w:rFonts w:ascii="宋体" w:hAnsi="宋体"/>
          <w:color w:val="auto"/>
          <w:sz w:val="24"/>
          <w:highlight w:val="none"/>
        </w:rPr>
        <w:t>□ 10</w:t>
      </w:r>
      <w:r>
        <w:rPr>
          <w:rFonts w:hint="eastAsia" w:ascii="宋体" w:hAnsi="宋体"/>
          <w:color w:val="auto"/>
          <w:sz w:val="24"/>
          <w:highlight w:val="none"/>
        </w:rPr>
        <w:t xml:space="preserve">分   </w:t>
      </w:r>
      <w:r>
        <w:rPr>
          <w:rFonts w:ascii="宋体" w:hAnsi="宋体"/>
          <w:color w:val="auto"/>
          <w:sz w:val="24"/>
          <w:highlight w:val="none"/>
        </w:rPr>
        <w:t>□ </w:t>
      </w:r>
      <w:r>
        <w:rPr>
          <w:rFonts w:hint="eastAsia" w:ascii="宋体" w:hAnsi="宋体"/>
          <w:color w:val="auto"/>
          <w:sz w:val="24"/>
          <w:highlight w:val="none"/>
        </w:rPr>
        <w:t xml:space="preserve">9分   </w:t>
      </w:r>
      <w:r>
        <w:rPr>
          <w:rFonts w:ascii="宋体" w:hAnsi="宋体"/>
          <w:color w:val="auto"/>
          <w:sz w:val="24"/>
          <w:highlight w:val="none"/>
        </w:rPr>
        <w:t>□ </w:t>
      </w:r>
      <w:r>
        <w:rPr>
          <w:rFonts w:hint="eastAsia" w:ascii="宋体" w:hAnsi="宋体"/>
          <w:color w:val="auto"/>
          <w:sz w:val="24"/>
          <w:highlight w:val="none"/>
        </w:rPr>
        <w:t xml:space="preserve">8分   </w:t>
      </w:r>
      <w:r>
        <w:rPr>
          <w:rFonts w:ascii="宋体" w:hAnsi="宋体"/>
          <w:color w:val="auto"/>
          <w:sz w:val="24"/>
          <w:highlight w:val="none"/>
        </w:rPr>
        <w:t>□ </w:t>
      </w:r>
      <w:r>
        <w:rPr>
          <w:rFonts w:hint="eastAsia" w:ascii="宋体" w:hAnsi="宋体"/>
          <w:color w:val="auto"/>
          <w:sz w:val="24"/>
          <w:highlight w:val="none"/>
        </w:rPr>
        <w:t xml:space="preserve">7分   </w:t>
      </w:r>
      <w:r>
        <w:rPr>
          <w:rFonts w:ascii="宋体" w:hAnsi="宋体"/>
          <w:color w:val="auto"/>
          <w:sz w:val="24"/>
          <w:highlight w:val="none"/>
        </w:rPr>
        <w:t>□ </w:t>
      </w:r>
      <w:r>
        <w:rPr>
          <w:rFonts w:hint="eastAsia" w:ascii="宋体" w:hAnsi="宋体"/>
          <w:color w:val="auto"/>
          <w:sz w:val="24"/>
          <w:highlight w:val="none"/>
        </w:rPr>
        <w:t xml:space="preserve">6分      </w:t>
      </w:r>
    </w:p>
    <w:p>
      <w:pPr>
        <w:shd w:val="clear" w:color="auto" w:fill="FFFFFF"/>
        <w:spacing w:line="360" w:lineRule="auto"/>
        <w:rPr>
          <w:rFonts w:ascii="宋体" w:hAns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、公共区域卫生间、病房卫生间卫生状况如何？</w:t>
      </w:r>
      <w:r>
        <w:rPr>
          <w:rFonts w:ascii="宋体" w:hAnsi="宋体"/>
          <w:b/>
          <w:color w:val="auto"/>
          <w:sz w:val="24"/>
          <w:highlight w:val="none"/>
        </w:rPr>
        <w:t xml:space="preserve"> </w:t>
      </w:r>
    </w:p>
    <w:p>
      <w:pPr>
        <w:shd w:val="clear" w:color="auto" w:fill="FFFFFF"/>
        <w:spacing w:line="360" w:lineRule="auto"/>
        <w:rPr>
          <w:rFonts w:ascii="宋体" w:hAnsi="宋体"/>
          <w:color w:val="auto"/>
          <w:sz w:val="24"/>
          <w:highlight w:val="none"/>
        </w:rPr>
      </w:pPr>
      <w:r>
        <w:rPr>
          <w:rFonts w:ascii="宋体" w:hAnsi="宋体"/>
          <w:color w:val="auto"/>
          <w:sz w:val="24"/>
          <w:highlight w:val="none"/>
        </w:rPr>
        <w:t>□ 10</w:t>
      </w:r>
      <w:r>
        <w:rPr>
          <w:rFonts w:hint="eastAsia" w:ascii="宋体" w:hAnsi="宋体"/>
          <w:color w:val="auto"/>
          <w:sz w:val="24"/>
          <w:highlight w:val="none"/>
        </w:rPr>
        <w:t xml:space="preserve">分   </w:t>
      </w:r>
      <w:r>
        <w:rPr>
          <w:rFonts w:ascii="宋体" w:hAnsi="宋体"/>
          <w:color w:val="auto"/>
          <w:sz w:val="24"/>
          <w:highlight w:val="none"/>
        </w:rPr>
        <w:t>□ </w:t>
      </w:r>
      <w:r>
        <w:rPr>
          <w:rFonts w:hint="eastAsia" w:ascii="宋体" w:hAnsi="宋体"/>
          <w:color w:val="auto"/>
          <w:sz w:val="24"/>
          <w:highlight w:val="none"/>
        </w:rPr>
        <w:t xml:space="preserve">9分   </w:t>
      </w:r>
      <w:r>
        <w:rPr>
          <w:rFonts w:ascii="宋体" w:hAnsi="宋体"/>
          <w:color w:val="auto"/>
          <w:sz w:val="24"/>
          <w:highlight w:val="none"/>
        </w:rPr>
        <w:t>□ </w:t>
      </w:r>
      <w:r>
        <w:rPr>
          <w:rFonts w:hint="eastAsia" w:ascii="宋体" w:hAnsi="宋体"/>
          <w:color w:val="auto"/>
          <w:sz w:val="24"/>
          <w:highlight w:val="none"/>
        </w:rPr>
        <w:t xml:space="preserve">8分   </w:t>
      </w:r>
      <w:r>
        <w:rPr>
          <w:rFonts w:ascii="宋体" w:hAnsi="宋体"/>
          <w:color w:val="auto"/>
          <w:sz w:val="24"/>
          <w:highlight w:val="none"/>
        </w:rPr>
        <w:t>□ </w:t>
      </w:r>
      <w:r>
        <w:rPr>
          <w:rFonts w:hint="eastAsia" w:ascii="宋体" w:hAnsi="宋体"/>
          <w:color w:val="auto"/>
          <w:sz w:val="24"/>
          <w:highlight w:val="none"/>
        </w:rPr>
        <w:t xml:space="preserve">7分   </w:t>
      </w:r>
      <w:r>
        <w:rPr>
          <w:rFonts w:ascii="宋体" w:hAnsi="宋体"/>
          <w:color w:val="auto"/>
          <w:sz w:val="24"/>
          <w:highlight w:val="none"/>
        </w:rPr>
        <w:t>□ </w:t>
      </w:r>
      <w:r>
        <w:rPr>
          <w:rFonts w:hint="eastAsia" w:ascii="宋体" w:hAnsi="宋体"/>
          <w:color w:val="auto"/>
          <w:sz w:val="24"/>
          <w:highlight w:val="none"/>
        </w:rPr>
        <w:t xml:space="preserve">6分      </w:t>
      </w:r>
    </w:p>
    <w:p>
      <w:pPr>
        <w:shd w:val="clear" w:color="auto" w:fill="FFFFFF"/>
        <w:spacing w:line="360" w:lineRule="auto"/>
        <w:rPr>
          <w:rFonts w:ascii="宋体" w:hAns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、生活垃圾是否及时收取？垃圾桶是否清洁？</w:t>
      </w:r>
      <w:r>
        <w:rPr>
          <w:rFonts w:ascii="宋体" w:hAnsi="宋体"/>
          <w:b/>
          <w:color w:val="auto"/>
          <w:sz w:val="24"/>
          <w:highlight w:val="none"/>
        </w:rPr>
        <w:t xml:space="preserve"> </w:t>
      </w:r>
    </w:p>
    <w:p>
      <w:pPr>
        <w:shd w:val="clear" w:color="auto" w:fill="FFFFFF"/>
        <w:spacing w:line="360" w:lineRule="auto"/>
        <w:rPr>
          <w:rFonts w:ascii="宋体" w:hAnsi="宋体"/>
          <w:color w:val="auto"/>
          <w:sz w:val="24"/>
          <w:highlight w:val="none"/>
        </w:rPr>
      </w:pPr>
      <w:r>
        <w:rPr>
          <w:rFonts w:ascii="宋体" w:hAnsi="宋体"/>
          <w:color w:val="auto"/>
          <w:sz w:val="24"/>
          <w:highlight w:val="none"/>
        </w:rPr>
        <w:t>□ 10</w:t>
      </w:r>
      <w:r>
        <w:rPr>
          <w:rFonts w:hint="eastAsia" w:ascii="宋体" w:hAnsi="宋体"/>
          <w:color w:val="auto"/>
          <w:sz w:val="24"/>
          <w:highlight w:val="none"/>
        </w:rPr>
        <w:t xml:space="preserve">分   </w:t>
      </w:r>
      <w:r>
        <w:rPr>
          <w:rFonts w:ascii="宋体" w:hAnsi="宋体"/>
          <w:color w:val="auto"/>
          <w:sz w:val="24"/>
          <w:highlight w:val="none"/>
        </w:rPr>
        <w:t>□ </w:t>
      </w:r>
      <w:r>
        <w:rPr>
          <w:rFonts w:hint="eastAsia" w:ascii="宋体" w:hAnsi="宋体"/>
          <w:color w:val="auto"/>
          <w:sz w:val="24"/>
          <w:highlight w:val="none"/>
        </w:rPr>
        <w:t xml:space="preserve">9分   </w:t>
      </w:r>
      <w:r>
        <w:rPr>
          <w:rFonts w:ascii="宋体" w:hAnsi="宋体"/>
          <w:color w:val="auto"/>
          <w:sz w:val="24"/>
          <w:highlight w:val="none"/>
        </w:rPr>
        <w:t>□ </w:t>
      </w:r>
      <w:r>
        <w:rPr>
          <w:rFonts w:hint="eastAsia" w:ascii="宋体" w:hAnsi="宋体"/>
          <w:color w:val="auto"/>
          <w:sz w:val="24"/>
          <w:highlight w:val="none"/>
        </w:rPr>
        <w:t xml:space="preserve">8分   </w:t>
      </w:r>
      <w:r>
        <w:rPr>
          <w:rFonts w:ascii="宋体" w:hAnsi="宋体"/>
          <w:color w:val="auto"/>
          <w:sz w:val="24"/>
          <w:highlight w:val="none"/>
        </w:rPr>
        <w:t>□ </w:t>
      </w:r>
      <w:r>
        <w:rPr>
          <w:rFonts w:hint="eastAsia" w:ascii="宋体" w:hAnsi="宋体"/>
          <w:color w:val="auto"/>
          <w:sz w:val="24"/>
          <w:highlight w:val="none"/>
        </w:rPr>
        <w:t xml:space="preserve">7分   </w:t>
      </w:r>
      <w:r>
        <w:rPr>
          <w:rFonts w:ascii="宋体" w:hAnsi="宋体"/>
          <w:color w:val="auto"/>
          <w:sz w:val="24"/>
          <w:highlight w:val="none"/>
        </w:rPr>
        <w:t>□ </w:t>
      </w:r>
      <w:r>
        <w:rPr>
          <w:rFonts w:hint="eastAsia" w:ascii="宋体" w:hAnsi="宋体"/>
          <w:color w:val="auto"/>
          <w:sz w:val="24"/>
          <w:highlight w:val="none"/>
        </w:rPr>
        <w:t xml:space="preserve">6分     </w:t>
      </w:r>
    </w:p>
    <w:p>
      <w:pPr>
        <w:shd w:val="clear" w:color="auto" w:fill="FFFFFF"/>
        <w:spacing w:line="360" w:lineRule="auto"/>
        <w:rPr>
          <w:rFonts w:ascii="宋体" w:hAns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、医疗垃圾是否及时收取</w:t>
      </w:r>
      <w:r>
        <w:rPr>
          <w:rFonts w:ascii="宋体" w:hAnsi="宋体"/>
          <w:b/>
          <w:color w:val="auto"/>
          <w:sz w:val="24"/>
          <w:highlight w:val="none"/>
        </w:rPr>
        <w:t xml:space="preserve"> </w:t>
      </w:r>
      <w:r>
        <w:rPr>
          <w:rFonts w:hint="eastAsia" w:ascii="宋体" w:hAnsi="宋体"/>
          <w:b/>
          <w:color w:val="auto"/>
          <w:sz w:val="24"/>
          <w:highlight w:val="none"/>
        </w:rPr>
        <w:t>？收集过程是否符合要求？</w:t>
      </w:r>
    </w:p>
    <w:p>
      <w:pPr>
        <w:shd w:val="clear" w:color="auto" w:fill="FFFFFF"/>
        <w:spacing w:line="360" w:lineRule="auto"/>
        <w:rPr>
          <w:rFonts w:ascii="宋体" w:hAnsi="宋体"/>
          <w:color w:val="auto"/>
          <w:sz w:val="24"/>
          <w:highlight w:val="none"/>
        </w:rPr>
      </w:pPr>
      <w:r>
        <w:rPr>
          <w:rFonts w:ascii="宋体" w:hAnsi="宋体"/>
          <w:color w:val="auto"/>
          <w:sz w:val="24"/>
          <w:highlight w:val="none"/>
        </w:rPr>
        <w:t>□ </w:t>
      </w:r>
      <w:r>
        <w:rPr>
          <w:rFonts w:hint="eastAsia" w:ascii="宋体" w:hAnsi="宋体"/>
          <w:color w:val="auto"/>
          <w:sz w:val="24"/>
          <w:highlight w:val="none"/>
        </w:rPr>
        <w:t xml:space="preserve">10分   </w:t>
      </w:r>
      <w:r>
        <w:rPr>
          <w:rFonts w:ascii="宋体" w:hAnsi="宋体"/>
          <w:color w:val="auto"/>
          <w:sz w:val="24"/>
          <w:highlight w:val="none"/>
        </w:rPr>
        <w:t>□ </w:t>
      </w:r>
      <w:r>
        <w:rPr>
          <w:rFonts w:hint="eastAsia" w:ascii="宋体" w:hAnsi="宋体"/>
          <w:color w:val="auto"/>
          <w:sz w:val="24"/>
          <w:highlight w:val="none"/>
        </w:rPr>
        <w:t xml:space="preserve">9分   </w:t>
      </w:r>
      <w:r>
        <w:rPr>
          <w:rFonts w:ascii="宋体" w:hAnsi="宋体"/>
          <w:color w:val="auto"/>
          <w:sz w:val="24"/>
          <w:highlight w:val="none"/>
        </w:rPr>
        <w:t>□ </w:t>
      </w:r>
      <w:r>
        <w:rPr>
          <w:rFonts w:hint="eastAsia" w:ascii="宋体" w:hAnsi="宋体"/>
          <w:color w:val="auto"/>
          <w:sz w:val="24"/>
          <w:highlight w:val="none"/>
        </w:rPr>
        <w:t xml:space="preserve">8分   </w:t>
      </w:r>
      <w:r>
        <w:rPr>
          <w:rFonts w:ascii="宋体" w:hAnsi="宋体"/>
          <w:color w:val="auto"/>
          <w:sz w:val="24"/>
          <w:highlight w:val="none"/>
        </w:rPr>
        <w:t>□ </w:t>
      </w:r>
      <w:r>
        <w:rPr>
          <w:rFonts w:hint="eastAsia" w:ascii="宋体" w:hAnsi="宋体"/>
          <w:color w:val="auto"/>
          <w:sz w:val="24"/>
          <w:highlight w:val="none"/>
        </w:rPr>
        <w:t xml:space="preserve">7分   </w:t>
      </w:r>
      <w:r>
        <w:rPr>
          <w:rFonts w:ascii="宋体" w:hAnsi="宋体"/>
          <w:color w:val="auto"/>
          <w:sz w:val="24"/>
          <w:highlight w:val="none"/>
        </w:rPr>
        <w:t>□ </w:t>
      </w:r>
      <w:r>
        <w:rPr>
          <w:rFonts w:hint="eastAsia" w:ascii="宋体" w:hAnsi="宋体"/>
          <w:color w:val="auto"/>
          <w:sz w:val="24"/>
          <w:highlight w:val="none"/>
        </w:rPr>
        <w:t xml:space="preserve">6分      </w:t>
      </w:r>
    </w:p>
    <w:p>
      <w:pPr>
        <w:shd w:val="clear" w:color="auto" w:fill="FFFFFF"/>
        <w:spacing w:line="360" w:lineRule="auto"/>
        <w:rPr>
          <w:rFonts w:ascii="宋体" w:hAns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、毛巾、拖把清洗消毒是否到位？病区终末消毒是否到位？</w:t>
      </w:r>
      <w:r>
        <w:rPr>
          <w:rFonts w:ascii="宋体" w:hAnsi="宋体"/>
          <w:b/>
          <w:color w:val="auto"/>
          <w:sz w:val="24"/>
          <w:highlight w:val="none"/>
        </w:rPr>
        <w:t xml:space="preserve"> </w:t>
      </w:r>
    </w:p>
    <w:p>
      <w:pPr>
        <w:shd w:val="clear" w:color="auto" w:fill="FFFFFF"/>
        <w:spacing w:line="360" w:lineRule="auto"/>
        <w:rPr>
          <w:rFonts w:ascii="宋体" w:hAnsi="宋体"/>
          <w:color w:val="auto"/>
          <w:sz w:val="24"/>
          <w:highlight w:val="none"/>
        </w:rPr>
      </w:pPr>
      <w:r>
        <w:rPr>
          <w:rFonts w:ascii="宋体" w:hAnsi="宋体"/>
          <w:color w:val="auto"/>
          <w:sz w:val="24"/>
          <w:highlight w:val="none"/>
        </w:rPr>
        <w:t>□ </w:t>
      </w:r>
      <w:r>
        <w:rPr>
          <w:rFonts w:hint="eastAsia" w:ascii="宋体" w:hAnsi="宋体"/>
          <w:color w:val="auto"/>
          <w:sz w:val="24"/>
          <w:highlight w:val="none"/>
        </w:rPr>
        <w:t xml:space="preserve">10分   </w:t>
      </w:r>
      <w:r>
        <w:rPr>
          <w:rFonts w:ascii="宋体" w:hAnsi="宋体"/>
          <w:color w:val="auto"/>
          <w:sz w:val="24"/>
          <w:highlight w:val="none"/>
        </w:rPr>
        <w:t>□ </w:t>
      </w:r>
      <w:r>
        <w:rPr>
          <w:rFonts w:hint="eastAsia" w:ascii="宋体" w:hAnsi="宋体"/>
          <w:color w:val="auto"/>
          <w:sz w:val="24"/>
          <w:highlight w:val="none"/>
        </w:rPr>
        <w:t xml:space="preserve">9分   </w:t>
      </w:r>
      <w:r>
        <w:rPr>
          <w:rFonts w:ascii="宋体" w:hAnsi="宋体"/>
          <w:color w:val="auto"/>
          <w:sz w:val="24"/>
          <w:highlight w:val="none"/>
        </w:rPr>
        <w:t>□ </w:t>
      </w:r>
      <w:r>
        <w:rPr>
          <w:rFonts w:hint="eastAsia" w:ascii="宋体" w:hAnsi="宋体"/>
          <w:color w:val="auto"/>
          <w:sz w:val="24"/>
          <w:highlight w:val="none"/>
        </w:rPr>
        <w:t xml:space="preserve">8分   </w:t>
      </w:r>
      <w:r>
        <w:rPr>
          <w:rFonts w:ascii="宋体" w:hAnsi="宋体"/>
          <w:color w:val="auto"/>
          <w:sz w:val="24"/>
          <w:highlight w:val="none"/>
        </w:rPr>
        <w:t>□ </w:t>
      </w:r>
      <w:r>
        <w:rPr>
          <w:rFonts w:hint="eastAsia" w:ascii="宋体" w:hAnsi="宋体"/>
          <w:color w:val="auto"/>
          <w:sz w:val="24"/>
          <w:highlight w:val="none"/>
        </w:rPr>
        <w:t xml:space="preserve">7分   </w:t>
      </w:r>
      <w:r>
        <w:rPr>
          <w:rFonts w:ascii="宋体" w:hAnsi="宋体"/>
          <w:color w:val="auto"/>
          <w:sz w:val="24"/>
          <w:highlight w:val="none"/>
        </w:rPr>
        <w:t>□ </w:t>
      </w:r>
      <w:r>
        <w:rPr>
          <w:rFonts w:hint="eastAsia" w:ascii="宋体" w:hAnsi="宋体"/>
          <w:color w:val="auto"/>
          <w:sz w:val="24"/>
          <w:highlight w:val="none"/>
        </w:rPr>
        <w:t xml:space="preserve">6分    </w:t>
      </w:r>
    </w:p>
    <w:p>
      <w:pPr>
        <w:shd w:val="clear" w:color="auto" w:fill="FFFFFF"/>
        <w:spacing w:line="360" w:lineRule="auto"/>
        <w:rPr>
          <w:rFonts w:ascii="宋体" w:hAnsi="宋体"/>
          <w:b/>
          <w:color w:val="auto"/>
          <w:sz w:val="24"/>
          <w:highlight w:val="none"/>
        </w:rPr>
      </w:pPr>
      <w:r>
        <w:rPr>
          <w:rFonts w:ascii="宋体" w:hAnsi="宋体"/>
          <w:b/>
          <w:color w:val="auto"/>
          <w:sz w:val="24"/>
          <w:highlight w:val="none"/>
        </w:rPr>
        <w:t>8</w:t>
      </w:r>
      <w:r>
        <w:rPr>
          <w:rFonts w:hint="eastAsia" w:ascii="宋体" w:hAnsi="宋体"/>
          <w:b/>
          <w:color w:val="auto"/>
          <w:sz w:val="24"/>
          <w:highlight w:val="none"/>
        </w:rPr>
        <w:t>、运送工作是否及时、负责？运送工具使用是否规范？</w:t>
      </w:r>
    </w:p>
    <w:p>
      <w:pPr>
        <w:shd w:val="clear" w:color="auto" w:fill="FFFFFF"/>
        <w:spacing w:line="360" w:lineRule="auto"/>
        <w:rPr>
          <w:rFonts w:ascii="宋体" w:hAnsi="宋体"/>
          <w:color w:val="auto"/>
          <w:sz w:val="24"/>
          <w:highlight w:val="none"/>
        </w:rPr>
      </w:pPr>
      <w:r>
        <w:rPr>
          <w:rFonts w:ascii="宋体" w:hAnsi="宋体"/>
          <w:color w:val="auto"/>
          <w:sz w:val="24"/>
          <w:highlight w:val="none"/>
        </w:rPr>
        <w:t>□ 10</w:t>
      </w:r>
      <w:r>
        <w:rPr>
          <w:rFonts w:hint="eastAsia" w:ascii="宋体" w:hAnsi="宋体"/>
          <w:color w:val="auto"/>
          <w:sz w:val="24"/>
          <w:highlight w:val="none"/>
        </w:rPr>
        <w:t xml:space="preserve">分   </w:t>
      </w:r>
      <w:r>
        <w:rPr>
          <w:rFonts w:ascii="宋体" w:hAnsi="宋体"/>
          <w:color w:val="auto"/>
          <w:sz w:val="24"/>
          <w:highlight w:val="none"/>
        </w:rPr>
        <w:t>□ </w:t>
      </w:r>
      <w:r>
        <w:rPr>
          <w:rFonts w:hint="eastAsia" w:ascii="宋体" w:hAnsi="宋体"/>
          <w:color w:val="auto"/>
          <w:sz w:val="24"/>
          <w:highlight w:val="none"/>
        </w:rPr>
        <w:t xml:space="preserve">9分   </w:t>
      </w:r>
      <w:r>
        <w:rPr>
          <w:rFonts w:ascii="宋体" w:hAnsi="宋体"/>
          <w:color w:val="auto"/>
          <w:sz w:val="24"/>
          <w:highlight w:val="none"/>
        </w:rPr>
        <w:t>□ </w:t>
      </w:r>
      <w:r>
        <w:rPr>
          <w:rFonts w:hint="eastAsia" w:ascii="宋体" w:hAnsi="宋体"/>
          <w:color w:val="auto"/>
          <w:sz w:val="24"/>
          <w:highlight w:val="none"/>
        </w:rPr>
        <w:t xml:space="preserve">8分   </w:t>
      </w:r>
      <w:r>
        <w:rPr>
          <w:rFonts w:ascii="宋体" w:hAnsi="宋体"/>
          <w:color w:val="auto"/>
          <w:sz w:val="24"/>
          <w:highlight w:val="none"/>
        </w:rPr>
        <w:t>□ </w:t>
      </w:r>
      <w:r>
        <w:rPr>
          <w:rFonts w:hint="eastAsia" w:ascii="宋体" w:hAnsi="宋体"/>
          <w:color w:val="auto"/>
          <w:sz w:val="24"/>
          <w:highlight w:val="none"/>
        </w:rPr>
        <w:t xml:space="preserve">7分   </w:t>
      </w:r>
      <w:r>
        <w:rPr>
          <w:rFonts w:ascii="宋体" w:hAnsi="宋体"/>
          <w:color w:val="auto"/>
          <w:sz w:val="24"/>
          <w:highlight w:val="none"/>
        </w:rPr>
        <w:t>□ </w:t>
      </w:r>
      <w:r>
        <w:rPr>
          <w:rFonts w:hint="eastAsia" w:ascii="宋体" w:hAnsi="宋体"/>
          <w:color w:val="auto"/>
          <w:sz w:val="24"/>
          <w:highlight w:val="none"/>
        </w:rPr>
        <w:t xml:space="preserve">6分   </w:t>
      </w:r>
    </w:p>
    <w:p>
      <w:pPr>
        <w:shd w:val="clear" w:color="auto" w:fill="FFFFFF"/>
        <w:spacing w:line="360" w:lineRule="auto"/>
        <w:rPr>
          <w:rFonts w:ascii="宋体" w:hAnsi="宋体"/>
          <w:b/>
          <w:color w:val="auto"/>
          <w:sz w:val="24"/>
          <w:highlight w:val="none"/>
        </w:rPr>
      </w:pPr>
      <w:r>
        <w:rPr>
          <w:rFonts w:ascii="宋体" w:hAnsi="宋体"/>
          <w:b/>
          <w:color w:val="auto"/>
          <w:sz w:val="24"/>
          <w:highlight w:val="none"/>
        </w:rPr>
        <w:t>9</w:t>
      </w:r>
      <w:r>
        <w:rPr>
          <w:rFonts w:hint="eastAsia" w:ascii="宋体" w:hAnsi="宋体"/>
          <w:b/>
          <w:color w:val="auto"/>
          <w:sz w:val="24"/>
          <w:highlight w:val="none"/>
        </w:rPr>
        <w:t>、保洁、运送员工操作是否符合院感要求，手卫生及自身防护做得如何？</w:t>
      </w:r>
      <w:r>
        <w:rPr>
          <w:rFonts w:ascii="宋体" w:hAnsi="宋体"/>
          <w:b/>
          <w:color w:val="auto"/>
          <w:sz w:val="24"/>
          <w:highlight w:val="none"/>
        </w:rPr>
        <w:t xml:space="preserve"> </w:t>
      </w:r>
    </w:p>
    <w:p>
      <w:pPr>
        <w:shd w:val="clear" w:color="auto" w:fill="FFFFFF"/>
        <w:spacing w:line="360" w:lineRule="auto"/>
        <w:rPr>
          <w:rFonts w:ascii="宋体" w:hAnsi="宋体"/>
          <w:color w:val="auto"/>
          <w:sz w:val="24"/>
          <w:highlight w:val="none"/>
        </w:rPr>
      </w:pPr>
      <w:r>
        <w:rPr>
          <w:rFonts w:ascii="宋体" w:hAnsi="宋体"/>
          <w:color w:val="auto"/>
          <w:sz w:val="24"/>
          <w:highlight w:val="none"/>
        </w:rPr>
        <w:t>□ 10</w:t>
      </w:r>
      <w:r>
        <w:rPr>
          <w:rFonts w:hint="eastAsia" w:ascii="宋体" w:hAnsi="宋体"/>
          <w:color w:val="auto"/>
          <w:sz w:val="24"/>
          <w:highlight w:val="none"/>
        </w:rPr>
        <w:t xml:space="preserve">分   </w:t>
      </w:r>
      <w:r>
        <w:rPr>
          <w:rFonts w:ascii="宋体" w:hAnsi="宋体"/>
          <w:color w:val="auto"/>
          <w:sz w:val="24"/>
          <w:highlight w:val="none"/>
        </w:rPr>
        <w:t>□ </w:t>
      </w:r>
      <w:r>
        <w:rPr>
          <w:rFonts w:hint="eastAsia" w:ascii="宋体" w:hAnsi="宋体"/>
          <w:color w:val="auto"/>
          <w:sz w:val="24"/>
          <w:highlight w:val="none"/>
        </w:rPr>
        <w:t xml:space="preserve">9分   </w:t>
      </w:r>
      <w:r>
        <w:rPr>
          <w:rFonts w:ascii="宋体" w:hAnsi="宋体"/>
          <w:color w:val="auto"/>
          <w:sz w:val="24"/>
          <w:highlight w:val="none"/>
        </w:rPr>
        <w:t>□ </w:t>
      </w:r>
      <w:r>
        <w:rPr>
          <w:rFonts w:hint="eastAsia" w:ascii="宋体" w:hAnsi="宋体"/>
          <w:color w:val="auto"/>
          <w:sz w:val="24"/>
          <w:highlight w:val="none"/>
        </w:rPr>
        <w:t xml:space="preserve">8分   </w:t>
      </w:r>
      <w:r>
        <w:rPr>
          <w:rFonts w:ascii="宋体" w:hAnsi="宋体"/>
          <w:color w:val="auto"/>
          <w:sz w:val="24"/>
          <w:highlight w:val="none"/>
        </w:rPr>
        <w:t>□ </w:t>
      </w:r>
      <w:r>
        <w:rPr>
          <w:rFonts w:hint="eastAsia" w:ascii="宋体" w:hAnsi="宋体"/>
          <w:color w:val="auto"/>
          <w:sz w:val="24"/>
          <w:highlight w:val="none"/>
        </w:rPr>
        <w:t xml:space="preserve">7分   </w:t>
      </w:r>
      <w:r>
        <w:rPr>
          <w:rFonts w:ascii="宋体" w:hAnsi="宋体"/>
          <w:color w:val="auto"/>
          <w:sz w:val="24"/>
          <w:highlight w:val="none"/>
        </w:rPr>
        <w:t>□ </w:t>
      </w:r>
      <w:r>
        <w:rPr>
          <w:rFonts w:hint="eastAsia" w:ascii="宋体" w:hAnsi="宋体"/>
          <w:color w:val="auto"/>
          <w:sz w:val="24"/>
          <w:highlight w:val="none"/>
        </w:rPr>
        <w:t xml:space="preserve">6分   </w:t>
      </w:r>
    </w:p>
    <w:p>
      <w:pPr>
        <w:shd w:val="clear" w:color="auto" w:fill="FFFFFF"/>
        <w:spacing w:line="360" w:lineRule="auto"/>
        <w:rPr>
          <w:rFonts w:ascii="宋体" w:hAnsi="宋体"/>
          <w:b/>
          <w:color w:val="auto"/>
          <w:sz w:val="24"/>
          <w:highlight w:val="none"/>
        </w:rPr>
      </w:pPr>
      <w:r>
        <w:rPr>
          <w:rFonts w:ascii="宋体" w:hAnsi="宋体"/>
          <w:b/>
          <w:color w:val="auto"/>
          <w:sz w:val="24"/>
          <w:highlight w:val="none"/>
        </w:rPr>
        <w:t>10</w:t>
      </w:r>
      <w:r>
        <w:rPr>
          <w:rFonts w:hint="eastAsia" w:ascii="宋体" w:hAnsi="宋体"/>
          <w:b/>
          <w:color w:val="auto"/>
          <w:sz w:val="24"/>
          <w:highlight w:val="none"/>
        </w:rPr>
        <w:t>、保洁、运送主管人员是否稳定？是否到科室沟通巡视并督促员工工作，对提出的问题是否积极处理？</w:t>
      </w:r>
    </w:p>
    <w:p>
      <w:pPr>
        <w:shd w:val="clear" w:color="auto" w:fill="FFFFFF"/>
        <w:spacing w:line="360" w:lineRule="auto"/>
        <w:rPr>
          <w:rFonts w:ascii="宋体" w:hAnsi="宋体"/>
          <w:color w:val="auto"/>
          <w:sz w:val="24"/>
          <w:highlight w:val="none"/>
        </w:rPr>
      </w:pPr>
      <w:r>
        <w:rPr>
          <w:rFonts w:ascii="宋体" w:hAnsi="宋体"/>
          <w:color w:val="auto"/>
          <w:sz w:val="24"/>
          <w:highlight w:val="none"/>
        </w:rPr>
        <w:t>□ 10</w:t>
      </w:r>
      <w:r>
        <w:rPr>
          <w:rFonts w:hint="eastAsia" w:ascii="宋体" w:hAnsi="宋体"/>
          <w:color w:val="auto"/>
          <w:sz w:val="24"/>
          <w:highlight w:val="none"/>
        </w:rPr>
        <w:t xml:space="preserve">分   </w:t>
      </w:r>
      <w:r>
        <w:rPr>
          <w:rFonts w:ascii="宋体" w:hAnsi="宋体"/>
          <w:color w:val="auto"/>
          <w:sz w:val="24"/>
          <w:highlight w:val="none"/>
        </w:rPr>
        <w:t>□ </w:t>
      </w:r>
      <w:r>
        <w:rPr>
          <w:rFonts w:hint="eastAsia" w:ascii="宋体" w:hAnsi="宋体"/>
          <w:color w:val="auto"/>
          <w:sz w:val="24"/>
          <w:highlight w:val="none"/>
        </w:rPr>
        <w:t xml:space="preserve">9分   </w:t>
      </w:r>
      <w:r>
        <w:rPr>
          <w:rFonts w:ascii="宋体" w:hAnsi="宋体"/>
          <w:color w:val="auto"/>
          <w:sz w:val="24"/>
          <w:highlight w:val="none"/>
        </w:rPr>
        <w:t>□ </w:t>
      </w:r>
      <w:r>
        <w:rPr>
          <w:rFonts w:hint="eastAsia" w:ascii="宋体" w:hAnsi="宋体"/>
          <w:color w:val="auto"/>
          <w:sz w:val="24"/>
          <w:highlight w:val="none"/>
        </w:rPr>
        <w:t xml:space="preserve">8分   </w:t>
      </w:r>
      <w:r>
        <w:rPr>
          <w:rFonts w:ascii="宋体" w:hAnsi="宋体"/>
          <w:color w:val="auto"/>
          <w:sz w:val="24"/>
          <w:highlight w:val="none"/>
        </w:rPr>
        <w:t>□ </w:t>
      </w:r>
      <w:r>
        <w:rPr>
          <w:rFonts w:hint="eastAsia" w:ascii="宋体" w:hAnsi="宋体"/>
          <w:color w:val="auto"/>
          <w:sz w:val="24"/>
          <w:highlight w:val="none"/>
        </w:rPr>
        <w:t xml:space="preserve">7分   </w:t>
      </w:r>
      <w:r>
        <w:rPr>
          <w:rFonts w:ascii="宋体" w:hAnsi="宋体"/>
          <w:color w:val="auto"/>
          <w:sz w:val="24"/>
          <w:highlight w:val="none"/>
        </w:rPr>
        <w:t>□ </w:t>
      </w:r>
      <w:r>
        <w:rPr>
          <w:rFonts w:hint="eastAsia" w:ascii="宋体" w:hAnsi="宋体"/>
          <w:color w:val="auto"/>
          <w:sz w:val="24"/>
          <w:highlight w:val="none"/>
        </w:rPr>
        <w:t xml:space="preserve">6分   </w:t>
      </w:r>
    </w:p>
    <w:p>
      <w:pPr>
        <w:shd w:val="clear" w:color="auto" w:fill="FFFFFF"/>
        <w:spacing w:line="360" w:lineRule="auto"/>
        <w:rPr>
          <w:rFonts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您认为保洁、运送服务存在的主要问题有哪些？</w:t>
      </w:r>
    </w:p>
    <w:p>
      <w:pPr>
        <w:shd w:val="clear" w:color="auto" w:fill="FFFFFF"/>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                                                                      </w:t>
      </w:r>
    </w:p>
    <w:p>
      <w:pPr>
        <w:shd w:val="clear" w:color="auto" w:fill="FFFFFF"/>
        <w:spacing w:line="360" w:lineRule="auto"/>
        <w:jc w:val="center"/>
        <w:rPr>
          <w:rFonts w:ascii="宋体" w:hAnsi="宋体" w:cs="宋体"/>
          <w:b/>
          <w:color w:val="auto"/>
          <w:sz w:val="24"/>
          <w:highlight w:val="none"/>
        </w:rPr>
      </w:pPr>
    </w:p>
    <w:p>
      <w:pPr>
        <w:shd w:val="clear" w:color="auto" w:fill="FFFFFF"/>
        <w:spacing w:line="360" w:lineRule="auto"/>
        <w:jc w:val="center"/>
        <w:rPr>
          <w:rFonts w:ascii="宋体" w:hAnsi="宋体" w:cs="宋体"/>
          <w:b/>
          <w:color w:val="auto"/>
          <w:sz w:val="24"/>
          <w:highlight w:val="none"/>
        </w:rPr>
      </w:pPr>
    </w:p>
    <w:p>
      <w:pPr>
        <w:shd w:val="clear" w:color="auto" w:fill="FFFFFF"/>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医院保洁、运送服务质量日常考评表（满分100分）</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32"/>
        <w:gridCol w:w="4200"/>
        <w:gridCol w:w="2429"/>
        <w:gridCol w:w="8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416" w:type="dxa"/>
            <w:vAlign w:val="center"/>
          </w:tcPr>
          <w:p>
            <w:pPr>
              <w:jc w:val="center"/>
              <w:rPr>
                <w:rFonts w:ascii="宋体" w:hAnsi="宋体" w:cs="仿宋"/>
                <w:b/>
                <w:color w:val="auto"/>
                <w:sz w:val="24"/>
                <w:highlight w:val="none"/>
              </w:rPr>
            </w:pPr>
            <w:r>
              <w:rPr>
                <w:rFonts w:hint="eastAsia" w:ascii="宋体" w:hAnsi="宋体" w:cs="仿宋"/>
                <w:b/>
                <w:color w:val="auto"/>
                <w:sz w:val="24"/>
                <w:highlight w:val="none"/>
              </w:rPr>
              <w:t>项目</w:t>
            </w:r>
          </w:p>
        </w:tc>
        <w:tc>
          <w:tcPr>
            <w:tcW w:w="4732" w:type="dxa"/>
            <w:gridSpan w:val="2"/>
            <w:vAlign w:val="center"/>
          </w:tcPr>
          <w:p>
            <w:pPr>
              <w:jc w:val="center"/>
              <w:rPr>
                <w:rFonts w:ascii="宋体" w:hAnsi="宋体" w:cs="仿宋"/>
                <w:b/>
                <w:color w:val="auto"/>
                <w:sz w:val="24"/>
                <w:highlight w:val="none"/>
              </w:rPr>
            </w:pPr>
            <w:r>
              <w:rPr>
                <w:rFonts w:hint="eastAsia" w:ascii="宋体" w:hAnsi="宋体" w:cs="仿宋"/>
                <w:b/>
                <w:color w:val="auto"/>
                <w:sz w:val="24"/>
                <w:highlight w:val="none"/>
              </w:rPr>
              <w:t>标 准</w:t>
            </w:r>
          </w:p>
        </w:tc>
        <w:tc>
          <w:tcPr>
            <w:tcW w:w="2429" w:type="dxa"/>
            <w:vAlign w:val="center"/>
          </w:tcPr>
          <w:p>
            <w:pPr>
              <w:jc w:val="center"/>
              <w:rPr>
                <w:rFonts w:ascii="宋体" w:hAnsi="宋体" w:cs="仿宋"/>
                <w:b/>
                <w:color w:val="auto"/>
                <w:sz w:val="24"/>
                <w:highlight w:val="none"/>
              </w:rPr>
            </w:pPr>
            <w:r>
              <w:rPr>
                <w:rFonts w:hint="eastAsia" w:ascii="宋体" w:hAnsi="宋体" w:cs="仿宋"/>
                <w:b/>
                <w:color w:val="auto"/>
                <w:sz w:val="24"/>
                <w:highlight w:val="none"/>
              </w:rPr>
              <w:t>考评要点</w:t>
            </w:r>
          </w:p>
        </w:tc>
        <w:tc>
          <w:tcPr>
            <w:tcW w:w="824" w:type="dxa"/>
            <w:vAlign w:val="center"/>
          </w:tcPr>
          <w:p>
            <w:pPr>
              <w:jc w:val="center"/>
              <w:rPr>
                <w:rFonts w:ascii="宋体" w:hAnsi="宋体" w:cs="仿宋"/>
                <w:b/>
                <w:color w:val="auto"/>
                <w:sz w:val="24"/>
                <w:highlight w:val="none"/>
              </w:rPr>
            </w:pPr>
            <w:r>
              <w:rPr>
                <w:rFonts w:hint="eastAsia" w:ascii="宋体" w:hAnsi="宋体" w:cs="仿宋"/>
                <w:b/>
                <w:color w:val="auto"/>
                <w:sz w:val="24"/>
                <w:highlight w:val="none"/>
              </w:rPr>
              <w:t>扣分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restart"/>
            <w:vAlign w:val="center"/>
          </w:tcPr>
          <w:p>
            <w:pPr>
              <w:jc w:val="center"/>
              <w:rPr>
                <w:rFonts w:ascii="宋体" w:hAnsi="宋体" w:cs="仿宋"/>
                <w:color w:val="auto"/>
                <w:sz w:val="24"/>
                <w:highlight w:val="none"/>
              </w:rPr>
            </w:pPr>
            <w:r>
              <w:rPr>
                <w:rFonts w:hint="eastAsia" w:ascii="宋体" w:hAnsi="宋体" w:cs="仿宋"/>
                <w:color w:val="auto"/>
                <w:sz w:val="24"/>
                <w:highlight w:val="none"/>
              </w:rPr>
              <w:t>人员情况</w:t>
            </w: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管理人员无特殊原因不得兼岗，确需兼岗的，时间不得超过2天。</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有超范围兼岗等情况的每例扣0.5分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员工年龄结构符合院方规定要求，新员工上岗前须进行岗前培训。</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每查到一处不合格扣0.5分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restart"/>
            <w:vAlign w:val="center"/>
          </w:tcPr>
          <w:p>
            <w:pPr>
              <w:jc w:val="center"/>
              <w:rPr>
                <w:rFonts w:ascii="宋体" w:hAnsi="宋体" w:cs="仿宋"/>
                <w:color w:val="auto"/>
                <w:sz w:val="24"/>
                <w:highlight w:val="none"/>
              </w:rPr>
            </w:pPr>
            <w:r>
              <w:rPr>
                <w:rFonts w:hint="eastAsia" w:ascii="宋体" w:hAnsi="宋体" w:cs="仿宋"/>
                <w:color w:val="auto"/>
                <w:sz w:val="24"/>
                <w:highlight w:val="none"/>
              </w:rPr>
              <w:t>管理制度</w:t>
            </w: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物业公司每月召开例会不少于2次，每月业务培训不少于1次，各类会议及时传达有记录，院方要求提交的材料按时完成。</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每缺少1项扣0.1分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特殊岗位员工必须持证上岗</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无证上岗每例扣2分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restart"/>
            <w:vAlign w:val="center"/>
          </w:tcPr>
          <w:p>
            <w:pPr>
              <w:jc w:val="center"/>
              <w:rPr>
                <w:rFonts w:ascii="宋体" w:hAnsi="宋体" w:cs="仿宋"/>
                <w:color w:val="auto"/>
                <w:sz w:val="24"/>
                <w:highlight w:val="none"/>
              </w:rPr>
            </w:pPr>
            <w:r>
              <w:rPr>
                <w:rFonts w:hint="eastAsia" w:ascii="宋体" w:hAnsi="宋体" w:cs="仿宋"/>
                <w:color w:val="auto"/>
                <w:sz w:val="24"/>
                <w:highlight w:val="none"/>
              </w:rPr>
              <w:t>室外环境</w:t>
            </w: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院区道路全天候保持干净，无明显泥沙、污垢，地面的烟头、果皮、纸屑等应在半小时内及时清除。</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院区地面保持干燥，雨、雪天要做好防滑措施，及时清扫积水、积雪。</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院区公共设施保持干净，标识牌、宣传栏等干净明亮；屋顶、平台无杂物、积水；玻璃雨棚无垃圾、青苔、积水、污迹；明沟通常，无污物堆积；绿化带无杂物；下水道无阻塞外溢。</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垃圾暂存点、垃圾桶等及时清运，垃圾桶保持干净，地面无积水。</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地下车库保持干净、干燥，无垃圾、果壳、污迹。</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restart"/>
            <w:vAlign w:val="center"/>
          </w:tcPr>
          <w:p>
            <w:pPr>
              <w:jc w:val="center"/>
              <w:rPr>
                <w:rFonts w:ascii="宋体" w:hAnsi="宋体" w:cs="仿宋"/>
                <w:color w:val="auto"/>
                <w:sz w:val="24"/>
                <w:highlight w:val="none"/>
              </w:rPr>
            </w:pPr>
            <w:r>
              <w:rPr>
                <w:rFonts w:hint="eastAsia" w:ascii="宋体" w:hAnsi="宋体" w:cs="仿宋"/>
                <w:color w:val="auto"/>
                <w:sz w:val="24"/>
                <w:highlight w:val="none"/>
              </w:rPr>
              <w:t>室内公共区</w:t>
            </w: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室内及大厅墙面干净，无污垢，通道、走廊、楼梯、防滑垫干净清洁，无杂物、烟蒂、积尘、蛛网。</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玻璃窗明亮清洁，窗帘干净，门、门框、栏杆、窗台、氧气面板上端、灯具、镜框、开关面板、宣传栏等无积尘，保持干净</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公共卫生间地面、便池/坐便器清洁，无污渍，墙面清洁光亮，垃圾桶及时倾倒，无异味，镜面干净</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室内所有垃圾桶倾倒、更换及时，无满溢，垃圾桶定期清洁，保持干净</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室内公共设施摆放整齐有序，指示牌、宣传牌、防滑告示牌定点、定位，保洁工具、运送工具定位摆放</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院区内不乱挂衣服、不拉线、不乱钉乱贴，不乱放个人物品</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电梯轿厢内保持干净，无杂物果壳，无污渍、手印、鞋印，定时消毒，定期保养。</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pPr>
              <w:jc w:val="center"/>
              <w:rPr>
                <w:rFonts w:ascii="宋体" w:hAnsi="宋体" w:cs="仿宋"/>
                <w:color w:val="auto"/>
                <w:sz w:val="24"/>
                <w:highlight w:val="none"/>
              </w:rPr>
            </w:pPr>
            <w:r>
              <w:rPr>
                <w:rFonts w:hint="eastAsia" w:ascii="宋体" w:hAnsi="宋体" w:cs="仿宋"/>
                <w:color w:val="auto"/>
                <w:sz w:val="24"/>
                <w:highlight w:val="none"/>
              </w:rPr>
              <w:t>工作区</w:t>
            </w: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诊室、治疗室、办公室、会议室、值班室、示教室等保持清洁；灯具、空调进出风口表面等保持干净；地面光亮无杂物，墙面及拐角处无蜘蛛网；办公家具、桌椅台面保持干净，无积尘，无污渍。</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pPr>
              <w:jc w:val="center"/>
              <w:rPr>
                <w:rFonts w:ascii="宋体" w:hAnsi="宋体" w:cs="仿宋"/>
                <w:color w:val="auto"/>
                <w:sz w:val="24"/>
                <w:highlight w:val="none"/>
              </w:rPr>
            </w:pPr>
            <w:r>
              <w:rPr>
                <w:rFonts w:hint="eastAsia" w:ascii="宋体" w:hAnsi="宋体" w:cs="仿宋"/>
                <w:color w:val="auto"/>
                <w:sz w:val="24"/>
                <w:highlight w:val="none"/>
              </w:rPr>
              <w:t>病房</w:t>
            </w: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床单位、床头柜、设备带等干净、无灰尘、无皮屑，病房内设施设备干净，无灰尘，窗台、窗框干净、无灰尘，墙面干净无积灰，病床终末消毒符合院感要求</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pPr>
              <w:jc w:val="center"/>
              <w:rPr>
                <w:rFonts w:ascii="宋体" w:hAnsi="宋体" w:cs="仿宋"/>
                <w:color w:val="auto"/>
                <w:sz w:val="24"/>
                <w:highlight w:val="none"/>
              </w:rPr>
            </w:pPr>
            <w:r>
              <w:rPr>
                <w:rFonts w:hint="eastAsia" w:ascii="宋体" w:hAnsi="宋体" w:cs="仿宋"/>
                <w:color w:val="auto"/>
                <w:sz w:val="24"/>
                <w:highlight w:val="none"/>
              </w:rPr>
              <w:t>候诊区</w:t>
            </w: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各候诊区、休息区、家属等待区内公共设施保持干净，椅面、地面无垃圾，无污渍，擦拭消毒符合要求。</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每查到一处不合格扣0.2分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pPr>
              <w:jc w:val="center"/>
              <w:rPr>
                <w:rFonts w:ascii="宋体" w:hAnsi="宋体" w:cs="仿宋"/>
                <w:color w:val="auto"/>
                <w:sz w:val="24"/>
                <w:highlight w:val="none"/>
              </w:rPr>
            </w:pPr>
            <w:r>
              <w:rPr>
                <w:rFonts w:hint="eastAsia" w:ascii="宋体" w:hAnsi="宋体" w:cs="仿宋"/>
                <w:color w:val="auto"/>
                <w:sz w:val="24"/>
                <w:highlight w:val="none"/>
              </w:rPr>
              <w:t>清洁区</w:t>
            </w: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手术室、监护室、静配中心、供应室、感染病区等清洁要求较高的区域，应按区域要求配备不同的清洁用品，不得混用，工具、物品按区域摆放，地面、墙面、台面、桌椅等保持干净，室内玻璃明亮，窗框、门框等无灰尘、锈蚀。</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每查到一处不合格扣0.2分；驻点人员不服从管理每次扣0.1分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restart"/>
            <w:vAlign w:val="center"/>
          </w:tcPr>
          <w:p>
            <w:pPr>
              <w:jc w:val="center"/>
              <w:rPr>
                <w:rFonts w:ascii="宋体" w:hAnsi="宋体" w:cs="仿宋"/>
                <w:color w:val="auto"/>
                <w:sz w:val="24"/>
                <w:highlight w:val="none"/>
              </w:rPr>
            </w:pPr>
            <w:r>
              <w:rPr>
                <w:rFonts w:hint="eastAsia" w:ascii="宋体" w:hAnsi="宋体" w:cs="仿宋"/>
                <w:color w:val="auto"/>
                <w:sz w:val="24"/>
                <w:highlight w:val="none"/>
              </w:rPr>
              <w:t>地面处理</w:t>
            </w: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每日使用洗地机对公共区域地面进行清洁、保养。</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少一次或一项不合格扣0.2分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地胶板区域有打蜡计划，并按计划与科室沟通完成打蜡，蜡面均匀。</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无计划扣1分，一项不合格扣0.5分，情况严重的酌情加扣，加扣不超过1分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石材地面应定期使用机器清洁、保养，保持光亮。</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restart"/>
            <w:vAlign w:val="center"/>
          </w:tcPr>
          <w:p>
            <w:pPr>
              <w:jc w:val="center"/>
              <w:rPr>
                <w:rFonts w:ascii="宋体" w:hAnsi="宋体" w:cs="仿宋"/>
                <w:color w:val="auto"/>
                <w:sz w:val="24"/>
                <w:highlight w:val="none"/>
              </w:rPr>
            </w:pPr>
            <w:r>
              <w:rPr>
                <w:rFonts w:hint="eastAsia" w:ascii="宋体" w:hAnsi="宋体" w:cs="仿宋"/>
                <w:color w:val="auto"/>
                <w:sz w:val="24"/>
                <w:highlight w:val="none"/>
              </w:rPr>
              <w:t>运送</w:t>
            </w: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运送员工服务态度和蔼，服务热情，对医务人员指令尽快完成，不随意谈论病人病情，无差错发生。</w:t>
            </w:r>
          </w:p>
        </w:tc>
        <w:tc>
          <w:tcPr>
            <w:tcW w:w="2429" w:type="dxa"/>
            <w:vMerge w:val="restart"/>
            <w:vAlign w:val="center"/>
          </w:tcPr>
          <w:p>
            <w:pPr>
              <w:rPr>
                <w:rFonts w:ascii="宋体" w:hAnsi="宋体" w:cs="仿宋"/>
                <w:color w:val="auto"/>
                <w:sz w:val="24"/>
                <w:highlight w:val="none"/>
              </w:rPr>
            </w:pPr>
            <w:r>
              <w:rPr>
                <w:rFonts w:hint="eastAsia" w:ascii="宋体" w:hAnsi="宋体" w:cs="仿宋"/>
                <w:color w:val="auto"/>
                <w:sz w:val="24"/>
                <w:highlight w:val="none"/>
              </w:rPr>
              <w:t>接到不良信息反馈每次扣0.1分，情节严重的可酌情加扣</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及时、安全护送病人检查；及时、安全送检标本、药品、报告单等。</w:t>
            </w:r>
          </w:p>
        </w:tc>
        <w:tc>
          <w:tcPr>
            <w:tcW w:w="2429" w:type="dxa"/>
            <w:vMerge w:val="continue"/>
            <w:vAlign w:val="center"/>
          </w:tcPr>
          <w:p>
            <w:pPr>
              <w:rPr>
                <w:rFonts w:ascii="宋体" w:hAnsi="宋体" w:cs="仿宋"/>
                <w:color w:val="auto"/>
                <w:sz w:val="24"/>
                <w:highlight w:val="none"/>
              </w:rPr>
            </w:pP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中心值班人员不离岗，接线语言文明，工作处理及时、准确。</w:t>
            </w:r>
          </w:p>
        </w:tc>
        <w:tc>
          <w:tcPr>
            <w:tcW w:w="2429" w:type="dxa"/>
            <w:vMerge w:val="continue"/>
            <w:vAlign w:val="center"/>
          </w:tcPr>
          <w:p>
            <w:pPr>
              <w:rPr>
                <w:rFonts w:ascii="宋体" w:hAnsi="宋体" w:cs="仿宋"/>
                <w:color w:val="auto"/>
                <w:sz w:val="24"/>
                <w:highlight w:val="none"/>
              </w:rPr>
            </w:pP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送餐员按要求着装，注意卫生，有序送餐（此项考核内容如院方已要求物业公司提供该服务事项时设置）</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restart"/>
            <w:vAlign w:val="center"/>
          </w:tcPr>
          <w:p>
            <w:pPr>
              <w:jc w:val="center"/>
              <w:rPr>
                <w:rFonts w:ascii="宋体" w:hAnsi="宋体" w:cs="仿宋"/>
                <w:color w:val="auto"/>
                <w:sz w:val="24"/>
                <w:highlight w:val="none"/>
              </w:rPr>
            </w:pPr>
            <w:r>
              <w:rPr>
                <w:rFonts w:hint="eastAsia" w:ascii="宋体" w:hAnsi="宋体" w:cs="仿宋"/>
                <w:color w:val="auto"/>
                <w:sz w:val="24"/>
                <w:highlight w:val="none"/>
              </w:rPr>
              <w:t>医疗废物</w:t>
            </w: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医疗废物由专人负责每天回收，管理人员每日对医疗废物收集进行督查</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收集人员做好个人防护，穿戴好工作衣、手套、口罩、围裙，严禁手压、脚踩方式接触医疗废物</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医疗垃圾房内垃圾存放有序，分类清晰，保持环境整洁，定期清洁</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防止医疗废物丢失，回收人员离开垃圾房必须上锁</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按要求做好回收登记与转运交接登记，存放好每日回收单</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restart"/>
            <w:vAlign w:val="center"/>
          </w:tcPr>
          <w:p>
            <w:pPr>
              <w:jc w:val="center"/>
              <w:rPr>
                <w:rFonts w:ascii="宋体" w:hAnsi="宋体" w:cs="仿宋"/>
                <w:color w:val="auto"/>
                <w:sz w:val="24"/>
                <w:highlight w:val="none"/>
              </w:rPr>
            </w:pPr>
            <w:r>
              <w:rPr>
                <w:rFonts w:hint="eastAsia" w:ascii="宋体" w:hAnsi="宋体" w:cs="仿宋"/>
                <w:color w:val="auto"/>
                <w:sz w:val="24"/>
                <w:highlight w:val="none"/>
              </w:rPr>
              <w:t>绿化</w:t>
            </w: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修剪、浇水、施肥等日常养护及时</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对病虫害的处置及时</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植物状态好，未发生养护不当的植物死亡</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每查到一处不合格扣2分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6" w:type="dxa"/>
            <w:vMerge w:val="restart"/>
            <w:vAlign w:val="center"/>
          </w:tcPr>
          <w:p>
            <w:pPr>
              <w:jc w:val="center"/>
              <w:rPr>
                <w:rFonts w:ascii="宋体" w:hAnsi="宋体" w:cs="仿宋"/>
                <w:color w:val="auto"/>
                <w:sz w:val="24"/>
                <w:highlight w:val="none"/>
              </w:rPr>
            </w:pPr>
            <w:r>
              <w:rPr>
                <w:rFonts w:hint="eastAsia" w:ascii="宋体" w:hAnsi="宋体" w:cs="仿宋"/>
                <w:color w:val="auto"/>
                <w:sz w:val="24"/>
                <w:highlight w:val="none"/>
              </w:rPr>
              <w:t>其它</w:t>
            </w: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保洁、运送工作按照院感要求执行。</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专项保洁有计划，且按院方要求频次完成</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无计划扣0.5分，少一次或一项不合格扣1分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员工应自觉节约医院能源，合理开关水源、电源，发现问题及时向有关部门报告。</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16" w:type="dxa"/>
            <w:vMerge w:val="continue"/>
            <w:vAlign w:val="center"/>
          </w:tcPr>
          <w:p>
            <w:pPr>
              <w:jc w:val="center"/>
              <w:rPr>
                <w:rFonts w:ascii="宋体" w:hAnsi="宋体" w:cs="仿宋"/>
                <w:color w:val="auto"/>
                <w:sz w:val="24"/>
                <w:highlight w:val="none"/>
              </w:rPr>
            </w:pPr>
          </w:p>
        </w:tc>
        <w:tc>
          <w:tcPr>
            <w:tcW w:w="4732" w:type="dxa"/>
            <w:gridSpan w:val="2"/>
            <w:vAlign w:val="center"/>
          </w:tcPr>
          <w:p>
            <w:pPr>
              <w:rPr>
                <w:rFonts w:ascii="宋体" w:hAnsi="宋体" w:cs="仿宋"/>
                <w:color w:val="auto"/>
                <w:sz w:val="24"/>
                <w:highlight w:val="none"/>
              </w:rPr>
            </w:pPr>
            <w:r>
              <w:rPr>
                <w:rFonts w:hint="eastAsia" w:ascii="宋体" w:hAnsi="宋体" w:cs="仿宋"/>
                <w:color w:val="auto"/>
                <w:sz w:val="24"/>
                <w:highlight w:val="none"/>
              </w:rPr>
              <w:t>协助院方劝阻吸烟。</w:t>
            </w:r>
          </w:p>
        </w:tc>
        <w:tc>
          <w:tcPr>
            <w:tcW w:w="2429" w:type="dxa"/>
            <w:vAlign w:val="center"/>
          </w:tcPr>
          <w:p>
            <w:pPr>
              <w:rPr>
                <w:rFonts w:ascii="宋体" w:hAnsi="宋体" w:cs="仿宋"/>
                <w:color w:val="auto"/>
                <w:sz w:val="24"/>
                <w:highlight w:val="none"/>
              </w:rPr>
            </w:pPr>
            <w:r>
              <w:rPr>
                <w:rFonts w:hint="eastAsia" w:ascii="宋体" w:hAnsi="宋体" w:cs="仿宋"/>
                <w:color w:val="auto"/>
                <w:sz w:val="24"/>
                <w:highlight w:val="none"/>
              </w:rPr>
              <w:t>每查到一处不合格扣0.1分</w:t>
            </w:r>
          </w:p>
          <w:p>
            <w:pPr>
              <w:rPr>
                <w:rFonts w:ascii="宋体" w:hAnsi="宋体" w:cs="仿宋"/>
                <w:color w:val="auto"/>
                <w:sz w:val="24"/>
                <w:highlight w:val="none"/>
              </w:rPr>
            </w:pPr>
            <w:r>
              <w:rPr>
                <w:rFonts w:hint="eastAsia" w:ascii="宋体" w:hAnsi="宋体" w:cs="仿宋"/>
                <w:color w:val="auto"/>
                <w:sz w:val="24"/>
                <w:highlight w:val="none"/>
              </w:rPr>
              <w:t>员工抽烟被查到1次扣0.5分</w:t>
            </w:r>
          </w:p>
        </w:tc>
        <w:tc>
          <w:tcPr>
            <w:tcW w:w="824" w:type="dxa"/>
            <w:vAlign w:val="center"/>
          </w:tcPr>
          <w:p>
            <w:pPr>
              <w:jc w:val="cente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577" w:type="dxa"/>
            <w:gridSpan w:val="4"/>
            <w:vAlign w:val="center"/>
          </w:tcPr>
          <w:p>
            <w:pPr>
              <w:jc w:val="center"/>
              <w:rPr>
                <w:rFonts w:ascii="宋体" w:hAnsi="宋体" w:cs="仿宋"/>
                <w:color w:val="auto"/>
                <w:sz w:val="24"/>
                <w:highlight w:val="none"/>
              </w:rPr>
            </w:pPr>
            <w:r>
              <w:rPr>
                <w:rFonts w:hint="eastAsia" w:ascii="宋体" w:hAnsi="宋体" w:cs="仿宋"/>
                <w:color w:val="auto"/>
                <w:sz w:val="24"/>
                <w:highlight w:val="none"/>
              </w:rPr>
              <w:t>总  分</w:t>
            </w:r>
          </w:p>
        </w:tc>
        <w:tc>
          <w:tcPr>
            <w:tcW w:w="824" w:type="dxa"/>
            <w:vAlign w:val="center"/>
          </w:tcPr>
          <w:p>
            <w:pPr>
              <w:rPr>
                <w:rFonts w:ascii="宋体" w:hAnsi="宋体" w:cs="仿宋"/>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948" w:type="dxa"/>
            <w:gridSpan w:val="2"/>
            <w:vAlign w:val="center"/>
          </w:tcPr>
          <w:p>
            <w:pPr>
              <w:jc w:val="center"/>
              <w:rPr>
                <w:rFonts w:ascii="宋体" w:hAnsi="宋体" w:cs="仿宋"/>
                <w:color w:val="auto"/>
                <w:sz w:val="24"/>
                <w:highlight w:val="none"/>
              </w:rPr>
            </w:pPr>
            <w:r>
              <w:rPr>
                <w:rFonts w:hint="eastAsia" w:ascii="宋体" w:hAnsi="宋体" w:cs="仿宋"/>
                <w:color w:val="auto"/>
                <w:sz w:val="24"/>
                <w:highlight w:val="none"/>
              </w:rPr>
              <w:t>考核人员</w:t>
            </w:r>
          </w:p>
        </w:tc>
        <w:tc>
          <w:tcPr>
            <w:tcW w:w="7453" w:type="dxa"/>
            <w:gridSpan w:val="3"/>
            <w:vAlign w:val="center"/>
          </w:tcPr>
          <w:p>
            <w:pPr>
              <w:rPr>
                <w:rFonts w:ascii="宋体" w:hAnsi="宋体" w:cs="仿宋"/>
                <w:color w:val="auto"/>
                <w:sz w:val="24"/>
                <w:highlight w:val="none"/>
              </w:rPr>
            </w:pPr>
          </w:p>
        </w:tc>
      </w:tr>
    </w:tbl>
    <w:p>
      <w:pPr>
        <w:spacing w:line="360" w:lineRule="auto"/>
        <w:rPr>
          <w:rFonts w:ascii="宋体" w:hAnsi="宋体" w:cs="仿宋"/>
          <w:color w:val="auto"/>
          <w:sz w:val="24"/>
          <w:highlight w:val="none"/>
        </w:rPr>
      </w:pPr>
      <w:r>
        <w:rPr>
          <w:rFonts w:hint="eastAsia" w:ascii="宋体" w:hAnsi="宋体" w:cs="仿宋"/>
          <w:color w:val="auto"/>
          <w:sz w:val="24"/>
          <w:highlight w:val="none"/>
        </w:rPr>
        <w:t>备注：考核表按月度打分，卫生检查及日常巡查均可参照此评分标准进行，当月所有扣分情况进行累加，并计算总分。保洁效果检查主要以目视、白色纸巾擦拭表面、荧光标记法等方式进行。</w:t>
      </w:r>
    </w:p>
    <w:p>
      <w:pPr>
        <w:spacing w:line="360" w:lineRule="auto"/>
        <w:rPr>
          <w:rFonts w:ascii="宋体" w:hAnsi="宋体" w:cs="仿宋"/>
          <w:color w:val="auto"/>
          <w:sz w:val="24"/>
          <w:highlight w:val="none"/>
        </w:rPr>
      </w:pPr>
      <w:r>
        <w:rPr>
          <w:rFonts w:hint="eastAsia" w:ascii="宋体" w:hAnsi="宋体" w:cs="仿宋"/>
          <w:b/>
          <w:bCs/>
          <w:color w:val="auto"/>
          <w:sz w:val="24"/>
          <w:highlight w:val="none"/>
        </w:rPr>
        <w:t>奖励、惩罚单项：</w:t>
      </w:r>
    </w:p>
    <w:p>
      <w:pPr>
        <w:spacing w:line="360" w:lineRule="auto"/>
        <w:rPr>
          <w:rFonts w:ascii="宋体" w:hAnsi="宋体" w:cs="仿宋"/>
          <w:color w:val="auto"/>
          <w:sz w:val="24"/>
          <w:highlight w:val="none"/>
        </w:rPr>
      </w:pPr>
      <w:r>
        <w:rPr>
          <w:rFonts w:hint="eastAsia" w:ascii="宋体" w:hAnsi="宋体" w:cs="仿宋"/>
          <w:color w:val="auto"/>
          <w:sz w:val="24"/>
          <w:highlight w:val="none"/>
        </w:rPr>
        <w:t>1、受到患者或医护人员表扬（受到表扬信、锦旗或经纪检部门确认）每次加0.5分；</w:t>
      </w:r>
    </w:p>
    <w:p>
      <w:pPr>
        <w:spacing w:line="360" w:lineRule="auto"/>
        <w:rPr>
          <w:rFonts w:ascii="宋体" w:hAnsi="宋体" w:cs="仿宋"/>
          <w:color w:val="auto"/>
          <w:sz w:val="24"/>
          <w:highlight w:val="none"/>
        </w:rPr>
      </w:pPr>
      <w:r>
        <w:rPr>
          <w:rFonts w:hint="eastAsia" w:ascii="宋体" w:hAnsi="宋体" w:cs="仿宋"/>
          <w:color w:val="auto"/>
          <w:sz w:val="24"/>
          <w:highlight w:val="none"/>
        </w:rPr>
        <w:t>2、拾到钱包、手机等有价物品并上交医院安保部（有照片、资料）每次加0.5分；</w:t>
      </w:r>
    </w:p>
    <w:p>
      <w:pPr>
        <w:spacing w:line="360" w:lineRule="auto"/>
        <w:rPr>
          <w:rFonts w:ascii="宋体" w:hAnsi="宋体" w:cs="仿宋"/>
          <w:color w:val="auto"/>
          <w:sz w:val="24"/>
          <w:highlight w:val="none"/>
        </w:rPr>
      </w:pPr>
      <w:r>
        <w:rPr>
          <w:rFonts w:hint="eastAsia" w:ascii="宋体" w:hAnsi="宋体" w:cs="仿宋"/>
          <w:color w:val="auto"/>
          <w:sz w:val="24"/>
          <w:highlight w:val="none"/>
        </w:rPr>
        <w:t>3、配合医院完成省、市级以上各项检查任务和各项应急工作，获得良好评价的每次加0.5分；</w:t>
      </w:r>
    </w:p>
    <w:p>
      <w:pPr>
        <w:spacing w:line="360" w:lineRule="auto"/>
        <w:rPr>
          <w:rFonts w:ascii="宋体" w:hAnsi="宋体" w:cs="仿宋"/>
          <w:color w:val="auto"/>
          <w:sz w:val="24"/>
          <w:highlight w:val="none"/>
        </w:rPr>
      </w:pPr>
      <w:r>
        <w:rPr>
          <w:rFonts w:hint="eastAsia" w:ascii="宋体" w:hAnsi="宋体" w:cs="仿宋"/>
          <w:color w:val="auto"/>
          <w:sz w:val="24"/>
          <w:highlight w:val="none"/>
        </w:rPr>
        <w:t>4、提出合理化建议或排查安全隐患，使医院免受重大损失的每次加0.5分。</w:t>
      </w:r>
    </w:p>
    <w:p>
      <w:pPr>
        <w:spacing w:line="360" w:lineRule="auto"/>
        <w:rPr>
          <w:rFonts w:ascii="宋体" w:hAnsi="宋体" w:cs="仿宋"/>
          <w:color w:val="auto"/>
          <w:sz w:val="24"/>
          <w:highlight w:val="none"/>
        </w:rPr>
      </w:pPr>
      <w:r>
        <w:rPr>
          <w:rFonts w:hint="eastAsia" w:ascii="宋体" w:hAnsi="宋体" w:cs="仿宋"/>
          <w:color w:val="auto"/>
          <w:sz w:val="24"/>
          <w:highlight w:val="none"/>
        </w:rPr>
        <w:t>5、院区内聚众赌博、酗酒等不良影响行为每发现一次扣300-500元，赌博者即时开除；</w:t>
      </w:r>
    </w:p>
    <w:p>
      <w:pPr>
        <w:spacing w:line="360" w:lineRule="auto"/>
        <w:rPr>
          <w:rFonts w:ascii="宋体" w:hAnsi="宋体" w:cs="仿宋"/>
          <w:color w:val="auto"/>
          <w:sz w:val="24"/>
          <w:highlight w:val="none"/>
        </w:rPr>
      </w:pPr>
      <w:r>
        <w:rPr>
          <w:rFonts w:hint="eastAsia" w:ascii="宋体" w:hAnsi="宋体" w:cs="仿宋"/>
          <w:color w:val="auto"/>
          <w:sz w:val="24"/>
          <w:highlight w:val="none"/>
        </w:rPr>
        <w:t>6、院区内吵架、打架每发现一次扣300-500元，情节严重的个人即时开除；</w:t>
      </w:r>
    </w:p>
    <w:p>
      <w:pPr>
        <w:spacing w:line="360" w:lineRule="auto"/>
        <w:rPr>
          <w:rFonts w:ascii="宋体" w:hAnsi="宋体" w:cs="仿宋"/>
          <w:color w:val="auto"/>
          <w:sz w:val="24"/>
          <w:highlight w:val="none"/>
        </w:rPr>
      </w:pPr>
      <w:r>
        <w:rPr>
          <w:rFonts w:hint="eastAsia" w:ascii="宋体" w:hAnsi="宋体" w:cs="仿宋"/>
          <w:color w:val="auto"/>
          <w:sz w:val="24"/>
          <w:highlight w:val="none"/>
        </w:rPr>
        <w:t>7、院区内偷盗公家财务、医院职工、患者及家属财务的，每发现一次扣300-500元，情节严重的个人即时开除并移交公安部门处理。</w:t>
      </w:r>
    </w:p>
    <w:p>
      <w:pPr>
        <w:spacing w:line="360" w:lineRule="auto"/>
        <w:rPr>
          <w:rFonts w:ascii="宋体" w:hAnsi="宋体" w:cs="仿宋"/>
          <w:color w:val="auto"/>
          <w:sz w:val="24"/>
          <w:highlight w:val="none"/>
        </w:rPr>
      </w:pPr>
      <w:r>
        <w:rPr>
          <w:rFonts w:hint="eastAsia" w:ascii="宋体" w:hAnsi="宋体" w:cs="仿宋"/>
          <w:color w:val="auto"/>
          <w:sz w:val="24"/>
          <w:highlight w:val="none"/>
        </w:rPr>
        <w:t>8、在工作中向病人进行推销、售卖等盈利活动每发现一次扣100-500元，情节严重的个人即时开除；</w:t>
      </w:r>
    </w:p>
    <w:p>
      <w:pPr>
        <w:spacing w:line="360" w:lineRule="auto"/>
        <w:rPr>
          <w:rFonts w:ascii="宋体" w:hAnsi="宋体" w:cs="仿宋"/>
          <w:color w:val="auto"/>
          <w:sz w:val="24"/>
          <w:highlight w:val="none"/>
        </w:rPr>
      </w:pPr>
      <w:r>
        <w:rPr>
          <w:rFonts w:hint="eastAsia" w:ascii="宋体" w:hAnsi="宋体" w:cs="仿宋"/>
          <w:color w:val="auto"/>
          <w:sz w:val="24"/>
          <w:highlight w:val="none"/>
        </w:rPr>
        <w:t>9、因工作疏失造成病人走失或意外伤害每发现一次扣500元；</w:t>
      </w:r>
    </w:p>
    <w:p>
      <w:pPr>
        <w:spacing w:line="360" w:lineRule="auto"/>
        <w:rPr>
          <w:rFonts w:ascii="宋体" w:hAnsi="宋体" w:cs="仿宋"/>
          <w:color w:val="auto"/>
          <w:sz w:val="24"/>
          <w:highlight w:val="none"/>
        </w:rPr>
      </w:pPr>
      <w:r>
        <w:rPr>
          <w:rFonts w:hint="eastAsia" w:ascii="宋体" w:hAnsi="宋体" w:cs="仿宋"/>
          <w:color w:val="auto"/>
          <w:sz w:val="24"/>
          <w:highlight w:val="none"/>
        </w:rPr>
        <w:t>10、院区内违规使用电器每发现一次扣200元。</w:t>
      </w:r>
    </w:p>
    <w:p>
      <w:pPr>
        <w:spacing w:line="360" w:lineRule="auto"/>
        <w:rPr>
          <w:rFonts w:ascii="宋体" w:hAnsi="宋体" w:cs="宋体"/>
          <w:color w:val="auto"/>
          <w:sz w:val="24"/>
          <w:highlight w:val="none"/>
        </w:rPr>
      </w:pPr>
      <w:r>
        <w:rPr>
          <w:rFonts w:hint="eastAsia" w:ascii="宋体" w:hAnsi="宋体" w:cs="宋体"/>
          <w:color w:val="auto"/>
          <w:sz w:val="24"/>
          <w:highlight w:val="none"/>
        </w:rPr>
        <w:t>11、其他违反医院规章制度的情形，每发现一次视情节严重程度扣100-500元。</w:t>
      </w:r>
    </w:p>
    <w:p>
      <w:pPr>
        <w:spacing w:line="360" w:lineRule="auto"/>
        <w:rPr>
          <w:rFonts w:ascii="宋体" w:hAnsi="宋体" w:cs="宋体"/>
          <w:color w:val="auto"/>
          <w:sz w:val="24"/>
          <w:highlight w:val="none"/>
        </w:rPr>
      </w:pPr>
      <w:r>
        <w:rPr>
          <w:rFonts w:hint="eastAsia" w:ascii="宋体" w:hAnsi="宋体" w:cs="宋体"/>
          <w:color w:val="auto"/>
          <w:sz w:val="24"/>
          <w:highlight w:val="none"/>
        </w:rPr>
        <w:t>12、因养护不当造成绿植死亡的，按照市场价对绿植进行赔偿。</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r>
        <w:rPr>
          <w:rFonts w:hint="eastAsia" w:ascii="宋体" w:hAnsi="宋体" w:cs="宋体"/>
          <w:color w:val="auto"/>
          <w:sz w:val="24"/>
          <w:highlight w:val="none"/>
        </w:rPr>
        <w:t>、查实核酸检测不及时，被点名通报的，当月第一次不予扣罚，同一位员工再次及当月连续发生的，每次5</w:t>
      </w:r>
      <w:r>
        <w:rPr>
          <w:rFonts w:ascii="宋体" w:hAnsi="宋体" w:cs="宋体"/>
          <w:color w:val="auto"/>
          <w:sz w:val="24"/>
          <w:highlight w:val="none"/>
        </w:rPr>
        <w:t>00</w:t>
      </w:r>
      <w:r>
        <w:rPr>
          <w:rFonts w:hint="eastAsia" w:ascii="宋体" w:hAnsi="宋体" w:cs="宋体"/>
          <w:color w:val="auto"/>
          <w:sz w:val="24"/>
          <w:highlight w:val="none"/>
        </w:rPr>
        <w:t>元罚款。</w:t>
      </w:r>
    </w:p>
    <w:p>
      <w:pPr>
        <w:rPr>
          <w:color w:val="auto"/>
          <w:highlight w:val="none"/>
        </w:rPr>
      </w:pPr>
      <w:r>
        <w:rPr>
          <w:color w:val="auto"/>
          <w:highlight w:val="none"/>
        </w:rPr>
        <w:br w:type="page"/>
      </w:r>
    </w:p>
    <w:p>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《医院设施设备运维服务考核方案》（根据实际工作开展情况做微调）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对乙方的服务工作进行月度考核，考核分为服务人员到岗率考核与服务质量考核两部分，每月考核结果与乙方服务费的支付情况挂钩，乙方应按照医院设备运维各岗位工作要求配备服务人员，甲方总务科将每月对乙方服务人员到岗情况进行检查，由乙方提交当月各岗位服务人员清单，总务科进行核实，实际到岗率应达到100%，如有特殊情况，经使用部门认可后，双方协商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乙方确认并同意甲方有权根据考核结果对当月应付服务费作出相应调整，（1）月考核分数≥90分，当月维保服务费全额给付；（2）月考核分数在89-85分的，与90分相比较，每下降1分扣除当月维保服务费1%；（3）月考核分数低于85分，与90分相比较，每下降1分扣除当月维保服务费2%； </w:t>
      </w:r>
    </w:p>
    <w:tbl>
      <w:tblPr>
        <w:tblStyle w:val="80"/>
        <w:tblW w:w="90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7"/>
        <w:gridCol w:w="1090"/>
        <w:gridCol w:w="48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7"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监管指标</w:t>
            </w:r>
          </w:p>
        </w:tc>
        <w:tc>
          <w:tcPr>
            <w:tcW w:w="1090"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目标</w:t>
            </w:r>
          </w:p>
        </w:tc>
        <w:tc>
          <w:tcPr>
            <w:tcW w:w="483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监测说明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维修及时率</w:t>
            </w:r>
          </w:p>
        </w:tc>
        <w:tc>
          <w:tcPr>
            <w:tcW w:w="109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≥95%</w:t>
            </w:r>
          </w:p>
        </w:tc>
        <w:tc>
          <w:tcPr>
            <w:tcW w:w="483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每月，20分钟以内视为及时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返修率</w:t>
            </w:r>
          </w:p>
        </w:tc>
        <w:tc>
          <w:tcPr>
            <w:tcW w:w="1090"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483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每月</w:t>
            </w:r>
          </w:p>
          <w:p>
            <w:pPr>
              <w:spacing w:line="360" w:lineRule="auto"/>
              <w:rPr>
                <w:rFonts w:ascii="宋体" w:hAnsi="宋体" w:cs="宋体"/>
                <w:color w:val="auto"/>
                <w:sz w:val="24"/>
                <w:highlight w:val="none"/>
              </w:rPr>
            </w:pPr>
            <w:r>
              <w:rPr>
                <w:rFonts w:hint="eastAsia" w:ascii="宋体" w:hAnsi="宋体" w:cs="宋体"/>
                <w:color w:val="auto"/>
                <w:sz w:val="24"/>
                <w:highlight w:val="none"/>
              </w:rPr>
              <w:t>同一原因问题2次以上维修视为返修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3097"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三日未解决事件比例</w:t>
            </w:r>
          </w:p>
        </w:tc>
        <w:tc>
          <w:tcPr>
            <w:tcW w:w="1090"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483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每月</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考核小组人员：</w:t>
      </w:r>
      <w:r>
        <w:rPr>
          <w:color w:val="auto"/>
          <w:sz w:val="24"/>
          <w:highlight w:val="none"/>
        </w:rPr>
        <w:t>总务科</w:t>
      </w:r>
      <w:r>
        <w:rPr>
          <w:rFonts w:hint="eastAsia" w:ascii="宋体" w:hAnsi="宋体" w:cs="宋体"/>
          <w:color w:val="auto"/>
          <w:sz w:val="24"/>
          <w:highlight w:val="none"/>
        </w:rPr>
        <w:t>，维修中心主管，护士长(2人)，其他部门（抽查2个科室）</w:t>
      </w:r>
    </w:p>
    <w:p>
      <w:pPr>
        <w:spacing w:line="360" w:lineRule="auto"/>
        <w:rPr>
          <w:rFonts w:ascii="宋体" w:hAnsi="宋体" w:cs="宋体"/>
          <w:color w:val="auto"/>
          <w:sz w:val="24"/>
          <w:highlight w:val="none"/>
        </w:rPr>
      </w:pPr>
      <w:r>
        <w:rPr>
          <w:rFonts w:hint="eastAsia" w:ascii="宋体" w:hAnsi="宋体" w:cs="宋体"/>
          <w:color w:val="auto"/>
          <w:sz w:val="24"/>
          <w:highlight w:val="none"/>
        </w:rPr>
        <w:t>满意度考核时间：每月中旬</w:t>
      </w:r>
    </w:p>
    <w:tbl>
      <w:tblPr>
        <w:tblStyle w:val="80"/>
        <w:tblW w:w="951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1593"/>
        <w:gridCol w:w="1665"/>
        <w:gridCol w:w="35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bottom"/>
          </w:tcPr>
          <w:p>
            <w:pPr>
              <w:rPr>
                <w:rFonts w:ascii="宋体" w:hAnsi="宋体" w:cs="宋体"/>
                <w:color w:val="auto"/>
                <w:sz w:val="24"/>
                <w:highlight w:val="none"/>
              </w:rPr>
            </w:pPr>
            <w:r>
              <w:rPr>
                <w:rFonts w:hint="eastAsia" w:ascii="宋体" w:hAnsi="宋体" w:cs="宋体"/>
                <w:color w:val="auto"/>
                <w:sz w:val="24"/>
                <w:highlight w:val="none"/>
              </w:rPr>
              <w:t>目标内容</w:t>
            </w:r>
          </w:p>
        </w:tc>
        <w:tc>
          <w:tcPr>
            <w:tcW w:w="1593" w:type="dxa"/>
            <w:vAlign w:val="bottom"/>
          </w:tcPr>
          <w:p>
            <w:pPr>
              <w:rPr>
                <w:rFonts w:ascii="宋体" w:hAnsi="宋体" w:cs="宋体"/>
                <w:color w:val="auto"/>
                <w:sz w:val="24"/>
                <w:highlight w:val="none"/>
              </w:rPr>
            </w:pPr>
            <w:r>
              <w:rPr>
                <w:rFonts w:hint="eastAsia" w:ascii="宋体" w:hAnsi="宋体" w:cs="宋体"/>
                <w:color w:val="auto"/>
                <w:sz w:val="24"/>
                <w:highlight w:val="none"/>
              </w:rPr>
              <w:t>分值</w:t>
            </w:r>
          </w:p>
        </w:tc>
        <w:tc>
          <w:tcPr>
            <w:tcW w:w="1665" w:type="dxa"/>
            <w:vAlign w:val="bottom"/>
          </w:tcPr>
          <w:p>
            <w:pPr>
              <w:rPr>
                <w:rFonts w:ascii="宋体" w:hAnsi="宋体" w:cs="宋体"/>
                <w:color w:val="auto"/>
                <w:sz w:val="24"/>
                <w:highlight w:val="none"/>
              </w:rPr>
            </w:pPr>
            <w:r>
              <w:rPr>
                <w:rFonts w:hint="eastAsia" w:ascii="宋体" w:hAnsi="宋体" w:cs="宋体"/>
                <w:color w:val="auto"/>
                <w:sz w:val="24"/>
                <w:highlight w:val="none"/>
              </w:rPr>
              <w:t>得分</w:t>
            </w:r>
          </w:p>
        </w:tc>
        <w:tc>
          <w:tcPr>
            <w:tcW w:w="3568" w:type="dxa"/>
            <w:vAlign w:val="bottom"/>
          </w:tcPr>
          <w:p>
            <w:pPr>
              <w:rPr>
                <w:rFonts w:ascii="宋体" w:hAnsi="宋体" w:cs="宋体"/>
                <w:color w:val="auto"/>
                <w:sz w:val="24"/>
                <w:highlight w:val="none"/>
              </w:rPr>
            </w:pPr>
            <w:r>
              <w:rPr>
                <w:rFonts w:hint="eastAsia" w:ascii="宋体" w:hAnsi="宋体" w:cs="宋体"/>
                <w:color w:val="auto"/>
                <w:sz w:val="24"/>
                <w:highlight w:val="none"/>
              </w:rPr>
              <w:t>扣分理由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center"/>
          </w:tcPr>
          <w:p>
            <w:pPr>
              <w:rPr>
                <w:rFonts w:ascii="宋体" w:hAnsi="宋体" w:cs="宋体"/>
                <w:color w:val="auto"/>
                <w:sz w:val="24"/>
                <w:highlight w:val="none"/>
              </w:rPr>
            </w:pPr>
            <w:r>
              <w:rPr>
                <w:rFonts w:hint="eastAsia" w:ascii="宋体" w:hAnsi="宋体" w:cs="宋体"/>
                <w:color w:val="auto"/>
                <w:sz w:val="24"/>
                <w:highlight w:val="none"/>
              </w:rPr>
              <w:t>维修响应及时</w:t>
            </w:r>
          </w:p>
        </w:tc>
        <w:tc>
          <w:tcPr>
            <w:tcW w:w="1593" w:type="dxa"/>
            <w:vAlign w:val="center"/>
          </w:tcPr>
          <w:p>
            <w:pPr>
              <w:rPr>
                <w:rFonts w:ascii="宋体" w:hAnsi="宋体" w:cs="宋体"/>
                <w:color w:val="auto"/>
                <w:sz w:val="24"/>
                <w:highlight w:val="none"/>
              </w:rPr>
            </w:pPr>
            <w:r>
              <w:rPr>
                <w:rFonts w:hint="eastAsia" w:ascii="宋体" w:hAnsi="宋体" w:cs="宋体"/>
                <w:color w:val="auto"/>
                <w:sz w:val="24"/>
                <w:highlight w:val="none"/>
              </w:rPr>
              <w:t>15</w:t>
            </w:r>
          </w:p>
        </w:tc>
        <w:tc>
          <w:tcPr>
            <w:tcW w:w="1665" w:type="dxa"/>
            <w:vAlign w:val="center"/>
          </w:tcPr>
          <w:p>
            <w:pPr>
              <w:rPr>
                <w:rFonts w:ascii="宋体" w:hAnsi="宋体" w:cs="宋体"/>
                <w:color w:val="auto"/>
                <w:sz w:val="24"/>
                <w:highlight w:val="none"/>
              </w:rPr>
            </w:pPr>
          </w:p>
        </w:tc>
        <w:tc>
          <w:tcPr>
            <w:tcW w:w="3568" w:type="dxa"/>
            <w:vAlign w:val="center"/>
          </w:tcPr>
          <w:p>
            <w:pPr>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center"/>
          </w:tcPr>
          <w:p>
            <w:pPr>
              <w:rPr>
                <w:rFonts w:ascii="宋体" w:hAnsi="宋体" w:cs="宋体"/>
                <w:color w:val="auto"/>
                <w:sz w:val="24"/>
                <w:highlight w:val="none"/>
              </w:rPr>
            </w:pPr>
            <w:r>
              <w:rPr>
                <w:rFonts w:hint="eastAsia" w:ascii="宋体" w:hAnsi="宋体" w:cs="宋体"/>
                <w:color w:val="auto"/>
                <w:sz w:val="24"/>
                <w:highlight w:val="none"/>
              </w:rPr>
              <w:t>维修质量合格</w:t>
            </w:r>
          </w:p>
        </w:tc>
        <w:tc>
          <w:tcPr>
            <w:tcW w:w="1593" w:type="dxa"/>
            <w:vAlign w:val="center"/>
          </w:tcPr>
          <w:p>
            <w:pP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0</w:t>
            </w:r>
          </w:p>
        </w:tc>
        <w:tc>
          <w:tcPr>
            <w:tcW w:w="1665" w:type="dxa"/>
            <w:vAlign w:val="center"/>
          </w:tcPr>
          <w:p>
            <w:pPr>
              <w:rPr>
                <w:rFonts w:ascii="宋体" w:hAnsi="宋体" w:cs="宋体"/>
                <w:color w:val="auto"/>
                <w:sz w:val="24"/>
                <w:highlight w:val="none"/>
              </w:rPr>
            </w:pPr>
          </w:p>
        </w:tc>
        <w:tc>
          <w:tcPr>
            <w:tcW w:w="3568" w:type="dxa"/>
            <w:vAlign w:val="center"/>
          </w:tcPr>
          <w:p>
            <w:pPr>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2688" w:type="dxa"/>
            <w:vAlign w:val="center"/>
          </w:tcPr>
          <w:p>
            <w:pPr>
              <w:rPr>
                <w:rFonts w:ascii="宋体" w:hAnsi="宋体" w:cs="宋体"/>
                <w:color w:val="auto"/>
                <w:sz w:val="24"/>
                <w:highlight w:val="none"/>
              </w:rPr>
            </w:pPr>
            <w:r>
              <w:rPr>
                <w:rFonts w:hint="eastAsia" w:ascii="宋体" w:hAnsi="宋体" w:cs="宋体"/>
                <w:color w:val="auto"/>
                <w:sz w:val="24"/>
                <w:highlight w:val="none"/>
              </w:rPr>
              <w:t>维修工期不超时</w:t>
            </w:r>
          </w:p>
        </w:tc>
        <w:tc>
          <w:tcPr>
            <w:tcW w:w="1593" w:type="dxa"/>
            <w:vAlign w:val="center"/>
          </w:tcPr>
          <w:p>
            <w:pP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0</w:t>
            </w:r>
          </w:p>
        </w:tc>
        <w:tc>
          <w:tcPr>
            <w:tcW w:w="1665" w:type="dxa"/>
            <w:vAlign w:val="center"/>
          </w:tcPr>
          <w:p>
            <w:pPr>
              <w:rPr>
                <w:rFonts w:ascii="宋体" w:hAnsi="宋体" w:cs="宋体"/>
                <w:color w:val="auto"/>
                <w:sz w:val="24"/>
                <w:highlight w:val="none"/>
              </w:rPr>
            </w:pPr>
          </w:p>
        </w:tc>
        <w:tc>
          <w:tcPr>
            <w:tcW w:w="3568" w:type="dxa"/>
            <w:vAlign w:val="center"/>
          </w:tcPr>
          <w:p>
            <w:pPr>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center"/>
          </w:tcPr>
          <w:p>
            <w:pPr>
              <w:rPr>
                <w:rFonts w:ascii="宋体" w:hAnsi="宋体" w:cs="宋体"/>
                <w:color w:val="auto"/>
                <w:sz w:val="24"/>
                <w:highlight w:val="none"/>
              </w:rPr>
            </w:pPr>
            <w:r>
              <w:rPr>
                <w:rFonts w:hint="eastAsia" w:ascii="宋体" w:hAnsi="宋体" w:cs="宋体"/>
                <w:color w:val="auto"/>
                <w:sz w:val="24"/>
                <w:highlight w:val="none"/>
              </w:rPr>
              <w:t>待人礼貌 文明用语</w:t>
            </w:r>
          </w:p>
        </w:tc>
        <w:tc>
          <w:tcPr>
            <w:tcW w:w="1593" w:type="dxa"/>
            <w:vAlign w:val="center"/>
          </w:tcPr>
          <w:p>
            <w:pP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0</w:t>
            </w:r>
          </w:p>
        </w:tc>
        <w:tc>
          <w:tcPr>
            <w:tcW w:w="1665" w:type="dxa"/>
            <w:vAlign w:val="center"/>
          </w:tcPr>
          <w:p>
            <w:pPr>
              <w:rPr>
                <w:rFonts w:ascii="宋体" w:hAnsi="宋体" w:cs="宋体"/>
                <w:color w:val="auto"/>
                <w:sz w:val="24"/>
                <w:highlight w:val="none"/>
              </w:rPr>
            </w:pPr>
          </w:p>
        </w:tc>
        <w:tc>
          <w:tcPr>
            <w:tcW w:w="3568" w:type="dxa"/>
            <w:vAlign w:val="center"/>
          </w:tcPr>
          <w:p>
            <w:pPr>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center"/>
          </w:tcPr>
          <w:p>
            <w:pPr>
              <w:rPr>
                <w:rFonts w:ascii="宋体" w:hAnsi="宋体" w:cs="宋体"/>
                <w:color w:val="auto"/>
                <w:sz w:val="24"/>
                <w:highlight w:val="none"/>
              </w:rPr>
            </w:pPr>
            <w:r>
              <w:rPr>
                <w:rFonts w:hint="eastAsia" w:ascii="宋体" w:hAnsi="宋体" w:cs="宋体"/>
                <w:color w:val="auto"/>
                <w:sz w:val="24"/>
                <w:highlight w:val="none"/>
              </w:rPr>
              <w:t>工作认真负责</w:t>
            </w:r>
          </w:p>
        </w:tc>
        <w:tc>
          <w:tcPr>
            <w:tcW w:w="1593" w:type="dxa"/>
            <w:vAlign w:val="center"/>
          </w:tcPr>
          <w:p>
            <w:pPr>
              <w:rPr>
                <w:rFonts w:ascii="宋体" w:hAnsi="宋体" w:cs="宋体"/>
                <w:color w:val="auto"/>
                <w:sz w:val="24"/>
                <w:highlight w:val="none"/>
              </w:rPr>
            </w:pPr>
            <w:r>
              <w:rPr>
                <w:rFonts w:hint="eastAsia" w:ascii="宋体" w:hAnsi="宋体" w:cs="宋体"/>
                <w:color w:val="auto"/>
                <w:sz w:val="24"/>
                <w:highlight w:val="none"/>
              </w:rPr>
              <w:t>10</w:t>
            </w:r>
          </w:p>
        </w:tc>
        <w:tc>
          <w:tcPr>
            <w:tcW w:w="1665" w:type="dxa"/>
            <w:vAlign w:val="center"/>
          </w:tcPr>
          <w:p>
            <w:pPr>
              <w:rPr>
                <w:rFonts w:ascii="宋体" w:hAnsi="宋体" w:cs="宋体"/>
                <w:color w:val="auto"/>
                <w:sz w:val="24"/>
                <w:highlight w:val="none"/>
              </w:rPr>
            </w:pPr>
          </w:p>
        </w:tc>
        <w:tc>
          <w:tcPr>
            <w:tcW w:w="3568" w:type="dxa"/>
            <w:vAlign w:val="center"/>
          </w:tcPr>
          <w:p>
            <w:pPr>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center"/>
          </w:tcPr>
          <w:p>
            <w:pPr>
              <w:rPr>
                <w:rFonts w:ascii="宋体" w:hAnsi="宋体" w:cs="宋体"/>
                <w:color w:val="auto"/>
                <w:sz w:val="24"/>
                <w:highlight w:val="none"/>
              </w:rPr>
            </w:pPr>
            <w:r>
              <w:rPr>
                <w:rFonts w:hint="eastAsia" w:ascii="宋体" w:hAnsi="宋体" w:cs="宋体"/>
                <w:color w:val="auto"/>
                <w:sz w:val="24"/>
                <w:highlight w:val="none"/>
              </w:rPr>
              <w:t>工作时不大声喧哗</w:t>
            </w:r>
          </w:p>
        </w:tc>
        <w:tc>
          <w:tcPr>
            <w:tcW w:w="1593" w:type="dxa"/>
            <w:vAlign w:val="center"/>
          </w:tcPr>
          <w:p>
            <w:pPr>
              <w:rPr>
                <w:rFonts w:ascii="宋体" w:hAnsi="宋体" w:cs="宋体"/>
                <w:color w:val="auto"/>
                <w:sz w:val="24"/>
                <w:highlight w:val="none"/>
              </w:rPr>
            </w:pPr>
            <w:r>
              <w:rPr>
                <w:rFonts w:hint="eastAsia" w:ascii="宋体" w:hAnsi="宋体" w:cs="宋体"/>
                <w:color w:val="auto"/>
                <w:sz w:val="24"/>
                <w:highlight w:val="none"/>
              </w:rPr>
              <w:t>10</w:t>
            </w:r>
          </w:p>
        </w:tc>
        <w:tc>
          <w:tcPr>
            <w:tcW w:w="1665" w:type="dxa"/>
            <w:vAlign w:val="center"/>
          </w:tcPr>
          <w:p>
            <w:pPr>
              <w:rPr>
                <w:rFonts w:ascii="宋体" w:hAnsi="宋体" w:cs="宋体"/>
                <w:color w:val="auto"/>
                <w:sz w:val="24"/>
                <w:highlight w:val="none"/>
              </w:rPr>
            </w:pPr>
          </w:p>
        </w:tc>
        <w:tc>
          <w:tcPr>
            <w:tcW w:w="3568" w:type="dxa"/>
            <w:vAlign w:val="center"/>
          </w:tcPr>
          <w:p>
            <w:pPr>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2688" w:type="dxa"/>
            <w:vAlign w:val="center"/>
          </w:tcPr>
          <w:p>
            <w:pPr>
              <w:rPr>
                <w:rFonts w:ascii="宋体" w:hAnsi="宋体" w:cs="宋体"/>
                <w:color w:val="auto"/>
                <w:sz w:val="24"/>
                <w:highlight w:val="none"/>
              </w:rPr>
            </w:pPr>
            <w:r>
              <w:rPr>
                <w:rFonts w:hint="eastAsia" w:ascii="宋体" w:hAnsi="宋体" w:cs="宋体"/>
                <w:color w:val="auto"/>
                <w:sz w:val="24"/>
                <w:highlight w:val="none"/>
              </w:rPr>
              <w:t>遵守医院规章制度</w:t>
            </w:r>
          </w:p>
        </w:tc>
        <w:tc>
          <w:tcPr>
            <w:tcW w:w="1593" w:type="dxa"/>
            <w:vAlign w:val="center"/>
          </w:tcPr>
          <w:p>
            <w:pPr>
              <w:rPr>
                <w:rFonts w:ascii="宋体" w:hAnsi="宋体" w:cs="宋体"/>
                <w:color w:val="auto"/>
                <w:sz w:val="24"/>
                <w:highlight w:val="none"/>
              </w:rPr>
            </w:pPr>
            <w:r>
              <w:rPr>
                <w:rFonts w:hint="eastAsia" w:ascii="宋体" w:hAnsi="宋体" w:cs="宋体"/>
                <w:color w:val="auto"/>
                <w:sz w:val="24"/>
                <w:highlight w:val="none"/>
              </w:rPr>
              <w:t>10</w:t>
            </w:r>
          </w:p>
        </w:tc>
        <w:tc>
          <w:tcPr>
            <w:tcW w:w="1665" w:type="dxa"/>
            <w:vAlign w:val="center"/>
          </w:tcPr>
          <w:p>
            <w:pPr>
              <w:rPr>
                <w:rFonts w:ascii="宋体" w:hAnsi="宋体" w:cs="宋体"/>
                <w:color w:val="auto"/>
                <w:sz w:val="24"/>
                <w:highlight w:val="none"/>
              </w:rPr>
            </w:pPr>
          </w:p>
        </w:tc>
        <w:tc>
          <w:tcPr>
            <w:tcW w:w="3568" w:type="dxa"/>
            <w:vAlign w:val="center"/>
          </w:tcPr>
          <w:p>
            <w:pPr>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center"/>
          </w:tcPr>
          <w:p>
            <w:pPr>
              <w:rPr>
                <w:rFonts w:ascii="宋体" w:hAnsi="宋体" w:cs="宋体"/>
                <w:color w:val="auto"/>
                <w:sz w:val="24"/>
                <w:highlight w:val="none"/>
              </w:rPr>
            </w:pPr>
            <w:r>
              <w:rPr>
                <w:rFonts w:hint="eastAsia" w:ascii="宋体" w:hAnsi="宋体" w:cs="宋体"/>
                <w:color w:val="auto"/>
                <w:sz w:val="24"/>
                <w:highlight w:val="none"/>
              </w:rPr>
              <w:t>积极配合完成分配工作</w:t>
            </w:r>
          </w:p>
        </w:tc>
        <w:tc>
          <w:tcPr>
            <w:tcW w:w="1593" w:type="dxa"/>
            <w:vAlign w:val="center"/>
          </w:tcPr>
          <w:p>
            <w:pPr>
              <w:rPr>
                <w:rFonts w:ascii="宋体" w:hAnsi="宋体" w:cs="宋体"/>
                <w:color w:val="auto"/>
                <w:sz w:val="24"/>
                <w:highlight w:val="none"/>
              </w:rPr>
            </w:pPr>
            <w:r>
              <w:rPr>
                <w:rFonts w:hint="eastAsia" w:ascii="宋体" w:hAnsi="宋体" w:cs="宋体"/>
                <w:color w:val="auto"/>
                <w:sz w:val="24"/>
                <w:highlight w:val="none"/>
              </w:rPr>
              <w:t>10</w:t>
            </w:r>
          </w:p>
        </w:tc>
        <w:tc>
          <w:tcPr>
            <w:tcW w:w="1665" w:type="dxa"/>
            <w:vAlign w:val="center"/>
          </w:tcPr>
          <w:p>
            <w:pPr>
              <w:rPr>
                <w:rFonts w:ascii="宋体" w:hAnsi="宋体" w:cs="宋体"/>
                <w:color w:val="auto"/>
                <w:sz w:val="24"/>
                <w:highlight w:val="none"/>
              </w:rPr>
            </w:pPr>
          </w:p>
        </w:tc>
        <w:tc>
          <w:tcPr>
            <w:tcW w:w="3568" w:type="dxa"/>
            <w:vAlign w:val="center"/>
          </w:tcPr>
          <w:p>
            <w:pPr>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center"/>
          </w:tcPr>
          <w:p>
            <w:pPr>
              <w:rPr>
                <w:rFonts w:ascii="宋体" w:hAnsi="宋体" w:cs="宋体"/>
                <w:color w:val="auto"/>
                <w:sz w:val="24"/>
                <w:highlight w:val="none"/>
              </w:rPr>
            </w:pPr>
            <w:r>
              <w:rPr>
                <w:rFonts w:hint="eastAsia" w:ascii="宋体" w:hAnsi="宋体" w:cs="宋体"/>
                <w:color w:val="auto"/>
                <w:sz w:val="24"/>
                <w:highlight w:val="none"/>
              </w:rPr>
              <w:t>驻点</w:t>
            </w:r>
            <w:r>
              <w:rPr>
                <w:rFonts w:ascii="宋体" w:hAnsi="宋体" w:cs="宋体"/>
                <w:color w:val="auto"/>
                <w:sz w:val="24"/>
                <w:highlight w:val="none"/>
              </w:rPr>
              <w:t>人员到岗率</w:t>
            </w:r>
          </w:p>
        </w:tc>
        <w:tc>
          <w:tcPr>
            <w:tcW w:w="1593" w:type="dxa"/>
            <w:vAlign w:val="center"/>
          </w:tcPr>
          <w:p>
            <w:pPr>
              <w:rPr>
                <w:rFonts w:ascii="宋体" w:hAnsi="宋体" w:cs="宋体"/>
                <w:color w:val="auto"/>
                <w:sz w:val="24"/>
                <w:highlight w:val="none"/>
              </w:rPr>
            </w:pPr>
            <w:r>
              <w:rPr>
                <w:rFonts w:hint="eastAsia" w:ascii="宋体" w:hAnsi="宋体" w:cs="宋体"/>
                <w:color w:val="auto"/>
                <w:sz w:val="24"/>
                <w:highlight w:val="none"/>
              </w:rPr>
              <w:t>15</w:t>
            </w:r>
          </w:p>
        </w:tc>
        <w:tc>
          <w:tcPr>
            <w:tcW w:w="1665" w:type="dxa"/>
            <w:vAlign w:val="bottom"/>
          </w:tcPr>
          <w:p>
            <w:pPr>
              <w:rPr>
                <w:rFonts w:ascii="宋体" w:hAnsi="宋体" w:cs="宋体"/>
                <w:color w:val="auto"/>
                <w:sz w:val="24"/>
                <w:highlight w:val="none"/>
              </w:rPr>
            </w:pPr>
          </w:p>
        </w:tc>
        <w:tc>
          <w:tcPr>
            <w:tcW w:w="3568" w:type="dxa"/>
            <w:vAlign w:val="bottom"/>
          </w:tcPr>
          <w:p>
            <w:pPr>
              <w:rPr>
                <w:rFonts w:ascii="宋体" w:hAnsi="宋体" w:cs="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2688" w:type="dxa"/>
            <w:vAlign w:val="center"/>
          </w:tcPr>
          <w:p>
            <w:pPr>
              <w:rPr>
                <w:rFonts w:ascii="宋体" w:hAnsi="宋体" w:cs="宋体"/>
                <w:color w:val="auto"/>
                <w:sz w:val="24"/>
                <w:highlight w:val="none"/>
              </w:rPr>
            </w:pPr>
            <w:r>
              <w:rPr>
                <w:rFonts w:hint="eastAsia" w:ascii="宋体" w:hAnsi="宋体" w:cs="宋体"/>
                <w:color w:val="auto"/>
                <w:sz w:val="24"/>
                <w:highlight w:val="none"/>
              </w:rPr>
              <w:t>总分</w:t>
            </w:r>
          </w:p>
        </w:tc>
        <w:tc>
          <w:tcPr>
            <w:tcW w:w="1593" w:type="dxa"/>
            <w:vAlign w:val="center"/>
          </w:tcPr>
          <w:p>
            <w:pPr>
              <w:rPr>
                <w:rFonts w:ascii="宋体" w:hAnsi="宋体" w:cs="宋体"/>
                <w:color w:val="auto"/>
                <w:sz w:val="24"/>
                <w:highlight w:val="none"/>
              </w:rPr>
            </w:pPr>
            <w:r>
              <w:rPr>
                <w:rFonts w:hint="eastAsia" w:ascii="宋体" w:hAnsi="宋体" w:cs="宋体"/>
                <w:color w:val="auto"/>
                <w:sz w:val="24"/>
                <w:highlight w:val="none"/>
              </w:rPr>
              <w:t>100</w:t>
            </w:r>
          </w:p>
        </w:tc>
        <w:tc>
          <w:tcPr>
            <w:tcW w:w="1665" w:type="dxa"/>
            <w:vAlign w:val="bottom"/>
          </w:tcPr>
          <w:p>
            <w:pPr>
              <w:rPr>
                <w:rFonts w:ascii="宋体" w:hAnsi="宋体" w:cs="宋体"/>
                <w:color w:val="auto"/>
                <w:sz w:val="24"/>
                <w:highlight w:val="none"/>
              </w:rPr>
            </w:pPr>
          </w:p>
        </w:tc>
        <w:tc>
          <w:tcPr>
            <w:tcW w:w="3568" w:type="dxa"/>
            <w:vAlign w:val="bottom"/>
          </w:tcPr>
          <w:p>
            <w:pPr>
              <w:rPr>
                <w:rFonts w:ascii="宋体" w:hAnsi="宋体" w:cs="宋体"/>
                <w:color w:val="auto"/>
                <w:sz w:val="24"/>
                <w:highlight w:val="none"/>
              </w:rPr>
            </w:pP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备注：1、被考核人若被投诉并造成后果的每次由上级管理部门在最后得分中扣除0.5分。</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2、被考核人应当建立台账，若台账未健全，按实际酌情扣分。</w:t>
      </w:r>
    </w:p>
    <w:p>
      <w:pPr>
        <w:rPr>
          <w:rFonts w:ascii="Times New Roman" w:hAnsi="Times New Roman" w:eastAsia="宋体"/>
          <w:color w:val="auto"/>
          <w:szCs w:val="21"/>
          <w:highlight w:val="none"/>
        </w:rPr>
      </w:pPr>
      <w:r>
        <w:rPr>
          <w:rFonts w:ascii="Times New Roman" w:hAnsi="Times New Roman" w:eastAsia="宋体"/>
          <w:color w:val="auto"/>
          <w:szCs w:val="21"/>
          <w:highlight w:val="none"/>
        </w:rPr>
        <w:br w:type="page"/>
      </w:r>
    </w:p>
    <w:p>
      <w:pPr>
        <w:spacing w:line="360" w:lineRule="auto"/>
        <w:ind w:firstLine="120" w:firstLineChars="50"/>
        <w:jc w:val="center"/>
        <w:rPr>
          <w:rFonts w:ascii="宋体" w:hAnsi="宋体"/>
          <w:b/>
          <w:bCs/>
          <w:color w:val="auto"/>
          <w:sz w:val="24"/>
          <w:highlight w:val="none"/>
        </w:rPr>
      </w:pPr>
      <w:r>
        <w:rPr>
          <w:rFonts w:hint="eastAsia" w:ascii="宋体" w:hAnsi="宋体"/>
          <w:b/>
          <w:bCs/>
          <w:color w:val="auto"/>
          <w:sz w:val="24"/>
          <w:highlight w:val="none"/>
        </w:rPr>
        <w:t>关于医院废旧物资回收处置的约定</w:t>
      </w:r>
    </w:p>
    <w:p>
      <w:pPr>
        <w:spacing w:line="360" w:lineRule="auto"/>
        <w:ind w:firstLine="120" w:firstLineChars="50"/>
        <w:jc w:val="center"/>
        <w:rPr>
          <w:rFonts w:ascii="宋体" w:hAnsi="宋体"/>
          <w:b/>
          <w:bCs/>
          <w:color w:val="auto"/>
          <w:sz w:val="24"/>
          <w:highlight w:val="none"/>
        </w:rPr>
      </w:pP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一、乙方在合同约定的服务期间，须承担服务区域内日常可回收的废旧物资（主要为报纸、纸板、塑料饮料瓶、金属物易拉罐等）的清理、收集、回收工作；</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二、乙方年度上缴甲方废品费人民币</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元整；</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三、废品费用按年度服务期缴纳，本服务周期内废品费乙方应在</w:t>
      </w:r>
      <w:r>
        <w:rPr>
          <w:rFonts w:ascii="宋体" w:hAnsi="宋体"/>
          <w:color w:val="auto"/>
          <w:sz w:val="24"/>
          <w:highlight w:val="none"/>
          <w:u w:val="single"/>
        </w:rPr>
        <w:t xml:space="preserve">   </w:t>
      </w:r>
      <w:r>
        <w:rPr>
          <w:rFonts w:hint="eastAsia" w:ascii="宋体" w:hAnsi="宋体"/>
          <w:color w:val="auto"/>
          <w:sz w:val="24"/>
          <w:highlight w:val="none"/>
          <w:u w:val="single"/>
        </w:rPr>
        <w:t>年</w:t>
      </w:r>
      <w:r>
        <w:rPr>
          <w:rFonts w:ascii="宋体" w:hAnsi="宋体"/>
          <w:color w:val="auto"/>
          <w:sz w:val="24"/>
          <w:highlight w:val="none"/>
          <w:u w:val="single"/>
        </w:rPr>
        <w:t xml:space="preserve">  </w:t>
      </w:r>
      <w:r>
        <w:rPr>
          <w:rFonts w:hint="eastAsia" w:ascii="宋体" w:hAnsi="宋体"/>
          <w:color w:val="auto"/>
          <w:sz w:val="24"/>
          <w:highlight w:val="none"/>
          <w:u w:val="single"/>
        </w:rPr>
        <w:t>月</w:t>
      </w:r>
      <w:r>
        <w:rPr>
          <w:rFonts w:ascii="宋体" w:hAnsi="宋体"/>
          <w:color w:val="auto"/>
          <w:sz w:val="24"/>
          <w:highlight w:val="none"/>
          <w:u w:val="single"/>
        </w:rPr>
        <w:t xml:space="preserve">    </w:t>
      </w:r>
      <w:r>
        <w:rPr>
          <w:rFonts w:hint="eastAsia" w:ascii="宋体" w:hAnsi="宋体"/>
          <w:color w:val="auto"/>
          <w:sz w:val="24"/>
          <w:highlight w:val="none"/>
          <w:u w:val="single"/>
        </w:rPr>
        <w:t>日</w:t>
      </w:r>
      <w:r>
        <w:rPr>
          <w:rFonts w:hint="eastAsia" w:ascii="宋体" w:hAnsi="宋体"/>
          <w:color w:val="auto"/>
          <w:sz w:val="24"/>
          <w:highlight w:val="none"/>
        </w:rPr>
        <w:t>前向甲方缴纳；</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四、乙方设立专人服务，定时上门收集运送，各部门（科室）、暂存点要求日清，并确保消防安全；服务人员不得进入与服务无关的区域，不得做与服务无关的事，不得超范围收集处置。</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五、乙方应设立服务电话满足甲方临时性收集需求。</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六、乙方服务人员在服务时应注意安全，不得影响损坏甲方正常工作秩序，爱护甲方设施，保持现场清洁卫生，做到人走净场。</w:t>
      </w:r>
    </w:p>
    <w:p>
      <w:pPr>
        <w:spacing w:line="360" w:lineRule="auto"/>
        <w:ind w:firstLine="600" w:firstLineChars="250"/>
        <w:rPr>
          <w:rFonts w:ascii="宋体" w:hAnsi="宋体" w:cs="宋体"/>
          <w:color w:val="auto"/>
          <w:sz w:val="24"/>
          <w:highlight w:val="none"/>
        </w:rPr>
      </w:pPr>
      <w:r>
        <w:rPr>
          <w:rFonts w:hint="eastAsia" w:ascii="宋体" w:hAnsi="宋体"/>
          <w:color w:val="auto"/>
          <w:sz w:val="24"/>
          <w:highlight w:val="none"/>
        </w:rPr>
        <w:t>七、废品回收人员的工资、保险、福利等全部费用由乙方承担，并由乙方负责人员的日常管理。</w:t>
      </w:r>
    </w:p>
    <w:bookmarkEnd w:id="27"/>
    <w:bookmarkEnd w:id="28"/>
    <w:bookmarkEnd w:id="29"/>
    <w:bookmarkEnd w:id="30"/>
    <w:p>
      <w:pPr>
        <w:pStyle w:val="4"/>
        <w:snapToGrid w:val="0"/>
        <w:rPr>
          <w:rFonts w:ascii="Times New Roman" w:hAnsi="Times New Roman" w:eastAsia="宋体"/>
          <w:color w:val="auto"/>
          <w:highlight w:val="none"/>
        </w:rPr>
      </w:pPr>
      <w:bookmarkStart w:id="31" w:name="_Toc82338246"/>
      <w:bookmarkStart w:id="32" w:name="_Toc82873329"/>
      <w:r>
        <w:rPr>
          <w:rFonts w:ascii="Times New Roman" w:hAnsi="Times New Roman" w:eastAsia="宋体"/>
          <w:color w:val="auto"/>
          <w:szCs w:val="21"/>
          <w:highlight w:val="none"/>
        </w:rPr>
        <w:br w:type="page"/>
      </w:r>
      <w:bookmarkStart w:id="33" w:name="_Toc495317673"/>
      <w:bookmarkStart w:id="34" w:name="_Toc211745570"/>
      <w:r>
        <w:rPr>
          <w:rFonts w:ascii="Times New Roman" w:hAnsi="Times New Roman" w:eastAsia="宋体"/>
          <w:color w:val="auto"/>
          <w:highlight w:val="none"/>
        </w:rPr>
        <w:t>第六章  投标文件格式</w:t>
      </w:r>
      <w:bookmarkEnd w:id="31"/>
      <w:bookmarkEnd w:id="32"/>
      <w:bookmarkEnd w:id="33"/>
      <w:bookmarkEnd w:id="34"/>
    </w:p>
    <w:p>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pPr>
        <w:snapToGrid w:val="0"/>
        <w:spacing w:line="300" w:lineRule="auto"/>
        <w:jc w:val="center"/>
        <w:rPr>
          <w:color w:val="auto"/>
          <w:highlight w:val="none"/>
        </w:rPr>
      </w:pPr>
    </w:p>
    <w:p>
      <w:pPr>
        <w:pStyle w:val="5"/>
        <w:ind w:firstLine="422"/>
        <w:rPr>
          <w:rFonts w:ascii="Times New Roman" w:hAnsi="Times New Roman"/>
          <w:color w:val="auto"/>
          <w:highlight w:val="none"/>
        </w:rPr>
      </w:pPr>
      <w:bookmarkStart w:id="35" w:name="_Toc437953145"/>
      <w:bookmarkStart w:id="36" w:name="_Toc345575534"/>
      <w:r>
        <w:rPr>
          <w:rFonts w:ascii="Times New Roman" w:hAnsi="Times New Roman"/>
          <w:color w:val="auto"/>
          <w:highlight w:val="none"/>
        </w:rPr>
        <w:t>报价文件封面</w:t>
      </w:r>
      <w:bookmarkEnd w:id="35"/>
      <w:bookmarkEnd w:id="36"/>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pPr>
        <w:snapToGrid w:val="0"/>
        <w:spacing w:line="300" w:lineRule="auto"/>
        <w:jc w:val="center"/>
        <w:rPr>
          <w:color w:val="auto"/>
          <w:highlight w:val="none"/>
        </w:rPr>
      </w:pPr>
    </w:p>
    <w:p>
      <w:pPr>
        <w:pStyle w:val="5"/>
        <w:ind w:firstLine="422"/>
        <w:rPr>
          <w:rFonts w:ascii="Times New Roman" w:hAnsi="Times New Roman"/>
          <w:color w:val="auto"/>
          <w:highlight w:val="none"/>
        </w:rPr>
      </w:pPr>
      <w:r>
        <w:rPr>
          <w:rFonts w:ascii="Times New Roman" w:hAnsi="Times New Roman"/>
          <w:color w:val="auto"/>
          <w:highlight w:val="none"/>
        </w:rPr>
        <w:br w:type="page"/>
      </w:r>
      <w:bookmarkStart w:id="37" w:name="_Toc336683579"/>
      <w:bookmarkStart w:id="38" w:name="_Toc345575539"/>
      <w:r>
        <w:rPr>
          <w:rFonts w:ascii="Times New Roman" w:hAnsi="Times New Roman"/>
          <w:color w:val="auto"/>
          <w:highlight w:val="none"/>
        </w:rPr>
        <w:t>1、开标一览表格式</w:t>
      </w:r>
      <w:bookmarkEnd w:id="37"/>
      <w:bookmarkEnd w:id="38"/>
    </w:p>
    <w:p>
      <w:pPr>
        <w:snapToGrid w:val="0"/>
        <w:spacing w:line="300" w:lineRule="auto"/>
        <w:jc w:val="center"/>
        <w:rPr>
          <w:b/>
          <w:bCs/>
          <w:color w:val="auto"/>
          <w:sz w:val="32"/>
          <w:szCs w:val="32"/>
          <w:highlight w:val="none"/>
        </w:rPr>
      </w:pPr>
      <w:r>
        <w:rPr>
          <w:b/>
          <w:bCs/>
          <w:color w:val="auto"/>
          <w:sz w:val="32"/>
          <w:szCs w:val="32"/>
          <w:highlight w:val="none"/>
        </w:rPr>
        <w:t>开标一览表</w:t>
      </w:r>
    </w:p>
    <w:p>
      <w:pPr>
        <w:pStyle w:val="41"/>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pPr>
        <w:pStyle w:val="41"/>
        <w:adjustRightInd w:val="0"/>
        <w:snapToGrid w:val="0"/>
        <w:spacing w:line="300" w:lineRule="auto"/>
        <w:rPr>
          <w:rFonts w:ascii="Times New Roman" w:hAnsi="Times New Roman"/>
          <w:color w:val="auto"/>
          <w:highlight w:val="none"/>
          <w:u w:val="single"/>
        </w:rPr>
      </w:pPr>
    </w:p>
    <w:p>
      <w:pPr>
        <w:pStyle w:val="41"/>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pPr>
        <w:pStyle w:val="41"/>
        <w:adjustRightInd w:val="0"/>
        <w:snapToGrid w:val="0"/>
        <w:spacing w:line="300" w:lineRule="auto"/>
        <w:rPr>
          <w:rFonts w:ascii="Times New Roman" w:hAnsi="Times New Roman"/>
          <w:color w:val="auto"/>
          <w:highlight w:val="none"/>
        </w:rPr>
      </w:pPr>
    </w:p>
    <w:p>
      <w:pPr>
        <w:pStyle w:val="41"/>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pPr>
        <w:pStyle w:val="41"/>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color w:val="auto"/>
                <w:highlight w:val="none"/>
              </w:rPr>
            </w:pPr>
            <w:r>
              <w:rPr>
                <w:color w:val="auto"/>
                <w:highlight w:val="none"/>
              </w:rPr>
              <w:t>投标总价</w:t>
            </w:r>
          </w:p>
        </w:tc>
        <w:tc>
          <w:tcPr>
            <w:tcW w:w="5442" w:type="dxa"/>
            <w:vAlign w:val="center"/>
          </w:tcPr>
          <w:p>
            <w:pPr>
              <w:spacing w:line="360" w:lineRule="auto"/>
              <w:rPr>
                <w:color w:val="auto"/>
                <w:highlight w:val="none"/>
              </w:rPr>
            </w:pPr>
          </w:p>
          <w:p>
            <w:pPr>
              <w:spacing w:line="360" w:lineRule="auto"/>
              <w:rPr>
                <w:color w:val="auto"/>
                <w:highlight w:val="none"/>
              </w:rPr>
            </w:pPr>
            <w:r>
              <w:rPr>
                <w:color w:val="auto"/>
                <w:highlight w:val="none"/>
              </w:rPr>
              <w:t>小写：</w:t>
            </w:r>
            <w:r>
              <w:rPr>
                <w:color w:val="auto"/>
                <w:highlight w:val="none"/>
                <w:u w:val="single"/>
              </w:rPr>
              <w:t xml:space="preserve">                        </w:t>
            </w:r>
          </w:p>
          <w:p>
            <w:pPr>
              <w:spacing w:line="360" w:lineRule="auto"/>
              <w:rPr>
                <w:color w:val="auto"/>
                <w:highlight w:val="none"/>
              </w:rPr>
            </w:pPr>
          </w:p>
          <w:p>
            <w:pPr>
              <w:spacing w:line="360" w:lineRule="auto"/>
              <w:rPr>
                <w:color w:val="auto"/>
                <w:highlight w:val="none"/>
              </w:rPr>
            </w:pPr>
            <w:r>
              <w:rPr>
                <w:color w:val="auto"/>
                <w:highlight w:val="none"/>
              </w:rPr>
              <w:t>大写：</w:t>
            </w:r>
            <w:r>
              <w:rPr>
                <w:color w:val="auto"/>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color w:val="auto"/>
                <w:highlight w:val="none"/>
              </w:rPr>
            </w:pPr>
            <w:r>
              <w:rPr>
                <w:rFonts w:hint="eastAsia"/>
                <w:color w:val="auto"/>
                <w:highlight w:val="none"/>
              </w:rPr>
              <w:t>服务期</w:t>
            </w:r>
          </w:p>
        </w:tc>
        <w:tc>
          <w:tcPr>
            <w:tcW w:w="5442" w:type="dxa"/>
            <w:vAlign w:val="center"/>
          </w:tcPr>
          <w:p>
            <w:pPr>
              <w:spacing w:line="360" w:lineRule="auto"/>
              <w:rPr>
                <w:color w:val="auto"/>
                <w:highlight w:val="none"/>
              </w:rPr>
            </w:pPr>
            <w:r>
              <w:rPr>
                <w:rFonts w:hint="eastAsia"/>
                <w:color w:val="auto"/>
                <w:highlight w:val="none"/>
              </w:rPr>
              <w:t>2年</w:t>
            </w:r>
          </w:p>
        </w:tc>
      </w:tr>
    </w:tbl>
    <w:p>
      <w:pPr>
        <w:pStyle w:val="41"/>
        <w:adjustRightInd w:val="0"/>
        <w:snapToGrid w:val="0"/>
        <w:spacing w:line="300" w:lineRule="auto"/>
        <w:rPr>
          <w:rFonts w:ascii="Times New Roman" w:hAnsi="Times New Roman"/>
          <w:color w:val="auto"/>
          <w:highlight w:val="none"/>
        </w:rPr>
      </w:pPr>
    </w:p>
    <w:p>
      <w:pPr>
        <w:pStyle w:val="41"/>
        <w:adjustRightInd w:val="0"/>
        <w:snapToGrid w:val="0"/>
        <w:spacing w:line="300" w:lineRule="auto"/>
        <w:rPr>
          <w:rFonts w:ascii="Times New Roman" w:hAnsi="Times New Roman"/>
          <w:color w:val="auto"/>
          <w:highlight w:val="none"/>
        </w:rPr>
      </w:pPr>
    </w:p>
    <w:p>
      <w:pPr>
        <w:adjustRightInd w:val="0"/>
        <w:snapToGrid w:val="0"/>
        <w:spacing w:line="300" w:lineRule="auto"/>
        <w:ind w:firstLine="420" w:firstLineChars="200"/>
        <w:rPr>
          <w:color w:val="auto"/>
          <w:highlight w:val="none"/>
        </w:rPr>
      </w:pPr>
      <w:r>
        <w:rPr>
          <w:color w:val="auto"/>
          <w:highlight w:val="none"/>
        </w:rPr>
        <w:t>注：</w:t>
      </w:r>
    </w:p>
    <w:p>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pPr>
        <w:adjustRightInd w:val="0"/>
        <w:snapToGrid w:val="0"/>
        <w:spacing w:line="300" w:lineRule="auto"/>
        <w:ind w:firstLine="420" w:firstLineChars="200"/>
        <w:rPr>
          <w:color w:val="auto"/>
          <w:highlight w:val="none"/>
        </w:rPr>
      </w:pPr>
      <w:r>
        <w:rPr>
          <w:color w:val="auto"/>
          <w:highlight w:val="none"/>
        </w:rPr>
        <w:t>4、表格可扩展。</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pPr>
        <w:pStyle w:val="5"/>
        <w:ind w:firstLine="422"/>
        <w:rPr>
          <w:rFonts w:ascii="Times New Roman" w:hAnsi="Times New Roman"/>
          <w:color w:val="auto"/>
          <w:highlight w:val="none"/>
        </w:rPr>
      </w:pPr>
      <w:r>
        <w:rPr>
          <w:rFonts w:ascii="Times New Roman" w:hAnsi="Times New Roman"/>
          <w:color w:val="auto"/>
          <w:highlight w:val="none"/>
        </w:rPr>
        <w:br w:type="page"/>
      </w:r>
      <w:bookmarkStart w:id="39" w:name="_Toc345575540"/>
      <w:bookmarkStart w:id="40" w:name="_Toc336683580"/>
      <w:r>
        <w:rPr>
          <w:rFonts w:ascii="Times New Roman" w:hAnsi="Times New Roman"/>
          <w:color w:val="auto"/>
          <w:highlight w:val="none"/>
        </w:rPr>
        <w:t>2、投标价格组成明细表格式</w:t>
      </w:r>
      <w:bookmarkEnd w:id="39"/>
      <w:bookmarkEnd w:id="40"/>
    </w:p>
    <w:p>
      <w:pPr>
        <w:snapToGrid w:val="0"/>
        <w:spacing w:line="300" w:lineRule="auto"/>
        <w:jc w:val="center"/>
        <w:rPr>
          <w:b/>
          <w:bCs/>
          <w:color w:val="auto"/>
          <w:sz w:val="32"/>
          <w:szCs w:val="32"/>
          <w:highlight w:val="none"/>
        </w:rPr>
      </w:pPr>
      <w:r>
        <w:rPr>
          <w:b/>
          <w:bCs/>
          <w:color w:val="auto"/>
          <w:sz w:val="32"/>
          <w:szCs w:val="32"/>
          <w:highlight w:val="none"/>
        </w:rPr>
        <w:t>投标价格组成明细表</w:t>
      </w:r>
    </w:p>
    <w:p>
      <w:pPr>
        <w:snapToGrid w:val="0"/>
        <w:spacing w:line="300" w:lineRule="auto"/>
        <w:rPr>
          <w:color w:val="auto"/>
          <w:szCs w:val="21"/>
          <w:highlight w:val="none"/>
          <w:u w:val="single"/>
        </w:rPr>
      </w:pPr>
      <w:r>
        <w:rPr>
          <w:color w:val="auto"/>
          <w:szCs w:val="21"/>
          <w:highlight w:val="none"/>
        </w:rPr>
        <w:t>项目名称：</w:t>
      </w:r>
    </w:p>
    <w:p>
      <w:pPr>
        <w:snapToGrid w:val="0"/>
        <w:spacing w:line="300" w:lineRule="auto"/>
        <w:rPr>
          <w:color w:val="auto"/>
          <w:szCs w:val="21"/>
          <w:highlight w:val="none"/>
          <w:u w:val="single"/>
        </w:rPr>
      </w:pPr>
      <w:r>
        <w:rPr>
          <w:color w:val="auto"/>
          <w:szCs w:val="21"/>
          <w:highlight w:val="none"/>
        </w:rPr>
        <w:t>招标项目编号：</w:t>
      </w:r>
    </w:p>
    <w:p>
      <w:pPr>
        <w:snapToGrid w:val="0"/>
        <w:spacing w:line="300" w:lineRule="auto"/>
        <w:rPr>
          <w:color w:val="auto"/>
          <w:szCs w:val="21"/>
          <w:highlight w:val="none"/>
        </w:rPr>
      </w:pPr>
      <w:r>
        <w:rPr>
          <w:color w:val="auto"/>
          <w:szCs w:val="21"/>
          <w:highlight w:val="none"/>
        </w:rPr>
        <w:t>标项内容：</w:t>
      </w:r>
    </w:p>
    <w:p>
      <w:pPr>
        <w:snapToGrid w:val="0"/>
        <w:spacing w:line="300" w:lineRule="auto"/>
        <w:rPr>
          <w:rFonts w:ascii="Times New Roman" w:hAnsi="Times New Roman"/>
          <w:color w:val="auto"/>
          <w:szCs w:val="21"/>
          <w:highlight w:val="none"/>
        </w:rPr>
      </w:pPr>
      <w:r>
        <w:rPr>
          <w:color w:val="auto"/>
          <w:szCs w:val="21"/>
          <w:highlight w:val="none"/>
        </w:rPr>
        <w:t>价格单位：元人民币</w:t>
      </w:r>
    </w:p>
    <w:p>
      <w:pPr>
        <w:pStyle w:val="41"/>
        <w:adjustRightInd w:val="0"/>
        <w:snapToGrid w:val="0"/>
        <w:spacing w:line="300" w:lineRule="auto"/>
        <w:ind w:firstLine="480"/>
        <w:rPr>
          <w:rFonts w:ascii="Times New Roman" w:hAnsi="Times New Roman"/>
          <w:color w:val="auto"/>
          <w:szCs w:val="21"/>
          <w:highlight w:val="none"/>
        </w:rPr>
      </w:pPr>
    </w:p>
    <w:tbl>
      <w:tblPr>
        <w:tblStyle w:val="80"/>
        <w:tblW w:w="979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814"/>
        <w:gridCol w:w="1372"/>
        <w:gridCol w:w="13"/>
        <w:gridCol w:w="1309"/>
        <w:gridCol w:w="43"/>
        <w:gridCol w:w="23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2" w:type="dxa"/>
            <w:tcBorders>
              <w:tl2br w:val="nil"/>
              <w:tr2bl w:val="nil"/>
            </w:tcBorders>
            <w:vAlign w:val="center"/>
          </w:tcPr>
          <w:p>
            <w:pPr>
              <w:spacing w:line="360" w:lineRule="auto"/>
              <w:rPr>
                <w:color w:val="auto"/>
                <w:highlight w:val="none"/>
              </w:rPr>
            </w:pPr>
            <w:r>
              <w:rPr>
                <w:rFonts w:hint="eastAsia"/>
                <w:color w:val="auto"/>
                <w:highlight w:val="none"/>
              </w:rPr>
              <w:t>序号</w:t>
            </w:r>
          </w:p>
        </w:tc>
        <w:tc>
          <w:tcPr>
            <w:tcW w:w="3814" w:type="dxa"/>
            <w:tcBorders>
              <w:tl2br w:val="nil"/>
              <w:tr2bl w:val="nil"/>
            </w:tcBorders>
            <w:vAlign w:val="center"/>
          </w:tcPr>
          <w:p>
            <w:pPr>
              <w:spacing w:line="360" w:lineRule="auto"/>
              <w:rPr>
                <w:color w:val="auto"/>
                <w:highlight w:val="none"/>
              </w:rPr>
            </w:pPr>
            <w:r>
              <w:rPr>
                <w:rFonts w:hint="eastAsia"/>
                <w:color w:val="auto"/>
                <w:highlight w:val="none"/>
              </w:rPr>
              <w:t>费用名称</w:t>
            </w:r>
          </w:p>
        </w:tc>
        <w:tc>
          <w:tcPr>
            <w:tcW w:w="1372" w:type="dxa"/>
            <w:tcBorders>
              <w:tl2br w:val="nil"/>
              <w:tr2bl w:val="nil"/>
            </w:tcBorders>
            <w:vAlign w:val="center"/>
          </w:tcPr>
          <w:p>
            <w:pPr>
              <w:spacing w:line="360" w:lineRule="auto"/>
              <w:rPr>
                <w:color w:val="auto"/>
                <w:highlight w:val="none"/>
              </w:rPr>
            </w:pPr>
            <w:r>
              <w:rPr>
                <w:rFonts w:hint="eastAsia"/>
                <w:color w:val="auto"/>
                <w:highlight w:val="none"/>
              </w:rPr>
              <w:t>价格（月）</w:t>
            </w:r>
          </w:p>
        </w:tc>
        <w:tc>
          <w:tcPr>
            <w:tcW w:w="1322" w:type="dxa"/>
            <w:gridSpan w:val="2"/>
            <w:tcBorders>
              <w:tl2br w:val="nil"/>
              <w:tr2bl w:val="nil"/>
            </w:tcBorders>
            <w:vAlign w:val="center"/>
          </w:tcPr>
          <w:p>
            <w:pPr>
              <w:spacing w:line="360" w:lineRule="auto"/>
              <w:rPr>
                <w:color w:val="auto"/>
                <w:highlight w:val="none"/>
              </w:rPr>
            </w:pPr>
            <w:r>
              <w:rPr>
                <w:rFonts w:hint="eastAsia"/>
                <w:color w:val="auto"/>
                <w:highlight w:val="none"/>
              </w:rPr>
              <w:t>价格（2年）</w:t>
            </w:r>
          </w:p>
        </w:tc>
        <w:tc>
          <w:tcPr>
            <w:tcW w:w="2440" w:type="dxa"/>
            <w:gridSpan w:val="2"/>
            <w:tcBorders>
              <w:tl2br w:val="nil"/>
              <w:tr2bl w:val="nil"/>
            </w:tcBorders>
            <w:vAlign w:val="center"/>
          </w:tcPr>
          <w:p>
            <w:pPr>
              <w:spacing w:line="360" w:lineRule="auto"/>
              <w:rPr>
                <w:color w:val="auto"/>
                <w:highlight w:val="none"/>
              </w:rPr>
            </w:pPr>
            <w:r>
              <w:rPr>
                <w:rFonts w:hint="eastAsia"/>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2" w:type="dxa"/>
            <w:tcBorders>
              <w:tl2br w:val="nil"/>
              <w:tr2bl w:val="nil"/>
            </w:tcBorders>
            <w:vAlign w:val="center"/>
          </w:tcPr>
          <w:p>
            <w:pPr>
              <w:spacing w:line="360" w:lineRule="auto"/>
              <w:rPr>
                <w:color w:val="auto"/>
                <w:highlight w:val="none"/>
              </w:rPr>
            </w:pPr>
            <w:r>
              <w:rPr>
                <w:rFonts w:hint="eastAsia"/>
                <w:color w:val="auto"/>
                <w:highlight w:val="none"/>
              </w:rPr>
              <w:t>1</w:t>
            </w:r>
          </w:p>
        </w:tc>
        <w:tc>
          <w:tcPr>
            <w:tcW w:w="3814" w:type="dxa"/>
            <w:tcBorders>
              <w:tl2br w:val="nil"/>
              <w:tr2bl w:val="nil"/>
            </w:tcBorders>
            <w:vAlign w:val="center"/>
          </w:tcPr>
          <w:p>
            <w:pPr>
              <w:spacing w:line="360" w:lineRule="auto"/>
              <w:rPr>
                <w:color w:val="auto"/>
                <w:highlight w:val="none"/>
              </w:rPr>
            </w:pPr>
            <w:r>
              <w:rPr>
                <w:rFonts w:hint="eastAsia"/>
                <w:color w:val="auto"/>
                <w:highlight w:val="none"/>
              </w:rPr>
              <w:t>人工费用</w:t>
            </w:r>
          </w:p>
        </w:tc>
        <w:tc>
          <w:tcPr>
            <w:tcW w:w="1372" w:type="dxa"/>
            <w:tcBorders>
              <w:tl2br w:val="nil"/>
              <w:tr2bl w:val="nil"/>
            </w:tcBorders>
            <w:vAlign w:val="center"/>
          </w:tcPr>
          <w:p>
            <w:pPr>
              <w:spacing w:line="360" w:lineRule="auto"/>
              <w:rPr>
                <w:color w:val="auto"/>
                <w:highlight w:val="none"/>
              </w:rPr>
            </w:pPr>
          </w:p>
        </w:tc>
        <w:tc>
          <w:tcPr>
            <w:tcW w:w="1322" w:type="dxa"/>
            <w:gridSpan w:val="2"/>
            <w:tcBorders>
              <w:tl2br w:val="nil"/>
              <w:tr2bl w:val="nil"/>
            </w:tcBorders>
            <w:vAlign w:val="center"/>
          </w:tcPr>
          <w:p>
            <w:pPr>
              <w:spacing w:line="360" w:lineRule="auto"/>
              <w:rPr>
                <w:color w:val="auto"/>
                <w:highlight w:val="none"/>
              </w:rPr>
            </w:pPr>
          </w:p>
        </w:tc>
        <w:tc>
          <w:tcPr>
            <w:tcW w:w="2440" w:type="dxa"/>
            <w:gridSpan w:val="2"/>
            <w:tcBorders>
              <w:tl2br w:val="nil"/>
              <w:tr2bl w:val="nil"/>
            </w:tcBorders>
            <w:vAlign w:val="center"/>
          </w:tcPr>
          <w:p>
            <w:pPr>
              <w:spacing w:line="360" w:lineRule="auto"/>
              <w:rPr>
                <w:color w:val="auto"/>
                <w:highlight w:val="none"/>
              </w:rPr>
            </w:pPr>
            <w:r>
              <w:rPr>
                <w:rFonts w:hint="eastAsia"/>
                <w:color w:val="auto"/>
                <w:highlight w:val="none"/>
              </w:rPr>
              <w:t>详见表一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2" w:type="dxa"/>
            <w:tcBorders>
              <w:tl2br w:val="nil"/>
              <w:tr2bl w:val="nil"/>
            </w:tcBorders>
            <w:vAlign w:val="center"/>
          </w:tcPr>
          <w:p>
            <w:pPr>
              <w:spacing w:line="360" w:lineRule="auto"/>
              <w:rPr>
                <w:color w:val="auto"/>
                <w:highlight w:val="none"/>
              </w:rPr>
            </w:pPr>
            <w:r>
              <w:rPr>
                <w:rFonts w:hint="eastAsia"/>
                <w:color w:val="auto"/>
                <w:highlight w:val="none"/>
              </w:rPr>
              <w:t>2</w:t>
            </w:r>
          </w:p>
        </w:tc>
        <w:tc>
          <w:tcPr>
            <w:tcW w:w="3814" w:type="dxa"/>
            <w:tcBorders>
              <w:tl2br w:val="nil"/>
              <w:tr2bl w:val="nil"/>
            </w:tcBorders>
            <w:vAlign w:val="center"/>
          </w:tcPr>
          <w:p>
            <w:pPr>
              <w:spacing w:line="360" w:lineRule="auto"/>
              <w:rPr>
                <w:color w:val="auto"/>
                <w:highlight w:val="none"/>
              </w:rPr>
            </w:pPr>
            <w:r>
              <w:rPr>
                <w:rFonts w:hint="eastAsia"/>
                <w:color w:val="auto"/>
                <w:highlight w:val="none"/>
              </w:rPr>
              <w:t>设备器材费用</w:t>
            </w:r>
          </w:p>
        </w:tc>
        <w:tc>
          <w:tcPr>
            <w:tcW w:w="1372" w:type="dxa"/>
            <w:tcBorders>
              <w:tl2br w:val="nil"/>
              <w:tr2bl w:val="nil"/>
            </w:tcBorders>
            <w:vAlign w:val="center"/>
          </w:tcPr>
          <w:p>
            <w:pPr>
              <w:spacing w:line="360" w:lineRule="auto"/>
              <w:rPr>
                <w:color w:val="auto"/>
                <w:highlight w:val="none"/>
              </w:rPr>
            </w:pPr>
          </w:p>
        </w:tc>
        <w:tc>
          <w:tcPr>
            <w:tcW w:w="1322" w:type="dxa"/>
            <w:gridSpan w:val="2"/>
            <w:tcBorders>
              <w:tl2br w:val="nil"/>
              <w:tr2bl w:val="nil"/>
            </w:tcBorders>
            <w:vAlign w:val="center"/>
          </w:tcPr>
          <w:p>
            <w:pPr>
              <w:spacing w:line="360" w:lineRule="auto"/>
              <w:rPr>
                <w:color w:val="auto"/>
                <w:highlight w:val="none"/>
              </w:rPr>
            </w:pPr>
          </w:p>
        </w:tc>
        <w:tc>
          <w:tcPr>
            <w:tcW w:w="2440" w:type="dxa"/>
            <w:gridSpan w:val="2"/>
            <w:tcBorders>
              <w:tl2br w:val="nil"/>
              <w:tr2bl w:val="nil"/>
            </w:tcBorders>
            <w:vAlign w:val="center"/>
          </w:tcPr>
          <w:p>
            <w:pPr>
              <w:spacing w:line="360" w:lineRule="auto"/>
              <w:rPr>
                <w:color w:val="auto"/>
                <w:highlight w:val="none"/>
              </w:rPr>
            </w:pPr>
            <w:r>
              <w:rPr>
                <w:rFonts w:hint="eastAsia"/>
                <w:color w:val="auto"/>
                <w:highlight w:val="none"/>
              </w:rPr>
              <w:t>详见表二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2" w:type="dxa"/>
            <w:tcBorders>
              <w:tl2br w:val="nil"/>
              <w:tr2bl w:val="nil"/>
            </w:tcBorders>
            <w:vAlign w:val="center"/>
          </w:tcPr>
          <w:p>
            <w:pPr>
              <w:spacing w:line="360" w:lineRule="auto"/>
              <w:rPr>
                <w:color w:val="auto"/>
                <w:highlight w:val="none"/>
              </w:rPr>
            </w:pPr>
            <w:r>
              <w:rPr>
                <w:rFonts w:hint="eastAsia"/>
                <w:color w:val="auto"/>
                <w:highlight w:val="none"/>
              </w:rPr>
              <w:t>3</w:t>
            </w:r>
          </w:p>
        </w:tc>
        <w:tc>
          <w:tcPr>
            <w:tcW w:w="3814" w:type="dxa"/>
            <w:tcBorders>
              <w:tl2br w:val="nil"/>
              <w:tr2bl w:val="nil"/>
            </w:tcBorders>
            <w:vAlign w:val="center"/>
          </w:tcPr>
          <w:p>
            <w:pPr>
              <w:spacing w:line="360" w:lineRule="auto"/>
              <w:rPr>
                <w:color w:val="auto"/>
                <w:highlight w:val="none"/>
              </w:rPr>
            </w:pPr>
            <w:r>
              <w:rPr>
                <w:rFonts w:hint="eastAsia"/>
                <w:color w:val="auto"/>
                <w:highlight w:val="none"/>
              </w:rPr>
              <w:t>消耗材料</w:t>
            </w:r>
          </w:p>
        </w:tc>
        <w:tc>
          <w:tcPr>
            <w:tcW w:w="1372" w:type="dxa"/>
            <w:tcBorders>
              <w:tl2br w:val="nil"/>
              <w:tr2bl w:val="nil"/>
            </w:tcBorders>
            <w:vAlign w:val="center"/>
          </w:tcPr>
          <w:p>
            <w:pPr>
              <w:spacing w:line="360" w:lineRule="auto"/>
              <w:rPr>
                <w:color w:val="auto"/>
                <w:highlight w:val="none"/>
              </w:rPr>
            </w:pPr>
          </w:p>
        </w:tc>
        <w:tc>
          <w:tcPr>
            <w:tcW w:w="1322" w:type="dxa"/>
            <w:gridSpan w:val="2"/>
            <w:tcBorders>
              <w:tl2br w:val="nil"/>
              <w:tr2bl w:val="nil"/>
            </w:tcBorders>
            <w:vAlign w:val="center"/>
          </w:tcPr>
          <w:p>
            <w:pPr>
              <w:spacing w:line="360" w:lineRule="auto"/>
              <w:rPr>
                <w:color w:val="auto"/>
                <w:highlight w:val="none"/>
              </w:rPr>
            </w:pPr>
          </w:p>
        </w:tc>
        <w:tc>
          <w:tcPr>
            <w:tcW w:w="2440" w:type="dxa"/>
            <w:gridSpan w:val="2"/>
            <w:tcBorders>
              <w:tl2br w:val="nil"/>
              <w:tr2bl w:val="nil"/>
            </w:tcBorders>
            <w:vAlign w:val="center"/>
          </w:tcPr>
          <w:p>
            <w:pPr>
              <w:spacing w:line="360" w:lineRule="auto"/>
              <w:rPr>
                <w:color w:val="auto"/>
                <w:highlight w:val="none"/>
              </w:rPr>
            </w:pPr>
            <w:r>
              <w:rPr>
                <w:rFonts w:hint="eastAsia"/>
                <w:color w:val="auto"/>
                <w:highlight w:val="none"/>
              </w:rPr>
              <w:t>详见表三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2" w:type="dxa"/>
            <w:tcBorders>
              <w:tl2br w:val="nil"/>
              <w:tr2bl w:val="nil"/>
            </w:tcBorders>
            <w:vAlign w:val="center"/>
          </w:tcPr>
          <w:p>
            <w:pPr>
              <w:spacing w:line="360" w:lineRule="auto"/>
              <w:rPr>
                <w:color w:val="auto"/>
                <w:highlight w:val="none"/>
              </w:rPr>
            </w:pPr>
            <w:r>
              <w:rPr>
                <w:rFonts w:hint="eastAsia"/>
                <w:color w:val="auto"/>
                <w:highlight w:val="none"/>
              </w:rPr>
              <w:t>4</w:t>
            </w:r>
          </w:p>
        </w:tc>
        <w:tc>
          <w:tcPr>
            <w:tcW w:w="3814" w:type="dxa"/>
            <w:tcBorders>
              <w:tl2br w:val="nil"/>
              <w:tr2bl w:val="nil"/>
            </w:tcBorders>
            <w:vAlign w:val="center"/>
          </w:tcPr>
          <w:p>
            <w:pPr>
              <w:spacing w:line="360" w:lineRule="auto"/>
              <w:rPr>
                <w:color w:val="auto"/>
                <w:highlight w:val="none"/>
              </w:rPr>
            </w:pPr>
            <w:r>
              <w:rPr>
                <w:rFonts w:hint="eastAsia"/>
                <w:color w:val="auto"/>
                <w:highlight w:val="none"/>
              </w:rPr>
              <w:t>服装费用</w:t>
            </w:r>
          </w:p>
        </w:tc>
        <w:tc>
          <w:tcPr>
            <w:tcW w:w="1372" w:type="dxa"/>
            <w:tcBorders>
              <w:tl2br w:val="nil"/>
              <w:tr2bl w:val="nil"/>
            </w:tcBorders>
            <w:vAlign w:val="center"/>
          </w:tcPr>
          <w:p>
            <w:pPr>
              <w:spacing w:line="360" w:lineRule="auto"/>
              <w:rPr>
                <w:color w:val="auto"/>
                <w:highlight w:val="none"/>
              </w:rPr>
            </w:pPr>
          </w:p>
        </w:tc>
        <w:tc>
          <w:tcPr>
            <w:tcW w:w="1322" w:type="dxa"/>
            <w:gridSpan w:val="2"/>
            <w:tcBorders>
              <w:tl2br w:val="nil"/>
              <w:tr2bl w:val="nil"/>
            </w:tcBorders>
            <w:vAlign w:val="center"/>
          </w:tcPr>
          <w:p>
            <w:pPr>
              <w:spacing w:line="360" w:lineRule="auto"/>
              <w:rPr>
                <w:color w:val="auto"/>
                <w:highlight w:val="none"/>
              </w:rPr>
            </w:pPr>
          </w:p>
        </w:tc>
        <w:tc>
          <w:tcPr>
            <w:tcW w:w="2440" w:type="dxa"/>
            <w:gridSpan w:val="2"/>
            <w:tcBorders>
              <w:tl2br w:val="nil"/>
              <w:tr2bl w:val="nil"/>
            </w:tcBorders>
            <w:vAlign w:val="center"/>
          </w:tcPr>
          <w:p>
            <w:pPr>
              <w:spacing w:line="360" w:lineRule="auto"/>
              <w:rPr>
                <w:color w:val="auto"/>
                <w:highlight w:val="none"/>
              </w:rPr>
            </w:pPr>
            <w:r>
              <w:rPr>
                <w:rFonts w:hint="eastAsia"/>
                <w:color w:val="auto"/>
                <w:highlight w:val="none"/>
              </w:rPr>
              <w:t>详见表四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2" w:type="dxa"/>
            <w:tcBorders>
              <w:tl2br w:val="nil"/>
              <w:tr2bl w:val="nil"/>
            </w:tcBorders>
            <w:vAlign w:val="center"/>
          </w:tcPr>
          <w:p>
            <w:pPr>
              <w:spacing w:line="360" w:lineRule="auto"/>
              <w:rPr>
                <w:color w:val="auto"/>
                <w:highlight w:val="none"/>
              </w:rPr>
            </w:pPr>
            <w:r>
              <w:rPr>
                <w:rFonts w:hint="eastAsia"/>
                <w:color w:val="auto"/>
                <w:highlight w:val="none"/>
              </w:rPr>
              <w:t>5</w:t>
            </w:r>
          </w:p>
        </w:tc>
        <w:tc>
          <w:tcPr>
            <w:tcW w:w="3814" w:type="dxa"/>
            <w:tcBorders>
              <w:tl2br w:val="nil"/>
              <w:tr2bl w:val="nil"/>
            </w:tcBorders>
            <w:vAlign w:val="center"/>
          </w:tcPr>
          <w:p>
            <w:pPr>
              <w:spacing w:line="360" w:lineRule="auto"/>
              <w:rPr>
                <w:color w:val="auto"/>
                <w:highlight w:val="none"/>
              </w:rPr>
            </w:pPr>
            <w:r>
              <w:rPr>
                <w:rFonts w:hint="eastAsia"/>
                <w:color w:val="auto"/>
                <w:highlight w:val="none"/>
              </w:rPr>
              <w:t>安全保障费用</w:t>
            </w:r>
          </w:p>
        </w:tc>
        <w:tc>
          <w:tcPr>
            <w:tcW w:w="1372" w:type="dxa"/>
            <w:tcBorders>
              <w:tl2br w:val="nil"/>
              <w:tr2bl w:val="nil"/>
            </w:tcBorders>
            <w:vAlign w:val="center"/>
          </w:tcPr>
          <w:p>
            <w:pPr>
              <w:spacing w:line="360" w:lineRule="auto"/>
              <w:rPr>
                <w:color w:val="auto"/>
                <w:highlight w:val="none"/>
              </w:rPr>
            </w:pPr>
          </w:p>
        </w:tc>
        <w:tc>
          <w:tcPr>
            <w:tcW w:w="1322" w:type="dxa"/>
            <w:gridSpan w:val="2"/>
            <w:tcBorders>
              <w:tl2br w:val="nil"/>
              <w:tr2bl w:val="nil"/>
            </w:tcBorders>
            <w:vAlign w:val="center"/>
          </w:tcPr>
          <w:p>
            <w:pPr>
              <w:spacing w:line="360" w:lineRule="auto"/>
              <w:rPr>
                <w:color w:val="auto"/>
                <w:highlight w:val="none"/>
              </w:rPr>
            </w:pPr>
          </w:p>
        </w:tc>
        <w:tc>
          <w:tcPr>
            <w:tcW w:w="2440" w:type="dxa"/>
            <w:gridSpan w:val="2"/>
            <w:tcBorders>
              <w:tl2br w:val="nil"/>
              <w:tr2bl w:val="nil"/>
            </w:tcBorders>
            <w:vAlign w:val="center"/>
          </w:tcPr>
          <w:p>
            <w:pPr>
              <w:spacing w:line="360" w:lineRule="auto"/>
              <w:rPr>
                <w:color w:val="auto"/>
                <w:highlight w:val="none"/>
              </w:rPr>
            </w:pPr>
            <w:r>
              <w:rPr>
                <w:rFonts w:hint="eastAsia"/>
                <w:color w:val="auto"/>
                <w:highlight w:val="none"/>
              </w:rPr>
              <w:t>详见表五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2" w:type="dxa"/>
            <w:tcBorders>
              <w:tl2br w:val="nil"/>
              <w:tr2bl w:val="nil"/>
            </w:tcBorders>
            <w:vAlign w:val="center"/>
          </w:tcPr>
          <w:p>
            <w:pPr>
              <w:spacing w:line="360" w:lineRule="auto"/>
              <w:rPr>
                <w:color w:val="auto"/>
                <w:highlight w:val="none"/>
              </w:rPr>
            </w:pPr>
            <w:r>
              <w:rPr>
                <w:rFonts w:hint="eastAsia"/>
                <w:color w:val="auto"/>
                <w:highlight w:val="none"/>
              </w:rPr>
              <w:t>6</w:t>
            </w:r>
          </w:p>
        </w:tc>
        <w:tc>
          <w:tcPr>
            <w:tcW w:w="3814" w:type="dxa"/>
            <w:tcBorders>
              <w:tl2br w:val="nil"/>
              <w:tr2bl w:val="nil"/>
            </w:tcBorders>
            <w:vAlign w:val="center"/>
          </w:tcPr>
          <w:p>
            <w:pPr>
              <w:spacing w:line="360" w:lineRule="auto"/>
              <w:rPr>
                <w:color w:val="auto"/>
                <w:highlight w:val="none"/>
              </w:rPr>
            </w:pPr>
            <w:r>
              <w:rPr>
                <w:rFonts w:hint="eastAsia"/>
                <w:color w:val="auto"/>
                <w:highlight w:val="none"/>
              </w:rPr>
              <w:t>仓储、运输费用</w:t>
            </w:r>
          </w:p>
        </w:tc>
        <w:tc>
          <w:tcPr>
            <w:tcW w:w="1372" w:type="dxa"/>
            <w:tcBorders>
              <w:tl2br w:val="nil"/>
              <w:tr2bl w:val="nil"/>
            </w:tcBorders>
            <w:vAlign w:val="center"/>
          </w:tcPr>
          <w:p>
            <w:pPr>
              <w:spacing w:line="360" w:lineRule="auto"/>
              <w:rPr>
                <w:color w:val="auto"/>
                <w:highlight w:val="none"/>
              </w:rPr>
            </w:pPr>
          </w:p>
        </w:tc>
        <w:tc>
          <w:tcPr>
            <w:tcW w:w="1322" w:type="dxa"/>
            <w:gridSpan w:val="2"/>
            <w:tcBorders>
              <w:tl2br w:val="nil"/>
              <w:tr2bl w:val="nil"/>
            </w:tcBorders>
            <w:vAlign w:val="center"/>
          </w:tcPr>
          <w:p>
            <w:pPr>
              <w:spacing w:line="360" w:lineRule="auto"/>
              <w:rPr>
                <w:color w:val="auto"/>
                <w:highlight w:val="none"/>
              </w:rPr>
            </w:pPr>
          </w:p>
        </w:tc>
        <w:tc>
          <w:tcPr>
            <w:tcW w:w="2440" w:type="dxa"/>
            <w:gridSpan w:val="2"/>
            <w:tcBorders>
              <w:tl2br w:val="nil"/>
              <w:tr2bl w:val="nil"/>
            </w:tcBorders>
            <w:vAlign w:val="center"/>
          </w:tcPr>
          <w:p>
            <w:pPr>
              <w:spacing w:line="360" w:lineRule="auto"/>
              <w:rPr>
                <w:color w:val="auto"/>
                <w:highlight w:val="none"/>
              </w:rPr>
            </w:pPr>
            <w:r>
              <w:rPr>
                <w:rFonts w:hint="eastAsia"/>
                <w:color w:val="auto"/>
                <w:highlight w:val="none"/>
              </w:rPr>
              <w:t>详见表六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2" w:type="dxa"/>
            <w:tcBorders>
              <w:tl2br w:val="nil"/>
              <w:tr2bl w:val="nil"/>
            </w:tcBorders>
            <w:vAlign w:val="center"/>
          </w:tcPr>
          <w:p>
            <w:pPr>
              <w:spacing w:line="360" w:lineRule="auto"/>
              <w:rPr>
                <w:color w:val="auto"/>
                <w:highlight w:val="none"/>
              </w:rPr>
            </w:pPr>
            <w:r>
              <w:rPr>
                <w:rFonts w:hint="eastAsia"/>
                <w:color w:val="auto"/>
                <w:highlight w:val="none"/>
              </w:rPr>
              <w:t>7</w:t>
            </w:r>
          </w:p>
        </w:tc>
        <w:tc>
          <w:tcPr>
            <w:tcW w:w="3814" w:type="dxa"/>
            <w:tcBorders>
              <w:tl2br w:val="nil"/>
              <w:tr2bl w:val="nil"/>
            </w:tcBorders>
            <w:vAlign w:val="center"/>
          </w:tcPr>
          <w:p>
            <w:pPr>
              <w:spacing w:line="360" w:lineRule="auto"/>
              <w:rPr>
                <w:color w:val="auto"/>
                <w:highlight w:val="none"/>
              </w:rPr>
            </w:pPr>
            <w:r>
              <w:rPr>
                <w:rFonts w:hint="eastAsia"/>
                <w:color w:val="auto"/>
                <w:highlight w:val="none"/>
              </w:rPr>
              <w:t>垃圾清运</w:t>
            </w:r>
          </w:p>
        </w:tc>
        <w:tc>
          <w:tcPr>
            <w:tcW w:w="1372" w:type="dxa"/>
            <w:tcBorders>
              <w:tl2br w:val="nil"/>
              <w:tr2bl w:val="nil"/>
            </w:tcBorders>
            <w:vAlign w:val="center"/>
          </w:tcPr>
          <w:p>
            <w:pPr>
              <w:spacing w:line="360" w:lineRule="auto"/>
              <w:rPr>
                <w:color w:val="auto"/>
                <w:highlight w:val="none"/>
              </w:rPr>
            </w:pPr>
          </w:p>
        </w:tc>
        <w:tc>
          <w:tcPr>
            <w:tcW w:w="1322" w:type="dxa"/>
            <w:gridSpan w:val="2"/>
            <w:tcBorders>
              <w:tl2br w:val="nil"/>
              <w:tr2bl w:val="nil"/>
            </w:tcBorders>
            <w:vAlign w:val="center"/>
          </w:tcPr>
          <w:p>
            <w:pPr>
              <w:spacing w:line="360" w:lineRule="auto"/>
              <w:rPr>
                <w:color w:val="auto"/>
                <w:highlight w:val="none"/>
              </w:rPr>
            </w:pPr>
          </w:p>
        </w:tc>
        <w:tc>
          <w:tcPr>
            <w:tcW w:w="2440" w:type="dxa"/>
            <w:gridSpan w:val="2"/>
            <w:tcBorders>
              <w:tl2br w:val="nil"/>
              <w:tr2bl w:val="nil"/>
            </w:tcBorders>
            <w:vAlign w:val="center"/>
          </w:tcPr>
          <w:p>
            <w:pPr>
              <w:spacing w:line="360" w:lineRule="auto"/>
              <w:rPr>
                <w:color w:val="auto"/>
                <w:highlight w:val="none"/>
              </w:rPr>
            </w:pPr>
            <w:r>
              <w:rPr>
                <w:rFonts w:hint="eastAsia"/>
                <w:color w:val="auto"/>
                <w:highlight w:val="none"/>
              </w:rPr>
              <w:t>详见表七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2" w:type="dxa"/>
            <w:tcBorders>
              <w:tl2br w:val="nil"/>
              <w:tr2bl w:val="nil"/>
            </w:tcBorders>
            <w:vAlign w:val="center"/>
          </w:tcPr>
          <w:p>
            <w:pPr>
              <w:spacing w:line="360" w:lineRule="auto"/>
              <w:rPr>
                <w:color w:val="auto"/>
                <w:highlight w:val="none"/>
              </w:rPr>
            </w:pPr>
            <w:r>
              <w:rPr>
                <w:color w:val="auto"/>
                <w:highlight w:val="none"/>
              </w:rPr>
              <w:t>8</w:t>
            </w:r>
          </w:p>
        </w:tc>
        <w:tc>
          <w:tcPr>
            <w:tcW w:w="3814" w:type="dxa"/>
            <w:tcBorders>
              <w:tl2br w:val="nil"/>
              <w:tr2bl w:val="nil"/>
            </w:tcBorders>
            <w:vAlign w:val="center"/>
          </w:tcPr>
          <w:p>
            <w:pPr>
              <w:spacing w:line="360" w:lineRule="auto"/>
              <w:rPr>
                <w:color w:val="auto"/>
                <w:highlight w:val="none"/>
              </w:rPr>
            </w:pPr>
            <w:r>
              <w:rPr>
                <w:rFonts w:hint="eastAsia"/>
                <w:color w:val="auto"/>
                <w:highlight w:val="none"/>
              </w:rPr>
              <w:t>管理费用、税费、利润等</w:t>
            </w:r>
          </w:p>
        </w:tc>
        <w:tc>
          <w:tcPr>
            <w:tcW w:w="1372" w:type="dxa"/>
            <w:tcBorders>
              <w:tl2br w:val="nil"/>
              <w:tr2bl w:val="nil"/>
            </w:tcBorders>
            <w:vAlign w:val="center"/>
          </w:tcPr>
          <w:p>
            <w:pPr>
              <w:spacing w:line="360" w:lineRule="auto"/>
              <w:rPr>
                <w:color w:val="auto"/>
                <w:highlight w:val="none"/>
              </w:rPr>
            </w:pPr>
          </w:p>
        </w:tc>
        <w:tc>
          <w:tcPr>
            <w:tcW w:w="1322" w:type="dxa"/>
            <w:gridSpan w:val="2"/>
            <w:tcBorders>
              <w:tl2br w:val="nil"/>
              <w:tr2bl w:val="nil"/>
            </w:tcBorders>
            <w:vAlign w:val="center"/>
          </w:tcPr>
          <w:p>
            <w:pPr>
              <w:spacing w:line="360" w:lineRule="auto"/>
              <w:rPr>
                <w:color w:val="auto"/>
                <w:highlight w:val="none"/>
              </w:rPr>
            </w:pPr>
          </w:p>
        </w:tc>
        <w:tc>
          <w:tcPr>
            <w:tcW w:w="2440" w:type="dxa"/>
            <w:gridSpan w:val="2"/>
            <w:tcBorders>
              <w:tl2br w:val="nil"/>
              <w:tr2bl w:val="nil"/>
            </w:tcBorders>
            <w:vAlign w:val="center"/>
          </w:tcPr>
          <w:p>
            <w:pPr>
              <w:spacing w:line="360" w:lineRule="auto"/>
              <w:rPr>
                <w:color w:val="auto"/>
                <w:highlight w:val="none"/>
              </w:rPr>
            </w:pPr>
            <w:r>
              <w:rPr>
                <w:rFonts w:hint="eastAsia"/>
                <w:color w:val="auto"/>
                <w:highlight w:val="none"/>
              </w:rPr>
              <w:t>详见表八</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2" w:type="dxa"/>
            <w:tcBorders>
              <w:tl2br w:val="nil"/>
              <w:tr2bl w:val="nil"/>
            </w:tcBorders>
            <w:vAlign w:val="center"/>
          </w:tcPr>
          <w:p>
            <w:pPr>
              <w:spacing w:line="360" w:lineRule="auto"/>
              <w:rPr>
                <w:color w:val="auto"/>
                <w:highlight w:val="none"/>
              </w:rPr>
            </w:pPr>
            <w:r>
              <w:rPr>
                <w:color w:val="auto"/>
                <w:highlight w:val="none"/>
              </w:rPr>
              <w:t>9</w:t>
            </w:r>
          </w:p>
        </w:tc>
        <w:tc>
          <w:tcPr>
            <w:tcW w:w="3814" w:type="dxa"/>
            <w:tcBorders>
              <w:tl2br w:val="nil"/>
              <w:tr2bl w:val="nil"/>
            </w:tcBorders>
            <w:vAlign w:val="center"/>
          </w:tcPr>
          <w:p>
            <w:pPr>
              <w:spacing w:line="360" w:lineRule="auto"/>
              <w:rPr>
                <w:color w:val="auto"/>
                <w:highlight w:val="none"/>
              </w:rPr>
            </w:pPr>
            <w:r>
              <w:rPr>
                <w:rFonts w:hint="eastAsia"/>
                <w:color w:val="auto"/>
                <w:highlight w:val="none"/>
              </w:rPr>
              <w:t>完成合同所需的一切本身和不可或缺的所有工作开支、政策性文件规定及合同包含的所有风险、责任等各项全部费用</w:t>
            </w:r>
          </w:p>
        </w:tc>
        <w:tc>
          <w:tcPr>
            <w:tcW w:w="1372" w:type="dxa"/>
            <w:tcBorders>
              <w:tl2br w:val="nil"/>
              <w:tr2bl w:val="nil"/>
            </w:tcBorders>
            <w:vAlign w:val="center"/>
          </w:tcPr>
          <w:p>
            <w:pPr>
              <w:spacing w:line="360" w:lineRule="auto"/>
              <w:rPr>
                <w:color w:val="auto"/>
                <w:highlight w:val="none"/>
              </w:rPr>
            </w:pPr>
          </w:p>
        </w:tc>
        <w:tc>
          <w:tcPr>
            <w:tcW w:w="1322" w:type="dxa"/>
            <w:gridSpan w:val="2"/>
            <w:tcBorders>
              <w:tl2br w:val="nil"/>
              <w:tr2bl w:val="nil"/>
            </w:tcBorders>
            <w:vAlign w:val="center"/>
          </w:tcPr>
          <w:p>
            <w:pPr>
              <w:spacing w:line="360" w:lineRule="auto"/>
              <w:rPr>
                <w:color w:val="auto"/>
                <w:highlight w:val="none"/>
              </w:rPr>
            </w:pPr>
          </w:p>
        </w:tc>
        <w:tc>
          <w:tcPr>
            <w:tcW w:w="2440" w:type="dxa"/>
            <w:gridSpan w:val="2"/>
            <w:tcBorders>
              <w:tl2br w:val="nil"/>
              <w:tr2bl w:val="nil"/>
            </w:tcBorders>
            <w:vAlign w:val="center"/>
          </w:tcPr>
          <w:p>
            <w:pPr>
              <w:spacing w:line="360" w:lineRule="auto"/>
              <w:rPr>
                <w:color w:val="auto"/>
                <w:highlight w:val="none"/>
              </w:rPr>
            </w:pPr>
            <w:r>
              <w:rPr>
                <w:rFonts w:hint="eastAsia"/>
                <w:color w:val="auto"/>
                <w:highlight w:val="none"/>
              </w:rPr>
              <w:t>详见表九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2" w:type="dxa"/>
            <w:tcBorders>
              <w:tl2br w:val="nil"/>
              <w:tr2bl w:val="nil"/>
            </w:tcBorders>
            <w:vAlign w:val="center"/>
          </w:tcPr>
          <w:p>
            <w:pPr>
              <w:spacing w:line="360" w:lineRule="auto"/>
              <w:rPr>
                <w:color w:val="auto"/>
                <w:highlight w:val="none"/>
              </w:rPr>
            </w:pPr>
          </w:p>
        </w:tc>
        <w:tc>
          <w:tcPr>
            <w:tcW w:w="3814" w:type="dxa"/>
            <w:tcBorders>
              <w:tl2br w:val="nil"/>
              <w:tr2bl w:val="nil"/>
            </w:tcBorders>
            <w:vAlign w:val="center"/>
          </w:tcPr>
          <w:p>
            <w:pPr>
              <w:spacing w:line="360" w:lineRule="auto"/>
              <w:rPr>
                <w:color w:val="auto"/>
                <w:highlight w:val="none"/>
              </w:rPr>
            </w:pPr>
            <w:r>
              <w:rPr>
                <w:rFonts w:hint="eastAsia"/>
                <w:color w:val="auto"/>
                <w:highlight w:val="none"/>
              </w:rPr>
              <w:t>投标总价（1+2+3+</w:t>
            </w:r>
            <w:r>
              <w:rPr>
                <w:color w:val="auto"/>
                <w:highlight w:val="none"/>
              </w:rPr>
              <w:t>…</w:t>
            </w:r>
            <w:r>
              <w:rPr>
                <w:rFonts w:hint="eastAsia"/>
                <w:color w:val="auto"/>
                <w:highlight w:val="none"/>
              </w:rPr>
              <w:t>+</w:t>
            </w:r>
            <w:r>
              <w:rPr>
                <w:rFonts w:hint="eastAsia"/>
                <w:color w:val="auto"/>
                <w:highlight w:val="none"/>
                <w:lang w:val="en-US" w:eastAsia="zh-CN"/>
              </w:rPr>
              <w:t>9</w:t>
            </w:r>
            <w:r>
              <w:rPr>
                <w:rFonts w:hint="eastAsia"/>
                <w:color w:val="auto"/>
                <w:highlight w:val="none"/>
              </w:rPr>
              <w:t>）</w:t>
            </w:r>
          </w:p>
        </w:tc>
        <w:tc>
          <w:tcPr>
            <w:tcW w:w="5134" w:type="dxa"/>
            <w:gridSpan w:val="5"/>
            <w:tcBorders>
              <w:tl2br w:val="nil"/>
              <w:tr2bl w:val="nil"/>
            </w:tcBorders>
            <w:vAlign w:val="center"/>
          </w:tcPr>
          <w:p>
            <w:pPr>
              <w:spacing w:line="360" w:lineRule="auto"/>
              <w:rPr>
                <w:color w:val="auto"/>
                <w:highlight w:val="none"/>
              </w:rPr>
            </w:pPr>
            <w:r>
              <w:rPr>
                <w:rFonts w:hint="eastAsia"/>
                <w:color w:val="auto"/>
                <w:highlight w:val="none"/>
              </w:rPr>
              <w:t>大写：           小写：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42" w:type="dxa"/>
            <w:tcBorders>
              <w:tl2br w:val="nil"/>
              <w:tr2bl w:val="nil"/>
            </w:tcBorders>
            <w:vAlign w:val="center"/>
          </w:tcPr>
          <w:p>
            <w:pPr>
              <w:spacing w:line="360" w:lineRule="auto"/>
              <w:rPr>
                <w:color w:val="auto"/>
                <w:highlight w:val="none"/>
              </w:rPr>
            </w:pPr>
            <w:r>
              <w:rPr>
                <w:rFonts w:hint="eastAsia"/>
                <w:color w:val="auto"/>
                <w:highlight w:val="none"/>
              </w:rPr>
              <w:t>其他</w:t>
            </w:r>
          </w:p>
        </w:tc>
        <w:tc>
          <w:tcPr>
            <w:tcW w:w="3814" w:type="dxa"/>
            <w:tcBorders>
              <w:tl2br w:val="nil"/>
              <w:tr2bl w:val="nil"/>
            </w:tcBorders>
            <w:vAlign w:val="center"/>
          </w:tcPr>
          <w:p>
            <w:pPr>
              <w:spacing w:line="360" w:lineRule="auto"/>
              <w:rPr>
                <w:color w:val="auto"/>
                <w:highlight w:val="none"/>
              </w:rPr>
            </w:pPr>
            <w:r>
              <w:rPr>
                <w:rFonts w:hint="eastAsia"/>
                <w:color w:val="auto"/>
                <w:highlight w:val="none"/>
              </w:rPr>
              <w:t>报纸、纸板等废品回收费</w:t>
            </w:r>
          </w:p>
        </w:tc>
        <w:tc>
          <w:tcPr>
            <w:tcW w:w="1385" w:type="dxa"/>
            <w:gridSpan w:val="2"/>
            <w:tcBorders>
              <w:tl2br w:val="nil"/>
              <w:tr2bl w:val="nil"/>
            </w:tcBorders>
            <w:vAlign w:val="center"/>
          </w:tcPr>
          <w:p>
            <w:pPr>
              <w:spacing w:line="360" w:lineRule="auto"/>
              <w:rPr>
                <w:color w:val="auto"/>
                <w:highlight w:val="none"/>
              </w:rPr>
            </w:pPr>
          </w:p>
        </w:tc>
        <w:tc>
          <w:tcPr>
            <w:tcW w:w="1352" w:type="dxa"/>
            <w:gridSpan w:val="2"/>
            <w:tcBorders>
              <w:tl2br w:val="nil"/>
              <w:tr2bl w:val="nil"/>
            </w:tcBorders>
            <w:vAlign w:val="center"/>
          </w:tcPr>
          <w:p>
            <w:pPr>
              <w:spacing w:line="360" w:lineRule="auto"/>
              <w:rPr>
                <w:color w:val="auto"/>
                <w:highlight w:val="none"/>
              </w:rPr>
            </w:pPr>
          </w:p>
        </w:tc>
        <w:tc>
          <w:tcPr>
            <w:tcW w:w="2397" w:type="dxa"/>
            <w:tcBorders>
              <w:tl2br w:val="nil"/>
              <w:tr2bl w:val="nil"/>
            </w:tcBorders>
            <w:vAlign w:val="center"/>
          </w:tcPr>
          <w:p>
            <w:pPr>
              <w:spacing w:line="360" w:lineRule="auto"/>
              <w:rPr>
                <w:color w:val="auto"/>
                <w:highlight w:val="none"/>
              </w:rPr>
            </w:pPr>
            <w:r>
              <w:rPr>
                <w:rFonts w:hint="eastAsia"/>
                <w:color w:val="auto"/>
                <w:highlight w:val="none"/>
              </w:rPr>
              <w:t>按年度向采购人支付。</w:t>
            </w:r>
          </w:p>
        </w:tc>
      </w:tr>
    </w:tbl>
    <w:p>
      <w:pPr>
        <w:spacing w:line="360" w:lineRule="auto"/>
        <w:ind w:firstLine="210" w:firstLineChars="100"/>
        <w:rPr>
          <w:rFonts w:ascii="宋体" w:hAnsi="宋体"/>
          <w:color w:val="auto"/>
          <w:kern w:val="0"/>
          <w:szCs w:val="21"/>
          <w:highlight w:val="none"/>
        </w:rPr>
      </w:pPr>
      <w:r>
        <w:rPr>
          <w:rFonts w:ascii="宋体" w:hAnsi="宋体"/>
          <w:color w:val="auto"/>
          <w:kern w:val="0"/>
          <w:szCs w:val="21"/>
          <w:highlight w:val="none"/>
          <w:lang w:val="zh-CN"/>
        </w:rPr>
        <w:t>注：</w:t>
      </w:r>
      <w:r>
        <w:rPr>
          <w:rFonts w:hint="eastAsia" w:ascii="宋体" w:hAnsi="宋体"/>
          <w:color w:val="auto"/>
          <w:kern w:val="0"/>
          <w:szCs w:val="21"/>
          <w:highlight w:val="none"/>
        </w:rPr>
        <w:t>1、本次投标报价为2年的物业管理服务的价格。</w:t>
      </w:r>
    </w:p>
    <w:p>
      <w:pPr>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2、投标报价包括供应商</w:t>
      </w:r>
      <w:r>
        <w:rPr>
          <w:rFonts w:hint="eastAsia"/>
          <w:color w:val="auto"/>
          <w:szCs w:val="21"/>
          <w:highlight w:val="none"/>
        </w:rPr>
        <w:t>在承包区域内提供本项目服务所需的所有</w:t>
      </w:r>
      <w:r>
        <w:rPr>
          <w:rFonts w:hint="eastAsia" w:ascii="宋体" w:hAnsi="宋体"/>
          <w:color w:val="auto"/>
          <w:szCs w:val="21"/>
          <w:highlight w:val="none"/>
        </w:rPr>
        <w:t>人员的人工费【包括工资、奖金、超时和法定节假日加班费、日常及突发事件的临时加班费用、夜餐费、五险一金（基本养老保险、基本医疗保险、工伤保险、生育保险、失业保险、公积金）、高温费、食宿与交通费等所有费用】、设备器材、消耗材料（各种卫生工具、清洗液</w:t>
      </w:r>
      <w:r>
        <w:rPr>
          <w:rFonts w:hint="eastAsia" w:ascii="宋体" w:hAnsi="宋体"/>
          <w:bCs/>
          <w:color w:val="auto"/>
          <w:szCs w:val="21"/>
          <w:highlight w:val="none"/>
        </w:rPr>
        <w:t>及其他职业防护物品</w:t>
      </w:r>
      <w:r>
        <w:rPr>
          <w:rFonts w:hint="eastAsia" w:ascii="宋体" w:hAnsi="宋体"/>
          <w:color w:val="auto"/>
          <w:szCs w:val="21"/>
          <w:highlight w:val="none"/>
        </w:rPr>
        <w:t>等提供保洁服务所需要的所有消耗材料）、服装、安全保障、仓储、运输、垃圾清运、教育培训、管理费用、利润、完成合同所需的不可或缺的所有工作开支和政策性文件规定及包含的所有风险责任等各项全部费用，并承担一切风险责任。</w:t>
      </w:r>
    </w:p>
    <w:p>
      <w:pPr>
        <w:spacing w:line="360" w:lineRule="auto"/>
        <w:ind w:firstLine="525" w:firstLineChars="250"/>
        <w:rPr>
          <w:rFonts w:ascii="宋体" w:hAnsi="宋体"/>
          <w:bCs/>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、以下费用由采购人承担，不需要投标报价：</w:t>
      </w:r>
      <w:r>
        <w:rPr>
          <w:rFonts w:hint="eastAsia" w:ascii="宋体" w:hAnsi="宋体"/>
          <w:bCs/>
          <w:color w:val="auto"/>
          <w:szCs w:val="21"/>
          <w:highlight w:val="none"/>
        </w:rPr>
        <w:t>采购人免费提供黄色医疗垃圾袋、橙色医用织物垃圾袋和感染病人的消毒药水。</w:t>
      </w:r>
    </w:p>
    <w:p>
      <w:pPr>
        <w:spacing w:line="360" w:lineRule="auto"/>
        <w:ind w:firstLine="525" w:firstLineChars="250"/>
        <w:rPr>
          <w:rFonts w:ascii="宋体" w:hAns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、供应商每月支付服务人员的工资不低于现行公布的杭州市最低工资标准。在合同期内，若杭州市最低工资标准或社保缴费基数上调，采购人不承担上调费用，供应商在报价时自行承担相关风险。</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5、报纸、纸板等废品回收集中处置按行业规范及医院规定合法处置，费用单独报价支付给采购人。</w:t>
      </w:r>
    </w:p>
    <w:p>
      <w:pPr>
        <w:spacing w:line="360" w:lineRule="auto"/>
        <w:jc w:val="left"/>
        <w:rPr>
          <w:color w:val="auto"/>
          <w:szCs w:val="21"/>
          <w:highlight w:val="none"/>
        </w:rPr>
      </w:pPr>
    </w:p>
    <w:p>
      <w:pPr>
        <w:spacing w:line="360" w:lineRule="auto"/>
        <w:jc w:val="left"/>
        <w:rPr>
          <w:color w:val="auto"/>
          <w:szCs w:val="21"/>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jc w:val="center"/>
        <w:rPr>
          <w:color w:val="auto"/>
          <w:szCs w:val="21"/>
          <w:highlight w:val="none"/>
        </w:rPr>
      </w:pPr>
      <w:r>
        <w:rPr>
          <w:rFonts w:hint="eastAsia"/>
          <w:color w:val="auto"/>
          <w:szCs w:val="21"/>
          <w:highlight w:val="none"/>
        </w:rPr>
        <w:t xml:space="preserve">                                       年    月    日</w:t>
      </w:r>
    </w:p>
    <w:p>
      <w:pPr>
        <w:pStyle w:val="2"/>
        <w:rPr>
          <w:color w:val="auto"/>
          <w:szCs w:val="21"/>
          <w:highlight w:val="none"/>
        </w:rPr>
      </w:pPr>
    </w:p>
    <w:p>
      <w:pPr>
        <w:spacing w:line="500" w:lineRule="exact"/>
        <w:jc w:val="left"/>
        <w:rPr>
          <w:rFonts w:ascii="宋体" w:hAnsi="宋体" w:cs="Arial"/>
          <w:b/>
          <w:bCs/>
          <w:color w:val="auto"/>
          <w:szCs w:val="21"/>
          <w:highlight w:val="none"/>
        </w:rPr>
      </w:pPr>
      <w:r>
        <w:rPr>
          <w:rFonts w:hint="eastAsia" w:ascii="宋体" w:hAnsi="宋体" w:cs="Arial"/>
          <w:b/>
          <w:bCs/>
          <w:color w:val="auto"/>
          <w:szCs w:val="21"/>
          <w:highlight w:val="none"/>
        </w:rPr>
        <w:t>表一、人工费用</w:t>
      </w:r>
    </w:p>
    <w:p>
      <w:pPr>
        <w:spacing w:line="500" w:lineRule="exact"/>
        <w:jc w:val="left"/>
        <w:rPr>
          <w:rFonts w:ascii="宋体" w:hAnsi="宋体" w:cs="Arial"/>
          <w:color w:val="auto"/>
          <w:szCs w:val="21"/>
          <w:highlight w:val="none"/>
        </w:rPr>
      </w:pPr>
    </w:p>
    <w:p>
      <w:pPr>
        <w:spacing w:line="500" w:lineRule="exact"/>
        <w:jc w:val="left"/>
        <w:rPr>
          <w:rFonts w:ascii="宋体" w:hAnsi="宋体" w:cs="Arial"/>
          <w:b/>
          <w:bCs/>
          <w:color w:val="auto"/>
          <w:szCs w:val="21"/>
          <w:highlight w:val="none"/>
        </w:rPr>
      </w:pPr>
      <w:r>
        <w:rPr>
          <w:rFonts w:hint="eastAsia" w:ascii="宋体" w:hAnsi="宋体" w:cs="Arial"/>
          <w:b/>
          <w:bCs/>
          <w:color w:val="auto"/>
          <w:szCs w:val="21"/>
          <w:highlight w:val="none"/>
        </w:rPr>
        <w:t>表二、设备器材费用</w:t>
      </w:r>
    </w:p>
    <w:p>
      <w:pPr>
        <w:spacing w:line="500" w:lineRule="exact"/>
        <w:jc w:val="left"/>
        <w:rPr>
          <w:rFonts w:ascii="宋体" w:hAnsi="宋体" w:cs="Arial"/>
          <w:b/>
          <w:bCs/>
          <w:color w:val="auto"/>
          <w:szCs w:val="21"/>
          <w:highlight w:val="none"/>
        </w:rPr>
      </w:pPr>
    </w:p>
    <w:p>
      <w:pPr>
        <w:spacing w:line="500" w:lineRule="exact"/>
        <w:jc w:val="left"/>
        <w:rPr>
          <w:rFonts w:ascii="宋体" w:hAnsi="宋体" w:cs="Arial"/>
          <w:b/>
          <w:bCs/>
          <w:color w:val="auto"/>
          <w:szCs w:val="21"/>
          <w:highlight w:val="none"/>
        </w:rPr>
      </w:pPr>
      <w:r>
        <w:rPr>
          <w:rFonts w:hint="eastAsia" w:ascii="宋体" w:hAnsi="宋体" w:cs="Arial"/>
          <w:b/>
          <w:bCs/>
          <w:color w:val="auto"/>
          <w:szCs w:val="21"/>
          <w:highlight w:val="none"/>
        </w:rPr>
        <w:t>表三、消耗材料</w:t>
      </w:r>
    </w:p>
    <w:p>
      <w:pPr>
        <w:spacing w:line="500" w:lineRule="exact"/>
        <w:jc w:val="left"/>
        <w:rPr>
          <w:rFonts w:ascii="宋体" w:hAnsi="宋体" w:cs="Arial"/>
          <w:color w:val="auto"/>
          <w:szCs w:val="21"/>
          <w:highlight w:val="none"/>
        </w:rPr>
      </w:pPr>
      <w:r>
        <w:rPr>
          <w:rFonts w:hint="eastAsia" w:ascii="宋体" w:hAnsi="宋体" w:cs="Arial"/>
          <w:color w:val="auto"/>
          <w:szCs w:val="21"/>
          <w:highlight w:val="none"/>
        </w:rPr>
        <w:t>消耗材料〔各种卫生工具、清洗液及其他职业防护物品等提供保洁服务所需要的所有消耗材料〕</w:t>
      </w:r>
    </w:p>
    <w:p>
      <w:pPr>
        <w:spacing w:line="500" w:lineRule="exact"/>
        <w:jc w:val="left"/>
        <w:rPr>
          <w:rFonts w:ascii="宋体" w:hAnsi="宋体" w:cs="Arial"/>
          <w:b/>
          <w:bCs/>
          <w:color w:val="auto"/>
          <w:szCs w:val="21"/>
          <w:highlight w:val="none"/>
        </w:rPr>
      </w:pPr>
    </w:p>
    <w:p>
      <w:pPr>
        <w:spacing w:line="500" w:lineRule="exact"/>
        <w:jc w:val="left"/>
        <w:rPr>
          <w:rFonts w:ascii="宋体" w:hAnsi="宋体" w:cs="Arial"/>
          <w:b/>
          <w:bCs/>
          <w:color w:val="auto"/>
          <w:szCs w:val="21"/>
          <w:highlight w:val="none"/>
        </w:rPr>
      </w:pPr>
      <w:r>
        <w:rPr>
          <w:rFonts w:hint="eastAsia" w:ascii="宋体" w:hAnsi="宋体" w:cs="Arial"/>
          <w:b/>
          <w:bCs/>
          <w:color w:val="auto"/>
          <w:szCs w:val="21"/>
          <w:highlight w:val="none"/>
        </w:rPr>
        <w:t>表四、服装费用</w:t>
      </w:r>
    </w:p>
    <w:p>
      <w:pPr>
        <w:spacing w:line="500" w:lineRule="exact"/>
        <w:jc w:val="left"/>
        <w:rPr>
          <w:rFonts w:ascii="宋体" w:hAnsi="宋体" w:cs="Arial"/>
          <w:b/>
          <w:bCs/>
          <w:color w:val="auto"/>
          <w:szCs w:val="21"/>
          <w:highlight w:val="none"/>
        </w:rPr>
      </w:pPr>
    </w:p>
    <w:p>
      <w:pPr>
        <w:spacing w:line="500" w:lineRule="exact"/>
        <w:jc w:val="left"/>
        <w:rPr>
          <w:rFonts w:ascii="宋体" w:hAnsi="宋体" w:cs="Arial"/>
          <w:b/>
          <w:bCs/>
          <w:color w:val="auto"/>
          <w:szCs w:val="21"/>
          <w:highlight w:val="none"/>
        </w:rPr>
      </w:pPr>
      <w:r>
        <w:rPr>
          <w:rFonts w:hint="eastAsia" w:ascii="宋体" w:hAnsi="宋体" w:cs="Arial"/>
          <w:b/>
          <w:bCs/>
          <w:color w:val="auto"/>
          <w:szCs w:val="21"/>
          <w:highlight w:val="none"/>
        </w:rPr>
        <w:t>表五、安全保障费用</w:t>
      </w:r>
    </w:p>
    <w:p>
      <w:pPr>
        <w:spacing w:line="500" w:lineRule="exact"/>
        <w:jc w:val="left"/>
        <w:rPr>
          <w:rFonts w:ascii="宋体" w:hAnsi="宋体" w:cs="Arial"/>
          <w:b/>
          <w:bCs/>
          <w:color w:val="auto"/>
          <w:szCs w:val="21"/>
          <w:highlight w:val="none"/>
        </w:rPr>
      </w:pPr>
    </w:p>
    <w:p>
      <w:pPr>
        <w:spacing w:line="500" w:lineRule="exact"/>
        <w:jc w:val="left"/>
        <w:rPr>
          <w:rFonts w:ascii="宋体" w:hAnsi="宋体" w:cs="Arial"/>
          <w:b/>
          <w:bCs/>
          <w:color w:val="auto"/>
          <w:szCs w:val="21"/>
          <w:highlight w:val="none"/>
        </w:rPr>
      </w:pPr>
      <w:r>
        <w:rPr>
          <w:rFonts w:hint="eastAsia" w:ascii="宋体" w:hAnsi="宋体" w:cs="Arial"/>
          <w:b/>
          <w:bCs/>
          <w:color w:val="auto"/>
          <w:szCs w:val="21"/>
          <w:highlight w:val="none"/>
        </w:rPr>
        <w:t>表六、仓储、运输费用</w:t>
      </w:r>
    </w:p>
    <w:p>
      <w:pPr>
        <w:spacing w:line="500" w:lineRule="exact"/>
        <w:jc w:val="left"/>
        <w:rPr>
          <w:rFonts w:ascii="宋体" w:hAnsi="宋体" w:cs="Arial"/>
          <w:b/>
          <w:bCs/>
          <w:color w:val="auto"/>
          <w:szCs w:val="21"/>
          <w:highlight w:val="none"/>
        </w:rPr>
      </w:pPr>
    </w:p>
    <w:p>
      <w:pPr>
        <w:spacing w:line="500" w:lineRule="exact"/>
        <w:jc w:val="left"/>
        <w:rPr>
          <w:rFonts w:ascii="宋体" w:hAnsi="宋体" w:cs="Arial"/>
          <w:b/>
          <w:bCs/>
          <w:color w:val="auto"/>
          <w:szCs w:val="21"/>
          <w:highlight w:val="none"/>
        </w:rPr>
      </w:pPr>
      <w:r>
        <w:rPr>
          <w:rFonts w:hint="eastAsia" w:ascii="宋体" w:hAnsi="宋体" w:cs="Arial"/>
          <w:b/>
          <w:bCs/>
          <w:color w:val="auto"/>
          <w:szCs w:val="21"/>
          <w:highlight w:val="none"/>
        </w:rPr>
        <w:t>表七、垃圾清运费用</w:t>
      </w:r>
    </w:p>
    <w:p>
      <w:pPr>
        <w:spacing w:line="500" w:lineRule="exact"/>
        <w:jc w:val="left"/>
        <w:rPr>
          <w:rFonts w:ascii="宋体" w:hAnsi="宋体" w:cs="Arial"/>
          <w:b/>
          <w:bCs/>
          <w:color w:val="auto"/>
          <w:szCs w:val="21"/>
          <w:highlight w:val="none"/>
        </w:rPr>
      </w:pPr>
    </w:p>
    <w:p>
      <w:pPr>
        <w:spacing w:line="500" w:lineRule="exact"/>
        <w:jc w:val="left"/>
        <w:rPr>
          <w:rFonts w:ascii="宋体" w:hAnsi="宋体" w:cs="Arial"/>
          <w:b/>
          <w:bCs/>
          <w:color w:val="auto"/>
          <w:szCs w:val="21"/>
          <w:highlight w:val="none"/>
        </w:rPr>
      </w:pPr>
      <w:r>
        <w:rPr>
          <w:rFonts w:hint="eastAsia" w:ascii="宋体" w:hAnsi="宋体" w:cs="Arial"/>
          <w:b/>
          <w:bCs/>
          <w:color w:val="auto"/>
          <w:szCs w:val="21"/>
          <w:highlight w:val="none"/>
        </w:rPr>
        <w:t>表八、管理费用、税费、利润等</w:t>
      </w:r>
    </w:p>
    <w:p>
      <w:pPr>
        <w:spacing w:line="500" w:lineRule="exact"/>
        <w:jc w:val="left"/>
        <w:rPr>
          <w:rFonts w:ascii="宋体" w:hAnsi="宋体" w:cs="Arial"/>
          <w:b/>
          <w:bCs/>
          <w:color w:val="auto"/>
          <w:szCs w:val="21"/>
          <w:highlight w:val="none"/>
        </w:rPr>
      </w:pPr>
    </w:p>
    <w:p>
      <w:pPr>
        <w:spacing w:line="500" w:lineRule="exact"/>
        <w:jc w:val="left"/>
        <w:rPr>
          <w:rFonts w:ascii="宋体" w:hAnsi="宋体" w:cs="Arial"/>
          <w:b/>
          <w:bCs/>
          <w:color w:val="auto"/>
          <w:szCs w:val="21"/>
          <w:highlight w:val="none"/>
        </w:rPr>
      </w:pPr>
      <w:r>
        <w:rPr>
          <w:rFonts w:hint="eastAsia" w:ascii="宋体" w:hAnsi="宋体" w:cs="Arial"/>
          <w:b/>
          <w:bCs/>
          <w:color w:val="auto"/>
          <w:szCs w:val="21"/>
          <w:highlight w:val="none"/>
        </w:rPr>
        <w:t>表九、完成合同所需的一切本身和不可或缺的所有工作开支、政策性文件规定及合同包含的所有风险、责任等各项全部费用</w:t>
      </w:r>
    </w:p>
    <w:p>
      <w:pPr>
        <w:spacing w:line="500" w:lineRule="exact"/>
        <w:rPr>
          <w:rFonts w:ascii="宋体" w:hAnsi="宋体" w:cs="Arial"/>
          <w:b/>
          <w:bCs/>
          <w:color w:val="auto"/>
          <w:szCs w:val="21"/>
          <w:highlight w:val="none"/>
        </w:rPr>
      </w:pPr>
    </w:p>
    <w:p>
      <w:pPr>
        <w:spacing w:line="500" w:lineRule="exact"/>
        <w:ind w:left="413" w:hanging="413" w:hangingChars="196"/>
        <w:rPr>
          <w:rFonts w:ascii="宋体" w:hAnsi="宋体" w:cs="Arial"/>
          <w:b/>
          <w:bCs/>
          <w:color w:val="auto"/>
          <w:szCs w:val="21"/>
          <w:highlight w:val="none"/>
        </w:rPr>
      </w:pPr>
      <w:r>
        <w:rPr>
          <w:rFonts w:hint="eastAsia" w:ascii="宋体" w:hAnsi="宋体" w:cs="Arial"/>
          <w:b/>
          <w:bCs/>
          <w:color w:val="auto"/>
          <w:szCs w:val="21"/>
          <w:highlight w:val="none"/>
        </w:rPr>
        <w:t>注：以上表格由投标单位自行设计格式，并附情况说明，每张表格须</w:t>
      </w:r>
      <w:r>
        <w:rPr>
          <w:rFonts w:hint="eastAsia"/>
          <w:color w:val="auto"/>
          <w:highlight w:val="none"/>
        </w:rPr>
        <w:t>盖单位公章或电子签章</w:t>
      </w:r>
      <w:r>
        <w:rPr>
          <w:rFonts w:hint="eastAsia" w:ascii="宋体" w:hAnsi="宋体" w:cs="Arial"/>
          <w:b/>
          <w:bCs/>
          <w:color w:val="auto"/>
          <w:szCs w:val="21"/>
          <w:highlight w:val="none"/>
        </w:rPr>
        <w:t>。</w:t>
      </w:r>
    </w:p>
    <w:p>
      <w:pPr>
        <w:pStyle w:val="5"/>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5"/>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1" w:name="_Toc437953149"/>
      <w:bookmarkStart w:id="42" w:name="_Toc345575538"/>
      <w:bookmarkStart w:id="43" w:name="_Toc33668357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1"/>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2"/>
    <w:bookmarkEnd w:id="43"/>
    <w:p>
      <w:pPr>
        <w:pStyle w:val="176"/>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（1）符合《中华人民共和国政府采购法》第二十二条规定的相关证明材料；</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b.符合参与政府采购活动资格条件的承诺函；</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76"/>
        <w:snapToGrid w:val="0"/>
        <w:spacing w:line="360" w:lineRule="auto"/>
        <w:ind w:firstLine="420"/>
        <w:rPr>
          <w:rFonts w:ascii="Times New Roman" w:hAnsi="Times New Roman"/>
          <w:color w:val="auto"/>
          <w:highlight w:val="none"/>
        </w:rPr>
      </w:pPr>
      <w:r>
        <w:rPr>
          <w:rFonts w:hint="eastAsia"/>
          <w:color w:val="auto"/>
          <w:highlight w:val="none"/>
        </w:rPr>
        <w:t>（2）落实政府采购政策需满足的资格要求：无</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76"/>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pPr>
        <w:pStyle w:val="75"/>
        <w:tabs>
          <w:tab w:val="left" w:pos="630"/>
          <w:tab w:val="left" w:pos="840"/>
          <w:tab w:val="left" w:pos="1050"/>
        </w:tabs>
        <w:adjustRightInd w:val="0"/>
        <w:snapToGrid w:val="0"/>
        <w:spacing w:before="0" w:beforeAutospacing="0" w:after="0" w:afterAutospacing="0" w:line="360" w:lineRule="auto"/>
        <w:rPr>
          <w:rFonts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pPr>
        <w:pStyle w:val="75"/>
        <w:numPr>
          <w:ilvl w:val="0"/>
          <w:numId w:val="7"/>
        </w:numPr>
        <w:tabs>
          <w:tab w:val="left" w:pos="630"/>
          <w:tab w:val="left" w:pos="840"/>
          <w:tab w:val="left" w:pos="1050"/>
        </w:tabs>
        <w:adjustRightInd w:val="0"/>
        <w:snapToGrid w:val="0"/>
        <w:spacing w:before="0" w:beforeAutospacing="0" w:after="0" w:afterAutospacing="0" w:line="360" w:lineRule="auto"/>
        <w:ind w:hanging="5"/>
        <w:rPr>
          <w:rFonts w:cs="宋体"/>
          <w:bCs/>
          <w:color w:val="auto"/>
          <w:sz w:val="21"/>
          <w:szCs w:val="21"/>
          <w:highlight w:val="none"/>
        </w:rPr>
      </w:pPr>
      <w:r>
        <w:rPr>
          <w:rFonts w:hint="eastAsia" w:cs="宋体"/>
          <w:bCs/>
          <w:color w:val="auto"/>
          <w:sz w:val="21"/>
          <w:szCs w:val="21"/>
          <w:highlight w:val="none"/>
        </w:rPr>
        <w:t>具有独立承担民事责任能力的证明材料：</w:t>
      </w:r>
    </w:p>
    <w:p>
      <w:pPr>
        <w:pStyle w:val="75"/>
        <w:tabs>
          <w:tab w:val="left" w:pos="630"/>
          <w:tab w:val="left" w:pos="840"/>
          <w:tab w:val="left" w:pos="1050"/>
        </w:tabs>
        <w:adjustRightInd w:val="0"/>
        <w:snapToGrid w:val="0"/>
        <w:spacing w:before="0" w:beforeAutospacing="0" w:after="0" w:afterAutospacing="0" w:line="360" w:lineRule="auto"/>
        <w:ind w:left="420"/>
        <w:rPr>
          <w:rFonts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pPr>
        <w:pStyle w:val="75"/>
        <w:numPr>
          <w:ilvl w:val="0"/>
          <w:numId w:val="8"/>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pPr>
        <w:pStyle w:val="75"/>
        <w:numPr>
          <w:ilvl w:val="0"/>
          <w:numId w:val="8"/>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如投标人是事业单位，提供有效的“事业单位法人证书”；</w:t>
      </w:r>
    </w:p>
    <w:p>
      <w:pPr>
        <w:pStyle w:val="75"/>
        <w:numPr>
          <w:ilvl w:val="0"/>
          <w:numId w:val="8"/>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pPr>
        <w:pStyle w:val="75"/>
        <w:numPr>
          <w:ilvl w:val="0"/>
          <w:numId w:val="8"/>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pPr>
        <w:pStyle w:val="75"/>
        <w:numPr>
          <w:ilvl w:val="0"/>
          <w:numId w:val="8"/>
        </w:numPr>
        <w:tabs>
          <w:tab w:val="left" w:pos="312"/>
        </w:tabs>
        <w:adjustRightInd w:val="0"/>
        <w:snapToGrid w:val="0"/>
        <w:spacing w:before="0" w:beforeAutospacing="0" w:after="0" w:afterAutospacing="0" w:line="360" w:lineRule="auto"/>
        <w:ind w:firstLine="420" w:firstLineChars="200"/>
        <w:rPr>
          <w:rFonts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pPr>
        <w:pStyle w:val="75"/>
        <w:tabs>
          <w:tab w:val="left" w:pos="312"/>
        </w:tabs>
        <w:adjustRightInd w:val="0"/>
        <w:snapToGrid w:val="0"/>
        <w:spacing w:before="0" w:beforeAutospacing="0" w:after="0" w:afterAutospacing="0" w:line="360" w:lineRule="auto"/>
        <w:rPr>
          <w:rFonts w:cs="宋体"/>
          <w:bCs/>
          <w:color w:val="auto"/>
          <w:sz w:val="21"/>
          <w:szCs w:val="21"/>
          <w:highlight w:val="none"/>
        </w:rPr>
      </w:pPr>
    </w:p>
    <w:p>
      <w:pPr>
        <w:pStyle w:val="75"/>
        <w:tabs>
          <w:tab w:val="left" w:pos="312"/>
        </w:tabs>
        <w:adjustRightInd w:val="0"/>
        <w:snapToGrid w:val="0"/>
        <w:spacing w:before="0" w:beforeAutospacing="0" w:after="0" w:afterAutospacing="0" w:line="360" w:lineRule="auto"/>
        <w:ind w:left="420" w:leftChars="200"/>
        <w:rPr>
          <w:rFonts w:cs="宋体"/>
          <w:color w:val="auto"/>
          <w:sz w:val="21"/>
          <w:szCs w:val="21"/>
          <w:highlight w:val="none"/>
        </w:rPr>
      </w:pPr>
      <w:r>
        <w:rPr>
          <w:rFonts w:hint="eastAsia" w:cs="宋体"/>
          <w:b/>
          <w:bCs/>
          <w:color w:val="auto"/>
          <w:sz w:val="21"/>
          <w:szCs w:val="21"/>
          <w:highlight w:val="none"/>
        </w:rPr>
        <w:br w:type="page"/>
      </w:r>
    </w:p>
    <w:p>
      <w:pPr>
        <w:pStyle w:val="75"/>
        <w:numPr>
          <w:ilvl w:val="0"/>
          <w:numId w:val="7"/>
        </w:numPr>
        <w:tabs>
          <w:tab w:val="left" w:pos="630"/>
          <w:tab w:val="left" w:pos="840"/>
          <w:tab w:val="left" w:pos="1050"/>
        </w:tabs>
        <w:adjustRightInd w:val="0"/>
        <w:snapToGrid w:val="0"/>
        <w:spacing w:before="0" w:beforeAutospacing="0" w:after="0" w:afterAutospacing="0" w:line="360" w:lineRule="auto"/>
        <w:ind w:hanging="5"/>
        <w:rPr>
          <w:rFonts w:cs="宋体"/>
          <w:color w:val="auto"/>
          <w:sz w:val="21"/>
          <w:szCs w:val="21"/>
          <w:highlight w:val="none"/>
        </w:rPr>
      </w:pPr>
      <w:r>
        <w:rPr>
          <w:rFonts w:hint="eastAsia" w:cs="宋体"/>
          <w:color w:val="auto"/>
          <w:sz w:val="21"/>
          <w:szCs w:val="21"/>
          <w:highlight w:val="none"/>
        </w:rPr>
        <w:t>符合参与政府采购活动资格条件的承诺函：</w:t>
      </w:r>
    </w:p>
    <w:p>
      <w:pPr>
        <w:pStyle w:val="75"/>
        <w:adjustRightInd w:val="0"/>
        <w:snapToGrid w:val="0"/>
        <w:spacing w:before="0" w:beforeAutospacing="0" w:after="0" w:afterAutospacing="0" w:line="360" w:lineRule="auto"/>
        <w:ind w:left="420" w:leftChars="200"/>
        <w:rPr>
          <w:rFonts w:cs="宋体"/>
          <w:color w:val="auto"/>
          <w:sz w:val="21"/>
          <w:szCs w:val="21"/>
          <w:highlight w:val="none"/>
        </w:rPr>
      </w:pPr>
    </w:p>
    <w:p>
      <w:pPr>
        <w:pStyle w:val="75"/>
        <w:adjustRightInd w:val="0"/>
        <w:snapToGrid w:val="0"/>
        <w:spacing w:before="0" w:beforeAutospacing="0" w:after="0" w:afterAutospacing="0" w:line="360" w:lineRule="auto"/>
        <w:jc w:val="center"/>
        <w:rPr>
          <w:rFonts w:cs="宋体"/>
          <w:color w:val="auto"/>
          <w:sz w:val="32"/>
          <w:szCs w:val="32"/>
          <w:highlight w:val="none"/>
        </w:rPr>
      </w:pPr>
      <w:r>
        <w:rPr>
          <w:rFonts w:hint="eastAsia" w:cs="宋体"/>
          <w:color w:val="auto"/>
          <w:sz w:val="32"/>
          <w:szCs w:val="32"/>
          <w:highlight w:val="none"/>
        </w:rPr>
        <w:t>承诺函</w:t>
      </w:r>
    </w:p>
    <w:p>
      <w:pPr>
        <w:spacing w:line="480" w:lineRule="auto"/>
        <w:rPr>
          <w:rFonts w:ascii="宋体" w:hAnsi="宋体" w:cs="宋体"/>
          <w:color w:val="auto"/>
          <w:szCs w:val="21"/>
          <w:highlight w:val="none"/>
          <w:u w:val="single"/>
        </w:rPr>
      </w:pPr>
    </w:p>
    <w:p>
      <w:pPr>
        <w:spacing w:line="480" w:lineRule="auto"/>
        <w:rPr>
          <w:rFonts w:ascii="宋体" w:hAnsi="宋体" w:cs="宋体"/>
          <w:color w:val="auto"/>
          <w:szCs w:val="21"/>
          <w:highlight w:val="none"/>
          <w:u w:val="single"/>
        </w:rPr>
      </w:pPr>
      <w:r>
        <w:rPr>
          <w:rFonts w:hint="eastAsia" w:ascii="宋体" w:hAnsi="宋体" w:cs="宋体"/>
          <w:color w:val="auto"/>
          <w:szCs w:val="21"/>
          <w:highlight w:val="none"/>
          <w:u w:val="single"/>
        </w:rPr>
        <w:t>（采购人）：</w:t>
      </w:r>
    </w:p>
    <w:p>
      <w:pPr>
        <w:pStyle w:val="75"/>
        <w:spacing w:before="0" w:beforeAutospacing="0" w:after="0" w:afterAutospacing="0" w:line="480" w:lineRule="auto"/>
        <w:ind w:firstLine="840" w:firstLineChars="400"/>
        <w:rPr>
          <w:rFonts w:cs="宋体"/>
          <w:color w:val="auto"/>
          <w:sz w:val="21"/>
          <w:szCs w:val="21"/>
          <w:highlight w:val="none"/>
        </w:rPr>
      </w:pPr>
    </w:p>
    <w:p>
      <w:pPr>
        <w:pStyle w:val="75"/>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政府采购活动，针对《中华人民共和国政府采购法》第二十二条所述条件做如下承诺：</w:t>
      </w:r>
    </w:p>
    <w:p>
      <w:pPr>
        <w:pStyle w:val="75"/>
        <w:numPr>
          <w:ilvl w:val="0"/>
          <w:numId w:val="9"/>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我方具有良好的商业信誉和健全的财务会计制度；</w:t>
      </w:r>
    </w:p>
    <w:p>
      <w:pPr>
        <w:pStyle w:val="75"/>
        <w:numPr>
          <w:ilvl w:val="0"/>
          <w:numId w:val="9"/>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我方具有履行本项目合同所必需的设备和专业技术能力；</w:t>
      </w:r>
    </w:p>
    <w:p>
      <w:pPr>
        <w:pStyle w:val="75"/>
        <w:numPr>
          <w:ilvl w:val="0"/>
          <w:numId w:val="9"/>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我方没有缴纳税收和社会保障等方面的失信记录；</w:t>
      </w:r>
    </w:p>
    <w:p>
      <w:pPr>
        <w:pStyle w:val="75"/>
        <w:numPr>
          <w:ilvl w:val="0"/>
          <w:numId w:val="9"/>
        </w:numPr>
        <w:shd w:val="clear" w:color="auto" w:fill="FFFFFF"/>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5"/>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pPr>
        <w:pStyle w:val="75"/>
        <w:spacing w:before="0" w:beforeAutospacing="0" w:after="0" w:afterAutospacing="0" w:line="480" w:lineRule="auto"/>
        <w:ind w:firstLine="420" w:firstLineChars="200"/>
        <w:rPr>
          <w:rFonts w:cs="宋体"/>
          <w:color w:val="auto"/>
          <w:sz w:val="21"/>
          <w:szCs w:val="21"/>
          <w:highlight w:val="none"/>
        </w:rPr>
      </w:pPr>
    </w:p>
    <w:p>
      <w:pPr>
        <w:pStyle w:val="75"/>
        <w:spacing w:before="0" w:beforeAutospacing="0" w:after="0" w:afterAutospacing="0" w:line="480" w:lineRule="auto"/>
        <w:ind w:firstLine="422" w:firstLineChars="200"/>
        <w:rPr>
          <w:rFonts w:cs="宋体"/>
          <w:b/>
          <w:bCs/>
          <w:color w:val="auto"/>
          <w:sz w:val="21"/>
          <w:szCs w:val="21"/>
          <w:highlight w:val="none"/>
        </w:rPr>
      </w:pPr>
    </w:p>
    <w:p>
      <w:pPr>
        <w:pStyle w:val="75"/>
        <w:spacing w:before="0" w:beforeAutospacing="0" w:after="0" w:afterAutospacing="0" w:line="480" w:lineRule="auto"/>
        <w:ind w:firstLine="420" w:firstLineChars="200"/>
        <w:rPr>
          <w:rFonts w:cs="宋体"/>
          <w:color w:val="auto"/>
          <w:sz w:val="21"/>
          <w:szCs w:val="21"/>
          <w:highlight w:val="none"/>
        </w:rPr>
      </w:pPr>
      <w:r>
        <w:rPr>
          <w:rFonts w:hint="eastAsia" w:cs="宋体"/>
          <w:color w:val="auto"/>
          <w:sz w:val="21"/>
          <w:szCs w:val="21"/>
          <w:highlight w:val="none"/>
        </w:rPr>
        <w:t>供应商名称（盖单位公章或电子签章）：</w:t>
      </w:r>
    </w:p>
    <w:p>
      <w:pPr>
        <w:pStyle w:val="5"/>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pPr>
        <w:pStyle w:val="176"/>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（2）落实政府采购政策需满足的资格要求：无</w:t>
      </w:r>
    </w:p>
    <w:p>
      <w:pPr>
        <w:pStyle w:val="5"/>
        <w:ind w:firstLine="411" w:firstLineChars="196"/>
        <w:rPr>
          <w:rFonts w:ascii="Times New Roman" w:hAnsi="Times New Roman"/>
          <w:b w:val="0"/>
          <w:bCs w:val="0"/>
          <w:color w:val="auto"/>
          <w:highlight w:val="none"/>
        </w:rPr>
      </w:pPr>
    </w:p>
    <w:p>
      <w:pPr>
        <w:pStyle w:val="5"/>
        <w:ind w:firstLine="411" w:firstLineChars="196"/>
        <w:rPr>
          <w:rFonts w:ascii="Times New Roman" w:hAnsi="Times New Roman"/>
          <w:b w:val="0"/>
          <w:bCs w:val="0"/>
          <w:color w:val="auto"/>
          <w:highlight w:val="none"/>
        </w:rPr>
      </w:pPr>
    </w:p>
    <w:p>
      <w:pPr>
        <w:pStyle w:val="5"/>
        <w:ind w:firstLine="411" w:firstLineChars="196"/>
        <w:rPr>
          <w:rFonts w:ascii="Times New Roman" w:hAnsi="Times New Roman"/>
          <w:b w:val="0"/>
          <w:bCs w:val="0"/>
          <w:color w:val="auto"/>
          <w:highlight w:val="none"/>
        </w:rPr>
      </w:pPr>
    </w:p>
    <w:p>
      <w:pPr>
        <w:pStyle w:val="5"/>
        <w:ind w:firstLine="411" w:firstLineChars="196"/>
        <w:rPr>
          <w:rFonts w:ascii="Times New Roman" w:hAnsi="Times New Roman"/>
          <w:b w:val="0"/>
          <w:bCs w:val="0"/>
          <w:color w:val="auto"/>
          <w:highlight w:val="none"/>
        </w:rPr>
      </w:pPr>
    </w:p>
    <w:p>
      <w:pPr>
        <w:pStyle w:val="5"/>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pPr>
        <w:pStyle w:val="176"/>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pPr>
        <w:jc w:val="center"/>
        <w:rPr>
          <w:b/>
          <w:color w:val="auto"/>
          <w:sz w:val="32"/>
          <w:szCs w:val="32"/>
          <w:highlight w:val="none"/>
        </w:rPr>
      </w:pPr>
      <w:r>
        <w:rPr>
          <w:rFonts w:hAnsi="宋体"/>
          <w:b/>
          <w:color w:val="auto"/>
          <w:sz w:val="32"/>
          <w:szCs w:val="32"/>
          <w:highlight w:val="none"/>
        </w:rPr>
        <w:t>联合协议</w:t>
      </w:r>
    </w:p>
    <w:p>
      <w:pPr>
        <w:spacing w:line="360" w:lineRule="auto"/>
        <w:ind w:firstLine="420" w:firstLineChars="200"/>
        <w:jc w:val="left"/>
        <w:rPr>
          <w:bCs/>
          <w:color w:val="auto"/>
          <w:szCs w:val="21"/>
          <w:highlight w:val="none"/>
        </w:rPr>
      </w:pPr>
    </w:p>
    <w:p>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5040" w:firstLineChars="2400"/>
        <w:rPr>
          <w:color w:val="auto"/>
          <w:szCs w:val="21"/>
          <w:highlight w:val="none"/>
        </w:rPr>
      </w:pPr>
      <w:r>
        <w:rPr>
          <w:color w:val="auto"/>
          <w:kern w:val="0"/>
          <w:szCs w:val="21"/>
          <w:highlight w:val="none"/>
          <w:lang w:val="zh-CN"/>
        </w:rPr>
        <w:t>……</w:t>
      </w:r>
    </w:p>
    <w:p>
      <w:pPr>
        <w:pStyle w:val="4"/>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pPr>
        <w:pStyle w:val="176"/>
        <w:snapToGrid w:val="0"/>
        <w:spacing w:line="360" w:lineRule="auto"/>
        <w:ind w:firstLine="420"/>
        <w:rPr>
          <w:rFonts w:ascii="Times New Roman" w:hAnsi="Times New Roman"/>
          <w:color w:val="auto"/>
          <w:highlight w:val="none"/>
        </w:rPr>
      </w:pP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keepNext w:val="0"/>
        <w:keepLines w:val="0"/>
        <w:pageBreakBefore w:val="0"/>
        <w:widowControl w:val="0"/>
        <w:tabs>
          <w:tab w:val="left" w:pos="6080"/>
          <w:tab w:val="left" w:pos="6640"/>
        </w:tabs>
        <w:kinsoku/>
        <w:wordWrap/>
        <w:overflowPunct/>
        <w:topLinePunct w:val="0"/>
        <w:autoSpaceDE w:val="0"/>
        <w:autoSpaceDN w:val="0"/>
        <w:bidi w:val="0"/>
        <w:adjustRightInd w:val="0"/>
        <w:snapToGrid w:val="0"/>
        <w:spacing w:line="336" w:lineRule="auto"/>
        <w:ind w:right="403"/>
        <w:jc w:val="center"/>
        <w:textAlignment w:val="auto"/>
        <w:rPr>
          <w:color w:val="auto"/>
          <w:kern w:val="0"/>
          <w:sz w:val="28"/>
          <w:highlight w:val="none"/>
        </w:rPr>
      </w:pPr>
      <w:r>
        <w:rPr>
          <w:color w:val="auto"/>
          <w:kern w:val="0"/>
          <w:sz w:val="28"/>
          <w:highlight w:val="none"/>
        </w:rPr>
        <w:br w:type="page"/>
      </w:r>
      <w:r>
        <w:rPr>
          <w:color w:val="auto"/>
          <w:kern w:val="0"/>
          <w:sz w:val="28"/>
          <w:highlight w:val="none"/>
        </w:rPr>
        <w:t>目录</w:t>
      </w:r>
    </w:p>
    <w:p>
      <w:pPr>
        <w:pStyle w:val="176"/>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）投标函；</w:t>
      </w:r>
    </w:p>
    <w:p>
      <w:pPr>
        <w:pStyle w:val="176"/>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）法定代表人资格证明书；</w:t>
      </w:r>
    </w:p>
    <w:p>
      <w:pPr>
        <w:pStyle w:val="176"/>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）法定代表人授权委托书（法定代表人签署不需提供此书）；</w:t>
      </w:r>
    </w:p>
    <w:p>
      <w:pPr>
        <w:pStyle w:val="176"/>
        <w:keepNext w:val="0"/>
        <w:keepLines w:val="0"/>
        <w:pageBreakBefore w:val="0"/>
        <w:widowControl w:val="0"/>
        <w:kinsoku/>
        <w:wordWrap/>
        <w:overflowPunct/>
        <w:topLinePunct w:val="0"/>
        <w:autoSpaceDE/>
        <w:autoSpaceDN/>
        <w:bidi w:val="0"/>
        <w:adjustRightInd/>
        <w:snapToGrid w:val="0"/>
        <w:spacing w:line="312" w:lineRule="auto"/>
        <w:ind w:firstLine="1050" w:firstLineChars="500"/>
        <w:textAlignment w:val="auto"/>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76"/>
        <w:keepNext w:val="0"/>
        <w:keepLines w:val="0"/>
        <w:pageBreakBefore w:val="0"/>
        <w:widowControl w:val="0"/>
        <w:kinsoku/>
        <w:wordWrap/>
        <w:overflowPunct/>
        <w:topLinePunct w:val="0"/>
        <w:autoSpaceDE/>
        <w:autoSpaceDN/>
        <w:bidi w:val="0"/>
        <w:adjustRightInd/>
        <w:snapToGrid w:val="0"/>
        <w:spacing w:line="312" w:lineRule="auto"/>
        <w:ind w:firstLine="1050" w:firstLineChars="500"/>
        <w:textAlignment w:val="auto"/>
        <w:rPr>
          <w:rFonts w:ascii="Times New Roman" w:hAnsi="Times New Roman"/>
          <w:color w:val="auto"/>
          <w:highlight w:val="none"/>
        </w:rPr>
      </w:pPr>
      <w:r>
        <w:rPr>
          <w:rFonts w:ascii="Times New Roman" w:hAnsi="Times New Roman"/>
          <w:color w:val="auto"/>
          <w:highlight w:val="none"/>
        </w:rPr>
        <w:t>社保机构出具的投标截止日前6个月内授权代表的投标单位社保缴纳证明，任职不足6个月的可提供劳动合同证明文件；</w:t>
      </w:r>
    </w:p>
    <w:p>
      <w:pPr>
        <w:keepNext w:val="0"/>
        <w:keepLines w:val="0"/>
        <w:pageBreakBefore w:val="0"/>
        <w:widowControl w:val="0"/>
        <w:kinsoku/>
        <w:wordWrap/>
        <w:overflowPunct/>
        <w:topLinePunct w:val="0"/>
        <w:autoSpaceDE/>
        <w:autoSpaceDN/>
        <w:bidi w:val="0"/>
        <w:adjustRightInd/>
        <w:spacing w:line="312" w:lineRule="auto"/>
        <w:ind w:firstLine="420" w:firstLineChars="200"/>
        <w:textAlignment w:val="auto"/>
        <w:rPr>
          <w:color w:val="auto"/>
          <w:highlight w:val="none"/>
        </w:rPr>
      </w:pPr>
      <w:r>
        <w:rPr>
          <w:color w:val="auto"/>
          <w:highlight w:val="none"/>
        </w:rPr>
        <w:t>（</w:t>
      </w:r>
      <w:r>
        <w:rPr>
          <w:rFonts w:hint="eastAsia"/>
          <w:color w:val="auto"/>
          <w:highlight w:val="none"/>
        </w:rPr>
        <w:t>4</w:t>
      </w:r>
      <w:r>
        <w:rPr>
          <w:color w:val="auto"/>
          <w:highlight w:val="none"/>
        </w:rPr>
        <w:t>）中小企业声明函（如有）</w:t>
      </w:r>
      <w:r>
        <w:rPr>
          <w:rFonts w:hint="eastAsia"/>
          <w:color w:val="auto"/>
          <w:highlight w:val="none"/>
        </w:rPr>
        <w:t>；</w:t>
      </w:r>
    </w:p>
    <w:p>
      <w:pPr>
        <w:pStyle w:val="176"/>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w:t>
      </w:r>
      <w:r>
        <w:rPr>
          <w:rFonts w:hint="eastAsia" w:ascii="Times New Roman" w:hAnsi="Times New Roman"/>
          <w:color w:val="auto"/>
          <w:highlight w:val="none"/>
        </w:rPr>
        <w:t>（如有）；</w:t>
      </w:r>
    </w:p>
    <w:p>
      <w:pPr>
        <w:pStyle w:val="176"/>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6</w:t>
      </w:r>
      <w:r>
        <w:rPr>
          <w:rFonts w:ascii="Times New Roman" w:hAnsi="Times New Roman"/>
          <w:color w:val="auto"/>
          <w:highlight w:val="none"/>
        </w:rPr>
        <w:t>）残疾人福利性单位声明函（如有）</w:t>
      </w:r>
      <w:r>
        <w:rPr>
          <w:rFonts w:ascii="Times New Roman" w:hAnsi="Times New Roman"/>
          <w:color w:val="auto"/>
          <w:highlight w:val="none"/>
        </w:rPr>
        <w:tab/>
      </w:r>
      <w:r>
        <w:rPr>
          <w:rFonts w:hint="eastAsia" w:ascii="Times New Roman" w:hAnsi="Times New Roman"/>
          <w:color w:val="auto"/>
          <w:highlight w:val="none"/>
        </w:rPr>
        <w:t>；</w:t>
      </w:r>
    </w:p>
    <w:p>
      <w:pPr>
        <w:pStyle w:val="176"/>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auto"/>
          <w:highlight w:val="none"/>
        </w:rPr>
      </w:pPr>
      <w:r>
        <w:rPr>
          <w:rFonts w:hint="eastAsia" w:ascii="Times New Roman" w:hAnsi="Times New Roman"/>
          <w:color w:val="auto"/>
          <w:highlight w:val="none"/>
        </w:rPr>
        <w:t>（7）分包意向协议（如有分包）；</w:t>
      </w:r>
    </w:p>
    <w:p>
      <w:pPr>
        <w:pStyle w:val="176"/>
        <w:snapToGrid w:val="0"/>
        <w:spacing w:line="312" w:lineRule="auto"/>
        <w:ind w:firstLine="420"/>
        <w:rPr>
          <w:rFonts w:hint="eastAsia" w:ascii="Times New Roman" w:hAnsi="Times New Roman"/>
          <w:color w:val="auto"/>
          <w:highlight w:val="none"/>
        </w:rPr>
      </w:pPr>
      <w:r>
        <w:rPr>
          <w:rFonts w:hint="eastAsia" w:ascii="Times New Roman" w:hAnsi="Times New Roman"/>
          <w:color w:val="auto"/>
          <w:highlight w:val="none"/>
        </w:rPr>
        <w:t>（8）</w:t>
      </w:r>
      <w:r>
        <w:rPr>
          <w:rFonts w:ascii="Times New Roman" w:hAnsi="Times New Roman"/>
          <w:color w:val="auto"/>
          <w:highlight w:val="none"/>
        </w:rPr>
        <w:t>中标服务费支付承诺书</w:t>
      </w:r>
      <w:r>
        <w:rPr>
          <w:rFonts w:hint="eastAsia" w:ascii="Times New Roman" w:hAnsi="Times New Roman"/>
          <w:color w:val="auto"/>
          <w:highlight w:val="none"/>
        </w:rPr>
        <w:t>；</w:t>
      </w:r>
    </w:p>
    <w:p>
      <w:pPr>
        <w:pStyle w:val="176"/>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9</w:t>
      </w:r>
      <w:r>
        <w:rPr>
          <w:rFonts w:hint="eastAsia" w:ascii="Times New Roman" w:hAnsi="Times New Roman"/>
          <w:color w:val="auto"/>
          <w:highlight w:val="none"/>
          <w:lang w:eastAsia="zh-CN"/>
        </w:rPr>
        <w:t>）</w:t>
      </w:r>
      <w:r>
        <w:rPr>
          <w:rFonts w:hint="eastAsia"/>
          <w:color w:val="auto"/>
          <w:highlight w:val="none"/>
          <w:lang w:val="en-US" w:eastAsia="zh-CN"/>
        </w:rPr>
        <w:t>供应商</w:t>
      </w:r>
      <w:r>
        <w:rPr>
          <w:rFonts w:hint="eastAsia"/>
          <w:color w:val="auto"/>
          <w:highlight w:val="none"/>
        </w:rPr>
        <w:t>体系认证</w:t>
      </w:r>
      <w:r>
        <w:rPr>
          <w:rFonts w:hint="eastAsia"/>
          <w:color w:val="auto"/>
          <w:highlight w:val="none"/>
          <w:lang w:eastAsia="zh-CN"/>
        </w:rPr>
        <w:t>：有效的质量管理体系认证证书、环境管理体系认证证书、职业健康安全管理体系认证证书。提供证书复印件</w:t>
      </w:r>
    </w:p>
    <w:p>
      <w:pPr>
        <w:pStyle w:val="176"/>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10</w:t>
      </w:r>
      <w:r>
        <w:rPr>
          <w:rFonts w:hint="eastAsia" w:ascii="Times New Roman" w:hAnsi="Times New Roman"/>
          <w:color w:val="auto"/>
          <w:highlight w:val="none"/>
          <w:lang w:eastAsia="zh-CN"/>
        </w:rPr>
        <w:t>）</w:t>
      </w:r>
      <w:r>
        <w:rPr>
          <w:rFonts w:hint="eastAsia"/>
          <w:color w:val="auto"/>
          <w:highlight w:val="none"/>
        </w:rPr>
        <w:t>同类项目案例</w:t>
      </w:r>
      <w:r>
        <w:rPr>
          <w:rFonts w:hint="eastAsia"/>
          <w:color w:val="auto"/>
          <w:highlight w:val="none"/>
          <w:lang w:eastAsia="zh-CN"/>
        </w:rPr>
        <w:t>：供应商2019年12月1日至响应文件递交截止时间（以合同签订时间为准）的同类项目案例（服务内容需包含保洁及运送服务），同时提供合同复印件和业主评价表（或考核表）且反馈内容为好评（或优秀）的。证明材料：合同复印件及业主反馈表（或其他形式的反馈意见）须加盖业主单位章（格式不限）</w:t>
      </w:r>
    </w:p>
    <w:p>
      <w:pPr>
        <w:pStyle w:val="176"/>
        <w:snapToGrid w:val="0"/>
        <w:spacing w:line="360" w:lineRule="auto"/>
        <w:ind w:firstLine="420"/>
        <w:rPr>
          <w:rFonts w:hint="eastAsia"/>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11</w:t>
      </w:r>
      <w:r>
        <w:rPr>
          <w:rFonts w:hint="eastAsia" w:ascii="Times New Roman" w:hAnsi="Times New Roman"/>
          <w:color w:val="auto"/>
          <w:highlight w:val="none"/>
          <w:lang w:eastAsia="zh-CN"/>
        </w:rPr>
        <w:t>）</w:t>
      </w:r>
      <w:r>
        <w:rPr>
          <w:rFonts w:hint="eastAsia"/>
          <w:color w:val="auto"/>
          <w:highlight w:val="none"/>
        </w:rPr>
        <w:t>服务方案</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w:t>
      </w:r>
      <w:r>
        <w:rPr>
          <w:rFonts w:hint="eastAsia"/>
          <w:color w:val="auto"/>
          <w:highlight w:val="none"/>
        </w:rPr>
        <w:t>运送中心服务方案：提供详细的中央运送工作方案，方案中体现信息化手段的支持，有患者、各类标本、物资、器械、药品等运送程序的详细说明，还包括组织架构、岗位职责，培训体系、考核办法等详细说明。</w:t>
      </w:r>
    </w:p>
    <w:p>
      <w:pPr>
        <w:pStyle w:val="176"/>
        <w:snapToGrid w:val="0"/>
        <w:spacing w:line="360" w:lineRule="auto"/>
        <w:ind w:firstLine="420"/>
        <w:rPr>
          <w:rFonts w:hint="eastAsia"/>
          <w:color w:val="auto"/>
          <w:highlight w:val="none"/>
        </w:rPr>
      </w:pPr>
      <w:r>
        <w:rPr>
          <w:rFonts w:hint="eastAsia"/>
          <w:color w:val="auto"/>
          <w:highlight w:val="none"/>
          <w:lang w:val="en-US" w:eastAsia="zh-CN"/>
        </w:rPr>
        <w:t>11.2</w:t>
      </w:r>
      <w:r>
        <w:rPr>
          <w:rFonts w:hint="eastAsia"/>
          <w:color w:val="auto"/>
          <w:highlight w:val="none"/>
        </w:rPr>
        <w:t>保洁服务方案：提供详细的保洁服务方案，方案中体现科学智能的管理人员日常巡检制度，有医院各个区域详细的保洁分析以及日后工作标准，方案中体现现场员工实操操作程序。</w:t>
      </w:r>
    </w:p>
    <w:p>
      <w:pPr>
        <w:pStyle w:val="176"/>
        <w:snapToGrid w:val="0"/>
        <w:spacing w:line="360" w:lineRule="auto"/>
        <w:ind w:firstLine="420"/>
        <w:rPr>
          <w:rFonts w:hint="eastAsia"/>
          <w:color w:val="auto"/>
          <w:highlight w:val="none"/>
        </w:rPr>
      </w:pPr>
      <w:r>
        <w:rPr>
          <w:rFonts w:hint="eastAsia"/>
          <w:color w:val="auto"/>
          <w:highlight w:val="none"/>
          <w:lang w:val="en-US" w:eastAsia="zh-CN"/>
        </w:rPr>
        <w:t>11.3</w:t>
      </w:r>
      <w:r>
        <w:rPr>
          <w:rFonts w:hint="eastAsia"/>
          <w:color w:val="auto"/>
          <w:highlight w:val="none"/>
        </w:rPr>
        <w:t>工作交接过渡方案：针对本项目提出的各项工作要求，提供科学可行的交接过渡方案。</w:t>
      </w:r>
    </w:p>
    <w:p>
      <w:pPr>
        <w:pStyle w:val="176"/>
        <w:snapToGrid w:val="0"/>
        <w:spacing w:line="360" w:lineRule="auto"/>
        <w:ind w:firstLine="420"/>
        <w:rPr>
          <w:rFonts w:hint="eastAsia"/>
          <w:color w:val="auto"/>
          <w:highlight w:val="none"/>
          <w:lang w:eastAsia="zh-CN"/>
        </w:rPr>
      </w:pPr>
      <w:r>
        <w:rPr>
          <w:rFonts w:hint="eastAsia"/>
          <w:color w:val="auto"/>
          <w:highlight w:val="none"/>
          <w:lang w:val="en-US" w:eastAsia="zh-CN"/>
        </w:rPr>
        <w:t>11.4</w:t>
      </w:r>
      <w:r>
        <w:rPr>
          <w:rFonts w:hint="eastAsia"/>
          <w:color w:val="auto"/>
          <w:highlight w:val="none"/>
        </w:rPr>
        <w:t>人员到岗承诺：根据人员到岗要求提供人员到岗时间计划承诺</w:t>
      </w:r>
      <w:r>
        <w:rPr>
          <w:rFonts w:hint="eastAsia"/>
          <w:color w:val="auto"/>
          <w:highlight w:val="none"/>
          <w:lang w:eastAsia="zh-CN"/>
        </w:rPr>
        <w:t>。</w:t>
      </w:r>
    </w:p>
    <w:p>
      <w:pPr>
        <w:pStyle w:val="176"/>
        <w:snapToGrid w:val="0"/>
        <w:spacing w:line="360" w:lineRule="auto"/>
        <w:ind w:firstLine="420"/>
        <w:rPr>
          <w:rFonts w:hint="eastAsia"/>
          <w:color w:val="auto"/>
          <w:highlight w:val="none"/>
        </w:rPr>
      </w:pPr>
      <w:r>
        <w:rPr>
          <w:rFonts w:hint="eastAsia"/>
          <w:color w:val="auto"/>
          <w:highlight w:val="none"/>
          <w:lang w:val="en-US" w:eastAsia="zh-CN"/>
        </w:rPr>
        <w:t>11.5</w:t>
      </w:r>
      <w:r>
        <w:rPr>
          <w:rFonts w:hint="eastAsia"/>
          <w:color w:val="auto"/>
          <w:highlight w:val="none"/>
        </w:rPr>
        <w:t>地面专项保养服务方案：地面保养服务方案的全面性、科学性，提供详细的PVC、大理石等地面的保养方式、程序，各程序使用养护剂情况。</w:t>
      </w:r>
    </w:p>
    <w:p>
      <w:pPr>
        <w:pStyle w:val="176"/>
        <w:snapToGrid w:val="0"/>
        <w:spacing w:line="360" w:lineRule="auto"/>
        <w:ind w:firstLine="420"/>
        <w:rPr>
          <w:rFonts w:hint="eastAsia"/>
          <w:color w:val="auto"/>
          <w:highlight w:val="none"/>
        </w:rPr>
      </w:pPr>
      <w:r>
        <w:rPr>
          <w:rFonts w:hint="eastAsia"/>
          <w:color w:val="auto"/>
          <w:highlight w:val="none"/>
          <w:lang w:val="en-US" w:eastAsia="zh-CN"/>
        </w:rPr>
        <w:t>11.6</w:t>
      </w:r>
      <w:r>
        <w:rPr>
          <w:rFonts w:hint="eastAsia"/>
          <w:color w:val="auto"/>
          <w:highlight w:val="none"/>
        </w:rPr>
        <w:t>司梯服务方案</w:t>
      </w:r>
    </w:p>
    <w:p>
      <w:pPr>
        <w:pStyle w:val="176"/>
        <w:snapToGrid w:val="0"/>
        <w:spacing w:line="360" w:lineRule="auto"/>
        <w:ind w:firstLine="420"/>
        <w:rPr>
          <w:rFonts w:hint="eastAsia"/>
          <w:color w:val="auto"/>
          <w:highlight w:val="none"/>
        </w:rPr>
      </w:pPr>
      <w:r>
        <w:rPr>
          <w:rFonts w:hint="eastAsia"/>
          <w:color w:val="auto"/>
          <w:highlight w:val="none"/>
          <w:lang w:val="en-US" w:eastAsia="zh-CN"/>
        </w:rPr>
        <w:t>11.7</w:t>
      </w:r>
      <w:r>
        <w:rPr>
          <w:rFonts w:hint="eastAsia"/>
          <w:color w:val="auto"/>
          <w:highlight w:val="none"/>
        </w:rPr>
        <w:t>生活垃圾服务方案：根据生活垃圾分类的具体要求，有详细的生活垃圾分类具体工作实施方案。</w:t>
      </w:r>
    </w:p>
    <w:p>
      <w:pPr>
        <w:pStyle w:val="176"/>
        <w:snapToGrid w:val="0"/>
        <w:spacing w:line="360" w:lineRule="auto"/>
        <w:ind w:firstLine="420"/>
        <w:rPr>
          <w:rFonts w:hint="eastAsia"/>
          <w:color w:val="auto"/>
          <w:highlight w:val="none"/>
        </w:rPr>
      </w:pPr>
      <w:r>
        <w:rPr>
          <w:rFonts w:hint="eastAsia"/>
          <w:color w:val="auto"/>
          <w:highlight w:val="none"/>
          <w:lang w:val="en-US" w:eastAsia="zh-CN"/>
        </w:rPr>
        <w:t>11.8</w:t>
      </w:r>
      <w:r>
        <w:rPr>
          <w:rFonts w:hint="eastAsia"/>
          <w:color w:val="auto"/>
          <w:highlight w:val="none"/>
        </w:rPr>
        <w:t>医疗废弃物服务方案：医疗废弃物的收集、集中管理、交接方案。</w:t>
      </w:r>
    </w:p>
    <w:p>
      <w:pPr>
        <w:pStyle w:val="176"/>
        <w:snapToGrid w:val="0"/>
        <w:spacing w:line="360" w:lineRule="auto"/>
        <w:ind w:firstLine="420"/>
        <w:rPr>
          <w:rFonts w:hint="eastAsia"/>
          <w:color w:val="auto"/>
          <w:highlight w:val="none"/>
          <w:lang w:val="en-US" w:eastAsia="zh-CN"/>
        </w:rPr>
      </w:pPr>
      <w:r>
        <w:rPr>
          <w:rFonts w:hint="eastAsia"/>
          <w:color w:val="auto"/>
          <w:highlight w:val="none"/>
          <w:lang w:val="en-US" w:eastAsia="zh-CN"/>
        </w:rPr>
        <w:t>11.9设备运维服务方案。</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11.10</w:t>
      </w:r>
      <w:r>
        <w:rPr>
          <w:rFonts w:hint="eastAsia"/>
          <w:color w:val="auto"/>
          <w:highlight w:val="none"/>
        </w:rPr>
        <w:t>防止院</w:t>
      </w:r>
      <w:r>
        <w:rPr>
          <w:rFonts w:hint="eastAsia"/>
          <w:color w:val="auto"/>
          <w:highlight w:val="none"/>
          <w:lang w:eastAsia="zh-CN"/>
        </w:rPr>
        <w:t>内</w:t>
      </w:r>
      <w:r>
        <w:rPr>
          <w:rFonts w:hint="eastAsia"/>
          <w:color w:val="auto"/>
          <w:highlight w:val="none"/>
        </w:rPr>
        <w:t>感</w:t>
      </w:r>
      <w:r>
        <w:rPr>
          <w:rFonts w:hint="eastAsia"/>
          <w:color w:val="auto"/>
          <w:highlight w:val="none"/>
          <w:lang w:eastAsia="zh-CN"/>
        </w:rPr>
        <w:t>染</w:t>
      </w:r>
      <w:r>
        <w:rPr>
          <w:rFonts w:hint="eastAsia"/>
          <w:color w:val="auto"/>
          <w:highlight w:val="none"/>
        </w:rPr>
        <w:t>措施方案：提供防止医院交叉感染措施，预防和控制交叉感染、消毒隔离制度的工作方案。</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11.11</w:t>
      </w:r>
      <w:r>
        <w:rPr>
          <w:rFonts w:hint="eastAsia"/>
          <w:color w:val="auto"/>
          <w:highlight w:val="none"/>
        </w:rPr>
        <w:t>针对突发性事件的应急方案及措施（包括但不限于：公共安全事件、恶劣天气和自然灾害风险、突发事故、公共卫生事件、保洁、运送服务中突发事件）。</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11.12</w:t>
      </w:r>
      <w:r>
        <w:rPr>
          <w:rFonts w:hint="eastAsia"/>
          <w:color w:val="auto"/>
          <w:highlight w:val="none"/>
        </w:rPr>
        <w:t>详细的应对新冠疫情的应急方案措施，尤其是因疫情封闭医院的应急预案，人员培训、考核等。</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11.13</w:t>
      </w:r>
      <w:r>
        <w:rPr>
          <w:rFonts w:hint="eastAsia"/>
          <w:color w:val="auto"/>
          <w:highlight w:val="none"/>
        </w:rPr>
        <w:t>供应商投诉处理、协调管理、内部应急处置等方案。</w:t>
      </w:r>
    </w:p>
    <w:p>
      <w:pPr>
        <w:pStyle w:val="176"/>
        <w:snapToGrid w:val="0"/>
        <w:spacing w:line="360" w:lineRule="auto"/>
        <w:ind w:firstLine="420"/>
        <w:rPr>
          <w:rFonts w:hint="eastAsia"/>
          <w:color w:val="auto"/>
          <w:highlight w:val="none"/>
          <w:lang w:eastAsia="zh-CN"/>
        </w:rPr>
      </w:pPr>
      <w:r>
        <w:rPr>
          <w:rFonts w:hint="eastAsia"/>
          <w:color w:val="auto"/>
          <w:highlight w:val="none"/>
          <w:lang w:val="en-US" w:eastAsia="zh-CN"/>
        </w:rPr>
        <w:t>11.14</w:t>
      </w:r>
      <w:r>
        <w:rPr>
          <w:rFonts w:hint="eastAsia"/>
          <w:color w:val="auto"/>
          <w:highlight w:val="none"/>
        </w:rPr>
        <w:t>重要活动服务保障方案</w:t>
      </w:r>
      <w:r>
        <w:rPr>
          <w:rFonts w:hint="eastAsia"/>
          <w:color w:val="auto"/>
          <w:highlight w:val="none"/>
          <w:lang w:eastAsia="zh-CN"/>
        </w:rPr>
        <w:t>。</w:t>
      </w:r>
    </w:p>
    <w:p>
      <w:pPr>
        <w:pStyle w:val="176"/>
        <w:snapToGrid w:val="0"/>
        <w:spacing w:line="360" w:lineRule="auto"/>
        <w:ind w:firstLine="420"/>
        <w:rPr>
          <w:rFonts w:hint="eastAsia"/>
          <w:color w:val="auto"/>
          <w:highlight w:val="none"/>
          <w:lang w:eastAsia="zh-CN"/>
        </w:rPr>
      </w:pPr>
      <w:r>
        <w:rPr>
          <w:rFonts w:hint="eastAsia"/>
          <w:color w:val="auto"/>
          <w:highlight w:val="none"/>
          <w:lang w:val="en-US" w:eastAsia="zh-CN"/>
        </w:rPr>
        <w:t>11.15</w:t>
      </w:r>
      <w:r>
        <w:rPr>
          <w:rFonts w:hint="eastAsia"/>
          <w:color w:val="auto"/>
          <w:highlight w:val="none"/>
        </w:rPr>
        <w:t>标准化与智慧化物业管理方案</w:t>
      </w:r>
      <w:r>
        <w:rPr>
          <w:rFonts w:hint="eastAsia"/>
          <w:color w:val="auto"/>
          <w:highlight w:val="none"/>
          <w:lang w:eastAsia="zh-CN"/>
        </w:rPr>
        <w:t>。</w:t>
      </w:r>
    </w:p>
    <w:p>
      <w:pPr>
        <w:pStyle w:val="176"/>
        <w:snapToGrid w:val="0"/>
        <w:spacing w:line="360" w:lineRule="auto"/>
        <w:ind w:firstLine="420"/>
        <w:rPr>
          <w:rFonts w:hint="eastAsia"/>
          <w:color w:val="auto"/>
          <w:highlight w:val="none"/>
          <w:lang w:eastAsia="zh-CN"/>
        </w:rPr>
      </w:pPr>
      <w:r>
        <w:rPr>
          <w:rFonts w:hint="eastAsia"/>
          <w:color w:val="auto"/>
          <w:highlight w:val="none"/>
          <w:lang w:val="en-US" w:eastAsia="zh-CN"/>
        </w:rPr>
        <w:t>11.16</w:t>
      </w:r>
      <w:r>
        <w:rPr>
          <w:rFonts w:hint="eastAsia"/>
          <w:color w:val="auto"/>
          <w:highlight w:val="none"/>
        </w:rPr>
        <w:t>稳定员工队伍方案</w:t>
      </w:r>
      <w:r>
        <w:rPr>
          <w:rFonts w:hint="eastAsia"/>
          <w:color w:val="auto"/>
          <w:highlight w:val="none"/>
          <w:lang w:eastAsia="zh-CN"/>
        </w:rPr>
        <w:t>。</w:t>
      </w:r>
    </w:p>
    <w:p>
      <w:pPr>
        <w:pStyle w:val="176"/>
        <w:snapToGrid w:val="0"/>
        <w:spacing w:line="360" w:lineRule="auto"/>
        <w:ind w:firstLine="420"/>
        <w:rPr>
          <w:rFonts w:hint="eastAsia"/>
          <w:color w:val="auto"/>
          <w:highlight w:val="none"/>
          <w:lang w:eastAsia="zh-CN"/>
        </w:rPr>
      </w:pPr>
      <w:r>
        <w:rPr>
          <w:rFonts w:hint="eastAsia"/>
          <w:color w:val="auto"/>
          <w:highlight w:val="none"/>
          <w:lang w:val="en-US" w:eastAsia="zh-CN"/>
        </w:rPr>
        <w:t>11.17</w:t>
      </w:r>
      <w:r>
        <w:rPr>
          <w:rFonts w:hint="eastAsia"/>
          <w:color w:val="auto"/>
          <w:highlight w:val="none"/>
        </w:rPr>
        <w:t>春节员工缺岗解决方案</w:t>
      </w:r>
      <w:r>
        <w:rPr>
          <w:rFonts w:hint="eastAsia"/>
          <w:color w:val="auto"/>
          <w:highlight w:val="none"/>
          <w:lang w:eastAsia="zh-CN"/>
        </w:rPr>
        <w:t>。</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11.18</w:t>
      </w:r>
      <w:r>
        <w:rPr>
          <w:rFonts w:hint="eastAsia"/>
          <w:color w:val="auto"/>
          <w:highlight w:val="none"/>
        </w:rPr>
        <w:t>人员补充方案：提供有人员流失控制及时补充的方案。</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11.19</w:t>
      </w:r>
      <w:r>
        <w:rPr>
          <w:rFonts w:hint="eastAsia"/>
          <w:color w:val="auto"/>
          <w:highlight w:val="none"/>
        </w:rPr>
        <w:t>提供员工住宿解决方案：包括但不限于宿舍来源的稳定性、宿舍的数量、住宿条件与安全性、与医院的距离远近，宿舍管理措施。</w:t>
      </w:r>
    </w:p>
    <w:p>
      <w:pPr>
        <w:pStyle w:val="176"/>
        <w:snapToGrid w:val="0"/>
        <w:spacing w:line="360" w:lineRule="auto"/>
        <w:ind w:firstLine="420"/>
        <w:rPr>
          <w:rFonts w:hint="eastAsia"/>
          <w:color w:val="auto"/>
          <w:highlight w:val="none"/>
        </w:rPr>
      </w:pPr>
      <w:r>
        <w:rPr>
          <w:rFonts w:hint="eastAsia"/>
          <w:color w:val="auto"/>
          <w:highlight w:val="none"/>
          <w:lang w:val="en-US" w:eastAsia="zh-CN"/>
        </w:rPr>
        <w:t>11.20</w:t>
      </w:r>
      <w:r>
        <w:rPr>
          <w:rFonts w:hint="eastAsia"/>
          <w:color w:val="auto"/>
          <w:highlight w:val="none"/>
        </w:rPr>
        <w:t>其他符合本项目采购需求且有利于合同履约的特色服务方案。</w:t>
      </w:r>
    </w:p>
    <w:p>
      <w:pPr>
        <w:pStyle w:val="176"/>
        <w:snapToGrid w:val="0"/>
        <w:spacing w:line="360" w:lineRule="auto"/>
        <w:ind w:firstLine="420"/>
        <w:rPr>
          <w:rFonts w:hint="eastAsia"/>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12</w:t>
      </w:r>
      <w:r>
        <w:rPr>
          <w:rFonts w:hint="eastAsia" w:ascii="Times New Roman" w:hAnsi="Times New Roman"/>
          <w:color w:val="auto"/>
          <w:highlight w:val="none"/>
          <w:lang w:eastAsia="zh-CN"/>
        </w:rPr>
        <w:t>）</w:t>
      </w:r>
      <w:r>
        <w:rPr>
          <w:rFonts w:hint="eastAsia"/>
          <w:color w:val="auto"/>
          <w:highlight w:val="none"/>
        </w:rPr>
        <w:t>投入本项目服务团队人员</w:t>
      </w:r>
    </w:p>
    <w:p>
      <w:pPr>
        <w:pStyle w:val="176"/>
        <w:snapToGrid w:val="0"/>
        <w:spacing w:line="360" w:lineRule="auto"/>
        <w:ind w:firstLine="420"/>
        <w:rPr>
          <w:rFonts w:hint="eastAsia"/>
          <w:color w:val="auto"/>
          <w:highlight w:val="none"/>
          <w:lang w:eastAsia="zh-CN"/>
        </w:rPr>
      </w:pPr>
      <w:r>
        <w:rPr>
          <w:rFonts w:hint="eastAsia"/>
          <w:color w:val="auto"/>
          <w:highlight w:val="none"/>
          <w:lang w:val="en-US" w:eastAsia="zh-CN"/>
        </w:rPr>
        <w:t>12.1</w:t>
      </w:r>
      <w:r>
        <w:rPr>
          <w:rFonts w:hint="eastAsia"/>
          <w:color w:val="auto"/>
          <w:highlight w:val="none"/>
          <w:lang w:eastAsia="zh-CN"/>
        </w:rPr>
        <w:t>项目负责人：具有大专及以上学历，年龄不超过50周岁，具有物业管理师证，为投标供应商正式员工，从事医疗行业物业工作经验≥5年，三甲医院物业管理经验≥3年，且具有项目负责人（或物业经理）从业经历；提供学历证明，物业管理师证，医疗服务单位出具的担任项目负责人工作经历、年限且有评价的证明材料及在投标供应商处近三个月内任意一个月社会保险参保证明。</w:t>
      </w:r>
    </w:p>
    <w:p>
      <w:pPr>
        <w:pStyle w:val="176"/>
        <w:snapToGrid w:val="0"/>
        <w:spacing w:line="360" w:lineRule="auto"/>
        <w:ind w:firstLine="420"/>
        <w:rPr>
          <w:rFonts w:hint="eastAsia"/>
          <w:color w:val="auto"/>
          <w:highlight w:val="none"/>
          <w:lang w:val="en-US" w:eastAsia="zh-CN"/>
        </w:rPr>
      </w:pPr>
      <w:r>
        <w:rPr>
          <w:rFonts w:hint="eastAsia"/>
          <w:color w:val="auto"/>
          <w:highlight w:val="none"/>
          <w:lang w:val="en-US" w:eastAsia="zh-CN"/>
        </w:rPr>
        <w:t>12.2保洁主管：年龄不超过55周岁，具有高中及以上学历。提供学历证明及在投标供应商近三个月内任意一个月社会保险参保证明；提供服务单位出具的工作经历证明。</w:t>
      </w:r>
    </w:p>
    <w:p>
      <w:pPr>
        <w:pStyle w:val="176"/>
        <w:snapToGrid w:val="0"/>
        <w:spacing w:line="360" w:lineRule="auto"/>
        <w:ind w:firstLine="420"/>
        <w:rPr>
          <w:rFonts w:hint="eastAsia"/>
          <w:color w:val="auto"/>
          <w:highlight w:val="none"/>
          <w:lang w:val="en-US" w:eastAsia="zh-CN"/>
        </w:rPr>
      </w:pPr>
      <w:r>
        <w:rPr>
          <w:rFonts w:hint="eastAsia"/>
          <w:color w:val="auto"/>
          <w:highlight w:val="none"/>
          <w:lang w:val="en-US" w:eastAsia="zh-CN"/>
        </w:rPr>
        <w:t>12.3运送主管：年龄不超过55周岁，具有高中及以上学历。提供学历证明及在投标供应商近半年内任意一个月社会保险参保证明；提供提供服务单位出具的工作经历证明。</w:t>
      </w:r>
    </w:p>
    <w:p>
      <w:pPr>
        <w:pStyle w:val="176"/>
        <w:snapToGrid w:val="0"/>
        <w:spacing w:line="360" w:lineRule="auto"/>
        <w:ind w:firstLine="420"/>
        <w:rPr>
          <w:rFonts w:hint="default"/>
          <w:color w:val="auto"/>
          <w:highlight w:val="none"/>
          <w:lang w:val="en-US" w:eastAsia="zh-CN"/>
        </w:rPr>
      </w:pPr>
      <w:r>
        <w:rPr>
          <w:rFonts w:hint="eastAsia"/>
          <w:color w:val="auto"/>
          <w:highlight w:val="none"/>
          <w:lang w:val="en-US" w:eastAsia="zh-CN"/>
        </w:rPr>
        <w:t>12.4其他人员配置：根据本项目服务管理委托内容中的人员需求，针对履行合同的条件，结合对本项目的了解，制定具体实施服务人员的组织结构、人员配置情况、重要岗位职责等。</w:t>
      </w:r>
    </w:p>
    <w:p>
      <w:pPr>
        <w:pStyle w:val="176"/>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13</w:t>
      </w:r>
      <w:r>
        <w:rPr>
          <w:rFonts w:hint="eastAsia" w:ascii="Times New Roman" w:hAnsi="Times New Roman"/>
          <w:color w:val="auto"/>
          <w:highlight w:val="none"/>
          <w:lang w:eastAsia="zh-CN"/>
        </w:rPr>
        <w:t>）</w:t>
      </w:r>
      <w:r>
        <w:rPr>
          <w:rFonts w:hint="eastAsia"/>
          <w:color w:val="auto"/>
          <w:highlight w:val="none"/>
        </w:rPr>
        <w:t>信息化管理</w:t>
      </w:r>
      <w:r>
        <w:rPr>
          <w:rFonts w:hint="eastAsia"/>
          <w:color w:val="auto"/>
          <w:highlight w:val="none"/>
          <w:lang w:eastAsia="zh-CN"/>
        </w:rPr>
        <w:t>：</w:t>
      </w:r>
      <w:r>
        <w:rPr>
          <w:rFonts w:hint="eastAsia"/>
          <w:color w:val="auto"/>
          <w:highlight w:val="none"/>
        </w:rPr>
        <w:t>供应商可投入本服务项目中的信息化管理软件（包括但不限于</w:t>
      </w:r>
      <w:r>
        <w:rPr>
          <w:rFonts w:hint="eastAsia"/>
          <w:color w:val="auto"/>
          <w:highlight w:val="none"/>
          <w:lang w:val="zh-TW" w:eastAsia="zh-TW"/>
        </w:rPr>
        <w:t>后勤智能运送</w:t>
      </w:r>
      <w:r>
        <w:rPr>
          <w:rFonts w:hint="eastAsia"/>
          <w:color w:val="auto"/>
          <w:highlight w:val="none"/>
        </w:rPr>
        <w:t>系统），提供相关软件著作权证书复印件</w:t>
      </w:r>
      <w:r>
        <w:rPr>
          <w:rFonts w:hint="eastAsia"/>
          <w:color w:val="auto"/>
          <w:highlight w:val="none"/>
          <w:lang w:eastAsia="zh-CN"/>
        </w:rPr>
        <w:t>。</w:t>
      </w:r>
    </w:p>
    <w:p>
      <w:pPr>
        <w:pStyle w:val="176"/>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14</w:t>
      </w:r>
      <w:r>
        <w:rPr>
          <w:rFonts w:hint="eastAsia" w:ascii="Times New Roman" w:hAnsi="Times New Roman"/>
          <w:color w:val="auto"/>
          <w:highlight w:val="none"/>
          <w:lang w:eastAsia="zh-CN"/>
        </w:rPr>
        <w:t>）</w:t>
      </w:r>
      <w:r>
        <w:rPr>
          <w:rFonts w:hint="eastAsia"/>
          <w:color w:val="auto"/>
          <w:highlight w:val="none"/>
        </w:rPr>
        <w:t>运送软件对接HIS的案例</w:t>
      </w:r>
      <w:r>
        <w:rPr>
          <w:rFonts w:hint="eastAsia"/>
          <w:color w:val="auto"/>
          <w:highlight w:val="none"/>
          <w:lang w:eastAsia="zh-CN"/>
        </w:rPr>
        <w:t>：供应商承诺运送软件系统能够与医院的HIS系统（品牌：创业慧康）进行对接并成功运行，进场后（签订合同后七日内进场）三个月内完成。</w:t>
      </w:r>
    </w:p>
    <w:p>
      <w:pPr>
        <w:pStyle w:val="176"/>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15</w:t>
      </w:r>
      <w:r>
        <w:rPr>
          <w:rFonts w:hint="eastAsia" w:ascii="Times New Roman" w:hAnsi="Times New Roman"/>
          <w:color w:val="auto"/>
          <w:highlight w:val="none"/>
          <w:lang w:eastAsia="zh-CN"/>
        </w:rPr>
        <w:t>）</w:t>
      </w:r>
      <w:r>
        <w:rPr>
          <w:rFonts w:hint="eastAsia"/>
          <w:color w:val="auto"/>
          <w:highlight w:val="none"/>
        </w:rPr>
        <w:t>人员培训</w:t>
      </w:r>
      <w:r>
        <w:rPr>
          <w:rFonts w:hint="eastAsia"/>
          <w:color w:val="auto"/>
          <w:highlight w:val="none"/>
          <w:lang w:eastAsia="zh-CN"/>
        </w:rPr>
        <w:t>：</w:t>
      </w:r>
      <w:r>
        <w:rPr>
          <w:rFonts w:hint="eastAsia"/>
          <w:color w:val="auto"/>
          <w:highlight w:val="none"/>
        </w:rPr>
        <w:t>根据项目情况，针对本项目岗位人员制定科学、合理的培训方案和实施计划。</w:t>
      </w:r>
    </w:p>
    <w:p>
      <w:pPr>
        <w:pStyle w:val="176"/>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16</w:t>
      </w:r>
      <w:r>
        <w:rPr>
          <w:rFonts w:hint="eastAsia" w:ascii="Times New Roman" w:hAnsi="Times New Roman"/>
          <w:color w:val="auto"/>
          <w:highlight w:val="none"/>
          <w:lang w:eastAsia="zh-CN"/>
        </w:rPr>
        <w:t>）</w:t>
      </w:r>
      <w:r>
        <w:rPr>
          <w:rFonts w:hint="eastAsia"/>
          <w:color w:val="auto"/>
          <w:highlight w:val="none"/>
        </w:rPr>
        <w:t>合理化建议</w:t>
      </w:r>
      <w:r>
        <w:rPr>
          <w:rFonts w:hint="eastAsia"/>
          <w:color w:val="auto"/>
          <w:highlight w:val="none"/>
          <w:lang w:eastAsia="zh-CN"/>
        </w:rPr>
        <w:t>：</w:t>
      </w:r>
      <w:r>
        <w:rPr>
          <w:rFonts w:hint="eastAsia"/>
          <w:color w:val="auto"/>
          <w:highlight w:val="none"/>
        </w:rPr>
        <w:t>针对项目推进和实施中可能会出现的问题和存在的困难，进行客观仔细地分析，并结合自身专业、经验等实际情况，在对项目理解的基础上提出合理化建议（解决对策）。</w:t>
      </w:r>
    </w:p>
    <w:p>
      <w:pPr>
        <w:pStyle w:val="176"/>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17</w:t>
      </w:r>
      <w:r>
        <w:rPr>
          <w:rFonts w:hint="eastAsia" w:ascii="Times New Roman" w:hAnsi="Times New Roman"/>
          <w:color w:val="auto"/>
          <w:highlight w:val="none"/>
          <w:lang w:eastAsia="zh-CN"/>
        </w:rPr>
        <w:t>）</w:t>
      </w:r>
      <w:r>
        <w:rPr>
          <w:rFonts w:hint="eastAsia"/>
          <w:color w:val="auto"/>
          <w:highlight w:val="none"/>
        </w:rPr>
        <w:t>设备及耗材</w:t>
      </w:r>
      <w:r>
        <w:rPr>
          <w:rFonts w:hint="eastAsia"/>
          <w:color w:val="auto"/>
          <w:highlight w:val="none"/>
          <w:lang w:eastAsia="zh-CN"/>
        </w:rPr>
        <w:t>：</w:t>
      </w:r>
      <w:r>
        <w:rPr>
          <w:rFonts w:hint="eastAsia"/>
          <w:color w:val="auto"/>
          <w:highlight w:val="none"/>
        </w:rPr>
        <w:t>供应商拟投入本项目的机械、设备及耗材的品牌、数量</w:t>
      </w:r>
      <w:r>
        <w:rPr>
          <w:rFonts w:hint="eastAsia"/>
          <w:color w:val="auto"/>
          <w:highlight w:val="none"/>
          <w:lang w:eastAsia="zh-CN"/>
        </w:rPr>
        <w:t>。</w:t>
      </w:r>
    </w:p>
    <w:p>
      <w:pPr>
        <w:pStyle w:val="176"/>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eastAsia="zh-CN"/>
        </w:rPr>
        <w:t>1</w:t>
      </w:r>
      <w:r>
        <w:rPr>
          <w:rFonts w:hint="eastAsia" w:ascii="Times New Roman" w:hAnsi="Times New Roman"/>
          <w:color w:val="auto"/>
          <w:highlight w:val="none"/>
          <w:lang w:val="en-US" w:eastAsia="zh-CN"/>
        </w:rPr>
        <w:t>8</w:t>
      </w:r>
      <w:r>
        <w:rPr>
          <w:rFonts w:hint="eastAsia" w:ascii="Times New Roman" w:hAnsi="Times New Roman"/>
          <w:color w:val="auto"/>
          <w:highlight w:val="none"/>
        </w:rPr>
        <w:t>）供应商认为有必要提供的其它文件。</w:t>
      </w:r>
    </w:p>
    <w:p>
      <w:pPr>
        <w:pStyle w:val="5"/>
        <w:ind w:firstLine="422"/>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pPr>
        <w:snapToGrid w:val="0"/>
        <w:spacing w:line="300" w:lineRule="auto"/>
        <w:jc w:val="center"/>
        <w:rPr>
          <w:b/>
          <w:bCs/>
          <w:color w:val="auto"/>
          <w:sz w:val="32"/>
          <w:szCs w:val="32"/>
          <w:highlight w:val="none"/>
        </w:rPr>
      </w:pPr>
      <w:r>
        <w:rPr>
          <w:b/>
          <w:bCs/>
          <w:color w:val="auto"/>
          <w:sz w:val="32"/>
          <w:szCs w:val="32"/>
          <w:highlight w:val="none"/>
        </w:rPr>
        <w:t>投标函</w:t>
      </w:r>
    </w:p>
    <w:p>
      <w:pPr>
        <w:pStyle w:val="41"/>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pPr>
        <w:pStyle w:val="41"/>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pPr>
        <w:pStyle w:val="41"/>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pPr>
        <w:adjustRightInd w:val="0"/>
        <w:snapToGrid w:val="0"/>
        <w:spacing w:line="300" w:lineRule="auto"/>
        <w:ind w:firstLine="420" w:firstLineChars="200"/>
        <w:rPr>
          <w:color w:val="auto"/>
          <w:szCs w:val="21"/>
          <w:highlight w:val="none"/>
        </w:rPr>
      </w:pPr>
      <w:r>
        <w:rPr>
          <w:color w:val="auto"/>
          <w:szCs w:val="21"/>
          <w:highlight w:val="none"/>
        </w:rPr>
        <w:t>2、承诺已经具备《中华人民共和国政府采购法》中规定的参加政府采购活动的</w:t>
      </w:r>
      <w:r>
        <w:rPr>
          <w:rFonts w:hint="eastAsia"/>
          <w:color w:val="auto"/>
          <w:szCs w:val="21"/>
          <w:highlight w:val="none"/>
        </w:rPr>
        <w:t>供应商</w:t>
      </w:r>
      <w:r>
        <w:rPr>
          <w:color w:val="auto"/>
          <w:szCs w:val="21"/>
          <w:highlight w:val="none"/>
        </w:rPr>
        <w:t>应当具备的条件及采购人规定的特定条件。</w:t>
      </w:r>
    </w:p>
    <w:p>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pPr>
        <w:pStyle w:val="41"/>
        <w:adjustRightInd w:val="0"/>
        <w:snapToGrid w:val="0"/>
        <w:spacing w:line="300" w:lineRule="auto"/>
        <w:ind w:firstLine="480"/>
        <w:rPr>
          <w:rFonts w:ascii="Times New Roman" w:hAnsi="Times New Roman"/>
          <w:color w:val="auto"/>
          <w:highlight w:val="none"/>
        </w:rPr>
      </w:pPr>
    </w:p>
    <w:p>
      <w:pPr>
        <w:pStyle w:val="41"/>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1"/>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4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pPr>
        <w:pStyle w:val="4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pPr>
        <w:pStyle w:val="4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pPr>
        <w:pStyle w:val="41"/>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2</w:t>
      </w:r>
      <w:r>
        <w:rPr>
          <w:rFonts w:ascii="Times New Roman" w:hAnsi="Times New Roman"/>
          <w:color w:val="auto"/>
          <w:highlight w:val="none"/>
        </w:rPr>
        <w:t>、法定代表人资格证明书</w:t>
      </w:r>
    </w:p>
    <w:p>
      <w:pPr>
        <w:snapToGrid w:val="0"/>
        <w:spacing w:line="300" w:lineRule="auto"/>
        <w:jc w:val="center"/>
        <w:rPr>
          <w:b/>
          <w:bCs/>
          <w:color w:val="auto"/>
          <w:sz w:val="32"/>
          <w:szCs w:val="32"/>
          <w:highlight w:val="none"/>
        </w:rPr>
      </w:pPr>
      <w:r>
        <w:rPr>
          <w:b/>
          <w:bCs/>
          <w:color w:val="auto"/>
          <w:sz w:val="32"/>
          <w:szCs w:val="32"/>
          <w:highlight w:val="none"/>
        </w:rPr>
        <w:t>法定代表人资格证明书</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u w:val="single"/>
        </w:rPr>
      </w:pPr>
      <w:r>
        <w:rPr>
          <w:rFonts w:hint="eastAsia"/>
          <w:color w:val="auto"/>
          <w:szCs w:val="21"/>
          <w:highlight w:val="none"/>
        </w:rPr>
        <w:t>供应商</w:t>
      </w:r>
      <w:r>
        <w:rPr>
          <w:color w:val="auto"/>
          <w:szCs w:val="21"/>
          <w:highlight w:val="none"/>
        </w:rPr>
        <w:t>名称：</w:t>
      </w:r>
    </w:p>
    <w:p>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pPr>
        <w:adjustRightInd w:val="0"/>
        <w:snapToGrid w:val="0"/>
        <w:spacing w:line="360" w:lineRule="auto"/>
        <w:ind w:firstLine="420" w:firstLineChars="200"/>
        <w:rPr>
          <w:color w:val="auto"/>
          <w:szCs w:val="21"/>
          <w:highlight w:val="none"/>
        </w:rPr>
      </w:pPr>
      <w:r>
        <w:rPr>
          <w:color w:val="auto"/>
          <w:szCs w:val="21"/>
          <w:highlight w:val="none"/>
        </w:rPr>
        <w:t>姓名：</w:t>
      </w:r>
    </w:p>
    <w:p>
      <w:pPr>
        <w:adjustRightInd w:val="0"/>
        <w:snapToGrid w:val="0"/>
        <w:spacing w:line="360" w:lineRule="auto"/>
        <w:ind w:firstLine="420" w:firstLineChars="200"/>
        <w:rPr>
          <w:color w:val="auto"/>
          <w:szCs w:val="21"/>
          <w:highlight w:val="none"/>
        </w:rPr>
      </w:pPr>
      <w:r>
        <w:rPr>
          <w:color w:val="auto"/>
          <w:szCs w:val="21"/>
          <w:highlight w:val="none"/>
        </w:rPr>
        <w:t>性别：</w:t>
      </w:r>
    </w:p>
    <w:p>
      <w:pPr>
        <w:adjustRightInd w:val="0"/>
        <w:snapToGrid w:val="0"/>
        <w:spacing w:line="360" w:lineRule="auto"/>
        <w:ind w:firstLine="420" w:firstLineChars="200"/>
        <w:rPr>
          <w:color w:val="auto"/>
          <w:szCs w:val="21"/>
          <w:highlight w:val="none"/>
        </w:rPr>
      </w:pPr>
      <w:r>
        <w:rPr>
          <w:color w:val="auto"/>
          <w:szCs w:val="21"/>
          <w:highlight w:val="none"/>
        </w:rPr>
        <w:t>年龄：</w:t>
      </w:r>
    </w:p>
    <w:p>
      <w:pPr>
        <w:adjustRightInd w:val="0"/>
        <w:snapToGrid w:val="0"/>
        <w:spacing w:line="360" w:lineRule="auto"/>
        <w:ind w:firstLine="420" w:firstLineChars="200"/>
        <w:rPr>
          <w:color w:val="auto"/>
          <w:szCs w:val="21"/>
          <w:highlight w:val="none"/>
          <w:u w:val="single"/>
        </w:rPr>
      </w:pPr>
      <w:r>
        <w:rPr>
          <w:color w:val="auto"/>
          <w:szCs w:val="21"/>
          <w:highlight w:val="none"/>
        </w:rPr>
        <w:t>职务：</w:t>
      </w:r>
    </w:p>
    <w:p>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pPr>
        <w:adjustRightInd w:val="0"/>
        <w:snapToGrid w:val="0"/>
        <w:spacing w:line="360" w:lineRule="auto"/>
        <w:ind w:firstLine="420" w:firstLineChars="200"/>
        <w:rPr>
          <w:color w:val="auto"/>
          <w:szCs w:val="21"/>
          <w:highlight w:val="none"/>
        </w:rPr>
      </w:pPr>
      <w:r>
        <w:rPr>
          <w:color w:val="auto"/>
          <w:szCs w:val="21"/>
          <w:highlight w:val="none"/>
        </w:rPr>
        <w:t>特此证明！</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r>
        <w:rPr>
          <w:rFonts w:hint="eastAsia"/>
          <w:color w:val="auto"/>
          <w:szCs w:val="21"/>
          <w:highlight w:val="none"/>
        </w:rPr>
        <w:t>供应商</w:t>
      </w:r>
      <w:r>
        <w:rPr>
          <w:color w:val="auto"/>
          <w:szCs w:val="21"/>
          <w:highlight w:val="none"/>
        </w:rPr>
        <w:t>：（</w:t>
      </w:r>
      <w:r>
        <w:rPr>
          <w:rFonts w:hint="eastAsia"/>
          <w:color w:val="auto"/>
          <w:highlight w:val="none"/>
        </w:rPr>
        <w:t>盖单位公章或电子签章</w:t>
      </w:r>
      <w:r>
        <w:rPr>
          <w:color w:val="auto"/>
          <w:szCs w:val="21"/>
          <w:highlight w:val="none"/>
        </w:rPr>
        <w:t>）</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r>
        <w:rPr>
          <w:color w:val="auto"/>
          <w:szCs w:val="21"/>
          <w:highlight w:val="none"/>
        </w:rPr>
        <w:t xml:space="preserve">日期： </w:t>
      </w:r>
      <w:r>
        <w:rPr>
          <w:rFonts w:hint="eastAsia"/>
          <w:color w:val="auto"/>
          <w:szCs w:val="21"/>
          <w:highlight w:val="none"/>
        </w:rPr>
        <w:t xml:space="preserve"> </w:t>
      </w:r>
      <w:r>
        <w:rPr>
          <w:color w:val="auto"/>
          <w:szCs w:val="21"/>
          <w:highlight w:val="none"/>
        </w:rPr>
        <w:t xml:space="preserve"> 年  月  日</w:t>
      </w:r>
    </w:p>
    <w:p>
      <w:pPr>
        <w:adjustRightInd w:val="0"/>
        <w:snapToGrid w:val="0"/>
        <w:spacing w:line="360" w:lineRule="auto"/>
        <w:ind w:firstLine="420" w:firstLineChars="200"/>
        <w:rPr>
          <w:color w:val="auto"/>
          <w:szCs w:val="21"/>
          <w:highlight w:val="none"/>
        </w:rPr>
      </w:pPr>
    </w:p>
    <w:p>
      <w:pPr>
        <w:spacing w:line="360" w:lineRule="auto"/>
        <w:rPr>
          <w:color w:val="auto"/>
          <w:szCs w:val="21"/>
          <w:highlight w:val="none"/>
        </w:rPr>
      </w:pPr>
    </w:p>
    <w:p>
      <w:pPr>
        <w:spacing w:line="360" w:lineRule="auto"/>
        <w:ind w:firstLine="420" w:firstLineChars="200"/>
        <w:rPr>
          <w:color w:val="auto"/>
          <w:szCs w:val="21"/>
          <w:highlight w:val="none"/>
        </w:rPr>
      </w:pPr>
      <w:r>
        <w:rPr>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r>
    </w:tbl>
    <w:p>
      <w:pPr>
        <w:adjustRightInd w:val="0"/>
        <w:snapToGrid w:val="0"/>
        <w:spacing w:line="360" w:lineRule="auto"/>
        <w:ind w:firstLine="420" w:firstLineChars="200"/>
        <w:rPr>
          <w:color w:val="auto"/>
          <w:szCs w:val="21"/>
          <w:highlight w:val="none"/>
        </w:rPr>
      </w:pP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3</w:t>
      </w:r>
      <w:r>
        <w:rPr>
          <w:rFonts w:ascii="Times New Roman" w:hAnsi="Times New Roman"/>
          <w:color w:val="auto"/>
          <w:highlight w:val="none"/>
        </w:rPr>
        <w:t>、法定代表人授权委托书</w:t>
      </w:r>
    </w:p>
    <w:p>
      <w:pPr>
        <w:snapToGrid w:val="0"/>
        <w:spacing w:line="300" w:lineRule="auto"/>
        <w:jc w:val="center"/>
        <w:rPr>
          <w:b/>
          <w:bCs/>
          <w:color w:val="auto"/>
          <w:sz w:val="32"/>
          <w:szCs w:val="32"/>
          <w:highlight w:val="none"/>
        </w:rPr>
      </w:pPr>
      <w:r>
        <w:rPr>
          <w:b/>
          <w:bCs/>
          <w:color w:val="auto"/>
          <w:sz w:val="32"/>
          <w:szCs w:val="32"/>
          <w:highlight w:val="none"/>
        </w:rPr>
        <w:t>法定代表人授权委托书</w:t>
      </w:r>
    </w:p>
    <w:p>
      <w:pPr>
        <w:snapToGrid w:val="0"/>
        <w:spacing w:line="300" w:lineRule="auto"/>
        <w:jc w:val="center"/>
        <w:rPr>
          <w:b/>
          <w:bCs/>
          <w:color w:val="auto"/>
          <w:sz w:val="32"/>
          <w:szCs w:val="32"/>
          <w:highlight w:val="none"/>
        </w:rPr>
      </w:pPr>
      <w:r>
        <w:rPr>
          <w:color w:val="auto"/>
          <w:highlight w:val="none"/>
        </w:rPr>
        <w:t>（法定代表人签署不需提供此书）</w:t>
      </w:r>
    </w:p>
    <w:p>
      <w:pPr>
        <w:spacing w:line="360" w:lineRule="auto"/>
        <w:rPr>
          <w:color w:val="auto"/>
          <w:szCs w:val="21"/>
          <w:highlight w:val="none"/>
        </w:rPr>
      </w:pPr>
    </w:p>
    <w:p>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（采购代理机构）：</w:t>
      </w:r>
    </w:p>
    <w:p>
      <w:pPr>
        <w:snapToGrid w:val="0"/>
        <w:spacing w:line="360" w:lineRule="auto"/>
        <w:rPr>
          <w:b/>
          <w:bCs/>
          <w:color w:val="auto"/>
          <w:szCs w:val="21"/>
          <w:highlight w:val="none"/>
        </w:rPr>
      </w:pPr>
    </w:p>
    <w:p>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w:t>
      </w:r>
      <w:r>
        <w:rPr>
          <w:rFonts w:hint="eastAsia"/>
          <w:color w:val="auto"/>
          <w:szCs w:val="21"/>
          <w:highlight w:val="none"/>
        </w:rPr>
        <w:t>供应商</w:t>
      </w:r>
      <w:r>
        <w:rPr>
          <w:color w:val="auto"/>
          <w:szCs w:val="21"/>
          <w:highlight w:val="none"/>
        </w:rPr>
        <w:t>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auto"/>
          <w:szCs w:val="21"/>
          <w:highlight w:val="none"/>
        </w:rPr>
      </w:pPr>
      <w:r>
        <w:rPr>
          <w:color w:val="auto"/>
          <w:szCs w:val="21"/>
          <w:highlight w:val="none"/>
        </w:rPr>
        <w:t>被授权人无转委托权，特此委托。</w:t>
      </w:r>
    </w:p>
    <w:p>
      <w:pPr>
        <w:snapToGrid w:val="0"/>
        <w:spacing w:line="360" w:lineRule="auto"/>
        <w:rPr>
          <w:color w:val="auto"/>
          <w:szCs w:val="21"/>
          <w:highlight w:val="none"/>
        </w:rPr>
      </w:pPr>
    </w:p>
    <w:p>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pPr>
        <w:snapToGrid w:val="0"/>
        <w:spacing w:line="360" w:lineRule="auto"/>
        <w:rPr>
          <w:color w:val="auto"/>
          <w:szCs w:val="21"/>
          <w:highlight w:val="none"/>
        </w:rPr>
      </w:pPr>
    </w:p>
    <w:p>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pPr>
        <w:snapToGrid w:val="0"/>
        <w:spacing w:line="360" w:lineRule="auto"/>
        <w:rPr>
          <w:color w:val="auto"/>
          <w:szCs w:val="21"/>
          <w:highlight w:val="none"/>
          <w:u w:val="single"/>
        </w:rPr>
      </w:pPr>
    </w:p>
    <w:p>
      <w:pPr>
        <w:snapToGrid w:val="0"/>
        <w:spacing w:line="360" w:lineRule="auto"/>
        <w:rPr>
          <w:color w:val="auto"/>
          <w:szCs w:val="21"/>
          <w:highlight w:val="none"/>
          <w:u w:val="single"/>
        </w:rPr>
      </w:pPr>
      <w:r>
        <w:rPr>
          <w:rFonts w:hint="eastAsia"/>
          <w:color w:val="auto"/>
          <w:szCs w:val="21"/>
          <w:highlight w:val="none"/>
        </w:rPr>
        <w:t>供应商</w:t>
      </w:r>
      <w:r>
        <w:rPr>
          <w:color w:val="auto"/>
          <w:szCs w:val="21"/>
          <w:highlight w:val="none"/>
        </w:rPr>
        <w:t>：</w:t>
      </w:r>
      <w:r>
        <w:rPr>
          <w:rFonts w:hint="eastAsia"/>
          <w:color w:val="auto"/>
          <w:szCs w:val="21"/>
          <w:highlight w:val="none"/>
        </w:rPr>
        <w:t>（</w:t>
      </w:r>
      <w:r>
        <w:rPr>
          <w:rFonts w:hint="eastAsia"/>
          <w:color w:val="auto"/>
          <w:highlight w:val="none"/>
        </w:rPr>
        <w:t>盖单位公章或电子签章</w:t>
      </w:r>
      <w:r>
        <w:rPr>
          <w:rFonts w:hint="eastAsia"/>
          <w:color w:val="auto"/>
          <w:szCs w:val="21"/>
          <w:highlight w:val="none"/>
        </w:rPr>
        <w:t>）</w:t>
      </w:r>
    </w:p>
    <w:p>
      <w:pPr>
        <w:spacing w:line="360" w:lineRule="auto"/>
        <w:rPr>
          <w:color w:val="auto"/>
          <w:szCs w:val="21"/>
          <w:highlight w:val="none"/>
        </w:rPr>
      </w:pPr>
      <w:r>
        <w:rPr>
          <w:color w:val="auto"/>
          <w:szCs w:val="21"/>
          <w:highlight w:val="none"/>
        </w:rPr>
        <w:t>签署时间：   年    月    日</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c>
          <w:tcPr>
            <w:tcW w:w="2340" w:type="dxa"/>
            <w:tcBorders>
              <w:top w:val="nil"/>
              <w:bottom w:val="nil"/>
            </w:tcBorders>
          </w:tcPr>
          <w:p>
            <w:pPr>
              <w:widowControl/>
              <w:jc w:val="left"/>
              <w:rPr>
                <w:color w:val="auto"/>
                <w:szCs w:val="21"/>
                <w:highlight w:val="none"/>
              </w:rPr>
            </w:pPr>
          </w:p>
          <w:p>
            <w:pPr>
              <w:spacing w:line="360" w:lineRule="auto"/>
              <w:rPr>
                <w:color w:val="auto"/>
                <w:szCs w:val="21"/>
                <w:highlight w:val="none"/>
              </w:rPr>
            </w:pPr>
          </w:p>
        </w:tc>
        <w:tc>
          <w:tcPr>
            <w:tcW w:w="2700" w:type="dxa"/>
          </w:tcPr>
          <w:p>
            <w:pPr>
              <w:spacing w:line="360" w:lineRule="auto"/>
              <w:rPr>
                <w:color w:val="auto"/>
                <w:szCs w:val="21"/>
                <w:highlight w:val="none"/>
              </w:rPr>
            </w:pPr>
            <w:r>
              <w:rPr>
                <w:color w:val="auto"/>
                <w:szCs w:val="21"/>
                <w:highlight w:val="none"/>
              </w:rPr>
              <w:t>被授权人身份证复印件</w:t>
            </w:r>
          </w:p>
        </w:tc>
      </w:tr>
    </w:tbl>
    <w:p>
      <w:pPr>
        <w:widowControl/>
        <w:autoSpaceDE w:val="0"/>
        <w:autoSpaceDN w:val="0"/>
        <w:spacing w:line="360" w:lineRule="auto"/>
        <w:jc w:val="center"/>
        <w:textAlignment w:val="bottom"/>
        <w:rPr>
          <w:color w:val="auto"/>
          <w:szCs w:val="21"/>
          <w:highlight w:val="none"/>
        </w:rPr>
      </w:pPr>
    </w:p>
    <w:p>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pPr>
        <w:pStyle w:val="5"/>
        <w:ind w:firstLine="413" w:firstLineChars="196"/>
        <w:rPr>
          <w:rFonts w:ascii="Times New Roman" w:hAnsi="Times New Roman"/>
          <w:color w:val="auto"/>
          <w:highlight w:val="none"/>
        </w:rPr>
      </w:pPr>
      <w:r>
        <w:rPr>
          <w:rFonts w:ascii="Times New Roman" w:hAnsi="Times New Roman"/>
          <w:color w:val="auto"/>
          <w:szCs w:val="21"/>
          <w:highlight w:val="none"/>
        </w:rPr>
        <w:br w:type="page"/>
      </w:r>
      <w:r>
        <w:rPr>
          <w:rFonts w:hint="eastAsia" w:ascii="Times New Roman" w:hAnsi="Times New Roman"/>
          <w:color w:val="auto"/>
          <w:highlight w:val="none"/>
        </w:rPr>
        <w:t>4</w:t>
      </w:r>
      <w:r>
        <w:rPr>
          <w:rFonts w:ascii="Times New Roman" w:hAnsi="Times New Roman"/>
          <w:color w:val="auto"/>
          <w:highlight w:val="none"/>
        </w:rPr>
        <w:t>、中小企业声明函（如有）</w:t>
      </w:r>
    </w:p>
    <w:p>
      <w:pPr>
        <w:snapToGrid w:val="0"/>
        <w:spacing w:line="360" w:lineRule="auto"/>
        <w:jc w:val="center"/>
        <w:rPr>
          <w:b/>
          <w:bCs/>
          <w:color w:val="auto"/>
          <w:sz w:val="32"/>
          <w:szCs w:val="32"/>
          <w:highlight w:val="none"/>
        </w:rPr>
      </w:pPr>
    </w:p>
    <w:p>
      <w:pPr>
        <w:widowControl/>
        <w:jc w:val="center"/>
        <w:rPr>
          <w:rFonts w:ascii="宋体" w:hAnsi="宋体" w:cs="宋体"/>
          <w:b/>
          <w:color w:val="auto"/>
          <w:sz w:val="36"/>
          <w:szCs w:val="36"/>
          <w:highlight w:val="none"/>
          <w:lang w:bidi="ar"/>
        </w:rPr>
      </w:pPr>
      <w:r>
        <w:rPr>
          <w:rFonts w:hint="eastAsia" w:ascii="宋体" w:hAnsi="宋体" w:cs="宋体"/>
          <w:b/>
          <w:color w:val="auto"/>
          <w:sz w:val="36"/>
          <w:szCs w:val="36"/>
          <w:highlight w:val="none"/>
          <w:lang w:bidi="ar"/>
        </w:rPr>
        <w:t>中小企业声明函（服务）</w:t>
      </w:r>
    </w:p>
    <w:p>
      <w:pPr>
        <w:widowControl/>
        <w:jc w:val="center"/>
        <w:rPr>
          <w:rFonts w:ascii="宋体" w:hAnsi="宋体" w:cs="宋体"/>
          <w:b/>
          <w:color w:val="auto"/>
          <w:sz w:val="36"/>
          <w:szCs w:val="36"/>
          <w:highlight w:val="none"/>
          <w:lang w:bidi="ar"/>
        </w:rPr>
      </w:pPr>
    </w:p>
    <w:p>
      <w:pPr>
        <w:widowControl/>
        <w:spacing w:line="360" w:lineRule="auto"/>
        <w:ind w:firstLine="420" w:firstLineChars="200"/>
        <w:jc w:val="left"/>
        <w:rPr>
          <w:color w:val="auto"/>
          <w:szCs w:val="21"/>
          <w:highlight w:val="none"/>
        </w:rPr>
      </w:pPr>
      <w:r>
        <w:rPr>
          <w:color w:val="auto"/>
          <w:szCs w:val="21"/>
          <w:highlight w:val="none"/>
          <w:lang w:bidi="ar"/>
        </w:rPr>
        <w:t>本公司（联合体）郑重声明，根据《政府采购促进中小企业发展管理办法》（财库﹝2020﹞46号）的规定，本公司（联合体）参加</w:t>
      </w:r>
      <w:r>
        <w:rPr>
          <w:i/>
          <w:color w:val="auto"/>
          <w:szCs w:val="21"/>
          <w:highlight w:val="none"/>
          <w:u w:val="single"/>
          <w:lang w:bidi="ar"/>
        </w:rPr>
        <w:t>（单位名称）</w:t>
      </w:r>
      <w:r>
        <w:rPr>
          <w:color w:val="auto"/>
          <w:szCs w:val="21"/>
          <w:highlight w:val="none"/>
          <w:lang w:bidi="ar"/>
        </w:rPr>
        <w:t>的</w:t>
      </w:r>
      <w:r>
        <w:rPr>
          <w:i/>
          <w:color w:val="auto"/>
          <w:szCs w:val="21"/>
          <w:highlight w:val="none"/>
          <w:u w:val="single"/>
          <w:lang w:bidi="ar"/>
        </w:rPr>
        <w:t>（项目名称）</w:t>
      </w:r>
      <w:r>
        <w:rPr>
          <w:color w:val="auto"/>
          <w:szCs w:val="21"/>
          <w:highlight w:val="none"/>
          <w:lang w:bidi="ar"/>
        </w:rPr>
        <w:t>采购活动，</w:t>
      </w:r>
      <w:r>
        <w:rPr>
          <w:rFonts w:hint="eastAsia" w:ascii="宋体" w:hAnsi="宋体" w:cs="宋体"/>
          <w:b/>
          <w:bCs/>
          <w:color w:val="auto"/>
          <w:szCs w:val="21"/>
          <w:highlight w:val="none"/>
        </w:rPr>
        <w:t>服务</w:t>
      </w:r>
      <w:r>
        <w:rPr>
          <w:rFonts w:hint="eastAsia" w:ascii="宋体" w:hAnsi="宋体" w:cs="宋体"/>
          <w:b/>
          <w:bCs/>
          <w:color w:val="auto"/>
          <w:w w:val="95"/>
          <w:szCs w:val="21"/>
          <w:highlight w:val="none"/>
        </w:rPr>
        <w:t>全部由符合政策要求的中小企业承接</w:t>
      </w:r>
      <w:r>
        <w:rPr>
          <w:color w:val="auto"/>
          <w:szCs w:val="21"/>
          <w:highlight w:val="none"/>
          <w:lang w:bidi="ar"/>
        </w:rPr>
        <w:t xml:space="preserve">。相关企业（含联合体中的中小企业、签订分包意向协议的中小企业）的具体情况如下： </w:t>
      </w:r>
    </w:p>
    <w:p>
      <w:pPr>
        <w:widowControl/>
        <w:spacing w:line="360" w:lineRule="auto"/>
        <w:jc w:val="left"/>
        <w:rPr>
          <w:color w:val="auto"/>
          <w:szCs w:val="21"/>
          <w:highlight w:val="none"/>
        </w:rPr>
      </w:pPr>
      <w:r>
        <w:rPr>
          <w:color w:val="auto"/>
          <w:szCs w:val="21"/>
          <w:highlight w:val="none"/>
          <w:lang w:bidi="ar"/>
        </w:rPr>
        <w:t>1.</w:t>
      </w:r>
      <w:r>
        <w:rPr>
          <w:color w:val="auto"/>
          <w:szCs w:val="21"/>
          <w:highlight w:val="none"/>
          <w:u w:val="single"/>
          <w:lang w:bidi="ar"/>
        </w:rPr>
        <w:t xml:space="preserve"> </w:t>
      </w:r>
      <w:r>
        <w:rPr>
          <w:i/>
          <w:color w:val="auto"/>
          <w:szCs w:val="21"/>
          <w:highlight w:val="none"/>
          <w:u w:val="single"/>
          <w:lang w:bidi="ar"/>
        </w:rPr>
        <w:t xml:space="preserve">（标的名称） </w:t>
      </w:r>
      <w:r>
        <w:rPr>
          <w:color w:val="auto"/>
          <w:szCs w:val="21"/>
          <w:highlight w:val="none"/>
          <w:lang w:bidi="ar"/>
        </w:rPr>
        <w:t>，属于</w:t>
      </w:r>
      <w:r>
        <w:rPr>
          <w:i/>
          <w:color w:val="auto"/>
          <w:szCs w:val="21"/>
          <w:highlight w:val="none"/>
          <w:u w:val="single"/>
          <w:lang w:bidi="ar"/>
        </w:rPr>
        <w:t>（采购文件中明确的所属行业）</w:t>
      </w:r>
      <w:r>
        <w:rPr>
          <w:i/>
          <w:color w:val="auto"/>
          <w:szCs w:val="21"/>
          <w:highlight w:val="none"/>
          <w:lang w:bidi="ar"/>
        </w:rPr>
        <w:t>行业</w:t>
      </w:r>
      <w:r>
        <w:rPr>
          <w:color w:val="auto"/>
          <w:szCs w:val="21"/>
          <w:highlight w:val="none"/>
          <w:lang w:bidi="ar"/>
        </w:rPr>
        <w:t>；</w:t>
      </w:r>
      <w:r>
        <w:rPr>
          <w:rFonts w:hint="eastAsia" w:ascii="宋体" w:hAnsi="宋体" w:cs="宋体"/>
          <w:color w:val="auto"/>
          <w:w w:val="99"/>
          <w:szCs w:val="21"/>
          <w:highlight w:val="none"/>
        </w:rPr>
        <w:t>承建（承接）</w:t>
      </w:r>
      <w:r>
        <w:rPr>
          <w:color w:val="auto"/>
          <w:szCs w:val="21"/>
          <w:highlight w:val="none"/>
          <w:lang w:bidi="ar"/>
        </w:rPr>
        <w:t>为</w:t>
      </w:r>
      <w:r>
        <w:rPr>
          <w:i/>
          <w:color w:val="auto"/>
          <w:szCs w:val="21"/>
          <w:highlight w:val="none"/>
          <w:u w:val="single"/>
          <w:lang w:bidi="ar"/>
        </w:rPr>
        <w:t>（企业名称）</w:t>
      </w:r>
      <w:r>
        <w:rPr>
          <w:color w:val="auto"/>
          <w:szCs w:val="21"/>
          <w:highlight w:val="none"/>
          <w:lang w:bidi="ar"/>
        </w:rPr>
        <w:t>，从业人员</w:t>
      </w:r>
      <w:r>
        <w:rPr>
          <w:rFonts w:hint="eastAsia"/>
          <w:color w:val="auto"/>
          <w:szCs w:val="21"/>
          <w:highlight w:val="none"/>
          <w:u w:val="single"/>
          <w:lang w:bidi="ar"/>
        </w:rPr>
        <w:t xml:space="preserve">  </w:t>
      </w:r>
      <w:r>
        <w:rPr>
          <w:color w:val="auto"/>
          <w:szCs w:val="21"/>
          <w:highlight w:val="none"/>
          <w:lang w:bidi="ar"/>
        </w:rPr>
        <w:t>人，营业收入为</w:t>
      </w:r>
      <w:r>
        <w:rPr>
          <w:rFonts w:hint="eastAsia"/>
          <w:color w:val="auto"/>
          <w:szCs w:val="21"/>
          <w:highlight w:val="none"/>
          <w:u w:val="single"/>
          <w:lang w:bidi="ar"/>
        </w:rPr>
        <w:t xml:space="preserve">  </w:t>
      </w:r>
      <w:r>
        <w:rPr>
          <w:color w:val="auto"/>
          <w:szCs w:val="21"/>
          <w:highlight w:val="none"/>
          <w:lang w:bidi="ar"/>
        </w:rPr>
        <w:t>万元，资产总额为</w:t>
      </w:r>
      <w:r>
        <w:rPr>
          <w:rFonts w:hint="eastAsia"/>
          <w:color w:val="auto"/>
          <w:szCs w:val="21"/>
          <w:highlight w:val="none"/>
          <w:u w:val="single"/>
          <w:lang w:bidi="ar"/>
        </w:rPr>
        <w:t xml:space="preserve">    </w:t>
      </w:r>
      <w:r>
        <w:rPr>
          <w:color w:val="auto"/>
          <w:szCs w:val="21"/>
          <w:highlight w:val="none"/>
          <w:lang w:bidi="ar"/>
        </w:rPr>
        <w:t>万元</w:t>
      </w:r>
      <w:r>
        <w:rPr>
          <w:color w:val="auto"/>
          <w:szCs w:val="21"/>
          <w:highlight w:val="none"/>
          <w:vertAlign w:val="superscript"/>
          <w:lang w:bidi="ar"/>
        </w:rPr>
        <w:t>1</w:t>
      </w:r>
      <w:r>
        <w:rPr>
          <w:color w:val="auto"/>
          <w:szCs w:val="21"/>
          <w:highlight w:val="none"/>
          <w:lang w:bidi="ar"/>
        </w:rPr>
        <w:t>，属于</w:t>
      </w:r>
      <w:r>
        <w:rPr>
          <w:i/>
          <w:color w:val="auto"/>
          <w:szCs w:val="21"/>
          <w:highlight w:val="none"/>
          <w:u w:val="single"/>
          <w:lang w:bidi="ar"/>
        </w:rPr>
        <w:t>（中型企业、小型企业、微型企业）</w:t>
      </w:r>
      <w:r>
        <w:rPr>
          <w:color w:val="auto"/>
          <w:szCs w:val="21"/>
          <w:highlight w:val="none"/>
          <w:lang w:bidi="ar"/>
        </w:rPr>
        <w:t xml:space="preserve">； </w:t>
      </w:r>
    </w:p>
    <w:p>
      <w:pPr>
        <w:widowControl/>
        <w:spacing w:line="360" w:lineRule="auto"/>
        <w:jc w:val="left"/>
        <w:rPr>
          <w:color w:val="auto"/>
          <w:szCs w:val="21"/>
          <w:highlight w:val="none"/>
        </w:rPr>
      </w:pPr>
      <w:r>
        <w:rPr>
          <w:color w:val="auto"/>
          <w:szCs w:val="21"/>
          <w:highlight w:val="none"/>
          <w:lang w:bidi="ar"/>
        </w:rPr>
        <w:t>2.</w:t>
      </w:r>
      <w:r>
        <w:rPr>
          <w:color w:val="auto"/>
          <w:szCs w:val="21"/>
          <w:highlight w:val="none"/>
          <w:u w:val="single"/>
          <w:lang w:bidi="ar"/>
        </w:rPr>
        <w:t xml:space="preserve"> </w:t>
      </w:r>
      <w:r>
        <w:rPr>
          <w:i/>
          <w:color w:val="auto"/>
          <w:szCs w:val="21"/>
          <w:highlight w:val="none"/>
          <w:u w:val="single"/>
          <w:lang w:bidi="ar"/>
        </w:rPr>
        <w:t xml:space="preserve">（标的名称） </w:t>
      </w:r>
      <w:r>
        <w:rPr>
          <w:color w:val="auto"/>
          <w:szCs w:val="21"/>
          <w:highlight w:val="none"/>
          <w:lang w:bidi="ar"/>
        </w:rPr>
        <w:t>，属于</w:t>
      </w:r>
      <w:r>
        <w:rPr>
          <w:i/>
          <w:color w:val="auto"/>
          <w:szCs w:val="21"/>
          <w:highlight w:val="none"/>
          <w:u w:val="single"/>
          <w:lang w:bidi="ar"/>
        </w:rPr>
        <w:t>（采购文件中明确的所属行业）</w:t>
      </w:r>
      <w:r>
        <w:rPr>
          <w:i/>
          <w:color w:val="auto"/>
          <w:szCs w:val="21"/>
          <w:highlight w:val="none"/>
          <w:lang w:bidi="ar"/>
        </w:rPr>
        <w:t>行业</w:t>
      </w:r>
      <w:r>
        <w:rPr>
          <w:color w:val="auto"/>
          <w:szCs w:val="21"/>
          <w:highlight w:val="none"/>
          <w:lang w:bidi="ar"/>
        </w:rPr>
        <w:t>；</w:t>
      </w:r>
      <w:r>
        <w:rPr>
          <w:rFonts w:hint="eastAsia" w:ascii="宋体" w:hAnsi="宋体" w:cs="宋体"/>
          <w:color w:val="auto"/>
          <w:w w:val="99"/>
          <w:szCs w:val="21"/>
          <w:highlight w:val="none"/>
        </w:rPr>
        <w:t>承建（承接）</w:t>
      </w:r>
      <w:r>
        <w:rPr>
          <w:color w:val="auto"/>
          <w:szCs w:val="21"/>
          <w:highlight w:val="none"/>
          <w:lang w:bidi="ar"/>
        </w:rPr>
        <w:t>为</w:t>
      </w:r>
      <w:r>
        <w:rPr>
          <w:i/>
          <w:color w:val="auto"/>
          <w:szCs w:val="21"/>
          <w:highlight w:val="none"/>
          <w:u w:val="single"/>
          <w:lang w:bidi="ar"/>
        </w:rPr>
        <w:t>（企业名称）</w:t>
      </w:r>
      <w:r>
        <w:rPr>
          <w:color w:val="auto"/>
          <w:szCs w:val="21"/>
          <w:highlight w:val="none"/>
          <w:lang w:bidi="ar"/>
        </w:rPr>
        <w:t>，从业人员</w:t>
      </w:r>
      <w:r>
        <w:rPr>
          <w:rFonts w:hint="eastAsia"/>
          <w:color w:val="auto"/>
          <w:szCs w:val="21"/>
          <w:highlight w:val="none"/>
          <w:u w:val="single"/>
          <w:lang w:bidi="ar"/>
        </w:rPr>
        <w:t xml:space="preserve">  </w:t>
      </w:r>
      <w:r>
        <w:rPr>
          <w:color w:val="auto"/>
          <w:szCs w:val="21"/>
          <w:highlight w:val="none"/>
          <w:lang w:bidi="ar"/>
        </w:rPr>
        <w:t>人，营业收入为</w:t>
      </w:r>
      <w:r>
        <w:rPr>
          <w:rFonts w:hint="eastAsia"/>
          <w:color w:val="auto"/>
          <w:szCs w:val="21"/>
          <w:highlight w:val="none"/>
          <w:u w:val="single"/>
          <w:lang w:bidi="ar"/>
        </w:rPr>
        <w:t xml:space="preserve">   </w:t>
      </w:r>
      <w:r>
        <w:rPr>
          <w:color w:val="auto"/>
          <w:szCs w:val="21"/>
          <w:highlight w:val="none"/>
          <w:lang w:bidi="ar"/>
        </w:rPr>
        <w:t>万元，资产总额为</w:t>
      </w:r>
      <w:r>
        <w:rPr>
          <w:rFonts w:hint="eastAsia"/>
          <w:color w:val="auto"/>
          <w:szCs w:val="21"/>
          <w:highlight w:val="none"/>
          <w:u w:val="single"/>
          <w:lang w:bidi="ar"/>
        </w:rPr>
        <w:t xml:space="preserve">   </w:t>
      </w:r>
      <w:r>
        <w:rPr>
          <w:color w:val="auto"/>
          <w:szCs w:val="21"/>
          <w:highlight w:val="none"/>
          <w:lang w:bidi="ar"/>
        </w:rPr>
        <w:t>万元，属于</w:t>
      </w:r>
      <w:r>
        <w:rPr>
          <w:i/>
          <w:color w:val="auto"/>
          <w:szCs w:val="21"/>
          <w:highlight w:val="none"/>
          <w:u w:val="single"/>
          <w:lang w:bidi="ar"/>
        </w:rPr>
        <w:t>（中型企业、小型企业、微型企业）</w:t>
      </w:r>
      <w:r>
        <w:rPr>
          <w:color w:val="auto"/>
          <w:szCs w:val="21"/>
          <w:highlight w:val="none"/>
          <w:lang w:bidi="ar"/>
        </w:rPr>
        <w:t xml:space="preserve">； </w:t>
      </w:r>
    </w:p>
    <w:p>
      <w:pPr>
        <w:widowControl/>
        <w:spacing w:line="360" w:lineRule="auto"/>
        <w:jc w:val="left"/>
        <w:rPr>
          <w:color w:val="auto"/>
          <w:szCs w:val="21"/>
          <w:highlight w:val="none"/>
        </w:rPr>
      </w:pPr>
      <w:r>
        <w:rPr>
          <w:color w:val="auto"/>
          <w:szCs w:val="21"/>
          <w:highlight w:val="none"/>
          <w:lang w:bidi="ar"/>
        </w:rPr>
        <w:t>……</w:t>
      </w:r>
    </w:p>
    <w:p>
      <w:pPr>
        <w:widowControl/>
        <w:spacing w:line="360" w:lineRule="auto"/>
        <w:ind w:firstLine="420" w:firstLineChars="200"/>
        <w:jc w:val="left"/>
        <w:rPr>
          <w:color w:val="auto"/>
          <w:szCs w:val="21"/>
          <w:highlight w:val="none"/>
        </w:rPr>
      </w:pPr>
      <w:r>
        <w:rPr>
          <w:color w:val="auto"/>
          <w:szCs w:val="21"/>
          <w:highlight w:val="none"/>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color w:val="auto"/>
          <w:szCs w:val="21"/>
          <w:highlight w:val="none"/>
        </w:rPr>
      </w:pPr>
      <w:r>
        <w:rPr>
          <w:color w:val="auto"/>
          <w:szCs w:val="21"/>
          <w:highlight w:val="none"/>
          <w:lang w:bidi="ar"/>
        </w:rPr>
        <w:t xml:space="preserve">本企业对上述声明内容的真实性负责。如有虚假，将依法承担相应责任。 </w:t>
      </w:r>
    </w:p>
    <w:p>
      <w:pPr>
        <w:widowControl/>
        <w:spacing w:line="360" w:lineRule="auto"/>
        <w:ind w:firstLine="420" w:firstLineChars="200"/>
        <w:jc w:val="left"/>
        <w:rPr>
          <w:color w:val="auto"/>
          <w:szCs w:val="21"/>
          <w:highlight w:val="none"/>
          <w:lang w:bidi="ar"/>
        </w:rPr>
      </w:pPr>
    </w:p>
    <w:p>
      <w:pPr>
        <w:widowControl/>
        <w:spacing w:line="360" w:lineRule="auto"/>
        <w:ind w:firstLine="420" w:firstLineChars="200"/>
        <w:jc w:val="left"/>
        <w:rPr>
          <w:color w:val="auto"/>
          <w:szCs w:val="21"/>
          <w:highlight w:val="none"/>
        </w:rPr>
      </w:pPr>
      <w:r>
        <w:rPr>
          <w:color w:val="auto"/>
          <w:szCs w:val="21"/>
          <w:highlight w:val="none"/>
          <w:lang w:bidi="ar"/>
        </w:rPr>
        <w:t xml:space="preserve">企业名称（盖章）： </w:t>
      </w:r>
    </w:p>
    <w:p>
      <w:pPr>
        <w:widowControl/>
        <w:spacing w:line="360" w:lineRule="auto"/>
        <w:ind w:firstLine="420" w:firstLineChars="200"/>
        <w:jc w:val="left"/>
        <w:rPr>
          <w:color w:val="auto"/>
          <w:szCs w:val="21"/>
          <w:highlight w:val="none"/>
          <w:lang w:bidi="ar"/>
        </w:rPr>
      </w:pPr>
      <w:r>
        <w:rPr>
          <w:color w:val="auto"/>
          <w:szCs w:val="21"/>
          <w:highlight w:val="none"/>
          <w:lang w:bidi="ar"/>
        </w:rPr>
        <w:t>日期：</w:t>
      </w:r>
    </w:p>
    <w:p>
      <w:pPr>
        <w:widowControl/>
        <w:jc w:val="left"/>
        <w:rPr>
          <w:color w:val="auto"/>
          <w:highlight w:val="none"/>
        </w:rPr>
      </w:pPr>
      <w:r>
        <w:rPr>
          <w:rFonts w:hint="eastAsia" w:ascii="仿宋" w:hAnsi="仿宋" w:eastAsia="仿宋" w:cs="仿宋"/>
          <w:color w:val="auto"/>
          <w:sz w:val="31"/>
          <w:szCs w:val="31"/>
          <w:highlight w:val="none"/>
          <w:lang w:bidi="ar"/>
        </w:rPr>
        <w:t xml:space="preserve"> </w:t>
      </w:r>
    </w:p>
    <w:p>
      <w:pPr>
        <w:widowControl/>
        <w:jc w:val="left"/>
        <w:rPr>
          <w:color w:val="auto"/>
          <w:highlight w:val="none"/>
        </w:rPr>
      </w:pPr>
      <w:r>
        <w:rPr>
          <w:color w:val="auto"/>
          <w:sz w:val="11"/>
          <w:szCs w:val="11"/>
          <w:highlight w:val="none"/>
          <w:lang w:bidi="ar"/>
        </w:rPr>
        <w:t>1</w:t>
      </w:r>
      <w:r>
        <w:rPr>
          <w:rFonts w:hint="eastAsia" w:ascii="宋体" w:hAnsi="宋体" w:cs="宋体"/>
          <w:color w:val="auto"/>
          <w:sz w:val="18"/>
          <w:szCs w:val="18"/>
          <w:highlight w:val="none"/>
          <w:lang w:bidi="ar"/>
        </w:rPr>
        <w:t>从业人员、营业收入、资产总额填报上一年度数据，无上一年度数据的新成立企业可不填报。</w:t>
      </w:r>
    </w:p>
    <w:p>
      <w:pPr>
        <w:pStyle w:val="75"/>
        <w:spacing w:before="0" w:beforeAutospacing="0" w:after="0" w:afterAutospacing="0" w:line="360" w:lineRule="auto"/>
        <w:ind w:firstLine="420" w:firstLineChars="200"/>
        <w:jc w:val="both"/>
        <w:rPr>
          <w:color w:val="auto"/>
          <w:sz w:val="21"/>
          <w:szCs w:val="21"/>
          <w:highlight w:val="none"/>
        </w:rPr>
      </w:pPr>
    </w:p>
    <w:p>
      <w:pPr>
        <w:pStyle w:val="75"/>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pStyle w:val="75"/>
        <w:spacing w:before="0" w:beforeAutospacing="0" w:after="0" w:afterAutospacing="0" w:line="360" w:lineRule="auto"/>
        <w:ind w:firstLine="420" w:firstLineChars="200"/>
        <w:jc w:val="both"/>
        <w:rPr>
          <w:rFonts w:ascii="Times New Roman" w:hAnsi="Times New Roman"/>
          <w:color w:val="auto"/>
          <w:sz w:val="21"/>
          <w:szCs w:val="21"/>
          <w:highlight w:val="none"/>
        </w:rPr>
      </w:pPr>
      <w:r>
        <w:rPr>
          <w:rFonts w:hint="eastAsia"/>
          <w:color w:val="auto"/>
          <w:sz w:val="21"/>
          <w:szCs w:val="21"/>
          <w:highlight w:val="none"/>
        </w:rPr>
        <w:t>中小企业对其声明内容的真实性负责，声明函内容不实的，属于提供虚假材料谋取中标、成交，依照《中华人民共和国政府采购法》等国家有关规定追究相应责任。</w:t>
      </w:r>
    </w:p>
    <w:p>
      <w:pPr>
        <w:snapToGrid w:val="0"/>
        <w:spacing w:line="300" w:lineRule="auto"/>
        <w:jc w:val="center"/>
        <w:rPr>
          <w:color w:val="auto"/>
          <w:highlight w:val="none"/>
        </w:rPr>
      </w:pPr>
      <w:r>
        <w:rPr>
          <w:color w:val="auto"/>
          <w:highlight w:val="none"/>
        </w:rPr>
        <w:br w:type="page"/>
      </w:r>
      <w:r>
        <w:rPr>
          <w:rFonts w:hint="eastAsia"/>
          <w:color w:val="auto"/>
          <w:highlight w:val="none"/>
        </w:rPr>
        <w:t xml:space="preserve"> </w:t>
      </w:r>
    </w:p>
    <w:p>
      <w:pPr>
        <w:pStyle w:val="4"/>
        <w:rPr>
          <w:color w:val="auto"/>
          <w:highlight w:val="none"/>
        </w:rPr>
      </w:pPr>
    </w:p>
    <w:p>
      <w:pPr>
        <w:pStyle w:val="4"/>
        <w:rPr>
          <w:color w:val="auto"/>
          <w:highlight w:val="none"/>
        </w:rPr>
      </w:pPr>
      <w:r>
        <w:rPr>
          <w:rFonts w:hint="eastAsia"/>
          <w:color w:val="auto"/>
          <w:highlight w:val="none"/>
        </w:rPr>
        <w:drawing>
          <wp:inline distT="0" distB="0" distL="0" distR="0">
            <wp:extent cx="5826760" cy="3538220"/>
            <wp:effectExtent l="0" t="0" r="0" b="0"/>
            <wp:docPr id="1" name="图片 2" descr="11"/>
            <wp:cNvGraphicFramePr/>
            <a:graphic xmlns:a="http://schemas.openxmlformats.org/drawingml/2006/main">
              <a:graphicData uri="http://schemas.openxmlformats.org/drawingml/2006/picture">
                <pic:pic xmlns:pic="http://schemas.openxmlformats.org/drawingml/2006/picture">
                  <pic:nvPicPr>
                    <pic:cNvPr id="1" name="图片 2" descr="11"/>
                    <pic:cNvPicPr/>
                  </pic:nvPicPr>
                  <pic:blipFill>
                    <a:blip r:embed="rId6">
                      <a:extLst>
                        <a:ext uri="{28A0092B-C50C-407E-A947-70E740481C1C}">
                          <a14:useLocalDpi xmlns:a14="http://schemas.microsoft.com/office/drawing/2010/main" val="0"/>
                        </a:ext>
                      </a:extLst>
                    </a:blip>
                    <a:srcRect/>
                    <a:stretch>
                      <a:fillRect/>
                    </a:stretch>
                  </pic:blipFill>
                  <pic:spPr>
                    <a:xfrm>
                      <a:off x="0" y="0"/>
                      <a:ext cx="5826760" cy="3538220"/>
                    </a:xfrm>
                    <a:prstGeom prst="rect">
                      <a:avLst/>
                    </a:prstGeom>
                    <a:noFill/>
                    <a:ln>
                      <a:noFill/>
                    </a:ln>
                  </pic:spPr>
                </pic:pic>
              </a:graphicData>
            </a:graphic>
          </wp:inline>
        </w:drawing>
      </w:r>
    </w:p>
    <w:p>
      <w:pPr>
        <w:rPr>
          <w:color w:val="auto"/>
          <w:highlight w:val="none"/>
        </w:rPr>
      </w:pP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5</w:t>
      </w: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为监狱企业的证明文件：省级以上监狱管理局、戒毒管理局（含新疆生产建设兵团）出具（如有）</w:t>
      </w:r>
    </w:p>
    <w:p>
      <w:pPr>
        <w:spacing w:line="360" w:lineRule="auto"/>
        <w:rPr>
          <w:color w:val="auto"/>
          <w:highlight w:val="none"/>
        </w:rPr>
      </w:pPr>
    </w:p>
    <w:p>
      <w:pPr>
        <w:pStyle w:val="5"/>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6</w:t>
      </w:r>
      <w:r>
        <w:rPr>
          <w:rFonts w:ascii="Times New Roman" w:hAnsi="Times New Roman"/>
          <w:color w:val="auto"/>
          <w:highlight w:val="none"/>
        </w:rPr>
        <w:t>、残疾人福利性单位声明函（如有）</w:t>
      </w:r>
    </w:p>
    <w:p>
      <w:pPr>
        <w:snapToGrid w:val="0"/>
        <w:spacing w:line="360" w:lineRule="auto"/>
        <w:jc w:val="center"/>
        <w:rPr>
          <w:b/>
          <w:bCs/>
          <w:color w:val="auto"/>
          <w:sz w:val="32"/>
          <w:szCs w:val="32"/>
          <w:highlight w:val="none"/>
        </w:rPr>
      </w:pPr>
    </w:p>
    <w:p>
      <w:pPr>
        <w:snapToGrid w:val="0"/>
        <w:spacing w:line="360" w:lineRule="auto"/>
        <w:jc w:val="center"/>
        <w:rPr>
          <w:b/>
          <w:bCs/>
          <w:color w:val="auto"/>
          <w:sz w:val="32"/>
          <w:szCs w:val="32"/>
          <w:highlight w:val="none"/>
        </w:rPr>
      </w:pPr>
      <w:r>
        <w:rPr>
          <w:b/>
          <w:bCs/>
          <w:color w:val="auto"/>
          <w:sz w:val="32"/>
          <w:szCs w:val="32"/>
          <w:highlight w:val="none"/>
        </w:rPr>
        <w:t>残疾人福利性单位声明函</w:t>
      </w:r>
    </w:p>
    <w:p>
      <w:pPr>
        <w:snapToGrid w:val="0"/>
        <w:spacing w:line="360" w:lineRule="auto"/>
        <w:jc w:val="center"/>
        <w:rPr>
          <w:b/>
          <w:bCs/>
          <w:color w:val="auto"/>
          <w:sz w:val="32"/>
          <w:szCs w:val="32"/>
          <w:highlight w:val="none"/>
        </w:rPr>
      </w:pPr>
    </w:p>
    <w:p>
      <w:pPr>
        <w:snapToGrid w:val="0"/>
        <w:spacing w:line="360" w:lineRule="auto"/>
        <w:ind w:firstLine="444" w:firstLineChars="200"/>
        <w:rPr>
          <w:color w:val="auto"/>
          <w:spacing w:val="6"/>
          <w:szCs w:val="21"/>
          <w:highlight w:val="none"/>
        </w:rPr>
      </w:pPr>
      <w:r>
        <w:rPr>
          <w:color w:val="auto"/>
          <w:spacing w:val="6"/>
          <w:szCs w:val="21"/>
          <w:highlight w:val="none"/>
        </w:rPr>
        <w:t>本单位郑重声明，根据《财政部民政部中国残疾人联合会关于促进残疾人就业政府采购政策的通知》（财库</w:t>
      </w:r>
      <w:r>
        <w:rPr>
          <w:color w:val="auto"/>
          <w:szCs w:val="21"/>
          <w:highlight w:val="none"/>
        </w:rPr>
        <w:t>〔2017〕141</w:t>
      </w:r>
      <w:r>
        <w:rPr>
          <w:color w:val="auto"/>
          <w:spacing w:val="6"/>
          <w:szCs w:val="21"/>
          <w:highlight w:val="none"/>
        </w:rPr>
        <w:t>号）的规定，本单位为符合条件的残疾人福利性单位，且本单位参加</w:t>
      </w:r>
      <w:r>
        <w:rPr>
          <w:color w:val="auto"/>
          <w:spacing w:val="6"/>
          <w:szCs w:val="21"/>
          <w:highlight w:val="none"/>
          <w:u w:val="single"/>
        </w:rPr>
        <w:t>（采购人名称）</w:t>
      </w:r>
      <w:r>
        <w:rPr>
          <w:color w:val="auto"/>
          <w:spacing w:val="6"/>
          <w:szCs w:val="21"/>
          <w:highlight w:val="none"/>
        </w:rPr>
        <w:t>单位的</w:t>
      </w:r>
      <w:r>
        <w:rPr>
          <w:color w:val="auto"/>
          <w:spacing w:val="6"/>
          <w:szCs w:val="21"/>
          <w:highlight w:val="none"/>
          <w:u w:val="single"/>
        </w:rPr>
        <w:t>（项目名称）</w:t>
      </w:r>
      <w:r>
        <w:rPr>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color w:val="auto"/>
          <w:spacing w:val="6"/>
          <w:szCs w:val="21"/>
          <w:highlight w:val="none"/>
        </w:rPr>
      </w:pPr>
      <w:r>
        <w:rPr>
          <w:color w:val="auto"/>
          <w:spacing w:val="6"/>
          <w:szCs w:val="21"/>
          <w:highlight w:val="none"/>
        </w:rPr>
        <w:t>本单位对上述声明的真实性负责。如有虚假，将依法承担相应责任。</w:t>
      </w:r>
    </w:p>
    <w:p>
      <w:pPr>
        <w:snapToGrid w:val="0"/>
        <w:spacing w:line="360" w:lineRule="auto"/>
        <w:ind w:firstLine="444" w:firstLineChars="200"/>
        <w:rPr>
          <w:color w:val="auto"/>
          <w:spacing w:val="6"/>
          <w:szCs w:val="21"/>
          <w:highlight w:val="none"/>
        </w:rPr>
      </w:pPr>
    </w:p>
    <w:p>
      <w:pPr>
        <w:snapToGrid w:val="0"/>
        <w:spacing w:line="360" w:lineRule="auto"/>
        <w:ind w:firstLine="444" w:firstLineChars="200"/>
        <w:rPr>
          <w:color w:val="auto"/>
          <w:spacing w:val="6"/>
          <w:szCs w:val="21"/>
          <w:highlight w:val="none"/>
        </w:rPr>
      </w:pPr>
    </w:p>
    <w:p>
      <w:pPr>
        <w:adjustRightInd w:val="0"/>
        <w:snapToGrid w:val="0"/>
        <w:spacing w:line="360" w:lineRule="auto"/>
        <w:ind w:firstLine="420" w:firstLineChars="200"/>
        <w:rPr>
          <w:color w:val="auto"/>
          <w:kern w:val="0"/>
          <w:szCs w:val="21"/>
          <w:highlight w:val="none"/>
          <w:u w:val="single"/>
        </w:rPr>
      </w:pPr>
      <w:r>
        <w:rPr>
          <w:rFonts w:hint="eastAsia"/>
          <w:color w:val="auto"/>
          <w:kern w:val="0"/>
          <w:szCs w:val="21"/>
          <w:highlight w:val="none"/>
        </w:rPr>
        <w:t>供应商</w:t>
      </w:r>
      <w:r>
        <w:rPr>
          <w:color w:val="auto"/>
          <w:kern w:val="0"/>
          <w:szCs w:val="21"/>
          <w:highlight w:val="none"/>
        </w:rPr>
        <w:t>名称（盖章）：</w:t>
      </w:r>
    </w:p>
    <w:p>
      <w:pPr>
        <w:adjustRightInd w:val="0"/>
        <w:snapToGrid w:val="0"/>
        <w:spacing w:line="360" w:lineRule="auto"/>
        <w:ind w:firstLine="420" w:firstLineChars="200"/>
        <w:rPr>
          <w:color w:val="auto"/>
          <w:kern w:val="0"/>
          <w:szCs w:val="21"/>
          <w:highlight w:val="none"/>
        </w:rPr>
      </w:pPr>
      <w:r>
        <w:rPr>
          <w:color w:val="auto"/>
          <w:kern w:val="0"/>
          <w:szCs w:val="21"/>
          <w:highlight w:val="none"/>
        </w:rPr>
        <w:t>日期：  年  月  日</w:t>
      </w:r>
    </w:p>
    <w:p>
      <w:pPr>
        <w:rPr>
          <w:color w:val="auto"/>
          <w:highlight w:val="none"/>
        </w:rPr>
      </w:pPr>
    </w:p>
    <w:p>
      <w:pPr>
        <w:pStyle w:val="176"/>
        <w:snapToGrid w:val="0"/>
        <w:spacing w:line="360" w:lineRule="auto"/>
        <w:ind w:firstLine="420"/>
        <w:rPr>
          <w:rFonts w:ascii="Times New Roman" w:hAnsi="Times New Roman"/>
          <w:color w:val="auto"/>
          <w:highlight w:val="none"/>
        </w:rPr>
      </w:pPr>
    </w:p>
    <w:p>
      <w:pPr>
        <w:pStyle w:val="176"/>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7、分包意向协议（如有分包）</w:t>
      </w:r>
    </w:p>
    <w:p>
      <w:pPr>
        <w:rPr>
          <w:color w:val="auto"/>
          <w:highlight w:val="none"/>
        </w:rPr>
      </w:pPr>
    </w:p>
    <w:p>
      <w:pPr>
        <w:spacing w:line="360" w:lineRule="auto"/>
        <w:jc w:val="center"/>
        <w:rPr>
          <w:b/>
          <w:color w:val="auto"/>
          <w:sz w:val="32"/>
          <w:szCs w:val="32"/>
          <w:highlight w:val="none"/>
        </w:rPr>
      </w:pPr>
      <w:r>
        <w:rPr>
          <w:rFonts w:hAnsi="宋体"/>
          <w:b/>
          <w:color w:val="auto"/>
          <w:sz w:val="32"/>
          <w:szCs w:val="32"/>
          <w:highlight w:val="none"/>
        </w:rPr>
        <w:t>分包意向协议</w:t>
      </w:r>
    </w:p>
    <w:p>
      <w:pPr>
        <w:widowControl/>
        <w:spacing w:line="360" w:lineRule="auto"/>
        <w:ind w:firstLine="420" w:firstLineChars="200"/>
        <w:jc w:val="left"/>
        <w:rPr>
          <w:color w:val="auto"/>
          <w:szCs w:val="21"/>
          <w:highlight w:val="none"/>
        </w:rPr>
      </w:pPr>
    </w:p>
    <w:p>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若成为</w:t>
      </w:r>
      <w:r>
        <w:rPr>
          <w:color w:val="auto"/>
          <w:szCs w:val="21"/>
          <w:highlight w:val="none"/>
        </w:rPr>
        <w:t>（项目名称）（采购编号：    ）</w:t>
      </w:r>
      <w:r>
        <w:rPr>
          <w:color w:val="auto"/>
          <w:kern w:val="0"/>
          <w:szCs w:val="21"/>
          <w:highlight w:val="none"/>
          <w:lang w:val="zh-CN"/>
        </w:rPr>
        <w:t>的中标供应商，将依法采取分包方式履行合同。</w:t>
      </w:r>
      <w:r>
        <w:rPr>
          <w:color w:val="auto"/>
          <w:kern w:val="0"/>
          <w:szCs w:val="21"/>
          <w:highlight w:val="none"/>
          <w:u w:val="single"/>
        </w:rPr>
        <w:t>（供应商名称）</w:t>
      </w:r>
      <w:r>
        <w:rPr>
          <w:color w:val="auto"/>
          <w:kern w:val="0"/>
          <w:szCs w:val="21"/>
          <w:highlight w:val="none"/>
        </w:rPr>
        <w:t>与</w:t>
      </w:r>
      <w:r>
        <w:rPr>
          <w:color w:val="auto"/>
          <w:kern w:val="0"/>
          <w:szCs w:val="21"/>
          <w:highlight w:val="none"/>
          <w:u w:val="single"/>
        </w:rPr>
        <w:t>（所有分包供应商名称）</w:t>
      </w:r>
      <w:r>
        <w:rPr>
          <w:color w:val="auto"/>
          <w:kern w:val="0"/>
          <w:szCs w:val="21"/>
          <w:highlight w:val="none"/>
        </w:rPr>
        <w:t>达成分包意向协议</w:t>
      </w:r>
      <w:r>
        <w:rPr>
          <w:color w:val="auto"/>
          <w:kern w:val="0"/>
          <w:szCs w:val="21"/>
          <w:highlight w:val="none"/>
          <w:lang w:val="zh-CN"/>
        </w:rPr>
        <w:t xml:space="preserve">。 </w:t>
      </w:r>
    </w:p>
    <w:p>
      <w:pPr>
        <w:adjustRightInd w:val="0"/>
        <w:snapToGrid w:val="0"/>
        <w:spacing w:line="360" w:lineRule="auto"/>
        <w:ind w:firstLine="576"/>
        <w:rPr>
          <w:color w:val="auto"/>
          <w:kern w:val="0"/>
          <w:szCs w:val="21"/>
          <w:highlight w:val="none"/>
          <w:lang w:val="zh-CN"/>
        </w:rPr>
      </w:pPr>
      <w:r>
        <w:rPr>
          <w:color w:val="auto"/>
          <w:kern w:val="0"/>
          <w:szCs w:val="21"/>
          <w:highlight w:val="none"/>
          <w:lang w:val="zh-CN"/>
        </w:rPr>
        <w:t>一、分包标的及数量</w:t>
      </w:r>
    </w:p>
    <w:p>
      <w:pPr>
        <w:adjustRightInd w:val="0"/>
        <w:snapToGrid w:val="0"/>
        <w:spacing w:line="360" w:lineRule="auto"/>
        <w:ind w:firstLine="576"/>
        <w:rPr>
          <w:color w:val="auto"/>
          <w:kern w:val="0"/>
          <w:szCs w:val="21"/>
          <w:highlight w:val="none"/>
          <w:lang w:val="zh-CN"/>
        </w:rPr>
      </w:pPr>
      <w:r>
        <w:rPr>
          <w:color w:val="auto"/>
          <w:kern w:val="0"/>
          <w:szCs w:val="21"/>
          <w:highlight w:val="none"/>
          <w:u w:val="single"/>
        </w:rPr>
        <w:t>（供应商名称）</w:t>
      </w:r>
      <w:r>
        <w:rPr>
          <w:color w:val="auto"/>
          <w:kern w:val="0"/>
          <w:szCs w:val="21"/>
          <w:highlight w:val="none"/>
          <w:lang w:val="zh-CN"/>
        </w:rPr>
        <w:t>将</w:t>
      </w:r>
      <w:r>
        <w:rPr>
          <w:color w:val="auto"/>
          <w:szCs w:val="21"/>
          <w:highlight w:val="none"/>
          <w:u w:val="single"/>
        </w:rPr>
        <w:t xml:space="preserve">   XX工作内容   </w:t>
      </w:r>
      <w:r>
        <w:rPr>
          <w:color w:val="auto"/>
          <w:szCs w:val="21"/>
          <w:highlight w:val="none"/>
        </w:rPr>
        <w:t>分包给</w:t>
      </w:r>
      <w:r>
        <w:rPr>
          <w:color w:val="auto"/>
          <w:kern w:val="0"/>
          <w:szCs w:val="21"/>
          <w:highlight w:val="none"/>
          <w:u w:val="single"/>
        </w:rPr>
        <w:t>（某分包供应商名称）</w:t>
      </w:r>
      <w:r>
        <w:rPr>
          <w:color w:val="auto"/>
          <w:kern w:val="0"/>
          <w:szCs w:val="21"/>
          <w:highlight w:val="none"/>
          <w:lang w:val="zh-CN"/>
        </w:rPr>
        <w:t>，</w:t>
      </w:r>
      <w:r>
        <w:rPr>
          <w:color w:val="auto"/>
          <w:kern w:val="0"/>
          <w:szCs w:val="21"/>
          <w:highlight w:val="none"/>
          <w:u w:val="single"/>
        </w:rPr>
        <w:t>（某分包供应商名称），</w:t>
      </w:r>
      <w:r>
        <w:rPr>
          <w:color w:val="auto"/>
          <w:kern w:val="0"/>
          <w:szCs w:val="21"/>
          <w:highlight w:val="none"/>
          <w:lang w:val="zh-CN"/>
        </w:rPr>
        <w:t>具备承</w:t>
      </w:r>
      <w:r>
        <w:rPr>
          <w:color w:val="auto"/>
          <w:kern w:val="0"/>
          <w:szCs w:val="21"/>
          <w:highlight w:val="none"/>
        </w:rPr>
        <w:t>担</w:t>
      </w:r>
      <w:r>
        <w:rPr>
          <w:color w:val="auto"/>
          <w:kern w:val="0"/>
          <w:szCs w:val="21"/>
          <w:highlight w:val="none"/>
          <w:u w:val="single"/>
          <w:lang w:val="zh-CN"/>
        </w:rPr>
        <w:t>XX工作内容</w:t>
      </w:r>
      <w:r>
        <w:rPr>
          <w:color w:val="auto"/>
          <w:kern w:val="0"/>
          <w:szCs w:val="21"/>
          <w:highlight w:val="none"/>
          <w:lang w:val="zh-CN"/>
        </w:rPr>
        <w:t>相应资质条件且不得再次分包；</w:t>
      </w:r>
    </w:p>
    <w:p>
      <w:pPr>
        <w:ind w:firstLine="630" w:firstLineChars="300"/>
        <w:rPr>
          <w:color w:val="auto"/>
          <w:szCs w:val="21"/>
          <w:highlight w:val="none"/>
        </w:rPr>
      </w:pPr>
      <w:r>
        <w:rPr>
          <w:color w:val="auto"/>
          <w:szCs w:val="21"/>
          <w:highlight w:val="none"/>
        </w:rPr>
        <w:t>……</w:t>
      </w:r>
    </w:p>
    <w:p>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二、分包工作履行期限、地点、方式</w:t>
      </w:r>
    </w:p>
    <w:p>
      <w:pPr>
        <w:adjustRightInd w:val="0"/>
        <w:snapToGrid w:val="0"/>
        <w:spacing w:line="440" w:lineRule="exact"/>
        <w:ind w:firstLine="576"/>
        <w:rPr>
          <w:color w:val="auto"/>
          <w:szCs w:val="21"/>
          <w:highlight w:val="none"/>
          <w:u w:val="single"/>
        </w:rPr>
      </w:pPr>
      <w:r>
        <w:rPr>
          <w:color w:val="auto"/>
          <w:szCs w:val="21"/>
          <w:highlight w:val="none"/>
          <w:u w:val="single"/>
        </w:rPr>
        <w:t xml:space="preserve">                                                                                  </w:t>
      </w:r>
    </w:p>
    <w:p>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三、质量</w:t>
      </w:r>
    </w:p>
    <w:p>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四、价款或者报酬</w:t>
      </w:r>
    </w:p>
    <w:p>
      <w:pPr>
        <w:adjustRightInd w:val="0"/>
        <w:snapToGrid w:val="0"/>
        <w:spacing w:line="440" w:lineRule="exact"/>
        <w:ind w:left="573" w:leftChars="273"/>
        <w:rPr>
          <w:color w:val="auto"/>
          <w:kern w:val="0"/>
          <w:szCs w:val="21"/>
          <w:highlight w:val="none"/>
          <w:lang w:val="zh-CN"/>
        </w:rPr>
      </w:pPr>
      <w:r>
        <w:rPr>
          <w:color w:val="auto"/>
          <w:szCs w:val="21"/>
          <w:highlight w:val="none"/>
          <w:u w:val="single"/>
        </w:rPr>
        <w:t xml:space="preserve">                                                                                     </w:t>
      </w:r>
    </w:p>
    <w:p>
      <w:pPr>
        <w:adjustRightInd w:val="0"/>
        <w:snapToGrid w:val="0"/>
        <w:spacing w:line="440" w:lineRule="exact"/>
        <w:ind w:left="573" w:leftChars="273"/>
        <w:rPr>
          <w:color w:val="auto"/>
          <w:kern w:val="0"/>
          <w:szCs w:val="21"/>
          <w:highlight w:val="none"/>
          <w:lang w:val="zh-CN"/>
        </w:rPr>
      </w:pPr>
      <w:r>
        <w:rPr>
          <w:color w:val="auto"/>
          <w:kern w:val="0"/>
          <w:szCs w:val="21"/>
          <w:highlight w:val="none"/>
          <w:lang w:val="zh-CN"/>
        </w:rPr>
        <w:t>五、违约责任</w:t>
      </w:r>
    </w:p>
    <w:p>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六、争议解决的办法</w:t>
      </w:r>
    </w:p>
    <w:p>
      <w:pPr>
        <w:adjustRightInd w:val="0"/>
        <w:snapToGrid w:val="0"/>
        <w:spacing w:line="440" w:lineRule="exact"/>
        <w:ind w:firstLine="576"/>
        <w:rPr>
          <w:color w:val="auto"/>
          <w:kern w:val="0"/>
          <w:szCs w:val="21"/>
          <w:highlight w:val="none"/>
          <w:lang w:val="zh-CN"/>
        </w:rPr>
      </w:pPr>
      <w:r>
        <w:rPr>
          <w:color w:val="auto"/>
          <w:szCs w:val="21"/>
          <w:highlight w:val="none"/>
          <w:u w:val="single"/>
        </w:rPr>
        <w:t xml:space="preserve">                                                                                  </w:t>
      </w:r>
    </w:p>
    <w:p>
      <w:pPr>
        <w:adjustRightInd w:val="0"/>
        <w:snapToGrid w:val="0"/>
        <w:spacing w:line="440" w:lineRule="exact"/>
        <w:ind w:firstLine="576"/>
        <w:rPr>
          <w:color w:val="auto"/>
          <w:kern w:val="0"/>
          <w:szCs w:val="21"/>
          <w:highlight w:val="none"/>
          <w:lang w:val="zh-CN"/>
        </w:rPr>
      </w:pPr>
      <w:r>
        <w:rPr>
          <w:color w:val="auto"/>
          <w:kern w:val="0"/>
          <w:szCs w:val="21"/>
          <w:highlight w:val="none"/>
          <w:lang w:val="zh-CN"/>
        </w:rPr>
        <w:t>七、其他</w:t>
      </w:r>
    </w:p>
    <w:p>
      <w:pPr>
        <w:adjustRightInd w:val="0"/>
        <w:snapToGrid w:val="0"/>
        <w:spacing w:line="440" w:lineRule="exact"/>
        <w:ind w:left="5128" w:leftChars="342" w:hanging="4410" w:hangingChars="2100"/>
        <w:jc w:val="left"/>
        <w:rPr>
          <w:color w:val="auto"/>
          <w:kern w:val="0"/>
          <w:szCs w:val="21"/>
          <w:highlight w:val="none"/>
          <w:lang w:val="zh-CN"/>
        </w:rPr>
      </w:pPr>
      <w:r>
        <w:rPr>
          <w:color w:val="auto"/>
          <w:szCs w:val="21"/>
          <w:highlight w:val="none"/>
        </w:rPr>
        <w:t>中小企业合同金额达到</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pPr>
        <w:adjustRightInd w:val="0"/>
        <w:snapToGrid w:val="0"/>
        <w:spacing w:line="440" w:lineRule="exact"/>
        <w:ind w:left="5128" w:leftChars="342" w:hanging="4410" w:hangingChars="2100"/>
        <w:jc w:val="left"/>
        <w:rPr>
          <w:color w:val="auto"/>
          <w:kern w:val="0"/>
          <w:szCs w:val="21"/>
          <w:highlight w:val="none"/>
          <w:lang w:val="zh-CN"/>
        </w:rPr>
      </w:pPr>
    </w:p>
    <w:p>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供应商名称</w:t>
      </w:r>
      <w:r>
        <w:rPr>
          <w:color w:val="auto"/>
          <w:szCs w:val="21"/>
          <w:highlight w:val="none"/>
        </w:rPr>
        <w:t>（盖单位公章或电子签章）</w:t>
      </w:r>
      <w:r>
        <w:rPr>
          <w:color w:val="auto"/>
          <w:kern w:val="0"/>
          <w:szCs w:val="21"/>
          <w:highlight w:val="none"/>
          <w:lang w:val="zh-CN"/>
        </w:rPr>
        <w:t>：</w:t>
      </w:r>
    </w:p>
    <w:p>
      <w:pPr>
        <w:adjustRightInd w:val="0"/>
        <w:snapToGrid w:val="0"/>
        <w:spacing w:line="440" w:lineRule="exact"/>
        <w:ind w:left="5128" w:leftChars="342" w:hanging="4410" w:hangingChars="2100"/>
        <w:jc w:val="left"/>
        <w:rPr>
          <w:color w:val="auto"/>
          <w:kern w:val="0"/>
          <w:szCs w:val="21"/>
          <w:highlight w:val="none"/>
          <w:lang w:val="zh-CN"/>
        </w:rPr>
      </w:pPr>
      <w:r>
        <w:rPr>
          <w:color w:val="auto"/>
          <w:kern w:val="0"/>
          <w:szCs w:val="21"/>
          <w:highlight w:val="none"/>
          <w:lang w:val="zh-CN"/>
        </w:rPr>
        <w:t>分包供应商名称：</w:t>
      </w:r>
    </w:p>
    <w:p>
      <w:pPr>
        <w:adjustRightInd w:val="0"/>
        <w:snapToGrid w:val="0"/>
        <w:spacing w:line="440" w:lineRule="exact"/>
        <w:ind w:left="5128" w:leftChars="342" w:hanging="4410" w:hangingChars="2100"/>
        <w:jc w:val="left"/>
        <w:rPr>
          <w:color w:val="auto"/>
          <w:szCs w:val="21"/>
          <w:highlight w:val="none"/>
        </w:rPr>
      </w:pPr>
      <w:r>
        <w:rPr>
          <w:color w:val="auto"/>
          <w:kern w:val="0"/>
          <w:szCs w:val="21"/>
          <w:highlight w:val="none"/>
          <w:lang w:val="zh-CN"/>
        </w:rPr>
        <w:t>……</w:t>
      </w:r>
    </w:p>
    <w:p>
      <w:pPr>
        <w:spacing w:line="360" w:lineRule="auto"/>
        <w:ind w:firstLine="420" w:firstLineChars="200"/>
        <w:jc w:val="left"/>
        <w:rPr>
          <w:b/>
          <w:color w:val="auto"/>
          <w:szCs w:val="21"/>
          <w:highlight w:val="none"/>
        </w:rPr>
      </w:pPr>
      <w:r>
        <w:rPr>
          <w:color w:val="auto"/>
          <w:kern w:val="0"/>
          <w:szCs w:val="21"/>
          <w:highlight w:val="none"/>
          <w:lang w:val="zh-CN"/>
        </w:rPr>
        <w:t xml:space="preserve">  日期：  年  月   日</w:t>
      </w:r>
    </w:p>
    <w:p>
      <w:pPr>
        <w:ind w:firstLine="420" w:firstLineChars="200"/>
        <w:rPr>
          <w:color w:val="auto"/>
          <w:highlight w:val="none"/>
        </w:rPr>
      </w:pPr>
    </w:p>
    <w:p>
      <w:pPr>
        <w:rPr>
          <w:color w:val="auto"/>
          <w:highlight w:val="none"/>
        </w:rPr>
      </w:pPr>
      <w:r>
        <w:rPr>
          <w:color w:val="auto"/>
          <w:highlight w:val="none"/>
        </w:rPr>
        <w:br w:type="page"/>
      </w:r>
      <w:r>
        <w:rPr>
          <w:rFonts w:hint="eastAsia"/>
          <w:color w:val="auto"/>
          <w:highlight w:val="none"/>
        </w:rPr>
        <w:t xml:space="preserve">   </w:t>
      </w:r>
      <w:r>
        <w:rPr>
          <w:rFonts w:hint="eastAsia"/>
          <w:b/>
          <w:bCs/>
          <w:color w:val="auto"/>
          <w:highlight w:val="none"/>
        </w:rPr>
        <w:t xml:space="preserve"> 8</w:t>
      </w:r>
      <w:r>
        <w:rPr>
          <w:b/>
          <w:bCs/>
          <w:color w:val="auto"/>
          <w:highlight w:val="none"/>
        </w:rPr>
        <w:t>、</w:t>
      </w:r>
      <w:r>
        <w:rPr>
          <w:b/>
          <w:bCs/>
          <w:color w:val="auto"/>
          <w:highlight w:val="none"/>
        </w:rPr>
        <w:tab/>
      </w:r>
      <w:r>
        <w:rPr>
          <w:b/>
          <w:bCs/>
          <w:color w:val="auto"/>
          <w:szCs w:val="21"/>
          <w:highlight w:val="none"/>
        </w:rPr>
        <w:t>中标</w:t>
      </w:r>
      <w:r>
        <w:rPr>
          <w:b/>
          <w:color w:val="auto"/>
          <w:szCs w:val="21"/>
          <w:highlight w:val="none"/>
        </w:rPr>
        <w:t>服务费支付承诺书</w:t>
      </w:r>
    </w:p>
    <w:p>
      <w:pPr>
        <w:rPr>
          <w:color w:val="auto"/>
          <w:highlight w:val="none"/>
        </w:rPr>
      </w:pPr>
    </w:p>
    <w:p>
      <w:pPr>
        <w:rPr>
          <w:color w:val="auto"/>
          <w:highlight w:val="none"/>
        </w:rPr>
      </w:pPr>
    </w:p>
    <w:p>
      <w:pPr>
        <w:pStyle w:val="5"/>
        <w:spacing w:line="360" w:lineRule="auto"/>
        <w:ind w:firstLine="174" w:firstLineChars="83"/>
        <w:rPr>
          <w:rFonts w:ascii="Times New Roman" w:hAnsi="Times New Roman"/>
          <w:b w:val="0"/>
          <w:color w:val="auto"/>
          <w:szCs w:val="21"/>
          <w:highlight w:val="none"/>
        </w:rPr>
      </w:pPr>
    </w:p>
    <w:p>
      <w:pPr>
        <w:rPr>
          <w:color w:val="auto"/>
          <w:szCs w:val="21"/>
          <w:highlight w:val="none"/>
        </w:rPr>
      </w:pPr>
    </w:p>
    <w:p>
      <w:pPr>
        <w:rPr>
          <w:color w:val="auto"/>
          <w:szCs w:val="21"/>
          <w:highlight w:val="none"/>
        </w:rPr>
      </w:pPr>
    </w:p>
    <w:p>
      <w:pPr>
        <w:jc w:val="center"/>
        <w:rPr>
          <w:b/>
          <w:color w:val="auto"/>
          <w:szCs w:val="21"/>
          <w:highlight w:val="none"/>
        </w:rPr>
      </w:pPr>
      <w:r>
        <w:rPr>
          <w:b/>
          <w:color w:val="auto"/>
          <w:szCs w:val="21"/>
          <w:highlight w:val="none"/>
        </w:rPr>
        <w:t>中标服务费支付承诺书</w:t>
      </w:r>
    </w:p>
    <w:p>
      <w:pPr>
        <w:spacing w:line="600" w:lineRule="auto"/>
        <w:jc w:val="center"/>
        <w:rPr>
          <w:b/>
          <w:color w:val="auto"/>
          <w:szCs w:val="21"/>
          <w:highlight w:val="none"/>
        </w:rPr>
      </w:pPr>
    </w:p>
    <w:p>
      <w:pPr>
        <w:pStyle w:val="5"/>
        <w:spacing w:line="600" w:lineRule="auto"/>
        <w:ind w:firstLine="411" w:firstLineChars="196"/>
        <w:rPr>
          <w:rFonts w:ascii="Times New Roman" w:hAnsi="Times New Roman"/>
          <w:b w:val="0"/>
          <w:color w:val="auto"/>
          <w:szCs w:val="21"/>
          <w:highlight w:val="none"/>
          <w:u w:val="single"/>
        </w:rPr>
      </w:pPr>
      <w:r>
        <w:rPr>
          <w:rFonts w:hint="eastAsia" w:ascii="Times New Roman" w:hAnsi="Times New Roman"/>
          <w:b w:val="0"/>
          <w:color w:val="auto"/>
          <w:szCs w:val="21"/>
          <w:highlight w:val="none"/>
          <w:u w:val="single"/>
        </w:rPr>
        <w:t>浙江国际招投标有限公司</w:t>
      </w:r>
      <w:r>
        <w:rPr>
          <w:rFonts w:ascii="Times New Roman" w:hAnsi="Times New Roman"/>
          <w:b w:val="0"/>
          <w:color w:val="auto"/>
          <w:szCs w:val="21"/>
          <w:highlight w:val="none"/>
          <w:u w:val="single"/>
        </w:rPr>
        <w:t>：</w:t>
      </w:r>
    </w:p>
    <w:p>
      <w:pPr>
        <w:pStyle w:val="5"/>
        <w:spacing w:line="600" w:lineRule="auto"/>
        <w:ind w:firstLine="420"/>
        <w:rPr>
          <w:rFonts w:ascii="Times New Roman" w:hAnsi="Times New Roman"/>
          <w:b w:val="0"/>
          <w:color w:val="auto"/>
          <w:szCs w:val="21"/>
          <w:highlight w:val="none"/>
        </w:rPr>
      </w:pPr>
    </w:p>
    <w:p>
      <w:pPr>
        <w:pStyle w:val="5"/>
        <w:spacing w:line="600" w:lineRule="auto"/>
        <w:ind w:firstLine="420"/>
        <w:rPr>
          <w:rFonts w:ascii="Times New Roman" w:hAnsi="Times New Roman"/>
          <w:b w:val="0"/>
          <w:color w:val="auto"/>
          <w:szCs w:val="21"/>
          <w:highlight w:val="none"/>
        </w:rPr>
      </w:pPr>
      <w:r>
        <w:rPr>
          <w:rFonts w:ascii="Times New Roman" w:hAnsi="Times New Roman"/>
          <w:b w:val="0"/>
          <w:color w:val="auto"/>
          <w:szCs w:val="21"/>
          <w:highlight w:val="none"/>
        </w:rPr>
        <w:t>本单位在此承诺：如在本项目中标，中标之日起5个工作日之内，向贵公司按采购文件约定支付中标服务费。</w:t>
      </w:r>
    </w:p>
    <w:p>
      <w:pPr>
        <w:rPr>
          <w:color w:val="auto"/>
          <w:szCs w:val="21"/>
          <w:highlight w:val="none"/>
        </w:rPr>
      </w:pPr>
    </w:p>
    <w:p>
      <w:pPr>
        <w:rPr>
          <w:color w:val="auto"/>
          <w:szCs w:val="21"/>
          <w:highlight w:val="none"/>
        </w:rPr>
      </w:pPr>
    </w:p>
    <w:p>
      <w:pPr>
        <w:rPr>
          <w:color w:val="auto"/>
          <w:szCs w:val="21"/>
          <w:highlight w:val="none"/>
        </w:rPr>
      </w:pPr>
    </w:p>
    <w:p>
      <w:pPr>
        <w:snapToGrid w:val="0"/>
        <w:spacing w:line="300" w:lineRule="auto"/>
        <w:jc w:val="right"/>
        <w:rPr>
          <w:color w:val="auto"/>
          <w:spacing w:val="20"/>
          <w:szCs w:val="21"/>
          <w:highlight w:val="none"/>
          <w:u w:val="single"/>
        </w:rPr>
      </w:pPr>
      <w:r>
        <w:rPr>
          <w:rFonts w:hint="eastAsia"/>
          <w:color w:val="auto"/>
          <w:szCs w:val="21"/>
          <w:highlight w:val="none"/>
        </w:rPr>
        <w:t>供应商</w:t>
      </w:r>
      <w:r>
        <w:rPr>
          <w:color w:val="auto"/>
          <w:szCs w:val="21"/>
          <w:highlight w:val="none"/>
        </w:rPr>
        <w:t>全称（</w:t>
      </w:r>
      <w:r>
        <w:rPr>
          <w:rFonts w:hint="eastAsia"/>
          <w:color w:val="auto"/>
          <w:szCs w:val="21"/>
          <w:highlight w:val="none"/>
        </w:rPr>
        <w:t>盖单位公章或电子签章</w:t>
      </w:r>
      <w:r>
        <w:rPr>
          <w:color w:val="auto"/>
          <w:szCs w:val="21"/>
          <w:highlight w:val="none"/>
        </w:rPr>
        <w:t>）：</w:t>
      </w:r>
    </w:p>
    <w:p>
      <w:pPr>
        <w:snapToGrid w:val="0"/>
        <w:spacing w:line="300" w:lineRule="auto"/>
        <w:jc w:val="right"/>
        <w:rPr>
          <w:color w:val="auto"/>
          <w:szCs w:val="21"/>
          <w:highlight w:val="none"/>
        </w:rPr>
      </w:pPr>
    </w:p>
    <w:p>
      <w:pPr>
        <w:ind w:right="375"/>
        <w:jc w:val="right"/>
        <w:rPr>
          <w:color w:val="auto"/>
          <w:spacing w:val="20"/>
          <w:szCs w:val="21"/>
          <w:highlight w:val="none"/>
        </w:rPr>
      </w:pPr>
    </w:p>
    <w:p>
      <w:pPr>
        <w:ind w:right="375"/>
        <w:jc w:val="right"/>
        <w:rPr>
          <w:color w:val="auto"/>
          <w:szCs w:val="21"/>
          <w:highlight w:val="none"/>
        </w:rPr>
      </w:pPr>
      <w:r>
        <w:rPr>
          <w:color w:val="auto"/>
          <w:spacing w:val="20"/>
          <w:szCs w:val="21"/>
          <w:highlight w:val="none"/>
        </w:rPr>
        <w:t xml:space="preserve">日期：  </w:t>
      </w:r>
      <w:r>
        <w:rPr>
          <w:color w:val="auto"/>
          <w:szCs w:val="21"/>
          <w:highlight w:val="none"/>
        </w:rPr>
        <w:t>年  月  日</w:t>
      </w:r>
    </w:p>
    <w:p>
      <w:pPr>
        <w:ind w:right="480"/>
        <w:rPr>
          <w:color w:val="auto"/>
          <w:szCs w:val="21"/>
          <w:highlight w:val="none"/>
        </w:rPr>
      </w:pPr>
    </w:p>
    <w:p>
      <w:pPr>
        <w:ind w:right="480"/>
        <w:rPr>
          <w:color w:val="auto"/>
          <w:szCs w:val="21"/>
          <w:highlight w:val="none"/>
        </w:rPr>
      </w:pPr>
    </w:p>
    <w:p>
      <w:pPr>
        <w:ind w:right="480"/>
        <w:rPr>
          <w:color w:val="auto"/>
          <w:szCs w:val="21"/>
          <w:highlight w:val="none"/>
        </w:rPr>
      </w:pPr>
    </w:p>
    <w:p>
      <w:pPr>
        <w:ind w:right="480"/>
        <w:rPr>
          <w:color w:val="auto"/>
          <w:szCs w:val="21"/>
          <w:highlight w:val="none"/>
        </w:rPr>
      </w:pPr>
    </w:p>
    <w:p>
      <w:pPr>
        <w:ind w:right="480"/>
        <w:rPr>
          <w:color w:val="auto"/>
          <w:szCs w:val="21"/>
          <w:highlight w:val="none"/>
        </w:rPr>
      </w:pPr>
    </w:p>
    <w:p>
      <w:pPr>
        <w:ind w:right="480"/>
        <w:rPr>
          <w:color w:val="auto"/>
          <w:szCs w:val="21"/>
          <w:highlight w:val="none"/>
        </w:rPr>
      </w:pPr>
    </w:p>
    <w:p>
      <w:pPr>
        <w:widowControl/>
        <w:snapToGrid w:val="0"/>
        <w:spacing w:line="360" w:lineRule="auto"/>
        <w:ind w:firstLine="420"/>
        <w:jc w:val="left"/>
        <w:rPr>
          <w:color w:val="auto"/>
          <w:szCs w:val="21"/>
          <w:highlight w:val="none"/>
        </w:rPr>
      </w:pPr>
      <w:r>
        <w:rPr>
          <w:rFonts w:hint="eastAsia"/>
          <w:color w:val="auto"/>
          <w:szCs w:val="21"/>
          <w:highlight w:val="none"/>
        </w:rPr>
        <w:t>浙江国际招投标有限公司</w:t>
      </w:r>
      <w:r>
        <w:rPr>
          <w:color w:val="auto"/>
          <w:szCs w:val="21"/>
          <w:highlight w:val="none"/>
        </w:rPr>
        <w:t>中标服务费收取账号</w:t>
      </w:r>
    </w:p>
    <w:p>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收款单位（户名）：</w:t>
      </w:r>
      <w:r>
        <w:rPr>
          <w:rFonts w:hint="eastAsia"/>
          <w:color w:val="auto"/>
          <w:kern w:val="0"/>
          <w:szCs w:val="21"/>
          <w:highlight w:val="none"/>
        </w:rPr>
        <w:t>浙江国际招投标有限公司</w:t>
      </w:r>
    </w:p>
    <w:p>
      <w:pPr>
        <w:widowControl/>
        <w:adjustRightInd w:val="0"/>
        <w:snapToGrid w:val="0"/>
        <w:spacing w:line="360" w:lineRule="auto"/>
        <w:ind w:firstLine="420" w:firstLineChars="200"/>
        <w:jc w:val="left"/>
        <w:rPr>
          <w:color w:val="auto"/>
          <w:kern w:val="0"/>
          <w:szCs w:val="21"/>
          <w:highlight w:val="none"/>
        </w:rPr>
      </w:pPr>
      <w:r>
        <w:rPr>
          <w:color w:val="auto"/>
          <w:kern w:val="0"/>
          <w:szCs w:val="21"/>
          <w:highlight w:val="none"/>
        </w:rPr>
        <w:t>开户银行：中国工商银行杭州武林支行</w:t>
      </w:r>
    </w:p>
    <w:p>
      <w:pPr>
        <w:widowControl/>
        <w:adjustRightInd w:val="0"/>
        <w:snapToGrid w:val="0"/>
        <w:spacing w:line="360" w:lineRule="auto"/>
        <w:ind w:firstLine="420" w:firstLineChars="200"/>
        <w:jc w:val="left"/>
        <w:rPr>
          <w:color w:val="auto"/>
          <w:szCs w:val="21"/>
          <w:highlight w:val="none"/>
        </w:rPr>
      </w:pPr>
      <w:r>
        <w:rPr>
          <w:color w:val="auto"/>
          <w:kern w:val="0"/>
          <w:szCs w:val="21"/>
          <w:highlight w:val="none"/>
        </w:rPr>
        <w:t>银行账号：1202021209906782015</w:t>
      </w:r>
    </w:p>
    <w:p>
      <w:pPr>
        <w:pStyle w:val="176"/>
        <w:snapToGrid w:val="0"/>
        <w:spacing w:line="360" w:lineRule="auto"/>
        <w:ind w:firstLine="420"/>
        <w:rPr>
          <w:color w:val="auto"/>
          <w:highlight w:val="none"/>
        </w:rPr>
      </w:pPr>
      <w:r>
        <w:rPr>
          <w:color w:val="auto"/>
          <w:highlight w:val="none"/>
        </w:rPr>
        <w:br w:type="page"/>
      </w:r>
    </w:p>
    <w:p>
      <w:pPr>
        <w:pStyle w:val="176"/>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9</w:t>
      </w:r>
      <w:r>
        <w:rPr>
          <w:rFonts w:hint="eastAsia" w:ascii="Times New Roman" w:hAnsi="Times New Roman"/>
          <w:color w:val="auto"/>
          <w:highlight w:val="none"/>
          <w:lang w:eastAsia="zh-CN"/>
        </w:rPr>
        <w:t>）</w:t>
      </w:r>
      <w:r>
        <w:rPr>
          <w:rFonts w:hint="eastAsia"/>
          <w:color w:val="auto"/>
          <w:highlight w:val="none"/>
          <w:lang w:val="en-US" w:eastAsia="zh-CN"/>
        </w:rPr>
        <w:t>供应商</w:t>
      </w:r>
      <w:r>
        <w:rPr>
          <w:rFonts w:hint="eastAsia"/>
          <w:color w:val="auto"/>
          <w:highlight w:val="none"/>
        </w:rPr>
        <w:t>体系认证</w:t>
      </w:r>
      <w:r>
        <w:rPr>
          <w:rFonts w:hint="eastAsia"/>
          <w:color w:val="auto"/>
          <w:highlight w:val="none"/>
          <w:lang w:eastAsia="zh-CN"/>
        </w:rPr>
        <w:t>：有效的质量管理体系认证证书、环境管理体系认证证书、职业健康安全管理体系认证证书。提供证书复印件</w:t>
      </w:r>
    </w:p>
    <w:p>
      <w:pPr>
        <w:pStyle w:val="176"/>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10</w:t>
      </w:r>
      <w:r>
        <w:rPr>
          <w:rFonts w:hint="eastAsia" w:ascii="Times New Roman" w:hAnsi="Times New Roman"/>
          <w:color w:val="auto"/>
          <w:highlight w:val="none"/>
          <w:lang w:eastAsia="zh-CN"/>
        </w:rPr>
        <w:t>）</w:t>
      </w:r>
      <w:r>
        <w:rPr>
          <w:rFonts w:hint="eastAsia"/>
          <w:color w:val="auto"/>
          <w:highlight w:val="none"/>
        </w:rPr>
        <w:t>同类项目案例</w:t>
      </w:r>
      <w:r>
        <w:rPr>
          <w:rFonts w:hint="eastAsia"/>
          <w:color w:val="auto"/>
          <w:highlight w:val="none"/>
          <w:lang w:eastAsia="zh-CN"/>
        </w:rPr>
        <w:t>：供应商2019年12月1日至响应文件递交截止时间（以合同签订时间为准）的同类项目案例（服务内容需包含保洁及运送服务），同时提供合同复印件和业主评价表（或考核表）且反馈内容为好评（或优秀）的。证明材料：合同复印件及业主反馈表（或其他形式的反馈意见）须加盖业主单位章（格式不限）</w:t>
      </w:r>
    </w:p>
    <w:p>
      <w:pPr>
        <w:pStyle w:val="176"/>
        <w:snapToGrid w:val="0"/>
        <w:spacing w:line="360" w:lineRule="auto"/>
        <w:ind w:firstLine="420"/>
        <w:rPr>
          <w:rFonts w:hint="eastAsia"/>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11</w:t>
      </w:r>
      <w:r>
        <w:rPr>
          <w:rFonts w:hint="eastAsia" w:ascii="Times New Roman" w:hAnsi="Times New Roman"/>
          <w:color w:val="auto"/>
          <w:highlight w:val="none"/>
          <w:lang w:eastAsia="zh-CN"/>
        </w:rPr>
        <w:t>）</w:t>
      </w:r>
      <w:r>
        <w:rPr>
          <w:rFonts w:hint="eastAsia"/>
          <w:color w:val="auto"/>
          <w:highlight w:val="none"/>
        </w:rPr>
        <w:t>服务方案</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w:t>
      </w:r>
      <w:r>
        <w:rPr>
          <w:rFonts w:hint="eastAsia"/>
          <w:color w:val="auto"/>
          <w:highlight w:val="none"/>
        </w:rPr>
        <w:t>运送中心服务方案：提供详细的中央运送工作方案，方案中体现信息化手段的支持，有患者、各类标本、物资、器械、药品等运送程序的详细说明，还包括组织架构、岗位职责，培训体系、考核办法等详细说明。</w:t>
      </w:r>
    </w:p>
    <w:p>
      <w:pPr>
        <w:pStyle w:val="176"/>
        <w:snapToGrid w:val="0"/>
        <w:spacing w:line="360" w:lineRule="auto"/>
        <w:ind w:firstLine="420"/>
        <w:rPr>
          <w:rFonts w:hint="eastAsia"/>
          <w:color w:val="auto"/>
          <w:highlight w:val="none"/>
        </w:rPr>
      </w:pPr>
      <w:r>
        <w:rPr>
          <w:rFonts w:hint="eastAsia"/>
          <w:color w:val="auto"/>
          <w:highlight w:val="none"/>
          <w:lang w:val="en-US" w:eastAsia="zh-CN"/>
        </w:rPr>
        <w:t>11.2</w:t>
      </w:r>
      <w:r>
        <w:rPr>
          <w:rFonts w:hint="eastAsia"/>
          <w:color w:val="auto"/>
          <w:highlight w:val="none"/>
        </w:rPr>
        <w:t>保洁服务方案：提供详细的保洁服务方案，方案中体现科学智能的管理人员日常巡检制度，有医院各个区域详细的保洁分析以及日后工作标准，方案中体现现场员工实操操作程序。</w:t>
      </w:r>
    </w:p>
    <w:p>
      <w:pPr>
        <w:pStyle w:val="176"/>
        <w:snapToGrid w:val="0"/>
        <w:spacing w:line="360" w:lineRule="auto"/>
        <w:ind w:firstLine="420"/>
        <w:rPr>
          <w:rFonts w:hint="eastAsia"/>
          <w:color w:val="auto"/>
          <w:highlight w:val="none"/>
        </w:rPr>
      </w:pPr>
      <w:r>
        <w:rPr>
          <w:rFonts w:hint="eastAsia"/>
          <w:color w:val="auto"/>
          <w:highlight w:val="none"/>
          <w:lang w:val="en-US" w:eastAsia="zh-CN"/>
        </w:rPr>
        <w:t>11.3</w:t>
      </w:r>
      <w:r>
        <w:rPr>
          <w:rFonts w:hint="eastAsia"/>
          <w:color w:val="auto"/>
          <w:highlight w:val="none"/>
        </w:rPr>
        <w:t>工作交接过渡方案：针对本项目提出的各项工作要求，提供科学可行的交接过渡方案。</w:t>
      </w:r>
    </w:p>
    <w:p>
      <w:pPr>
        <w:pStyle w:val="176"/>
        <w:snapToGrid w:val="0"/>
        <w:spacing w:line="360" w:lineRule="auto"/>
        <w:ind w:firstLine="420"/>
        <w:rPr>
          <w:rFonts w:hint="eastAsia"/>
          <w:color w:val="auto"/>
          <w:highlight w:val="none"/>
          <w:lang w:eastAsia="zh-CN"/>
        </w:rPr>
      </w:pPr>
      <w:r>
        <w:rPr>
          <w:rFonts w:hint="eastAsia"/>
          <w:color w:val="auto"/>
          <w:highlight w:val="none"/>
          <w:lang w:val="en-US" w:eastAsia="zh-CN"/>
        </w:rPr>
        <w:t>11.4</w:t>
      </w:r>
      <w:r>
        <w:rPr>
          <w:rFonts w:hint="eastAsia"/>
          <w:color w:val="auto"/>
          <w:highlight w:val="none"/>
        </w:rPr>
        <w:t>人员到岗承诺：根据人员到岗要求提供人员到岗时间计划承诺</w:t>
      </w:r>
      <w:r>
        <w:rPr>
          <w:rFonts w:hint="eastAsia"/>
          <w:color w:val="auto"/>
          <w:highlight w:val="none"/>
          <w:lang w:eastAsia="zh-CN"/>
        </w:rPr>
        <w:t>。</w:t>
      </w:r>
    </w:p>
    <w:p>
      <w:pPr>
        <w:pStyle w:val="176"/>
        <w:snapToGrid w:val="0"/>
        <w:spacing w:line="360" w:lineRule="auto"/>
        <w:ind w:firstLine="420"/>
        <w:rPr>
          <w:rFonts w:hint="eastAsia"/>
          <w:color w:val="auto"/>
          <w:highlight w:val="none"/>
        </w:rPr>
      </w:pPr>
      <w:r>
        <w:rPr>
          <w:rFonts w:hint="eastAsia"/>
          <w:color w:val="auto"/>
          <w:highlight w:val="none"/>
          <w:lang w:val="en-US" w:eastAsia="zh-CN"/>
        </w:rPr>
        <w:t>11.5</w:t>
      </w:r>
      <w:r>
        <w:rPr>
          <w:rFonts w:hint="eastAsia"/>
          <w:color w:val="auto"/>
          <w:highlight w:val="none"/>
        </w:rPr>
        <w:t>地面专项保养服务方案：地面保养服务方案的全面性、科学性，提供详细的PVC、大理石等地面的保养方式、程序，各程序使用养护剂情况。</w:t>
      </w:r>
    </w:p>
    <w:p>
      <w:pPr>
        <w:pStyle w:val="176"/>
        <w:snapToGrid w:val="0"/>
        <w:spacing w:line="360" w:lineRule="auto"/>
        <w:ind w:firstLine="420"/>
        <w:rPr>
          <w:rFonts w:hint="eastAsia"/>
          <w:color w:val="auto"/>
          <w:highlight w:val="none"/>
        </w:rPr>
      </w:pPr>
      <w:r>
        <w:rPr>
          <w:rFonts w:hint="eastAsia"/>
          <w:color w:val="auto"/>
          <w:highlight w:val="none"/>
          <w:lang w:val="en-US" w:eastAsia="zh-CN"/>
        </w:rPr>
        <w:t>11.6</w:t>
      </w:r>
      <w:r>
        <w:rPr>
          <w:rFonts w:hint="eastAsia"/>
          <w:color w:val="auto"/>
          <w:highlight w:val="none"/>
        </w:rPr>
        <w:t>司梯服务方案</w:t>
      </w:r>
    </w:p>
    <w:p>
      <w:pPr>
        <w:pStyle w:val="176"/>
        <w:snapToGrid w:val="0"/>
        <w:spacing w:line="360" w:lineRule="auto"/>
        <w:ind w:firstLine="420"/>
        <w:rPr>
          <w:rFonts w:hint="eastAsia"/>
          <w:color w:val="auto"/>
          <w:highlight w:val="none"/>
        </w:rPr>
      </w:pPr>
      <w:r>
        <w:rPr>
          <w:rFonts w:hint="eastAsia"/>
          <w:color w:val="auto"/>
          <w:highlight w:val="none"/>
          <w:lang w:val="en-US" w:eastAsia="zh-CN"/>
        </w:rPr>
        <w:t>11.7</w:t>
      </w:r>
      <w:r>
        <w:rPr>
          <w:rFonts w:hint="eastAsia"/>
          <w:color w:val="auto"/>
          <w:highlight w:val="none"/>
        </w:rPr>
        <w:t>生活垃圾服务方案：根据生活垃圾分类的具体要求，有详细的生活垃圾分类具体工作实施方案。</w:t>
      </w:r>
    </w:p>
    <w:p>
      <w:pPr>
        <w:pStyle w:val="176"/>
        <w:snapToGrid w:val="0"/>
        <w:spacing w:line="360" w:lineRule="auto"/>
        <w:ind w:firstLine="420"/>
        <w:rPr>
          <w:rFonts w:hint="eastAsia"/>
          <w:color w:val="auto"/>
          <w:highlight w:val="none"/>
        </w:rPr>
      </w:pPr>
      <w:r>
        <w:rPr>
          <w:rFonts w:hint="eastAsia"/>
          <w:color w:val="auto"/>
          <w:highlight w:val="none"/>
          <w:lang w:val="en-US" w:eastAsia="zh-CN"/>
        </w:rPr>
        <w:t>11.8</w:t>
      </w:r>
      <w:r>
        <w:rPr>
          <w:rFonts w:hint="eastAsia"/>
          <w:color w:val="auto"/>
          <w:highlight w:val="none"/>
        </w:rPr>
        <w:t>医疗废弃物服务方案：医疗废弃物的收集、集中管理、交接方案。</w:t>
      </w:r>
    </w:p>
    <w:p>
      <w:pPr>
        <w:pStyle w:val="176"/>
        <w:snapToGrid w:val="0"/>
        <w:spacing w:line="360" w:lineRule="auto"/>
        <w:ind w:firstLine="420"/>
        <w:rPr>
          <w:rFonts w:hint="eastAsia"/>
          <w:color w:val="auto"/>
          <w:highlight w:val="none"/>
          <w:lang w:val="en-US" w:eastAsia="zh-CN"/>
        </w:rPr>
      </w:pPr>
      <w:r>
        <w:rPr>
          <w:rFonts w:hint="eastAsia"/>
          <w:color w:val="auto"/>
          <w:highlight w:val="none"/>
          <w:lang w:val="en-US" w:eastAsia="zh-CN"/>
        </w:rPr>
        <w:t>11.9设备运维服务方案。</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11.10</w:t>
      </w:r>
      <w:r>
        <w:rPr>
          <w:rFonts w:hint="eastAsia"/>
          <w:color w:val="auto"/>
          <w:highlight w:val="none"/>
        </w:rPr>
        <w:t>防止院</w:t>
      </w:r>
      <w:r>
        <w:rPr>
          <w:rFonts w:hint="eastAsia"/>
          <w:color w:val="auto"/>
          <w:highlight w:val="none"/>
          <w:lang w:eastAsia="zh-CN"/>
        </w:rPr>
        <w:t>内</w:t>
      </w:r>
      <w:r>
        <w:rPr>
          <w:rFonts w:hint="eastAsia"/>
          <w:color w:val="auto"/>
          <w:highlight w:val="none"/>
        </w:rPr>
        <w:t>感</w:t>
      </w:r>
      <w:r>
        <w:rPr>
          <w:rFonts w:hint="eastAsia"/>
          <w:color w:val="auto"/>
          <w:highlight w:val="none"/>
          <w:lang w:eastAsia="zh-CN"/>
        </w:rPr>
        <w:t>染</w:t>
      </w:r>
      <w:r>
        <w:rPr>
          <w:rFonts w:hint="eastAsia"/>
          <w:color w:val="auto"/>
          <w:highlight w:val="none"/>
        </w:rPr>
        <w:t>措施方案：提供防止医院交叉感染措施，预防和控制交叉感染、消毒隔离制度的工作方案。</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11.11</w:t>
      </w:r>
      <w:r>
        <w:rPr>
          <w:rFonts w:hint="eastAsia"/>
          <w:color w:val="auto"/>
          <w:highlight w:val="none"/>
        </w:rPr>
        <w:t>针对突发性事件的应急方案及措施（包括但不限于：公共安全事件、恶劣天气和自然灾害风险、突发事故、公共卫生事件、保洁、运送服务中突发事件）。</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11.12</w:t>
      </w:r>
      <w:r>
        <w:rPr>
          <w:rFonts w:hint="eastAsia"/>
          <w:color w:val="auto"/>
          <w:highlight w:val="none"/>
        </w:rPr>
        <w:t>详细的应对新冠疫情的应急方案措施，尤其是因疫情封闭医院的应急预案，人员培训、考核等。</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11.13</w:t>
      </w:r>
      <w:r>
        <w:rPr>
          <w:rFonts w:hint="eastAsia"/>
          <w:color w:val="auto"/>
          <w:highlight w:val="none"/>
        </w:rPr>
        <w:t>供应商投诉处理、协调管理、内部应急处置等方案。</w:t>
      </w:r>
    </w:p>
    <w:p>
      <w:pPr>
        <w:pStyle w:val="176"/>
        <w:snapToGrid w:val="0"/>
        <w:spacing w:line="360" w:lineRule="auto"/>
        <w:ind w:firstLine="420"/>
        <w:rPr>
          <w:rFonts w:hint="eastAsia"/>
          <w:color w:val="auto"/>
          <w:highlight w:val="none"/>
          <w:lang w:eastAsia="zh-CN"/>
        </w:rPr>
      </w:pPr>
      <w:r>
        <w:rPr>
          <w:rFonts w:hint="eastAsia"/>
          <w:color w:val="auto"/>
          <w:highlight w:val="none"/>
          <w:lang w:val="en-US" w:eastAsia="zh-CN"/>
        </w:rPr>
        <w:t>11.14</w:t>
      </w:r>
      <w:r>
        <w:rPr>
          <w:rFonts w:hint="eastAsia"/>
          <w:color w:val="auto"/>
          <w:highlight w:val="none"/>
        </w:rPr>
        <w:t>重要活动服务保障方案</w:t>
      </w:r>
      <w:r>
        <w:rPr>
          <w:rFonts w:hint="eastAsia"/>
          <w:color w:val="auto"/>
          <w:highlight w:val="none"/>
          <w:lang w:eastAsia="zh-CN"/>
        </w:rPr>
        <w:t>。</w:t>
      </w:r>
    </w:p>
    <w:p>
      <w:pPr>
        <w:pStyle w:val="176"/>
        <w:snapToGrid w:val="0"/>
        <w:spacing w:line="360" w:lineRule="auto"/>
        <w:ind w:firstLine="420"/>
        <w:rPr>
          <w:rFonts w:hint="eastAsia"/>
          <w:color w:val="auto"/>
          <w:highlight w:val="none"/>
          <w:lang w:eastAsia="zh-CN"/>
        </w:rPr>
      </w:pPr>
      <w:r>
        <w:rPr>
          <w:rFonts w:hint="eastAsia"/>
          <w:color w:val="auto"/>
          <w:highlight w:val="none"/>
          <w:lang w:val="en-US" w:eastAsia="zh-CN"/>
        </w:rPr>
        <w:t>11.15</w:t>
      </w:r>
      <w:r>
        <w:rPr>
          <w:rFonts w:hint="eastAsia"/>
          <w:color w:val="auto"/>
          <w:highlight w:val="none"/>
        </w:rPr>
        <w:t>标准化与智慧化物业管理方案</w:t>
      </w:r>
      <w:r>
        <w:rPr>
          <w:rFonts w:hint="eastAsia"/>
          <w:color w:val="auto"/>
          <w:highlight w:val="none"/>
          <w:lang w:eastAsia="zh-CN"/>
        </w:rPr>
        <w:t>。</w:t>
      </w:r>
    </w:p>
    <w:p>
      <w:pPr>
        <w:pStyle w:val="176"/>
        <w:snapToGrid w:val="0"/>
        <w:spacing w:line="360" w:lineRule="auto"/>
        <w:ind w:firstLine="420"/>
        <w:rPr>
          <w:rFonts w:hint="eastAsia"/>
          <w:color w:val="auto"/>
          <w:highlight w:val="none"/>
          <w:lang w:eastAsia="zh-CN"/>
        </w:rPr>
      </w:pPr>
      <w:r>
        <w:rPr>
          <w:rFonts w:hint="eastAsia"/>
          <w:color w:val="auto"/>
          <w:highlight w:val="none"/>
          <w:lang w:val="en-US" w:eastAsia="zh-CN"/>
        </w:rPr>
        <w:t>11.16</w:t>
      </w:r>
      <w:r>
        <w:rPr>
          <w:rFonts w:hint="eastAsia"/>
          <w:color w:val="auto"/>
          <w:highlight w:val="none"/>
        </w:rPr>
        <w:t>稳定员工队伍方案</w:t>
      </w:r>
      <w:r>
        <w:rPr>
          <w:rFonts w:hint="eastAsia"/>
          <w:color w:val="auto"/>
          <w:highlight w:val="none"/>
          <w:lang w:eastAsia="zh-CN"/>
        </w:rPr>
        <w:t>。</w:t>
      </w:r>
    </w:p>
    <w:p>
      <w:pPr>
        <w:pStyle w:val="176"/>
        <w:snapToGrid w:val="0"/>
        <w:spacing w:line="360" w:lineRule="auto"/>
        <w:ind w:firstLine="420"/>
        <w:rPr>
          <w:rFonts w:hint="eastAsia"/>
          <w:color w:val="auto"/>
          <w:highlight w:val="none"/>
          <w:lang w:eastAsia="zh-CN"/>
        </w:rPr>
      </w:pPr>
      <w:r>
        <w:rPr>
          <w:rFonts w:hint="eastAsia"/>
          <w:color w:val="auto"/>
          <w:highlight w:val="none"/>
          <w:lang w:val="en-US" w:eastAsia="zh-CN"/>
        </w:rPr>
        <w:t>11.17</w:t>
      </w:r>
      <w:r>
        <w:rPr>
          <w:rFonts w:hint="eastAsia"/>
          <w:color w:val="auto"/>
          <w:highlight w:val="none"/>
        </w:rPr>
        <w:t>春节员工缺岗解决方案</w:t>
      </w:r>
      <w:r>
        <w:rPr>
          <w:rFonts w:hint="eastAsia"/>
          <w:color w:val="auto"/>
          <w:highlight w:val="none"/>
          <w:lang w:eastAsia="zh-CN"/>
        </w:rPr>
        <w:t>。</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11.18</w:t>
      </w:r>
      <w:r>
        <w:rPr>
          <w:rFonts w:hint="eastAsia"/>
          <w:color w:val="auto"/>
          <w:highlight w:val="none"/>
        </w:rPr>
        <w:t>人员补充方案：提供有人员流失控制及时补充的方案。</w:t>
      </w:r>
    </w:p>
    <w:p>
      <w:pPr>
        <w:pStyle w:val="176"/>
        <w:snapToGrid w:val="0"/>
        <w:spacing w:line="360" w:lineRule="auto"/>
        <w:ind w:firstLine="420"/>
        <w:rPr>
          <w:rFonts w:hint="eastAsia"/>
          <w:color w:val="auto"/>
          <w:highlight w:val="none"/>
        </w:rPr>
      </w:pPr>
      <w:r>
        <w:rPr>
          <w:rFonts w:hint="eastAsia"/>
          <w:color w:val="auto"/>
          <w:highlight w:val="none"/>
          <w:lang w:val="en-US" w:eastAsia="zh-CN"/>
        </w:rPr>
        <w:t>11.19</w:t>
      </w:r>
      <w:r>
        <w:rPr>
          <w:rFonts w:hint="eastAsia"/>
          <w:color w:val="auto"/>
          <w:highlight w:val="none"/>
        </w:rPr>
        <w:t>提供员工住宿解决方案：包括但不限于宿舍来源的稳定性、宿舍的数量、住宿条件与安全性、与医院的距离远近，宿舍管理措施。</w:t>
      </w:r>
    </w:p>
    <w:p>
      <w:pPr>
        <w:pStyle w:val="176"/>
        <w:snapToGrid w:val="0"/>
        <w:spacing w:line="360" w:lineRule="auto"/>
        <w:ind w:firstLine="420"/>
        <w:rPr>
          <w:rFonts w:hint="eastAsia"/>
          <w:color w:val="auto"/>
          <w:highlight w:val="none"/>
        </w:rPr>
      </w:pPr>
      <w:r>
        <w:rPr>
          <w:rFonts w:hint="eastAsia"/>
          <w:color w:val="auto"/>
          <w:highlight w:val="none"/>
          <w:lang w:val="en-US" w:eastAsia="zh-CN"/>
        </w:rPr>
        <w:t>11.20</w:t>
      </w:r>
      <w:r>
        <w:rPr>
          <w:rFonts w:hint="eastAsia"/>
          <w:color w:val="auto"/>
          <w:highlight w:val="none"/>
        </w:rPr>
        <w:t>其他符合本项目采购需求且有利于合同履约的特色服务方案。</w:t>
      </w:r>
    </w:p>
    <w:p>
      <w:pPr>
        <w:pStyle w:val="176"/>
        <w:snapToGrid w:val="0"/>
        <w:spacing w:line="360" w:lineRule="auto"/>
        <w:ind w:firstLine="420"/>
        <w:rPr>
          <w:rFonts w:hint="eastAsia"/>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12</w:t>
      </w:r>
      <w:r>
        <w:rPr>
          <w:rFonts w:hint="eastAsia" w:ascii="Times New Roman" w:hAnsi="Times New Roman"/>
          <w:color w:val="auto"/>
          <w:highlight w:val="none"/>
          <w:lang w:eastAsia="zh-CN"/>
        </w:rPr>
        <w:t>）</w:t>
      </w:r>
      <w:r>
        <w:rPr>
          <w:rFonts w:hint="eastAsia"/>
          <w:color w:val="auto"/>
          <w:highlight w:val="none"/>
        </w:rPr>
        <w:t>投入本项目服务团队人员</w:t>
      </w:r>
    </w:p>
    <w:p>
      <w:pPr>
        <w:pStyle w:val="176"/>
        <w:snapToGrid w:val="0"/>
        <w:spacing w:line="360" w:lineRule="auto"/>
        <w:ind w:firstLine="420"/>
        <w:rPr>
          <w:rFonts w:hint="eastAsia"/>
          <w:color w:val="auto"/>
          <w:highlight w:val="none"/>
          <w:lang w:eastAsia="zh-CN"/>
        </w:rPr>
      </w:pPr>
      <w:r>
        <w:rPr>
          <w:rFonts w:hint="eastAsia"/>
          <w:color w:val="auto"/>
          <w:highlight w:val="none"/>
          <w:lang w:val="en-US" w:eastAsia="zh-CN"/>
        </w:rPr>
        <w:t>12.1</w:t>
      </w:r>
      <w:r>
        <w:rPr>
          <w:rFonts w:hint="eastAsia"/>
          <w:color w:val="auto"/>
          <w:highlight w:val="none"/>
          <w:lang w:eastAsia="zh-CN"/>
        </w:rPr>
        <w:t>项目负责人：具有大专及以上学历，年龄不超过50周岁，具有物业管理师证，为投标供应商正式员工，从事医疗行业物业工作经验≥5年，三甲医院物业管理经验≥3年，且具有项目负责人（或物业经理）从业经历；提供学历证明，物业管理师证，医疗服务单位出具的担任项目负责人工作经历、年限且有评价的证明材料及在投标供应商处近三个月内任意一个月社会保险参保证明。</w:t>
      </w:r>
    </w:p>
    <w:p>
      <w:pPr>
        <w:pStyle w:val="176"/>
        <w:snapToGrid w:val="0"/>
        <w:spacing w:line="360" w:lineRule="auto"/>
        <w:ind w:firstLine="420"/>
        <w:rPr>
          <w:rFonts w:hint="eastAsia"/>
          <w:color w:val="auto"/>
          <w:highlight w:val="none"/>
          <w:lang w:val="en-US" w:eastAsia="zh-CN"/>
        </w:rPr>
      </w:pPr>
      <w:r>
        <w:rPr>
          <w:rFonts w:hint="eastAsia"/>
          <w:color w:val="auto"/>
          <w:highlight w:val="none"/>
          <w:lang w:val="en-US" w:eastAsia="zh-CN"/>
        </w:rPr>
        <w:t>12.2保洁主管：年龄不超过55周岁，具有高中及以上学历。提供学历证明及在投标供应商近三个月内任意一个月社会保险参保证明；提供服务单位出具的工作经历证明。</w:t>
      </w:r>
    </w:p>
    <w:p>
      <w:pPr>
        <w:pStyle w:val="176"/>
        <w:snapToGrid w:val="0"/>
        <w:spacing w:line="360" w:lineRule="auto"/>
        <w:ind w:firstLine="420"/>
        <w:rPr>
          <w:rFonts w:hint="eastAsia"/>
          <w:color w:val="auto"/>
          <w:highlight w:val="none"/>
          <w:lang w:val="en-US" w:eastAsia="zh-CN"/>
        </w:rPr>
      </w:pPr>
      <w:r>
        <w:rPr>
          <w:rFonts w:hint="eastAsia"/>
          <w:color w:val="auto"/>
          <w:highlight w:val="none"/>
          <w:lang w:val="en-US" w:eastAsia="zh-CN"/>
        </w:rPr>
        <w:t>12.3运送主管：年龄不超过55周岁，具有高中及以上学历。提供学历证明及在投标供应商近半年内任意一个月社会保险参保证明；提供提供服务单位出具的工作经历证明。</w:t>
      </w:r>
    </w:p>
    <w:p>
      <w:pPr>
        <w:pStyle w:val="176"/>
        <w:snapToGrid w:val="0"/>
        <w:spacing w:line="360" w:lineRule="auto"/>
        <w:ind w:firstLine="420"/>
        <w:rPr>
          <w:rFonts w:hint="default"/>
          <w:color w:val="auto"/>
          <w:highlight w:val="none"/>
          <w:lang w:val="en-US" w:eastAsia="zh-CN"/>
        </w:rPr>
      </w:pPr>
      <w:r>
        <w:rPr>
          <w:rFonts w:hint="eastAsia"/>
          <w:color w:val="auto"/>
          <w:highlight w:val="none"/>
          <w:lang w:val="en-US" w:eastAsia="zh-CN"/>
        </w:rPr>
        <w:t>12.4其他人员配置：根据本项目服务管理委托内容中的人员需求，针对履行合同的条件，结合对本项目的了解，制定具体实施服务人员的组织结构、人员配置情况、重要岗位职责等。</w:t>
      </w:r>
    </w:p>
    <w:p>
      <w:pPr>
        <w:pStyle w:val="176"/>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13</w:t>
      </w:r>
      <w:r>
        <w:rPr>
          <w:rFonts w:hint="eastAsia" w:ascii="Times New Roman" w:hAnsi="Times New Roman"/>
          <w:color w:val="auto"/>
          <w:highlight w:val="none"/>
          <w:lang w:eastAsia="zh-CN"/>
        </w:rPr>
        <w:t>）</w:t>
      </w:r>
      <w:r>
        <w:rPr>
          <w:rFonts w:hint="eastAsia"/>
          <w:color w:val="auto"/>
          <w:highlight w:val="none"/>
        </w:rPr>
        <w:t>信息化管理</w:t>
      </w:r>
      <w:r>
        <w:rPr>
          <w:rFonts w:hint="eastAsia"/>
          <w:color w:val="auto"/>
          <w:highlight w:val="none"/>
          <w:lang w:eastAsia="zh-CN"/>
        </w:rPr>
        <w:t>：</w:t>
      </w:r>
      <w:r>
        <w:rPr>
          <w:rFonts w:hint="eastAsia"/>
          <w:color w:val="auto"/>
          <w:highlight w:val="none"/>
        </w:rPr>
        <w:t>供应商可投入本服务项目中的信息化管理软件（包括但不限于</w:t>
      </w:r>
      <w:r>
        <w:rPr>
          <w:rFonts w:hint="eastAsia"/>
          <w:color w:val="auto"/>
          <w:highlight w:val="none"/>
          <w:lang w:val="zh-TW" w:eastAsia="zh-TW"/>
        </w:rPr>
        <w:t>后勤智能运送</w:t>
      </w:r>
      <w:r>
        <w:rPr>
          <w:rFonts w:hint="eastAsia"/>
          <w:color w:val="auto"/>
          <w:highlight w:val="none"/>
        </w:rPr>
        <w:t>系统），提供相关软件著作权证书复印件</w:t>
      </w:r>
      <w:r>
        <w:rPr>
          <w:rFonts w:hint="eastAsia"/>
          <w:color w:val="auto"/>
          <w:highlight w:val="none"/>
          <w:lang w:eastAsia="zh-CN"/>
        </w:rPr>
        <w:t>。</w:t>
      </w:r>
    </w:p>
    <w:p>
      <w:pPr>
        <w:pStyle w:val="176"/>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14</w:t>
      </w:r>
      <w:r>
        <w:rPr>
          <w:rFonts w:hint="eastAsia" w:ascii="Times New Roman" w:hAnsi="Times New Roman"/>
          <w:color w:val="auto"/>
          <w:highlight w:val="none"/>
          <w:lang w:eastAsia="zh-CN"/>
        </w:rPr>
        <w:t>）</w:t>
      </w:r>
      <w:r>
        <w:rPr>
          <w:rFonts w:hint="eastAsia"/>
          <w:color w:val="auto"/>
          <w:highlight w:val="none"/>
        </w:rPr>
        <w:t>运送软件对接HIS的案例</w:t>
      </w:r>
      <w:r>
        <w:rPr>
          <w:rFonts w:hint="eastAsia"/>
          <w:color w:val="auto"/>
          <w:highlight w:val="none"/>
          <w:lang w:eastAsia="zh-CN"/>
        </w:rPr>
        <w:t>：供应商承诺运送软件系统能够与医院的HIS系统（品牌：创业慧康）进行对接并成功运行，进场后（签订合同后七日内进场）三个月内完成。</w:t>
      </w:r>
    </w:p>
    <w:p>
      <w:pPr>
        <w:pStyle w:val="176"/>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15</w:t>
      </w:r>
      <w:r>
        <w:rPr>
          <w:rFonts w:hint="eastAsia" w:ascii="Times New Roman" w:hAnsi="Times New Roman"/>
          <w:color w:val="auto"/>
          <w:highlight w:val="none"/>
          <w:lang w:eastAsia="zh-CN"/>
        </w:rPr>
        <w:t>）</w:t>
      </w:r>
      <w:r>
        <w:rPr>
          <w:rFonts w:hint="eastAsia"/>
          <w:color w:val="auto"/>
          <w:highlight w:val="none"/>
        </w:rPr>
        <w:t>人员培训</w:t>
      </w:r>
      <w:r>
        <w:rPr>
          <w:rFonts w:hint="eastAsia"/>
          <w:color w:val="auto"/>
          <w:highlight w:val="none"/>
          <w:lang w:eastAsia="zh-CN"/>
        </w:rPr>
        <w:t>：</w:t>
      </w:r>
      <w:r>
        <w:rPr>
          <w:rFonts w:hint="eastAsia"/>
          <w:color w:val="auto"/>
          <w:highlight w:val="none"/>
        </w:rPr>
        <w:t>根据项目情况，针对本项目岗位人员制定科学、合理的培训方案和实施计划。</w:t>
      </w:r>
    </w:p>
    <w:p>
      <w:pPr>
        <w:pStyle w:val="176"/>
        <w:snapToGrid w:val="0"/>
        <w:spacing w:line="360" w:lineRule="auto"/>
        <w:ind w:firstLine="420"/>
        <w:rPr>
          <w:rFonts w:hint="eastAsia" w:ascii="Times New Roman" w:hAnsi="Times New Roman" w:eastAsia="宋体"/>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16</w:t>
      </w:r>
      <w:r>
        <w:rPr>
          <w:rFonts w:hint="eastAsia" w:ascii="Times New Roman" w:hAnsi="Times New Roman"/>
          <w:color w:val="auto"/>
          <w:highlight w:val="none"/>
          <w:lang w:eastAsia="zh-CN"/>
        </w:rPr>
        <w:t>）</w:t>
      </w:r>
      <w:r>
        <w:rPr>
          <w:rFonts w:hint="eastAsia"/>
          <w:color w:val="auto"/>
          <w:highlight w:val="none"/>
        </w:rPr>
        <w:t>合理化建议</w:t>
      </w:r>
      <w:r>
        <w:rPr>
          <w:rFonts w:hint="eastAsia"/>
          <w:color w:val="auto"/>
          <w:highlight w:val="none"/>
          <w:lang w:eastAsia="zh-CN"/>
        </w:rPr>
        <w:t>：</w:t>
      </w:r>
      <w:r>
        <w:rPr>
          <w:rFonts w:hint="eastAsia"/>
          <w:color w:val="auto"/>
          <w:highlight w:val="none"/>
        </w:rPr>
        <w:t>针对项目推进和实施中可能会出现的问题和存在的困难，进行客观仔细地分析，并结合自身专业、经验等实际情况，在对项目理解的基础上提出合理化建议（解决对策）。</w:t>
      </w:r>
    </w:p>
    <w:p>
      <w:pPr>
        <w:pStyle w:val="176"/>
        <w:snapToGrid w:val="0"/>
        <w:spacing w:line="360" w:lineRule="auto"/>
        <w:ind w:firstLine="420"/>
        <w:rPr>
          <w:rFonts w:hint="eastAsia"/>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17</w:t>
      </w:r>
      <w:r>
        <w:rPr>
          <w:rFonts w:hint="eastAsia" w:ascii="Times New Roman" w:hAnsi="Times New Roman"/>
          <w:color w:val="auto"/>
          <w:highlight w:val="none"/>
          <w:lang w:eastAsia="zh-CN"/>
        </w:rPr>
        <w:t>）</w:t>
      </w:r>
      <w:r>
        <w:rPr>
          <w:rFonts w:hint="eastAsia"/>
          <w:color w:val="auto"/>
          <w:highlight w:val="none"/>
        </w:rPr>
        <w:t>设备及耗材</w:t>
      </w:r>
      <w:r>
        <w:rPr>
          <w:rFonts w:hint="eastAsia"/>
          <w:color w:val="auto"/>
          <w:highlight w:val="none"/>
          <w:lang w:eastAsia="zh-CN"/>
        </w:rPr>
        <w:t>：</w:t>
      </w:r>
      <w:r>
        <w:rPr>
          <w:rFonts w:hint="eastAsia"/>
          <w:color w:val="auto"/>
          <w:highlight w:val="none"/>
        </w:rPr>
        <w:t>供应商拟投入本项目的机械、设备及耗材的品牌、数量</w:t>
      </w:r>
      <w:r>
        <w:rPr>
          <w:rFonts w:hint="eastAsia"/>
          <w:color w:val="auto"/>
          <w:highlight w:val="none"/>
          <w:lang w:eastAsia="zh-CN"/>
        </w:rPr>
        <w:t>。</w:t>
      </w:r>
    </w:p>
    <w:p>
      <w:pPr>
        <w:pStyle w:val="17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eastAsia="zh-CN"/>
        </w:rPr>
        <w:t>1</w:t>
      </w:r>
      <w:r>
        <w:rPr>
          <w:rFonts w:hint="eastAsia" w:ascii="Times New Roman" w:hAnsi="Times New Roman"/>
          <w:color w:val="auto"/>
          <w:highlight w:val="none"/>
          <w:lang w:val="en-US" w:eastAsia="zh-CN"/>
        </w:rPr>
        <w:t>8</w:t>
      </w:r>
      <w:r>
        <w:rPr>
          <w:rFonts w:hint="eastAsia" w:ascii="Times New Roman" w:hAnsi="Times New Roman"/>
          <w:color w:val="auto"/>
          <w:highlight w:val="none"/>
        </w:rPr>
        <w:t>）供应商认为有必要提供的其它文件。</w:t>
      </w:r>
    </w:p>
    <w:p>
      <w:pPr>
        <w:spacing w:line="360" w:lineRule="auto"/>
        <w:rPr>
          <w:color w:val="auto"/>
          <w:highlight w:val="none"/>
        </w:rPr>
      </w:pPr>
      <w:r>
        <w:rPr>
          <w:rFonts w:hint="eastAsia"/>
          <w:color w:val="auto"/>
          <w:highlight w:val="none"/>
        </w:rPr>
        <w:br w:type="page"/>
      </w:r>
      <w:r>
        <w:rPr>
          <w:rFonts w:hint="eastAsia"/>
          <w:color w:val="auto"/>
          <w:highlight w:val="none"/>
        </w:rPr>
        <w:t>附件1</w:t>
      </w:r>
    </w:p>
    <w:p>
      <w:pPr>
        <w:ind w:left="420"/>
        <w:rPr>
          <w:color w:val="auto"/>
          <w:highlight w:val="none"/>
        </w:rPr>
      </w:pPr>
    </w:p>
    <w:p>
      <w:pPr>
        <w:pStyle w:val="1323"/>
        <w:widowControl w:val="0"/>
        <w:snapToGrid w:val="0"/>
        <w:spacing w:line="500" w:lineRule="exact"/>
        <w:jc w:val="center"/>
        <w:rPr>
          <w:rFonts w:hint="default" w:hAnsi="宋体" w:cs="方正小标宋简体"/>
          <w:b/>
          <w:color w:val="auto"/>
          <w:sz w:val="28"/>
          <w:szCs w:val="28"/>
          <w:highlight w:val="none"/>
        </w:rPr>
      </w:pPr>
      <w:r>
        <w:rPr>
          <w:rFonts w:hAnsi="宋体" w:cs="方正小标宋简体"/>
          <w:b/>
          <w:color w:val="auto"/>
          <w:sz w:val="28"/>
          <w:szCs w:val="28"/>
          <w:highlight w:val="none"/>
        </w:rPr>
        <w:t>政府采购活动现场确认声明书</w:t>
      </w:r>
    </w:p>
    <w:p>
      <w:pPr>
        <w:pStyle w:val="1323"/>
        <w:widowControl w:val="0"/>
        <w:adjustRightInd w:val="0"/>
        <w:snapToGrid w:val="0"/>
        <w:spacing w:line="360" w:lineRule="auto"/>
        <w:jc w:val="both"/>
        <w:rPr>
          <w:rFonts w:hint="default" w:ascii="仿宋" w:hAnsi="仿宋"/>
          <w:color w:val="auto"/>
          <w:kern w:val="0"/>
          <w:szCs w:val="21"/>
          <w:highlight w:val="none"/>
          <w:u w:val="single"/>
        </w:rPr>
      </w:pPr>
    </w:p>
    <w:p>
      <w:pPr>
        <w:pStyle w:val="1323"/>
        <w:widowControl w:val="0"/>
        <w:adjustRightInd w:val="0"/>
        <w:snapToGrid w:val="0"/>
        <w:spacing w:line="360" w:lineRule="auto"/>
        <w:jc w:val="both"/>
        <w:rPr>
          <w:rFonts w:hint="default"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pPr>
        <w:pStyle w:val="1323"/>
        <w:widowControl w:val="0"/>
        <w:adjustRightInd w:val="0"/>
        <w:snapToGrid w:val="0"/>
        <w:spacing w:line="360" w:lineRule="auto"/>
        <w:ind w:firstLine="444" w:firstLineChars="200"/>
        <w:jc w:val="both"/>
        <w:rPr>
          <w:rFonts w:hint="default"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政府采购活动，经与本单位法人代表（负责人）联系确认，现就有关公平竞争事项郑重声明如下： </w:t>
      </w:r>
    </w:p>
    <w:p>
      <w:pPr>
        <w:pStyle w:val="880"/>
        <w:widowControl/>
        <w:numPr>
          <w:ilvl w:val="0"/>
          <w:numId w:val="10"/>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880"/>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pPr>
        <w:pStyle w:val="880"/>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pPr>
        <w:pStyle w:val="880"/>
        <w:widowControl/>
        <w:adjustRightInd w:val="0"/>
        <w:snapToGrid w:val="0"/>
        <w:spacing w:line="360" w:lineRule="auto"/>
        <w:ind w:firstLine="200"/>
        <w:rPr>
          <w:rFonts w:hint="default"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323"/>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1323"/>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1323"/>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1323"/>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1323"/>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1323"/>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1323"/>
        <w:widowControl w:val="0"/>
        <w:adjustRightInd w:val="0"/>
        <w:snapToGrid w:val="0"/>
        <w:spacing w:line="360" w:lineRule="auto"/>
        <w:ind w:firstLine="200"/>
        <w:jc w:val="both"/>
        <w:rPr>
          <w:rFonts w:hint="default"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pPr>
        <w:pStyle w:val="1323"/>
        <w:widowControl w:val="0"/>
        <w:adjustRightInd w:val="0"/>
        <w:snapToGrid w:val="0"/>
        <w:spacing w:line="360" w:lineRule="auto"/>
        <w:ind w:firstLine="200"/>
        <w:jc w:val="both"/>
        <w:rPr>
          <w:rFonts w:hint="default"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1323"/>
        <w:widowControl w:val="0"/>
        <w:adjustRightInd w:val="0"/>
        <w:snapToGrid w:val="0"/>
        <w:spacing w:line="360" w:lineRule="auto"/>
        <w:ind w:firstLine="200"/>
        <w:jc w:val="both"/>
        <w:rPr>
          <w:rFonts w:hint="default"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880"/>
        <w:widowControl/>
        <w:numPr>
          <w:ilvl w:val="0"/>
          <w:numId w:val="11"/>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880"/>
        <w:widowControl/>
        <w:numPr>
          <w:ilvl w:val="0"/>
          <w:numId w:val="11"/>
        </w:numPr>
        <w:adjustRightInd w:val="0"/>
        <w:snapToGrid w:val="0"/>
        <w:spacing w:line="360" w:lineRule="auto"/>
        <w:ind w:firstLine="396" w:firstLineChars="189"/>
        <w:rPr>
          <w:rFonts w:hint="default"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pPr>
        <w:pStyle w:val="880"/>
        <w:widowControl/>
        <w:adjustRightInd w:val="0"/>
        <w:snapToGrid w:val="0"/>
        <w:spacing w:line="360" w:lineRule="auto"/>
        <w:rPr>
          <w:rFonts w:hint="default" w:ascii="仿宋" w:hAnsi="仿宋"/>
          <w:color w:val="auto"/>
          <w:kern w:val="0"/>
          <w:szCs w:val="21"/>
          <w:highlight w:val="none"/>
        </w:rPr>
      </w:pPr>
    </w:p>
    <w:p>
      <w:pPr>
        <w:pStyle w:val="880"/>
        <w:widowControl/>
        <w:adjustRightInd w:val="0"/>
        <w:snapToGrid w:val="0"/>
        <w:spacing w:line="360" w:lineRule="auto"/>
        <w:rPr>
          <w:rFonts w:hint="default" w:ascii="仿宋" w:hAnsi="仿宋"/>
          <w:color w:val="auto"/>
          <w:kern w:val="0"/>
          <w:szCs w:val="21"/>
          <w:highlight w:val="none"/>
        </w:rPr>
      </w:pPr>
    </w:p>
    <w:p>
      <w:pPr>
        <w:pStyle w:val="1323"/>
        <w:widowControl w:val="0"/>
        <w:adjustRightInd w:val="0"/>
        <w:snapToGrid w:val="0"/>
        <w:spacing w:line="360" w:lineRule="auto"/>
        <w:ind w:firstLine="420" w:firstLineChars="200"/>
        <w:jc w:val="both"/>
        <w:rPr>
          <w:rFonts w:hint="default" w:ascii="仿宋" w:hAnsi="仿宋"/>
          <w:color w:val="auto"/>
          <w:szCs w:val="21"/>
          <w:highlight w:val="none"/>
        </w:rPr>
      </w:pPr>
      <w:r>
        <w:rPr>
          <w:rFonts w:ascii="仿宋" w:hAnsi="仿宋"/>
          <w:color w:val="auto"/>
          <w:szCs w:val="21"/>
          <w:highlight w:val="none"/>
        </w:rPr>
        <w:t xml:space="preserve">                                                （供应商代表签名）</w:t>
      </w:r>
    </w:p>
    <w:p>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60" w:lineRule="auto"/>
        <w:rPr>
          <w:color w:val="auto"/>
          <w:highlight w:val="none"/>
        </w:rPr>
      </w:pPr>
      <w:r>
        <w:rPr>
          <w:color w:val="auto"/>
          <w:highlight w:val="none"/>
        </w:rPr>
        <w:br w:type="page"/>
      </w:r>
      <w:r>
        <w:rPr>
          <w:rFonts w:hint="eastAsia"/>
          <w:color w:val="auto"/>
          <w:highlight w:val="none"/>
        </w:rPr>
        <w:t>附件2</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中标通知书接收函</w:t>
      </w:r>
    </w:p>
    <w:p>
      <w:pPr>
        <w:spacing w:line="360" w:lineRule="auto"/>
        <w:rPr>
          <w:color w:val="auto"/>
          <w:sz w:val="24"/>
          <w:highlight w:val="none"/>
        </w:rPr>
      </w:pPr>
    </w:p>
    <w:p>
      <w:pPr>
        <w:adjustRightInd w:val="0"/>
        <w:snapToGrid w:val="0"/>
        <w:spacing w:line="360" w:lineRule="auto"/>
        <w:ind w:firstLine="547" w:firstLineChars="228"/>
        <w:rPr>
          <w:rFonts w:ascii="宋体" w:hAnsi="宋体" w:cs="宋体"/>
          <w:color w:val="auto"/>
          <w:sz w:val="24"/>
          <w:highlight w:val="none"/>
        </w:rPr>
      </w:pPr>
    </w:p>
    <w:p>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pPr>
        <w:spacing w:line="360" w:lineRule="auto"/>
        <w:rPr>
          <w:color w:val="auto"/>
          <w:sz w:val="24"/>
          <w:highlight w:val="none"/>
        </w:rPr>
      </w:pPr>
    </w:p>
    <w:p>
      <w:pPr>
        <w:snapToGrid w:val="0"/>
        <w:spacing w:line="360" w:lineRule="auto"/>
        <w:rPr>
          <w:color w:val="auto"/>
          <w:highlight w:val="none"/>
          <w:u w:val="single"/>
        </w:rPr>
      </w:pPr>
    </w:p>
    <w:p>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pPr>
        <w:snapToGrid w:val="0"/>
        <w:spacing w:line="360" w:lineRule="auto"/>
        <w:rPr>
          <w:color w:val="auto"/>
          <w:sz w:val="24"/>
          <w:highlight w:val="none"/>
        </w:rPr>
      </w:pPr>
      <w:r>
        <w:rPr>
          <w:color w:val="auto"/>
          <w:sz w:val="24"/>
          <w:highlight w:val="none"/>
        </w:rPr>
        <w:t>日期：  年  月  日</w:t>
      </w:r>
    </w:p>
    <w:p>
      <w:pPr>
        <w:snapToGrid w:val="0"/>
        <w:spacing w:line="360" w:lineRule="auto"/>
        <w:rPr>
          <w:color w:val="auto"/>
          <w:sz w:val="24"/>
          <w:highlight w:val="none"/>
        </w:rPr>
      </w:pPr>
    </w:p>
    <w:p>
      <w:pPr>
        <w:rPr>
          <w:color w:val="auto"/>
          <w:highlight w:val="none"/>
        </w:rPr>
      </w:pPr>
    </w:p>
    <w:p>
      <w:pPr>
        <w:snapToGrid w:val="0"/>
        <w:spacing w:line="360" w:lineRule="auto"/>
        <w:rPr>
          <w:color w:val="auto"/>
          <w:sz w:val="24"/>
          <w:highlight w:val="none"/>
        </w:rPr>
      </w:pPr>
      <w:r>
        <w:rPr>
          <w:rFonts w:hint="eastAsia"/>
          <w:color w:val="auto"/>
          <w:sz w:val="24"/>
          <w:highlight w:val="none"/>
        </w:rPr>
        <w:t>通讯地址：</w:t>
      </w:r>
    </w:p>
    <w:p>
      <w:pPr>
        <w:snapToGrid w:val="0"/>
        <w:spacing w:line="360" w:lineRule="auto"/>
        <w:rPr>
          <w:color w:val="auto"/>
          <w:sz w:val="24"/>
          <w:highlight w:val="none"/>
        </w:rPr>
      </w:pPr>
      <w:r>
        <w:rPr>
          <w:rFonts w:hint="eastAsia"/>
          <w:color w:val="auto"/>
          <w:sz w:val="24"/>
          <w:highlight w:val="none"/>
        </w:rPr>
        <w:t>联系人：</w:t>
      </w:r>
    </w:p>
    <w:p>
      <w:pPr>
        <w:snapToGrid w:val="0"/>
        <w:spacing w:line="360" w:lineRule="auto"/>
        <w:rPr>
          <w:color w:val="auto"/>
          <w:sz w:val="24"/>
          <w:highlight w:val="none"/>
        </w:rPr>
      </w:pPr>
      <w:r>
        <w:rPr>
          <w:rFonts w:hint="eastAsia"/>
          <w:color w:val="auto"/>
          <w:sz w:val="24"/>
          <w:highlight w:val="none"/>
        </w:rPr>
        <w:t>联系手机：</w:t>
      </w:r>
    </w:p>
    <w:p>
      <w:pPr>
        <w:rPr>
          <w:color w:val="auto"/>
          <w:highlight w:val="none"/>
        </w:rPr>
      </w:pPr>
    </w:p>
    <w:p>
      <w:pPr>
        <w:rPr>
          <w:color w:val="auto"/>
          <w:highlight w:val="none"/>
        </w:rPr>
      </w:pPr>
    </w:p>
    <w:p>
      <w:pPr>
        <w:rPr>
          <w:color w:val="auto"/>
          <w:highlight w:val="none"/>
        </w:rPr>
      </w:pPr>
    </w:p>
    <w:p>
      <w:pPr>
        <w:spacing w:line="240" w:lineRule="atLeast"/>
        <w:rPr>
          <w:rFonts w:ascii="宋体" w:hAnsi="宋体"/>
          <w:b/>
          <w:color w:val="auto"/>
          <w:highlight w:val="none"/>
        </w:rPr>
      </w:pPr>
      <w:r>
        <w:rPr>
          <w:rFonts w:ascii="宋体" w:hAnsi="宋体"/>
          <w:b/>
          <w:color w:val="auto"/>
          <w:highlight w:val="none"/>
        </w:rPr>
        <w:t>───────────────────────────────────────────</w:t>
      </w:r>
    </w:p>
    <w:p>
      <w:pPr>
        <w:spacing w:line="240" w:lineRule="atLeast"/>
        <w:jc w:val="center"/>
        <w:rPr>
          <w:rFonts w:ascii="宋体" w:hAnsi="宋体"/>
          <w:b/>
          <w:color w:val="auto"/>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pPr>
        <w:pStyle w:val="531"/>
        <w:spacing w:line="360" w:lineRule="auto"/>
        <w:ind w:left="0" w:leftChars="0" w:firstLine="629" w:firstLineChars="0"/>
        <w:rPr>
          <w:rFonts w:ascii="Times New Roman" w:hAnsi="Times New Roman"/>
          <w:b w:val="0"/>
          <w:bCs w:val="0"/>
          <w:color w:val="auto"/>
          <w:sz w:val="24"/>
          <w:szCs w:val="24"/>
          <w:highlight w:val="none"/>
        </w:rPr>
      </w:pPr>
    </w:p>
    <w:p>
      <w:pPr>
        <w:pStyle w:val="531"/>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pPr>
        <w:pStyle w:val="531"/>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pPr>
        <w:spacing w:line="360" w:lineRule="auto"/>
        <w:jc w:val="center"/>
        <w:rPr>
          <w:b/>
          <w:color w:val="auto"/>
          <w:spacing w:val="6"/>
          <w:szCs w:val="21"/>
          <w:highlight w:val="none"/>
        </w:rPr>
      </w:pPr>
      <w:r>
        <w:rPr>
          <w:b/>
          <w:color w:val="auto"/>
          <w:spacing w:val="6"/>
          <w:szCs w:val="21"/>
          <w:highlight w:val="none"/>
        </w:rPr>
        <w:t>质疑函范本</w:t>
      </w:r>
    </w:p>
    <w:p>
      <w:pPr>
        <w:snapToGrid w:val="0"/>
        <w:spacing w:before="240" w:beforeLines="100" w:line="360" w:lineRule="auto"/>
        <w:rPr>
          <w:bCs/>
          <w:color w:val="auto"/>
          <w:szCs w:val="21"/>
          <w:highlight w:val="none"/>
        </w:rPr>
      </w:pPr>
      <w:r>
        <w:rPr>
          <w:bCs/>
          <w:color w:val="auto"/>
          <w:szCs w:val="21"/>
          <w:highlight w:val="none"/>
        </w:rPr>
        <w:t>一、质疑供应商基本信息</w:t>
      </w:r>
    </w:p>
    <w:p>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二、质疑项目基本情况</w:t>
      </w:r>
    </w:p>
    <w:p>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三、质疑事项具体内容</w:t>
      </w:r>
    </w:p>
    <w:p>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质疑事项2</w:t>
      </w:r>
    </w:p>
    <w:p>
      <w:pPr>
        <w:snapToGrid w:val="0"/>
        <w:spacing w:line="360" w:lineRule="auto"/>
        <w:rPr>
          <w:color w:val="auto"/>
          <w:szCs w:val="21"/>
          <w:highlight w:val="none"/>
        </w:rPr>
      </w:pPr>
      <w:r>
        <w:rPr>
          <w:color w:val="auto"/>
          <w:szCs w:val="21"/>
          <w:highlight w:val="none"/>
        </w:rPr>
        <w:t>……</w:t>
      </w:r>
    </w:p>
    <w:p>
      <w:pPr>
        <w:snapToGrid w:val="0"/>
        <w:spacing w:line="360" w:lineRule="auto"/>
        <w:rPr>
          <w:bCs/>
          <w:color w:val="auto"/>
          <w:szCs w:val="21"/>
          <w:highlight w:val="none"/>
        </w:rPr>
      </w:pPr>
      <w:r>
        <w:rPr>
          <w:bCs/>
          <w:color w:val="auto"/>
          <w:szCs w:val="21"/>
          <w:highlight w:val="none"/>
        </w:rPr>
        <w:t>四、与质疑事项相关的质疑请求</w:t>
      </w:r>
    </w:p>
    <w:p>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质疑函制作说明：</w:t>
      </w:r>
    </w:p>
    <w:p>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pPr>
        <w:spacing w:line="360" w:lineRule="auto"/>
        <w:jc w:val="center"/>
        <w:rPr>
          <w:b/>
          <w:color w:val="auto"/>
          <w:szCs w:val="21"/>
          <w:highlight w:val="none"/>
        </w:rPr>
      </w:pPr>
    </w:p>
    <w:p>
      <w:pPr>
        <w:spacing w:line="360" w:lineRule="auto"/>
        <w:jc w:val="center"/>
        <w:rPr>
          <w:b/>
          <w:color w:val="auto"/>
          <w:spacing w:val="6"/>
          <w:szCs w:val="21"/>
          <w:highlight w:val="none"/>
        </w:rPr>
      </w:pPr>
      <w:r>
        <w:rPr>
          <w:b/>
          <w:color w:val="auto"/>
          <w:spacing w:val="6"/>
          <w:szCs w:val="21"/>
          <w:highlight w:val="none"/>
        </w:rPr>
        <w:t>投诉书范本</w:t>
      </w:r>
    </w:p>
    <w:p>
      <w:pPr>
        <w:spacing w:line="360" w:lineRule="auto"/>
        <w:rPr>
          <w:color w:val="auto"/>
          <w:szCs w:val="21"/>
          <w:highlight w:val="none"/>
        </w:rPr>
      </w:pPr>
      <w:r>
        <w:rPr>
          <w:color w:val="auto"/>
          <w:szCs w:val="21"/>
          <w:highlight w:val="none"/>
        </w:rPr>
        <w:t>一、投诉相关主体基本情况</w:t>
      </w:r>
    </w:p>
    <w:p>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被投诉人2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二、投诉项目基本情况</w:t>
      </w:r>
    </w:p>
    <w:p>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三、质疑基本情况</w:t>
      </w:r>
    </w:p>
    <w:p>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pPr>
        <w:spacing w:line="360" w:lineRule="auto"/>
        <w:rPr>
          <w:color w:val="auto"/>
          <w:szCs w:val="21"/>
          <w:highlight w:val="none"/>
        </w:rPr>
      </w:pPr>
      <w:r>
        <w:rPr>
          <w:color w:val="auto"/>
          <w:szCs w:val="21"/>
          <w:highlight w:val="none"/>
        </w:rPr>
        <w:t>四、投诉事项具体内容</w:t>
      </w:r>
    </w:p>
    <w:p>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rPr>
      </w:pPr>
      <w:r>
        <w:rPr>
          <w:color w:val="auto"/>
          <w:szCs w:val="21"/>
          <w:highlight w:val="none"/>
        </w:rPr>
        <w:t>投诉事项2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rPr>
      </w:pPr>
      <w:r>
        <w:rPr>
          <w:color w:val="auto"/>
          <w:szCs w:val="21"/>
          <w:highlight w:val="none"/>
        </w:rPr>
        <w:t>五、与投诉事项相关的投诉请求</w:t>
      </w:r>
    </w:p>
    <w:p>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投诉书制作说明：</w:t>
      </w:r>
    </w:p>
    <w:p>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pPr>
        <w:pStyle w:val="531"/>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MS Mincho">
    <w:panose1 w:val="02020609040205080304"/>
    <w:charset w:val="80"/>
    <w:family w:val="modern"/>
    <w:pitch w:val="default"/>
    <w:sig w:usb0="E00002FF" w:usb1="6AC7FDFB" w:usb2="00000012" w:usb3="00000000" w:csb0="4002009F" w:csb1="DFD70000"/>
  </w:font>
  <w:font w:name="Arail">
    <w:altName w:val="Times New Roman"/>
    <w:panose1 w:val="00000000000000000000"/>
    <w:charset w:val="00"/>
    <w:family w:val="auto"/>
    <w:pitch w:val="default"/>
    <w:sig w:usb0="00000000" w:usb1="00000000" w:usb2="00000000" w:usb3="00000000" w:csb0="00040001" w:csb1="00000000"/>
  </w:font>
  <w:font w:name="Futura Lt">
    <w:altName w:val="Arial"/>
    <w:panose1 w:val="00000000000000000000"/>
    <w:charset w:val="00"/>
    <w:family w:val="swiss"/>
    <w:pitch w:val="default"/>
    <w:sig w:usb0="00000000" w:usb1="00000000" w:usb2="00000000" w:usb3="00000000" w:csb0="0000009F" w:csb1="00000000"/>
  </w:font>
  <w:font w:name="??_GB2312">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font-weight : 400">
    <w:altName w:val="宋体"/>
    <w:panose1 w:val="00000000000000000000"/>
    <w:charset w:val="00"/>
    <w:family w:val="auto"/>
    <w:pitch w:val="default"/>
    <w:sig w:usb0="00000000" w:usb1="00000000" w:usb2="00000000" w:usb3="00000000" w:csb0="00040001" w:csb1="00000000"/>
  </w:font>
  <w:font w:name="sө">
    <w:altName w:val="Times New Roman"/>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Batang">
    <w:panose1 w:val="02030600000101010101"/>
    <w:charset w:val="81"/>
    <w:family w:val="roman"/>
    <w:pitch w:val="default"/>
    <w:sig w:usb0="B00002AF" w:usb1="69D77CFB" w:usb2="00000030" w:usb3="00000000" w:csb0="4008009F" w:csb1="DFD70000"/>
  </w:font>
  <w:font w:name="Futura-Book">
    <w:altName w:val="Arial"/>
    <w:panose1 w:val="00000000000000000000"/>
    <w:charset w:val="00"/>
    <w:family w:val="swiss"/>
    <w:pitch w:val="default"/>
    <w:sig w:usb0="00000000" w:usb1="00000000" w:usb2="00000000" w:usb3="00000000" w:csb0="00000001" w:csb1="00000000"/>
  </w:font>
  <w:font w:name="MetaBook-Roman">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New Century Schlbk">
    <w:altName w:val="Times New Roman"/>
    <w:panose1 w:val="00000000000000000000"/>
    <w:charset w:val="00"/>
    <w:family w:val="auto"/>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Futura-Heavy">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ヒラギノ角ゴ Pro W3">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Segoe Print"/>
    <w:panose1 w:val="00000000000000000000"/>
    <w:charset w:val="00"/>
    <w:family w:val="decorative"/>
    <w:pitch w:val="default"/>
    <w:sig w:usb0="00000000" w:usb1="00000000" w:usb2="00000000" w:usb3="00000000" w:csb0="0000001B" w:csb1="00000000"/>
  </w:font>
  <w:font w:name="ˎ̥">
    <w:altName w:val="Times New Roman"/>
    <w:panose1 w:val="00000000000000000000"/>
    <w:charset w:val="00"/>
    <w:family w:val="roman"/>
    <w:pitch w:val="default"/>
    <w:sig w:usb0="00000000" w:usb1="00000000" w:usb2="00000000" w:usb3="00000000" w:csb0="00040001" w:csb1="00000000"/>
  </w:font>
  <w:font w:name="IOAPJP+TimesNewRoman">
    <w:altName w:val="宋体"/>
    <w:panose1 w:val="00000000000000000000"/>
    <w:charset w:val="86"/>
    <w:family w:val="roman"/>
    <w:pitch w:val="default"/>
    <w:sig w:usb0="00000000" w:usb1="00000000" w:usb2="00000010" w:usb3="00000000" w:csb0="00040000" w:csb1="00000000"/>
  </w:font>
  <w:font w:name="文鼎PL细上海宋Uni">
    <w:altName w:val="宋体"/>
    <w:panose1 w:val="00000000000000000000"/>
    <w:charset w:val="80"/>
    <w:family w:val="modern"/>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方正细等线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rFonts w:hint="eastAsia"/>
      </w:rPr>
      <w:t>第</w:t>
    </w:r>
    <w:r>
      <w:fldChar w:fldCharType="begin"/>
    </w:r>
    <w:r>
      <w:instrText xml:space="preserve"> PAGE   \* MERGEFORMAT </w:instrText>
    </w:r>
    <w:r>
      <w:fldChar w:fldCharType="separate"/>
    </w:r>
    <w:r>
      <w:rPr>
        <w:lang w:val="zh-CN"/>
      </w:rPr>
      <w:t>30</w:t>
    </w:r>
    <w:r>
      <w:rPr>
        <w:lang w:val="zh-CN"/>
      </w:rPr>
      <w:fldChar w:fldCharType="end"/>
    </w:r>
    <w:r>
      <w:rPr>
        <w:rFonts w:hint="eastAsia"/>
      </w:rPr>
      <w:t>页，共</w:t>
    </w:r>
    <w:r>
      <w:fldChar w:fldCharType="begin"/>
    </w:r>
    <w:r>
      <w:instrText xml:space="preserve"> NUMPAGES   \* MERGEFORMAT </w:instrText>
    </w:r>
    <w:r>
      <w:fldChar w:fldCharType="separate"/>
    </w:r>
    <w:r>
      <w:t>68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5"/>
      </w:rPr>
    </w:pPr>
    <w:r>
      <w:fldChar w:fldCharType="begin"/>
    </w:r>
    <w:r>
      <w:rPr>
        <w:rStyle w:val="85"/>
      </w:rPr>
      <w:instrText xml:space="preserve">PAGE  </w:instrText>
    </w:r>
    <w:r>
      <w:fldChar w:fldCharType="separate"/>
    </w:r>
    <w:r>
      <w:rPr>
        <w:rStyle w:val="85"/>
      </w:rPr>
      <w:t>2</w:t>
    </w:r>
    <w:r>
      <w:fldChar w:fldCharType="end"/>
    </w:r>
  </w:p>
  <w:p>
    <w:pPr>
      <w:pStyle w:val="5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19EC8"/>
    <w:multiLevelType w:val="singleLevel"/>
    <w:tmpl w:val="81519EC8"/>
    <w:lvl w:ilvl="0" w:tentative="0">
      <w:start w:val="1"/>
      <w:numFmt w:val="decimal"/>
      <w:suff w:val="nothing"/>
      <w:lvlText w:val="%1、"/>
      <w:lvlJc w:val="left"/>
    </w:lvl>
  </w:abstractNum>
  <w:abstractNum w:abstractNumId="1">
    <w:nsid w:val="94113F68"/>
    <w:multiLevelType w:val="singleLevel"/>
    <w:tmpl w:val="94113F68"/>
    <w:lvl w:ilvl="0" w:tentative="0">
      <w:start w:val="1"/>
      <w:numFmt w:val="decimal"/>
      <w:suff w:val="nothing"/>
      <w:lvlText w:val="（%1）"/>
      <w:lvlJc w:val="left"/>
    </w:lvl>
  </w:abstractNum>
  <w:abstractNum w:abstractNumId="2">
    <w:nsid w:val="AFE9D598"/>
    <w:multiLevelType w:val="singleLevel"/>
    <w:tmpl w:val="AFE9D598"/>
    <w:lvl w:ilvl="0" w:tentative="0">
      <w:start w:val="3"/>
      <w:numFmt w:val="decimal"/>
      <w:lvlText w:val="%1."/>
      <w:lvlJc w:val="left"/>
      <w:pPr>
        <w:tabs>
          <w:tab w:val="left" w:pos="312"/>
        </w:tabs>
      </w:pPr>
    </w:lvl>
  </w:abstractNum>
  <w:abstractNum w:abstractNumId="3">
    <w:nsid w:val="CBC0DC41"/>
    <w:multiLevelType w:val="singleLevel"/>
    <w:tmpl w:val="CBC0DC41"/>
    <w:lvl w:ilvl="0" w:tentative="0">
      <w:start w:val="1"/>
      <w:numFmt w:val="decimal"/>
      <w:lvlText w:val="%1."/>
      <w:lvlJc w:val="left"/>
      <w:pPr>
        <w:tabs>
          <w:tab w:val="left" w:pos="312"/>
        </w:tabs>
      </w:pPr>
    </w:lvl>
  </w:abstractNum>
  <w:abstractNum w:abstractNumId="4">
    <w:nsid w:val="E2B6E772"/>
    <w:multiLevelType w:val="singleLevel"/>
    <w:tmpl w:val="E2B6E772"/>
    <w:lvl w:ilvl="0" w:tentative="0">
      <w:start w:val="4"/>
      <w:numFmt w:val="decimal"/>
      <w:suff w:val="nothing"/>
      <w:lvlText w:val="（%1）"/>
      <w:lvlJc w:val="left"/>
    </w:lvl>
  </w:abstractNum>
  <w:abstractNum w:abstractNumId="5">
    <w:nsid w:val="E962905C"/>
    <w:multiLevelType w:val="singleLevel"/>
    <w:tmpl w:val="E962905C"/>
    <w:lvl w:ilvl="0" w:tentative="0">
      <w:start w:val="1"/>
      <w:numFmt w:val="decimal"/>
      <w:suff w:val="nothing"/>
      <w:lvlText w:val="%1、"/>
      <w:lvlJc w:val="left"/>
    </w:lvl>
  </w:abstractNum>
  <w:abstractNum w:abstractNumId="6">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7">
    <w:nsid w:val="FD8902AC"/>
    <w:multiLevelType w:val="singleLevel"/>
    <w:tmpl w:val="FD8902AC"/>
    <w:lvl w:ilvl="0" w:tentative="0">
      <w:start w:val="1"/>
      <w:numFmt w:val="lowerLetter"/>
      <w:lvlText w:val="%1."/>
      <w:lvlJc w:val="left"/>
      <w:pPr>
        <w:ind w:left="425" w:hanging="425"/>
      </w:pPr>
      <w:rPr>
        <w:rFonts w:hint="default"/>
      </w:rPr>
    </w:lvl>
  </w:abstractNum>
  <w:abstractNum w:abstractNumId="8">
    <w:nsid w:val="FE58290E"/>
    <w:multiLevelType w:val="singleLevel"/>
    <w:tmpl w:val="FE58290E"/>
    <w:lvl w:ilvl="0" w:tentative="0">
      <w:start w:val="3"/>
      <w:numFmt w:val="decimal"/>
      <w:suff w:val="nothing"/>
      <w:lvlText w:val="（%1）"/>
      <w:lvlJc w:val="left"/>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num w:numId="1">
    <w:abstractNumId w:val="4"/>
  </w:num>
  <w:num w:numId="2">
    <w:abstractNumId w:val="8"/>
  </w:num>
  <w:num w:numId="3">
    <w:abstractNumId w:val="0"/>
  </w:num>
  <w:num w:numId="4">
    <w:abstractNumId w:val="2"/>
  </w:num>
  <w:num w:numId="5">
    <w:abstractNumId w:val="1"/>
  </w:num>
  <w:num w:numId="6">
    <w:abstractNumId w:val="5"/>
  </w:num>
  <w:num w:numId="7">
    <w:abstractNumId w:val="7"/>
  </w:num>
  <w:num w:numId="8">
    <w:abstractNumId w:val="6"/>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yZWExYTkzMjkxZDAyMDI2NjhmMzlhZDRkOTM1MTEifQ=="/>
  </w:docVars>
  <w:rsids>
    <w:rsidRoot w:val="0065469A"/>
    <w:rsid w:val="000003A6"/>
    <w:rsid w:val="00003C80"/>
    <w:rsid w:val="000047B3"/>
    <w:rsid w:val="00011CE6"/>
    <w:rsid w:val="00015363"/>
    <w:rsid w:val="0001667D"/>
    <w:rsid w:val="000166C4"/>
    <w:rsid w:val="00022860"/>
    <w:rsid w:val="000236D6"/>
    <w:rsid w:val="00024153"/>
    <w:rsid w:val="000258AE"/>
    <w:rsid w:val="00041262"/>
    <w:rsid w:val="00041F76"/>
    <w:rsid w:val="00044A05"/>
    <w:rsid w:val="000451C1"/>
    <w:rsid w:val="00046DBB"/>
    <w:rsid w:val="00047DC5"/>
    <w:rsid w:val="00050741"/>
    <w:rsid w:val="00054C46"/>
    <w:rsid w:val="00057057"/>
    <w:rsid w:val="000571AC"/>
    <w:rsid w:val="0006224D"/>
    <w:rsid w:val="000643BE"/>
    <w:rsid w:val="00064A25"/>
    <w:rsid w:val="0007028C"/>
    <w:rsid w:val="000720AC"/>
    <w:rsid w:val="00075195"/>
    <w:rsid w:val="0007588F"/>
    <w:rsid w:val="00076352"/>
    <w:rsid w:val="00076D40"/>
    <w:rsid w:val="000811F2"/>
    <w:rsid w:val="00082F7B"/>
    <w:rsid w:val="00082FC6"/>
    <w:rsid w:val="00083A30"/>
    <w:rsid w:val="0008683F"/>
    <w:rsid w:val="0008785F"/>
    <w:rsid w:val="00091075"/>
    <w:rsid w:val="000934FF"/>
    <w:rsid w:val="00094AA3"/>
    <w:rsid w:val="000974ED"/>
    <w:rsid w:val="000978FD"/>
    <w:rsid w:val="00097FF4"/>
    <w:rsid w:val="000A0974"/>
    <w:rsid w:val="000A1304"/>
    <w:rsid w:val="000A1DE9"/>
    <w:rsid w:val="000A2637"/>
    <w:rsid w:val="000A2A43"/>
    <w:rsid w:val="000A3A91"/>
    <w:rsid w:val="000A4542"/>
    <w:rsid w:val="000A7563"/>
    <w:rsid w:val="000B04D8"/>
    <w:rsid w:val="000B0C1E"/>
    <w:rsid w:val="000B1DDC"/>
    <w:rsid w:val="000B3744"/>
    <w:rsid w:val="000B405E"/>
    <w:rsid w:val="000C0E65"/>
    <w:rsid w:val="000C1526"/>
    <w:rsid w:val="000C3E6F"/>
    <w:rsid w:val="000C3FD0"/>
    <w:rsid w:val="000C5101"/>
    <w:rsid w:val="000C53C1"/>
    <w:rsid w:val="000C645C"/>
    <w:rsid w:val="000C783F"/>
    <w:rsid w:val="000C7999"/>
    <w:rsid w:val="000D07E7"/>
    <w:rsid w:val="000D1550"/>
    <w:rsid w:val="000D1A7C"/>
    <w:rsid w:val="000D27C3"/>
    <w:rsid w:val="000D2867"/>
    <w:rsid w:val="000D2D5E"/>
    <w:rsid w:val="000D328C"/>
    <w:rsid w:val="000D4648"/>
    <w:rsid w:val="000D4F6A"/>
    <w:rsid w:val="000D5442"/>
    <w:rsid w:val="000D7AF8"/>
    <w:rsid w:val="000E11AD"/>
    <w:rsid w:val="000E1376"/>
    <w:rsid w:val="000E2061"/>
    <w:rsid w:val="000E42B8"/>
    <w:rsid w:val="000E42DB"/>
    <w:rsid w:val="000E52D2"/>
    <w:rsid w:val="000E5632"/>
    <w:rsid w:val="000E5E3A"/>
    <w:rsid w:val="000F3D71"/>
    <w:rsid w:val="000F3FDD"/>
    <w:rsid w:val="000F484C"/>
    <w:rsid w:val="000F5BA1"/>
    <w:rsid w:val="000F65C3"/>
    <w:rsid w:val="000F6890"/>
    <w:rsid w:val="001059D6"/>
    <w:rsid w:val="00105F2C"/>
    <w:rsid w:val="00107A47"/>
    <w:rsid w:val="00116259"/>
    <w:rsid w:val="00117177"/>
    <w:rsid w:val="00117DF7"/>
    <w:rsid w:val="00120931"/>
    <w:rsid w:val="0012107B"/>
    <w:rsid w:val="001212F5"/>
    <w:rsid w:val="001216B7"/>
    <w:rsid w:val="00124371"/>
    <w:rsid w:val="00125F0D"/>
    <w:rsid w:val="001267DB"/>
    <w:rsid w:val="001367AD"/>
    <w:rsid w:val="00140B1D"/>
    <w:rsid w:val="00141C30"/>
    <w:rsid w:val="00142834"/>
    <w:rsid w:val="00152981"/>
    <w:rsid w:val="00155815"/>
    <w:rsid w:val="00155A3B"/>
    <w:rsid w:val="00156402"/>
    <w:rsid w:val="00164602"/>
    <w:rsid w:val="00164D86"/>
    <w:rsid w:val="00166476"/>
    <w:rsid w:val="001724F7"/>
    <w:rsid w:val="00176F20"/>
    <w:rsid w:val="0018397B"/>
    <w:rsid w:val="00185FF3"/>
    <w:rsid w:val="001869AB"/>
    <w:rsid w:val="00187A34"/>
    <w:rsid w:val="00191BEB"/>
    <w:rsid w:val="0019211C"/>
    <w:rsid w:val="00192E9E"/>
    <w:rsid w:val="00193EED"/>
    <w:rsid w:val="001945C1"/>
    <w:rsid w:val="00194C46"/>
    <w:rsid w:val="00195F81"/>
    <w:rsid w:val="00196685"/>
    <w:rsid w:val="00196EB9"/>
    <w:rsid w:val="001977E2"/>
    <w:rsid w:val="001A078B"/>
    <w:rsid w:val="001A0F6F"/>
    <w:rsid w:val="001A178C"/>
    <w:rsid w:val="001A25CE"/>
    <w:rsid w:val="001A33AA"/>
    <w:rsid w:val="001A4620"/>
    <w:rsid w:val="001A518E"/>
    <w:rsid w:val="001A5973"/>
    <w:rsid w:val="001A5C40"/>
    <w:rsid w:val="001A6EDA"/>
    <w:rsid w:val="001B2EF5"/>
    <w:rsid w:val="001B4962"/>
    <w:rsid w:val="001B5ECC"/>
    <w:rsid w:val="001C1342"/>
    <w:rsid w:val="001C49E2"/>
    <w:rsid w:val="001C6D51"/>
    <w:rsid w:val="001C7906"/>
    <w:rsid w:val="001D183F"/>
    <w:rsid w:val="001D47A9"/>
    <w:rsid w:val="001D5815"/>
    <w:rsid w:val="001D63F3"/>
    <w:rsid w:val="001D6D3D"/>
    <w:rsid w:val="001D79DA"/>
    <w:rsid w:val="001E03F4"/>
    <w:rsid w:val="001E07B3"/>
    <w:rsid w:val="001E5A7C"/>
    <w:rsid w:val="001E5FEE"/>
    <w:rsid w:val="001E6298"/>
    <w:rsid w:val="001E7D7A"/>
    <w:rsid w:val="001F0BC8"/>
    <w:rsid w:val="001F1C1B"/>
    <w:rsid w:val="001F4D1F"/>
    <w:rsid w:val="001F75DC"/>
    <w:rsid w:val="00200C3F"/>
    <w:rsid w:val="0020100E"/>
    <w:rsid w:val="002016CB"/>
    <w:rsid w:val="00202736"/>
    <w:rsid w:val="00204D5D"/>
    <w:rsid w:val="00206865"/>
    <w:rsid w:val="00213D0A"/>
    <w:rsid w:val="00217388"/>
    <w:rsid w:val="0021792F"/>
    <w:rsid w:val="002213DB"/>
    <w:rsid w:val="00222BC3"/>
    <w:rsid w:val="0022428B"/>
    <w:rsid w:val="00225171"/>
    <w:rsid w:val="002259F5"/>
    <w:rsid w:val="0022602A"/>
    <w:rsid w:val="00227C49"/>
    <w:rsid w:val="00227CC3"/>
    <w:rsid w:val="00231D74"/>
    <w:rsid w:val="0023286E"/>
    <w:rsid w:val="002328A1"/>
    <w:rsid w:val="00232A78"/>
    <w:rsid w:val="00233569"/>
    <w:rsid w:val="00234291"/>
    <w:rsid w:val="00234E0C"/>
    <w:rsid w:val="002374F6"/>
    <w:rsid w:val="00245443"/>
    <w:rsid w:val="00245BF5"/>
    <w:rsid w:val="002500C3"/>
    <w:rsid w:val="0025166D"/>
    <w:rsid w:val="00252C6C"/>
    <w:rsid w:val="00253E30"/>
    <w:rsid w:val="002545E3"/>
    <w:rsid w:val="002550C6"/>
    <w:rsid w:val="0025631A"/>
    <w:rsid w:val="00256523"/>
    <w:rsid w:val="00260797"/>
    <w:rsid w:val="00264572"/>
    <w:rsid w:val="002719BA"/>
    <w:rsid w:val="00272EE4"/>
    <w:rsid w:val="00274912"/>
    <w:rsid w:val="0027531A"/>
    <w:rsid w:val="00277272"/>
    <w:rsid w:val="00280290"/>
    <w:rsid w:val="00280583"/>
    <w:rsid w:val="00282DA5"/>
    <w:rsid w:val="00284A6D"/>
    <w:rsid w:val="00285910"/>
    <w:rsid w:val="00285D68"/>
    <w:rsid w:val="00294959"/>
    <w:rsid w:val="00294D94"/>
    <w:rsid w:val="002954D3"/>
    <w:rsid w:val="002971D3"/>
    <w:rsid w:val="002978D3"/>
    <w:rsid w:val="002A337E"/>
    <w:rsid w:val="002A725B"/>
    <w:rsid w:val="002B33AC"/>
    <w:rsid w:val="002B506F"/>
    <w:rsid w:val="002B5753"/>
    <w:rsid w:val="002B5E08"/>
    <w:rsid w:val="002C0B2F"/>
    <w:rsid w:val="002D0208"/>
    <w:rsid w:val="002D5407"/>
    <w:rsid w:val="002D6352"/>
    <w:rsid w:val="002D674B"/>
    <w:rsid w:val="002E019B"/>
    <w:rsid w:val="002E123C"/>
    <w:rsid w:val="002E3BB3"/>
    <w:rsid w:val="002E54D2"/>
    <w:rsid w:val="002E62BB"/>
    <w:rsid w:val="002F560C"/>
    <w:rsid w:val="00300D3B"/>
    <w:rsid w:val="0030199A"/>
    <w:rsid w:val="003079A5"/>
    <w:rsid w:val="00313C1F"/>
    <w:rsid w:val="00317787"/>
    <w:rsid w:val="00317914"/>
    <w:rsid w:val="003230B6"/>
    <w:rsid w:val="00324EA3"/>
    <w:rsid w:val="00326F1D"/>
    <w:rsid w:val="00330CFF"/>
    <w:rsid w:val="0033238A"/>
    <w:rsid w:val="003349FD"/>
    <w:rsid w:val="00336D9B"/>
    <w:rsid w:val="00337133"/>
    <w:rsid w:val="00340BD8"/>
    <w:rsid w:val="00342201"/>
    <w:rsid w:val="00342C82"/>
    <w:rsid w:val="003430A6"/>
    <w:rsid w:val="00346550"/>
    <w:rsid w:val="00352C69"/>
    <w:rsid w:val="003544D9"/>
    <w:rsid w:val="00354DBE"/>
    <w:rsid w:val="003553C4"/>
    <w:rsid w:val="00355673"/>
    <w:rsid w:val="00362D50"/>
    <w:rsid w:val="0036335A"/>
    <w:rsid w:val="0036645E"/>
    <w:rsid w:val="00371A58"/>
    <w:rsid w:val="00372A7E"/>
    <w:rsid w:val="00381131"/>
    <w:rsid w:val="00382E0D"/>
    <w:rsid w:val="00385A91"/>
    <w:rsid w:val="00386620"/>
    <w:rsid w:val="003872F4"/>
    <w:rsid w:val="00390FC6"/>
    <w:rsid w:val="003910AA"/>
    <w:rsid w:val="003956F1"/>
    <w:rsid w:val="00395F1E"/>
    <w:rsid w:val="003A0AEB"/>
    <w:rsid w:val="003A2D88"/>
    <w:rsid w:val="003A5026"/>
    <w:rsid w:val="003A5971"/>
    <w:rsid w:val="003A5CCE"/>
    <w:rsid w:val="003A6D65"/>
    <w:rsid w:val="003A7C0E"/>
    <w:rsid w:val="003B06DD"/>
    <w:rsid w:val="003B6C69"/>
    <w:rsid w:val="003B7092"/>
    <w:rsid w:val="003B71FA"/>
    <w:rsid w:val="003B783B"/>
    <w:rsid w:val="003B7A93"/>
    <w:rsid w:val="003B7BD6"/>
    <w:rsid w:val="003C4A58"/>
    <w:rsid w:val="003C5654"/>
    <w:rsid w:val="003C7CE2"/>
    <w:rsid w:val="003D09E6"/>
    <w:rsid w:val="003D5D02"/>
    <w:rsid w:val="003D6F50"/>
    <w:rsid w:val="003E316E"/>
    <w:rsid w:val="003E75AD"/>
    <w:rsid w:val="003F16EC"/>
    <w:rsid w:val="003F3A26"/>
    <w:rsid w:val="003F7769"/>
    <w:rsid w:val="00401C4B"/>
    <w:rsid w:val="00404043"/>
    <w:rsid w:val="0040578F"/>
    <w:rsid w:val="00410E8F"/>
    <w:rsid w:val="00414236"/>
    <w:rsid w:val="004143A9"/>
    <w:rsid w:val="004170D0"/>
    <w:rsid w:val="004307E7"/>
    <w:rsid w:val="00431901"/>
    <w:rsid w:val="00435819"/>
    <w:rsid w:val="00436F57"/>
    <w:rsid w:val="004374B7"/>
    <w:rsid w:val="00437FEE"/>
    <w:rsid w:val="004427D5"/>
    <w:rsid w:val="00442B07"/>
    <w:rsid w:val="00442E75"/>
    <w:rsid w:val="00446077"/>
    <w:rsid w:val="00446111"/>
    <w:rsid w:val="00447A52"/>
    <w:rsid w:val="00447B6D"/>
    <w:rsid w:val="00450024"/>
    <w:rsid w:val="00453050"/>
    <w:rsid w:val="0045324A"/>
    <w:rsid w:val="004563F6"/>
    <w:rsid w:val="00456A27"/>
    <w:rsid w:val="0045791B"/>
    <w:rsid w:val="00460123"/>
    <w:rsid w:val="00461A9F"/>
    <w:rsid w:val="00465493"/>
    <w:rsid w:val="00466D44"/>
    <w:rsid w:val="00470A07"/>
    <w:rsid w:val="00473873"/>
    <w:rsid w:val="0047451D"/>
    <w:rsid w:val="00474857"/>
    <w:rsid w:val="00475F91"/>
    <w:rsid w:val="00475FA1"/>
    <w:rsid w:val="00477B5C"/>
    <w:rsid w:val="00484519"/>
    <w:rsid w:val="00484757"/>
    <w:rsid w:val="00485119"/>
    <w:rsid w:val="004879D1"/>
    <w:rsid w:val="004913ED"/>
    <w:rsid w:val="004926CB"/>
    <w:rsid w:val="00497DB5"/>
    <w:rsid w:val="004A0252"/>
    <w:rsid w:val="004A195A"/>
    <w:rsid w:val="004A2EB8"/>
    <w:rsid w:val="004A2FD8"/>
    <w:rsid w:val="004A600D"/>
    <w:rsid w:val="004A627F"/>
    <w:rsid w:val="004A7058"/>
    <w:rsid w:val="004B168E"/>
    <w:rsid w:val="004B218E"/>
    <w:rsid w:val="004D609C"/>
    <w:rsid w:val="004D7C13"/>
    <w:rsid w:val="004E0B2D"/>
    <w:rsid w:val="004E0CA1"/>
    <w:rsid w:val="004E34C4"/>
    <w:rsid w:val="004E5A46"/>
    <w:rsid w:val="004F029E"/>
    <w:rsid w:val="004F76F8"/>
    <w:rsid w:val="00501940"/>
    <w:rsid w:val="00502C16"/>
    <w:rsid w:val="00505153"/>
    <w:rsid w:val="00506724"/>
    <w:rsid w:val="00507985"/>
    <w:rsid w:val="005101F2"/>
    <w:rsid w:val="005108B6"/>
    <w:rsid w:val="00511088"/>
    <w:rsid w:val="0051364A"/>
    <w:rsid w:val="0051379A"/>
    <w:rsid w:val="00513AFB"/>
    <w:rsid w:val="00515D6D"/>
    <w:rsid w:val="0052081A"/>
    <w:rsid w:val="00520E4A"/>
    <w:rsid w:val="0052179B"/>
    <w:rsid w:val="00521EED"/>
    <w:rsid w:val="00524C35"/>
    <w:rsid w:val="005269D3"/>
    <w:rsid w:val="00530101"/>
    <w:rsid w:val="005404AD"/>
    <w:rsid w:val="00540F97"/>
    <w:rsid w:val="00541806"/>
    <w:rsid w:val="00547595"/>
    <w:rsid w:val="005516A8"/>
    <w:rsid w:val="00553C05"/>
    <w:rsid w:val="00561A8E"/>
    <w:rsid w:val="00561BA3"/>
    <w:rsid w:val="005656E4"/>
    <w:rsid w:val="00567BEC"/>
    <w:rsid w:val="00572045"/>
    <w:rsid w:val="00577629"/>
    <w:rsid w:val="00577C21"/>
    <w:rsid w:val="0058035F"/>
    <w:rsid w:val="0058132A"/>
    <w:rsid w:val="00581F8D"/>
    <w:rsid w:val="00584764"/>
    <w:rsid w:val="0059635F"/>
    <w:rsid w:val="00596795"/>
    <w:rsid w:val="005A302D"/>
    <w:rsid w:val="005A45DD"/>
    <w:rsid w:val="005A4AAF"/>
    <w:rsid w:val="005B3646"/>
    <w:rsid w:val="005B4416"/>
    <w:rsid w:val="005B5A16"/>
    <w:rsid w:val="005B6E3E"/>
    <w:rsid w:val="005C148F"/>
    <w:rsid w:val="005C2707"/>
    <w:rsid w:val="005C335A"/>
    <w:rsid w:val="005C4AD3"/>
    <w:rsid w:val="005C5344"/>
    <w:rsid w:val="005C6C46"/>
    <w:rsid w:val="005C715A"/>
    <w:rsid w:val="005D0903"/>
    <w:rsid w:val="005D164E"/>
    <w:rsid w:val="005E4EC5"/>
    <w:rsid w:val="005E6558"/>
    <w:rsid w:val="005F01D5"/>
    <w:rsid w:val="005F0BD1"/>
    <w:rsid w:val="005F6F20"/>
    <w:rsid w:val="005F738E"/>
    <w:rsid w:val="00600B60"/>
    <w:rsid w:val="00601F10"/>
    <w:rsid w:val="00602468"/>
    <w:rsid w:val="00607973"/>
    <w:rsid w:val="00611135"/>
    <w:rsid w:val="00613421"/>
    <w:rsid w:val="00614F4E"/>
    <w:rsid w:val="00621C93"/>
    <w:rsid w:val="00630D42"/>
    <w:rsid w:val="006315D2"/>
    <w:rsid w:val="006319C6"/>
    <w:rsid w:val="00636D3D"/>
    <w:rsid w:val="00637A9D"/>
    <w:rsid w:val="00640934"/>
    <w:rsid w:val="00647324"/>
    <w:rsid w:val="00652933"/>
    <w:rsid w:val="006535DA"/>
    <w:rsid w:val="0065469A"/>
    <w:rsid w:val="0066016E"/>
    <w:rsid w:val="00662934"/>
    <w:rsid w:val="00663D0B"/>
    <w:rsid w:val="00666FFB"/>
    <w:rsid w:val="00670197"/>
    <w:rsid w:val="00670A96"/>
    <w:rsid w:val="00672B8B"/>
    <w:rsid w:val="006742FD"/>
    <w:rsid w:val="00675098"/>
    <w:rsid w:val="00676B3A"/>
    <w:rsid w:val="00677F9C"/>
    <w:rsid w:val="00680646"/>
    <w:rsid w:val="00681985"/>
    <w:rsid w:val="00682875"/>
    <w:rsid w:val="0068423A"/>
    <w:rsid w:val="006849CC"/>
    <w:rsid w:val="00684BE6"/>
    <w:rsid w:val="00692A32"/>
    <w:rsid w:val="00694A27"/>
    <w:rsid w:val="00697452"/>
    <w:rsid w:val="0069776B"/>
    <w:rsid w:val="006A12AF"/>
    <w:rsid w:val="006A135F"/>
    <w:rsid w:val="006A4A1C"/>
    <w:rsid w:val="006A65FC"/>
    <w:rsid w:val="006A7C4B"/>
    <w:rsid w:val="006B5084"/>
    <w:rsid w:val="006B5489"/>
    <w:rsid w:val="006B5F4B"/>
    <w:rsid w:val="006B67F8"/>
    <w:rsid w:val="006B6D83"/>
    <w:rsid w:val="006C01E7"/>
    <w:rsid w:val="006C1570"/>
    <w:rsid w:val="006C40BE"/>
    <w:rsid w:val="006C5DE2"/>
    <w:rsid w:val="006D0292"/>
    <w:rsid w:val="006D447E"/>
    <w:rsid w:val="006D488E"/>
    <w:rsid w:val="006D6C3F"/>
    <w:rsid w:val="006E07AE"/>
    <w:rsid w:val="006E699D"/>
    <w:rsid w:val="006E6AC8"/>
    <w:rsid w:val="006E6B8D"/>
    <w:rsid w:val="006F3368"/>
    <w:rsid w:val="006F482B"/>
    <w:rsid w:val="00705036"/>
    <w:rsid w:val="00713B04"/>
    <w:rsid w:val="007177F5"/>
    <w:rsid w:val="007178FA"/>
    <w:rsid w:val="007210A6"/>
    <w:rsid w:val="007252A1"/>
    <w:rsid w:val="00726F6C"/>
    <w:rsid w:val="0073041A"/>
    <w:rsid w:val="007309C0"/>
    <w:rsid w:val="00731E82"/>
    <w:rsid w:val="00736ACE"/>
    <w:rsid w:val="007402A0"/>
    <w:rsid w:val="00740932"/>
    <w:rsid w:val="00743012"/>
    <w:rsid w:val="00745207"/>
    <w:rsid w:val="00745FA4"/>
    <w:rsid w:val="00746894"/>
    <w:rsid w:val="00751C73"/>
    <w:rsid w:val="0075205C"/>
    <w:rsid w:val="0075333A"/>
    <w:rsid w:val="0075463B"/>
    <w:rsid w:val="007606AD"/>
    <w:rsid w:val="00760F66"/>
    <w:rsid w:val="00762A2D"/>
    <w:rsid w:val="0076351A"/>
    <w:rsid w:val="00763DF2"/>
    <w:rsid w:val="00771985"/>
    <w:rsid w:val="00773321"/>
    <w:rsid w:val="007749D1"/>
    <w:rsid w:val="00774D23"/>
    <w:rsid w:val="00774F17"/>
    <w:rsid w:val="007769FB"/>
    <w:rsid w:val="007777D4"/>
    <w:rsid w:val="007816D4"/>
    <w:rsid w:val="007911B5"/>
    <w:rsid w:val="00792689"/>
    <w:rsid w:val="007949C5"/>
    <w:rsid w:val="007A0118"/>
    <w:rsid w:val="007A289A"/>
    <w:rsid w:val="007B611D"/>
    <w:rsid w:val="007B6515"/>
    <w:rsid w:val="007C432C"/>
    <w:rsid w:val="007C636E"/>
    <w:rsid w:val="007D0A09"/>
    <w:rsid w:val="007D18B9"/>
    <w:rsid w:val="007D2A89"/>
    <w:rsid w:val="007D3F72"/>
    <w:rsid w:val="007D6C5E"/>
    <w:rsid w:val="007D7271"/>
    <w:rsid w:val="007D7380"/>
    <w:rsid w:val="007E019A"/>
    <w:rsid w:val="007E081C"/>
    <w:rsid w:val="007E11FE"/>
    <w:rsid w:val="007E22D3"/>
    <w:rsid w:val="007E4B55"/>
    <w:rsid w:val="007E5902"/>
    <w:rsid w:val="007F0702"/>
    <w:rsid w:val="007F1B9A"/>
    <w:rsid w:val="007F65A4"/>
    <w:rsid w:val="007F6E55"/>
    <w:rsid w:val="007F70F7"/>
    <w:rsid w:val="00801129"/>
    <w:rsid w:val="008015FF"/>
    <w:rsid w:val="0081101E"/>
    <w:rsid w:val="00813590"/>
    <w:rsid w:val="008137CF"/>
    <w:rsid w:val="00813D43"/>
    <w:rsid w:val="00813E99"/>
    <w:rsid w:val="008147FD"/>
    <w:rsid w:val="0081566C"/>
    <w:rsid w:val="0081572A"/>
    <w:rsid w:val="00822334"/>
    <w:rsid w:val="00823D2A"/>
    <w:rsid w:val="00825DF3"/>
    <w:rsid w:val="0082606E"/>
    <w:rsid w:val="008276E6"/>
    <w:rsid w:val="008319A0"/>
    <w:rsid w:val="00833006"/>
    <w:rsid w:val="00835349"/>
    <w:rsid w:val="008354A5"/>
    <w:rsid w:val="0084018D"/>
    <w:rsid w:val="00840350"/>
    <w:rsid w:val="0084058A"/>
    <w:rsid w:val="00842B3C"/>
    <w:rsid w:val="00842BA6"/>
    <w:rsid w:val="00845754"/>
    <w:rsid w:val="00845B44"/>
    <w:rsid w:val="00846C66"/>
    <w:rsid w:val="0085151B"/>
    <w:rsid w:val="008526E1"/>
    <w:rsid w:val="008531F6"/>
    <w:rsid w:val="00855D6E"/>
    <w:rsid w:val="00861971"/>
    <w:rsid w:val="00861DD2"/>
    <w:rsid w:val="00862FEC"/>
    <w:rsid w:val="00864D77"/>
    <w:rsid w:val="00866D7C"/>
    <w:rsid w:val="008702D6"/>
    <w:rsid w:val="008728E0"/>
    <w:rsid w:val="00872F10"/>
    <w:rsid w:val="00876CAD"/>
    <w:rsid w:val="008774ED"/>
    <w:rsid w:val="00881906"/>
    <w:rsid w:val="00881AC1"/>
    <w:rsid w:val="00886AD7"/>
    <w:rsid w:val="00891405"/>
    <w:rsid w:val="00891672"/>
    <w:rsid w:val="0089247B"/>
    <w:rsid w:val="00894FF8"/>
    <w:rsid w:val="00897AC8"/>
    <w:rsid w:val="008A016B"/>
    <w:rsid w:val="008A0A4E"/>
    <w:rsid w:val="008A7330"/>
    <w:rsid w:val="008A733E"/>
    <w:rsid w:val="008A7664"/>
    <w:rsid w:val="008B0A24"/>
    <w:rsid w:val="008B3517"/>
    <w:rsid w:val="008B405D"/>
    <w:rsid w:val="008B4999"/>
    <w:rsid w:val="008B6A2F"/>
    <w:rsid w:val="008C04B5"/>
    <w:rsid w:val="008C638B"/>
    <w:rsid w:val="008C65CB"/>
    <w:rsid w:val="008D01E5"/>
    <w:rsid w:val="008D1891"/>
    <w:rsid w:val="008D1E5D"/>
    <w:rsid w:val="008D213F"/>
    <w:rsid w:val="008D49C9"/>
    <w:rsid w:val="008E0B32"/>
    <w:rsid w:val="008E279E"/>
    <w:rsid w:val="008E27A4"/>
    <w:rsid w:val="008E2FFC"/>
    <w:rsid w:val="008E4C3B"/>
    <w:rsid w:val="008E7670"/>
    <w:rsid w:val="008F31F4"/>
    <w:rsid w:val="008F3CEB"/>
    <w:rsid w:val="008F554B"/>
    <w:rsid w:val="008F55AB"/>
    <w:rsid w:val="008F6AAE"/>
    <w:rsid w:val="00901E60"/>
    <w:rsid w:val="00902362"/>
    <w:rsid w:val="009103D0"/>
    <w:rsid w:val="00910EE2"/>
    <w:rsid w:val="00911A08"/>
    <w:rsid w:val="00915911"/>
    <w:rsid w:val="00915F40"/>
    <w:rsid w:val="009212CD"/>
    <w:rsid w:val="00923AAD"/>
    <w:rsid w:val="00927FE7"/>
    <w:rsid w:val="009300BF"/>
    <w:rsid w:val="0093247A"/>
    <w:rsid w:val="009335F2"/>
    <w:rsid w:val="009378FB"/>
    <w:rsid w:val="00942AA5"/>
    <w:rsid w:val="00943834"/>
    <w:rsid w:val="00943D3C"/>
    <w:rsid w:val="009452E1"/>
    <w:rsid w:val="00945B8F"/>
    <w:rsid w:val="00947E52"/>
    <w:rsid w:val="009510F1"/>
    <w:rsid w:val="00952D58"/>
    <w:rsid w:val="009544FD"/>
    <w:rsid w:val="00957543"/>
    <w:rsid w:val="00961F16"/>
    <w:rsid w:val="009625F7"/>
    <w:rsid w:val="00964394"/>
    <w:rsid w:val="00966D9C"/>
    <w:rsid w:val="009676B3"/>
    <w:rsid w:val="00967710"/>
    <w:rsid w:val="009700C5"/>
    <w:rsid w:val="00974580"/>
    <w:rsid w:val="0097568C"/>
    <w:rsid w:val="00976A77"/>
    <w:rsid w:val="00985892"/>
    <w:rsid w:val="00985ECE"/>
    <w:rsid w:val="00986085"/>
    <w:rsid w:val="00987B1B"/>
    <w:rsid w:val="0099005E"/>
    <w:rsid w:val="00990828"/>
    <w:rsid w:val="0099259A"/>
    <w:rsid w:val="00992E68"/>
    <w:rsid w:val="009959E7"/>
    <w:rsid w:val="00995A11"/>
    <w:rsid w:val="00996EB8"/>
    <w:rsid w:val="009A19E3"/>
    <w:rsid w:val="009A2B1E"/>
    <w:rsid w:val="009A3EC5"/>
    <w:rsid w:val="009A78DB"/>
    <w:rsid w:val="009A7FDE"/>
    <w:rsid w:val="009B36ED"/>
    <w:rsid w:val="009B5F2C"/>
    <w:rsid w:val="009B70D7"/>
    <w:rsid w:val="009C0CA6"/>
    <w:rsid w:val="009C10FA"/>
    <w:rsid w:val="009C509D"/>
    <w:rsid w:val="009C5DB6"/>
    <w:rsid w:val="009D2E94"/>
    <w:rsid w:val="009D4DF6"/>
    <w:rsid w:val="009D6DFA"/>
    <w:rsid w:val="009D6E34"/>
    <w:rsid w:val="009D7CD1"/>
    <w:rsid w:val="009E108D"/>
    <w:rsid w:val="009E374D"/>
    <w:rsid w:val="009E6425"/>
    <w:rsid w:val="009E7D0E"/>
    <w:rsid w:val="009F120A"/>
    <w:rsid w:val="009F3048"/>
    <w:rsid w:val="009F3AEF"/>
    <w:rsid w:val="009F3D4E"/>
    <w:rsid w:val="009F46A3"/>
    <w:rsid w:val="009F6246"/>
    <w:rsid w:val="009F6937"/>
    <w:rsid w:val="009F7816"/>
    <w:rsid w:val="00A00634"/>
    <w:rsid w:val="00A0082C"/>
    <w:rsid w:val="00A04805"/>
    <w:rsid w:val="00A0548A"/>
    <w:rsid w:val="00A05C17"/>
    <w:rsid w:val="00A06097"/>
    <w:rsid w:val="00A11580"/>
    <w:rsid w:val="00A14921"/>
    <w:rsid w:val="00A161A7"/>
    <w:rsid w:val="00A215C3"/>
    <w:rsid w:val="00A23BB3"/>
    <w:rsid w:val="00A24CDA"/>
    <w:rsid w:val="00A274A9"/>
    <w:rsid w:val="00A30907"/>
    <w:rsid w:val="00A3156F"/>
    <w:rsid w:val="00A325FE"/>
    <w:rsid w:val="00A32AEB"/>
    <w:rsid w:val="00A37D70"/>
    <w:rsid w:val="00A407A0"/>
    <w:rsid w:val="00A41FB5"/>
    <w:rsid w:val="00A42CC8"/>
    <w:rsid w:val="00A4403B"/>
    <w:rsid w:val="00A46829"/>
    <w:rsid w:val="00A46E36"/>
    <w:rsid w:val="00A477E1"/>
    <w:rsid w:val="00A47F17"/>
    <w:rsid w:val="00A53A16"/>
    <w:rsid w:val="00A53FED"/>
    <w:rsid w:val="00A6168A"/>
    <w:rsid w:val="00A62E2E"/>
    <w:rsid w:val="00A67690"/>
    <w:rsid w:val="00A67A46"/>
    <w:rsid w:val="00A728C3"/>
    <w:rsid w:val="00A765C2"/>
    <w:rsid w:val="00A76C9A"/>
    <w:rsid w:val="00A81132"/>
    <w:rsid w:val="00A83355"/>
    <w:rsid w:val="00A84185"/>
    <w:rsid w:val="00A90C87"/>
    <w:rsid w:val="00A947D9"/>
    <w:rsid w:val="00A95C5D"/>
    <w:rsid w:val="00A970D4"/>
    <w:rsid w:val="00AA0D0F"/>
    <w:rsid w:val="00AA1C6C"/>
    <w:rsid w:val="00AA304C"/>
    <w:rsid w:val="00AB048A"/>
    <w:rsid w:val="00AB47B5"/>
    <w:rsid w:val="00AB6ED4"/>
    <w:rsid w:val="00AB7024"/>
    <w:rsid w:val="00AB77BC"/>
    <w:rsid w:val="00AC09A4"/>
    <w:rsid w:val="00AC4177"/>
    <w:rsid w:val="00AC4A87"/>
    <w:rsid w:val="00AC7EA0"/>
    <w:rsid w:val="00AD14F2"/>
    <w:rsid w:val="00AD29D7"/>
    <w:rsid w:val="00AD3307"/>
    <w:rsid w:val="00AD4207"/>
    <w:rsid w:val="00AD730E"/>
    <w:rsid w:val="00AD7575"/>
    <w:rsid w:val="00AD7FBB"/>
    <w:rsid w:val="00AE075D"/>
    <w:rsid w:val="00AE3EA6"/>
    <w:rsid w:val="00AE4FE9"/>
    <w:rsid w:val="00AE59DF"/>
    <w:rsid w:val="00AE7E2A"/>
    <w:rsid w:val="00AF40D4"/>
    <w:rsid w:val="00B0062E"/>
    <w:rsid w:val="00B03F50"/>
    <w:rsid w:val="00B07FB4"/>
    <w:rsid w:val="00B10A34"/>
    <w:rsid w:val="00B11212"/>
    <w:rsid w:val="00B16BB3"/>
    <w:rsid w:val="00B21E39"/>
    <w:rsid w:val="00B254BA"/>
    <w:rsid w:val="00B25688"/>
    <w:rsid w:val="00B301FA"/>
    <w:rsid w:val="00B316F0"/>
    <w:rsid w:val="00B3392B"/>
    <w:rsid w:val="00B33B08"/>
    <w:rsid w:val="00B349BE"/>
    <w:rsid w:val="00B4107F"/>
    <w:rsid w:val="00B44B02"/>
    <w:rsid w:val="00B47237"/>
    <w:rsid w:val="00B47BDA"/>
    <w:rsid w:val="00B50DEB"/>
    <w:rsid w:val="00B51120"/>
    <w:rsid w:val="00B51A7F"/>
    <w:rsid w:val="00B53CE4"/>
    <w:rsid w:val="00B54CD7"/>
    <w:rsid w:val="00B550C9"/>
    <w:rsid w:val="00B55588"/>
    <w:rsid w:val="00B579A0"/>
    <w:rsid w:val="00B66C0B"/>
    <w:rsid w:val="00B67771"/>
    <w:rsid w:val="00B70E82"/>
    <w:rsid w:val="00B71304"/>
    <w:rsid w:val="00B77FF7"/>
    <w:rsid w:val="00B826AF"/>
    <w:rsid w:val="00B83F87"/>
    <w:rsid w:val="00B85626"/>
    <w:rsid w:val="00B856DA"/>
    <w:rsid w:val="00B85EEF"/>
    <w:rsid w:val="00B91EC3"/>
    <w:rsid w:val="00BA0447"/>
    <w:rsid w:val="00BA0DD8"/>
    <w:rsid w:val="00BA21E4"/>
    <w:rsid w:val="00BA294D"/>
    <w:rsid w:val="00BA2F36"/>
    <w:rsid w:val="00BA74BB"/>
    <w:rsid w:val="00BB2FA0"/>
    <w:rsid w:val="00BB5F26"/>
    <w:rsid w:val="00BB76D5"/>
    <w:rsid w:val="00BC12D7"/>
    <w:rsid w:val="00BC22AA"/>
    <w:rsid w:val="00BC3040"/>
    <w:rsid w:val="00BC31B6"/>
    <w:rsid w:val="00BC4753"/>
    <w:rsid w:val="00BC7414"/>
    <w:rsid w:val="00BD03A0"/>
    <w:rsid w:val="00BD3281"/>
    <w:rsid w:val="00BD4E73"/>
    <w:rsid w:val="00BD596F"/>
    <w:rsid w:val="00BD68F1"/>
    <w:rsid w:val="00BD73EB"/>
    <w:rsid w:val="00BD781F"/>
    <w:rsid w:val="00BE39A2"/>
    <w:rsid w:val="00BF21B9"/>
    <w:rsid w:val="00BF51B8"/>
    <w:rsid w:val="00C020E1"/>
    <w:rsid w:val="00C050E8"/>
    <w:rsid w:val="00C05FE4"/>
    <w:rsid w:val="00C07BBE"/>
    <w:rsid w:val="00C124AA"/>
    <w:rsid w:val="00C13452"/>
    <w:rsid w:val="00C14297"/>
    <w:rsid w:val="00C15626"/>
    <w:rsid w:val="00C16D71"/>
    <w:rsid w:val="00C21107"/>
    <w:rsid w:val="00C23165"/>
    <w:rsid w:val="00C24D41"/>
    <w:rsid w:val="00C24E9A"/>
    <w:rsid w:val="00C30995"/>
    <w:rsid w:val="00C335E7"/>
    <w:rsid w:val="00C3371B"/>
    <w:rsid w:val="00C34E95"/>
    <w:rsid w:val="00C352B8"/>
    <w:rsid w:val="00C37644"/>
    <w:rsid w:val="00C43E70"/>
    <w:rsid w:val="00C45538"/>
    <w:rsid w:val="00C46C9D"/>
    <w:rsid w:val="00C514CA"/>
    <w:rsid w:val="00C55A60"/>
    <w:rsid w:val="00C603A1"/>
    <w:rsid w:val="00C60E28"/>
    <w:rsid w:val="00C62E05"/>
    <w:rsid w:val="00C62EE7"/>
    <w:rsid w:val="00C6307F"/>
    <w:rsid w:val="00C65C48"/>
    <w:rsid w:val="00C70BD0"/>
    <w:rsid w:val="00C7291B"/>
    <w:rsid w:val="00C73D31"/>
    <w:rsid w:val="00C73E71"/>
    <w:rsid w:val="00C74480"/>
    <w:rsid w:val="00C7513A"/>
    <w:rsid w:val="00C77CA4"/>
    <w:rsid w:val="00C83759"/>
    <w:rsid w:val="00C84CDC"/>
    <w:rsid w:val="00C854D7"/>
    <w:rsid w:val="00C86AD0"/>
    <w:rsid w:val="00C87800"/>
    <w:rsid w:val="00C87DE5"/>
    <w:rsid w:val="00C903F1"/>
    <w:rsid w:val="00C90BCA"/>
    <w:rsid w:val="00C951F1"/>
    <w:rsid w:val="00C97D64"/>
    <w:rsid w:val="00CA249D"/>
    <w:rsid w:val="00CA334E"/>
    <w:rsid w:val="00CA4F9E"/>
    <w:rsid w:val="00CA7C91"/>
    <w:rsid w:val="00CA7E11"/>
    <w:rsid w:val="00CB4073"/>
    <w:rsid w:val="00CB53C0"/>
    <w:rsid w:val="00CC0F80"/>
    <w:rsid w:val="00CC183B"/>
    <w:rsid w:val="00CC4589"/>
    <w:rsid w:val="00CC6CFB"/>
    <w:rsid w:val="00CD0E8C"/>
    <w:rsid w:val="00CD2E01"/>
    <w:rsid w:val="00CD4279"/>
    <w:rsid w:val="00CE20E1"/>
    <w:rsid w:val="00CE3A18"/>
    <w:rsid w:val="00CE42A2"/>
    <w:rsid w:val="00CE72C1"/>
    <w:rsid w:val="00CE73DF"/>
    <w:rsid w:val="00CE770C"/>
    <w:rsid w:val="00CF38DC"/>
    <w:rsid w:val="00D008C9"/>
    <w:rsid w:val="00D03021"/>
    <w:rsid w:val="00D03060"/>
    <w:rsid w:val="00D0324F"/>
    <w:rsid w:val="00D06CCE"/>
    <w:rsid w:val="00D074BD"/>
    <w:rsid w:val="00D07603"/>
    <w:rsid w:val="00D103A2"/>
    <w:rsid w:val="00D10AA8"/>
    <w:rsid w:val="00D15BD0"/>
    <w:rsid w:val="00D16689"/>
    <w:rsid w:val="00D174CE"/>
    <w:rsid w:val="00D20EF5"/>
    <w:rsid w:val="00D26383"/>
    <w:rsid w:val="00D26B2E"/>
    <w:rsid w:val="00D272C8"/>
    <w:rsid w:val="00D302C7"/>
    <w:rsid w:val="00D31B80"/>
    <w:rsid w:val="00D370CB"/>
    <w:rsid w:val="00D402D2"/>
    <w:rsid w:val="00D40B6E"/>
    <w:rsid w:val="00D52C2F"/>
    <w:rsid w:val="00D5325C"/>
    <w:rsid w:val="00D55816"/>
    <w:rsid w:val="00D566BF"/>
    <w:rsid w:val="00D61117"/>
    <w:rsid w:val="00D6250E"/>
    <w:rsid w:val="00D63AB7"/>
    <w:rsid w:val="00D716B5"/>
    <w:rsid w:val="00D71925"/>
    <w:rsid w:val="00D7229A"/>
    <w:rsid w:val="00D74825"/>
    <w:rsid w:val="00D82CA7"/>
    <w:rsid w:val="00D84031"/>
    <w:rsid w:val="00D86703"/>
    <w:rsid w:val="00D87941"/>
    <w:rsid w:val="00D921EB"/>
    <w:rsid w:val="00D94A50"/>
    <w:rsid w:val="00DA1320"/>
    <w:rsid w:val="00DA2C11"/>
    <w:rsid w:val="00DA4DA5"/>
    <w:rsid w:val="00DA5044"/>
    <w:rsid w:val="00DA598A"/>
    <w:rsid w:val="00DA5DDB"/>
    <w:rsid w:val="00DB0EFF"/>
    <w:rsid w:val="00DB3B81"/>
    <w:rsid w:val="00DB52D6"/>
    <w:rsid w:val="00DB5394"/>
    <w:rsid w:val="00DB5F85"/>
    <w:rsid w:val="00DB60FB"/>
    <w:rsid w:val="00DB7239"/>
    <w:rsid w:val="00DB77E3"/>
    <w:rsid w:val="00DC310B"/>
    <w:rsid w:val="00DC3C98"/>
    <w:rsid w:val="00DC5032"/>
    <w:rsid w:val="00DD0DE7"/>
    <w:rsid w:val="00DE0733"/>
    <w:rsid w:val="00DE5E52"/>
    <w:rsid w:val="00DE69A1"/>
    <w:rsid w:val="00DE7F3E"/>
    <w:rsid w:val="00DF048A"/>
    <w:rsid w:val="00DF256D"/>
    <w:rsid w:val="00DF392F"/>
    <w:rsid w:val="00DF61CC"/>
    <w:rsid w:val="00E01EC5"/>
    <w:rsid w:val="00E03423"/>
    <w:rsid w:val="00E0460B"/>
    <w:rsid w:val="00E06875"/>
    <w:rsid w:val="00E102A5"/>
    <w:rsid w:val="00E10944"/>
    <w:rsid w:val="00E10CB6"/>
    <w:rsid w:val="00E15C40"/>
    <w:rsid w:val="00E17B5D"/>
    <w:rsid w:val="00E24247"/>
    <w:rsid w:val="00E266E1"/>
    <w:rsid w:val="00E3001C"/>
    <w:rsid w:val="00E41D08"/>
    <w:rsid w:val="00E463FC"/>
    <w:rsid w:val="00E53473"/>
    <w:rsid w:val="00E57B5C"/>
    <w:rsid w:val="00E65180"/>
    <w:rsid w:val="00E66FAE"/>
    <w:rsid w:val="00E72182"/>
    <w:rsid w:val="00E73A5F"/>
    <w:rsid w:val="00E740A6"/>
    <w:rsid w:val="00E74628"/>
    <w:rsid w:val="00E751D7"/>
    <w:rsid w:val="00E76968"/>
    <w:rsid w:val="00E819FF"/>
    <w:rsid w:val="00E847A0"/>
    <w:rsid w:val="00E9086C"/>
    <w:rsid w:val="00E93E9B"/>
    <w:rsid w:val="00E951C5"/>
    <w:rsid w:val="00E96629"/>
    <w:rsid w:val="00E968C4"/>
    <w:rsid w:val="00E97364"/>
    <w:rsid w:val="00EA02D0"/>
    <w:rsid w:val="00EA04C4"/>
    <w:rsid w:val="00EA1348"/>
    <w:rsid w:val="00EA57C1"/>
    <w:rsid w:val="00EB2A0B"/>
    <w:rsid w:val="00EB6EC6"/>
    <w:rsid w:val="00EB7937"/>
    <w:rsid w:val="00EC033F"/>
    <w:rsid w:val="00EC05F1"/>
    <w:rsid w:val="00EC2A01"/>
    <w:rsid w:val="00EC30DB"/>
    <w:rsid w:val="00ED07D6"/>
    <w:rsid w:val="00ED2DF7"/>
    <w:rsid w:val="00ED3043"/>
    <w:rsid w:val="00ED39C0"/>
    <w:rsid w:val="00ED4649"/>
    <w:rsid w:val="00ED5151"/>
    <w:rsid w:val="00EE0706"/>
    <w:rsid w:val="00EE2634"/>
    <w:rsid w:val="00EE7D0E"/>
    <w:rsid w:val="00EF2D23"/>
    <w:rsid w:val="00EF49E3"/>
    <w:rsid w:val="00EF6D34"/>
    <w:rsid w:val="00EF6D72"/>
    <w:rsid w:val="00EF7890"/>
    <w:rsid w:val="00F07697"/>
    <w:rsid w:val="00F127A9"/>
    <w:rsid w:val="00F16BD2"/>
    <w:rsid w:val="00F21786"/>
    <w:rsid w:val="00F226B1"/>
    <w:rsid w:val="00F2471E"/>
    <w:rsid w:val="00F25147"/>
    <w:rsid w:val="00F26EE9"/>
    <w:rsid w:val="00F2746E"/>
    <w:rsid w:val="00F3010C"/>
    <w:rsid w:val="00F352DA"/>
    <w:rsid w:val="00F40099"/>
    <w:rsid w:val="00F422C2"/>
    <w:rsid w:val="00F452A7"/>
    <w:rsid w:val="00F526E8"/>
    <w:rsid w:val="00F52EF7"/>
    <w:rsid w:val="00F539A2"/>
    <w:rsid w:val="00F54E04"/>
    <w:rsid w:val="00F56A32"/>
    <w:rsid w:val="00F6150A"/>
    <w:rsid w:val="00F62C17"/>
    <w:rsid w:val="00F635B6"/>
    <w:rsid w:val="00F675B2"/>
    <w:rsid w:val="00F7163C"/>
    <w:rsid w:val="00F73BC7"/>
    <w:rsid w:val="00F76944"/>
    <w:rsid w:val="00F77231"/>
    <w:rsid w:val="00F81233"/>
    <w:rsid w:val="00F8248A"/>
    <w:rsid w:val="00F82607"/>
    <w:rsid w:val="00F84581"/>
    <w:rsid w:val="00F84637"/>
    <w:rsid w:val="00F84DA6"/>
    <w:rsid w:val="00F86CEB"/>
    <w:rsid w:val="00F930EF"/>
    <w:rsid w:val="00F9461D"/>
    <w:rsid w:val="00FA01B8"/>
    <w:rsid w:val="00FA0D45"/>
    <w:rsid w:val="00FA1DD4"/>
    <w:rsid w:val="00FA717C"/>
    <w:rsid w:val="00FA7DEC"/>
    <w:rsid w:val="00FA7ED2"/>
    <w:rsid w:val="00FB0B1F"/>
    <w:rsid w:val="00FC4337"/>
    <w:rsid w:val="00FC5E21"/>
    <w:rsid w:val="00FD1F65"/>
    <w:rsid w:val="00FD2088"/>
    <w:rsid w:val="00FD3071"/>
    <w:rsid w:val="00FD3AE2"/>
    <w:rsid w:val="00FE1A27"/>
    <w:rsid w:val="00FE27E4"/>
    <w:rsid w:val="00FE3582"/>
    <w:rsid w:val="00FE6E5D"/>
    <w:rsid w:val="00FF38E8"/>
    <w:rsid w:val="00FF792C"/>
    <w:rsid w:val="01334FB6"/>
    <w:rsid w:val="014F4CF1"/>
    <w:rsid w:val="01626E41"/>
    <w:rsid w:val="017E4AE0"/>
    <w:rsid w:val="01A120F6"/>
    <w:rsid w:val="01E57458"/>
    <w:rsid w:val="022660AA"/>
    <w:rsid w:val="025021B0"/>
    <w:rsid w:val="02701D4F"/>
    <w:rsid w:val="027D4BD3"/>
    <w:rsid w:val="027F54D2"/>
    <w:rsid w:val="02E551B1"/>
    <w:rsid w:val="036B1671"/>
    <w:rsid w:val="03B065CF"/>
    <w:rsid w:val="042C703E"/>
    <w:rsid w:val="045B62D7"/>
    <w:rsid w:val="04D44D2B"/>
    <w:rsid w:val="05015EA4"/>
    <w:rsid w:val="05102AB7"/>
    <w:rsid w:val="05526700"/>
    <w:rsid w:val="059A6A00"/>
    <w:rsid w:val="06127A1C"/>
    <w:rsid w:val="066E1BC1"/>
    <w:rsid w:val="06A915B3"/>
    <w:rsid w:val="06B04863"/>
    <w:rsid w:val="06C66263"/>
    <w:rsid w:val="06C7676A"/>
    <w:rsid w:val="06E81CB3"/>
    <w:rsid w:val="0709430D"/>
    <w:rsid w:val="070E2908"/>
    <w:rsid w:val="07174E15"/>
    <w:rsid w:val="07361748"/>
    <w:rsid w:val="07480532"/>
    <w:rsid w:val="07B07B81"/>
    <w:rsid w:val="07B436AF"/>
    <w:rsid w:val="07C35104"/>
    <w:rsid w:val="081B0A49"/>
    <w:rsid w:val="082F1803"/>
    <w:rsid w:val="08A67FC3"/>
    <w:rsid w:val="08DB6AEA"/>
    <w:rsid w:val="08F12EFD"/>
    <w:rsid w:val="092A251C"/>
    <w:rsid w:val="0936334E"/>
    <w:rsid w:val="09483F2F"/>
    <w:rsid w:val="09581E0B"/>
    <w:rsid w:val="09654D2C"/>
    <w:rsid w:val="09654FBD"/>
    <w:rsid w:val="097A7B9C"/>
    <w:rsid w:val="097F70BE"/>
    <w:rsid w:val="098212A7"/>
    <w:rsid w:val="098F0DC8"/>
    <w:rsid w:val="09A96928"/>
    <w:rsid w:val="09DB0564"/>
    <w:rsid w:val="09EA5F00"/>
    <w:rsid w:val="0A3F5346"/>
    <w:rsid w:val="0A582796"/>
    <w:rsid w:val="0A8F3EBD"/>
    <w:rsid w:val="0AB71BC3"/>
    <w:rsid w:val="0B005796"/>
    <w:rsid w:val="0B131561"/>
    <w:rsid w:val="0B1E411A"/>
    <w:rsid w:val="0B571229"/>
    <w:rsid w:val="0B7427DE"/>
    <w:rsid w:val="0BFE3AB2"/>
    <w:rsid w:val="0C3259CB"/>
    <w:rsid w:val="0C6D1AF9"/>
    <w:rsid w:val="0C8A134F"/>
    <w:rsid w:val="0C99082D"/>
    <w:rsid w:val="0CA55744"/>
    <w:rsid w:val="0CB73E2C"/>
    <w:rsid w:val="0DA56EB4"/>
    <w:rsid w:val="0DBB6155"/>
    <w:rsid w:val="0DF54279"/>
    <w:rsid w:val="0E0550BF"/>
    <w:rsid w:val="0E124C7E"/>
    <w:rsid w:val="0E2D1C4A"/>
    <w:rsid w:val="0E83792A"/>
    <w:rsid w:val="0EBF6208"/>
    <w:rsid w:val="0EC54764"/>
    <w:rsid w:val="0EC90F70"/>
    <w:rsid w:val="0F0536B9"/>
    <w:rsid w:val="0F533C6F"/>
    <w:rsid w:val="0F747958"/>
    <w:rsid w:val="0FF33F05"/>
    <w:rsid w:val="0FF859FC"/>
    <w:rsid w:val="10005238"/>
    <w:rsid w:val="10205710"/>
    <w:rsid w:val="10657D50"/>
    <w:rsid w:val="108F4FB1"/>
    <w:rsid w:val="10A219FE"/>
    <w:rsid w:val="10E213DC"/>
    <w:rsid w:val="110B03AC"/>
    <w:rsid w:val="111C20BC"/>
    <w:rsid w:val="11620855"/>
    <w:rsid w:val="11CB5E3D"/>
    <w:rsid w:val="12106407"/>
    <w:rsid w:val="12411DF9"/>
    <w:rsid w:val="12470F94"/>
    <w:rsid w:val="129414E0"/>
    <w:rsid w:val="129A5E14"/>
    <w:rsid w:val="12A34B2A"/>
    <w:rsid w:val="12D42571"/>
    <w:rsid w:val="13290BB4"/>
    <w:rsid w:val="132E255A"/>
    <w:rsid w:val="13433B2C"/>
    <w:rsid w:val="13AB7E0B"/>
    <w:rsid w:val="13FA2BF5"/>
    <w:rsid w:val="1460795C"/>
    <w:rsid w:val="149070D4"/>
    <w:rsid w:val="14D07BFC"/>
    <w:rsid w:val="14D16BB3"/>
    <w:rsid w:val="155E2E9F"/>
    <w:rsid w:val="15673C34"/>
    <w:rsid w:val="164C3BAB"/>
    <w:rsid w:val="167E6870"/>
    <w:rsid w:val="169D2FFB"/>
    <w:rsid w:val="16E37952"/>
    <w:rsid w:val="171D66D9"/>
    <w:rsid w:val="17757E00"/>
    <w:rsid w:val="177F55E5"/>
    <w:rsid w:val="178C4A8A"/>
    <w:rsid w:val="178D2752"/>
    <w:rsid w:val="178F4BF9"/>
    <w:rsid w:val="17B13632"/>
    <w:rsid w:val="17D3661F"/>
    <w:rsid w:val="17D36975"/>
    <w:rsid w:val="1803292B"/>
    <w:rsid w:val="181A4065"/>
    <w:rsid w:val="188B0A95"/>
    <w:rsid w:val="189A44B4"/>
    <w:rsid w:val="18C20594"/>
    <w:rsid w:val="18D47700"/>
    <w:rsid w:val="192F0878"/>
    <w:rsid w:val="196A224C"/>
    <w:rsid w:val="199D5859"/>
    <w:rsid w:val="199F72D4"/>
    <w:rsid w:val="19C203BC"/>
    <w:rsid w:val="19E25516"/>
    <w:rsid w:val="1A106923"/>
    <w:rsid w:val="1A136A7D"/>
    <w:rsid w:val="1A3062CC"/>
    <w:rsid w:val="1A6151E2"/>
    <w:rsid w:val="1A744AE4"/>
    <w:rsid w:val="1A942330"/>
    <w:rsid w:val="1ACC119E"/>
    <w:rsid w:val="1AFE4788"/>
    <w:rsid w:val="1B064E2C"/>
    <w:rsid w:val="1B332719"/>
    <w:rsid w:val="1B594A09"/>
    <w:rsid w:val="1B794E21"/>
    <w:rsid w:val="1BA60A49"/>
    <w:rsid w:val="1BB2268A"/>
    <w:rsid w:val="1C1B78F6"/>
    <w:rsid w:val="1C494E2D"/>
    <w:rsid w:val="1C6F45A1"/>
    <w:rsid w:val="1CC25291"/>
    <w:rsid w:val="1CCA2C46"/>
    <w:rsid w:val="1D210C02"/>
    <w:rsid w:val="1D651D8E"/>
    <w:rsid w:val="1DC53AC0"/>
    <w:rsid w:val="1DC53D86"/>
    <w:rsid w:val="1E984D2C"/>
    <w:rsid w:val="1EB176E0"/>
    <w:rsid w:val="1EC7118C"/>
    <w:rsid w:val="1EE378B3"/>
    <w:rsid w:val="1EE52843"/>
    <w:rsid w:val="1EF82D4D"/>
    <w:rsid w:val="1F17023D"/>
    <w:rsid w:val="1F170B91"/>
    <w:rsid w:val="1F412CB0"/>
    <w:rsid w:val="1F43427D"/>
    <w:rsid w:val="1F4A7ECF"/>
    <w:rsid w:val="1F821DD8"/>
    <w:rsid w:val="1FD326EC"/>
    <w:rsid w:val="202178A0"/>
    <w:rsid w:val="20323A70"/>
    <w:rsid w:val="20595DE6"/>
    <w:rsid w:val="20E2042A"/>
    <w:rsid w:val="2160387B"/>
    <w:rsid w:val="21814068"/>
    <w:rsid w:val="2190391E"/>
    <w:rsid w:val="21A5011E"/>
    <w:rsid w:val="220A2A9C"/>
    <w:rsid w:val="22471176"/>
    <w:rsid w:val="22492855"/>
    <w:rsid w:val="22597EF7"/>
    <w:rsid w:val="22791B01"/>
    <w:rsid w:val="22B932C2"/>
    <w:rsid w:val="22C644D4"/>
    <w:rsid w:val="22D37274"/>
    <w:rsid w:val="22F20284"/>
    <w:rsid w:val="230E7C34"/>
    <w:rsid w:val="233D697C"/>
    <w:rsid w:val="23445D0F"/>
    <w:rsid w:val="23723E79"/>
    <w:rsid w:val="23CC6E3A"/>
    <w:rsid w:val="242D4E41"/>
    <w:rsid w:val="243E62FB"/>
    <w:rsid w:val="246F22A9"/>
    <w:rsid w:val="247F3DCD"/>
    <w:rsid w:val="25050C41"/>
    <w:rsid w:val="25162D3D"/>
    <w:rsid w:val="25305AFC"/>
    <w:rsid w:val="255A0F8D"/>
    <w:rsid w:val="26045B62"/>
    <w:rsid w:val="262E7CAB"/>
    <w:rsid w:val="26465B1F"/>
    <w:rsid w:val="26B61D56"/>
    <w:rsid w:val="26D8257F"/>
    <w:rsid w:val="275210C3"/>
    <w:rsid w:val="276D259D"/>
    <w:rsid w:val="27B65881"/>
    <w:rsid w:val="27CF6884"/>
    <w:rsid w:val="283273C5"/>
    <w:rsid w:val="28BA5491"/>
    <w:rsid w:val="28E22C2D"/>
    <w:rsid w:val="292702AA"/>
    <w:rsid w:val="29387FBC"/>
    <w:rsid w:val="295D70D9"/>
    <w:rsid w:val="296F5265"/>
    <w:rsid w:val="29B261EE"/>
    <w:rsid w:val="2A292BC4"/>
    <w:rsid w:val="2A7B7A29"/>
    <w:rsid w:val="2AB37291"/>
    <w:rsid w:val="2AD3351F"/>
    <w:rsid w:val="2AF05827"/>
    <w:rsid w:val="2B163BA8"/>
    <w:rsid w:val="2B7670A3"/>
    <w:rsid w:val="2BAB2946"/>
    <w:rsid w:val="2BAC615C"/>
    <w:rsid w:val="2BEA1A50"/>
    <w:rsid w:val="2BF35C97"/>
    <w:rsid w:val="2C4B52C5"/>
    <w:rsid w:val="2C917FFA"/>
    <w:rsid w:val="2C9F40EC"/>
    <w:rsid w:val="2D0B028D"/>
    <w:rsid w:val="2D5825A2"/>
    <w:rsid w:val="2DA11E8F"/>
    <w:rsid w:val="2DF1231F"/>
    <w:rsid w:val="2DF3280D"/>
    <w:rsid w:val="2E041B65"/>
    <w:rsid w:val="2E11316D"/>
    <w:rsid w:val="2E1D57B5"/>
    <w:rsid w:val="2E3503AF"/>
    <w:rsid w:val="2E387FD0"/>
    <w:rsid w:val="2EFE3960"/>
    <w:rsid w:val="2F2C584A"/>
    <w:rsid w:val="2F457DC6"/>
    <w:rsid w:val="2F5F051D"/>
    <w:rsid w:val="304732FA"/>
    <w:rsid w:val="305C2F7D"/>
    <w:rsid w:val="30640398"/>
    <w:rsid w:val="308B5E1C"/>
    <w:rsid w:val="30D31646"/>
    <w:rsid w:val="31081CF6"/>
    <w:rsid w:val="314D37F5"/>
    <w:rsid w:val="32067705"/>
    <w:rsid w:val="323A6E2B"/>
    <w:rsid w:val="323F58AE"/>
    <w:rsid w:val="32A92715"/>
    <w:rsid w:val="32DA7F34"/>
    <w:rsid w:val="32E459DF"/>
    <w:rsid w:val="330B38C7"/>
    <w:rsid w:val="334F6772"/>
    <w:rsid w:val="336C11DB"/>
    <w:rsid w:val="33A91C3C"/>
    <w:rsid w:val="33B658A8"/>
    <w:rsid w:val="34042779"/>
    <w:rsid w:val="34764CEA"/>
    <w:rsid w:val="349B24EF"/>
    <w:rsid w:val="34AC53F9"/>
    <w:rsid w:val="34C207E6"/>
    <w:rsid w:val="34CE72A2"/>
    <w:rsid w:val="35372795"/>
    <w:rsid w:val="3566198E"/>
    <w:rsid w:val="35A53F32"/>
    <w:rsid w:val="35B244CD"/>
    <w:rsid w:val="368D569B"/>
    <w:rsid w:val="36B43069"/>
    <w:rsid w:val="36C64AEF"/>
    <w:rsid w:val="36F0462C"/>
    <w:rsid w:val="37040D59"/>
    <w:rsid w:val="3722036D"/>
    <w:rsid w:val="376004E6"/>
    <w:rsid w:val="37777590"/>
    <w:rsid w:val="378F2A32"/>
    <w:rsid w:val="37A02F43"/>
    <w:rsid w:val="386F1ED9"/>
    <w:rsid w:val="38D70119"/>
    <w:rsid w:val="38D92525"/>
    <w:rsid w:val="391600CF"/>
    <w:rsid w:val="39797C10"/>
    <w:rsid w:val="39A46823"/>
    <w:rsid w:val="39B134BA"/>
    <w:rsid w:val="39B23B55"/>
    <w:rsid w:val="3A6A405B"/>
    <w:rsid w:val="3A7212B4"/>
    <w:rsid w:val="3A96260F"/>
    <w:rsid w:val="3AEC6902"/>
    <w:rsid w:val="3B21771E"/>
    <w:rsid w:val="3B310402"/>
    <w:rsid w:val="3B32226E"/>
    <w:rsid w:val="3B416603"/>
    <w:rsid w:val="3B5C1708"/>
    <w:rsid w:val="3B6C0D61"/>
    <w:rsid w:val="3BC211E2"/>
    <w:rsid w:val="3BD943FD"/>
    <w:rsid w:val="3C0826F4"/>
    <w:rsid w:val="3C3A7BDE"/>
    <w:rsid w:val="3C505CF2"/>
    <w:rsid w:val="3C6A0F3E"/>
    <w:rsid w:val="3C8B4D26"/>
    <w:rsid w:val="3CE4322C"/>
    <w:rsid w:val="3CF278A5"/>
    <w:rsid w:val="3D0910C3"/>
    <w:rsid w:val="3D263840"/>
    <w:rsid w:val="3D280270"/>
    <w:rsid w:val="3D645268"/>
    <w:rsid w:val="3D654A6C"/>
    <w:rsid w:val="3D756FBA"/>
    <w:rsid w:val="3DA61A48"/>
    <w:rsid w:val="3DF7705C"/>
    <w:rsid w:val="3E3B3922"/>
    <w:rsid w:val="3E474B17"/>
    <w:rsid w:val="3E4B7A1D"/>
    <w:rsid w:val="3EA5373C"/>
    <w:rsid w:val="3EC903A3"/>
    <w:rsid w:val="3EEF3931"/>
    <w:rsid w:val="3F2176BD"/>
    <w:rsid w:val="3F3B2DC1"/>
    <w:rsid w:val="3F67606F"/>
    <w:rsid w:val="3F771F82"/>
    <w:rsid w:val="3F817292"/>
    <w:rsid w:val="3F833C1C"/>
    <w:rsid w:val="3FC06C64"/>
    <w:rsid w:val="40081B56"/>
    <w:rsid w:val="400A4834"/>
    <w:rsid w:val="405E2404"/>
    <w:rsid w:val="40A1518E"/>
    <w:rsid w:val="40F41AF4"/>
    <w:rsid w:val="40FC085C"/>
    <w:rsid w:val="41372A17"/>
    <w:rsid w:val="417E1D98"/>
    <w:rsid w:val="418040B9"/>
    <w:rsid w:val="41923256"/>
    <w:rsid w:val="41B6305A"/>
    <w:rsid w:val="41E01DED"/>
    <w:rsid w:val="41FD6604"/>
    <w:rsid w:val="420B6E21"/>
    <w:rsid w:val="42145BD1"/>
    <w:rsid w:val="42421985"/>
    <w:rsid w:val="426258BF"/>
    <w:rsid w:val="428432CD"/>
    <w:rsid w:val="42925CEB"/>
    <w:rsid w:val="429D4825"/>
    <w:rsid w:val="42C00723"/>
    <w:rsid w:val="431A4224"/>
    <w:rsid w:val="43B02F88"/>
    <w:rsid w:val="43C71A8C"/>
    <w:rsid w:val="43D033ED"/>
    <w:rsid w:val="43FA058C"/>
    <w:rsid w:val="441324B3"/>
    <w:rsid w:val="442C03A1"/>
    <w:rsid w:val="44706CB8"/>
    <w:rsid w:val="447A63F1"/>
    <w:rsid w:val="449C4CC6"/>
    <w:rsid w:val="44B774DE"/>
    <w:rsid w:val="44BB4A89"/>
    <w:rsid w:val="44CE3C0B"/>
    <w:rsid w:val="44D01489"/>
    <w:rsid w:val="4512266F"/>
    <w:rsid w:val="4542069B"/>
    <w:rsid w:val="4568402F"/>
    <w:rsid w:val="4580427C"/>
    <w:rsid w:val="45927E77"/>
    <w:rsid w:val="4598360B"/>
    <w:rsid w:val="45A81636"/>
    <w:rsid w:val="45B35E54"/>
    <w:rsid w:val="45B63EBF"/>
    <w:rsid w:val="4616667A"/>
    <w:rsid w:val="46BB00AD"/>
    <w:rsid w:val="46CF7CE7"/>
    <w:rsid w:val="46E91893"/>
    <w:rsid w:val="470E2BF1"/>
    <w:rsid w:val="472D7CF0"/>
    <w:rsid w:val="474B0490"/>
    <w:rsid w:val="47707DFC"/>
    <w:rsid w:val="48935BA5"/>
    <w:rsid w:val="48A779AB"/>
    <w:rsid w:val="48B90820"/>
    <w:rsid w:val="48B93B9B"/>
    <w:rsid w:val="48DF33D4"/>
    <w:rsid w:val="48E85D2D"/>
    <w:rsid w:val="490C0EAD"/>
    <w:rsid w:val="4919240C"/>
    <w:rsid w:val="493807D9"/>
    <w:rsid w:val="493E257C"/>
    <w:rsid w:val="496438D9"/>
    <w:rsid w:val="49F8118A"/>
    <w:rsid w:val="4A2607DD"/>
    <w:rsid w:val="4A37573B"/>
    <w:rsid w:val="4ACD594D"/>
    <w:rsid w:val="4AD51739"/>
    <w:rsid w:val="4B411797"/>
    <w:rsid w:val="4B93258A"/>
    <w:rsid w:val="4BC17AB6"/>
    <w:rsid w:val="4C081969"/>
    <w:rsid w:val="4C1D0C51"/>
    <w:rsid w:val="4C5603C6"/>
    <w:rsid w:val="4CFD5677"/>
    <w:rsid w:val="4D2D3F18"/>
    <w:rsid w:val="4D8D7D7A"/>
    <w:rsid w:val="4DDA28BA"/>
    <w:rsid w:val="4DE913A9"/>
    <w:rsid w:val="4DF01686"/>
    <w:rsid w:val="4E0B15BB"/>
    <w:rsid w:val="4E3218C3"/>
    <w:rsid w:val="4E377211"/>
    <w:rsid w:val="4E3844BD"/>
    <w:rsid w:val="4E7F1D2B"/>
    <w:rsid w:val="4E8934AF"/>
    <w:rsid w:val="4EC12F10"/>
    <w:rsid w:val="4F881308"/>
    <w:rsid w:val="4F8F3A41"/>
    <w:rsid w:val="4FC32DBB"/>
    <w:rsid w:val="4FC95DD6"/>
    <w:rsid w:val="502E2CB4"/>
    <w:rsid w:val="50310CCE"/>
    <w:rsid w:val="50736CC9"/>
    <w:rsid w:val="50814885"/>
    <w:rsid w:val="50C86E43"/>
    <w:rsid w:val="50D872E3"/>
    <w:rsid w:val="50DF3365"/>
    <w:rsid w:val="51115BC1"/>
    <w:rsid w:val="514379B7"/>
    <w:rsid w:val="51494E7A"/>
    <w:rsid w:val="517C2593"/>
    <w:rsid w:val="520768B1"/>
    <w:rsid w:val="52546BE0"/>
    <w:rsid w:val="529236C3"/>
    <w:rsid w:val="5299079A"/>
    <w:rsid w:val="52CE0EF6"/>
    <w:rsid w:val="52DB5CCA"/>
    <w:rsid w:val="52DF2079"/>
    <w:rsid w:val="52E8017F"/>
    <w:rsid w:val="53D446F2"/>
    <w:rsid w:val="53D651EE"/>
    <w:rsid w:val="543A5B79"/>
    <w:rsid w:val="54787173"/>
    <w:rsid w:val="54A53144"/>
    <w:rsid w:val="54D173E9"/>
    <w:rsid w:val="54E83D10"/>
    <w:rsid w:val="5513742F"/>
    <w:rsid w:val="55416218"/>
    <w:rsid w:val="55670604"/>
    <w:rsid w:val="55AF5D23"/>
    <w:rsid w:val="55C65606"/>
    <w:rsid w:val="55D5549C"/>
    <w:rsid w:val="56151579"/>
    <w:rsid w:val="561612F7"/>
    <w:rsid w:val="567A2841"/>
    <w:rsid w:val="569B776C"/>
    <w:rsid w:val="56A47B88"/>
    <w:rsid w:val="56BA3B34"/>
    <w:rsid w:val="56DE714D"/>
    <w:rsid w:val="56FA6BBD"/>
    <w:rsid w:val="570C114E"/>
    <w:rsid w:val="571D15B6"/>
    <w:rsid w:val="573109E8"/>
    <w:rsid w:val="5760270E"/>
    <w:rsid w:val="57636E58"/>
    <w:rsid w:val="57646851"/>
    <w:rsid w:val="577371ED"/>
    <w:rsid w:val="57DE48D3"/>
    <w:rsid w:val="57F45321"/>
    <w:rsid w:val="57FF139C"/>
    <w:rsid w:val="581030F7"/>
    <w:rsid w:val="5862318E"/>
    <w:rsid w:val="58B95CBA"/>
    <w:rsid w:val="58D31AE6"/>
    <w:rsid w:val="58D9595A"/>
    <w:rsid w:val="58E93781"/>
    <w:rsid w:val="59242B1B"/>
    <w:rsid w:val="598B63C8"/>
    <w:rsid w:val="59993FB7"/>
    <w:rsid w:val="59C821CB"/>
    <w:rsid w:val="5A034DE3"/>
    <w:rsid w:val="5A351EAC"/>
    <w:rsid w:val="5A6C6043"/>
    <w:rsid w:val="5A83065D"/>
    <w:rsid w:val="5A907181"/>
    <w:rsid w:val="5AAF1CD4"/>
    <w:rsid w:val="5AED7BD2"/>
    <w:rsid w:val="5B0F67EC"/>
    <w:rsid w:val="5B184696"/>
    <w:rsid w:val="5B254C44"/>
    <w:rsid w:val="5B6643C2"/>
    <w:rsid w:val="5B9C2F9E"/>
    <w:rsid w:val="5BA05FCF"/>
    <w:rsid w:val="5C7311FC"/>
    <w:rsid w:val="5CFE6B55"/>
    <w:rsid w:val="5D026AB5"/>
    <w:rsid w:val="5D207771"/>
    <w:rsid w:val="5D440FA8"/>
    <w:rsid w:val="5D55185F"/>
    <w:rsid w:val="5D5B51F7"/>
    <w:rsid w:val="5DF60226"/>
    <w:rsid w:val="5E2B7C9F"/>
    <w:rsid w:val="5F212874"/>
    <w:rsid w:val="5FB47823"/>
    <w:rsid w:val="609C19C2"/>
    <w:rsid w:val="60A41BAB"/>
    <w:rsid w:val="60AA76D6"/>
    <w:rsid w:val="60B2223A"/>
    <w:rsid w:val="60DD1575"/>
    <w:rsid w:val="60DD333C"/>
    <w:rsid w:val="60FB46CB"/>
    <w:rsid w:val="61291B23"/>
    <w:rsid w:val="612E13D6"/>
    <w:rsid w:val="616F187C"/>
    <w:rsid w:val="620C1FE5"/>
    <w:rsid w:val="62B74308"/>
    <w:rsid w:val="62DE2DEB"/>
    <w:rsid w:val="62E0416F"/>
    <w:rsid w:val="63024F4B"/>
    <w:rsid w:val="63120282"/>
    <w:rsid w:val="63182B3B"/>
    <w:rsid w:val="635A5B58"/>
    <w:rsid w:val="639A3CF5"/>
    <w:rsid w:val="644238A5"/>
    <w:rsid w:val="646C75AA"/>
    <w:rsid w:val="64905406"/>
    <w:rsid w:val="64F54301"/>
    <w:rsid w:val="65334D4F"/>
    <w:rsid w:val="65DA72BA"/>
    <w:rsid w:val="65E96281"/>
    <w:rsid w:val="660B1BF1"/>
    <w:rsid w:val="6650196B"/>
    <w:rsid w:val="666D5265"/>
    <w:rsid w:val="66726677"/>
    <w:rsid w:val="66EE573D"/>
    <w:rsid w:val="67045E89"/>
    <w:rsid w:val="67232C21"/>
    <w:rsid w:val="67332721"/>
    <w:rsid w:val="673D4559"/>
    <w:rsid w:val="67907D62"/>
    <w:rsid w:val="67C96E71"/>
    <w:rsid w:val="68257FFE"/>
    <w:rsid w:val="683B1DD1"/>
    <w:rsid w:val="68723358"/>
    <w:rsid w:val="68956DE4"/>
    <w:rsid w:val="68B31F75"/>
    <w:rsid w:val="68CF576B"/>
    <w:rsid w:val="69056559"/>
    <w:rsid w:val="69174FF4"/>
    <w:rsid w:val="69564750"/>
    <w:rsid w:val="696D4C7B"/>
    <w:rsid w:val="6998274D"/>
    <w:rsid w:val="69B11670"/>
    <w:rsid w:val="6A0C2394"/>
    <w:rsid w:val="6A1A17D5"/>
    <w:rsid w:val="6A282F05"/>
    <w:rsid w:val="6A6A2E8B"/>
    <w:rsid w:val="6B136427"/>
    <w:rsid w:val="6B347DAA"/>
    <w:rsid w:val="6B5415A7"/>
    <w:rsid w:val="6B733D98"/>
    <w:rsid w:val="6B796189"/>
    <w:rsid w:val="6BB63811"/>
    <w:rsid w:val="6BE22CEF"/>
    <w:rsid w:val="6C197F0F"/>
    <w:rsid w:val="6C2E4645"/>
    <w:rsid w:val="6C900E76"/>
    <w:rsid w:val="6D067661"/>
    <w:rsid w:val="6D8E177D"/>
    <w:rsid w:val="6DD853F1"/>
    <w:rsid w:val="6DDF5F56"/>
    <w:rsid w:val="6DFA5F68"/>
    <w:rsid w:val="6E557B10"/>
    <w:rsid w:val="6E955D30"/>
    <w:rsid w:val="6ECA20EF"/>
    <w:rsid w:val="6EDB736C"/>
    <w:rsid w:val="6EE60B30"/>
    <w:rsid w:val="6F033087"/>
    <w:rsid w:val="6F430DD8"/>
    <w:rsid w:val="6FDC26C4"/>
    <w:rsid w:val="70290C42"/>
    <w:rsid w:val="702F14B5"/>
    <w:rsid w:val="70E9754F"/>
    <w:rsid w:val="70ED1C4A"/>
    <w:rsid w:val="70FF742C"/>
    <w:rsid w:val="711D657E"/>
    <w:rsid w:val="71355C6E"/>
    <w:rsid w:val="71391D05"/>
    <w:rsid w:val="713954E8"/>
    <w:rsid w:val="715B0686"/>
    <w:rsid w:val="716A6647"/>
    <w:rsid w:val="719D7CA3"/>
    <w:rsid w:val="71EB25E4"/>
    <w:rsid w:val="726355CD"/>
    <w:rsid w:val="728F7E46"/>
    <w:rsid w:val="72B054AA"/>
    <w:rsid w:val="72D22CA0"/>
    <w:rsid w:val="737B4E77"/>
    <w:rsid w:val="738A5E3D"/>
    <w:rsid w:val="7396424F"/>
    <w:rsid w:val="73A1050E"/>
    <w:rsid w:val="73B976BC"/>
    <w:rsid w:val="73D4453E"/>
    <w:rsid w:val="73F43D49"/>
    <w:rsid w:val="74123DAE"/>
    <w:rsid w:val="74522394"/>
    <w:rsid w:val="74EE6D18"/>
    <w:rsid w:val="75297606"/>
    <w:rsid w:val="75382BF6"/>
    <w:rsid w:val="755A0E4E"/>
    <w:rsid w:val="75713487"/>
    <w:rsid w:val="758F6E36"/>
    <w:rsid w:val="7590142E"/>
    <w:rsid w:val="76095450"/>
    <w:rsid w:val="76915D93"/>
    <w:rsid w:val="76ED15B2"/>
    <w:rsid w:val="77902F97"/>
    <w:rsid w:val="77C3206A"/>
    <w:rsid w:val="783111B7"/>
    <w:rsid w:val="7839032F"/>
    <w:rsid w:val="785E32E8"/>
    <w:rsid w:val="78622EF5"/>
    <w:rsid w:val="78DE0702"/>
    <w:rsid w:val="78F53717"/>
    <w:rsid w:val="790A1333"/>
    <w:rsid w:val="7939625A"/>
    <w:rsid w:val="793C6888"/>
    <w:rsid w:val="794B0E38"/>
    <w:rsid w:val="79634E0A"/>
    <w:rsid w:val="798E3918"/>
    <w:rsid w:val="79914096"/>
    <w:rsid w:val="799F46BE"/>
    <w:rsid w:val="79C9115F"/>
    <w:rsid w:val="7A26111A"/>
    <w:rsid w:val="7A377D4B"/>
    <w:rsid w:val="7A411120"/>
    <w:rsid w:val="7A4873D5"/>
    <w:rsid w:val="7A5F71A8"/>
    <w:rsid w:val="7A720F0D"/>
    <w:rsid w:val="7ABF08E5"/>
    <w:rsid w:val="7ACC7359"/>
    <w:rsid w:val="7ACD57BB"/>
    <w:rsid w:val="7ACF72D4"/>
    <w:rsid w:val="7B275B17"/>
    <w:rsid w:val="7B763C4C"/>
    <w:rsid w:val="7BAB7E53"/>
    <w:rsid w:val="7BB028B5"/>
    <w:rsid w:val="7BC90391"/>
    <w:rsid w:val="7BDE0AE9"/>
    <w:rsid w:val="7BFF2458"/>
    <w:rsid w:val="7C2C288D"/>
    <w:rsid w:val="7C3518F1"/>
    <w:rsid w:val="7C3E46E5"/>
    <w:rsid w:val="7C655F7C"/>
    <w:rsid w:val="7CC0228C"/>
    <w:rsid w:val="7D29590B"/>
    <w:rsid w:val="7D5B3CDD"/>
    <w:rsid w:val="7D6572F5"/>
    <w:rsid w:val="7D7963E5"/>
    <w:rsid w:val="7D7E776D"/>
    <w:rsid w:val="7DC3133B"/>
    <w:rsid w:val="7E1A15E1"/>
    <w:rsid w:val="7E8C4662"/>
    <w:rsid w:val="7EB55A72"/>
    <w:rsid w:val="7F231B4A"/>
    <w:rsid w:val="7F380DA1"/>
    <w:rsid w:val="7F9D0C10"/>
    <w:rsid w:val="7F9E55F2"/>
    <w:rsid w:val="7FB07C4C"/>
    <w:rsid w:val="7FD12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7"/>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link w:val="98"/>
    <w:qFormat/>
    <w:uiPriority w:val="0"/>
    <w:pPr>
      <w:keepNext/>
      <w:keepLines/>
      <w:snapToGrid w:val="0"/>
      <w:spacing w:line="300" w:lineRule="auto"/>
      <w:ind w:firstLine="200" w:firstLineChars="200"/>
      <w:outlineLvl w:val="1"/>
    </w:pPr>
    <w:rPr>
      <w:rFonts w:ascii="Arial" w:hAnsi="Arial"/>
      <w:b/>
      <w:bCs/>
      <w:szCs w:val="32"/>
    </w:rPr>
  </w:style>
  <w:style w:type="paragraph" w:styleId="6">
    <w:name w:val="heading 3"/>
    <w:basedOn w:val="1"/>
    <w:next w:val="1"/>
    <w:link w:val="99"/>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7">
    <w:name w:val="heading 4"/>
    <w:basedOn w:val="1"/>
    <w:next w:val="1"/>
    <w:link w:val="100"/>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8">
    <w:name w:val="heading 5"/>
    <w:basedOn w:val="1"/>
    <w:next w:val="1"/>
    <w:link w:val="101"/>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9">
    <w:name w:val="heading 6"/>
    <w:basedOn w:val="1"/>
    <w:next w:val="1"/>
    <w:link w:val="102"/>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10">
    <w:name w:val="heading 7"/>
    <w:basedOn w:val="1"/>
    <w:next w:val="1"/>
    <w:link w:val="103"/>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1">
    <w:name w:val="heading 8"/>
    <w:basedOn w:val="1"/>
    <w:next w:val="1"/>
    <w:link w:val="104"/>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2">
    <w:name w:val="heading 9"/>
    <w:basedOn w:val="1"/>
    <w:next w:val="1"/>
    <w:link w:val="105"/>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2"/>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
    <w:name w:val="Body Text Indent"/>
    <w:basedOn w:val="1"/>
    <w:next w:val="1"/>
    <w:link w:val="114"/>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 w:val="18"/>
      <w:szCs w:val="18"/>
    </w:rPr>
  </w:style>
  <w:style w:type="paragraph" w:styleId="15">
    <w:name w:val="List Number 2"/>
    <w:basedOn w:val="1"/>
    <w:next w:val="16"/>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6">
    <w:name w:val="List Continue 2"/>
    <w:basedOn w:val="1"/>
    <w:qFormat/>
    <w:uiPriority w:val="0"/>
    <w:pPr>
      <w:spacing w:after="120" w:line="360" w:lineRule="auto"/>
      <w:ind w:left="840" w:leftChars="400" w:firstLine="420"/>
    </w:pPr>
    <w:rPr>
      <w:rFonts w:ascii="宋体" w:hAnsi="宋体"/>
    </w:rPr>
  </w:style>
  <w:style w:type="paragraph" w:styleId="17">
    <w:name w:val="table of authorities"/>
    <w:basedOn w:val="18"/>
    <w:next w:val="1"/>
    <w:qFormat/>
    <w:uiPriority w:val="0"/>
    <w:pPr>
      <w:jc w:val="center"/>
    </w:pPr>
    <w:rPr>
      <w:b/>
      <w:bCs/>
      <w:sz w:val="40"/>
      <w:szCs w:val="32"/>
    </w:rPr>
  </w:style>
  <w:style w:type="paragraph" w:customStyle="1" w:styleId="18">
    <w:name w:val="Heading"/>
    <w:basedOn w:val="1"/>
    <w:next w:val="19"/>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9">
    <w:name w:val="Body Text"/>
    <w:basedOn w:val="1"/>
    <w:link w:val="106"/>
    <w:qFormat/>
    <w:uiPriority w:val="0"/>
    <w:pPr>
      <w:adjustRightInd w:val="0"/>
      <w:spacing w:line="315" w:lineRule="atLeast"/>
      <w:jc w:val="left"/>
      <w:textAlignment w:val="baseline"/>
    </w:pPr>
    <w:rPr>
      <w:rFonts w:ascii="仿宋_GB2312" w:eastAsia="仿宋_GB2312"/>
      <w:kern w:val="0"/>
      <w:sz w:val="28"/>
      <w:szCs w:val="20"/>
    </w:rPr>
  </w:style>
  <w:style w:type="paragraph" w:styleId="20">
    <w:name w:val="Note Heading"/>
    <w:basedOn w:val="1"/>
    <w:next w:val="1"/>
    <w:link w:val="107"/>
    <w:qFormat/>
    <w:uiPriority w:val="0"/>
    <w:pPr>
      <w:tabs>
        <w:tab w:val="left" w:pos="840"/>
      </w:tabs>
      <w:spacing w:line="360" w:lineRule="auto"/>
      <w:jc w:val="center"/>
    </w:pPr>
    <w:rPr>
      <w:rFonts w:ascii="宋体" w:hAnsi="宋体"/>
    </w:rPr>
  </w:style>
  <w:style w:type="paragraph" w:styleId="21">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2">
    <w:name w:val="List Number"/>
    <w:basedOn w:val="1"/>
    <w:qFormat/>
    <w:uiPriority w:val="0"/>
    <w:pPr>
      <w:tabs>
        <w:tab w:val="left" w:pos="425"/>
      </w:tabs>
      <w:spacing w:line="300" w:lineRule="auto"/>
      <w:ind w:left="425" w:hanging="425"/>
    </w:pPr>
    <w:rPr>
      <w:rFonts w:ascii="宋体" w:hAnsi="宋体"/>
      <w:b/>
      <w:bCs/>
      <w:sz w:val="24"/>
    </w:rPr>
  </w:style>
  <w:style w:type="paragraph" w:styleId="23">
    <w:name w:val="Normal Indent"/>
    <w:basedOn w:val="1"/>
    <w:link w:val="108"/>
    <w:qFormat/>
    <w:uiPriority w:val="0"/>
    <w:pPr>
      <w:ind w:firstLine="420" w:firstLineChars="200"/>
    </w:pPr>
  </w:style>
  <w:style w:type="paragraph" w:styleId="24">
    <w:name w:val="caption"/>
    <w:basedOn w:val="1"/>
    <w:next w:val="1"/>
    <w:link w:val="109"/>
    <w:qFormat/>
    <w:uiPriority w:val="0"/>
    <w:pPr>
      <w:spacing w:before="152" w:after="160" w:line="360" w:lineRule="auto"/>
      <w:ind w:firstLine="420"/>
    </w:pPr>
    <w:rPr>
      <w:rFonts w:ascii="Arial" w:hAnsi="Arial" w:eastAsia="黑体"/>
      <w:kern w:val="0"/>
      <w:sz w:val="20"/>
      <w:szCs w:val="20"/>
    </w:rPr>
  </w:style>
  <w:style w:type="paragraph" w:styleId="25">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6">
    <w:name w:val="List Bullet"/>
    <w:basedOn w:val="1"/>
    <w:qFormat/>
    <w:uiPriority w:val="0"/>
    <w:pPr>
      <w:tabs>
        <w:tab w:val="left" w:pos="400"/>
      </w:tabs>
      <w:spacing w:line="360" w:lineRule="auto"/>
      <w:ind w:left="420" w:leftChars="200" w:firstLine="420"/>
    </w:pPr>
    <w:rPr>
      <w:rFonts w:ascii="Arial" w:hAnsi="Arial"/>
      <w:szCs w:val="21"/>
    </w:rPr>
  </w:style>
  <w:style w:type="paragraph" w:styleId="27">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8">
    <w:name w:val="Document Map"/>
    <w:basedOn w:val="1"/>
    <w:link w:val="110"/>
    <w:qFormat/>
    <w:uiPriority w:val="99"/>
    <w:pPr>
      <w:shd w:val="clear" w:color="auto" w:fill="000080"/>
    </w:pPr>
  </w:style>
  <w:style w:type="paragraph" w:styleId="29">
    <w:name w:val="annotation text"/>
    <w:basedOn w:val="1"/>
    <w:link w:val="111"/>
    <w:qFormat/>
    <w:uiPriority w:val="0"/>
    <w:pPr>
      <w:jc w:val="left"/>
    </w:pPr>
    <w:rPr>
      <w:szCs w:val="20"/>
    </w:rPr>
  </w:style>
  <w:style w:type="paragraph" w:styleId="30">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1">
    <w:name w:val="Salutation"/>
    <w:basedOn w:val="1"/>
    <w:next w:val="1"/>
    <w:link w:val="112"/>
    <w:qFormat/>
    <w:uiPriority w:val="0"/>
    <w:pPr>
      <w:spacing w:line="360" w:lineRule="auto"/>
      <w:ind w:firstLine="420"/>
    </w:pPr>
    <w:rPr>
      <w:kern w:val="0"/>
      <w:sz w:val="24"/>
    </w:rPr>
  </w:style>
  <w:style w:type="paragraph" w:styleId="32">
    <w:name w:val="Body Text 3"/>
    <w:basedOn w:val="1"/>
    <w:link w:val="113"/>
    <w:qFormat/>
    <w:uiPriority w:val="0"/>
    <w:pPr>
      <w:spacing w:line="440" w:lineRule="atLeast"/>
      <w:jc w:val="center"/>
    </w:pPr>
    <w:rPr>
      <w:rFonts w:ascii="楷体_GB2312" w:eastAsia="楷体_GB2312"/>
      <w:b/>
      <w:color w:val="000000"/>
      <w:sz w:val="30"/>
    </w:rPr>
  </w:style>
  <w:style w:type="paragraph" w:styleId="33">
    <w:name w:val="List Bullet 3"/>
    <w:basedOn w:val="1"/>
    <w:unhideWhenUsed/>
    <w:qFormat/>
    <w:uiPriority w:val="99"/>
    <w:pPr>
      <w:tabs>
        <w:tab w:val="left" w:pos="1200"/>
      </w:tabs>
      <w:ind w:left="900" w:hanging="420"/>
      <w:contextualSpacing/>
    </w:pPr>
    <w:rPr>
      <w:szCs w:val="22"/>
    </w:rPr>
  </w:style>
  <w:style w:type="paragraph" w:styleId="34">
    <w:name w:val="List Number 3"/>
    <w:basedOn w:val="1"/>
    <w:qFormat/>
    <w:uiPriority w:val="0"/>
    <w:pPr>
      <w:tabs>
        <w:tab w:val="left" w:pos="1200"/>
      </w:tabs>
      <w:spacing w:line="360" w:lineRule="auto"/>
    </w:pPr>
    <w:rPr>
      <w:rFonts w:ascii="宋体" w:hAnsi="宋体"/>
      <w:sz w:val="24"/>
    </w:rPr>
  </w:style>
  <w:style w:type="paragraph" w:styleId="35">
    <w:name w:val="List 2"/>
    <w:basedOn w:val="1"/>
    <w:qFormat/>
    <w:uiPriority w:val="0"/>
    <w:pPr>
      <w:ind w:left="100" w:leftChars="200" w:hanging="200" w:hangingChars="200"/>
    </w:pPr>
  </w:style>
  <w:style w:type="paragraph" w:styleId="36">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7">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8">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9">
    <w:name w:val="toc 5"/>
    <w:basedOn w:val="1"/>
    <w:next w:val="1"/>
    <w:qFormat/>
    <w:uiPriority w:val="0"/>
    <w:pPr>
      <w:ind w:left="840"/>
      <w:jc w:val="left"/>
    </w:pPr>
    <w:rPr>
      <w:sz w:val="18"/>
      <w:szCs w:val="18"/>
    </w:rPr>
  </w:style>
  <w:style w:type="paragraph" w:styleId="40">
    <w:name w:val="toc 3"/>
    <w:basedOn w:val="1"/>
    <w:next w:val="1"/>
    <w:qFormat/>
    <w:uiPriority w:val="0"/>
    <w:pPr>
      <w:ind w:left="420"/>
      <w:jc w:val="left"/>
    </w:pPr>
    <w:rPr>
      <w:i/>
      <w:iCs/>
      <w:sz w:val="20"/>
      <w:szCs w:val="20"/>
    </w:rPr>
  </w:style>
  <w:style w:type="paragraph" w:styleId="41">
    <w:name w:val="Plain Text"/>
    <w:basedOn w:val="1"/>
    <w:link w:val="115"/>
    <w:qFormat/>
    <w:uiPriority w:val="0"/>
    <w:rPr>
      <w:rFonts w:ascii="宋体" w:hAnsi="Courier New"/>
      <w:szCs w:val="20"/>
    </w:rPr>
  </w:style>
  <w:style w:type="paragraph" w:styleId="42">
    <w:name w:val="List Bullet 5"/>
    <w:basedOn w:val="1"/>
    <w:next w:val="43"/>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3">
    <w:name w:val="List Continue 5"/>
    <w:basedOn w:val="1"/>
    <w:qFormat/>
    <w:uiPriority w:val="0"/>
    <w:pPr>
      <w:spacing w:after="120" w:line="360" w:lineRule="auto"/>
      <w:ind w:left="2100" w:leftChars="1000" w:firstLine="420"/>
    </w:pPr>
    <w:rPr>
      <w:rFonts w:ascii="宋体" w:hAnsi="宋体"/>
    </w:rPr>
  </w:style>
  <w:style w:type="paragraph" w:styleId="44">
    <w:name w:val="List Number 4"/>
    <w:basedOn w:val="1"/>
    <w:qFormat/>
    <w:uiPriority w:val="0"/>
    <w:pPr>
      <w:tabs>
        <w:tab w:val="left" w:pos="1620"/>
      </w:tabs>
      <w:spacing w:line="360" w:lineRule="auto"/>
    </w:pPr>
    <w:rPr>
      <w:rFonts w:ascii="宋体" w:hAnsi="宋体"/>
      <w:sz w:val="24"/>
    </w:rPr>
  </w:style>
  <w:style w:type="paragraph" w:styleId="45">
    <w:name w:val="toc 8"/>
    <w:basedOn w:val="1"/>
    <w:next w:val="1"/>
    <w:qFormat/>
    <w:uiPriority w:val="0"/>
    <w:pPr>
      <w:ind w:left="1470"/>
      <w:jc w:val="left"/>
    </w:pPr>
    <w:rPr>
      <w:sz w:val="18"/>
      <w:szCs w:val="18"/>
    </w:rPr>
  </w:style>
  <w:style w:type="paragraph" w:styleId="46">
    <w:name w:val="index 3"/>
    <w:basedOn w:val="47"/>
    <w:next w:val="1"/>
    <w:qFormat/>
    <w:uiPriority w:val="0"/>
    <w:pPr>
      <w:ind w:left="566"/>
    </w:pPr>
  </w:style>
  <w:style w:type="paragraph" w:customStyle="1" w:styleId="47">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8">
    <w:name w:val="Date"/>
    <w:basedOn w:val="1"/>
    <w:next w:val="1"/>
    <w:link w:val="116"/>
    <w:qFormat/>
    <w:uiPriority w:val="0"/>
    <w:pPr>
      <w:ind w:left="100" w:leftChars="2500"/>
    </w:pPr>
    <w:rPr>
      <w:color w:val="000000"/>
      <w:sz w:val="24"/>
    </w:rPr>
  </w:style>
  <w:style w:type="paragraph" w:styleId="49">
    <w:name w:val="Body Text Indent 2"/>
    <w:basedOn w:val="1"/>
    <w:link w:val="117"/>
    <w:qFormat/>
    <w:uiPriority w:val="99"/>
    <w:pPr>
      <w:widowControl/>
      <w:spacing w:line="480" w:lineRule="atLeast"/>
      <w:ind w:firstLine="480"/>
    </w:pPr>
    <w:rPr>
      <w:rFonts w:ascii="宋体"/>
      <w:kern w:val="0"/>
      <w:sz w:val="24"/>
      <w:szCs w:val="20"/>
    </w:rPr>
  </w:style>
  <w:style w:type="paragraph" w:styleId="50">
    <w:name w:val="endnote text"/>
    <w:basedOn w:val="1"/>
    <w:link w:val="118"/>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1">
    <w:name w:val="Balloon Text"/>
    <w:basedOn w:val="1"/>
    <w:link w:val="119"/>
    <w:qFormat/>
    <w:uiPriority w:val="99"/>
    <w:rPr>
      <w:sz w:val="18"/>
      <w:szCs w:val="18"/>
    </w:rPr>
  </w:style>
  <w:style w:type="paragraph" w:styleId="52">
    <w:name w:val="footer"/>
    <w:basedOn w:val="1"/>
    <w:link w:val="120"/>
    <w:qFormat/>
    <w:uiPriority w:val="99"/>
    <w:pPr>
      <w:pBdr>
        <w:top w:val="single" w:color="auto" w:sz="4" w:space="1"/>
      </w:pBdr>
      <w:tabs>
        <w:tab w:val="center" w:pos="4153"/>
        <w:tab w:val="right" w:pos="8306"/>
      </w:tabs>
      <w:snapToGrid w:val="0"/>
      <w:jc w:val="left"/>
    </w:pPr>
    <w:rPr>
      <w:sz w:val="18"/>
      <w:szCs w:val="18"/>
    </w:rPr>
  </w:style>
  <w:style w:type="paragraph" w:styleId="53">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4">
    <w:name w:val="header"/>
    <w:basedOn w:val="1"/>
    <w:link w:val="121"/>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22"/>
    <w:qFormat/>
    <w:uiPriority w:val="0"/>
    <w:pPr>
      <w:autoSpaceDN w:val="0"/>
      <w:adjustRightInd w:val="0"/>
      <w:jc w:val="left"/>
    </w:pPr>
    <w:rPr>
      <w:rFonts w:ascii="Arial" w:hAnsi="Arial" w:eastAsia="PMingLiU"/>
      <w:kern w:val="0"/>
      <w:sz w:val="20"/>
      <w:szCs w:val="20"/>
      <w:lang w:val="en-GB" w:eastAsia="zh-TW"/>
    </w:rPr>
  </w:style>
  <w:style w:type="paragraph" w:styleId="56">
    <w:name w:val="toc 1"/>
    <w:basedOn w:val="1"/>
    <w:next w:val="1"/>
    <w:qFormat/>
    <w:uiPriority w:val="39"/>
    <w:pPr>
      <w:tabs>
        <w:tab w:val="right" w:leader="dot" w:pos="9403"/>
      </w:tabs>
      <w:snapToGrid w:val="0"/>
      <w:spacing w:line="360" w:lineRule="auto"/>
    </w:pPr>
    <w:rPr>
      <w:rFonts w:ascii="Arial" w:hAnsi="Arial"/>
      <w:b/>
      <w:bCs/>
      <w:caps/>
    </w:rPr>
  </w:style>
  <w:style w:type="paragraph" w:styleId="57">
    <w:name w:val="toc 4"/>
    <w:basedOn w:val="1"/>
    <w:next w:val="1"/>
    <w:qFormat/>
    <w:uiPriority w:val="0"/>
    <w:pPr>
      <w:ind w:left="630"/>
      <w:jc w:val="left"/>
    </w:pPr>
    <w:rPr>
      <w:sz w:val="18"/>
      <w:szCs w:val="18"/>
    </w:rPr>
  </w:style>
  <w:style w:type="paragraph" w:styleId="58">
    <w:name w:val="index heading"/>
    <w:basedOn w:val="18"/>
    <w:next w:val="59"/>
    <w:qFormat/>
    <w:uiPriority w:val="0"/>
    <w:rPr>
      <w:b/>
      <w:bCs/>
      <w:sz w:val="32"/>
      <w:szCs w:val="32"/>
    </w:rPr>
  </w:style>
  <w:style w:type="paragraph" w:styleId="59">
    <w:name w:val="index 1"/>
    <w:basedOn w:val="1"/>
    <w:next w:val="1"/>
    <w:qFormat/>
    <w:uiPriority w:val="0"/>
    <w:pPr>
      <w:widowControl/>
      <w:spacing w:line="360" w:lineRule="auto"/>
      <w:jc w:val="center"/>
    </w:pPr>
    <w:rPr>
      <w:rFonts w:ascii="Arial" w:hAnsi="Arial" w:cs="Arial"/>
      <w:kern w:val="0"/>
      <w:sz w:val="24"/>
    </w:rPr>
  </w:style>
  <w:style w:type="paragraph" w:styleId="60">
    <w:name w:val="Subtitle"/>
    <w:basedOn w:val="1"/>
    <w:next w:val="1"/>
    <w:link w:val="123"/>
    <w:qFormat/>
    <w:uiPriority w:val="0"/>
    <w:pPr>
      <w:spacing w:before="240" w:after="60" w:line="312" w:lineRule="auto"/>
      <w:jc w:val="center"/>
      <w:outlineLvl w:val="1"/>
    </w:pPr>
    <w:rPr>
      <w:rFonts w:ascii="Cambria" w:hAnsi="Cambria"/>
      <w:b/>
      <w:bCs/>
      <w:kern w:val="28"/>
      <w:sz w:val="32"/>
      <w:szCs w:val="32"/>
    </w:rPr>
  </w:style>
  <w:style w:type="paragraph" w:styleId="61">
    <w:name w:val="List Number 5"/>
    <w:basedOn w:val="1"/>
    <w:qFormat/>
    <w:uiPriority w:val="0"/>
    <w:pPr>
      <w:tabs>
        <w:tab w:val="left" w:pos="2040"/>
      </w:tabs>
      <w:spacing w:line="360" w:lineRule="auto"/>
    </w:pPr>
    <w:rPr>
      <w:rFonts w:ascii="宋体" w:hAnsi="宋体"/>
      <w:sz w:val="24"/>
    </w:rPr>
  </w:style>
  <w:style w:type="paragraph" w:styleId="62">
    <w:name w:val="List"/>
    <w:basedOn w:val="1"/>
    <w:qFormat/>
    <w:uiPriority w:val="0"/>
    <w:pPr>
      <w:ind w:left="200" w:hanging="200" w:hangingChars="200"/>
    </w:pPr>
  </w:style>
  <w:style w:type="paragraph" w:styleId="63">
    <w:name w:val="footnote text"/>
    <w:basedOn w:val="1"/>
    <w:link w:val="124"/>
    <w:qFormat/>
    <w:uiPriority w:val="0"/>
    <w:pPr>
      <w:widowControl/>
      <w:spacing w:line="360" w:lineRule="auto"/>
      <w:ind w:firstLine="420"/>
      <w:jc w:val="left"/>
    </w:pPr>
    <w:rPr>
      <w:rFonts w:ascii="Arial" w:hAnsi="Arial"/>
      <w:kern w:val="0"/>
      <w:sz w:val="20"/>
      <w:szCs w:val="20"/>
      <w:lang w:eastAsia="en-US"/>
    </w:rPr>
  </w:style>
  <w:style w:type="paragraph" w:styleId="64">
    <w:name w:val="toc 6"/>
    <w:basedOn w:val="1"/>
    <w:next w:val="1"/>
    <w:qFormat/>
    <w:uiPriority w:val="0"/>
    <w:pPr>
      <w:ind w:left="1050"/>
      <w:jc w:val="left"/>
    </w:pPr>
    <w:rPr>
      <w:sz w:val="18"/>
      <w:szCs w:val="18"/>
    </w:rPr>
  </w:style>
  <w:style w:type="paragraph" w:styleId="65">
    <w:name w:val="List 5"/>
    <w:basedOn w:val="1"/>
    <w:qFormat/>
    <w:uiPriority w:val="0"/>
    <w:pPr>
      <w:ind w:left="100" w:leftChars="800" w:hanging="200" w:hangingChars="200"/>
    </w:pPr>
    <w:rPr>
      <w:szCs w:val="20"/>
    </w:rPr>
  </w:style>
  <w:style w:type="paragraph" w:styleId="66">
    <w:name w:val="Body Text Indent 3"/>
    <w:basedOn w:val="1"/>
    <w:link w:val="125"/>
    <w:qFormat/>
    <w:uiPriority w:val="99"/>
    <w:pPr>
      <w:autoSpaceDE w:val="0"/>
      <w:autoSpaceDN w:val="0"/>
      <w:spacing w:line="400" w:lineRule="atLeast"/>
      <w:ind w:firstLine="443" w:firstLineChars="200"/>
      <w:textAlignment w:val="bottom"/>
    </w:pPr>
    <w:rPr>
      <w:rFonts w:eastAsia="黑体"/>
      <w:color w:val="000000"/>
      <w:sz w:val="24"/>
    </w:rPr>
  </w:style>
  <w:style w:type="paragraph" w:styleId="67">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8">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9">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0">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1">
    <w:name w:val="toc 9"/>
    <w:basedOn w:val="1"/>
    <w:next w:val="1"/>
    <w:qFormat/>
    <w:uiPriority w:val="0"/>
    <w:pPr>
      <w:ind w:left="1680"/>
      <w:jc w:val="left"/>
    </w:pPr>
    <w:rPr>
      <w:sz w:val="18"/>
      <w:szCs w:val="18"/>
    </w:rPr>
  </w:style>
  <w:style w:type="paragraph" w:styleId="72">
    <w:name w:val="Body Text 2"/>
    <w:basedOn w:val="1"/>
    <w:link w:val="126"/>
    <w:qFormat/>
    <w:uiPriority w:val="0"/>
    <w:rPr>
      <w:b/>
      <w:bCs/>
      <w:color w:val="000000"/>
      <w:sz w:val="28"/>
    </w:rPr>
  </w:style>
  <w:style w:type="paragraph" w:styleId="73">
    <w:name w:val="List 4"/>
    <w:basedOn w:val="1"/>
    <w:qFormat/>
    <w:uiPriority w:val="0"/>
    <w:pPr>
      <w:ind w:left="100" w:leftChars="600" w:hanging="200" w:hangingChars="200"/>
    </w:pPr>
    <w:rPr>
      <w:szCs w:val="20"/>
    </w:rPr>
  </w:style>
  <w:style w:type="paragraph" w:styleId="74">
    <w:name w:val="HTML Preformatted"/>
    <w:basedOn w:val="1"/>
    <w:link w:val="1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5">
    <w:name w:val="Normal (Web)"/>
    <w:basedOn w:val="1"/>
    <w:link w:val="128"/>
    <w:qFormat/>
    <w:uiPriority w:val="0"/>
    <w:pPr>
      <w:widowControl/>
      <w:spacing w:before="100" w:beforeAutospacing="1" w:after="100" w:afterAutospacing="1"/>
      <w:jc w:val="left"/>
    </w:pPr>
    <w:rPr>
      <w:rFonts w:ascii="宋体" w:hAnsi="宋体"/>
      <w:kern w:val="0"/>
      <w:sz w:val="24"/>
    </w:rPr>
  </w:style>
  <w:style w:type="paragraph" w:styleId="76">
    <w:name w:val="index 2"/>
    <w:basedOn w:val="47"/>
    <w:next w:val="1"/>
    <w:qFormat/>
    <w:uiPriority w:val="0"/>
    <w:pPr>
      <w:ind w:left="283"/>
    </w:pPr>
  </w:style>
  <w:style w:type="paragraph" w:styleId="77">
    <w:name w:val="Title"/>
    <w:basedOn w:val="1"/>
    <w:link w:val="129"/>
    <w:qFormat/>
    <w:uiPriority w:val="0"/>
    <w:pPr>
      <w:jc w:val="center"/>
    </w:pPr>
    <w:rPr>
      <w:sz w:val="30"/>
    </w:rPr>
  </w:style>
  <w:style w:type="paragraph" w:styleId="78">
    <w:name w:val="annotation subject"/>
    <w:basedOn w:val="29"/>
    <w:next w:val="29"/>
    <w:link w:val="130"/>
    <w:qFormat/>
    <w:uiPriority w:val="0"/>
    <w:rPr>
      <w:b/>
      <w:bCs/>
    </w:rPr>
  </w:style>
  <w:style w:type="paragraph" w:styleId="79">
    <w:name w:val="Body Text First Indent"/>
    <w:basedOn w:val="19"/>
    <w:link w:val="131"/>
    <w:qFormat/>
    <w:uiPriority w:val="0"/>
    <w:pPr>
      <w:adjustRightInd/>
      <w:spacing w:after="120" w:line="240" w:lineRule="auto"/>
      <w:ind w:firstLine="420" w:firstLineChars="100"/>
      <w:jc w:val="both"/>
      <w:textAlignment w:val="auto"/>
    </w:pPr>
    <w:rPr>
      <w:rFonts w:ascii="Times New Roman" w:eastAsia="宋体"/>
      <w:kern w:val="2"/>
      <w:sz w:val="21"/>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1 字符"/>
    <w:link w:val="4"/>
    <w:qFormat/>
    <w:uiPriority w:val="0"/>
    <w:rPr>
      <w:rFonts w:ascii="Arial" w:hAnsi="Arial" w:eastAsia="华文中宋"/>
      <w:b/>
      <w:color w:val="000000"/>
      <w:kern w:val="2"/>
      <w:sz w:val="32"/>
      <w:szCs w:val="24"/>
    </w:rPr>
  </w:style>
  <w:style w:type="character" w:customStyle="1" w:styleId="98">
    <w:name w:val="标题 2 字符"/>
    <w:link w:val="5"/>
    <w:qFormat/>
    <w:uiPriority w:val="0"/>
    <w:rPr>
      <w:rFonts w:ascii="Arial" w:hAnsi="Arial"/>
      <w:b/>
      <w:bCs/>
      <w:kern w:val="2"/>
      <w:sz w:val="21"/>
      <w:szCs w:val="32"/>
    </w:rPr>
  </w:style>
  <w:style w:type="character" w:customStyle="1" w:styleId="99">
    <w:name w:val="标题 3 字符"/>
    <w:link w:val="6"/>
    <w:qFormat/>
    <w:uiPriority w:val="9"/>
    <w:rPr>
      <w:rFonts w:ascii="Arial" w:hAnsi="Arial"/>
      <w:b/>
      <w:kern w:val="2"/>
      <w:sz w:val="21"/>
    </w:rPr>
  </w:style>
  <w:style w:type="character" w:customStyle="1" w:styleId="100">
    <w:name w:val="标题 4 字符"/>
    <w:link w:val="7"/>
    <w:qFormat/>
    <w:uiPriority w:val="9"/>
    <w:rPr>
      <w:rFonts w:ascii="Arial" w:hAnsi="Arial"/>
      <w:sz w:val="21"/>
      <w:szCs w:val="24"/>
    </w:rPr>
  </w:style>
  <w:style w:type="character" w:customStyle="1" w:styleId="101">
    <w:name w:val="标题 5 字符"/>
    <w:link w:val="8"/>
    <w:qFormat/>
    <w:uiPriority w:val="0"/>
    <w:rPr>
      <w:rFonts w:ascii="宋体" w:hAnsi="宋体"/>
      <w:b/>
      <w:bCs/>
      <w:kern w:val="2"/>
      <w:sz w:val="28"/>
      <w:szCs w:val="24"/>
    </w:rPr>
  </w:style>
  <w:style w:type="character" w:customStyle="1" w:styleId="102">
    <w:name w:val="标题 6 字符"/>
    <w:link w:val="9"/>
    <w:qFormat/>
    <w:uiPriority w:val="0"/>
    <w:rPr>
      <w:rFonts w:ascii="Arial" w:hAnsi="Arial"/>
      <w:b/>
      <w:bCs/>
      <w:kern w:val="2"/>
      <w:sz w:val="24"/>
      <w:szCs w:val="24"/>
    </w:rPr>
  </w:style>
  <w:style w:type="character" w:customStyle="1" w:styleId="103">
    <w:name w:val="标题 7 字符"/>
    <w:link w:val="10"/>
    <w:qFormat/>
    <w:uiPriority w:val="0"/>
    <w:rPr>
      <w:rFonts w:ascii="宋体" w:hAnsi="宋体"/>
      <w:b/>
      <w:bCs/>
      <w:kern w:val="2"/>
      <w:sz w:val="21"/>
      <w:szCs w:val="24"/>
    </w:rPr>
  </w:style>
  <w:style w:type="character" w:customStyle="1" w:styleId="104">
    <w:name w:val="标题 8 字符"/>
    <w:link w:val="11"/>
    <w:qFormat/>
    <w:uiPriority w:val="0"/>
    <w:rPr>
      <w:rFonts w:ascii="Arial" w:hAnsi="Arial" w:eastAsia="黑体"/>
      <w:kern w:val="2"/>
      <w:sz w:val="24"/>
      <w:szCs w:val="24"/>
    </w:rPr>
  </w:style>
  <w:style w:type="character" w:customStyle="1" w:styleId="105">
    <w:name w:val="标题 9 字符"/>
    <w:link w:val="12"/>
    <w:qFormat/>
    <w:uiPriority w:val="0"/>
    <w:rPr>
      <w:rFonts w:ascii="Arial" w:hAnsi="Arial" w:eastAsia="黑体"/>
      <w:kern w:val="2"/>
      <w:sz w:val="21"/>
      <w:szCs w:val="21"/>
    </w:rPr>
  </w:style>
  <w:style w:type="character" w:customStyle="1" w:styleId="106">
    <w:name w:val="正文文本 字符"/>
    <w:link w:val="19"/>
    <w:qFormat/>
    <w:uiPriority w:val="0"/>
    <w:rPr>
      <w:rFonts w:ascii="仿宋_GB2312" w:eastAsia="仿宋_GB2312"/>
      <w:sz w:val="28"/>
    </w:rPr>
  </w:style>
  <w:style w:type="character" w:customStyle="1" w:styleId="107">
    <w:name w:val="注释标题 字符"/>
    <w:link w:val="20"/>
    <w:qFormat/>
    <w:uiPriority w:val="0"/>
    <w:rPr>
      <w:rFonts w:ascii="宋体" w:hAnsi="宋体"/>
      <w:kern w:val="2"/>
      <w:sz w:val="21"/>
      <w:szCs w:val="24"/>
    </w:rPr>
  </w:style>
  <w:style w:type="character" w:customStyle="1" w:styleId="108">
    <w:name w:val="正文缩进 字符"/>
    <w:link w:val="23"/>
    <w:qFormat/>
    <w:uiPriority w:val="0"/>
    <w:rPr>
      <w:rFonts w:eastAsia="宋体"/>
      <w:kern w:val="2"/>
      <w:sz w:val="21"/>
      <w:szCs w:val="24"/>
      <w:lang w:val="en-US" w:eastAsia="zh-CN" w:bidi="ar-SA"/>
    </w:rPr>
  </w:style>
  <w:style w:type="character" w:customStyle="1" w:styleId="109">
    <w:name w:val="题注 字符"/>
    <w:link w:val="24"/>
    <w:qFormat/>
    <w:uiPriority w:val="0"/>
    <w:rPr>
      <w:rFonts w:ascii="Arial" w:hAnsi="Arial" w:eastAsia="黑体" w:cs="Arial"/>
    </w:rPr>
  </w:style>
  <w:style w:type="character" w:customStyle="1" w:styleId="110">
    <w:name w:val="文档结构图 字符"/>
    <w:link w:val="28"/>
    <w:qFormat/>
    <w:uiPriority w:val="99"/>
    <w:rPr>
      <w:kern w:val="2"/>
      <w:sz w:val="21"/>
      <w:szCs w:val="24"/>
      <w:shd w:val="clear" w:color="auto" w:fill="000080"/>
    </w:rPr>
  </w:style>
  <w:style w:type="character" w:customStyle="1" w:styleId="111">
    <w:name w:val="批注文字 字符"/>
    <w:link w:val="29"/>
    <w:qFormat/>
    <w:uiPriority w:val="0"/>
    <w:rPr>
      <w:kern w:val="2"/>
      <w:sz w:val="21"/>
    </w:rPr>
  </w:style>
  <w:style w:type="character" w:customStyle="1" w:styleId="112">
    <w:name w:val="称呼 字符"/>
    <w:link w:val="31"/>
    <w:qFormat/>
    <w:uiPriority w:val="0"/>
    <w:rPr>
      <w:sz w:val="24"/>
      <w:szCs w:val="24"/>
    </w:rPr>
  </w:style>
  <w:style w:type="character" w:customStyle="1" w:styleId="113">
    <w:name w:val="正文文本 3 字符"/>
    <w:link w:val="32"/>
    <w:qFormat/>
    <w:uiPriority w:val="0"/>
    <w:rPr>
      <w:rFonts w:ascii="楷体_GB2312" w:eastAsia="楷体_GB2312"/>
      <w:b/>
      <w:color w:val="000000"/>
      <w:kern w:val="2"/>
      <w:sz w:val="30"/>
      <w:szCs w:val="24"/>
    </w:rPr>
  </w:style>
  <w:style w:type="character" w:customStyle="1" w:styleId="114">
    <w:name w:val="正文文本缩进 字符"/>
    <w:link w:val="3"/>
    <w:qFormat/>
    <w:uiPriority w:val="0"/>
    <w:rPr>
      <w:rFonts w:ascii="宋体"/>
      <w:sz w:val="24"/>
    </w:rPr>
  </w:style>
  <w:style w:type="character" w:customStyle="1" w:styleId="115">
    <w:name w:val="纯文本 字符"/>
    <w:link w:val="41"/>
    <w:qFormat/>
    <w:uiPriority w:val="0"/>
    <w:rPr>
      <w:rFonts w:ascii="宋体" w:hAnsi="Courier New" w:eastAsia="宋体"/>
      <w:kern w:val="2"/>
      <w:sz w:val="21"/>
      <w:lang w:val="en-US" w:eastAsia="zh-CN" w:bidi="ar-SA"/>
    </w:rPr>
  </w:style>
  <w:style w:type="character" w:customStyle="1" w:styleId="116">
    <w:name w:val="日期 字符"/>
    <w:link w:val="48"/>
    <w:qFormat/>
    <w:uiPriority w:val="0"/>
    <w:rPr>
      <w:color w:val="000000"/>
      <w:kern w:val="2"/>
      <w:sz w:val="24"/>
      <w:szCs w:val="24"/>
    </w:rPr>
  </w:style>
  <w:style w:type="character" w:customStyle="1" w:styleId="117">
    <w:name w:val="正文文本缩进 2 字符"/>
    <w:link w:val="49"/>
    <w:qFormat/>
    <w:uiPriority w:val="99"/>
    <w:rPr>
      <w:rFonts w:ascii="宋体"/>
      <w:sz w:val="24"/>
    </w:rPr>
  </w:style>
  <w:style w:type="character" w:customStyle="1" w:styleId="118">
    <w:name w:val="尾注文本 字符"/>
    <w:link w:val="50"/>
    <w:qFormat/>
    <w:uiPriority w:val="0"/>
    <w:rPr>
      <w:rFonts w:ascii="Arial" w:hAnsi="Arial" w:eastAsia="PMingLiU"/>
      <w:lang w:val="en-GB" w:eastAsia="zh-TW"/>
    </w:rPr>
  </w:style>
  <w:style w:type="character" w:customStyle="1" w:styleId="119">
    <w:name w:val="批注框文本 字符"/>
    <w:link w:val="51"/>
    <w:qFormat/>
    <w:uiPriority w:val="99"/>
    <w:rPr>
      <w:kern w:val="2"/>
      <w:sz w:val="18"/>
      <w:szCs w:val="18"/>
    </w:rPr>
  </w:style>
  <w:style w:type="character" w:customStyle="1" w:styleId="120">
    <w:name w:val="页脚 字符"/>
    <w:link w:val="52"/>
    <w:qFormat/>
    <w:uiPriority w:val="99"/>
    <w:rPr>
      <w:rFonts w:eastAsia="宋体"/>
      <w:kern w:val="2"/>
      <w:sz w:val="18"/>
      <w:szCs w:val="18"/>
      <w:lang w:val="en-US" w:eastAsia="zh-CN" w:bidi="ar-SA"/>
    </w:rPr>
  </w:style>
  <w:style w:type="character" w:customStyle="1" w:styleId="121">
    <w:name w:val="页眉 字符"/>
    <w:link w:val="54"/>
    <w:qFormat/>
    <w:uiPriority w:val="99"/>
    <w:rPr>
      <w:rFonts w:eastAsia="宋体"/>
      <w:kern w:val="2"/>
      <w:sz w:val="18"/>
      <w:szCs w:val="18"/>
      <w:lang w:val="en-US" w:eastAsia="zh-CN" w:bidi="ar-SA"/>
    </w:rPr>
  </w:style>
  <w:style w:type="character" w:customStyle="1" w:styleId="122">
    <w:name w:val="签名 字符"/>
    <w:link w:val="55"/>
    <w:qFormat/>
    <w:uiPriority w:val="0"/>
    <w:rPr>
      <w:rFonts w:ascii="Arial" w:hAnsi="Arial" w:eastAsia="PMingLiU"/>
      <w:lang w:val="en-GB" w:eastAsia="zh-TW"/>
    </w:rPr>
  </w:style>
  <w:style w:type="character" w:customStyle="1" w:styleId="123">
    <w:name w:val="副标题 字符"/>
    <w:link w:val="60"/>
    <w:qFormat/>
    <w:uiPriority w:val="0"/>
    <w:rPr>
      <w:rFonts w:ascii="Cambria" w:hAnsi="Cambria" w:eastAsia="宋体"/>
      <w:b/>
      <w:bCs/>
      <w:kern w:val="28"/>
      <w:sz w:val="32"/>
      <w:szCs w:val="32"/>
      <w:lang w:val="en-US" w:eastAsia="zh-CN" w:bidi="ar-SA"/>
    </w:rPr>
  </w:style>
  <w:style w:type="character" w:customStyle="1" w:styleId="124">
    <w:name w:val="脚注文本 字符"/>
    <w:link w:val="63"/>
    <w:qFormat/>
    <w:uiPriority w:val="0"/>
    <w:rPr>
      <w:rFonts w:ascii="Arial" w:hAnsi="Arial"/>
      <w:lang w:eastAsia="en-US"/>
    </w:rPr>
  </w:style>
  <w:style w:type="character" w:customStyle="1" w:styleId="125">
    <w:name w:val="正文文本缩进 3 字符"/>
    <w:link w:val="66"/>
    <w:qFormat/>
    <w:locked/>
    <w:uiPriority w:val="99"/>
    <w:rPr>
      <w:rFonts w:eastAsia="黑体"/>
      <w:color w:val="000000"/>
      <w:kern w:val="2"/>
      <w:sz w:val="24"/>
      <w:szCs w:val="24"/>
    </w:rPr>
  </w:style>
  <w:style w:type="character" w:customStyle="1" w:styleId="126">
    <w:name w:val="正文文本 2 字符"/>
    <w:link w:val="72"/>
    <w:qFormat/>
    <w:uiPriority w:val="0"/>
    <w:rPr>
      <w:b/>
      <w:bCs/>
      <w:color w:val="000000"/>
      <w:kern w:val="2"/>
      <w:sz w:val="28"/>
      <w:szCs w:val="24"/>
    </w:rPr>
  </w:style>
  <w:style w:type="character" w:customStyle="1" w:styleId="127">
    <w:name w:val="HTML 预设格式 字符"/>
    <w:link w:val="74"/>
    <w:qFormat/>
    <w:uiPriority w:val="0"/>
    <w:rPr>
      <w:rFonts w:ascii="宋体" w:hAnsi="宋体" w:cs="宋体"/>
      <w:sz w:val="24"/>
      <w:szCs w:val="24"/>
    </w:rPr>
  </w:style>
  <w:style w:type="character" w:customStyle="1" w:styleId="128">
    <w:name w:val="普通(网站) 字符"/>
    <w:link w:val="75"/>
    <w:qFormat/>
    <w:uiPriority w:val="0"/>
    <w:rPr>
      <w:rFonts w:ascii="宋体" w:hAnsi="宋体"/>
      <w:sz w:val="24"/>
      <w:szCs w:val="24"/>
    </w:rPr>
  </w:style>
  <w:style w:type="character" w:customStyle="1" w:styleId="129">
    <w:name w:val="标题 字符"/>
    <w:link w:val="77"/>
    <w:qFormat/>
    <w:uiPriority w:val="0"/>
    <w:rPr>
      <w:kern w:val="2"/>
      <w:sz w:val="30"/>
      <w:szCs w:val="24"/>
    </w:rPr>
  </w:style>
  <w:style w:type="character" w:customStyle="1" w:styleId="130">
    <w:name w:val="批注主题 字符"/>
    <w:link w:val="78"/>
    <w:qFormat/>
    <w:uiPriority w:val="0"/>
    <w:rPr>
      <w:b/>
      <w:bCs/>
      <w:kern w:val="2"/>
      <w:sz w:val="21"/>
    </w:rPr>
  </w:style>
  <w:style w:type="character" w:customStyle="1" w:styleId="131">
    <w:name w:val="正文文本首行缩进 字符"/>
    <w:link w:val="79"/>
    <w:qFormat/>
    <w:uiPriority w:val="0"/>
    <w:rPr>
      <w:kern w:val="2"/>
      <w:sz w:val="21"/>
    </w:rPr>
  </w:style>
  <w:style w:type="character" w:customStyle="1" w:styleId="132">
    <w:name w:val="正文文本首行缩进 2 字符"/>
    <w:link w:val="2"/>
    <w:qFormat/>
    <w:uiPriority w:val="0"/>
    <w:rPr>
      <w:rFonts w:ascii="Calibri" w:hAnsi="Calibri"/>
      <w:kern w:val="2"/>
      <w:sz w:val="21"/>
      <w:szCs w:val="22"/>
    </w:rPr>
  </w:style>
  <w:style w:type="character" w:customStyle="1" w:styleId="133">
    <w:name w:val="表格编号 Char"/>
    <w:link w:val="134"/>
    <w:qFormat/>
    <w:uiPriority w:val="0"/>
    <w:rPr>
      <w:rFonts w:ascii="Arial" w:hAnsi="Arial"/>
      <w:szCs w:val="24"/>
    </w:rPr>
  </w:style>
  <w:style w:type="paragraph" w:customStyle="1" w:styleId="134">
    <w:name w:val="表格编号"/>
    <w:basedOn w:val="135"/>
    <w:next w:val="1"/>
    <w:link w:val="133"/>
    <w:qFormat/>
    <w:uiPriority w:val="0"/>
    <w:pPr>
      <w:tabs>
        <w:tab w:val="left" w:pos="0"/>
        <w:tab w:val="left" w:pos="1050"/>
      </w:tabs>
      <w:ind w:left="0" w:firstLine="0"/>
    </w:pPr>
    <w:rPr>
      <w:kern w:val="0"/>
      <w:sz w:val="20"/>
    </w:rPr>
  </w:style>
  <w:style w:type="paragraph" w:customStyle="1" w:styleId="135">
    <w:name w:val="图案编号"/>
    <w:basedOn w:val="1"/>
    <w:link w:val="136"/>
    <w:qFormat/>
    <w:uiPriority w:val="0"/>
    <w:pPr>
      <w:tabs>
        <w:tab w:val="left" w:pos="1050"/>
      </w:tabs>
      <w:ind w:left="1050" w:hanging="420"/>
      <w:jc w:val="center"/>
      <w:textAlignment w:val="center"/>
    </w:pPr>
    <w:rPr>
      <w:rFonts w:ascii="Arial" w:hAnsi="Arial"/>
    </w:rPr>
  </w:style>
  <w:style w:type="character" w:customStyle="1" w:styleId="136">
    <w:name w:val="图案编号 Char"/>
    <w:link w:val="135"/>
    <w:qFormat/>
    <w:uiPriority w:val="0"/>
    <w:rPr>
      <w:rFonts w:ascii="Arial" w:hAnsi="Arial"/>
      <w:kern w:val="2"/>
      <w:sz w:val="21"/>
      <w:szCs w:val="24"/>
    </w:rPr>
  </w:style>
  <w:style w:type="character" w:customStyle="1" w:styleId="137">
    <w:name w:val="脚注文本 Char2"/>
    <w:qFormat/>
    <w:uiPriority w:val="0"/>
    <w:rPr>
      <w:kern w:val="2"/>
      <w:sz w:val="18"/>
      <w:szCs w:val="18"/>
    </w:rPr>
  </w:style>
  <w:style w:type="character" w:customStyle="1" w:styleId="138">
    <w:name w:val="HP Sender Char"/>
    <w:link w:val="139"/>
    <w:qFormat/>
    <w:uiPriority w:val="0"/>
    <w:rPr>
      <w:rFonts w:ascii="Arial" w:hAnsi="Arial" w:eastAsia="Times"/>
      <w:b/>
      <w:sz w:val="16"/>
      <w:szCs w:val="16"/>
      <w:lang w:val="en-US" w:eastAsia="en-US" w:bidi="ar-SA"/>
    </w:rPr>
  </w:style>
  <w:style w:type="paragraph" w:customStyle="1" w:styleId="139">
    <w:name w:val="HP Sender"/>
    <w:next w:val="1"/>
    <w:link w:val="138"/>
    <w:qFormat/>
    <w:uiPriority w:val="0"/>
    <w:pPr>
      <w:spacing w:before="100" w:beforeAutospacing="1" w:after="100" w:afterAutospacing="1"/>
    </w:pPr>
    <w:rPr>
      <w:rFonts w:ascii="Arial" w:hAnsi="Arial" w:eastAsia="Times" w:cs="Times New Roman"/>
      <w:b/>
      <w:sz w:val="16"/>
      <w:szCs w:val="16"/>
      <w:lang w:val="en-US" w:eastAsia="en-US" w:bidi="ar-SA"/>
    </w:rPr>
  </w:style>
  <w:style w:type="character" w:customStyle="1" w:styleId="140">
    <w:name w:val="tw4winPopup"/>
    <w:qFormat/>
    <w:uiPriority w:val="0"/>
    <w:rPr>
      <w:rFonts w:ascii="Courier New" w:hAnsi="Courier New" w:cs="Courier New"/>
      <w:color w:val="008000"/>
      <w:lang w:val="en-US" w:eastAsia="zh-CN"/>
    </w:rPr>
  </w:style>
  <w:style w:type="character" w:customStyle="1" w:styleId="141">
    <w:name w:val="WW8Num12z2"/>
    <w:qFormat/>
    <w:uiPriority w:val="0"/>
    <w:rPr>
      <w:rFonts w:ascii="Wingdings" w:hAnsi="Wingdings"/>
      <w:lang w:val="en-GB"/>
    </w:rPr>
  </w:style>
  <w:style w:type="character" w:customStyle="1" w:styleId="142">
    <w:name w:val="Anchor (A)"/>
    <w:qFormat/>
    <w:uiPriority w:val="0"/>
    <w:rPr>
      <w:color w:val="0000FF"/>
      <w:u w:val="single"/>
    </w:rPr>
  </w:style>
  <w:style w:type="character" w:customStyle="1" w:styleId="143">
    <w:name w:val="WW8Num19z1"/>
    <w:qFormat/>
    <w:uiPriority w:val="0"/>
    <w:rPr>
      <w:rFonts w:ascii="Courier New" w:hAnsi="Courier New"/>
      <w:lang w:val="en-GB"/>
    </w:rPr>
  </w:style>
  <w:style w:type="character" w:customStyle="1" w:styleId="144">
    <w:name w:val="sort1"/>
    <w:qFormat/>
    <w:uiPriority w:val="0"/>
  </w:style>
  <w:style w:type="character" w:customStyle="1" w:styleId="145">
    <w:name w:val="apple-converted-space"/>
    <w:qFormat/>
    <w:uiPriority w:val="0"/>
  </w:style>
  <w:style w:type="character" w:customStyle="1" w:styleId="146">
    <w:name w:val="字元 字元4"/>
    <w:qFormat/>
    <w:locked/>
    <w:uiPriority w:val="0"/>
    <w:rPr>
      <w:rFonts w:ascii="Arial" w:hAnsi="Arial" w:eastAsia="Times New Roman" w:cs="Times New Roman"/>
      <w:lang w:val="en-GB"/>
    </w:rPr>
  </w:style>
  <w:style w:type="character" w:customStyle="1" w:styleId="147">
    <w:name w:val="Table Text Char1"/>
    <w:link w:val="148"/>
    <w:qFormat/>
    <w:uiPriority w:val="0"/>
    <w:rPr>
      <w:rFonts w:ascii="Arial" w:hAnsi="Arial" w:cs="Arial"/>
      <w:sz w:val="18"/>
      <w:szCs w:val="18"/>
      <w:lang w:val="en-US" w:eastAsia="zh-CN" w:bidi="ar-SA"/>
    </w:rPr>
  </w:style>
  <w:style w:type="paragraph" w:customStyle="1" w:styleId="148">
    <w:name w:val="Table Text"/>
    <w:link w:val="147"/>
    <w:qFormat/>
    <w:uiPriority w:val="0"/>
    <w:pPr>
      <w:snapToGrid w:val="0"/>
      <w:spacing w:before="80" w:after="80"/>
    </w:pPr>
    <w:rPr>
      <w:rFonts w:ascii="Arial" w:hAnsi="Arial" w:eastAsia="宋体" w:cs="Arial"/>
      <w:sz w:val="18"/>
      <w:szCs w:val="18"/>
      <w:lang w:val="en-US" w:eastAsia="zh-CN" w:bidi="ar-SA"/>
    </w:rPr>
  </w:style>
  <w:style w:type="character" w:customStyle="1" w:styleId="149">
    <w:name w:val="正文文本缩进 Char"/>
    <w:qFormat/>
    <w:uiPriority w:val="0"/>
    <w:rPr>
      <w:rFonts w:ascii="Calibri" w:hAnsi="Calibri" w:eastAsia="宋体" w:cs="Times New Roman"/>
    </w:rPr>
  </w:style>
  <w:style w:type="character" w:customStyle="1" w:styleId="150">
    <w:name w:val="样式 正文首行缩进 + 加粗 Char"/>
    <w:link w:val="151"/>
    <w:qFormat/>
    <w:uiPriority w:val="0"/>
    <w:rPr>
      <w:b/>
      <w:bCs/>
      <w:szCs w:val="24"/>
    </w:rPr>
  </w:style>
  <w:style w:type="paragraph" w:customStyle="1" w:styleId="151">
    <w:name w:val="样式 正文首行缩进 + 加粗"/>
    <w:basedOn w:val="79"/>
    <w:link w:val="150"/>
    <w:qFormat/>
    <w:uiPriority w:val="0"/>
    <w:pPr>
      <w:spacing w:before="100" w:beforeAutospacing="1" w:after="100" w:afterAutospacing="1" w:line="360" w:lineRule="auto"/>
      <w:ind w:firstLine="200" w:firstLineChars="200"/>
    </w:pPr>
    <w:rPr>
      <w:b/>
      <w:bCs/>
      <w:kern w:val="0"/>
      <w:sz w:val="20"/>
      <w:szCs w:val="24"/>
    </w:rPr>
  </w:style>
  <w:style w:type="character" w:customStyle="1" w:styleId="152">
    <w:name w:val="WW8Num22z2"/>
    <w:qFormat/>
    <w:locked/>
    <w:uiPriority w:val="0"/>
    <w:rPr>
      <w:rFonts w:ascii="Wingdings" w:hAnsi="Wingdings"/>
      <w:lang w:val="en-GB"/>
    </w:rPr>
  </w:style>
  <w:style w:type="character" w:customStyle="1" w:styleId="153">
    <w:name w:val="表头样式 Char"/>
    <w:link w:val="154"/>
    <w:qFormat/>
    <w:uiPriority w:val="0"/>
    <w:rPr>
      <w:rFonts w:hAnsi="宋体" w:cs="宋体"/>
      <w:color w:val="000000"/>
      <w:sz w:val="24"/>
    </w:rPr>
  </w:style>
  <w:style w:type="paragraph" w:customStyle="1" w:styleId="154">
    <w:name w:val="表头样式"/>
    <w:basedOn w:val="1"/>
    <w:next w:val="1"/>
    <w:link w:val="153"/>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character" w:customStyle="1" w:styleId="155">
    <w:name w:val="grame"/>
    <w:qFormat/>
    <w:uiPriority w:val="0"/>
  </w:style>
  <w:style w:type="character" w:customStyle="1" w:styleId="156">
    <w:name w:val="字元 字元11"/>
    <w:qFormat/>
    <w:locked/>
    <w:uiPriority w:val="0"/>
    <w:rPr>
      <w:rFonts w:ascii="Cambria" w:hAnsi="Cambria" w:eastAsia="Times New Roman" w:cs="Times New Roman"/>
      <w:color w:val="17365D"/>
      <w:spacing w:val="5"/>
      <w:kern w:val="28"/>
      <w:sz w:val="52"/>
      <w:szCs w:val="52"/>
    </w:rPr>
  </w:style>
  <w:style w:type="character" w:customStyle="1" w:styleId="157">
    <w:name w:val="字元 字元10"/>
    <w:qFormat/>
    <w:locked/>
    <w:uiPriority w:val="0"/>
    <w:rPr>
      <w:rFonts w:ascii="Tahoma" w:hAnsi="Tahoma" w:cs="Tahoma"/>
      <w:sz w:val="16"/>
      <w:szCs w:val="16"/>
    </w:rPr>
  </w:style>
  <w:style w:type="character" w:customStyle="1" w:styleId="158">
    <w:name w:val="style31"/>
    <w:qFormat/>
    <w:uiPriority w:val="0"/>
    <w:rPr>
      <w:rFonts w:hint="default" w:ascii="Verdana" w:hAnsi="Verdana"/>
      <w:color w:val="979797"/>
      <w:sz w:val="15"/>
      <w:szCs w:val="15"/>
    </w:rPr>
  </w:style>
  <w:style w:type="character" w:customStyle="1" w:styleId="159">
    <w:name w:val="lemmatitleh1"/>
    <w:qFormat/>
    <w:uiPriority w:val="0"/>
  </w:style>
  <w:style w:type="character" w:customStyle="1" w:styleId="160">
    <w:name w:val="Figure Char"/>
    <w:link w:val="161"/>
    <w:qFormat/>
    <w:uiPriority w:val="0"/>
    <w:rPr>
      <w:rFonts w:ascii="Arial" w:hAnsi="Arial" w:cs="Arial"/>
      <w:szCs w:val="21"/>
    </w:rPr>
  </w:style>
  <w:style w:type="paragraph" w:customStyle="1" w:styleId="161">
    <w:name w:val="Figure"/>
    <w:basedOn w:val="1"/>
    <w:next w:val="162"/>
    <w:link w:val="160"/>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2">
    <w:name w:val="Figure Description"/>
    <w:next w:val="1"/>
    <w:link w:val="163"/>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character" w:customStyle="1" w:styleId="163">
    <w:name w:val="Figure Description Char"/>
    <w:link w:val="162"/>
    <w:qFormat/>
    <w:uiPriority w:val="0"/>
    <w:rPr>
      <w:rFonts w:ascii="Arial" w:hAnsi="Arial" w:eastAsia="黑体"/>
      <w:sz w:val="18"/>
      <w:szCs w:val="18"/>
      <w:lang w:val="en-US" w:eastAsia="zh-CN" w:bidi="ar-SA"/>
    </w:rPr>
  </w:style>
  <w:style w:type="character" w:customStyle="1" w:styleId="164">
    <w:name w:val="WW8Num18z2"/>
    <w:qFormat/>
    <w:uiPriority w:val="0"/>
    <w:rPr>
      <w:rFonts w:ascii="Wingdings" w:hAnsi="Wingdings"/>
      <w:lang w:val="en-GB"/>
    </w:rPr>
  </w:style>
  <w:style w:type="character" w:customStyle="1" w:styleId="165">
    <w:name w:val="字元 字元18"/>
    <w:qFormat/>
    <w:locked/>
    <w:uiPriority w:val="0"/>
    <w:rPr>
      <w:rFonts w:ascii="Times New Roman" w:hAnsi="Times New Roman" w:eastAsia="Times New Roman" w:cs="Times New Roman"/>
      <w:b/>
      <w:lang w:val="en-GB"/>
    </w:rPr>
  </w:style>
  <w:style w:type="character" w:customStyle="1" w:styleId="166">
    <w:name w:val="*Body Text Char"/>
    <w:qFormat/>
    <w:uiPriority w:val="0"/>
    <w:rPr>
      <w:rFonts w:ascii="Arial" w:hAnsi="Arial"/>
      <w:color w:val="000000"/>
      <w:lang w:val="en-US" w:eastAsia="en-US" w:bidi="ar-SA"/>
    </w:rPr>
  </w:style>
  <w:style w:type="character" w:customStyle="1" w:styleId="167">
    <w:name w:val="blithe3 Char1 Char"/>
    <w:link w:val="168"/>
    <w:qFormat/>
    <w:uiPriority w:val="0"/>
    <w:rPr>
      <w:rFonts w:ascii="宋体" w:hAnsi="宋体"/>
      <w:b/>
      <w:bCs/>
      <w:color w:val="000000"/>
      <w:sz w:val="28"/>
      <w:szCs w:val="36"/>
    </w:rPr>
  </w:style>
  <w:style w:type="paragraph" w:customStyle="1" w:styleId="168">
    <w:name w:val="blithe3 Char1"/>
    <w:basedOn w:val="169"/>
    <w:next w:val="1"/>
    <w:link w:val="167"/>
    <w:qFormat/>
    <w:uiPriority w:val="0"/>
    <w:pPr>
      <w:tabs>
        <w:tab w:val="left" w:pos="360"/>
        <w:tab w:val="left" w:pos="1260"/>
        <w:tab w:val="left" w:pos="2520"/>
      </w:tabs>
      <w:ind w:left="0" w:firstLine="0"/>
      <w:outlineLvl w:val="2"/>
    </w:pPr>
    <w:rPr>
      <w:sz w:val="28"/>
    </w:rPr>
  </w:style>
  <w:style w:type="paragraph" w:customStyle="1" w:styleId="169">
    <w:name w:val="blithe2"/>
    <w:basedOn w:val="19"/>
    <w:next w:val="2"/>
    <w:link w:val="170"/>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character" w:customStyle="1" w:styleId="170">
    <w:name w:val="blithe2 Char1"/>
    <w:link w:val="169"/>
    <w:qFormat/>
    <w:uiPriority w:val="0"/>
    <w:rPr>
      <w:rFonts w:ascii="宋体" w:hAnsi="宋体"/>
      <w:b/>
      <w:bCs/>
      <w:color w:val="000000"/>
      <w:sz w:val="36"/>
      <w:szCs w:val="36"/>
    </w:rPr>
  </w:style>
  <w:style w:type="character" w:customStyle="1" w:styleId="171">
    <w:name w:val="No Spacing Char"/>
    <w:qFormat/>
    <w:locked/>
    <w:uiPriority w:val="0"/>
    <w:rPr>
      <w:rFonts w:eastAsia="Times New Roman" w:cs="Times New Roman"/>
      <w:sz w:val="22"/>
      <w:szCs w:val="22"/>
      <w:lang w:val="en-US" w:bidi="ar-SA"/>
    </w:rPr>
  </w:style>
  <w:style w:type="character" w:customStyle="1" w:styleId="172">
    <w:name w:val="1正文 Char"/>
    <w:link w:val="173"/>
    <w:qFormat/>
    <w:uiPriority w:val="0"/>
    <w:rPr>
      <w:rFonts w:ascii="宋体" w:hAnsi="宋体"/>
      <w:kern w:val="2"/>
      <w:sz w:val="28"/>
      <w:szCs w:val="28"/>
    </w:rPr>
  </w:style>
  <w:style w:type="paragraph" w:customStyle="1" w:styleId="173">
    <w:name w:val="1正文"/>
    <w:basedOn w:val="1"/>
    <w:link w:val="172"/>
    <w:qFormat/>
    <w:uiPriority w:val="0"/>
    <w:pPr>
      <w:snapToGrid w:val="0"/>
      <w:spacing w:line="360" w:lineRule="auto"/>
      <w:ind w:firstLine="560" w:firstLineChars="200"/>
    </w:pPr>
    <w:rPr>
      <w:rFonts w:ascii="宋体" w:hAnsi="宋体"/>
      <w:sz w:val="28"/>
      <w:szCs w:val="28"/>
    </w:rPr>
  </w:style>
  <w:style w:type="character" w:customStyle="1" w:styleId="174">
    <w:name w:val="left4"/>
    <w:qFormat/>
    <w:uiPriority w:val="0"/>
    <w:rPr>
      <w:b/>
      <w:bCs/>
      <w:color w:val="3D3B3C"/>
      <w:sz w:val="28"/>
      <w:szCs w:val="28"/>
    </w:rPr>
  </w:style>
  <w:style w:type="character" w:customStyle="1" w:styleId="175">
    <w:name w:val="样式1 Char Char"/>
    <w:link w:val="176"/>
    <w:qFormat/>
    <w:uiPriority w:val="0"/>
    <w:rPr>
      <w:rFonts w:ascii="Arial" w:hAnsi="Arial" w:eastAsia="宋体"/>
      <w:kern w:val="2"/>
      <w:sz w:val="21"/>
      <w:szCs w:val="24"/>
      <w:lang w:val="en-US" w:eastAsia="zh-CN" w:bidi="ar-SA"/>
    </w:rPr>
  </w:style>
  <w:style w:type="paragraph" w:customStyle="1" w:styleId="176">
    <w:name w:val="样式1"/>
    <w:basedOn w:val="1"/>
    <w:link w:val="175"/>
    <w:qFormat/>
    <w:uiPriority w:val="0"/>
    <w:pPr>
      <w:spacing w:line="360" w:lineRule="exact"/>
      <w:ind w:firstLine="200" w:firstLineChars="200"/>
    </w:pPr>
    <w:rPr>
      <w:rFonts w:ascii="Arial" w:hAnsi="Arial"/>
    </w:rPr>
  </w:style>
  <w:style w:type="character" w:customStyle="1" w:styleId="177">
    <w:name w:val="章标题 Char"/>
    <w:qFormat/>
    <w:uiPriority w:val="0"/>
    <w:rPr>
      <w:rFonts w:ascii="黑体" w:eastAsia="黑体"/>
      <w:sz w:val="21"/>
      <w:lang w:val="en-US" w:eastAsia="zh-CN" w:bidi="ar-SA"/>
    </w:rPr>
  </w:style>
  <w:style w:type="character" w:customStyle="1" w:styleId="178">
    <w:name w:val="纯文本 Char2"/>
    <w:qFormat/>
    <w:uiPriority w:val="0"/>
    <w:rPr>
      <w:rFonts w:ascii="宋体" w:hAnsi="Courier New" w:eastAsia="宋体"/>
      <w:kern w:val="2"/>
      <w:sz w:val="21"/>
    </w:rPr>
  </w:style>
  <w:style w:type="character" w:customStyle="1" w:styleId="179">
    <w:name w:val="字元 字元2"/>
    <w:qFormat/>
    <w:locked/>
    <w:uiPriority w:val="0"/>
    <w:rPr>
      <w:rFonts w:ascii="Arial" w:hAnsi="Arial" w:eastAsia="Times New Roman" w:cs="Times New Roman"/>
      <w:lang w:val="en-GB"/>
    </w:rPr>
  </w:style>
  <w:style w:type="character" w:customStyle="1" w:styleId="180">
    <w:name w:val="style6"/>
    <w:qFormat/>
    <w:uiPriority w:val="0"/>
  </w:style>
  <w:style w:type="character" w:customStyle="1" w:styleId="181">
    <w:name w:val="WW8Num14z2"/>
    <w:qFormat/>
    <w:uiPriority w:val="0"/>
    <w:rPr>
      <w:rFonts w:ascii="Wingdings" w:hAnsi="Wingdings"/>
      <w:lang w:val="en-GB"/>
    </w:rPr>
  </w:style>
  <w:style w:type="character" w:customStyle="1" w:styleId="182">
    <w:name w:val="字元 字元20"/>
    <w:qFormat/>
    <w:locked/>
    <w:uiPriority w:val="0"/>
    <w:rPr>
      <w:rFonts w:ascii="Cambria" w:hAnsi="Cambria" w:eastAsia="Times New Roman" w:cs="Times New Roman"/>
      <w:b/>
      <w:bCs/>
      <w:sz w:val="26"/>
      <w:szCs w:val="26"/>
    </w:rPr>
  </w:style>
  <w:style w:type="character" w:customStyle="1" w:styleId="183">
    <w:name w:val="font31"/>
    <w:qFormat/>
    <w:uiPriority w:val="0"/>
    <w:rPr>
      <w:rFonts w:hint="eastAsia" w:ascii="宋体" w:hAnsi="宋体" w:eastAsia="宋体" w:cs="宋体"/>
      <w:color w:val="000000"/>
      <w:sz w:val="20"/>
      <w:szCs w:val="20"/>
      <w:u w:val="none"/>
    </w:rPr>
  </w:style>
  <w:style w:type="character" w:customStyle="1" w:styleId="184">
    <w:name w:val="tw4winMark"/>
    <w:qFormat/>
    <w:uiPriority w:val="0"/>
    <w:rPr>
      <w:rFonts w:ascii="Courier New" w:hAnsi="Courier New" w:cs="Courier New"/>
      <w:vanish/>
      <w:color w:val="800080"/>
      <w:sz w:val="24"/>
      <w:szCs w:val="24"/>
      <w:vertAlign w:val="subscript"/>
    </w:rPr>
  </w:style>
  <w:style w:type="character" w:customStyle="1" w:styleId="185">
    <w:name w:val="杭州技术规格书 Char"/>
    <w:link w:val="186"/>
    <w:qFormat/>
    <w:uiPriority w:val="0"/>
    <w:rPr>
      <w:rFonts w:ascii="Tahoma" w:hAnsi="Tahoma"/>
      <w:sz w:val="24"/>
    </w:rPr>
  </w:style>
  <w:style w:type="paragraph" w:customStyle="1" w:styleId="186">
    <w:name w:val="杭州技术规格书"/>
    <w:basedOn w:val="1"/>
    <w:link w:val="185"/>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character" w:customStyle="1" w:styleId="187">
    <w:name w:val="标题 Char1"/>
    <w:qFormat/>
    <w:uiPriority w:val="0"/>
    <w:rPr>
      <w:rFonts w:ascii="Cambria" w:hAnsi="Cambria" w:cs="Times New Roman"/>
      <w:b/>
      <w:bCs/>
      <w:kern w:val="2"/>
      <w:sz w:val="32"/>
      <w:szCs w:val="32"/>
    </w:rPr>
  </w:style>
  <w:style w:type="character" w:customStyle="1" w:styleId="188">
    <w:name w:val="ZK_列表项目符号 Char"/>
    <w:link w:val="189"/>
    <w:qFormat/>
    <w:uiPriority w:val="0"/>
    <w:rPr>
      <w:kern w:val="2"/>
      <w:sz w:val="24"/>
    </w:rPr>
  </w:style>
  <w:style w:type="paragraph" w:customStyle="1" w:styleId="189">
    <w:name w:val="ZK_列表项目符号"/>
    <w:basedOn w:val="1"/>
    <w:next w:val="1"/>
    <w:link w:val="188"/>
    <w:qFormat/>
    <w:uiPriority w:val="0"/>
    <w:pPr>
      <w:tabs>
        <w:tab w:val="left" w:pos="390"/>
        <w:tab w:val="left" w:pos="907"/>
      </w:tabs>
      <w:spacing w:line="300" w:lineRule="auto"/>
      <w:ind w:left="2040" w:firstLine="177" w:firstLineChars="177"/>
    </w:pPr>
    <w:rPr>
      <w:sz w:val="24"/>
      <w:szCs w:val="20"/>
    </w:rPr>
  </w:style>
  <w:style w:type="character" w:customStyle="1" w:styleId="190">
    <w:name w:val="标准正文格式 Char"/>
    <w:link w:val="191"/>
    <w:qFormat/>
    <w:uiPriority w:val="0"/>
    <w:rPr>
      <w:rFonts w:ascii="宋体" w:eastAsia="仿宋_GB2312"/>
      <w:color w:val="000000"/>
      <w:sz w:val="32"/>
    </w:rPr>
  </w:style>
  <w:style w:type="paragraph" w:customStyle="1" w:styleId="191">
    <w:name w:val="标准正文格式"/>
    <w:basedOn w:val="1"/>
    <w:link w:val="190"/>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character" w:customStyle="1" w:styleId="192">
    <w:name w:val="WW8Num16z1"/>
    <w:qFormat/>
    <w:uiPriority w:val="0"/>
    <w:rPr>
      <w:rFonts w:ascii="Courier New" w:hAnsi="Courier New"/>
      <w:lang w:val="en-GB"/>
    </w:rPr>
  </w:style>
  <w:style w:type="character" w:customStyle="1" w:styleId="193">
    <w:name w:val="bds_nopic1"/>
    <w:qFormat/>
    <w:uiPriority w:val="0"/>
  </w:style>
  <w:style w:type="character" w:customStyle="1" w:styleId="194">
    <w:name w:val="标准正文 Char"/>
    <w:link w:val="195"/>
    <w:qFormat/>
    <w:uiPriority w:val="0"/>
    <w:rPr>
      <w:sz w:val="24"/>
      <w:szCs w:val="24"/>
    </w:rPr>
  </w:style>
  <w:style w:type="paragraph" w:customStyle="1" w:styleId="195">
    <w:name w:val="标准正文"/>
    <w:basedOn w:val="1"/>
    <w:link w:val="194"/>
    <w:qFormat/>
    <w:uiPriority w:val="0"/>
    <w:pPr>
      <w:spacing w:line="360" w:lineRule="auto"/>
      <w:ind w:firstLine="200" w:firstLineChars="200"/>
    </w:pPr>
    <w:rPr>
      <w:kern w:val="0"/>
      <w:sz w:val="24"/>
    </w:rPr>
  </w:style>
  <w:style w:type="character" w:customStyle="1" w:styleId="196">
    <w:name w:val="headline-content2"/>
    <w:qFormat/>
    <w:uiPriority w:val="0"/>
  </w:style>
  <w:style w:type="character" w:customStyle="1" w:styleId="197">
    <w:name w:val="明显强调1"/>
    <w:qFormat/>
    <w:uiPriority w:val="21"/>
    <w:rPr>
      <w:b/>
      <w:bCs/>
      <w:i/>
      <w:iCs/>
      <w:color w:val="4F81BD"/>
    </w:rPr>
  </w:style>
  <w:style w:type="character" w:customStyle="1" w:styleId="198">
    <w:name w:val="标题 2 Char1"/>
    <w:qFormat/>
    <w:uiPriority w:val="0"/>
    <w:rPr>
      <w:rFonts w:ascii="Arial" w:hAnsi="Arial" w:eastAsia="黑体" w:cs="Times New Roman"/>
      <w:b/>
      <w:bCs/>
      <w:sz w:val="32"/>
      <w:szCs w:val="32"/>
    </w:rPr>
  </w:style>
  <w:style w:type="character" w:customStyle="1" w:styleId="199">
    <w:name w:val="WW8Num5z0"/>
    <w:qFormat/>
    <w:uiPriority w:val="0"/>
    <w:rPr>
      <w:rFonts w:ascii="Symbol" w:hAnsi="Symbol"/>
      <w:lang w:val="en-GB"/>
    </w:rPr>
  </w:style>
  <w:style w:type="character" w:customStyle="1" w:styleId="200">
    <w:name w:val="DO_NOT_TRANSLATE"/>
    <w:qFormat/>
    <w:uiPriority w:val="0"/>
    <w:rPr>
      <w:rFonts w:ascii="Courier New" w:hAnsi="Courier New" w:cs="Courier New"/>
      <w:color w:val="800000"/>
      <w:lang w:val="en-US" w:eastAsia="zh-CN"/>
    </w:rPr>
  </w:style>
  <w:style w:type="character" w:customStyle="1" w:styleId="201">
    <w:name w:val="ZJGIS图表 Char"/>
    <w:link w:val="202"/>
    <w:qFormat/>
    <w:locked/>
    <w:uiPriority w:val="99"/>
    <w:rPr>
      <w:rFonts w:eastAsia="黑体"/>
      <w:color w:val="000000"/>
      <w:sz w:val="24"/>
    </w:rPr>
  </w:style>
  <w:style w:type="paragraph" w:customStyle="1" w:styleId="202">
    <w:name w:val="ZJGIS图表"/>
    <w:basedOn w:val="1"/>
    <w:link w:val="201"/>
    <w:qFormat/>
    <w:uiPriority w:val="99"/>
    <w:pPr>
      <w:jc w:val="center"/>
    </w:pPr>
    <w:rPr>
      <w:rFonts w:eastAsia="黑体"/>
      <w:color w:val="000000"/>
      <w:kern w:val="0"/>
      <w:sz w:val="24"/>
      <w:szCs w:val="20"/>
    </w:rPr>
  </w:style>
  <w:style w:type="character" w:customStyle="1" w:styleId="203">
    <w:name w:val="WW8Num21z2"/>
    <w:qFormat/>
    <w:uiPriority w:val="0"/>
    <w:rPr>
      <w:rFonts w:ascii="Wingdings" w:hAnsi="Wingdings"/>
      <w:lang w:val="en-GB"/>
    </w:rPr>
  </w:style>
  <w:style w:type="character" w:customStyle="1" w:styleId="204">
    <w:name w:val="bds_more"/>
    <w:qFormat/>
    <w:uiPriority w:val="0"/>
  </w:style>
  <w:style w:type="character" w:customStyle="1" w:styleId="205">
    <w:name w:val="称呼 Char2"/>
    <w:qFormat/>
    <w:uiPriority w:val="0"/>
    <w:rPr>
      <w:kern w:val="2"/>
      <w:sz w:val="21"/>
      <w:szCs w:val="24"/>
    </w:rPr>
  </w:style>
  <w:style w:type="character" w:customStyle="1" w:styleId="206">
    <w:name w:val="Clear Character Fonts"/>
    <w:qFormat/>
    <w:locked/>
    <w:uiPriority w:val="0"/>
    <w:rPr>
      <w:rFonts w:ascii="Times New Roman" w:hAnsi="Times New Roman"/>
      <w:sz w:val="20"/>
      <w:lang w:val="en-GB"/>
    </w:rPr>
  </w:style>
  <w:style w:type="character" w:customStyle="1" w:styleId="207">
    <w:name w:val="listitem1"/>
    <w:qFormat/>
    <w:uiPriority w:val="0"/>
    <w:rPr>
      <w:sz w:val="22"/>
      <w:szCs w:val="22"/>
    </w:rPr>
  </w:style>
  <w:style w:type="character" w:customStyle="1" w:styleId="208">
    <w:name w:val="WW8Num12z0"/>
    <w:qFormat/>
    <w:uiPriority w:val="0"/>
    <w:rPr>
      <w:rFonts w:ascii="Symbol" w:hAnsi="Symbol"/>
      <w:lang w:val="en-GB"/>
    </w:rPr>
  </w:style>
  <w:style w:type="character" w:customStyle="1" w:styleId="209">
    <w:name w:val="WW8Num15z0"/>
    <w:qFormat/>
    <w:uiPriority w:val="0"/>
    <w:rPr>
      <w:rFonts w:ascii="Symbol" w:hAnsi="Symbol"/>
      <w:lang w:val="en-GB"/>
    </w:rPr>
  </w:style>
  <w:style w:type="character" w:customStyle="1" w:styleId="210">
    <w:name w:val="Default Char"/>
    <w:link w:val="211"/>
    <w:qFormat/>
    <w:uiPriority w:val="0"/>
    <w:rPr>
      <w:rFonts w:ascii="宋体..璂.." w:eastAsia="宋体..璂.." w:cs="宋体..璂.."/>
      <w:color w:val="000000"/>
      <w:sz w:val="24"/>
      <w:szCs w:val="24"/>
      <w:lang w:val="en-US" w:eastAsia="zh-CN" w:bidi="ar-SA"/>
    </w:rPr>
  </w:style>
  <w:style w:type="paragraph" w:customStyle="1" w:styleId="211">
    <w:name w:val="Default"/>
    <w:link w:val="210"/>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character" w:customStyle="1" w:styleId="212">
    <w:name w:val="Footnote Symbol"/>
    <w:qFormat/>
    <w:uiPriority w:val="0"/>
    <w:rPr>
      <w:lang w:val="en-GB"/>
    </w:rPr>
  </w:style>
  <w:style w:type="character" w:customStyle="1" w:styleId="213">
    <w:name w:val="字元 字元12"/>
    <w:qFormat/>
    <w:locked/>
    <w:uiPriority w:val="0"/>
    <w:rPr>
      <w:rFonts w:cs="Times New Roman"/>
    </w:rPr>
  </w:style>
  <w:style w:type="character" w:customStyle="1" w:styleId="214">
    <w:name w:val="字元 字元9"/>
    <w:qFormat/>
    <w:locked/>
    <w:uiPriority w:val="0"/>
    <w:rPr>
      <w:rFonts w:ascii="Arial" w:hAnsi="Arial" w:eastAsia="Times New Roman" w:cs="Times New Roman"/>
      <w:color w:val="000000"/>
      <w:sz w:val="24"/>
      <w:szCs w:val="24"/>
    </w:rPr>
  </w:style>
  <w:style w:type="character" w:customStyle="1" w:styleId="215">
    <w:name w:val="文档正文 Char"/>
    <w:qFormat/>
    <w:uiPriority w:val="0"/>
    <w:rPr>
      <w:rFonts w:ascii="Arial Narrow" w:hAnsi="Arial Narrow" w:eastAsia="宋体"/>
      <w:sz w:val="24"/>
      <w:szCs w:val="24"/>
      <w:lang w:val="en-US" w:eastAsia="zh-CN" w:bidi="ar-SA"/>
    </w:rPr>
  </w:style>
  <w:style w:type="character" w:customStyle="1" w:styleId="216">
    <w:name w:val="正文首行缩进 2 Char2"/>
    <w:qFormat/>
    <w:uiPriority w:val="0"/>
    <w:rPr>
      <w:rFonts w:ascii="宋体"/>
      <w:sz w:val="24"/>
    </w:rPr>
  </w:style>
  <w:style w:type="character" w:customStyle="1" w:styleId="217">
    <w:name w:val="unnamed51"/>
    <w:qFormat/>
    <w:uiPriority w:val="0"/>
    <w:rPr>
      <w:sz w:val="22"/>
      <w:szCs w:val="22"/>
    </w:rPr>
  </w:style>
  <w:style w:type="character" w:customStyle="1" w:styleId="218">
    <w:name w:val="正文加粗 Char1"/>
    <w:link w:val="219"/>
    <w:qFormat/>
    <w:uiPriority w:val="0"/>
    <w:rPr>
      <w:rFonts w:ascii="Arial" w:hAnsi="Arial"/>
      <w:b/>
      <w:sz w:val="24"/>
    </w:rPr>
  </w:style>
  <w:style w:type="paragraph" w:customStyle="1" w:styleId="219">
    <w:name w:val="正文加粗"/>
    <w:basedOn w:val="1"/>
    <w:link w:val="218"/>
    <w:qFormat/>
    <w:uiPriority w:val="0"/>
    <w:pPr>
      <w:widowControl/>
      <w:spacing w:line="360" w:lineRule="auto"/>
      <w:ind w:firstLine="200" w:firstLineChars="200"/>
      <w:jc w:val="left"/>
    </w:pPr>
    <w:rPr>
      <w:rFonts w:ascii="Arial" w:hAnsi="Arial"/>
      <w:b/>
      <w:kern w:val="0"/>
      <w:sz w:val="24"/>
      <w:szCs w:val="20"/>
    </w:rPr>
  </w:style>
  <w:style w:type="character" w:customStyle="1" w:styleId="220">
    <w:name w:val="大汉方案正文 Char Char Char"/>
    <w:link w:val="221"/>
    <w:qFormat/>
    <w:uiPriority w:val="0"/>
    <w:rPr>
      <w:rFonts w:ascii="Arial" w:hAnsi="Arial"/>
      <w:kern w:val="2"/>
      <w:sz w:val="24"/>
      <w:szCs w:val="24"/>
    </w:rPr>
  </w:style>
  <w:style w:type="paragraph" w:customStyle="1" w:styleId="221">
    <w:name w:val="大汉方案正文 Char"/>
    <w:basedOn w:val="1"/>
    <w:link w:val="220"/>
    <w:qFormat/>
    <w:uiPriority w:val="0"/>
    <w:pPr>
      <w:spacing w:line="360" w:lineRule="auto"/>
      <w:ind w:firstLine="200" w:firstLineChars="200"/>
    </w:pPr>
    <w:rPr>
      <w:rFonts w:ascii="Arial" w:hAnsi="Arial"/>
      <w:sz w:val="24"/>
    </w:rPr>
  </w:style>
  <w:style w:type="character" w:customStyle="1" w:styleId="222">
    <w:name w:val="Endnote Symbol"/>
    <w:qFormat/>
    <w:uiPriority w:val="0"/>
    <w:rPr>
      <w:lang w:val="en-GB"/>
    </w:rPr>
  </w:style>
  <w:style w:type="character" w:customStyle="1" w:styleId="223">
    <w:name w:val="图形布置 Char"/>
    <w:link w:val="224"/>
    <w:qFormat/>
    <w:uiPriority w:val="0"/>
    <w:rPr>
      <w:rFonts w:hAnsi="宋体" w:cs="宋体"/>
      <w:sz w:val="24"/>
    </w:rPr>
  </w:style>
  <w:style w:type="paragraph" w:customStyle="1" w:styleId="224">
    <w:name w:val="图形布置"/>
    <w:basedOn w:val="1"/>
    <w:link w:val="223"/>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character" w:customStyle="1" w:styleId="225">
    <w:name w:val="h Char1"/>
    <w:qFormat/>
    <w:uiPriority w:val="0"/>
    <w:rPr>
      <w:rFonts w:ascii="Calibri" w:hAnsi="Calibri" w:eastAsia="宋体" w:cs="Times New Roman"/>
      <w:sz w:val="18"/>
      <w:szCs w:val="18"/>
    </w:rPr>
  </w:style>
  <w:style w:type="character" w:customStyle="1" w:styleId="226">
    <w:name w:val="Table Text Char"/>
    <w:qFormat/>
    <w:uiPriority w:val="0"/>
    <w:rPr>
      <w:rFonts w:ascii="Arial" w:hAnsi="Arial"/>
      <w:sz w:val="18"/>
      <w:lang w:val="en-US" w:eastAsia="en-US" w:bidi="ar-SA"/>
    </w:rPr>
  </w:style>
  <w:style w:type="character" w:customStyle="1" w:styleId="227">
    <w:name w:val="样式2 Char"/>
    <w:link w:val="228"/>
    <w:qFormat/>
    <w:uiPriority w:val="0"/>
    <w:rPr>
      <w:rFonts w:ascii="宋体" w:hAnsi="宋体"/>
      <w:kern w:val="2"/>
      <w:sz w:val="21"/>
      <w:szCs w:val="24"/>
    </w:rPr>
  </w:style>
  <w:style w:type="paragraph" w:customStyle="1" w:styleId="228">
    <w:name w:val="样式2"/>
    <w:basedOn w:val="1"/>
    <w:next w:val="8"/>
    <w:link w:val="227"/>
    <w:qFormat/>
    <w:uiPriority w:val="0"/>
    <w:pPr>
      <w:spacing w:line="360" w:lineRule="auto"/>
      <w:ind w:firstLine="420"/>
    </w:pPr>
    <w:rPr>
      <w:rFonts w:ascii="宋体" w:hAnsi="宋体"/>
    </w:rPr>
  </w:style>
  <w:style w:type="character" w:customStyle="1" w:styleId="229">
    <w:name w:val="字元 字元8"/>
    <w:qFormat/>
    <w:locked/>
    <w:uiPriority w:val="0"/>
    <w:rPr>
      <w:rFonts w:ascii="Times New Roman" w:hAnsi="Times New Roman" w:eastAsia="Times New Roman" w:cs="Times New Roman"/>
      <w:lang w:val="en-GB"/>
    </w:rPr>
  </w:style>
  <w:style w:type="character" w:customStyle="1" w:styleId="230">
    <w:name w:val="图形题注 Char"/>
    <w:link w:val="231"/>
    <w:qFormat/>
    <w:uiPriority w:val="0"/>
    <w:rPr>
      <w:rFonts w:hAnsi="宋体"/>
      <w:spacing w:val="10"/>
      <w:sz w:val="24"/>
      <w:szCs w:val="24"/>
    </w:rPr>
  </w:style>
  <w:style w:type="paragraph" w:customStyle="1" w:styleId="231">
    <w:name w:val="图形题注"/>
    <w:basedOn w:val="1"/>
    <w:next w:val="1"/>
    <w:link w:val="23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character" w:customStyle="1" w:styleId="232">
    <w:name w:val="字元 字元15"/>
    <w:qFormat/>
    <w:locked/>
    <w:uiPriority w:val="0"/>
    <w:rPr>
      <w:rFonts w:ascii="Times New Roman" w:hAnsi="Times New Roman" w:eastAsia="Times New Roman" w:cs="Times New Roman"/>
      <w:b/>
      <w:u w:val="single"/>
      <w:lang w:val="en-GB"/>
    </w:rPr>
  </w:style>
  <w:style w:type="character" w:customStyle="1" w:styleId="233">
    <w:name w:val="font101"/>
    <w:qFormat/>
    <w:uiPriority w:val="0"/>
    <w:rPr>
      <w:rFonts w:ascii="Arial" w:hAnsi="Arial" w:cs="Arial"/>
      <w:color w:val="333333"/>
      <w:sz w:val="18"/>
      <w:szCs w:val="18"/>
      <w:u w:val="none"/>
    </w:rPr>
  </w:style>
  <w:style w:type="character" w:customStyle="1" w:styleId="234">
    <w:name w:val="Char Char Char"/>
    <w:link w:val="235"/>
    <w:qFormat/>
    <w:uiPriority w:val="0"/>
    <w:rPr>
      <w:rFonts w:ascii="宋体" w:hAnsi="宋体" w:eastAsia="宋体"/>
      <w:b/>
      <w:kern w:val="2"/>
      <w:sz w:val="21"/>
      <w:szCs w:val="21"/>
      <w:lang w:val="en-US" w:eastAsia="zh-CN" w:bidi="ar-SA"/>
    </w:rPr>
  </w:style>
  <w:style w:type="paragraph" w:customStyle="1" w:styleId="235">
    <w:name w:val="Char3"/>
    <w:basedOn w:val="54"/>
    <w:next w:val="54"/>
    <w:link w:val="234"/>
    <w:qFormat/>
    <w:uiPriority w:val="0"/>
    <w:pPr>
      <w:snapToGrid/>
      <w:jc w:val="right"/>
    </w:pPr>
    <w:rPr>
      <w:rFonts w:ascii="宋体" w:hAnsi="宋体"/>
      <w:b/>
      <w:sz w:val="21"/>
      <w:szCs w:val="21"/>
    </w:rPr>
  </w:style>
  <w:style w:type="character" w:customStyle="1" w:styleId="236">
    <w:name w:val="SANGFOR_6_正文 Char"/>
    <w:link w:val="237"/>
    <w:qFormat/>
    <w:uiPriority w:val="0"/>
    <w:rPr>
      <w:szCs w:val="24"/>
    </w:rPr>
  </w:style>
  <w:style w:type="paragraph" w:customStyle="1" w:styleId="237">
    <w:name w:val="SANGFOR_6_正文"/>
    <w:basedOn w:val="1"/>
    <w:link w:val="236"/>
    <w:qFormat/>
    <w:uiPriority w:val="0"/>
    <w:pPr>
      <w:spacing w:line="360" w:lineRule="auto"/>
      <w:ind w:firstLine="420"/>
    </w:pPr>
    <w:rPr>
      <w:kern w:val="0"/>
      <w:sz w:val="20"/>
    </w:rPr>
  </w:style>
  <w:style w:type="character" w:customStyle="1" w:styleId="238">
    <w:name w:val="smallbold1"/>
    <w:qFormat/>
    <w:uiPriority w:val="0"/>
    <w:rPr>
      <w:b/>
      <w:bCs/>
      <w:sz w:val="22"/>
      <w:szCs w:val="22"/>
    </w:rPr>
  </w:style>
  <w:style w:type="character" w:customStyle="1" w:styleId="239">
    <w:name w:val="正文2 Char Char"/>
    <w:link w:val="240"/>
    <w:qFormat/>
    <w:uiPriority w:val="0"/>
    <w:rPr>
      <w:rFonts w:ascii="宋体" w:hAnsi="宋体"/>
      <w:kern w:val="2"/>
      <w:sz w:val="24"/>
    </w:rPr>
  </w:style>
  <w:style w:type="paragraph" w:customStyle="1" w:styleId="240">
    <w:name w:val="正文2"/>
    <w:basedOn w:val="1"/>
    <w:link w:val="239"/>
    <w:qFormat/>
    <w:uiPriority w:val="0"/>
    <w:pPr>
      <w:spacing w:before="156" w:line="360" w:lineRule="auto"/>
      <w:ind w:firstLine="510" w:firstLineChars="200"/>
    </w:pPr>
    <w:rPr>
      <w:rFonts w:ascii="宋体" w:hAnsi="宋体"/>
      <w:sz w:val="24"/>
      <w:szCs w:val="20"/>
    </w:rPr>
  </w:style>
  <w:style w:type="character" w:customStyle="1" w:styleId="241">
    <w:name w:val="text"/>
    <w:qFormat/>
    <w:uiPriority w:val="0"/>
  </w:style>
  <w:style w:type="character" w:customStyle="1" w:styleId="242">
    <w:name w:val="样式 样式 样式 正文首行缩进 + 首行缩进:  1 字符 + 首行缩进:  2 字符 + 首行缩进:  2 字符 Char"/>
    <w:link w:val="243"/>
    <w:qFormat/>
    <w:uiPriority w:val="0"/>
    <w:rPr>
      <w:sz w:val="24"/>
    </w:rPr>
  </w:style>
  <w:style w:type="paragraph" w:customStyle="1" w:styleId="243">
    <w:name w:val="样式 样式 样式 正文首行缩进 + 首行缩进:  1 字符 + 首行缩进:  2 字符 + 首行缩进:  2 字符"/>
    <w:basedOn w:val="1"/>
    <w:link w:val="242"/>
    <w:qFormat/>
    <w:uiPriority w:val="0"/>
    <w:pPr>
      <w:tabs>
        <w:tab w:val="left" w:pos="390"/>
      </w:tabs>
      <w:spacing w:after="120" w:line="360" w:lineRule="auto"/>
      <w:ind w:firstLine="425" w:firstLineChars="177"/>
      <w:jc w:val="left"/>
    </w:pPr>
    <w:rPr>
      <w:kern w:val="0"/>
      <w:sz w:val="24"/>
      <w:szCs w:val="20"/>
    </w:rPr>
  </w:style>
  <w:style w:type="character" w:customStyle="1" w:styleId="244">
    <w:name w:val="WW8Num10z0"/>
    <w:qFormat/>
    <w:uiPriority w:val="0"/>
    <w:rPr>
      <w:rFonts w:ascii="Symbol" w:hAnsi="Symbol"/>
      <w:lang w:val="en-GB"/>
    </w:rPr>
  </w:style>
  <w:style w:type="character" w:customStyle="1" w:styleId="245">
    <w:name w:val="Internet link"/>
    <w:qFormat/>
    <w:uiPriority w:val="0"/>
    <w:rPr>
      <w:color w:val="000080"/>
      <w:u w:val="single"/>
      <w:lang w:val="en-GB"/>
    </w:rPr>
  </w:style>
  <w:style w:type="character" w:customStyle="1" w:styleId="246">
    <w:name w:val="Visited Internet Link"/>
    <w:qFormat/>
    <w:uiPriority w:val="0"/>
    <w:rPr>
      <w:color w:val="800000"/>
      <w:u w:val="single"/>
      <w:lang w:val="en-GB"/>
    </w:rPr>
  </w:style>
  <w:style w:type="character" w:customStyle="1" w:styleId="247">
    <w:name w:val="desc"/>
    <w:qFormat/>
    <w:uiPriority w:val="0"/>
    <w:rPr>
      <w:color w:val="000000"/>
      <w:sz w:val="18"/>
      <w:szCs w:val="18"/>
    </w:rPr>
  </w:style>
  <w:style w:type="character" w:customStyle="1" w:styleId="248">
    <w:name w:val="font41"/>
    <w:qFormat/>
    <w:uiPriority w:val="0"/>
    <w:rPr>
      <w:rFonts w:hint="eastAsia" w:ascii="宋体" w:hAnsi="宋体" w:eastAsia="宋体" w:cs="宋体"/>
      <w:b/>
      <w:color w:val="FF0000"/>
      <w:sz w:val="20"/>
      <w:szCs w:val="20"/>
      <w:u w:val="none"/>
    </w:rPr>
  </w:style>
  <w:style w:type="character" w:customStyle="1" w:styleId="249">
    <w:name w:val="WW8Num8z0"/>
    <w:qFormat/>
    <w:uiPriority w:val="0"/>
    <w:rPr>
      <w:rFonts w:ascii="Symbol" w:hAnsi="Symbol"/>
      <w:lang w:val="en-GB"/>
    </w:rPr>
  </w:style>
  <w:style w:type="character" w:customStyle="1" w:styleId="250">
    <w:name w:val="彩色列表 - 强调文字颜色 1 Char"/>
    <w:qFormat/>
    <w:uiPriority w:val="0"/>
    <w:rPr>
      <w:rFonts w:ascii="Times New Roman" w:hAnsi="Times New Roman" w:eastAsia="宋体" w:cs="Times New Roman"/>
      <w:szCs w:val="24"/>
    </w:rPr>
  </w:style>
  <w:style w:type="character" w:customStyle="1" w:styleId="251">
    <w:name w:val="style11"/>
    <w:qFormat/>
    <w:uiPriority w:val="0"/>
  </w:style>
  <w:style w:type="character" w:customStyle="1" w:styleId="252">
    <w:name w:val="正文不缩进 Char1"/>
    <w:qFormat/>
    <w:uiPriority w:val="0"/>
    <w:rPr>
      <w:rFonts w:eastAsia="宋体"/>
      <w:sz w:val="24"/>
      <w:szCs w:val="24"/>
      <w:lang w:val="en-US" w:eastAsia="zh-CN" w:bidi="ar-SA"/>
    </w:rPr>
  </w:style>
  <w:style w:type="character" w:customStyle="1" w:styleId="253">
    <w:name w:val="WW8Num20z0"/>
    <w:qFormat/>
    <w:uiPriority w:val="0"/>
    <w:rPr>
      <w:rFonts w:ascii="Symbol" w:hAnsi="Symbol"/>
      <w:lang w:val="en-GB"/>
    </w:rPr>
  </w:style>
  <w:style w:type="character" w:customStyle="1" w:styleId="254">
    <w:name w:val="字元 字元6"/>
    <w:qFormat/>
    <w:locked/>
    <w:uiPriority w:val="0"/>
    <w:rPr>
      <w:rFonts w:ascii="Arial" w:hAnsi="Arial" w:eastAsia="Times New Roman" w:cs="Times New Roman"/>
      <w:lang w:val="en-GB"/>
    </w:rPr>
  </w:style>
  <w:style w:type="character" w:customStyle="1" w:styleId="255">
    <w:name w:val="bds_nopic"/>
    <w:qFormat/>
    <w:uiPriority w:val="0"/>
  </w:style>
  <w:style w:type="character" w:customStyle="1" w:styleId="256">
    <w:name w:val="AP_Body Char Char1"/>
    <w:qFormat/>
    <w:locked/>
    <w:uiPriority w:val="0"/>
    <w:rPr>
      <w:rFonts w:ascii="Futura Bk" w:hAnsi="Futura Bk" w:eastAsia="MS Mincho" w:cs="Futura Bk"/>
      <w:color w:val="000000"/>
      <w:sz w:val="17"/>
      <w:szCs w:val="17"/>
      <w:lang w:val="en-US"/>
    </w:rPr>
  </w:style>
  <w:style w:type="character" w:customStyle="1" w:styleId="257">
    <w:name w:val="强调1"/>
    <w:qFormat/>
    <w:uiPriority w:val="0"/>
    <w:rPr>
      <w:rFonts w:ascii="Verdana" w:hAnsi="Verdana" w:eastAsia="宋体"/>
      <w:b/>
      <w:bCs/>
      <w:lang w:val="en-US" w:eastAsia="en-US" w:bidi="ar-SA"/>
    </w:rPr>
  </w:style>
  <w:style w:type="character" w:customStyle="1" w:styleId="258">
    <w:name w:val="列表框1 Char Char"/>
    <w:link w:val="259"/>
    <w:qFormat/>
    <w:uiPriority w:val="0"/>
    <w:rPr>
      <w:spacing w:val="10"/>
      <w:sz w:val="24"/>
      <w:szCs w:val="24"/>
    </w:rPr>
  </w:style>
  <w:style w:type="paragraph" w:customStyle="1" w:styleId="259">
    <w:name w:val="列表框1"/>
    <w:basedOn w:val="260"/>
    <w:next w:val="260"/>
    <w:link w:val="258"/>
    <w:qFormat/>
    <w:uiPriority w:val="0"/>
    <w:pPr>
      <w:tabs>
        <w:tab w:val="left" w:pos="390"/>
        <w:tab w:val="left" w:pos="567"/>
        <w:tab w:val="left" w:pos="1701"/>
        <w:tab w:val="left" w:pos="8585"/>
      </w:tabs>
      <w:ind w:left="1133" w:leftChars="472" w:firstLine="138" w:firstLineChars="53"/>
    </w:pPr>
    <w:rPr>
      <w:color w:val="auto"/>
    </w:rPr>
  </w:style>
  <w:style w:type="paragraph" w:customStyle="1" w:styleId="260">
    <w:name w:val="内容文本"/>
    <w:basedOn w:val="1"/>
    <w:link w:val="261"/>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character" w:customStyle="1" w:styleId="261">
    <w:name w:val="内容文本 Char Char"/>
    <w:link w:val="260"/>
    <w:qFormat/>
    <w:uiPriority w:val="0"/>
    <w:rPr>
      <w:color w:val="000000"/>
      <w:spacing w:val="10"/>
      <w:sz w:val="24"/>
      <w:szCs w:val="24"/>
    </w:rPr>
  </w:style>
  <w:style w:type="character" w:customStyle="1" w:styleId="262">
    <w:name w:val="px14"/>
    <w:qFormat/>
    <w:uiPriority w:val="0"/>
  </w:style>
  <w:style w:type="character" w:customStyle="1" w:styleId="263">
    <w:name w:val="字元 字元7"/>
    <w:qFormat/>
    <w:locked/>
    <w:uiPriority w:val="0"/>
    <w:rPr>
      <w:rFonts w:ascii="Arial" w:hAnsi="Arial" w:eastAsia="Times New Roman" w:cs="Times New Roman"/>
      <w:lang w:val="en-GB"/>
    </w:rPr>
  </w:style>
  <w:style w:type="character" w:customStyle="1" w:styleId="264">
    <w:name w:val="正文首行缩进两字 Char"/>
    <w:link w:val="265"/>
    <w:qFormat/>
    <w:uiPriority w:val="0"/>
    <w:rPr>
      <w:rFonts w:ascii="宋体" w:hAnsi="宋体" w:cs="Arial"/>
      <w:color w:val="000000"/>
      <w:kern w:val="2"/>
      <w:sz w:val="24"/>
      <w:szCs w:val="24"/>
      <w:lang w:val="en-US" w:eastAsia="zh-CN" w:bidi="ar-SA"/>
    </w:rPr>
  </w:style>
  <w:style w:type="paragraph" w:customStyle="1" w:styleId="265">
    <w:name w:val="正文首行缩进两字"/>
    <w:link w:val="264"/>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character" w:customStyle="1" w:styleId="266">
    <w:name w:val="Char Char8"/>
    <w:qFormat/>
    <w:uiPriority w:val="0"/>
    <w:rPr>
      <w:kern w:val="2"/>
      <w:sz w:val="18"/>
      <w:szCs w:val="18"/>
    </w:rPr>
  </w:style>
  <w:style w:type="character" w:customStyle="1" w:styleId="267">
    <w:name w:val="plus"/>
    <w:qFormat/>
    <w:uiPriority w:val="0"/>
    <w:rPr>
      <w:b/>
      <w:vanish/>
      <w:color w:val="1F8DEF"/>
      <w:sz w:val="24"/>
      <w:szCs w:val="24"/>
    </w:rPr>
  </w:style>
  <w:style w:type="character" w:customStyle="1" w:styleId="268">
    <w:name w:val="sidecatalog-index2"/>
    <w:qFormat/>
    <w:uiPriority w:val="0"/>
    <w:rPr>
      <w:rFonts w:ascii="Arail" w:hAnsi="Arail" w:eastAsia="Arail" w:cs="Arail"/>
      <w:color w:val="999999"/>
      <w:sz w:val="21"/>
      <w:szCs w:val="21"/>
    </w:rPr>
  </w:style>
  <w:style w:type="character" w:customStyle="1" w:styleId="269">
    <w:name w:val="应答标题 Char"/>
    <w:qFormat/>
    <w:uiPriority w:val="0"/>
    <w:rPr>
      <w:rFonts w:ascii="黑体" w:hAnsi="Arial" w:eastAsia="黑体" w:cs="宋体"/>
      <w:b/>
      <w:spacing w:val="10"/>
      <w:sz w:val="24"/>
      <w:szCs w:val="24"/>
      <w:u w:val="single"/>
      <w:lang w:val="en-US" w:eastAsia="zh-CN" w:bidi="ar-SA"/>
    </w:rPr>
  </w:style>
  <w:style w:type="character" w:customStyle="1" w:styleId="270">
    <w:name w:val="bule1"/>
    <w:qFormat/>
    <w:uiPriority w:val="0"/>
    <w:rPr>
      <w:sz w:val="18"/>
      <w:szCs w:val="18"/>
    </w:rPr>
  </w:style>
  <w:style w:type="character" w:customStyle="1" w:styleId="271">
    <w:name w:val="*Body Text Char Char Char Char"/>
    <w:link w:val="272"/>
    <w:qFormat/>
    <w:uiPriority w:val="0"/>
    <w:rPr>
      <w:rFonts w:ascii="Arial" w:hAnsi="Arial"/>
      <w:color w:val="000000"/>
      <w:kern w:val="2"/>
      <w:sz w:val="21"/>
      <w:szCs w:val="22"/>
      <w:lang w:val="en-US" w:eastAsia="en-US" w:bidi="ar-SA"/>
    </w:rPr>
  </w:style>
  <w:style w:type="paragraph" w:customStyle="1" w:styleId="272">
    <w:name w:val="*Body Text Char Char Char"/>
    <w:link w:val="271"/>
    <w:qFormat/>
    <w:uiPriority w:val="0"/>
    <w:pPr>
      <w:spacing w:after="220" w:line="220" w:lineRule="atLeast"/>
    </w:pPr>
    <w:rPr>
      <w:rFonts w:ascii="Arial" w:hAnsi="Arial" w:eastAsia="宋体" w:cs="Times New Roman"/>
      <w:color w:val="000000"/>
      <w:kern w:val="2"/>
      <w:sz w:val="21"/>
      <w:szCs w:val="22"/>
      <w:lang w:val="en-US" w:eastAsia="en-US" w:bidi="ar-SA"/>
    </w:rPr>
  </w:style>
  <w:style w:type="character" w:customStyle="1" w:styleId="273">
    <w:name w:val="访问过的超链接1"/>
    <w:qFormat/>
    <w:uiPriority w:val="99"/>
    <w:rPr>
      <w:color w:val="800080"/>
      <w:u w:val="single"/>
    </w:rPr>
  </w:style>
  <w:style w:type="character" w:customStyle="1" w:styleId="274">
    <w:name w:val="bds_more3"/>
    <w:qFormat/>
    <w:uiPriority w:val="0"/>
    <w:rPr>
      <w:rFonts w:hint="eastAsia" w:ascii="宋体" w:hAnsi="宋体" w:eastAsia="宋体" w:cs="宋体"/>
    </w:rPr>
  </w:style>
  <w:style w:type="character" w:customStyle="1" w:styleId="275">
    <w:name w:val="WW8Num16z0"/>
    <w:qFormat/>
    <w:uiPriority w:val="0"/>
    <w:rPr>
      <w:rFonts w:ascii="Symbol" w:hAnsi="Symbol"/>
      <w:lang w:val="en-GB"/>
    </w:rPr>
  </w:style>
  <w:style w:type="character" w:customStyle="1" w:styleId="276">
    <w:name w:val="样式5 Char"/>
    <w:link w:val="277"/>
    <w:qFormat/>
    <w:uiPriority w:val="0"/>
    <w:rPr>
      <w:rFonts w:ascii="宋体" w:hAnsi="宋体"/>
      <w:kern w:val="2"/>
      <w:sz w:val="24"/>
      <w:szCs w:val="24"/>
    </w:rPr>
  </w:style>
  <w:style w:type="paragraph" w:customStyle="1" w:styleId="277">
    <w:name w:val="样式5"/>
    <w:basedOn w:val="1"/>
    <w:link w:val="276"/>
    <w:qFormat/>
    <w:uiPriority w:val="0"/>
    <w:pPr>
      <w:spacing w:line="360" w:lineRule="auto"/>
      <w:ind w:firstLine="480" w:firstLineChars="200"/>
    </w:pPr>
    <w:rPr>
      <w:rFonts w:ascii="宋体" w:hAnsi="宋体"/>
      <w:sz w:val="24"/>
    </w:rPr>
  </w:style>
  <w:style w:type="character" w:customStyle="1" w:styleId="278">
    <w:name w:val="WW8Num11z2"/>
    <w:qFormat/>
    <w:uiPriority w:val="0"/>
    <w:rPr>
      <w:rFonts w:ascii="Wingdings" w:hAnsi="Wingdings"/>
      <w:lang w:val="en-GB"/>
    </w:rPr>
  </w:style>
  <w:style w:type="character" w:customStyle="1" w:styleId="279">
    <w:name w:val="标题3 Char"/>
    <w:link w:val="280"/>
    <w:qFormat/>
    <w:uiPriority w:val="0"/>
    <w:rPr>
      <w:rFonts w:ascii="Arial" w:hAnsi="Arial"/>
      <w:b/>
      <w:sz w:val="21"/>
      <w:szCs w:val="24"/>
    </w:rPr>
  </w:style>
  <w:style w:type="paragraph" w:customStyle="1" w:styleId="280">
    <w:name w:val="标题3"/>
    <w:basedOn w:val="1"/>
    <w:link w:val="279"/>
    <w:qFormat/>
    <w:uiPriority w:val="0"/>
    <w:pPr>
      <w:adjustRightInd w:val="0"/>
      <w:snapToGrid w:val="0"/>
      <w:spacing w:line="300" w:lineRule="auto"/>
      <w:ind w:firstLine="200" w:firstLineChars="200"/>
    </w:pPr>
    <w:rPr>
      <w:rFonts w:ascii="Arial" w:hAnsi="Arial"/>
      <w:b/>
      <w:kern w:val="0"/>
    </w:rPr>
  </w:style>
  <w:style w:type="character" w:customStyle="1" w:styleId="281">
    <w:name w:val="字元 字元1"/>
    <w:qFormat/>
    <w:locked/>
    <w:uiPriority w:val="0"/>
    <w:rPr>
      <w:rFonts w:ascii="Arial" w:hAnsi="Arial" w:eastAsia="Times New Roman" w:cs="Times New Roman"/>
      <w:b/>
      <w:bCs/>
      <w:lang w:val="en-GB"/>
    </w:rPr>
  </w:style>
  <w:style w:type="character" w:customStyle="1" w:styleId="282">
    <w:name w:val="正文2 Char"/>
    <w:qFormat/>
    <w:locked/>
    <w:uiPriority w:val="0"/>
    <w:rPr>
      <w:rFonts w:eastAsia="宋体"/>
      <w:kern w:val="2"/>
      <w:sz w:val="24"/>
      <w:lang w:val="en-US" w:eastAsia="zh-CN" w:bidi="ar-SA"/>
    </w:rPr>
  </w:style>
  <w:style w:type="character" w:customStyle="1" w:styleId="283">
    <w:name w:val="中等深浅网格 1 - 强调文字颜色 2 Char"/>
    <w:link w:val="284"/>
    <w:qFormat/>
    <w:locked/>
    <w:uiPriority w:val="99"/>
    <w:rPr>
      <w:rFonts w:ascii="Calibri" w:hAnsi="Calibri"/>
    </w:rPr>
  </w:style>
  <w:style w:type="paragraph" w:customStyle="1" w:styleId="284">
    <w:name w:val="中等深浅网格 1 - 强调文字颜色 21"/>
    <w:basedOn w:val="1"/>
    <w:link w:val="283"/>
    <w:qFormat/>
    <w:uiPriority w:val="99"/>
    <w:pPr>
      <w:ind w:firstLine="420" w:firstLineChars="200"/>
    </w:pPr>
    <w:rPr>
      <w:rFonts w:ascii="Calibri" w:hAnsi="Calibri"/>
      <w:kern w:val="0"/>
      <w:sz w:val="20"/>
      <w:szCs w:val="20"/>
    </w:rPr>
  </w:style>
  <w:style w:type="character" w:customStyle="1" w:styleId="285">
    <w:name w:val="标题2zj Char"/>
    <w:link w:val="286"/>
    <w:qFormat/>
    <w:uiPriority w:val="0"/>
    <w:rPr>
      <w:rFonts w:ascii="Arial" w:hAnsi="Arial"/>
      <w:b/>
      <w:sz w:val="36"/>
      <w:szCs w:val="32"/>
      <w:lang w:val="en-US" w:eastAsia="zh-CN"/>
    </w:rPr>
  </w:style>
  <w:style w:type="paragraph" w:customStyle="1" w:styleId="286">
    <w:name w:val="标题2zj"/>
    <w:basedOn w:val="5"/>
    <w:link w:val="285"/>
    <w:qFormat/>
    <w:uiPriority w:val="0"/>
    <w:pPr>
      <w:tabs>
        <w:tab w:val="left" w:pos="284"/>
      </w:tabs>
      <w:snapToGrid/>
      <w:spacing w:before="40" w:after="40" w:line="415" w:lineRule="auto"/>
      <w:ind w:left="420" w:right="100" w:rightChars="100" w:firstLine="0" w:firstLineChars="0"/>
    </w:pPr>
    <w:rPr>
      <w:bCs w:val="0"/>
      <w:kern w:val="0"/>
      <w:sz w:val="36"/>
    </w:rPr>
  </w:style>
  <w:style w:type="character" w:customStyle="1" w:styleId="287">
    <w:name w:val="font121"/>
    <w:qFormat/>
    <w:uiPriority w:val="0"/>
    <w:rPr>
      <w:rFonts w:hint="eastAsia" w:ascii="宋体" w:hAnsi="宋体" w:eastAsia="宋体" w:cs="宋体"/>
      <w:color w:val="000000"/>
      <w:sz w:val="20"/>
      <w:szCs w:val="20"/>
      <w:u w:val="none"/>
    </w:rPr>
  </w:style>
  <w:style w:type="character" w:customStyle="1" w:styleId="288">
    <w:name w:val="字元 字元13"/>
    <w:qFormat/>
    <w:locked/>
    <w:uiPriority w:val="0"/>
    <w:rPr>
      <w:rFonts w:cs="Times New Roman"/>
    </w:rPr>
  </w:style>
  <w:style w:type="character" w:customStyle="1" w:styleId="289">
    <w:name w:val="WW8Num17z0"/>
    <w:qFormat/>
    <w:uiPriority w:val="0"/>
    <w:rPr>
      <w:rFonts w:ascii="Symbol" w:hAnsi="Symbol"/>
      <w:lang w:val="en-GB"/>
    </w:rPr>
  </w:style>
  <w:style w:type="character" w:customStyle="1" w:styleId="290">
    <w:name w:val="small1"/>
    <w:qFormat/>
    <w:uiPriority w:val="0"/>
    <w:rPr>
      <w:sz w:val="22"/>
      <w:szCs w:val="22"/>
    </w:rPr>
  </w:style>
  <w:style w:type="character" w:customStyle="1" w:styleId="291">
    <w:name w:val="bds_more1"/>
    <w:qFormat/>
    <w:uiPriority w:val="0"/>
  </w:style>
  <w:style w:type="character" w:customStyle="1" w:styleId="292">
    <w:name w:val="签名 Char2"/>
    <w:qFormat/>
    <w:uiPriority w:val="0"/>
    <w:rPr>
      <w:kern w:val="2"/>
      <w:sz w:val="21"/>
      <w:szCs w:val="24"/>
    </w:rPr>
  </w:style>
  <w:style w:type="character" w:customStyle="1" w:styleId="293">
    <w:name w:val="*Heading 5 Char"/>
    <w:link w:val="294"/>
    <w:qFormat/>
    <w:uiPriority w:val="0"/>
    <w:rPr>
      <w:rFonts w:ascii="Verdana" w:hAnsi="Verdana"/>
      <w:i/>
      <w:szCs w:val="24"/>
      <w:lang w:val="en-US" w:eastAsia="en-US" w:bidi="ar-SA"/>
    </w:rPr>
  </w:style>
  <w:style w:type="paragraph" w:customStyle="1" w:styleId="294">
    <w:name w:val="*Heading 5"/>
    <w:next w:val="295"/>
    <w:link w:val="293"/>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295">
    <w:name w:val="*Body Text"/>
    <w:link w:val="296"/>
    <w:qFormat/>
    <w:uiPriority w:val="0"/>
    <w:pPr>
      <w:spacing w:line="360" w:lineRule="auto"/>
    </w:pPr>
    <w:rPr>
      <w:rFonts w:ascii="Futura Lt" w:hAnsi="Futura Lt" w:eastAsia="宋体" w:cs="Times New Roman"/>
      <w:sz w:val="21"/>
      <w:lang w:val="en-US" w:eastAsia="en-US" w:bidi="ar-SA"/>
    </w:rPr>
  </w:style>
  <w:style w:type="character" w:customStyle="1" w:styleId="296">
    <w:name w:val="*Body Text Char1"/>
    <w:link w:val="295"/>
    <w:qFormat/>
    <w:uiPriority w:val="0"/>
    <w:rPr>
      <w:rFonts w:ascii="Futura Lt" w:hAnsi="Futura Lt"/>
      <w:sz w:val="21"/>
      <w:lang w:val="en-US" w:eastAsia="en-US" w:bidi="ar-SA"/>
    </w:rPr>
  </w:style>
  <w:style w:type="character" w:customStyle="1" w:styleId="297">
    <w:name w:val="WW8Num19z0"/>
    <w:qFormat/>
    <w:uiPriority w:val="0"/>
    <w:rPr>
      <w:rFonts w:ascii="Symbol" w:hAnsi="Symbol"/>
      <w:lang w:val="en-GB"/>
    </w:rPr>
  </w:style>
  <w:style w:type="character" w:customStyle="1" w:styleId="298">
    <w:name w:val="ZK_正文缩进 Char"/>
    <w:link w:val="299"/>
    <w:qFormat/>
    <w:uiPriority w:val="0"/>
    <w:rPr>
      <w:sz w:val="24"/>
    </w:rPr>
  </w:style>
  <w:style w:type="paragraph" w:customStyle="1" w:styleId="299">
    <w:name w:val="ZK_正文缩进"/>
    <w:basedOn w:val="1"/>
    <w:link w:val="298"/>
    <w:qFormat/>
    <w:uiPriority w:val="0"/>
    <w:pPr>
      <w:tabs>
        <w:tab w:val="left" w:pos="390"/>
      </w:tabs>
      <w:spacing w:line="300" w:lineRule="auto"/>
      <w:ind w:firstLine="200" w:firstLineChars="177"/>
    </w:pPr>
    <w:rPr>
      <w:kern w:val="0"/>
      <w:sz w:val="24"/>
      <w:szCs w:val="20"/>
    </w:rPr>
  </w:style>
  <w:style w:type="character" w:customStyle="1" w:styleId="300">
    <w:name w:val="字元 字元14"/>
    <w:qFormat/>
    <w:locked/>
    <w:uiPriority w:val="0"/>
    <w:rPr>
      <w:rFonts w:ascii="Times New Roman" w:hAnsi="Times New Roman" w:eastAsia="Times New Roman" w:cs="Times New Roman"/>
      <w:b/>
      <w:i/>
      <w:lang w:val="en-GB"/>
    </w:rPr>
  </w:style>
  <w:style w:type="character" w:customStyle="1" w:styleId="301">
    <w:name w:val="sort"/>
    <w:qFormat/>
    <w:uiPriority w:val="0"/>
    <w:rPr>
      <w:color w:val="FFFFFF"/>
      <w:bdr w:val="single" w:color="auto" w:sz="24" w:space="0"/>
    </w:rPr>
  </w:style>
  <w:style w:type="character" w:customStyle="1" w:styleId="302">
    <w:name w:val="WW8Num13z1"/>
    <w:qFormat/>
    <w:uiPriority w:val="0"/>
    <w:rPr>
      <w:rFonts w:ascii="Courier New" w:hAnsi="Courier New"/>
      <w:lang w:val="en-GB"/>
    </w:rPr>
  </w:style>
  <w:style w:type="character" w:customStyle="1" w:styleId="303">
    <w:name w:val="fontstyle01"/>
    <w:qFormat/>
    <w:uiPriority w:val="0"/>
    <w:rPr>
      <w:rFonts w:hint="eastAsia" w:ascii="宋体" w:hAnsi="宋体" w:eastAsia="宋体"/>
      <w:color w:val="000000"/>
      <w:sz w:val="22"/>
      <w:szCs w:val="22"/>
    </w:rPr>
  </w:style>
  <w:style w:type="character" w:customStyle="1" w:styleId="304">
    <w:name w:val="普通文字 Char Char2"/>
    <w:qFormat/>
    <w:uiPriority w:val="0"/>
    <w:rPr>
      <w:rFonts w:ascii="宋体" w:hAnsi="Courier New" w:eastAsia="宋体"/>
      <w:kern w:val="2"/>
      <w:sz w:val="21"/>
      <w:lang w:val="en-US" w:eastAsia="zh-CN" w:bidi="ar-SA"/>
    </w:rPr>
  </w:style>
  <w:style w:type="character" w:customStyle="1" w:styleId="305">
    <w:name w:val="标题4 Char"/>
    <w:link w:val="306"/>
    <w:qFormat/>
    <w:uiPriority w:val="0"/>
    <w:rPr>
      <w:rFonts w:ascii="Arial" w:hAnsi="Arial"/>
      <w:b/>
      <w:bCs/>
      <w:sz w:val="24"/>
      <w:szCs w:val="28"/>
    </w:rPr>
  </w:style>
  <w:style w:type="paragraph" w:customStyle="1" w:styleId="306">
    <w:name w:val="标题4"/>
    <w:basedOn w:val="7"/>
    <w:link w:val="305"/>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character" w:customStyle="1" w:styleId="307">
    <w:name w:val="尾注文本 Char2"/>
    <w:qFormat/>
    <w:uiPriority w:val="0"/>
    <w:rPr>
      <w:kern w:val="2"/>
      <w:sz w:val="21"/>
      <w:szCs w:val="24"/>
    </w:rPr>
  </w:style>
  <w:style w:type="character" w:customStyle="1" w:styleId="308">
    <w:name w:val="WW8Num22z1"/>
    <w:qFormat/>
    <w:uiPriority w:val="0"/>
    <w:rPr>
      <w:rFonts w:ascii="Courier New" w:hAnsi="Courier New"/>
      <w:lang w:val="en-GB"/>
    </w:rPr>
  </w:style>
  <w:style w:type="character" w:customStyle="1" w:styleId="309">
    <w:name w:val="WW8Num7z0"/>
    <w:qFormat/>
    <w:uiPriority w:val="0"/>
    <w:rPr>
      <w:rFonts w:ascii="Symbol" w:hAnsi="Symbol"/>
      <w:lang w:val="en-GB"/>
    </w:rPr>
  </w:style>
  <w:style w:type="character" w:customStyle="1" w:styleId="310">
    <w:name w:val="标题 6 Char"/>
    <w:qFormat/>
    <w:uiPriority w:val="0"/>
    <w:rPr>
      <w:rFonts w:ascii="Cambria" w:hAnsi="Cambria" w:eastAsia="宋体" w:cs="Times New Roman"/>
      <w:b/>
      <w:bCs/>
      <w:kern w:val="2"/>
      <w:sz w:val="24"/>
      <w:szCs w:val="24"/>
    </w:rPr>
  </w:style>
  <w:style w:type="character" w:customStyle="1" w:styleId="311">
    <w:name w:val="titlepurple1"/>
    <w:qFormat/>
    <w:uiPriority w:val="0"/>
    <w:rPr>
      <w:b/>
      <w:bCs/>
      <w:color w:val="845A92"/>
      <w:sz w:val="37"/>
      <w:szCs w:val="37"/>
    </w:rPr>
  </w:style>
  <w:style w:type="character" w:customStyle="1" w:styleId="312">
    <w:name w:val="emphasizedtitle1"/>
    <w:qFormat/>
    <w:uiPriority w:val="0"/>
    <w:rPr>
      <w:rFonts w:hint="default" w:ascii="Arial" w:hAnsi="Arial" w:cs="Arial"/>
      <w:b/>
      <w:bCs/>
      <w:sz w:val="30"/>
      <w:szCs w:val="30"/>
    </w:rPr>
  </w:style>
  <w:style w:type="character" w:customStyle="1" w:styleId="313">
    <w:name w:val="css1"/>
    <w:qFormat/>
    <w:uiPriority w:val="0"/>
  </w:style>
  <w:style w:type="character" w:customStyle="1" w:styleId="314">
    <w:name w:val="sidecatalog-index1"/>
    <w:qFormat/>
    <w:uiPriority w:val="0"/>
    <w:rPr>
      <w:rFonts w:ascii="Arial" w:hAnsi="Arial" w:cs="Arial"/>
      <w:b/>
      <w:color w:val="999999"/>
      <w:sz w:val="21"/>
      <w:szCs w:val="21"/>
    </w:rPr>
  </w:style>
  <w:style w:type="character" w:customStyle="1" w:styleId="315">
    <w:name w:val="公文正文 Char"/>
    <w:link w:val="316"/>
    <w:qFormat/>
    <w:uiPriority w:val="0"/>
    <w:rPr>
      <w:rFonts w:ascii="??_GB2312" w:hAnsi="??_GB2312" w:eastAsia="??_GB2312"/>
      <w:kern w:val="2"/>
      <w:sz w:val="24"/>
      <w:szCs w:val="24"/>
    </w:rPr>
  </w:style>
  <w:style w:type="paragraph" w:customStyle="1" w:styleId="316">
    <w:name w:val="公文正文"/>
    <w:basedOn w:val="1"/>
    <w:link w:val="315"/>
    <w:qFormat/>
    <w:uiPriority w:val="0"/>
    <w:pPr>
      <w:spacing w:before="156" w:line="360" w:lineRule="auto"/>
      <w:ind w:firstLine="200" w:firstLineChars="200"/>
    </w:pPr>
    <w:rPr>
      <w:rFonts w:ascii="??_GB2312" w:hAnsi="??_GB2312" w:eastAsia="??_GB2312"/>
      <w:sz w:val="24"/>
    </w:rPr>
  </w:style>
  <w:style w:type="character" w:customStyle="1" w:styleId="317">
    <w:name w:val="*Heading 3 Char"/>
    <w:link w:val="318"/>
    <w:qFormat/>
    <w:uiPriority w:val="0"/>
    <w:rPr>
      <w:rFonts w:ascii="Verdana" w:hAnsi="Verdana"/>
      <w:b/>
      <w:sz w:val="24"/>
      <w:szCs w:val="24"/>
      <w:lang w:val="en-US" w:eastAsia="en-US" w:bidi="ar-SA"/>
    </w:rPr>
  </w:style>
  <w:style w:type="paragraph" w:customStyle="1" w:styleId="318">
    <w:name w:val="*Heading 3"/>
    <w:next w:val="295"/>
    <w:link w:val="317"/>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character" w:customStyle="1" w:styleId="319">
    <w:name w:val="表格题注 Char"/>
    <w:link w:val="320"/>
    <w:qFormat/>
    <w:uiPriority w:val="0"/>
    <w:rPr>
      <w:rFonts w:hAnsi="宋体"/>
      <w:spacing w:val="10"/>
      <w:szCs w:val="24"/>
    </w:rPr>
  </w:style>
  <w:style w:type="paragraph" w:customStyle="1" w:styleId="320">
    <w:name w:val="表格题注"/>
    <w:basedOn w:val="1"/>
    <w:link w:val="319"/>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character" w:customStyle="1" w:styleId="321">
    <w:name w:val="style8"/>
    <w:qFormat/>
    <w:uiPriority w:val="0"/>
  </w:style>
  <w:style w:type="character" w:customStyle="1" w:styleId="322">
    <w:name w:val="Item List in Table Char Char"/>
    <w:link w:val="323"/>
    <w:qFormat/>
    <w:uiPriority w:val="0"/>
    <w:rPr>
      <w:rFonts w:ascii="Arial" w:hAnsi="Arial"/>
      <w:sz w:val="18"/>
      <w:szCs w:val="18"/>
      <w:lang w:val="en-US" w:eastAsia="zh-CN" w:bidi="ar-SA"/>
    </w:rPr>
  </w:style>
  <w:style w:type="paragraph" w:customStyle="1" w:styleId="323">
    <w:name w:val="Item List in Table"/>
    <w:link w:val="322"/>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character" w:customStyle="1" w:styleId="324">
    <w:name w:val="zbggmain style9"/>
    <w:qFormat/>
    <w:uiPriority w:val="0"/>
  </w:style>
  <w:style w:type="character" w:customStyle="1" w:styleId="325">
    <w:name w:val="*Heading 4 Char"/>
    <w:link w:val="326"/>
    <w:qFormat/>
    <w:uiPriority w:val="0"/>
    <w:rPr>
      <w:rFonts w:ascii="Arial" w:hAnsi="宋体"/>
      <w:snapToGrid w:val="0"/>
      <w:color w:val="00637A"/>
      <w:sz w:val="28"/>
      <w:szCs w:val="28"/>
      <w:lang w:val="en-US" w:eastAsia="zh-CN" w:bidi="ar-SA"/>
    </w:rPr>
  </w:style>
  <w:style w:type="paragraph" w:customStyle="1" w:styleId="326">
    <w:name w:val="*Heading 4"/>
    <w:next w:val="1"/>
    <w:link w:val="325"/>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character" w:customStyle="1" w:styleId="327">
    <w:name w:val="short_text"/>
    <w:qFormat/>
    <w:uiPriority w:val="0"/>
  </w:style>
  <w:style w:type="character" w:customStyle="1" w:styleId="328">
    <w:name w:val="tw4winError"/>
    <w:qFormat/>
    <w:uiPriority w:val="0"/>
    <w:rPr>
      <w:rFonts w:ascii="Courier New" w:hAnsi="Courier New" w:cs="Courier New"/>
      <w:color w:val="00FF00"/>
      <w:sz w:val="40"/>
      <w:szCs w:val="40"/>
    </w:rPr>
  </w:style>
  <w:style w:type="character" w:customStyle="1" w:styleId="329">
    <w:name w:val="font61"/>
    <w:qFormat/>
    <w:uiPriority w:val="0"/>
    <w:rPr>
      <w:rFonts w:hint="default" w:ascii="Times New Roman" w:hAnsi="Times New Roman" w:cs="Times New Roman"/>
      <w:color w:val="000000"/>
      <w:sz w:val="24"/>
      <w:szCs w:val="24"/>
      <w:u w:val="none"/>
    </w:rPr>
  </w:style>
  <w:style w:type="character" w:customStyle="1" w:styleId="330">
    <w:name w:val="tw4winInternal"/>
    <w:qFormat/>
    <w:uiPriority w:val="0"/>
    <w:rPr>
      <w:rFonts w:ascii="Courier New" w:hAnsi="Courier New" w:cs="Courier New"/>
      <w:color w:val="FF0000"/>
      <w:lang w:val="en-US" w:eastAsia="zh-CN"/>
    </w:rPr>
  </w:style>
  <w:style w:type="character" w:customStyle="1" w:styleId="331">
    <w:name w:val="atitle3"/>
    <w:qFormat/>
    <w:uiPriority w:val="0"/>
  </w:style>
  <w:style w:type="character" w:customStyle="1" w:styleId="332">
    <w:name w:val="样式1 Char"/>
    <w:qFormat/>
    <w:uiPriority w:val="0"/>
    <w:rPr>
      <w:rFonts w:ascii="Arial" w:hAnsi="Arial" w:eastAsia="宋体"/>
      <w:kern w:val="2"/>
      <w:sz w:val="21"/>
      <w:szCs w:val="24"/>
      <w:lang w:val="en-US" w:eastAsia="zh-CN" w:bidi="ar-SA"/>
    </w:rPr>
  </w:style>
  <w:style w:type="character" w:customStyle="1" w:styleId="333">
    <w:name w:val="WW8Num11z0"/>
    <w:qFormat/>
    <w:uiPriority w:val="0"/>
    <w:rPr>
      <w:rFonts w:ascii="Symbol" w:hAnsi="Symbol"/>
      <w:lang w:val="en-GB"/>
    </w:rPr>
  </w:style>
  <w:style w:type="character" w:customStyle="1" w:styleId="334">
    <w:name w:val="大汉方案正文 Char1"/>
    <w:link w:val="335"/>
    <w:qFormat/>
    <w:uiPriority w:val="0"/>
    <w:rPr>
      <w:rFonts w:ascii="Arial" w:hAnsi="Arial"/>
      <w:kern w:val="2"/>
      <w:sz w:val="24"/>
      <w:szCs w:val="24"/>
    </w:rPr>
  </w:style>
  <w:style w:type="paragraph" w:customStyle="1" w:styleId="335">
    <w:name w:val="大汉方案正文"/>
    <w:basedOn w:val="1"/>
    <w:link w:val="334"/>
    <w:qFormat/>
    <w:uiPriority w:val="0"/>
    <w:pPr>
      <w:spacing w:line="360" w:lineRule="auto"/>
      <w:ind w:firstLine="200" w:firstLineChars="200"/>
    </w:pPr>
    <w:rPr>
      <w:rFonts w:ascii="Arial" w:hAnsi="Arial"/>
      <w:sz w:val="24"/>
    </w:rPr>
  </w:style>
  <w:style w:type="character" w:customStyle="1" w:styleId="336">
    <w:name w:val="附录 Char Char"/>
    <w:link w:val="337"/>
    <w:qFormat/>
    <w:uiPriority w:val="0"/>
    <w:rPr>
      <w:rFonts w:ascii="楷体_GB2312" w:hAnsi="华文细黑" w:eastAsia="方正姚体"/>
      <w:kern w:val="2"/>
      <w:sz w:val="30"/>
      <w:szCs w:val="24"/>
    </w:rPr>
  </w:style>
  <w:style w:type="paragraph" w:customStyle="1" w:styleId="337">
    <w:name w:val="附录"/>
    <w:basedOn w:val="1"/>
    <w:next w:val="1"/>
    <w:link w:val="336"/>
    <w:qFormat/>
    <w:uiPriority w:val="0"/>
    <w:pPr>
      <w:jc w:val="left"/>
      <w:outlineLvl w:val="1"/>
    </w:pPr>
    <w:rPr>
      <w:rFonts w:ascii="楷体_GB2312" w:hAnsi="华文细黑" w:eastAsia="方正姚体"/>
      <w:sz w:val="30"/>
    </w:rPr>
  </w:style>
  <w:style w:type="character" w:customStyle="1" w:styleId="338">
    <w:name w:val="font81"/>
    <w:qFormat/>
    <w:uiPriority w:val="0"/>
    <w:rPr>
      <w:rFonts w:hint="eastAsia" w:ascii="宋体" w:hAnsi="宋体" w:eastAsia="宋体" w:cs="宋体"/>
      <w:color w:val="FF0000"/>
      <w:sz w:val="18"/>
      <w:szCs w:val="18"/>
      <w:u w:val="none"/>
    </w:rPr>
  </w:style>
  <w:style w:type="character" w:customStyle="1" w:styleId="339">
    <w:name w:val="样式 首行缩进:  2 字符 Char"/>
    <w:link w:val="340"/>
    <w:qFormat/>
    <w:uiPriority w:val="0"/>
    <w:rPr>
      <w:rFonts w:ascii="宋体" w:hAnsi="宋体"/>
      <w:bCs/>
      <w:color w:val="000000"/>
      <w:sz w:val="24"/>
      <w:szCs w:val="24"/>
    </w:rPr>
  </w:style>
  <w:style w:type="paragraph" w:customStyle="1" w:styleId="340">
    <w:name w:val="样式 首行缩进:  2 字符"/>
    <w:basedOn w:val="1"/>
    <w:link w:val="339"/>
    <w:qFormat/>
    <w:uiPriority w:val="0"/>
    <w:pPr>
      <w:widowControl/>
      <w:tabs>
        <w:tab w:val="left" w:pos="420"/>
      </w:tabs>
      <w:spacing w:line="360" w:lineRule="auto"/>
    </w:pPr>
    <w:rPr>
      <w:rFonts w:ascii="宋体" w:hAnsi="宋体"/>
      <w:bCs/>
      <w:color w:val="000000"/>
      <w:kern w:val="0"/>
      <w:sz w:val="24"/>
    </w:rPr>
  </w:style>
  <w:style w:type="character" w:customStyle="1" w:styleId="341">
    <w:name w:val="样式 题注 + (西文) Times New Roman (中文) 宋体 五号 Char"/>
    <w:link w:val="342"/>
    <w:qFormat/>
    <w:uiPriority w:val="0"/>
    <w:rPr>
      <w:rFonts w:cs="Arial"/>
      <w:b/>
      <w:sz w:val="18"/>
    </w:rPr>
  </w:style>
  <w:style w:type="paragraph" w:customStyle="1" w:styleId="342">
    <w:name w:val="样式 题注 + (西文) Times New Roman (中文) 宋体 五号"/>
    <w:basedOn w:val="24"/>
    <w:link w:val="341"/>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character" w:customStyle="1" w:styleId="343">
    <w:name w:val="标题 1 Char1"/>
    <w:qFormat/>
    <w:uiPriority w:val="0"/>
    <w:rPr>
      <w:rFonts w:ascii="宋体" w:hAnsi="宋体"/>
      <w:b/>
      <w:bCs/>
      <w:kern w:val="44"/>
      <w:sz w:val="44"/>
      <w:szCs w:val="44"/>
    </w:rPr>
  </w:style>
  <w:style w:type="character" w:customStyle="1" w:styleId="344">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345">
    <w:name w:val="Char Char3"/>
    <w:qFormat/>
    <w:uiPriority w:val="0"/>
    <w:rPr>
      <w:rFonts w:ascii="Arial" w:hAnsi="Arial" w:eastAsia="宋体"/>
      <w:b/>
      <w:bCs/>
      <w:kern w:val="2"/>
      <w:sz w:val="21"/>
      <w:szCs w:val="32"/>
      <w:lang w:val="en-US" w:eastAsia="zh-CN" w:bidi="ar-SA"/>
    </w:rPr>
  </w:style>
  <w:style w:type="character" w:customStyle="1" w:styleId="346">
    <w:name w:val="‧ N character plain text new"/>
    <w:qFormat/>
    <w:uiPriority w:val="0"/>
    <w:rPr>
      <w:rFonts w:ascii="Times New Roman" w:hAnsi="Times New Roman" w:cs="Tahoma"/>
      <w:sz w:val="20"/>
      <w:lang w:val="en-GB"/>
    </w:rPr>
  </w:style>
  <w:style w:type="character" w:customStyle="1" w:styleId="347">
    <w:name w:val="访问过的超链接11"/>
    <w:qFormat/>
    <w:uiPriority w:val="0"/>
    <w:rPr>
      <w:color w:val="800080"/>
      <w:u w:val="single"/>
    </w:rPr>
  </w:style>
  <w:style w:type="character" w:customStyle="1" w:styleId="348">
    <w:name w:val="字元 字元5"/>
    <w:qFormat/>
    <w:locked/>
    <w:uiPriority w:val="0"/>
    <w:rPr>
      <w:rFonts w:ascii="Arial" w:hAnsi="Arial" w:eastAsia="Times New Roman" w:cs="Times New Roman"/>
      <w:lang w:val="en-GB"/>
    </w:rPr>
  </w:style>
  <w:style w:type="character" w:customStyle="1" w:styleId="349">
    <w:name w:val="Variable"/>
    <w:qFormat/>
    <w:uiPriority w:val="0"/>
    <w:rPr>
      <w:i/>
      <w:lang w:val="en-GB"/>
    </w:rPr>
  </w:style>
  <w:style w:type="character" w:customStyle="1" w:styleId="350">
    <w:name w:val="polysemyred"/>
    <w:qFormat/>
    <w:uiPriority w:val="0"/>
    <w:rPr>
      <w:color w:val="FF6666"/>
      <w:sz w:val="18"/>
      <w:szCs w:val="18"/>
    </w:rPr>
  </w:style>
  <w:style w:type="character" w:customStyle="1" w:styleId="351">
    <w:name w:val="My正文 Char"/>
    <w:link w:val="352"/>
    <w:qFormat/>
    <w:uiPriority w:val="0"/>
    <w:rPr>
      <w:rFonts w:ascii="Arial" w:hAnsi="Arial"/>
      <w:sz w:val="24"/>
    </w:rPr>
  </w:style>
  <w:style w:type="paragraph" w:customStyle="1" w:styleId="352">
    <w:name w:val="My正文"/>
    <w:basedOn w:val="1"/>
    <w:link w:val="351"/>
    <w:qFormat/>
    <w:uiPriority w:val="0"/>
    <w:pPr>
      <w:adjustRightInd w:val="0"/>
      <w:spacing w:before="120" w:line="360" w:lineRule="auto"/>
      <w:ind w:firstLine="567"/>
      <w:textAlignment w:val="baseline"/>
    </w:pPr>
    <w:rPr>
      <w:rFonts w:ascii="Arial" w:hAnsi="Arial"/>
      <w:kern w:val="0"/>
      <w:sz w:val="24"/>
      <w:szCs w:val="20"/>
    </w:rPr>
  </w:style>
  <w:style w:type="character" w:customStyle="1" w:styleId="353">
    <w:name w:val="WW8Num18z1"/>
    <w:qFormat/>
    <w:uiPriority w:val="0"/>
    <w:rPr>
      <w:rFonts w:ascii="Courier New" w:hAnsi="Courier New"/>
      <w:lang w:val="en-GB"/>
    </w:rPr>
  </w:style>
  <w:style w:type="character" w:customStyle="1" w:styleId="354">
    <w:name w:val="WW8Num16z2"/>
    <w:qFormat/>
    <w:uiPriority w:val="0"/>
    <w:rPr>
      <w:rFonts w:ascii="Wingdings" w:hAnsi="Wingdings"/>
      <w:lang w:val="en-GB"/>
    </w:rPr>
  </w:style>
  <w:style w:type="character" w:customStyle="1" w:styleId="355">
    <w:name w:val="表格文本 Char"/>
    <w:link w:val="356"/>
    <w:qFormat/>
    <w:uiPriority w:val="0"/>
    <w:rPr>
      <w:rFonts w:ascii="Arial" w:hAnsi="Arial"/>
      <w:sz w:val="24"/>
      <w:szCs w:val="21"/>
      <w:lang w:val="en-US" w:eastAsia="zh-CN"/>
    </w:rPr>
  </w:style>
  <w:style w:type="paragraph" w:customStyle="1" w:styleId="356">
    <w:name w:val="表格文本"/>
    <w:basedOn w:val="1"/>
    <w:link w:val="355"/>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character" w:customStyle="1" w:styleId="357">
    <w:name w:val="Teletype"/>
    <w:qFormat/>
    <w:uiPriority w:val="0"/>
    <w:rPr>
      <w:rFonts w:ascii="Courier New" w:hAnsi="Courier New"/>
      <w:lang w:val="en-GB"/>
    </w:rPr>
  </w:style>
  <w:style w:type="character" w:customStyle="1" w:styleId="358">
    <w:name w:val="项目标题 Char"/>
    <w:link w:val="359"/>
    <w:qFormat/>
    <w:uiPriority w:val="0"/>
    <w:rPr>
      <w:rFonts w:ascii="Arial" w:hAnsi="Arial"/>
      <w:b/>
      <w:bCs/>
      <w:sz w:val="28"/>
      <w:szCs w:val="28"/>
    </w:rPr>
  </w:style>
  <w:style w:type="paragraph" w:customStyle="1" w:styleId="359">
    <w:name w:val="项目标题"/>
    <w:basedOn w:val="1"/>
    <w:link w:val="358"/>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character" w:customStyle="1" w:styleId="360">
    <w:name w:val="displayitem"/>
    <w:qFormat/>
    <w:uiPriority w:val="0"/>
  </w:style>
  <w:style w:type="character" w:customStyle="1" w:styleId="361">
    <w:name w:val="font111"/>
    <w:qFormat/>
    <w:uiPriority w:val="0"/>
    <w:rPr>
      <w:rFonts w:ascii="Arial" w:hAnsi="Arial" w:cs="Arial"/>
      <w:color w:val="333333"/>
      <w:sz w:val="18"/>
      <w:szCs w:val="18"/>
      <w:u w:val="none"/>
    </w:rPr>
  </w:style>
  <w:style w:type="character" w:customStyle="1" w:styleId="362">
    <w:name w:val="Strong Emphasis"/>
    <w:qFormat/>
    <w:locked/>
    <w:uiPriority w:val="0"/>
    <w:rPr>
      <w:b/>
      <w:lang w:val="en-GB"/>
    </w:rPr>
  </w:style>
  <w:style w:type="character" w:customStyle="1" w:styleId="363">
    <w:name w:val="bold1"/>
    <w:qFormat/>
    <w:uiPriority w:val="0"/>
    <w:rPr>
      <w:b/>
      <w:bCs/>
    </w:rPr>
  </w:style>
  <w:style w:type="character" w:customStyle="1" w:styleId="364">
    <w:name w:val="列表框2 Char Char"/>
    <w:link w:val="365"/>
    <w:qFormat/>
    <w:uiPriority w:val="0"/>
    <w:rPr>
      <w:spacing w:val="10"/>
      <w:sz w:val="24"/>
      <w:szCs w:val="24"/>
    </w:rPr>
  </w:style>
  <w:style w:type="paragraph" w:customStyle="1" w:styleId="365">
    <w:name w:val="列表框2"/>
    <w:basedOn w:val="259"/>
    <w:link w:val="364"/>
    <w:qFormat/>
    <w:uiPriority w:val="0"/>
    <w:pPr>
      <w:tabs>
        <w:tab w:val="left" w:pos="1890"/>
      </w:tabs>
      <w:ind w:left="900" w:hanging="420"/>
    </w:pPr>
  </w:style>
  <w:style w:type="character" w:customStyle="1" w:styleId="366">
    <w:name w:val="WW8Num21z0"/>
    <w:qFormat/>
    <w:uiPriority w:val="0"/>
    <w:rPr>
      <w:rFonts w:ascii="Symbol" w:hAnsi="Symbol"/>
      <w:lang w:val="en-GB"/>
    </w:rPr>
  </w:style>
  <w:style w:type="character" w:customStyle="1" w:styleId="367">
    <w:name w:val="首行缩进 Char"/>
    <w:link w:val="368"/>
    <w:qFormat/>
    <w:uiPriority w:val="0"/>
    <w:rPr>
      <w:rFonts w:ascii="Arial" w:hAnsi="Arial"/>
      <w:sz w:val="21"/>
    </w:rPr>
  </w:style>
  <w:style w:type="paragraph" w:customStyle="1" w:styleId="368">
    <w:name w:val="首行缩进"/>
    <w:basedOn w:val="1"/>
    <w:link w:val="367"/>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369">
    <w:name w:val="样式 首行缩进:  2.25 字符 Char"/>
    <w:link w:val="370"/>
    <w:qFormat/>
    <w:uiPriority w:val="0"/>
    <w:rPr>
      <w:rFonts w:ascii="Arial" w:hAnsi="Arial" w:cs="宋体"/>
      <w:sz w:val="24"/>
    </w:rPr>
  </w:style>
  <w:style w:type="paragraph" w:customStyle="1" w:styleId="370">
    <w:name w:val="样式 首行缩进:  2.25 字符"/>
    <w:basedOn w:val="1"/>
    <w:link w:val="369"/>
    <w:qFormat/>
    <w:uiPriority w:val="0"/>
    <w:pPr>
      <w:spacing w:line="360" w:lineRule="auto"/>
      <w:ind w:firstLine="542" w:firstLineChars="225"/>
    </w:pPr>
    <w:rPr>
      <w:rFonts w:ascii="Arial" w:hAnsi="Arial"/>
      <w:kern w:val="0"/>
      <w:sz w:val="24"/>
      <w:szCs w:val="20"/>
    </w:rPr>
  </w:style>
  <w:style w:type="character" w:customStyle="1" w:styleId="371">
    <w:name w:val="apple-style-span"/>
    <w:qFormat/>
    <w:uiPriority w:val="0"/>
  </w:style>
  <w:style w:type="character" w:customStyle="1" w:styleId="372">
    <w:name w:val="themebody1"/>
    <w:qFormat/>
    <w:uiPriority w:val="0"/>
    <w:rPr>
      <w:color w:val="FFFFFF"/>
    </w:rPr>
  </w:style>
  <w:style w:type="character" w:customStyle="1" w:styleId="373">
    <w:name w:val="font01"/>
    <w:qFormat/>
    <w:uiPriority w:val="0"/>
    <w:rPr>
      <w:rFonts w:hint="eastAsia" w:ascii="宋体" w:hAnsi="宋体" w:eastAsia="宋体" w:cs="宋体"/>
      <w:color w:val="000000"/>
      <w:sz w:val="22"/>
      <w:szCs w:val="22"/>
      <w:u w:val="none"/>
    </w:rPr>
  </w:style>
  <w:style w:type="character" w:customStyle="1" w:styleId="374">
    <w:name w:val="‧ N character emphasis new"/>
    <w:qFormat/>
    <w:uiPriority w:val="0"/>
    <w:rPr>
      <w:rFonts w:ascii="Times New Roman" w:hAnsi="Times New Roman" w:cs="Tahoma"/>
      <w:i/>
      <w:sz w:val="20"/>
      <w:lang w:val="en-GB"/>
    </w:rPr>
  </w:style>
  <w:style w:type="character" w:customStyle="1" w:styleId="375">
    <w:name w:val="Footer-Even Char Char"/>
    <w:qFormat/>
    <w:uiPriority w:val="0"/>
    <w:rPr>
      <w:rFonts w:eastAsia="宋体"/>
      <w:kern w:val="2"/>
      <w:sz w:val="18"/>
      <w:szCs w:val="18"/>
      <w:lang w:val="en-US" w:eastAsia="zh-CN" w:bidi="ar-SA"/>
    </w:rPr>
  </w:style>
  <w:style w:type="character" w:customStyle="1" w:styleId="376">
    <w:name w:val="Numbering Symbols"/>
    <w:qFormat/>
    <w:uiPriority w:val="0"/>
    <w:rPr>
      <w:lang w:val="en-GB"/>
    </w:rPr>
  </w:style>
  <w:style w:type="character" w:customStyle="1" w:styleId="377">
    <w:name w:val="style3"/>
    <w:qFormat/>
    <w:uiPriority w:val="0"/>
  </w:style>
  <w:style w:type="character" w:customStyle="1" w:styleId="378">
    <w:name w:val="WW8Num14z1"/>
    <w:qFormat/>
    <w:uiPriority w:val="0"/>
    <w:rPr>
      <w:rFonts w:ascii="Courier New" w:hAnsi="Courier New"/>
      <w:lang w:val="en-GB"/>
    </w:rPr>
  </w:style>
  <w:style w:type="character" w:customStyle="1" w:styleId="379">
    <w:name w:val="tw4winExternal"/>
    <w:qFormat/>
    <w:uiPriority w:val="0"/>
    <w:rPr>
      <w:rFonts w:ascii="Courier New" w:hAnsi="Courier New" w:cs="Courier New"/>
      <w:color w:val="808080"/>
      <w:lang w:val="en-US" w:eastAsia="zh-CN"/>
    </w:rPr>
  </w:style>
  <w:style w:type="character" w:customStyle="1" w:styleId="380">
    <w:name w:val="样式 标准段落 + 首行缩进:  2 字符 Char"/>
    <w:link w:val="381"/>
    <w:qFormat/>
    <w:uiPriority w:val="0"/>
    <w:rPr>
      <w:rFonts w:ascii="宋体" w:hAnsi="宋体"/>
      <w:sz w:val="24"/>
    </w:rPr>
  </w:style>
  <w:style w:type="paragraph" w:customStyle="1" w:styleId="381">
    <w:name w:val="样式 标准段落 + 首行缩进:  2 字符"/>
    <w:basedOn w:val="1"/>
    <w:link w:val="380"/>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character" w:customStyle="1" w:styleId="382">
    <w:name w:val="字元 字元16"/>
    <w:qFormat/>
    <w:locked/>
    <w:uiPriority w:val="0"/>
    <w:rPr>
      <w:rFonts w:ascii="Times New Roman" w:hAnsi="Times New Roman" w:eastAsia="Times New Roman" w:cs="Times New Roman"/>
      <w:b/>
      <w:lang w:val="en-GB"/>
    </w:rPr>
  </w:style>
  <w:style w:type="character" w:customStyle="1" w:styleId="383">
    <w:name w:val="text_121"/>
    <w:qFormat/>
    <w:uiPriority w:val="0"/>
    <w:rPr>
      <w:rFonts w:hint="default" w:ascii="sө" w:hAnsi="sө"/>
      <w:color w:val="000000"/>
      <w:sz w:val="15"/>
      <w:szCs w:val="15"/>
    </w:rPr>
  </w:style>
  <w:style w:type="character" w:customStyle="1" w:styleId="384">
    <w:name w:val="para1"/>
    <w:qFormat/>
    <w:uiPriority w:val="0"/>
    <w:rPr>
      <w:rFonts w:hint="default" w:ascii="Arial" w:hAnsi="Arial" w:cs="Arial"/>
      <w:sz w:val="18"/>
      <w:szCs w:val="18"/>
    </w:rPr>
  </w:style>
  <w:style w:type="character" w:customStyle="1" w:styleId="385">
    <w:name w:val="字元 字元22"/>
    <w:qFormat/>
    <w:locked/>
    <w:uiPriority w:val="0"/>
    <w:rPr>
      <w:rFonts w:ascii="Cambria" w:hAnsi="Cambria" w:eastAsia="Times New Roman" w:cs="Times New Roman"/>
      <w:b/>
      <w:bCs/>
      <w:color w:val="365F91"/>
      <w:sz w:val="28"/>
      <w:szCs w:val="28"/>
    </w:rPr>
  </w:style>
  <w:style w:type="character" w:customStyle="1" w:styleId="386">
    <w:name w:val="21 Char"/>
    <w:qFormat/>
    <w:uiPriority w:val="0"/>
    <w:rPr>
      <w:rFonts w:ascii="Arial" w:hAnsi="Arial" w:eastAsia="黑体"/>
      <w:b/>
      <w:kern w:val="2"/>
      <w:sz w:val="21"/>
      <w:lang w:val="en-US" w:eastAsia="zh-CN" w:bidi="ar-SA"/>
    </w:rPr>
  </w:style>
  <w:style w:type="character" w:customStyle="1" w:styleId="387">
    <w:name w:val="style10"/>
    <w:qFormat/>
    <w:uiPriority w:val="0"/>
  </w:style>
  <w:style w:type="character" w:customStyle="1" w:styleId="388">
    <w:name w:val="图 Char"/>
    <w:link w:val="389"/>
    <w:qFormat/>
    <w:uiPriority w:val="0"/>
    <w:rPr>
      <w:szCs w:val="21"/>
    </w:rPr>
  </w:style>
  <w:style w:type="paragraph" w:customStyle="1" w:styleId="389">
    <w:name w:val="图"/>
    <w:basedOn w:val="1"/>
    <w:next w:val="1"/>
    <w:link w:val="388"/>
    <w:qFormat/>
    <w:uiPriority w:val="0"/>
    <w:pPr>
      <w:spacing w:line="360" w:lineRule="auto"/>
      <w:ind w:firstLine="420"/>
      <w:jc w:val="center"/>
    </w:pPr>
    <w:rPr>
      <w:kern w:val="0"/>
      <w:sz w:val="20"/>
      <w:szCs w:val="21"/>
    </w:rPr>
  </w:style>
  <w:style w:type="character" w:customStyle="1" w:styleId="390">
    <w:name w:val="WW-Default Paragraph Font"/>
    <w:qFormat/>
    <w:uiPriority w:val="0"/>
    <w:rPr>
      <w:lang w:val="en-GB"/>
    </w:rPr>
  </w:style>
  <w:style w:type="character" w:customStyle="1" w:styleId="391">
    <w:name w:val="sidecatalog-dot1"/>
    <w:qFormat/>
    <w:uiPriority w:val="0"/>
  </w:style>
  <w:style w:type="character" w:customStyle="1" w:styleId="392">
    <w:name w:val="Char Char20"/>
    <w:qFormat/>
    <w:uiPriority w:val="0"/>
    <w:rPr>
      <w:kern w:val="2"/>
      <w:sz w:val="18"/>
      <w:szCs w:val="18"/>
    </w:rPr>
  </w:style>
  <w:style w:type="character" w:customStyle="1" w:styleId="393">
    <w:name w:val="二级样式 Char"/>
    <w:link w:val="394"/>
    <w:qFormat/>
    <w:uiPriority w:val="0"/>
    <w:rPr>
      <w:rFonts w:ascii="黑体" w:hAnsi="Wingdings" w:eastAsia="黑体" w:cs="IOBAEE+TimesNewRoman,Bold"/>
      <w:b/>
      <w:color w:val="000000"/>
      <w:sz w:val="24"/>
      <w:szCs w:val="24"/>
    </w:rPr>
  </w:style>
  <w:style w:type="paragraph" w:customStyle="1" w:styleId="394">
    <w:name w:val="二级样式"/>
    <w:basedOn w:val="1"/>
    <w:link w:val="393"/>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character" w:customStyle="1" w:styleId="395">
    <w:name w:val="Table Text Char Char2"/>
    <w:qFormat/>
    <w:uiPriority w:val="0"/>
    <w:rPr>
      <w:rFonts w:ascii="Arial" w:hAnsi="Arial" w:eastAsia="宋体"/>
      <w:sz w:val="18"/>
      <w:lang w:val="en-US" w:eastAsia="zh-CN" w:bidi="ar-SA"/>
    </w:rPr>
  </w:style>
  <w:style w:type="character" w:customStyle="1" w:styleId="396">
    <w:name w:val="标准段落 Char"/>
    <w:link w:val="397"/>
    <w:qFormat/>
    <w:locked/>
    <w:uiPriority w:val="0"/>
    <w:rPr>
      <w:sz w:val="24"/>
      <w:szCs w:val="24"/>
      <w:lang w:val="en-US" w:eastAsia="zh-CN"/>
    </w:rPr>
  </w:style>
  <w:style w:type="paragraph" w:customStyle="1" w:styleId="397">
    <w:name w:val="标准段落"/>
    <w:basedOn w:val="1"/>
    <w:link w:val="396"/>
    <w:qFormat/>
    <w:uiPriority w:val="0"/>
    <w:pPr>
      <w:autoSpaceDN w:val="0"/>
      <w:spacing w:line="360" w:lineRule="auto"/>
      <w:ind w:firstLine="480" w:firstLineChars="200"/>
    </w:pPr>
    <w:rPr>
      <w:kern w:val="0"/>
      <w:sz w:val="24"/>
    </w:rPr>
  </w:style>
  <w:style w:type="character" w:customStyle="1" w:styleId="398">
    <w:name w:val="正文缩进 Char1"/>
    <w:qFormat/>
    <w:uiPriority w:val="0"/>
    <w:rPr>
      <w:rFonts w:ascii="Times New Roman" w:hAnsi="Times New Roman"/>
      <w:kern w:val="2"/>
      <w:sz w:val="21"/>
      <w:szCs w:val="24"/>
    </w:rPr>
  </w:style>
  <w:style w:type="character" w:customStyle="1" w:styleId="399">
    <w:name w:val="标题四 Char Char"/>
    <w:qFormat/>
    <w:uiPriority w:val="0"/>
    <w:rPr>
      <w:rFonts w:eastAsia="宋体"/>
      <w:kern w:val="2"/>
      <w:sz w:val="24"/>
      <w:lang w:val="en-US" w:eastAsia="zh-CN" w:bidi="ar-SA"/>
    </w:rPr>
  </w:style>
  <w:style w:type="character" w:customStyle="1" w:styleId="400">
    <w:name w:val="tw4winTerm"/>
    <w:qFormat/>
    <w:uiPriority w:val="0"/>
    <w:rPr>
      <w:color w:val="0000FF"/>
    </w:rPr>
  </w:style>
  <w:style w:type="character" w:customStyle="1" w:styleId="401">
    <w:name w:val="字元 字元3"/>
    <w:qFormat/>
    <w:locked/>
    <w:uiPriority w:val="0"/>
    <w:rPr>
      <w:rFonts w:ascii="Arial" w:hAnsi="Arial" w:eastAsia="Times New Roman" w:cs="Tahoma"/>
      <w:iCs/>
      <w:sz w:val="28"/>
      <w:szCs w:val="28"/>
      <w:lang w:val="en-GB"/>
    </w:rPr>
  </w:style>
  <w:style w:type="character" w:customStyle="1" w:styleId="402">
    <w:name w:val="style4"/>
    <w:qFormat/>
    <w:uiPriority w:val="0"/>
  </w:style>
  <w:style w:type="character" w:customStyle="1" w:styleId="403">
    <w:name w:val="font51"/>
    <w:qFormat/>
    <w:uiPriority w:val="0"/>
    <w:rPr>
      <w:rFonts w:hint="eastAsia" w:ascii="宋体" w:hAnsi="宋体" w:eastAsia="宋体" w:cs="宋体"/>
      <w:color w:val="FF0000"/>
      <w:sz w:val="20"/>
      <w:szCs w:val="20"/>
      <w:u w:val="none"/>
    </w:rPr>
  </w:style>
  <w:style w:type="character" w:customStyle="1" w:styleId="404">
    <w:name w:val="bookmark-item uuid-1588129097073 code-23007 addword single-line-text-input-box-cls readonly"/>
    <w:qFormat/>
    <w:uiPriority w:val="0"/>
  </w:style>
  <w:style w:type="character" w:customStyle="1" w:styleId="405">
    <w:name w:val="hps"/>
    <w:qFormat/>
    <w:uiPriority w:val="0"/>
  </w:style>
  <w:style w:type="character" w:customStyle="1" w:styleId="406">
    <w:name w:val="标题三 Char Char"/>
    <w:link w:val="407"/>
    <w:qFormat/>
    <w:uiPriority w:val="0"/>
    <w:rPr>
      <w:rFonts w:ascii="宋体"/>
      <w:b/>
      <w:bCs/>
      <w:sz w:val="28"/>
    </w:rPr>
  </w:style>
  <w:style w:type="paragraph" w:customStyle="1" w:styleId="407">
    <w:name w:val="标题三"/>
    <w:basedOn w:val="6"/>
    <w:link w:val="406"/>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character" w:customStyle="1" w:styleId="408">
    <w:name w:val="不用8 Char Char"/>
    <w:qFormat/>
    <w:uiPriority w:val="0"/>
    <w:rPr>
      <w:rFonts w:ascii="Microsoft Sans Serif" w:hAnsi="Microsoft Sans Serif" w:eastAsia="宋体" w:cs="Microsoft Sans Serif"/>
      <w:i/>
      <w:iCs/>
      <w:kern w:val="0"/>
      <w:sz w:val="24"/>
      <w:szCs w:val="24"/>
    </w:rPr>
  </w:style>
  <w:style w:type="character" w:customStyle="1" w:styleId="409">
    <w:name w:val="NormalTable Char"/>
    <w:link w:val="410"/>
    <w:qFormat/>
    <w:uiPriority w:val="0"/>
    <w:rPr>
      <w:rFonts w:ascii="Arial" w:hAnsi="Arial" w:eastAsia="MS Mincho"/>
      <w:lang w:val="en-AU" w:eastAsia="en-US"/>
    </w:rPr>
  </w:style>
  <w:style w:type="paragraph" w:customStyle="1" w:styleId="410">
    <w:name w:val="NormalTable"/>
    <w:basedOn w:val="1"/>
    <w:link w:val="409"/>
    <w:qFormat/>
    <w:uiPriority w:val="0"/>
    <w:pPr>
      <w:widowControl/>
      <w:jc w:val="left"/>
    </w:pPr>
    <w:rPr>
      <w:rFonts w:ascii="Arial" w:hAnsi="Arial" w:eastAsia="MS Mincho"/>
      <w:kern w:val="0"/>
      <w:sz w:val="20"/>
      <w:szCs w:val="20"/>
      <w:lang w:val="en-AU" w:eastAsia="en-US"/>
    </w:rPr>
  </w:style>
  <w:style w:type="character" w:customStyle="1" w:styleId="411">
    <w:name w:val="标题 7 Char"/>
    <w:qFormat/>
    <w:uiPriority w:val="0"/>
    <w:rPr>
      <w:b/>
      <w:bCs/>
      <w:kern w:val="2"/>
      <w:sz w:val="24"/>
      <w:szCs w:val="24"/>
    </w:rPr>
  </w:style>
  <w:style w:type="character" w:customStyle="1" w:styleId="412">
    <w:name w:val="正文（首行缩进2字符） Char"/>
    <w:link w:val="413"/>
    <w:qFormat/>
    <w:uiPriority w:val="0"/>
    <w:rPr>
      <w:sz w:val="24"/>
      <w:szCs w:val="24"/>
    </w:rPr>
  </w:style>
  <w:style w:type="paragraph" w:customStyle="1" w:styleId="413">
    <w:name w:val="正文（首行缩进2字符）"/>
    <w:basedOn w:val="1"/>
    <w:link w:val="412"/>
    <w:qFormat/>
    <w:uiPriority w:val="0"/>
    <w:pPr>
      <w:spacing w:line="360" w:lineRule="auto"/>
      <w:ind w:firstLine="200" w:firstLineChars="200"/>
    </w:pPr>
    <w:rPr>
      <w:kern w:val="0"/>
      <w:sz w:val="24"/>
    </w:rPr>
  </w:style>
  <w:style w:type="character" w:customStyle="1" w:styleId="414">
    <w:name w:val="WW8Num13z0"/>
    <w:qFormat/>
    <w:uiPriority w:val="0"/>
    <w:rPr>
      <w:rFonts w:ascii="Symbol" w:hAnsi="Symbol"/>
      <w:lang w:val="en-GB"/>
    </w:rPr>
  </w:style>
  <w:style w:type="character" w:customStyle="1" w:styleId="415">
    <w:name w:val="WW8Num19z2"/>
    <w:qFormat/>
    <w:uiPriority w:val="0"/>
    <w:rPr>
      <w:rFonts w:ascii="Wingdings" w:hAnsi="Wingdings"/>
      <w:lang w:val="en-GB"/>
    </w:rPr>
  </w:style>
  <w:style w:type="character" w:customStyle="1" w:styleId="416">
    <w:name w:val="哈哈正文 Char"/>
    <w:link w:val="417"/>
    <w:qFormat/>
    <w:uiPriority w:val="0"/>
    <w:rPr>
      <w:rFonts w:ascii="宋体" w:hAnsi="宋体" w:cs="宋体"/>
      <w:sz w:val="24"/>
    </w:rPr>
  </w:style>
  <w:style w:type="paragraph" w:customStyle="1" w:styleId="417">
    <w:name w:val="哈哈正文"/>
    <w:basedOn w:val="1"/>
    <w:link w:val="416"/>
    <w:qFormat/>
    <w:uiPriority w:val="0"/>
    <w:pPr>
      <w:spacing w:line="360" w:lineRule="auto"/>
      <w:ind w:firstLine="200" w:firstLineChars="200"/>
    </w:pPr>
    <w:rPr>
      <w:rFonts w:ascii="宋体" w:hAnsi="宋体"/>
      <w:kern w:val="0"/>
      <w:sz w:val="24"/>
      <w:szCs w:val="20"/>
    </w:rPr>
  </w:style>
  <w:style w:type="character" w:customStyle="1" w:styleId="418">
    <w:name w:val="表格 Char Char"/>
    <w:link w:val="419"/>
    <w:qFormat/>
    <w:uiPriority w:val="0"/>
    <w:rPr>
      <w:rFonts w:ascii="宋体" w:hAnsi="宋体"/>
    </w:rPr>
  </w:style>
  <w:style w:type="paragraph" w:customStyle="1" w:styleId="419">
    <w:name w:val="表格"/>
    <w:basedOn w:val="420"/>
    <w:next w:val="1"/>
    <w:link w:val="418"/>
    <w:qFormat/>
    <w:uiPriority w:val="0"/>
    <w:pPr>
      <w:snapToGrid w:val="0"/>
      <w:spacing w:line="360" w:lineRule="auto"/>
      <w:ind w:firstLine="42" w:firstLineChars="21"/>
    </w:pPr>
    <w:rPr>
      <w:szCs w:val="20"/>
    </w:rPr>
  </w:style>
  <w:style w:type="paragraph" w:customStyle="1" w:styleId="420">
    <w:name w:val="表头"/>
    <w:basedOn w:val="421"/>
    <w:qFormat/>
    <w:uiPriority w:val="0"/>
    <w:pPr>
      <w:spacing w:line="320" w:lineRule="exact"/>
      <w:ind w:firstLine="420"/>
    </w:pPr>
    <w:rPr>
      <w:rFonts w:ascii="宋体" w:hAnsi="宋体"/>
      <w:bCs/>
      <w:szCs w:val="18"/>
    </w:rPr>
  </w:style>
  <w:style w:type="paragraph" w:customStyle="1" w:styleId="421">
    <w:name w:val="无间隔1"/>
    <w:basedOn w:val="1"/>
    <w:qFormat/>
    <w:uiPriority w:val="0"/>
    <w:pPr>
      <w:widowControl/>
      <w:jc w:val="left"/>
    </w:pPr>
    <w:rPr>
      <w:rFonts w:ascii="Calibri" w:hAnsi="Calibri"/>
      <w:kern w:val="0"/>
      <w:sz w:val="20"/>
      <w:lang w:eastAsia="en-US" w:bidi="en-US"/>
    </w:rPr>
  </w:style>
  <w:style w:type="character" w:customStyle="1" w:styleId="422">
    <w:name w:val="atitle2"/>
    <w:qFormat/>
    <w:uiPriority w:val="0"/>
  </w:style>
  <w:style w:type="character" w:customStyle="1" w:styleId="423">
    <w:name w:val="User Entry"/>
    <w:qFormat/>
    <w:uiPriority w:val="0"/>
    <w:rPr>
      <w:rFonts w:ascii="Courier New" w:hAnsi="Courier New"/>
      <w:lang w:val="en-GB"/>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列出段落 Char"/>
    <w:link w:val="426"/>
    <w:qFormat/>
    <w:uiPriority w:val="34"/>
    <w:rPr>
      <w:rFonts w:eastAsia="宋体"/>
      <w:kern w:val="2"/>
      <w:sz w:val="21"/>
      <w:szCs w:val="24"/>
      <w:lang w:val="en-US" w:eastAsia="zh-CN" w:bidi="ar-SA"/>
    </w:rPr>
  </w:style>
  <w:style w:type="paragraph" w:customStyle="1" w:styleId="426">
    <w:name w:val="列出段落1"/>
    <w:basedOn w:val="1"/>
    <w:link w:val="425"/>
    <w:qFormat/>
    <w:uiPriority w:val="34"/>
    <w:pPr>
      <w:ind w:firstLine="420" w:firstLineChars="200"/>
    </w:pPr>
  </w:style>
  <w:style w:type="character" w:customStyle="1" w:styleId="427">
    <w:name w:val="正文首行缩进 Char Char Char Char Char Char"/>
    <w:qFormat/>
    <w:uiPriority w:val="0"/>
    <w:rPr>
      <w:rFonts w:ascii="宋体" w:hAnsi="宋体" w:eastAsia="宋体"/>
      <w:sz w:val="24"/>
      <w:lang w:val="en-US" w:eastAsia="zh-CN" w:bidi="ar-SA"/>
    </w:rPr>
  </w:style>
  <w:style w:type="character" w:customStyle="1" w:styleId="428">
    <w:name w:val="bold"/>
    <w:qFormat/>
    <w:uiPriority w:val="0"/>
  </w:style>
  <w:style w:type="character" w:customStyle="1" w:styleId="429">
    <w:name w:val="bds_more4"/>
    <w:qFormat/>
    <w:uiPriority w:val="0"/>
  </w:style>
  <w:style w:type="character" w:customStyle="1" w:styleId="430">
    <w:name w:val="Caption Char"/>
    <w:qFormat/>
    <w:locked/>
    <w:uiPriority w:val="0"/>
    <w:rPr>
      <w:rFonts w:ascii="Arial" w:hAnsi="Arial" w:eastAsia="黑体"/>
      <w:kern w:val="0"/>
      <w:sz w:val="20"/>
    </w:rPr>
  </w:style>
  <w:style w:type="character" w:customStyle="1" w:styleId="431">
    <w:name w:val="普通文字 Char1"/>
    <w:qFormat/>
    <w:uiPriority w:val="0"/>
    <w:rPr>
      <w:rFonts w:ascii="宋体" w:hAnsi="Courier New" w:eastAsia="宋体"/>
      <w:kern w:val="2"/>
      <w:sz w:val="21"/>
      <w:lang w:val="en-US" w:eastAsia="zh-CN"/>
    </w:rPr>
  </w:style>
  <w:style w:type="character" w:customStyle="1" w:styleId="432">
    <w:name w:val="bold2"/>
    <w:qFormat/>
    <w:uiPriority w:val="0"/>
    <w:rPr>
      <w:b/>
      <w:bCs/>
    </w:rPr>
  </w:style>
  <w:style w:type="character" w:customStyle="1" w:styleId="433">
    <w:name w:val="MOT-Text-1 Char"/>
    <w:link w:val="434"/>
    <w:qFormat/>
    <w:uiPriority w:val="0"/>
    <w:rPr>
      <w:sz w:val="22"/>
      <w:szCs w:val="24"/>
    </w:rPr>
  </w:style>
  <w:style w:type="paragraph" w:customStyle="1" w:styleId="434">
    <w:name w:val="MOT-Text-1"/>
    <w:basedOn w:val="1"/>
    <w:link w:val="433"/>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435">
    <w:name w:val="bds_more2"/>
    <w:qFormat/>
    <w:uiPriority w:val="0"/>
  </w:style>
  <w:style w:type="character" w:customStyle="1" w:styleId="436">
    <w:name w:val="morelink-item"/>
    <w:qFormat/>
    <w:uiPriority w:val="0"/>
  </w:style>
  <w:style w:type="character" w:customStyle="1" w:styleId="437">
    <w:name w:val="字元 字元19"/>
    <w:qFormat/>
    <w:locked/>
    <w:uiPriority w:val="0"/>
    <w:rPr>
      <w:rFonts w:eastAsia="Times New Roman" w:cs="Times New Roman"/>
      <w:b/>
      <w:bCs/>
      <w:sz w:val="28"/>
      <w:szCs w:val="28"/>
    </w:rPr>
  </w:style>
  <w:style w:type="character" w:customStyle="1" w:styleId="438">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439">
    <w:name w:val="正文文本 Char1"/>
    <w:qFormat/>
    <w:uiPriority w:val="0"/>
    <w:rPr>
      <w:rFonts w:eastAsia="??"/>
      <w:kern w:val="2"/>
      <w:sz w:val="24"/>
      <w:szCs w:val="28"/>
    </w:rPr>
  </w:style>
  <w:style w:type="character" w:customStyle="1" w:styleId="440">
    <w:name w:val="WW8Num22z0"/>
    <w:qFormat/>
    <w:uiPriority w:val="0"/>
    <w:rPr>
      <w:rFonts w:ascii="Symbol" w:hAnsi="Symbol"/>
      <w:lang w:val="en-GB"/>
    </w:rPr>
  </w:style>
  <w:style w:type="character" w:customStyle="1" w:styleId="441">
    <w:name w:val="‧ N character bold new"/>
    <w:qFormat/>
    <w:uiPriority w:val="0"/>
    <w:rPr>
      <w:rFonts w:ascii="Times New Roman" w:hAnsi="Times New Roman" w:cs="Tahoma"/>
      <w:b/>
      <w:sz w:val="20"/>
      <w:lang w:val="en-GB"/>
    </w:rPr>
  </w:style>
  <w:style w:type="character" w:customStyle="1" w:styleId="442">
    <w:name w:val="内容文本 Char"/>
    <w:qFormat/>
    <w:uiPriority w:val="0"/>
    <w:rPr>
      <w:rFonts w:ascii="宋体" w:hAnsi="宋体"/>
      <w:sz w:val="24"/>
      <w:szCs w:val="24"/>
      <w:lang w:eastAsia="en-US" w:bidi="en-US"/>
    </w:rPr>
  </w:style>
  <w:style w:type="character" w:customStyle="1" w:styleId="443">
    <w:name w:val="子系统 Char"/>
    <w:qFormat/>
    <w:uiPriority w:val="0"/>
    <w:rPr>
      <w:rFonts w:ascii="宋体" w:hAnsi="宋体" w:eastAsia="宋体" w:cs="Microsoft Sans Serif"/>
      <w:b/>
      <w:bCs/>
      <w:color w:val="FF0000"/>
      <w:sz w:val="28"/>
      <w:szCs w:val="28"/>
      <w:lang w:val="en-US" w:eastAsia="en-US" w:bidi="ar-SA"/>
    </w:rPr>
  </w:style>
  <w:style w:type="character" w:customStyle="1" w:styleId="444">
    <w:name w:val="15"/>
    <w:qFormat/>
    <w:uiPriority w:val="0"/>
    <w:rPr>
      <w:rFonts w:hint="default" w:ascii="Calibri" w:hAnsi="Calibri" w:cs="Calibri"/>
      <w:sz w:val="20"/>
      <w:szCs w:val="20"/>
    </w:rPr>
  </w:style>
  <w:style w:type="character" w:customStyle="1" w:styleId="445">
    <w:name w:val="Char Char7"/>
    <w:qFormat/>
    <w:uiPriority w:val="0"/>
    <w:rPr>
      <w:kern w:val="2"/>
      <w:sz w:val="18"/>
      <w:szCs w:val="18"/>
    </w:rPr>
  </w:style>
  <w:style w:type="character" w:customStyle="1" w:styleId="446">
    <w:name w:val="Vertical Numbering Symbols"/>
    <w:qFormat/>
    <w:uiPriority w:val="0"/>
    <w:rPr>
      <w:lang w:val="en-GB"/>
      <w:eastAsianLayout w:id="1" w:combine="1"/>
    </w:rPr>
  </w:style>
  <w:style w:type="character" w:customStyle="1" w:styleId="447">
    <w:name w:val="WW8Num12z1"/>
    <w:qFormat/>
    <w:uiPriority w:val="0"/>
    <w:rPr>
      <w:rFonts w:ascii="Courier New" w:hAnsi="Courier New"/>
      <w:lang w:val="en-GB"/>
    </w:rPr>
  </w:style>
  <w:style w:type="character" w:customStyle="1" w:styleId="448">
    <w:name w:val="zi_101"/>
    <w:qFormat/>
    <w:uiPriority w:val="0"/>
    <w:rPr>
      <w:rFonts w:hint="default" w:ascii="Verdana" w:hAnsi="Verdana"/>
      <w:color w:val="C90000"/>
      <w:sz w:val="18"/>
    </w:rPr>
  </w:style>
  <w:style w:type="character" w:customStyle="1" w:styleId="449">
    <w:name w:val="polysemyexp"/>
    <w:qFormat/>
    <w:uiPriority w:val="0"/>
    <w:rPr>
      <w:color w:val="AAAAAA"/>
      <w:sz w:val="18"/>
      <w:szCs w:val="18"/>
    </w:rPr>
  </w:style>
  <w:style w:type="character" w:customStyle="1" w:styleId="450">
    <w:name w:val="Normal Indent Char Char"/>
    <w:qFormat/>
    <w:uiPriority w:val="0"/>
    <w:rPr>
      <w:rFonts w:eastAsia="宋体"/>
      <w:kern w:val="2"/>
      <w:sz w:val="21"/>
      <w:lang w:val="en-US" w:eastAsia="zh-CN" w:bidi="ar-SA"/>
    </w:rPr>
  </w:style>
  <w:style w:type="character" w:customStyle="1" w:styleId="451">
    <w:name w:val="正文非缩进 Char"/>
    <w:qFormat/>
    <w:uiPriority w:val="0"/>
    <w:rPr>
      <w:rFonts w:ascii="??" w:eastAsia="??"/>
      <w:snapToGrid w:val="0"/>
      <w:color w:val="000000"/>
      <w:kern w:val="28"/>
      <w:sz w:val="28"/>
      <w:lang w:val="en-US" w:eastAsia="zh-CN" w:bidi="ar-SA"/>
    </w:rPr>
  </w:style>
  <w:style w:type="character" w:customStyle="1" w:styleId="452">
    <w:name w:val="MOT-Text-1 Char Char Char"/>
    <w:link w:val="453"/>
    <w:qFormat/>
    <w:uiPriority w:val="0"/>
    <w:rPr>
      <w:sz w:val="22"/>
      <w:szCs w:val="24"/>
    </w:rPr>
  </w:style>
  <w:style w:type="paragraph" w:customStyle="1" w:styleId="453">
    <w:name w:val="MOT-Text-1 Char Char"/>
    <w:basedOn w:val="1"/>
    <w:link w:val="452"/>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character" w:customStyle="1" w:styleId="454">
    <w:name w:val="*Bullet #1 Double Char"/>
    <w:link w:val="455"/>
    <w:qFormat/>
    <w:uiPriority w:val="0"/>
    <w:rPr>
      <w:rFonts w:ascii="Arial" w:hAnsi="Arial"/>
      <w:color w:val="000000"/>
      <w:sz w:val="21"/>
      <w:lang w:eastAsia="en-US"/>
    </w:rPr>
  </w:style>
  <w:style w:type="paragraph" w:customStyle="1" w:styleId="455">
    <w:name w:val="*Bullet #1 Double"/>
    <w:basedOn w:val="1"/>
    <w:link w:val="454"/>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character" w:customStyle="1" w:styleId="456">
    <w:name w:val="codeintext Char"/>
    <w:qFormat/>
    <w:uiPriority w:val="0"/>
    <w:rPr>
      <w:rFonts w:ascii="Courier New" w:hAnsi="Courier New"/>
      <w:sz w:val="18"/>
      <w:lang w:val="en-US" w:eastAsia="en-US" w:bidi="ar-SA"/>
    </w:rPr>
  </w:style>
  <w:style w:type="character" w:customStyle="1" w:styleId="457">
    <w:name w:val="Line numbering"/>
    <w:qFormat/>
    <w:uiPriority w:val="0"/>
    <w:rPr>
      <w:lang w:val="en-GB"/>
    </w:rPr>
  </w:style>
  <w:style w:type="character" w:customStyle="1" w:styleId="458">
    <w:name w:val="WW8Num11z1"/>
    <w:qFormat/>
    <w:uiPriority w:val="0"/>
    <w:rPr>
      <w:rFonts w:ascii="Courier New" w:hAnsi="Courier New"/>
      <w:lang w:val="en-GB"/>
    </w:rPr>
  </w:style>
  <w:style w:type="character" w:customStyle="1" w:styleId="459">
    <w:name w:val="样式 标书应答 + 首行缩进:  1 字符1 Char"/>
    <w:link w:val="460"/>
    <w:qFormat/>
    <w:uiPriority w:val="0"/>
    <w:rPr>
      <w:rFonts w:ascii="Arial" w:hAnsi="Arial"/>
      <w:b/>
      <w:bCs/>
      <w:i/>
      <w:iCs/>
      <w:sz w:val="24"/>
      <w:szCs w:val="24"/>
      <w:em w:val="dot"/>
    </w:rPr>
  </w:style>
  <w:style w:type="paragraph" w:customStyle="1" w:styleId="460">
    <w:name w:val="样式 标书应答 + 首行缩进:  1 字符1"/>
    <w:basedOn w:val="1"/>
    <w:link w:val="459"/>
    <w:qFormat/>
    <w:uiPriority w:val="0"/>
    <w:pPr>
      <w:tabs>
        <w:tab w:val="left" w:pos="390"/>
      </w:tabs>
      <w:spacing w:after="120"/>
      <w:ind w:firstLine="211" w:firstLineChars="177"/>
      <w:jc w:val="left"/>
    </w:pPr>
    <w:rPr>
      <w:rFonts w:ascii="Arial" w:hAnsi="Arial"/>
      <w:b/>
      <w:bCs/>
      <w:i/>
      <w:iCs/>
      <w:kern w:val="0"/>
      <w:sz w:val="24"/>
      <w:em w:val="dot"/>
    </w:rPr>
  </w:style>
  <w:style w:type="character" w:customStyle="1" w:styleId="461">
    <w:name w:val="字元 字元21"/>
    <w:qFormat/>
    <w:locked/>
    <w:uiPriority w:val="0"/>
    <w:rPr>
      <w:rFonts w:ascii="Cambria" w:hAnsi="Cambria" w:eastAsia="Times New Roman" w:cs="Times New Roman"/>
      <w:b/>
      <w:bCs/>
      <w:color w:val="4F81BD"/>
      <w:sz w:val="26"/>
      <w:szCs w:val="26"/>
    </w:rPr>
  </w:style>
  <w:style w:type="character" w:customStyle="1" w:styleId="462">
    <w:name w:val="列表框2 Char"/>
    <w:qFormat/>
    <w:uiPriority w:val="0"/>
    <w:rPr>
      <w:rFonts w:ascii="楷体_GB2312" w:hAnsi="宋体" w:cs="宋体"/>
      <w:color w:val="000000"/>
      <w:spacing w:val="10"/>
      <w:sz w:val="24"/>
      <w:szCs w:val="24"/>
    </w:rPr>
  </w:style>
  <w:style w:type="character" w:customStyle="1" w:styleId="463">
    <w:name w:val="sidecatalog-dot"/>
    <w:qFormat/>
    <w:uiPriority w:val="0"/>
  </w:style>
  <w:style w:type="character" w:customStyle="1" w:styleId="464">
    <w:name w:val="op_dq01_title"/>
    <w:qFormat/>
    <w:uiPriority w:val="0"/>
  </w:style>
  <w:style w:type="character" w:customStyle="1" w:styleId="465">
    <w:name w:val="*Bullet #1 Single Char"/>
    <w:link w:val="466"/>
    <w:qFormat/>
    <w:uiPriority w:val="0"/>
    <w:rPr>
      <w:rFonts w:ascii="Arial" w:hAnsi="Arial"/>
      <w:color w:val="000000"/>
      <w:lang w:eastAsia="en-US"/>
    </w:rPr>
  </w:style>
  <w:style w:type="paragraph" w:customStyle="1" w:styleId="466">
    <w:name w:val="*Bullet #1 Single"/>
    <w:basedOn w:val="295"/>
    <w:link w:val="465"/>
    <w:qFormat/>
    <w:uiPriority w:val="0"/>
    <w:pPr>
      <w:tabs>
        <w:tab w:val="left" w:pos="1080"/>
      </w:tabs>
      <w:ind w:left="950" w:hanging="230"/>
    </w:pPr>
    <w:rPr>
      <w:rFonts w:ascii="Arial" w:hAnsi="Arial"/>
      <w:color w:val="000000"/>
      <w:sz w:val="20"/>
    </w:rPr>
  </w:style>
  <w:style w:type="character" w:customStyle="1" w:styleId="467">
    <w:name w:val="样式1 Char Char Char"/>
    <w:qFormat/>
    <w:uiPriority w:val="0"/>
    <w:rPr>
      <w:rFonts w:ascii="Arial" w:hAnsi="Arial" w:eastAsia="宋体"/>
      <w:kern w:val="2"/>
      <w:sz w:val="21"/>
      <w:szCs w:val="24"/>
      <w:lang w:val="en-US" w:eastAsia="zh-CN" w:bidi="ar-SA"/>
    </w:rPr>
  </w:style>
  <w:style w:type="character" w:customStyle="1" w:styleId="468">
    <w:name w:val="text_edit1"/>
    <w:qFormat/>
    <w:uiPriority w:val="0"/>
    <w:rPr>
      <w:color w:val="3366CC"/>
      <w:sz w:val="18"/>
      <w:szCs w:val="18"/>
    </w:rPr>
  </w:style>
  <w:style w:type="character" w:customStyle="1" w:styleId="469">
    <w:name w:val="字元 字元17"/>
    <w:qFormat/>
    <w:locked/>
    <w:uiPriority w:val="0"/>
    <w:rPr>
      <w:rFonts w:ascii="Times New Roman" w:hAnsi="Times New Roman" w:eastAsia="Times New Roman" w:cs="Times New Roman"/>
      <w:b/>
      <w:sz w:val="24"/>
      <w:lang w:val="en-GB"/>
    </w:rPr>
  </w:style>
  <w:style w:type="character" w:customStyle="1" w:styleId="470">
    <w:name w:val="fonts11"/>
    <w:qFormat/>
    <w:uiPriority w:val="0"/>
    <w:rPr>
      <w:sz w:val="18"/>
      <w:szCs w:val="18"/>
    </w:rPr>
  </w:style>
  <w:style w:type="character" w:customStyle="1" w:styleId="471">
    <w:name w:val="注释标题 Char2"/>
    <w:qFormat/>
    <w:uiPriority w:val="0"/>
    <w:rPr>
      <w:kern w:val="2"/>
      <w:sz w:val="21"/>
      <w:szCs w:val="24"/>
    </w:rPr>
  </w:style>
  <w:style w:type="character" w:customStyle="1" w:styleId="472">
    <w:name w:val="WW8Num14z0"/>
    <w:qFormat/>
    <w:uiPriority w:val="0"/>
    <w:rPr>
      <w:rFonts w:ascii="Symbol" w:hAnsi="Symbol"/>
      <w:lang w:val="en-GB"/>
    </w:rPr>
  </w:style>
  <w:style w:type="character" w:customStyle="1" w:styleId="473">
    <w:name w:val="Bullet Symbols"/>
    <w:qFormat/>
    <w:uiPriority w:val="0"/>
    <w:rPr>
      <w:rFonts w:ascii="Times New Roman" w:hAnsi="Times New Roman"/>
      <w:sz w:val="18"/>
      <w:lang w:val="en-GB"/>
    </w:rPr>
  </w:style>
  <w:style w:type="character" w:customStyle="1" w:styleId="474">
    <w:name w:val="副标题 Char1"/>
    <w:qFormat/>
    <w:uiPriority w:val="11"/>
    <w:rPr>
      <w:rFonts w:ascii="Cambria" w:hAnsi="Cambria" w:cs="Times New Roman"/>
      <w:b/>
      <w:bCs/>
      <w:kern w:val="28"/>
      <w:sz w:val="32"/>
      <w:szCs w:val="32"/>
    </w:rPr>
  </w:style>
  <w:style w:type="character" w:customStyle="1" w:styleId="475">
    <w:name w:val="txt"/>
    <w:qFormat/>
    <w:uiPriority w:val="0"/>
  </w:style>
  <w:style w:type="character" w:customStyle="1" w:styleId="476">
    <w:name w:val="标题 Char"/>
    <w:qFormat/>
    <w:uiPriority w:val="0"/>
    <w:rPr>
      <w:rFonts w:ascii="Arial" w:hAnsi="Arial" w:cs="Arial"/>
      <w:b/>
      <w:bCs/>
      <w:kern w:val="1"/>
      <w:sz w:val="32"/>
      <w:szCs w:val="32"/>
      <w:lang w:eastAsia="ar-SA"/>
    </w:rPr>
  </w:style>
  <w:style w:type="character" w:customStyle="1" w:styleId="477">
    <w:name w:val="正常文本 Char Char"/>
    <w:link w:val="478"/>
    <w:qFormat/>
    <w:uiPriority w:val="0"/>
    <w:rPr>
      <w:rFonts w:ascii="Arial" w:hAnsi="Arial" w:cs="宋体"/>
      <w:spacing w:val="10"/>
      <w:sz w:val="24"/>
    </w:rPr>
  </w:style>
  <w:style w:type="paragraph" w:customStyle="1" w:styleId="478">
    <w:name w:val="正常文本"/>
    <w:basedOn w:val="1"/>
    <w:link w:val="477"/>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character" w:customStyle="1" w:styleId="479">
    <w:name w:val="bds_nopic2"/>
    <w:qFormat/>
    <w:uiPriority w:val="0"/>
  </w:style>
  <w:style w:type="character" w:customStyle="1" w:styleId="480">
    <w:name w:val="应答文本 Char Char"/>
    <w:link w:val="481"/>
    <w:qFormat/>
    <w:uiPriority w:val="0"/>
    <w:rPr>
      <w:rFonts w:hAnsi="宋体"/>
      <w:spacing w:val="10"/>
      <w:szCs w:val="21"/>
    </w:rPr>
  </w:style>
  <w:style w:type="paragraph" w:customStyle="1" w:styleId="481">
    <w:name w:val="应答文本"/>
    <w:basedOn w:val="1"/>
    <w:link w:val="480"/>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character" w:customStyle="1" w:styleId="482">
    <w:name w:val="样式 标题 + 二号 Char"/>
    <w:link w:val="483"/>
    <w:qFormat/>
    <w:uiPriority w:val="0"/>
    <w:rPr>
      <w:b/>
      <w:color w:val="000000"/>
      <w:kern w:val="44"/>
      <w:sz w:val="44"/>
      <w:szCs w:val="24"/>
    </w:rPr>
  </w:style>
  <w:style w:type="paragraph" w:customStyle="1" w:styleId="483">
    <w:name w:val="样式 标题 + 二号"/>
    <w:basedOn w:val="4"/>
    <w:next w:val="5"/>
    <w:link w:val="482"/>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character" w:customStyle="1" w:styleId="484">
    <w:name w:val="书籍标题1"/>
    <w:qFormat/>
    <w:uiPriority w:val="33"/>
    <w:rPr>
      <w:b/>
      <w:bCs/>
      <w:smallCaps/>
      <w:spacing w:val="5"/>
    </w:rPr>
  </w:style>
  <w:style w:type="character" w:customStyle="1" w:styleId="485">
    <w:name w:val="style7"/>
    <w:qFormat/>
    <w:uiPriority w:val="0"/>
  </w:style>
  <w:style w:type="character" w:customStyle="1" w:styleId="486">
    <w:name w:val="WW8Num6z0"/>
    <w:qFormat/>
    <w:uiPriority w:val="0"/>
    <w:rPr>
      <w:rFonts w:ascii="Symbol" w:hAnsi="Symbol"/>
      <w:lang w:val="en-GB"/>
    </w:rPr>
  </w:style>
  <w:style w:type="character" w:customStyle="1" w:styleId="487">
    <w:name w:val="页眉 Char1"/>
    <w:qFormat/>
    <w:uiPriority w:val="99"/>
    <w:rPr>
      <w:rFonts w:ascii="Times New Roman" w:hAnsi="Times New Roman" w:eastAsia="宋体" w:cs="Times New Roman"/>
      <w:sz w:val="18"/>
      <w:szCs w:val="18"/>
    </w:rPr>
  </w:style>
  <w:style w:type="character" w:customStyle="1" w:styleId="488">
    <w:name w:val="正文1 Char"/>
    <w:link w:val="489"/>
    <w:qFormat/>
    <w:uiPriority w:val="0"/>
    <w:rPr>
      <w:rFonts w:ascii="Book Antiqua" w:hAnsi="Book Antiqua"/>
      <w:sz w:val="24"/>
      <w:szCs w:val="24"/>
    </w:rPr>
  </w:style>
  <w:style w:type="paragraph" w:customStyle="1" w:styleId="489">
    <w:name w:val="正文1"/>
    <w:basedOn w:val="1"/>
    <w:link w:val="488"/>
    <w:qFormat/>
    <w:uiPriority w:val="0"/>
    <w:pPr>
      <w:widowControl/>
      <w:spacing w:before="120" w:after="120" w:line="360" w:lineRule="auto"/>
      <w:ind w:firstLine="500"/>
    </w:pPr>
    <w:rPr>
      <w:rFonts w:ascii="Book Antiqua" w:hAnsi="Book Antiqua"/>
      <w:kern w:val="0"/>
      <w:sz w:val="24"/>
    </w:rPr>
  </w:style>
  <w:style w:type="character" w:customStyle="1" w:styleId="490">
    <w:name w:val="WW8Num13z2"/>
    <w:qFormat/>
    <w:uiPriority w:val="0"/>
    <w:rPr>
      <w:rFonts w:ascii="Wingdings" w:hAnsi="Wingdings"/>
      <w:lang w:val="en-GB"/>
    </w:rPr>
  </w:style>
  <w:style w:type="character" w:customStyle="1" w:styleId="491">
    <w:name w:val="font91"/>
    <w:qFormat/>
    <w:uiPriority w:val="0"/>
    <w:rPr>
      <w:rFonts w:hint="eastAsia" w:ascii="宋体" w:hAnsi="宋体" w:eastAsia="宋体" w:cs="宋体"/>
      <w:color w:val="FF0000"/>
      <w:sz w:val="20"/>
      <w:szCs w:val="20"/>
      <w:u w:val="none"/>
    </w:rPr>
  </w:style>
  <w:style w:type="character" w:customStyle="1" w:styleId="492">
    <w:name w:val="‧ N command line new"/>
    <w:qFormat/>
    <w:uiPriority w:val="0"/>
    <w:rPr>
      <w:rFonts w:ascii="Times New Roman" w:hAnsi="Times New Roman" w:cs="Tahoma"/>
      <w:sz w:val="20"/>
      <w:lang w:val="en-GB"/>
    </w:rPr>
  </w:style>
  <w:style w:type="character" w:customStyle="1" w:styleId="493">
    <w:name w:val="WW8Num21z1"/>
    <w:qFormat/>
    <w:uiPriority w:val="0"/>
    <w:rPr>
      <w:rFonts w:ascii="Courier New" w:hAnsi="Courier New"/>
      <w:lang w:val="en-GB"/>
    </w:rPr>
  </w:style>
  <w:style w:type="character" w:customStyle="1" w:styleId="494">
    <w:name w:val="WW8Num18z0"/>
    <w:qFormat/>
    <w:uiPriority w:val="0"/>
    <w:rPr>
      <w:rFonts w:ascii="Symbol" w:hAnsi="Symbol"/>
      <w:lang w:val="en-GB"/>
    </w:rPr>
  </w:style>
  <w:style w:type="character" w:customStyle="1" w:styleId="495">
    <w:name w:val="不明显强调1"/>
    <w:qFormat/>
    <w:uiPriority w:val="19"/>
    <w:rPr>
      <w:i/>
      <w:color w:val="5A5A5A"/>
    </w:rPr>
  </w:style>
  <w:style w:type="paragraph" w:customStyle="1" w:styleId="496">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497">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498">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99">
    <w:name w:val="*Info Text"/>
    <w:qFormat/>
    <w:uiPriority w:val="0"/>
    <w:rPr>
      <w:rFonts w:ascii="Arial" w:hAnsi="Arial" w:eastAsia="宋体" w:cs="Times New Roman"/>
      <w:sz w:val="18"/>
      <w:lang w:val="en-US" w:eastAsia="en-US" w:bidi="ar-SA"/>
    </w:rPr>
  </w:style>
  <w:style w:type="paragraph" w:customStyle="1" w:styleId="500">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01">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2">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03">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504">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05">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6">
    <w:name w:val="~Manual # Heading 4"/>
    <w:next w:val="507"/>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7">
    <w:name w:val="~Body Text"/>
    <w:basedOn w:val="295"/>
    <w:qFormat/>
    <w:uiPriority w:val="0"/>
    <w:pPr>
      <w:spacing w:after="220" w:line="220" w:lineRule="atLeast"/>
    </w:pPr>
    <w:rPr>
      <w:color w:val="00637A"/>
    </w:rPr>
  </w:style>
  <w:style w:type="paragraph" w:customStyle="1" w:styleId="508">
    <w:name w:val="‧ N table-10 body center"/>
    <w:basedOn w:val="509"/>
    <w:qFormat/>
    <w:uiPriority w:val="0"/>
  </w:style>
  <w:style w:type="paragraph" w:customStyle="1" w:styleId="509">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510">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511">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512">
    <w:name w:val="~Heading 3"/>
    <w:next w:val="507"/>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513">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514">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5">
    <w:name w:val="‧ N cover small text box"/>
    <w:basedOn w:val="509"/>
    <w:qFormat/>
    <w:uiPriority w:val="0"/>
  </w:style>
  <w:style w:type="paragraph" w:customStyle="1" w:styleId="516">
    <w:name w:val="Table"/>
    <w:basedOn w:val="24"/>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517">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8">
    <w:name w:val="章节项目"/>
    <w:basedOn w:val="489"/>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19">
    <w:name w:val="*List Numbers (Auto)"/>
    <w:basedOn w:val="295"/>
    <w:qFormat/>
    <w:uiPriority w:val="0"/>
    <w:pPr>
      <w:tabs>
        <w:tab w:val="left" w:pos="1620"/>
      </w:tabs>
      <w:ind w:left="1620" w:hanging="420"/>
    </w:pPr>
    <w:rPr>
      <w:sz w:val="20"/>
    </w:rPr>
  </w:style>
  <w:style w:type="paragraph" w:customStyle="1" w:styleId="520">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1">
    <w:name w:val="样式 标题 4 + 宋体 五号"/>
    <w:basedOn w:val="7"/>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522">
    <w:name w:val="~Bullet #2 Subtext"/>
    <w:basedOn w:val="523"/>
    <w:qFormat/>
    <w:uiPriority w:val="0"/>
    <w:pPr>
      <w:tabs>
        <w:tab w:val="left" w:pos="360"/>
        <w:tab w:val="left" w:pos="425"/>
        <w:tab w:val="left" w:pos="840"/>
        <w:tab w:val="left" w:pos="900"/>
        <w:tab w:val="left" w:pos="1080"/>
        <w:tab w:val="left" w:pos="1800"/>
      </w:tabs>
      <w:ind w:left="720"/>
    </w:pPr>
  </w:style>
  <w:style w:type="paragraph" w:customStyle="1" w:styleId="523">
    <w:name w:val="~Bullet #2 Single"/>
    <w:basedOn w:val="524"/>
    <w:qFormat/>
    <w:uiPriority w:val="0"/>
    <w:pPr>
      <w:tabs>
        <w:tab w:val="left" w:pos="360"/>
        <w:tab w:val="left" w:pos="840"/>
        <w:tab w:val="left" w:pos="900"/>
        <w:tab w:val="left" w:pos="1080"/>
        <w:tab w:val="left" w:pos="1800"/>
      </w:tabs>
      <w:ind w:left="0" w:firstLine="0"/>
    </w:pPr>
    <w:rPr>
      <w:color w:val="00637A"/>
    </w:rPr>
  </w:style>
  <w:style w:type="paragraph" w:customStyle="1" w:styleId="524">
    <w:name w:val="*Bullet #2 Single"/>
    <w:basedOn w:val="466"/>
    <w:qFormat/>
    <w:uiPriority w:val="0"/>
    <w:pPr>
      <w:tabs>
        <w:tab w:val="left" w:pos="360"/>
        <w:tab w:val="left" w:pos="840"/>
        <w:tab w:val="left" w:pos="900"/>
      </w:tabs>
      <w:ind w:left="840" w:hanging="420"/>
    </w:pPr>
  </w:style>
  <w:style w:type="paragraph" w:customStyle="1" w:styleId="525">
    <w:name w:val="文件编号"/>
    <w:basedOn w:val="526"/>
    <w:qFormat/>
    <w:uiPriority w:val="0"/>
    <w:pPr>
      <w:tabs>
        <w:tab w:val="left" w:pos="0"/>
        <w:tab w:val="left" w:pos="390"/>
      </w:tabs>
    </w:pPr>
    <w:rPr>
      <w:rFonts w:hAnsi="Batang"/>
      <w:u w:val="none"/>
    </w:rPr>
  </w:style>
  <w:style w:type="paragraph" w:customStyle="1" w:styleId="526">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527">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28">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9">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30">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532">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533">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34">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35">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536">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537">
    <w:name w:val="SANGFOR_3_标题3"/>
    <w:basedOn w:val="6"/>
    <w:next w:val="237"/>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538">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9">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40">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541">
    <w:name w:val="*Alt Numbers Bold"/>
    <w:basedOn w:val="542"/>
    <w:qFormat/>
    <w:uiPriority w:val="0"/>
    <w:pPr>
      <w:tabs>
        <w:tab w:val="left" w:pos="360"/>
        <w:tab w:val="left" w:pos="1440"/>
        <w:tab w:val="left" w:pos="1620"/>
      </w:tabs>
      <w:ind w:left="1440" w:hanging="1440"/>
    </w:pPr>
  </w:style>
  <w:style w:type="paragraph" w:customStyle="1" w:styleId="542">
    <w:name w:val="*Numbers Bold"/>
    <w:basedOn w:val="543"/>
    <w:qFormat/>
    <w:uiPriority w:val="0"/>
    <w:pPr>
      <w:tabs>
        <w:tab w:val="left" w:pos="360"/>
        <w:tab w:val="left" w:pos="1620"/>
      </w:tabs>
    </w:pPr>
    <w:rPr>
      <w:b/>
    </w:rPr>
  </w:style>
  <w:style w:type="paragraph" w:customStyle="1" w:styleId="543">
    <w:name w:val="*Numbers"/>
    <w:basedOn w:val="519"/>
    <w:qFormat/>
    <w:uiPriority w:val="0"/>
    <w:pPr>
      <w:tabs>
        <w:tab w:val="left" w:pos="360"/>
      </w:tabs>
      <w:ind w:left="360" w:hanging="360"/>
    </w:pPr>
  </w:style>
  <w:style w:type="paragraph" w:customStyle="1" w:styleId="544">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545">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46">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47">
    <w:name w:val="Heading 11"/>
    <w:basedOn w:val="211"/>
    <w:next w:val="211"/>
    <w:qFormat/>
    <w:uiPriority w:val="0"/>
    <w:pPr>
      <w:spacing w:after="240"/>
    </w:pPr>
    <w:rPr>
      <w:rFonts w:ascii="Futura-Book" w:hAnsi="Futura-Book" w:eastAsia="宋体" w:cs="Times New Roman"/>
      <w:color w:val="auto"/>
    </w:rPr>
  </w:style>
  <w:style w:type="paragraph" w:customStyle="1" w:styleId="548">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549">
    <w:name w:val="样式 正文缩进 + 首行缩进:  2 字符"/>
    <w:basedOn w:val="23"/>
    <w:qFormat/>
    <w:uiPriority w:val="0"/>
    <w:pPr>
      <w:spacing w:line="360" w:lineRule="auto"/>
      <w:ind w:firstLine="200"/>
    </w:pPr>
    <w:rPr>
      <w:rFonts w:cs="宋体"/>
      <w:kern w:val="0"/>
      <w:sz w:val="24"/>
      <w:szCs w:val="20"/>
    </w:rPr>
  </w:style>
  <w:style w:type="paragraph" w:customStyle="1" w:styleId="550">
    <w:name w:val="*Bullet #1 Subtext Double"/>
    <w:basedOn w:val="551"/>
    <w:qFormat/>
    <w:uiPriority w:val="0"/>
    <w:pPr>
      <w:tabs>
        <w:tab w:val="left" w:pos="425"/>
        <w:tab w:val="left" w:pos="900"/>
      </w:tabs>
      <w:spacing w:after="220"/>
    </w:pPr>
  </w:style>
  <w:style w:type="paragraph" w:customStyle="1" w:styleId="551">
    <w:name w:val="*Bullet #1 Subtext Single"/>
    <w:basedOn w:val="455"/>
    <w:qFormat/>
    <w:uiPriority w:val="0"/>
    <w:pPr>
      <w:spacing w:after="0"/>
      <w:ind w:firstLine="0"/>
    </w:pPr>
  </w:style>
  <w:style w:type="paragraph" w:customStyle="1" w:styleId="552">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553">
    <w:name w:val="Char Char Char1 Char Char Char1 Char"/>
    <w:basedOn w:val="28"/>
    <w:qFormat/>
    <w:uiPriority w:val="0"/>
    <w:pPr>
      <w:jc w:val="center"/>
    </w:pPr>
    <w:rPr>
      <w:rFonts w:ascii="Verdana" w:hAnsi="Verdana"/>
      <w:kern w:val="0"/>
      <w:sz w:val="20"/>
      <w:szCs w:val="20"/>
      <w:lang w:eastAsia="en-US"/>
    </w:rPr>
  </w:style>
  <w:style w:type="paragraph" w:customStyle="1" w:styleId="554">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55">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556">
    <w:name w:val="标题22"/>
    <w:basedOn w:val="6"/>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557">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58">
    <w:name w:val="Char Char1 Char Char Char Char1 Char Char Char Char Char"/>
    <w:basedOn w:val="1"/>
    <w:qFormat/>
    <w:uiPriority w:val="0"/>
    <w:pPr>
      <w:spacing w:line="360" w:lineRule="auto"/>
    </w:pPr>
    <w:rPr>
      <w:rFonts w:ascii="宋体" w:hAnsi="宋体"/>
      <w:szCs w:val="20"/>
    </w:rPr>
  </w:style>
  <w:style w:type="paragraph" w:customStyle="1" w:styleId="559">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60">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61">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562">
    <w:name w:val="标准正文11"/>
    <w:basedOn w:val="1"/>
    <w:qFormat/>
    <w:uiPriority w:val="0"/>
    <w:pPr>
      <w:spacing w:line="360" w:lineRule="auto"/>
      <w:ind w:firstLine="480" w:firstLineChars="200"/>
    </w:pPr>
    <w:rPr>
      <w:rFonts w:ascii="宋体" w:hAnsi="宋体"/>
      <w:sz w:val="24"/>
    </w:rPr>
  </w:style>
  <w:style w:type="paragraph" w:customStyle="1" w:styleId="563">
    <w:name w:val="Numbering 5 Cont."/>
    <w:basedOn w:val="62"/>
    <w:qFormat/>
    <w:uiPriority w:val="0"/>
    <w:pPr>
      <w:widowControl/>
      <w:ind w:left="1417" w:firstLine="0" w:firstLineChars="0"/>
      <w:jc w:val="left"/>
    </w:pPr>
    <w:rPr>
      <w:rFonts w:eastAsia="PMingLiU"/>
      <w:kern w:val="0"/>
      <w:sz w:val="20"/>
      <w:szCs w:val="20"/>
      <w:lang w:eastAsia="zh-TW"/>
    </w:rPr>
  </w:style>
  <w:style w:type="paragraph" w:customStyle="1" w:styleId="564">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565">
    <w:name w:val="*SOW 2"/>
    <w:basedOn w:val="566"/>
    <w:next w:val="295"/>
    <w:qFormat/>
    <w:uiPriority w:val="0"/>
    <w:pPr>
      <w:tabs>
        <w:tab w:val="left" w:pos="1440"/>
      </w:tabs>
      <w:outlineLvl w:val="2"/>
    </w:pPr>
  </w:style>
  <w:style w:type="paragraph" w:customStyle="1" w:styleId="566">
    <w:name w:val="*SOW 1"/>
    <w:next w:val="295"/>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567">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8">
    <w:name w:val="‧ N bullet"/>
    <w:basedOn w:val="509"/>
    <w:qFormat/>
    <w:uiPriority w:val="0"/>
  </w:style>
  <w:style w:type="paragraph" w:customStyle="1" w:styleId="569">
    <w:name w:val="样式 目录标题 + 首行缩进:  1.2 厘米"/>
    <w:basedOn w:val="570"/>
    <w:qFormat/>
    <w:uiPriority w:val="0"/>
    <w:pPr>
      <w:tabs>
        <w:tab w:val="left" w:pos="0"/>
        <w:tab w:val="left" w:pos="390"/>
        <w:tab w:val="left" w:pos="540"/>
      </w:tabs>
      <w:spacing w:afterLines="0"/>
    </w:pPr>
    <w:rPr>
      <w:rFonts w:cs="宋体"/>
      <w:bCs/>
      <w:szCs w:val="20"/>
    </w:rPr>
  </w:style>
  <w:style w:type="paragraph" w:customStyle="1" w:styleId="570">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571">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572">
    <w:name w:val="*Table Heading 1"/>
    <w:basedOn w:val="573"/>
    <w:qFormat/>
    <w:uiPriority w:val="0"/>
    <w:pPr>
      <w:shd w:val="clear" w:color="auto" w:fill="007D9A"/>
      <w:jc w:val="center"/>
    </w:pPr>
    <w:rPr>
      <w:b/>
      <w:color w:val="FFFFFF"/>
      <w:sz w:val="20"/>
      <w:szCs w:val="20"/>
    </w:rPr>
  </w:style>
  <w:style w:type="paragraph" w:customStyle="1" w:styleId="573">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574">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575">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576">
    <w:name w:val="书名"/>
    <w:basedOn w:val="570"/>
    <w:qFormat/>
    <w:uiPriority w:val="0"/>
    <w:rPr>
      <w:sz w:val="44"/>
    </w:rPr>
  </w:style>
  <w:style w:type="paragraph" w:customStyle="1" w:styleId="577">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8">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579">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80">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581">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82">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583">
    <w:name w:val="User Index 3"/>
    <w:basedOn w:val="47"/>
    <w:qFormat/>
    <w:uiPriority w:val="0"/>
    <w:pPr>
      <w:tabs>
        <w:tab w:val="right" w:leader="dot" w:pos="9746"/>
      </w:tabs>
      <w:ind w:left="566"/>
    </w:pPr>
  </w:style>
  <w:style w:type="paragraph" w:customStyle="1" w:styleId="584">
    <w:name w:val="样式6"/>
    <w:basedOn w:val="7"/>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585">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586">
    <w:name w:val="*Manual # Heading 4"/>
    <w:next w:val="295"/>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587">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588">
    <w:name w:val="2222"/>
    <w:basedOn w:val="5"/>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589">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0">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1">
    <w:name w:val="~Heading 1"/>
    <w:next w:val="507"/>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592">
    <w:name w:val="Heading 10"/>
    <w:basedOn w:val="18"/>
    <w:next w:val="19"/>
    <w:qFormat/>
    <w:uiPriority w:val="0"/>
  </w:style>
  <w:style w:type="paragraph" w:customStyle="1" w:styleId="593">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94">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595">
    <w:name w:val="TOC 标题2"/>
    <w:basedOn w:val="4"/>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596">
    <w:name w:val="‧ N head 4"/>
    <w:basedOn w:val="509"/>
    <w:next w:val="597"/>
    <w:qFormat/>
    <w:uiPriority w:val="0"/>
  </w:style>
  <w:style w:type="paragraph" w:customStyle="1" w:styleId="597">
    <w:name w:val="‧ N body indented"/>
    <w:basedOn w:val="509"/>
    <w:qFormat/>
    <w:uiPriority w:val="0"/>
  </w:style>
  <w:style w:type="paragraph" w:customStyle="1" w:styleId="598">
    <w:name w:val="章标题HZ"/>
    <w:basedOn w:val="4"/>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599">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600">
    <w:name w:val="‧ N head 1"/>
    <w:basedOn w:val="509"/>
    <w:next w:val="497"/>
    <w:qFormat/>
    <w:uiPriority w:val="0"/>
  </w:style>
  <w:style w:type="paragraph" w:customStyle="1" w:styleId="601">
    <w:name w:val="Numbering 1 Start"/>
    <w:basedOn w:val="62"/>
    <w:qFormat/>
    <w:uiPriority w:val="0"/>
    <w:pPr>
      <w:widowControl/>
      <w:spacing w:before="240"/>
      <w:ind w:left="0" w:firstLine="0" w:firstLineChars="0"/>
      <w:jc w:val="left"/>
    </w:pPr>
    <w:rPr>
      <w:rFonts w:eastAsia="PMingLiU"/>
      <w:kern w:val="0"/>
      <w:sz w:val="20"/>
      <w:szCs w:val="20"/>
      <w:lang w:eastAsia="zh-TW"/>
    </w:rPr>
  </w:style>
  <w:style w:type="paragraph" w:customStyle="1" w:styleId="602">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603">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0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605">
    <w:name w:val="‧ N head 5"/>
    <w:basedOn w:val="509"/>
    <w:next w:val="597"/>
    <w:qFormat/>
    <w:uiPriority w:val="0"/>
  </w:style>
  <w:style w:type="paragraph" w:customStyle="1" w:styleId="606">
    <w:name w:val="Horizontal Line"/>
    <w:basedOn w:val="1"/>
    <w:next w:val="19"/>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607">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608">
    <w:name w:val="‧ N bullet 2 last"/>
    <w:basedOn w:val="509"/>
    <w:next w:val="497"/>
    <w:qFormat/>
    <w:uiPriority w:val="0"/>
  </w:style>
  <w:style w:type="paragraph" w:customStyle="1" w:styleId="609">
    <w:name w:val="User Index 7"/>
    <w:basedOn w:val="47"/>
    <w:qFormat/>
    <w:uiPriority w:val="0"/>
    <w:pPr>
      <w:tabs>
        <w:tab w:val="right" w:leader="dot" w:pos="9746"/>
      </w:tabs>
      <w:ind w:left="1698"/>
    </w:pPr>
  </w:style>
  <w:style w:type="paragraph" w:customStyle="1" w:styleId="610">
    <w:name w:val="*Notice Heading"/>
    <w:basedOn w:val="611"/>
    <w:next w:val="612"/>
    <w:qFormat/>
    <w:uiPriority w:val="0"/>
    <w:pPr>
      <w:spacing w:after="240" w:line="240" w:lineRule="auto"/>
      <w:outlineLvl w:val="0"/>
    </w:pPr>
    <w:rPr>
      <w:b w:val="0"/>
      <w:color w:val="00637A"/>
      <w:szCs w:val="36"/>
    </w:rPr>
  </w:style>
  <w:style w:type="paragraph" w:customStyle="1" w:styleId="611">
    <w:name w:val="*Heading 1"/>
    <w:basedOn w:val="295"/>
    <w:next w:val="295"/>
    <w:qFormat/>
    <w:uiPriority w:val="0"/>
    <w:pPr>
      <w:keepNext/>
      <w:keepLines/>
      <w:spacing w:before="240" w:after="120"/>
      <w:outlineLvl w:val="1"/>
    </w:pPr>
    <w:rPr>
      <w:rFonts w:ascii="Verdana" w:hAnsi="Verdana"/>
      <w:b/>
      <w:sz w:val="36"/>
      <w:szCs w:val="32"/>
    </w:rPr>
  </w:style>
  <w:style w:type="paragraph" w:customStyle="1" w:styleId="612">
    <w:name w:val="*Confidentiality Notice"/>
    <w:basedOn w:val="295"/>
    <w:qFormat/>
    <w:uiPriority w:val="0"/>
    <w:pPr>
      <w:spacing w:after="200" w:line="220" w:lineRule="atLeast"/>
    </w:pPr>
    <w:rPr>
      <w:sz w:val="18"/>
    </w:rPr>
  </w:style>
  <w:style w:type="paragraph" w:customStyle="1" w:styleId="613">
    <w:name w:val="技标2"/>
    <w:basedOn w:val="6"/>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14">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615">
    <w:name w:val="*Table Text 2"/>
    <w:basedOn w:val="573"/>
    <w:qFormat/>
    <w:uiPriority w:val="0"/>
    <w:pPr>
      <w:spacing w:line="220" w:lineRule="atLeast"/>
    </w:pPr>
    <w:rPr>
      <w:color w:val="000000"/>
      <w:sz w:val="20"/>
      <w:szCs w:val="20"/>
    </w:rPr>
  </w:style>
  <w:style w:type="paragraph" w:customStyle="1" w:styleId="616">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617">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8">
    <w:name w:val="Illustration Index 1"/>
    <w:basedOn w:val="47"/>
    <w:qFormat/>
    <w:uiPriority w:val="0"/>
    <w:pPr>
      <w:tabs>
        <w:tab w:val="right" w:leader="dot" w:pos="9746"/>
      </w:tabs>
    </w:pPr>
  </w:style>
  <w:style w:type="paragraph" w:customStyle="1" w:styleId="619">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620">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21">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622">
    <w:name w:val="SOW正文"/>
    <w:basedOn w:val="1"/>
    <w:qFormat/>
    <w:uiPriority w:val="0"/>
    <w:pPr>
      <w:snapToGrid w:val="0"/>
      <w:spacing w:before="120" w:line="400" w:lineRule="exact"/>
      <w:ind w:firstLine="425"/>
    </w:pPr>
    <w:rPr>
      <w:rFonts w:ascii="Arial" w:hAnsi="Arial"/>
      <w:sz w:val="24"/>
      <w:szCs w:val="20"/>
    </w:rPr>
  </w:style>
  <w:style w:type="paragraph" w:customStyle="1" w:styleId="623">
    <w:name w:val="Char Char Char Char"/>
    <w:basedOn w:val="1"/>
    <w:qFormat/>
    <w:uiPriority w:val="0"/>
  </w:style>
  <w:style w:type="paragraph" w:customStyle="1" w:styleId="624">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25">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26">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27">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28">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629">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0">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631">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2">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33">
    <w:name w:val="~Number"/>
    <w:basedOn w:val="507"/>
    <w:qFormat/>
    <w:uiPriority w:val="0"/>
    <w:pPr>
      <w:tabs>
        <w:tab w:val="left" w:pos="360"/>
      </w:tabs>
      <w:spacing w:after="0"/>
      <w:ind w:left="360" w:hanging="360"/>
    </w:pPr>
  </w:style>
  <w:style w:type="paragraph" w:customStyle="1" w:styleId="634">
    <w:name w:val="List Indent"/>
    <w:basedOn w:val="19"/>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635">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36">
    <w:name w:val="Frame contents"/>
    <w:basedOn w:val="19"/>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37">
    <w:name w:val="默认段落字体 Para Char Char Char Char Char Char Char Char Char Char Char Char Char"/>
    <w:basedOn w:val="28"/>
    <w:qFormat/>
    <w:uiPriority w:val="0"/>
    <w:pPr>
      <w:spacing w:line="360" w:lineRule="auto"/>
      <w:ind w:firstLine="420"/>
    </w:pPr>
    <w:rPr>
      <w:rFonts w:ascii="Tahoma" w:hAnsi="Tahoma"/>
      <w:kern w:val="0"/>
      <w:sz w:val="24"/>
    </w:rPr>
  </w:style>
  <w:style w:type="paragraph" w:customStyle="1" w:styleId="638">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639">
    <w:name w:val="‧ N table-8 head center"/>
    <w:basedOn w:val="640"/>
    <w:qFormat/>
    <w:uiPriority w:val="0"/>
    <w:pPr>
      <w:spacing w:before="85" w:after="113"/>
      <w:jc w:val="center"/>
    </w:pPr>
    <w:rPr>
      <w:b/>
      <w:sz w:val="18"/>
    </w:rPr>
  </w:style>
  <w:style w:type="paragraph" w:customStyle="1" w:styleId="640">
    <w:name w:val="‧ N table-8 body"/>
    <w:basedOn w:val="509"/>
    <w:qFormat/>
    <w:uiPriority w:val="0"/>
  </w:style>
  <w:style w:type="paragraph" w:customStyle="1" w:styleId="641">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642">
    <w:name w:val="样式4"/>
    <w:basedOn w:val="52"/>
    <w:qFormat/>
    <w:uiPriority w:val="0"/>
    <w:pPr>
      <w:pBdr>
        <w:bottom w:val="single" w:color="auto" w:sz="4" w:space="1"/>
      </w:pBdr>
      <w:tabs>
        <w:tab w:val="right" w:pos="9901"/>
        <w:tab w:val="clear" w:pos="4153"/>
        <w:tab w:val="clear" w:pos="8306"/>
      </w:tabs>
    </w:pPr>
    <w:rPr>
      <w:sz w:val="21"/>
    </w:rPr>
  </w:style>
  <w:style w:type="paragraph" w:customStyle="1" w:styleId="643">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44">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45">
    <w:name w:val="应答标题a"/>
    <w:basedOn w:val="260"/>
    <w:qFormat/>
    <w:uiPriority w:val="0"/>
    <w:pPr>
      <w:tabs>
        <w:tab w:val="left" w:pos="540"/>
      </w:tabs>
      <w:ind w:firstLine="522"/>
    </w:pPr>
    <w:rPr>
      <w:rFonts w:ascii="黑体" w:hAnsi="黑体" w:eastAsia="黑体"/>
      <w:b/>
      <w:bCs/>
      <w:color w:val="auto"/>
      <w:kern w:val="2"/>
      <w:u w:val="single"/>
    </w:rPr>
  </w:style>
  <w:style w:type="paragraph" w:customStyle="1" w:styleId="646">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47">
    <w:name w:val="*Bullet #2 Subtext Double"/>
    <w:basedOn w:val="648"/>
    <w:qFormat/>
    <w:uiPriority w:val="0"/>
    <w:pPr>
      <w:tabs>
        <w:tab w:val="left" w:pos="360"/>
        <w:tab w:val="left" w:pos="425"/>
        <w:tab w:val="left" w:pos="840"/>
        <w:tab w:val="left" w:pos="900"/>
        <w:tab w:val="left" w:pos="1080"/>
        <w:tab w:val="left" w:pos="1440"/>
      </w:tabs>
      <w:spacing w:after="220"/>
    </w:pPr>
  </w:style>
  <w:style w:type="paragraph" w:customStyle="1" w:styleId="648">
    <w:name w:val="*Bullet #2 Subtext Single"/>
    <w:basedOn w:val="649"/>
    <w:qFormat/>
    <w:uiPriority w:val="0"/>
    <w:pPr>
      <w:tabs>
        <w:tab w:val="left" w:pos="360"/>
        <w:tab w:val="left" w:pos="425"/>
        <w:tab w:val="left" w:pos="840"/>
        <w:tab w:val="left" w:pos="900"/>
        <w:tab w:val="left" w:pos="1080"/>
        <w:tab w:val="left" w:pos="1440"/>
      </w:tabs>
      <w:spacing w:after="0"/>
      <w:ind w:left="720" w:firstLine="0"/>
    </w:pPr>
  </w:style>
  <w:style w:type="paragraph" w:customStyle="1" w:styleId="649">
    <w:name w:val="*Bullet #2 Double"/>
    <w:basedOn w:val="524"/>
    <w:qFormat/>
    <w:uiPriority w:val="0"/>
    <w:pPr>
      <w:tabs>
        <w:tab w:val="left" w:pos="425"/>
        <w:tab w:val="left" w:pos="1440"/>
      </w:tabs>
      <w:spacing w:after="220"/>
      <w:ind w:left="1440"/>
    </w:pPr>
  </w:style>
  <w:style w:type="paragraph" w:customStyle="1" w:styleId="650">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51">
    <w:name w:val="~Table/Graphics Caption"/>
    <w:basedOn w:val="652"/>
    <w:next w:val="507"/>
    <w:qFormat/>
    <w:uiPriority w:val="0"/>
    <w:rPr>
      <w:color w:val="00637A"/>
    </w:rPr>
  </w:style>
  <w:style w:type="paragraph" w:customStyle="1" w:styleId="652">
    <w:name w:val="*Table/Graphics Caption"/>
    <w:basedOn w:val="295"/>
    <w:next w:val="295"/>
    <w:qFormat/>
    <w:uiPriority w:val="0"/>
    <w:pPr>
      <w:spacing w:after="120"/>
    </w:pPr>
    <w:rPr>
      <w:sz w:val="18"/>
      <w:szCs w:val="18"/>
    </w:rPr>
  </w:style>
  <w:style w:type="paragraph" w:customStyle="1" w:styleId="653">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54">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655">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656">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657">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658">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65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0">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61">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662">
    <w:name w:val="说明"/>
    <w:basedOn w:val="4"/>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663">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664">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5">
    <w:name w:val="*Quotation Attribute"/>
    <w:basedOn w:val="295"/>
    <w:next w:val="295"/>
    <w:qFormat/>
    <w:uiPriority w:val="0"/>
    <w:pPr>
      <w:tabs>
        <w:tab w:val="left" w:pos="360"/>
      </w:tabs>
      <w:ind w:left="840" w:right="720" w:hanging="420"/>
    </w:pPr>
    <w:rPr>
      <w:sz w:val="20"/>
    </w:rPr>
  </w:style>
  <w:style w:type="paragraph" w:customStyle="1" w:styleId="666">
    <w:name w:val="Char Char21"/>
    <w:basedOn w:val="1"/>
    <w:qFormat/>
    <w:uiPriority w:val="0"/>
    <w:rPr>
      <w:rFonts w:ascii="Tahoma" w:hAnsi="Tahoma"/>
      <w:sz w:val="24"/>
      <w:szCs w:val="20"/>
    </w:rPr>
  </w:style>
  <w:style w:type="paragraph" w:customStyle="1" w:styleId="667">
    <w:name w:val="*Bullet #3 Single"/>
    <w:basedOn w:val="524"/>
    <w:qFormat/>
    <w:uiPriority w:val="0"/>
    <w:pPr>
      <w:tabs>
        <w:tab w:val="left" w:pos="284"/>
        <w:tab w:val="left" w:pos="780"/>
        <w:tab w:val="left" w:pos="1200"/>
        <w:tab w:val="clear" w:pos="1080"/>
      </w:tabs>
      <w:ind w:left="1080" w:hanging="360"/>
    </w:pPr>
  </w:style>
  <w:style w:type="paragraph" w:customStyle="1" w:styleId="668">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669">
    <w:name w:val="List 1 End"/>
    <w:basedOn w:val="62"/>
    <w:qFormat/>
    <w:uiPriority w:val="0"/>
    <w:pPr>
      <w:widowControl/>
      <w:spacing w:after="240"/>
      <w:ind w:left="0" w:firstLine="0" w:firstLineChars="0"/>
      <w:jc w:val="left"/>
    </w:pPr>
    <w:rPr>
      <w:rFonts w:eastAsia="PMingLiU"/>
      <w:kern w:val="0"/>
      <w:sz w:val="20"/>
      <w:szCs w:val="20"/>
      <w:lang w:eastAsia="zh-TW"/>
    </w:rPr>
  </w:style>
  <w:style w:type="paragraph" w:customStyle="1" w:styleId="670">
    <w:name w:val="Pa0"/>
    <w:basedOn w:val="211"/>
    <w:next w:val="211"/>
    <w:qFormat/>
    <w:uiPriority w:val="0"/>
    <w:pPr>
      <w:spacing w:line="241" w:lineRule="atLeast"/>
    </w:pPr>
    <w:rPr>
      <w:rFonts w:cs="Times New Roman"/>
      <w:color w:val="auto"/>
    </w:rPr>
  </w:style>
  <w:style w:type="paragraph" w:customStyle="1" w:styleId="671">
    <w:name w:val="_Style 4"/>
    <w:basedOn w:val="1"/>
    <w:qFormat/>
    <w:uiPriority w:val="34"/>
    <w:pPr>
      <w:ind w:firstLine="420" w:firstLineChars="200"/>
    </w:pPr>
    <w:rPr>
      <w:szCs w:val="22"/>
    </w:rPr>
  </w:style>
  <w:style w:type="paragraph" w:customStyle="1" w:styleId="672">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73">
    <w:name w:val="~Bullet Subnumber"/>
    <w:basedOn w:val="674"/>
    <w:qFormat/>
    <w:uiPriority w:val="0"/>
    <w:pPr>
      <w:tabs>
        <w:tab w:val="left" w:pos="720"/>
        <w:tab w:val="left" w:pos="900"/>
      </w:tabs>
      <w:ind w:left="720" w:hanging="360"/>
    </w:pPr>
  </w:style>
  <w:style w:type="paragraph" w:customStyle="1" w:styleId="674">
    <w:name w:val="~Bullet #1 Subtext"/>
    <w:basedOn w:val="675"/>
    <w:qFormat/>
    <w:uiPriority w:val="0"/>
    <w:pPr>
      <w:tabs>
        <w:tab w:val="left" w:pos="900"/>
      </w:tabs>
      <w:ind w:left="360" w:firstLine="0"/>
    </w:pPr>
  </w:style>
  <w:style w:type="paragraph" w:customStyle="1" w:styleId="675">
    <w:name w:val="~Bullet #1 Single"/>
    <w:basedOn w:val="507"/>
    <w:qFormat/>
    <w:uiPriority w:val="0"/>
    <w:pPr>
      <w:tabs>
        <w:tab w:val="left" w:pos="900"/>
      </w:tabs>
      <w:spacing w:after="0"/>
      <w:ind w:left="900" w:hanging="420"/>
    </w:pPr>
  </w:style>
  <w:style w:type="paragraph" w:customStyle="1" w:styleId="676">
    <w:name w:val="*Quotation"/>
    <w:basedOn w:val="295"/>
    <w:next w:val="665"/>
    <w:qFormat/>
    <w:uiPriority w:val="0"/>
    <w:pPr>
      <w:tabs>
        <w:tab w:val="left" w:pos="284"/>
      </w:tabs>
      <w:spacing w:after="200" w:line="220" w:lineRule="atLeast"/>
      <w:ind w:left="720" w:right="720"/>
    </w:pPr>
    <w:rPr>
      <w:i/>
      <w:sz w:val="20"/>
    </w:rPr>
  </w:style>
  <w:style w:type="paragraph" w:customStyle="1" w:styleId="677">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678">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679">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80">
    <w:name w:val="内文正文"/>
    <w:basedOn w:val="41"/>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681">
    <w:name w:val="泰雷兹"/>
    <w:basedOn w:val="7"/>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682">
    <w:name w:val="正文3"/>
    <w:basedOn w:val="1"/>
    <w:qFormat/>
    <w:uiPriority w:val="0"/>
    <w:rPr>
      <w:rFonts w:ascii="Tahoma" w:hAnsi="Tahoma"/>
    </w:rPr>
  </w:style>
  <w:style w:type="paragraph" w:customStyle="1" w:styleId="683">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84">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68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6">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687">
    <w:name w:val="_HP Sidebar Head"/>
    <w:basedOn w:val="211"/>
    <w:next w:val="211"/>
    <w:qFormat/>
    <w:uiPriority w:val="0"/>
    <w:pPr>
      <w:spacing w:before="240"/>
    </w:pPr>
    <w:rPr>
      <w:rFonts w:ascii="Futura-Heavy" w:hAnsi="Futura-Heavy" w:eastAsia="宋体" w:cs="Times New Roman"/>
      <w:color w:val="auto"/>
    </w:rPr>
  </w:style>
  <w:style w:type="paragraph" w:customStyle="1" w:styleId="688">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89">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90">
    <w:name w:val="List 1 Start"/>
    <w:basedOn w:val="62"/>
    <w:qFormat/>
    <w:uiPriority w:val="0"/>
    <w:pPr>
      <w:widowControl/>
      <w:spacing w:before="240"/>
      <w:ind w:left="0" w:firstLine="0" w:firstLineChars="0"/>
      <w:jc w:val="left"/>
    </w:pPr>
    <w:rPr>
      <w:rFonts w:eastAsia="PMingLiU"/>
      <w:kern w:val="0"/>
      <w:sz w:val="20"/>
      <w:szCs w:val="20"/>
      <w:lang w:eastAsia="zh-TW"/>
    </w:rPr>
  </w:style>
  <w:style w:type="paragraph" w:customStyle="1" w:styleId="691">
    <w:name w:val="_HP Figure"/>
    <w:basedOn w:val="211"/>
    <w:next w:val="211"/>
    <w:qFormat/>
    <w:uiPriority w:val="0"/>
    <w:pPr>
      <w:spacing w:after="280"/>
    </w:pPr>
    <w:rPr>
      <w:rFonts w:ascii="Futura-Heavy" w:hAnsi="Futura-Heavy" w:eastAsia="宋体" w:cs="Times New Roman"/>
      <w:color w:val="auto"/>
    </w:rPr>
  </w:style>
  <w:style w:type="paragraph" w:customStyle="1" w:styleId="692">
    <w:name w:val="NW正文"/>
    <w:basedOn w:val="693"/>
    <w:next w:val="148"/>
    <w:qFormat/>
    <w:uiPriority w:val="0"/>
    <w:pPr>
      <w:spacing w:before="120"/>
      <w:ind w:left="420" w:firstLine="425"/>
    </w:pPr>
    <w:rPr>
      <w:rFonts w:ascii="Arial" w:hAnsi="Arial"/>
      <w:kern w:val="0"/>
    </w:rPr>
  </w:style>
  <w:style w:type="paragraph" w:customStyle="1" w:styleId="693">
    <w:name w:val="Char Char Char Char Char Char"/>
    <w:basedOn w:val="1"/>
    <w:qFormat/>
    <w:uiPriority w:val="0"/>
    <w:pPr>
      <w:spacing w:line="360" w:lineRule="auto"/>
      <w:ind w:firstLine="420"/>
    </w:pPr>
    <w:rPr>
      <w:rFonts w:ascii="Tahoma" w:hAnsi="Tahoma"/>
      <w:sz w:val="24"/>
      <w:szCs w:val="20"/>
    </w:rPr>
  </w:style>
  <w:style w:type="paragraph" w:customStyle="1" w:styleId="694">
    <w:name w:val="样式3"/>
    <w:basedOn w:val="1"/>
    <w:next w:val="9"/>
    <w:qFormat/>
    <w:uiPriority w:val="0"/>
    <w:pPr>
      <w:spacing w:line="360" w:lineRule="auto"/>
      <w:ind w:firstLine="420"/>
    </w:pPr>
    <w:rPr>
      <w:rFonts w:ascii="宋体" w:hAnsi="宋体"/>
    </w:rPr>
  </w:style>
  <w:style w:type="paragraph" w:customStyle="1" w:styleId="695">
    <w:name w:val="p0"/>
    <w:basedOn w:val="1"/>
    <w:qFormat/>
    <w:uiPriority w:val="0"/>
    <w:pPr>
      <w:widowControl/>
      <w:spacing w:line="360" w:lineRule="auto"/>
      <w:ind w:firstLine="420"/>
    </w:pPr>
    <w:rPr>
      <w:rFonts w:ascii="宋体" w:hAnsi="宋体"/>
      <w:kern w:val="0"/>
      <w:szCs w:val="20"/>
    </w:rPr>
  </w:style>
  <w:style w:type="paragraph" w:customStyle="1" w:styleId="696">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697">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698">
    <w:name w:val="a2"/>
    <w:basedOn w:val="1"/>
    <w:qFormat/>
    <w:uiPriority w:val="0"/>
    <w:pPr>
      <w:widowControl/>
      <w:spacing w:after="150"/>
      <w:jc w:val="left"/>
    </w:pPr>
    <w:rPr>
      <w:rFonts w:ascii="宋体" w:hAnsi="宋体" w:cs="宋体"/>
      <w:kern w:val="0"/>
      <w:sz w:val="24"/>
    </w:rPr>
  </w:style>
  <w:style w:type="paragraph" w:customStyle="1" w:styleId="699">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0">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01">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2">
    <w:name w:val="User Index 4"/>
    <w:basedOn w:val="47"/>
    <w:qFormat/>
    <w:uiPriority w:val="0"/>
    <w:pPr>
      <w:tabs>
        <w:tab w:val="right" w:leader="dot" w:pos="9746"/>
      </w:tabs>
      <w:ind w:left="849"/>
    </w:pPr>
  </w:style>
  <w:style w:type="paragraph" w:customStyle="1" w:styleId="703">
    <w:name w:val="‧ N Page Header"/>
    <w:basedOn w:val="54"/>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70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5">
    <w:name w:val="‧ N cover prepared name"/>
    <w:basedOn w:val="509"/>
    <w:qFormat/>
    <w:uiPriority w:val="0"/>
  </w:style>
  <w:style w:type="paragraph" w:customStyle="1" w:styleId="706">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07">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8">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09">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710">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11">
    <w:name w:val="User Index 1"/>
    <w:basedOn w:val="47"/>
    <w:qFormat/>
    <w:uiPriority w:val="0"/>
    <w:pPr>
      <w:tabs>
        <w:tab w:val="right" w:leader="dot" w:pos="10466"/>
      </w:tabs>
      <w:ind w:left="720" w:right="1009"/>
    </w:pPr>
    <w:rPr>
      <w:rFonts w:ascii="Times New Roman" w:hAnsi="Times New Roman"/>
      <w:b/>
    </w:rPr>
  </w:style>
  <w:style w:type="paragraph" w:customStyle="1" w:styleId="71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3">
    <w:name w:val="中铁-标题三"/>
    <w:basedOn w:val="511"/>
    <w:qFormat/>
    <w:uiPriority w:val="0"/>
    <w:pPr>
      <w:outlineLvl w:val="2"/>
    </w:pPr>
    <w:rPr>
      <w:sz w:val="32"/>
    </w:rPr>
  </w:style>
  <w:style w:type="paragraph" w:customStyle="1" w:styleId="714">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15">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6">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17">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8">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9">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0">
    <w:name w:val="~Number Double"/>
    <w:basedOn w:val="633"/>
    <w:qFormat/>
    <w:uiPriority w:val="0"/>
    <w:pPr>
      <w:spacing w:after="220"/>
    </w:pPr>
  </w:style>
  <w:style w:type="paragraph" w:customStyle="1" w:styleId="721">
    <w:name w:val="‧ N table-10 body indent 2"/>
    <w:basedOn w:val="509"/>
    <w:qFormat/>
    <w:uiPriority w:val="0"/>
  </w:style>
  <w:style w:type="paragraph" w:customStyle="1" w:styleId="722">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3">
    <w:name w:val="blithe5"/>
    <w:basedOn w:val="724"/>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724">
    <w:name w:val="blithe4"/>
    <w:basedOn w:val="168"/>
    <w:next w:val="1"/>
    <w:qFormat/>
    <w:uiPriority w:val="0"/>
    <w:pPr>
      <w:tabs>
        <w:tab w:val="left" w:pos="2160"/>
      </w:tabs>
      <w:ind w:left="2100" w:hanging="420"/>
      <w:outlineLvl w:val="3"/>
    </w:pPr>
    <w:rPr>
      <w:b w:val="0"/>
      <w:kern w:val="20"/>
    </w:rPr>
  </w:style>
  <w:style w:type="paragraph" w:customStyle="1" w:styleId="725">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6">
    <w:name w:val="Object index heading"/>
    <w:basedOn w:val="18"/>
    <w:qFormat/>
    <w:uiPriority w:val="0"/>
  </w:style>
  <w:style w:type="paragraph" w:customStyle="1" w:styleId="727">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728">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29">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730">
    <w:name w:val="~Manual # Heading 1"/>
    <w:next w:val="507"/>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31">
    <w:name w:val="Table index 1"/>
    <w:basedOn w:val="47"/>
    <w:qFormat/>
    <w:uiPriority w:val="0"/>
    <w:pPr>
      <w:tabs>
        <w:tab w:val="right" w:leader="dot" w:pos="9746"/>
      </w:tabs>
    </w:pPr>
  </w:style>
  <w:style w:type="paragraph" w:customStyle="1" w:styleId="732">
    <w:name w:val="p17"/>
    <w:basedOn w:val="1"/>
    <w:qFormat/>
    <w:uiPriority w:val="0"/>
    <w:pPr>
      <w:widowControl/>
      <w:spacing w:line="360" w:lineRule="auto"/>
      <w:ind w:firstLine="420"/>
      <w:jc w:val="left"/>
    </w:pPr>
    <w:rPr>
      <w:kern w:val="0"/>
      <w:sz w:val="24"/>
    </w:rPr>
  </w:style>
  <w:style w:type="paragraph" w:customStyle="1" w:styleId="733">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34">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35">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36">
    <w:name w:val="*Table Text 3"/>
    <w:basedOn w:val="573"/>
    <w:qFormat/>
    <w:uiPriority w:val="0"/>
    <w:rPr>
      <w:sz w:val="14"/>
      <w:szCs w:val="14"/>
    </w:rPr>
  </w:style>
  <w:style w:type="paragraph" w:customStyle="1" w:styleId="737">
    <w:name w:val="List 2 Cont."/>
    <w:basedOn w:val="62"/>
    <w:qFormat/>
    <w:uiPriority w:val="0"/>
    <w:pPr>
      <w:widowControl/>
      <w:ind w:left="567" w:firstLine="0" w:firstLineChars="0"/>
      <w:jc w:val="left"/>
    </w:pPr>
    <w:rPr>
      <w:rFonts w:eastAsia="PMingLiU"/>
      <w:kern w:val="0"/>
      <w:sz w:val="20"/>
      <w:szCs w:val="20"/>
      <w:lang w:eastAsia="zh-TW"/>
    </w:rPr>
  </w:style>
  <w:style w:type="paragraph" w:customStyle="1" w:styleId="738">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Char2"/>
    <w:basedOn w:val="1"/>
    <w:qFormat/>
    <w:uiPriority w:val="0"/>
    <w:rPr>
      <w:rFonts w:ascii="仿宋_GB2312" w:eastAsia="仿宋_GB2312"/>
      <w:b/>
      <w:sz w:val="32"/>
      <w:szCs w:val="32"/>
    </w:rPr>
  </w:style>
  <w:style w:type="paragraph" w:customStyle="1" w:styleId="740">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1">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42">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3">
    <w:name w:val="SANGFOR_8_表格文字"/>
    <w:basedOn w:val="1"/>
    <w:qFormat/>
    <w:uiPriority w:val="0"/>
    <w:pPr>
      <w:tabs>
        <w:tab w:val="left" w:pos="390"/>
      </w:tabs>
      <w:snapToGrid w:val="0"/>
      <w:ind w:firstLine="425" w:firstLineChars="177"/>
      <w:jc w:val="left"/>
    </w:pPr>
    <w:rPr>
      <w:szCs w:val="21"/>
    </w:rPr>
  </w:style>
  <w:style w:type="paragraph" w:customStyle="1" w:styleId="744">
    <w:name w:val="样式 题注 + 首行缩进:  2 字符"/>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745">
    <w:name w:val="Illustration"/>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746">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747">
    <w:name w:val="样式 标题二 + 居中"/>
    <w:basedOn w:val="748"/>
    <w:qFormat/>
    <w:uiPriority w:val="0"/>
    <w:pPr>
      <w:jc w:val="center"/>
    </w:pPr>
    <w:rPr>
      <w:rFonts w:cs="宋体"/>
      <w:b w:val="0"/>
      <w:szCs w:val="20"/>
    </w:rPr>
  </w:style>
  <w:style w:type="paragraph" w:customStyle="1" w:styleId="748">
    <w:name w:val="标题二"/>
    <w:basedOn w:val="5"/>
    <w:next w:val="1"/>
    <w:qFormat/>
    <w:uiPriority w:val="0"/>
    <w:pPr>
      <w:snapToGrid/>
      <w:spacing w:before="120" w:line="415" w:lineRule="auto"/>
      <w:ind w:firstLine="0" w:firstLineChars="0"/>
    </w:pPr>
    <w:rPr>
      <w:rFonts w:ascii="黑体" w:hAnsi="华文细黑" w:eastAsia="黑体"/>
      <w:sz w:val="24"/>
    </w:rPr>
  </w:style>
  <w:style w:type="paragraph" w:customStyle="1" w:styleId="749">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50">
    <w:name w:val="_HP Body text_last 10 pt"/>
    <w:basedOn w:val="211"/>
    <w:next w:val="211"/>
    <w:qFormat/>
    <w:uiPriority w:val="0"/>
    <w:pPr>
      <w:spacing w:after="240"/>
    </w:pPr>
    <w:rPr>
      <w:rFonts w:ascii="Futura-Book" w:hAnsi="Futura-Book" w:eastAsia="宋体" w:cs="Times New Roman"/>
      <w:color w:val="auto"/>
    </w:rPr>
  </w:style>
  <w:style w:type="paragraph" w:customStyle="1" w:styleId="751">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752">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753">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754">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755">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756">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57">
    <w:name w:val="~Alt Number Double"/>
    <w:basedOn w:val="720"/>
    <w:qFormat/>
    <w:uiPriority w:val="0"/>
    <w:pPr>
      <w:tabs>
        <w:tab w:val="left" w:pos="1440"/>
        <w:tab w:val="clear" w:pos="360"/>
      </w:tabs>
      <w:ind w:left="1440" w:hanging="1440"/>
    </w:pPr>
  </w:style>
  <w:style w:type="paragraph" w:customStyle="1" w:styleId="758">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9">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760">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61">
    <w:name w:val="文本框"/>
    <w:basedOn w:val="1"/>
    <w:qFormat/>
    <w:uiPriority w:val="0"/>
    <w:pPr>
      <w:spacing w:afterLines="50" w:line="360" w:lineRule="auto"/>
      <w:ind w:firstLine="420"/>
    </w:pPr>
    <w:rPr>
      <w:rFonts w:ascii="宋体" w:hAnsi="宋体"/>
      <w:sz w:val="18"/>
    </w:rPr>
  </w:style>
  <w:style w:type="paragraph" w:customStyle="1" w:styleId="76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63">
    <w:name w:val="正文段"/>
    <w:basedOn w:val="1"/>
    <w:qFormat/>
    <w:uiPriority w:val="0"/>
    <w:pPr>
      <w:spacing w:after="240" w:line="240" w:lineRule="atLeast"/>
      <w:ind w:firstLine="454"/>
    </w:pPr>
    <w:rPr>
      <w:rFonts w:ascii="楷体" w:hAnsi="宋体"/>
      <w:sz w:val="24"/>
      <w:szCs w:val="20"/>
    </w:rPr>
  </w:style>
  <w:style w:type="paragraph" w:customStyle="1" w:styleId="764">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65">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766">
    <w:name w:val="‧ N cover prepared for"/>
    <w:basedOn w:val="509"/>
    <w:qFormat/>
    <w:uiPriority w:val="0"/>
  </w:style>
  <w:style w:type="paragraph" w:customStyle="1" w:styleId="767">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8">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9">
    <w:name w:val="样式8"/>
    <w:basedOn w:val="228"/>
    <w:qFormat/>
    <w:uiPriority w:val="0"/>
    <w:pPr>
      <w:keepNext/>
      <w:keepLines/>
      <w:tabs>
        <w:tab w:val="left" w:pos="567"/>
      </w:tabs>
      <w:spacing w:before="260" w:after="260"/>
      <w:ind w:left="567" w:hanging="567"/>
      <w:outlineLvl w:val="1"/>
    </w:pPr>
    <w:rPr>
      <w:b/>
      <w:bCs/>
      <w:sz w:val="32"/>
      <w:szCs w:val="32"/>
    </w:rPr>
  </w:style>
  <w:style w:type="paragraph" w:customStyle="1" w:styleId="770">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771">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772">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773">
    <w:name w:val="样式 题注"/>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774">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5">
    <w:name w:val="*Table of Contents"/>
    <w:basedOn w:val="612"/>
    <w:next w:val="295"/>
    <w:qFormat/>
    <w:uiPriority w:val="0"/>
    <w:pPr>
      <w:spacing w:before="240" w:after="240" w:line="240" w:lineRule="auto"/>
    </w:pPr>
    <w:rPr>
      <w:color w:val="00637A"/>
      <w:sz w:val="36"/>
      <w:szCs w:val="36"/>
    </w:rPr>
  </w:style>
  <w:style w:type="paragraph" w:customStyle="1" w:styleId="776">
    <w:name w:val="User Index Heading"/>
    <w:basedOn w:val="18"/>
    <w:qFormat/>
    <w:uiPriority w:val="0"/>
  </w:style>
  <w:style w:type="paragraph" w:customStyle="1" w:styleId="777">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778">
    <w:name w:val="GP正文(首行缩进)"/>
    <w:basedOn w:val="1"/>
    <w:qFormat/>
    <w:uiPriority w:val="0"/>
    <w:pPr>
      <w:spacing w:line="400" w:lineRule="exact"/>
      <w:ind w:firstLine="480" w:firstLineChars="200"/>
      <w:jc w:val="left"/>
    </w:pPr>
    <w:rPr>
      <w:sz w:val="24"/>
    </w:rPr>
  </w:style>
  <w:style w:type="paragraph" w:customStyle="1" w:styleId="779">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80">
    <w:name w:val="样式 正文（首行缩进2字符） + 首行缩进:  2 字符1"/>
    <w:basedOn w:val="413"/>
    <w:qFormat/>
    <w:uiPriority w:val="0"/>
    <w:pPr>
      <w:spacing w:beforeLines="50" w:afterLines="50" w:line="420" w:lineRule="exact"/>
    </w:pPr>
    <w:rPr>
      <w:rFonts w:cs="宋体"/>
      <w:szCs w:val="20"/>
    </w:rPr>
  </w:style>
  <w:style w:type="paragraph" w:customStyle="1" w:styleId="781">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82">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83">
    <w:name w:val="列出段落5"/>
    <w:basedOn w:val="1"/>
    <w:unhideWhenUsed/>
    <w:qFormat/>
    <w:uiPriority w:val="99"/>
    <w:pPr>
      <w:ind w:firstLine="420" w:firstLineChars="200"/>
    </w:pPr>
  </w:style>
  <w:style w:type="paragraph" w:customStyle="1" w:styleId="784">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85">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86">
    <w:name w:val="*Alt Numbers"/>
    <w:basedOn w:val="543"/>
    <w:qFormat/>
    <w:uiPriority w:val="0"/>
    <w:pPr>
      <w:tabs>
        <w:tab w:val="left" w:pos="1440"/>
        <w:tab w:val="clear" w:pos="360"/>
      </w:tabs>
      <w:ind w:left="1440" w:hanging="1440"/>
    </w:pPr>
  </w:style>
  <w:style w:type="paragraph" w:customStyle="1" w:styleId="787">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8">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89">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790">
    <w:name w:val="Char4"/>
    <w:basedOn w:val="23"/>
    <w:qFormat/>
    <w:uiPriority w:val="0"/>
    <w:pPr>
      <w:widowControl/>
      <w:spacing w:afterLines="50" w:line="360" w:lineRule="auto"/>
      <w:ind w:firstLine="480"/>
      <w:jc w:val="left"/>
    </w:pPr>
  </w:style>
  <w:style w:type="paragraph" w:customStyle="1" w:styleId="791">
    <w:name w:val="SANGFOR_1_标题1"/>
    <w:basedOn w:val="4"/>
    <w:next w:val="237"/>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792">
    <w:name w:val="blithe1"/>
    <w:basedOn w:val="19"/>
    <w:next w:val="2"/>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793">
    <w:name w:val="Bibliography 1"/>
    <w:basedOn w:val="47"/>
    <w:qFormat/>
    <w:uiPriority w:val="0"/>
    <w:pPr>
      <w:tabs>
        <w:tab w:val="right" w:leader="dot" w:pos="9746"/>
      </w:tabs>
      <w:spacing w:after="245"/>
    </w:pPr>
  </w:style>
  <w:style w:type="paragraph" w:customStyle="1" w:styleId="794">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5">
    <w:name w:val="‧ N Page Footer"/>
    <w:basedOn w:val="52"/>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796">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97">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98">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99">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800">
    <w:name w:val="•Body Text"/>
    <w:basedOn w:val="1"/>
    <w:qFormat/>
    <w:uiPriority w:val="0"/>
    <w:pPr>
      <w:suppressAutoHyphens/>
      <w:spacing w:after="120" w:line="320" w:lineRule="exact"/>
    </w:pPr>
    <w:rPr>
      <w:rFonts w:ascii="Arial" w:hAnsi="Arial"/>
      <w:kern w:val="1"/>
      <w:sz w:val="18"/>
      <w:lang w:eastAsia="ar-SA"/>
    </w:rPr>
  </w:style>
  <w:style w:type="paragraph" w:customStyle="1" w:styleId="80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802">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03">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804">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05">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06">
    <w:name w:val="3333"/>
    <w:basedOn w:val="6"/>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807">
    <w:name w:val="*Manual # Heading 5"/>
    <w:next w:val="295"/>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808">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809">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10">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1">
    <w:name w:val="Heading2"/>
    <w:basedOn w:val="5"/>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812">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3">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14">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815">
    <w:name w:val="列出段落3"/>
    <w:basedOn w:val="1"/>
    <w:qFormat/>
    <w:uiPriority w:val="34"/>
    <w:pPr>
      <w:ind w:firstLine="200" w:firstLineChars="200"/>
    </w:pPr>
    <w:rPr>
      <w:rFonts w:ascii="Calibri" w:hAnsi="Calibri"/>
      <w:szCs w:val="22"/>
    </w:rPr>
  </w:style>
  <w:style w:type="paragraph" w:customStyle="1" w:styleId="816">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17">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18">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19">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20">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21">
    <w:name w:val="中铁-标题四"/>
    <w:basedOn w:val="713"/>
    <w:qFormat/>
    <w:uiPriority w:val="0"/>
    <w:pPr>
      <w:outlineLvl w:val="3"/>
    </w:pPr>
    <w:rPr>
      <w:sz w:val="30"/>
    </w:rPr>
  </w:style>
  <w:style w:type="paragraph" w:customStyle="1" w:styleId="822">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23">
    <w:name w:val="~Manual # Heading 5"/>
    <w:next w:val="507"/>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82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25">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26">
    <w:name w:val="Char Char1"/>
    <w:basedOn w:val="1"/>
    <w:qFormat/>
    <w:uiPriority w:val="0"/>
    <w:pPr>
      <w:spacing w:line="360" w:lineRule="auto"/>
      <w:ind w:firstLine="420"/>
    </w:pPr>
    <w:rPr>
      <w:rFonts w:ascii="Arial" w:hAnsi="Arial" w:cs="Arial"/>
    </w:rPr>
  </w:style>
  <w:style w:type="paragraph" w:styleId="82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8">
    <w:name w:val="标题四"/>
    <w:basedOn w:val="7"/>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829">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830">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1">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32">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3">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834">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835">
    <w:name w:val="样式9"/>
    <w:basedOn w:val="694"/>
    <w:qFormat/>
    <w:uiPriority w:val="0"/>
    <w:pPr>
      <w:keepNext/>
      <w:keepLines/>
      <w:tabs>
        <w:tab w:val="left" w:pos="851"/>
      </w:tabs>
      <w:spacing w:before="260" w:after="260"/>
      <w:ind w:left="851" w:hanging="709"/>
      <w:outlineLvl w:val="2"/>
    </w:pPr>
    <w:rPr>
      <w:b/>
      <w:bCs/>
      <w:sz w:val="30"/>
      <w:szCs w:val="30"/>
    </w:rPr>
  </w:style>
  <w:style w:type="paragraph" w:customStyle="1" w:styleId="836">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837">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38">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39">
    <w:name w:val="标题11"/>
    <w:basedOn w:val="5"/>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840">
    <w:name w:val="Contents 10"/>
    <w:basedOn w:val="47"/>
    <w:qFormat/>
    <w:uiPriority w:val="0"/>
    <w:pPr>
      <w:tabs>
        <w:tab w:val="right" w:leader="dot" w:pos="9746"/>
      </w:tabs>
      <w:ind w:left="2547"/>
    </w:pPr>
  </w:style>
  <w:style w:type="paragraph" w:customStyle="1" w:styleId="841">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842">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843">
    <w:name w:val="纯文本1"/>
    <w:basedOn w:val="1"/>
    <w:qFormat/>
    <w:uiPriority w:val="0"/>
    <w:pPr>
      <w:widowControl/>
      <w:jc w:val="left"/>
    </w:pPr>
    <w:rPr>
      <w:rFonts w:hint="eastAsia" w:ascii="宋体" w:hAnsi="Courier New"/>
      <w:szCs w:val="20"/>
    </w:rPr>
  </w:style>
  <w:style w:type="paragraph" w:customStyle="1" w:styleId="844">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5">
    <w:name w:val="_Style 61"/>
    <w:basedOn w:val="1"/>
    <w:qFormat/>
    <w:uiPriority w:val="0"/>
    <w:rPr>
      <w:rFonts w:ascii="仿宋_GB2312" w:eastAsia="仿宋_GB2312"/>
      <w:b/>
      <w:sz w:val="32"/>
      <w:szCs w:val="32"/>
    </w:rPr>
  </w:style>
  <w:style w:type="paragraph" w:customStyle="1" w:styleId="846">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47">
    <w:name w:val="‧ N caption-figure"/>
    <w:basedOn w:val="509"/>
    <w:next w:val="497"/>
    <w:qFormat/>
    <w:uiPriority w:val="0"/>
  </w:style>
  <w:style w:type="paragraph" w:customStyle="1" w:styleId="848">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9">
    <w:name w:val="附图标题"/>
    <w:basedOn w:val="24"/>
    <w:next w:val="23"/>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850">
    <w:name w:val="bullets"/>
    <w:basedOn w:val="19"/>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851">
    <w:name w:val="列出段落4"/>
    <w:basedOn w:val="1"/>
    <w:qFormat/>
    <w:uiPriority w:val="99"/>
    <w:pPr>
      <w:ind w:firstLine="420" w:firstLineChars="200"/>
    </w:pPr>
    <w:rPr>
      <w:szCs w:val="22"/>
    </w:rPr>
  </w:style>
  <w:style w:type="paragraph" w:customStyle="1" w:styleId="852">
    <w:name w:val="DAS列表一"/>
    <w:basedOn w:val="531"/>
    <w:qFormat/>
    <w:uiPriority w:val="0"/>
    <w:pPr>
      <w:tabs>
        <w:tab w:val="left" w:pos="840"/>
      </w:tabs>
      <w:spacing w:line="360" w:lineRule="auto"/>
      <w:ind w:left="-58" w:leftChars="-58" w:firstLine="0" w:firstLineChars="0"/>
    </w:pPr>
    <w:rPr>
      <w:b w:val="0"/>
      <w:bCs w:val="0"/>
    </w:rPr>
  </w:style>
  <w:style w:type="paragraph" w:customStyle="1" w:styleId="85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54">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55">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6">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857">
    <w:name w:val="‧ N bullet 2"/>
    <w:basedOn w:val="509"/>
    <w:qFormat/>
    <w:uiPriority w:val="0"/>
  </w:style>
  <w:style w:type="paragraph" w:customStyle="1" w:styleId="858">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859">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60">
    <w:name w:val="附录 Heading 1"/>
    <w:basedOn w:val="4"/>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861">
    <w:name w:val="~Manual # Heading 3"/>
    <w:next w:val="507"/>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862">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863">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4">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865">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66">
    <w:name w:val="blessing"/>
    <w:basedOn w:val="19"/>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867">
    <w:name w:val="样式 正文文本 + 段前: 0.5 行 首行缩进:  2 字符"/>
    <w:basedOn w:val="19"/>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868">
    <w:name w:val="SANGFOR_4_标题4"/>
    <w:basedOn w:val="7"/>
    <w:next w:val="237"/>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869">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70">
    <w:name w:val="列出段落11"/>
    <w:basedOn w:val="1"/>
    <w:qFormat/>
    <w:uiPriority w:val="34"/>
    <w:pPr>
      <w:ind w:firstLine="420" w:firstLineChars="200"/>
    </w:pPr>
    <w:rPr>
      <w:szCs w:val="22"/>
    </w:rPr>
  </w:style>
  <w:style w:type="paragraph" w:customStyle="1" w:styleId="871">
    <w:name w:val="2级"/>
    <w:basedOn w:val="5"/>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872">
    <w:name w:val="标准正文1"/>
    <w:basedOn w:val="1"/>
    <w:qFormat/>
    <w:uiPriority w:val="0"/>
    <w:pPr>
      <w:spacing w:line="360" w:lineRule="auto"/>
      <w:ind w:firstLine="480" w:firstLineChars="200"/>
    </w:pPr>
    <w:rPr>
      <w:rFonts w:ascii="宋体" w:hAnsi="宋体"/>
      <w:sz w:val="24"/>
    </w:rPr>
  </w:style>
  <w:style w:type="paragraph" w:customStyle="1" w:styleId="873">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74">
    <w:name w:val="正文内"/>
    <w:basedOn w:val="1"/>
    <w:qFormat/>
    <w:uiPriority w:val="0"/>
    <w:pPr>
      <w:spacing w:line="400" w:lineRule="exact"/>
      <w:ind w:firstLine="200" w:firstLineChars="200"/>
    </w:pPr>
    <w:rPr>
      <w:rFonts w:ascii="??" w:hAnsi="??" w:eastAsia="??" w:cs="宋体"/>
      <w:szCs w:val="28"/>
    </w:rPr>
  </w:style>
  <w:style w:type="paragraph" w:customStyle="1" w:styleId="875">
    <w:name w:val="中铁-标题五"/>
    <w:basedOn w:val="821"/>
    <w:qFormat/>
    <w:uiPriority w:val="0"/>
    <w:pPr>
      <w:outlineLvl w:val="4"/>
    </w:pPr>
    <w:rPr>
      <w:sz w:val="28"/>
    </w:rPr>
  </w:style>
  <w:style w:type="paragraph" w:customStyle="1" w:styleId="876">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877">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78">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879">
    <w:name w:val="‧ N head 3"/>
    <w:basedOn w:val="509"/>
    <w:next w:val="497"/>
    <w:qFormat/>
    <w:uiPriority w:val="0"/>
  </w:style>
  <w:style w:type="paragraph" w:customStyle="1" w:styleId="880">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81">
    <w:name w:val="paragraph1"/>
    <w:basedOn w:val="1"/>
    <w:qFormat/>
    <w:uiPriority w:val="0"/>
    <w:pPr>
      <w:spacing w:afterLines="30" w:line="360" w:lineRule="auto"/>
      <w:ind w:firstLine="480" w:firstLineChars="200"/>
    </w:pPr>
    <w:rPr>
      <w:rFonts w:ascii="宋体" w:hAnsi="宋体"/>
      <w:sz w:val="24"/>
    </w:rPr>
  </w:style>
  <w:style w:type="paragraph" w:customStyle="1" w:styleId="882">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3">
    <w:name w:val="样式 标题 2子系统子系统1子系统2子系统3子系统4子系统11子系统21子系统31子系统5子系统12子系统..."/>
    <w:basedOn w:val="5"/>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884">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885">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6">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87">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888">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89">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90">
    <w:name w:val="‧ N table-8 body indent 2"/>
    <w:basedOn w:val="640"/>
    <w:qFormat/>
    <w:uiPriority w:val="0"/>
    <w:pPr>
      <w:spacing w:before="85" w:after="45"/>
      <w:ind w:left="1083"/>
    </w:pPr>
    <w:rPr>
      <w:sz w:val="16"/>
    </w:rPr>
  </w:style>
  <w:style w:type="paragraph" w:customStyle="1" w:styleId="891">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92">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893">
    <w:name w:val="样式 标题 + 两端对齐"/>
    <w:basedOn w:val="77"/>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894">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895">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96">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7">
    <w:name w:val="Char Char7 Char Char Char Char Char Char"/>
    <w:basedOn w:val="1"/>
    <w:qFormat/>
    <w:uiPriority w:val="0"/>
    <w:rPr>
      <w:rFonts w:ascii="仿宋_GB2312" w:hAnsi="Calibri" w:eastAsia="仿宋_GB2312" w:cs="Calibri"/>
      <w:b/>
      <w:sz w:val="32"/>
      <w:szCs w:val="32"/>
    </w:rPr>
  </w:style>
  <w:style w:type="paragraph" w:customStyle="1" w:styleId="898">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99">
    <w:name w:val="*Table Heading 2"/>
    <w:basedOn w:val="572"/>
    <w:qFormat/>
    <w:uiPriority w:val="0"/>
    <w:pPr>
      <w:shd w:val="clear" w:color="auto" w:fill="A8A8A8"/>
    </w:pPr>
    <w:rPr>
      <w:sz w:val="18"/>
      <w:szCs w:val="18"/>
    </w:rPr>
  </w:style>
  <w:style w:type="paragraph" w:customStyle="1" w:styleId="900">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901">
    <w:name w:val="技术标题1"/>
    <w:basedOn w:val="7"/>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902">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03">
    <w:name w:val="_HP Table Head 8 pt"/>
    <w:basedOn w:val="211"/>
    <w:next w:val="211"/>
    <w:qFormat/>
    <w:uiPriority w:val="0"/>
    <w:pPr>
      <w:spacing w:before="60" w:after="60"/>
    </w:pPr>
    <w:rPr>
      <w:rFonts w:ascii="Futura-Heavy" w:hAnsi="Futura-Heavy" w:eastAsia="宋体" w:cs="Times New Roman"/>
      <w:color w:val="auto"/>
    </w:rPr>
  </w:style>
  <w:style w:type="paragraph" w:customStyle="1" w:styleId="904">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5">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906">
    <w:name w:val="Char1 Char Char Char"/>
    <w:basedOn w:val="1"/>
    <w:qFormat/>
    <w:uiPriority w:val="0"/>
    <w:rPr>
      <w:szCs w:val="20"/>
    </w:rPr>
  </w:style>
  <w:style w:type="paragraph" w:customStyle="1" w:styleId="907">
    <w:name w:val="编号正文"/>
    <w:basedOn w:val="1"/>
    <w:qFormat/>
    <w:uiPriority w:val="0"/>
    <w:pPr>
      <w:tabs>
        <w:tab w:val="left" w:pos="590"/>
      </w:tabs>
      <w:spacing w:line="360" w:lineRule="auto"/>
      <w:ind w:left="454"/>
    </w:pPr>
    <w:rPr>
      <w:rFonts w:ascii="宋体" w:hAnsi="宋体"/>
    </w:rPr>
  </w:style>
  <w:style w:type="paragraph" w:customStyle="1" w:styleId="908">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09">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10">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911">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912">
    <w:name w:val="~List Number"/>
    <w:basedOn w:val="519"/>
    <w:qFormat/>
    <w:uiPriority w:val="0"/>
    <w:pPr>
      <w:tabs>
        <w:tab w:val="left" w:pos="360"/>
        <w:tab w:val="left" w:pos="936"/>
      </w:tabs>
      <w:ind w:left="360" w:hanging="360"/>
    </w:pPr>
    <w:rPr>
      <w:color w:val="00637A"/>
    </w:rPr>
  </w:style>
  <w:style w:type="paragraph" w:customStyle="1" w:styleId="913">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14">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5">
    <w:name w:val="Drawing"/>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16">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18">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919">
    <w:name w:val="GP正文(无首行缩进)"/>
    <w:basedOn w:val="778"/>
    <w:qFormat/>
    <w:uiPriority w:val="0"/>
  </w:style>
  <w:style w:type="paragraph" w:customStyle="1" w:styleId="920">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921">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22">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923">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924">
    <w:name w:val="Object index 1"/>
    <w:basedOn w:val="47"/>
    <w:qFormat/>
    <w:uiPriority w:val="0"/>
    <w:pPr>
      <w:tabs>
        <w:tab w:val="right" w:leader="dot" w:pos="9746"/>
      </w:tabs>
    </w:pPr>
  </w:style>
  <w:style w:type="paragraph" w:customStyle="1" w:styleId="925">
    <w:name w:val="‧ N table-10 head left"/>
    <w:basedOn w:val="509"/>
    <w:next w:val="564"/>
    <w:qFormat/>
    <w:uiPriority w:val="0"/>
  </w:style>
  <w:style w:type="paragraph" w:customStyle="1" w:styleId="926">
    <w:name w:val="~Alt Number"/>
    <w:basedOn w:val="633"/>
    <w:qFormat/>
    <w:uiPriority w:val="0"/>
    <w:pPr>
      <w:tabs>
        <w:tab w:val="left" w:pos="1440"/>
        <w:tab w:val="clear" w:pos="360"/>
      </w:tabs>
      <w:ind w:left="1440" w:hanging="1440"/>
    </w:pPr>
  </w:style>
  <w:style w:type="paragraph" w:customStyle="1" w:styleId="927">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928">
    <w:name w:val="5级"/>
    <w:basedOn w:val="8"/>
    <w:next w:val="1"/>
    <w:qFormat/>
    <w:uiPriority w:val="0"/>
    <w:pPr>
      <w:tabs>
        <w:tab w:val="left" w:pos="840"/>
        <w:tab w:val="left" w:pos="2520"/>
      </w:tabs>
      <w:spacing w:beforeLines="50"/>
      <w:ind w:left="840"/>
    </w:pPr>
    <w:rPr>
      <w:rFonts w:ascii="Calibri" w:hAnsi="Calibri" w:eastAsia="黑体"/>
    </w:rPr>
  </w:style>
  <w:style w:type="paragraph" w:customStyle="1" w:styleId="929">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930">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1">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932">
    <w:name w:val="‧ N caption-table"/>
    <w:basedOn w:val="509"/>
    <w:next w:val="497"/>
    <w:qFormat/>
    <w:uiPriority w:val="0"/>
  </w:style>
  <w:style w:type="paragraph" w:customStyle="1" w:styleId="933">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34">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35">
    <w:name w:val="样式 样式 正文（首行缩进2字符） + 首行缩进:  2 字符1 + (西文) Tahoma (中文) 新宋体 首行缩进: ..."/>
    <w:basedOn w:val="780"/>
    <w:qFormat/>
    <w:uiPriority w:val="0"/>
    <w:pPr>
      <w:spacing w:before="156" w:after="156"/>
      <w:ind w:firstLine="496"/>
    </w:pPr>
    <w:rPr>
      <w:rFonts w:eastAsia="新宋体"/>
      <w:spacing w:val="4"/>
      <w:szCs w:val="24"/>
    </w:rPr>
  </w:style>
  <w:style w:type="paragraph" w:customStyle="1" w:styleId="936">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937">
    <w:name w:val="*Logo Cover"/>
    <w:basedOn w:val="573"/>
    <w:qFormat/>
    <w:uiPriority w:val="0"/>
    <w:pPr>
      <w:ind w:right="360"/>
      <w:jc w:val="right"/>
    </w:pPr>
  </w:style>
  <w:style w:type="paragraph" w:customStyle="1" w:styleId="938">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939">
    <w:name w:val="样式 标题 2标题 2 Char Char Char Char Char Char Char Char Char Char C...1"/>
    <w:basedOn w:val="5"/>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9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941">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94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943">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4">
    <w:name w:val="1111"/>
    <w:basedOn w:val="4"/>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945">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946">
    <w:name w:val="正文－恩普"/>
    <w:basedOn w:val="23"/>
    <w:qFormat/>
    <w:uiPriority w:val="0"/>
    <w:pPr>
      <w:widowControl/>
      <w:spacing w:afterLines="50" w:line="360" w:lineRule="auto"/>
      <w:ind w:firstLine="480"/>
      <w:jc w:val="left"/>
    </w:pPr>
    <w:rPr>
      <w:kern w:val="0"/>
      <w:sz w:val="24"/>
      <w:szCs w:val="20"/>
    </w:rPr>
  </w:style>
  <w:style w:type="paragraph" w:customStyle="1" w:styleId="94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948">
    <w:name w:val="列出段落2"/>
    <w:basedOn w:val="1"/>
    <w:qFormat/>
    <w:uiPriority w:val="34"/>
    <w:pPr>
      <w:spacing w:line="360" w:lineRule="auto"/>
      <w:ind w:left="720" w:firstLine="420"/>
      <w:contextualSpacing/>
    </w:pPr>
    <w:rPr>
      <w:kern w:val="0"/>
      <w:sz w:val="20"/>
    </w:rPr>
  </w:style>
  <w:style w:type="paragraph" w:customStyle="1" w:styleId="949">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50">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51">
    <w:name w:val="样式12"/>
    <w:basedOn w:val="228"/>
    <w:qFormat/>
    <w:uiPriority w:val="0"/>
    <w:pPr>
      <w:keepNext/>
      <w:keepLines/>
      <w:tabs>
        <w:tab w:val="left" w:pos="567"/>
      </w:tabs>
      <w:spacing w:before="260" w:after="260"/>
      <w:ind w:left="567" w:hanging="567"/>
      <w:outlineLvl w:val="1"/>
    </w:pPr>
    <w:rPr>
      <w:b/>
      <w:bCs/>
      <w:kern w:val="0"/>
      <w:sz w:val="32"/>
      <w:szCs w:val="32"/>
    </w:rPr>
  </w:style>
  <w:style w:type="paragraph" w:customStyle="1" w:styleId="952">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3">
    <w:name w:val="‧ N cover title"/>
    <w:basedOn w:val="509"/>
    <w:qFormat/>
    <w:uiPriority w:val="0"/>
  </w:style>
  <w:style w:type="paragraph" w:customStyle="1" w:styleId="954">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55">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956">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57">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958">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959">
    <w:name w:val="_HP Table Body 8 pt"/>
    <w:basedOn w:val="211"/>
    <w:next w:val="211"/>
    <w:qFormat/>
    <w:uiPriority w:val="0"/>
    <w:pPr>
      <w:spacing w:before="80" w:after="80"/>
    </w:pPr>
    <w:rPr>
      <w:rFonts w:ascii="Futura-Heavy" w:hAnsi="Futura-Heavy" w:eastAsia="宋体" w:cs="Times New Roman"/>
      <w:color w:val="auto"/>
    </w:rPr>
  </w:style>
  <w:style w:type="paragraph" w:customStyle="1" w:styleId="960">
    <w:name w:val="‧ N computer syntax"/>
    <w:basedOn w:val="509"/>
    <w:next w:val="497"/>
    <w:qFormat/>
    <w:uiPriority w:val="0"/>
  </w:style>
  <w:style w:type="paragraph" w:customStyle="1" w:styleId="961">
    <w:name w:val="‧ N table-8 body indent"/>
    <w:basedOn w:val="640"/>
    <w:qFormat/>
    <w:uiPriority w:val="0"/>
    <w:pPr>
      <w:spacing w:before="85" w:after="45"/>
      <w:ind w:left="720"/>
    </w:pPr>
    <w:rPr>
      <w:sz w:val="16"/>
    </w:rPr>
  </w:style>
  <w:style w:type="paragraph" w:customStyle="1" w:styleId="962">
    <w:name w:val="封面第一行"/>
    <w:basedOn w:val="1"/>
    <w:qFormat/>
    <w:uiPriority w:val="0"/>
    <w:pPr>
      <w:spacing w:line="360" w:lineRule="auto"/>
      <w:jc w:val="center"/>
    </w:pPr>
    <w:rPr>
      <w:rFonts w:ascii="黑体" w:hAnsi="宋体" w:eastAsia="黑体" w:cs="宋体"/>
      <w:sz w:val="56"/>
      <w:szCs w:val="20"/>
    </w:rPr>
  </w:style>
  <w:style w:type="paragraph" w:customStyle="1" w:styleId="963">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964">
    <w:name w:val="p15"/>
    <w:basedOn w:val="1"/>
    <w:qFormat/>
    <w:uiPriority w:val="0"/>
    <w:pPr>
      <w:widowControl/>
      <w:spacing w:line="360" w:lineRule="auto"/>
      <w:ind w:firstLine="420"/>
      <w:jc w:val="left"/>
    </w:pPr>
    <w:rPr>
      <w:kern w:val="0"/>
      <w:sz w:val="24"/>
    </w:rPr>
  </w:style>
  <w:style w:type="paragraph" w:customStyle="1" w:styleId="965">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66">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967">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68">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9">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0">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971">
    <w:name w:val="User Index 9"/>
    <w:basedOn w:val="47"/>
    <w:qFormat/>
    <w:uiPriority w:val="0"/>
    <w:pPr>
      <w:tabs>
        <w:tab w:val="right" w:leader="dot" w:pos="9746"/>
      </w:tabs>
      <w:ind w:left="2264"/>
    </w:pPr>
  </w:style>
  <w:style w:type="paragraph" w:customStyle="1" w:styleId="972">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973">
    <w:name w:val="Numbering 5 Start"/>
    <w:basedOn w:val="62"/>
    <w:qFormat/>
    <w:uiPriority w:val="0"/>
    <w:pPr>
      <w:widowControl/>
      <w:spacing w:before="240"/>
      <w:ind w:left="1417" w:firstLine="0" w:firstLineChars="0"/>
      <w:jc w:val="left"/>
    </w:pPr>
    <w:rPr>
      <w:rFonts w:eastAsia="PMingLiU"/>
      <w:kern w:val="0"/>
      <w:sz w:val="20"/>
      <w:szCs w:val="20"/>
      <w:lang w:eastAsia="zh-TW"/>
    </w:rPr>
  </w:style>
  <w:style w:type="paragraph" w:customStyle="1" w:styleId="974">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75">
    <w:name w:val="3级"/>
    <w:basedOn w:val="6"/>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976">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977">
    <w:name w:val="~Body Single"/>
    <w:basedOn w:val="507"/>
    <w:qFormat/>
    <w:uiPriority w:val="0"/>
    <w:pPr>
      <w:spacing w:after="0"/>
    </w:pPr>
  </w:style>
  <w:style w:type="paragraph" w:customStyle="1" w:styleId="978">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79">
    <w:name w:val="Numbering 1 End"/>
    <w:basedOn w:val="62"/>
    <w:qFormat/>
    <w:uiPriority w:val="0"/>
    <w:pPr>
      <w:widowControl/>
      <w:spacing w:after="240"/>
      <w:ind w:left="0" w:firstLine="0" w:firstLineChars="0"/>
      <w:jc w:val="left"/>
    </w:pPr>
    <w:rPr>
      <w:rFonts w:eastAsia="PMingLiU"/>
      <w:kern w:val="0"/>
      <w:sz w:val="20"/>
      <w:szCs w:val="20"/>
      <w:lang w:eastAsia="zh-TW"/>
    </w:rPr>
  </w:style>
  <w:style w:type="paragraph" w:customStyle="1" w:styleId="980">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81">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2">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83">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984">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985">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986">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987">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88">
    <w:name w:val="yxy标题3"/>
    <w:basedOn w:val="1"/>
    <w:next w:val="1"/>
    <w:qFormat/>
    <w:uiPriority w:val="0"/>
    <w:pPr>
      <w:keepNext/>
      <w:spacing w:line="360" w:lineRule="auto"/>
      <w:ind w:firstLine="200" w:firstLineChars="200"/>
      <w:outlineLvl w:val="2"/>
    </w:pPr>
    <w:rPr>
      <w:b/>
      <w:sz w:val="28"/>
      <w:szCs w:val="20"/>
    </w:rPr>
  </w:style>
  <w:style w:type="paragraph" w:customStyle="1" w:styleId="989">
    <w:name w:val="User Index 8"/>
    <w:basedOn w:val="47"/>
    <w:qFormat/>
    <w:uiPriority w:val="0"/>
    <w:pPr>
      <w:tabs>
        <w:tab w:val="right" w:leader="dot" w:pos="9746"/>
      </w:tabs>
      <w:ind w:left="1981"/>
    </w:pPr>
  </w:style>
  <w:style w:type="paragraph" w:customStyle="1" w:styleId="990">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991">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992">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993">
    <w:name w:val="Char Char7 Char Char"/>
    <w:basedOn w:val="1"/>
    <w:qFormat/>
    <w:uiPriority w:val="0"/>
    <w:rPr>
      <w:rFonts w:ascii="仿宋_GB2312" w:hAnsi="Calibri" w:eastAsia="仿宋_GB2312" w:cs="Calibri"/>
      <w:b/>
      <w:sz w:val="32"/>
      <w:szCs w:val="32"/>
    </w:rPr>
  </w:style>
  <w:style w:type="paragraph" w:customStyle="1" w:styleId="994">
    <w:name w:val="此正文"/>
    <w:basedOn w:val="1"/>
    <w:qFormat/>
    <w:uiPriority w:val="0"/>
    <w:pPr>
      <w:spacing w:line="360" w:lineRule="auto"/>
      <w:ind w:firstLine="480" w:firstLineChars="200"/>
    </w:pPr>
    <w:rPr>
      <w:rFonts w:ascii="宋体" w:hAnsi="宋体"/>
      <w:sz w:val="24"/>
    </w:rPr>
  </w:style>
  <w:style w:type="paragraph" w:customStyle="1" w:styleId="995">
    <w:name w:val="_HP Sidebar text"/>
    <w:basedOn w:val="211"/>
    <w:next w:val="211"/>
    <w:qFormat/>
    <w:uiPriority w:val="0"/>
    <w:pPr>
      <w:spacing w:after="360"/>
    </w:pPr>
    <w:rPr>
      <w:rFonts w:ascii="Futura-Heavy" w:hAnsi="Futura-Heavy" w:eastAsia="宋体" w:cs="Times New Roman"/>
      <w:color w:val="auto"/>
    </w:rPr>
  </w:style>
  <w:style w:type="paragraph" w:customStyle="1" w:styleId="996">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7">
    <w:name w:val="SANGFOR_5_标题5"/>
    <w:basedOn w:val="8"/>
    <w:next w:val="237"/>
    <w:qFormat/>
    <w:uiPriority w:val="0"/>
    <w:pPr>
      <w:tabs>
        <w:tab w:val="left" w:pos="567"/>
      </w:tabs>
      <w:spacing w:beforeLines="50" w:afterLines="50" w:line="360" w:lineRule="auto"/>
      <w:ind w:left="425" w:hanging="425"/>
    </w:pPr>
    <w:rPr>
      <w:sz w:val="21"/>
      <w:szCs w:val="21"/>
    </w:rPr>
  </w:style>
  <w:style w:type="paragraph" w:customStyle="1" w:styleId="998">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99">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1000">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01">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1002">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1003">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04">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05">
    <w:name w:val="新增"/>
    <w:basedOn w:val="7"/>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1006">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07">
    <w:name w:val="User Index 6"/>
    <w:basedOn w:val="47"/>
    <w:qFormat/>
    <w:uiPriority w:val="0"/>
    <w:pPr>
      <w:tabs>
        <w:tab w:val="right" w:leader="dot" w:pos="9746"/>
      </w:tabs>
      <w:ind w:left="1415"/>
    </w:pPr>
  </w:style>
  <w:style w:type="paragraph" w:customStyle="1" w:styleId="1008">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1009">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10">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11">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12">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1013">
    <w:name w:val="User Index 2"/>
    <w:basedOn w:val="47"/>
    <w:qFormat/>
    <w:uiPriority w:val="0"/>
    <w:pPr>
      <w:tabs>
        <w:tab w:val="right" w:leader="dot" w:pos="9746"/>
      </w:tabs>
      <w:ind w:left="283"/>
    </w:pPr>
  </w:style>
  <w:style w:type="paragraph" w:customStyle="1" w:styleId="101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15">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1016">
    <w:name w:val="SANGFOR_2_标题2"/>
    <w:basedOn w:val="5"/>
    <w:next w:val="237"/>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1017">
    <w:name w:val="Char1 Char Char Char Char Char Char"/>
    <w:basedOn w:val="1"/>
    <w:qFormat/>
    <w:uiPriority w:val="0"/>
    <w:rPr>
      <w:rFonts w:ascii="仿宋_GB2312" w:eastAsia="仿宋_GB2312"/>
      <w:b/>
      <w:sz w:val="32"/>
      <w:szCs w:val="32"/>
    </w:rPr>
  </w:style>
  <w:style w:type="paragraph" w:customStyle="1" w:styleId="1018">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1019">
    <w:name w:val="标3"/>
    <w:basedOn w:val="1"/>
    <w:qFormat/>
    <w:uiPriority w:val="0"/>
    <w:pPr>
      <w:spacing w:line="360" w:lineRule="auto"/>
      <w:ind w:firstLine="420"/>
    </w:pPr>
    <w:rPr>
      <w:rFonts w:ascii="宋体" w:hAnsi="宋体"/>
    </w:rPr>
  </w:style>
  <w:style w:type="paragraph" w:customStyle="1" w:styleId="1020">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21">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22">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023">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024">
    <w:name w:val="*Bullet Subnumber"/>
    <w:basedOn w:val="673"/>
    <w:qFormat/>
    <w:uiPriority w:val="0"/>
    <w:rPr>
      <w:color w:val="auto"/>
    </w:rPr>
  </w:style>
  <w:style w:type="paragraph" w:customStyle="1" w:styleId="1025">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1026">
    <w:name w:val="项目圆"/>
    <w:basedOn w:val="1"/>
    <w:qFormat/>
    <w:uiPriority w:val="0"/>
    <w:pPr>
      <w:tabs>
        <w:tab w:val="left" w:pos="454"/>
        <w:tab w:val="left" w:pos="840"/>
      </w:tabs>
      <w:spacing w:beforeLines="50" w:afterLines="50" w:line="360" w:lineRule="auto"/>
      <w:ind w:left="425" w:hanging="425"/>
    </w:pPr>
  </w:style>
  <w:style w:type="paragraph" w:customStyle="1" w:styleId="1027">
    <w:name w:val="首页页眉"/>
    <w:basedOn w:val="54"/>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1028">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1029">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30">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31">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032">
    <w:name w:val="*Table Text Bullet #1"/>
    <w:basedOn w:val="573"/>
    <w:qFormat/>
    <w:uiPriority w:val="0"/>
    <w:pPr>
      <w:tabs>
        <w:tab w:val="left" w:pos="144"/>
      </w:tabs>
      <w:ind w:left="144" w:hanging="144"/>
    </w:pPr>
  </w:style>
  <w:style w:type="paragraph" w:customStyle="1" w:styleId="1033">
    <w:name w:val="Char21"/>
    <w:basedOn w:val="1"/>
    <w:qFormat/>
    <w:uiPriority w:val="0"/>
    <w:rPr>
      <w:rFonts w:ascii="仿宋_GB2312" w:eastAsia="仿宋_GB2312"/>
      <w:b/>
      <w:sz w:val="32"/>
      <w:szCs w:val="32"/>
    </w:rPr>
  </w:style>
  <w:style w:type="paragraph" w:customStyle="1" w:styleId="1034">
    <w:name w:val="~Heading 5"/>
    <w:next w:val="507"/>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1035">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36">
    <w:name w:val="msolistparagraph"/>
    <w:basedOn w:val="1"/>
    <w:qFormat/>
    <w:uiPriority w:val="0"/>
    <w:pPr>
      <w:spacing w:line="360" w:lineRule="auto"/>
      <w:ind w:firstLine="200" w:firstLineChars="200"/>
    </w:pPr>
    <w:rPr>
      <w:rFonts w:ascii="Calibri" w:hAnsi="Calibri"/>
      <w:szCs w:val="22"/>
    </w:rPr>
  </w:style>
  <w:style w:type="paragraph" w:customStyle="1" w:styleId="1037">
    <w:name w:val="*Blind Paragraph"/>
    <w:basedOn w:val="54"/>
    <w:qFormat/>
    <w:uiPriority w:val="0"/>
    <w:pPr>
      <w:spacing w:line="360" w:lineRule="auto"/>
      <w:ind w:firstLine="420"/>
    </w:pPr>
    <w:rPr>
      <w:kern w:val="0"/>
    </w:rPr>
  </w:style>
  <w:style w:type="paragraph" w:customStyle="1" w:styleId="1038">
    <w:name w:val="Numbering 5 End"/>
    <w:basedOn w:val="62"/>
    <w:qFormat/>
    <w:uiPriority w:val="0"/>
    <w:pPr>
      <w:widowControl/>
      <w:spacing w:after="240"/>
      <w:ind w:left="1417" w:firstLine="0" w:firstLineChars="0"/>
      <w:jc w:val="left"/>
    </w:pPr>
    <w:rPr>
      <w:rFonts w:eastAsia="PMingLiU"/>
      <w:kern w:val="0"/>
      <w:sz w:val="20"/>
      <w:szCs w:val="20"/>
      <w:lang w:eastAsia="zh-TW"/>
    </w:rPr>
  </w:style>
  <w:style w:type="paragraph" w:customStyle="1" w:styleId="1039">
    <w:name w:val="~Bullet #1 Double"/>
    <w:basedOn w:val="675"/>
    <w:qFormat/>
    <w:uiPriority w:val="0"/>
    <w:pPr>
      <w:tabs>
        <w:tab w:val="left" w:pos="1080"/>
        <w:tab w:val="left" w:pos="1140"/>
        <w:tab w:val="clear" w:pos="900"/>
      </w:tabs>
      <w:spacing w:after="220"/>
      <w:ind w:left="360" w:hanging="360"/>
    </w:pPr>
  </w:style>
  <w:style w:type="paragraph" w:customStyle="1" w:styleId="1040">
    <w:name w:val="_HP Body text 10 pt"/>
    <w:basedOn w:val="211"/>
    <w:next w:val="211"/>
    <w:qFormat/>
    <w:uiPriority w:val="0"/>
    <w:pPr>
      <w:spacing w:after="120"/>
    </w:pPr>
    <w:rPr>
      <w:rFonts w:ascii="Futura-Book" w:hAnsi="Futura-Book" w:eastAsia="宋体" w:cs="Times New Roman"/>
      <w:color w:val="auto"/>
    </w:rPr>
  </w:style>
  <w:style w:type="paragraph" w:customStyle="1" w:styleId="1041">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2">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43">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1044">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5">
    <w:name w:val="*Section Title"/>
    <w:next w:val="295"/>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1046">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047">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048">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1049">
    <w:name w:val="TOC 标题1"/>
    <w:basedOn w:val="4"/>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1050">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1051">
    <w:name w:val="GP公文标题1"/>
    <w:basedOn w:val="778"/>
    <w:next w:val="778"/>
    <w:qFormat/>
    <w:uiPriority w:val="0"/>
    <w:pPr>
      <w:jc w:val="both"/>
    </w:pPr>
    <w:rPr>
      <w:rFonts w:ascii="宋体"/>
    </w:rPr>
  </w:style>
  <w:style w:type="paragraph" w:customStyle="1" w:styleId="1052">
    <w:name w:val="‧ N body indented 2"/>
    <w:basedOn w:val="509"/>
    <w:qFormat/>
    <w:uiPriority w:val="0"/>
  </w:style>
  <w:style w:type="paragraph" w:customStyle="1" w:styleId="1053">
    <w:name w:val="HP Sender Data"/>
    <w:basedOn w:val="864"/>
    <w:qFormat/>
    <w:uiPriority w:val="0"/>
    <w:pPr>
      <w:spacing w:after="0"/>
    </w:pPr>
    <w:rPr>
      <w:b/>
      <w:sz w:val="14"/>
      <w:szCs w:val="14"/>
    </w:rPr>
  </w:style>
  <w:style w:type="paragraph" w:customStyle="1" w:styleId="1054">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55">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056">
    <w:name w:val="‧ N table-10 body indent"/>
    <w:basedOn w:val="509"/>
    <w:qFormat/>
    <w:uiPriority w:val="0"/>
  </w:style>
  <w:style w:type="paragraph" w:customStyle="1" w:styleId="1057">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1058">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1059">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1060">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61">
    <w:name w:val="*Table Text 2 Bullet #1"/>
    <w:basedOn w:val="615"/>
    <w:qFormat/>
    <w:uiPriority w:val="0"/>
    <w:pPr>
      <w:tabs>
        <w:tab w:val="left" w:pos="144"/>
        <w:tab w:val="left" w:pos="3240"/>
      </w:tabs>
      <w:ind w:left="144" w:hanging="144"/>
    </w:pPr>
  </w:style>
  <w:style w:type="paragraph" w:customStyle="1" w:styleId="1062">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1063">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1064">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106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66">
    <w:name w:val="表内容"/>
    <w:basedOn w:val="1"/>
    <w:qFormat/>
    <w:uiPriority w:val="0"/>
    <w:pPr>
      <w:widowControl/>
      <w:spacing w:line="360" w:lineRule="auto"/>
      <w:ind w:firstLine="420"/>
      <w:jc w:val="center"/>
    </w:pPr>
    <w:rPr>
      <w:rFonts w:ascii="宋体" w:hAnsi="宋体"/>
      <w:kern w:val="0"/>
      <w:sz w:val="20"/>
    </w:rPr>
  </w:style>
  <w:style w:type="paragraph" w:customStyle="1" w:styleId="1067">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1068">
    <w:name w:val="‧ N head 2"/>
    <w:basedOn w:val="509"/>
    <w:next w:val="497"/>
    <w:qFormat/>
    <w:uiPriority w:val="0"/>
  </w:style>
  <w:style w:type="paragraph" w:customStyle="1" w:styleId="1069">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107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71">
    <w:name w:val="样式 标题 2标题 1.1编号标题21.1head:2#2 headlinehheadlineS&amp;R2ERMH...1"/>
    <w:basedOn w:val="5"/>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107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73">
    <w:name w:val="普通(网站)1"/>
    <w:basedOn w:val="1"/>
    <w:qFormat/>
    <w:uiPriority w:val="0"/>
    <w:pPr>
      <w:widowControl/>
      <w:jc w:val="left"/>
    </w:pPr>
    <w:rPr>
      <w:rFonts w:ascii="ˎ̥" w:hAnsi="ˎ̥" w:cs="宋体"/>
      <w:color w:val="000000"/>
      <w:kern w:val="0"/>
      <w:sz w:val="13"/>
      <w:szCs w:val="13"/>
    </w:rPr>
  </w:style>
  <w:style w:type="paragraph" w:customStyle="1" w:styleId="1074">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1075">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1076">
    <w:name w:val="‧ N table-8 body center"/>
    <w:basedOn w:val="640"/>
    <w:qFormat/>
    <w:uiPriority w:val="0"/>
    <w:pPr>
      <w:spacing w:before="85" w:after="45"/>
      <w:jc w:val="center"/>
    </w:pPr>
    <w:rPr>
      <w:sz w:val="16"/>
    </w:rPr>
  </w:style>
  <w:style w:type="paragraph" w:customStyle="1" w:styleId="1077">
    <w:name w:val="_Style 40"/>
    <w:basedOn w:val="1"/>
    <w:qFormat/>
    <w:uiPriority w:val="0"/>
    <w:rPr>
      <w:rFonts w:eastAsia="??"/>
      <w:szCs w:val="28"/>
    </w:rPr>
  </w:style>
  <w:style w:type="paragraph" w:customStyle="1" w:styleId="1078">
    <w:name w:val="Char Char Char Char Char Char Char Char"/>
    <w:basedOn w:val="1"/>
    <w:qFormat/>
    <w:uiPriority w:val="0"/>
    <w:pPr>
      <w:spacing w:line="360" w:lineRule="auto"/>
    </w:pPr>
    <w:rPr>
      <w:rFonts w:ascii="宋体" w:hAnsi="宋体"/>
    </w:rPr>
  </w:style>
  <w:style w:type="paragraph" w:customStyle="1" w:styleId="1079">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1080">
    <w:name w:val="技术标题2"/>
    <w:basedOn w:val="901"/>
    <w:qFormat/>
    <w:uiPriority w:val="0"/>
    <w:pPr>
      <w:tabs>
        <w:tab w:val="left" w:pos="567"/>
        <w:tab w:val="left" w:pos="1440"/>
      </w:tabs>
      <w:spacing w:beforeLines="150" w:line="240" w:lineRule="auto"/>
      <w:ind w:left="567" w:hanging="567"/>
    </w:pPr>
    <w:rPr>
      <w:sz w:val="28"/>
    </w:rPr>
  </w:style>
  <w:style w:type="paragraph" w:customStyle="1" w:styleId="1081">
    <w:name w:val="*Cover Text 1"/>
    <w:basedOn w:val="615"/>
    <w:qFormat/>
    <w:uiPriority w:val="0"/>
    <w:pPr>
      <w:spacing w:line="280" w:lineRule="atLeast"/>
    </w:pPr>
    <w:rPr>
      <w:color w:val="00637A"/>
      <w:sz w:val="44"/>
      <w:szCs w:val="44"/>
    </w:rPr>
  </w:style>
  <w:style w:type="paragraph" w:customStyle="1" w:styleId="1082">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1083">
    <w:name w:val="Pa2"/>
    <w:basedOn w:val="211"/>
    <w:next w:val="211"/>
    <w:qFormat/>
    <w:uiPriority w:val="0"/>
    <w:pPr>
      <w:spacing w:line="241" w:lineRule="atLeast"/>
    </w:pPr>
    <w:rPr>
      <w:rFonts w:cs="Times New Roman"/>
      <w:color w:val="auto"/>
    </w:rPr>
  </w:style>
  <w:style w:type="paragraph" w:customStyle="1" w:styleId="1084">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1085">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6">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7">
    <w:name w:val="样式 表头样式 + 段后: 23.4 磅"/>
    <w:basedOn w:val="154"/>
    <w:qFormat/>
    <w:uiPriority w:val="0"/>
  </w:style>
  <w:style w:type="paragraph" w:customStyle="1" w:styleId="1088">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8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90">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091">
    <w:name w:val="Numbering 1 Cont."/>
    <w:basedOn w:val="62"/>
    <w:qFormat/>
    <w:uiPriority w:val="0"/>
    <w:pPr>
      <w:widowControl/>
      <w:ind w:left="0" w:firstLine="0" w:firstLineChars="0"/>
      <w:jc w:val="left"/>
    </w:pPr>
    <w:rPr>
      <w:rFonts w:eastAsia="PMingLiU"/>
      <w:kern w:val="0"/>
      <w:sz w:val="20"/>
      <w:szCs w:val="20"/>
      <w:lang w:eastAsia="zh-TW"/>
    </w:rPr>
  </w:style>
  <w:style w:type="paragraph" w:customStyle="1" w:styleId="1092">
    <w:name w:val="#"/>
    <w:basedOn w:val="1"/>
    <w:qFormat/>
    <w:uiPriority w:val="0"/>
    <w:pPr>
      <w:tabs>
        <w:tab w:val="left" w:pos="1022"/>
      </w:tabs>
      <w:spacing w:line="360" w:lineRule="auto"/>
      <w:ind w:firstLine="420"/>
    </w:pPr>
    <w:rPr>
      <w:rFonts w:ascii="宋体" w:hAnsi="宋体"/>
      <w:sz w:val="24"/>
    </w:rPr>
  </w:style>
  <w:style w:type="paragraph" w:customStyle="1" w:styleId="1093">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094">
    <w:name w:val="*Bullet #3 Double"/>
    <w:basedOn w:val="667"/>
    <w:qFormat/>
    <w:uiPriority w:val="0"/>
    <w:pPr>
      <w:tabs>
        <w:tab w:val="left" w:pos="481"/>
        <w:tab w:val="left" w:pos="600"/>
        <w:tab w:val="left" w:pos="1620"/>
      </w:tabs>
      <w:spacing w:after="220"/>
    </w:pPr>
  </w:style>
  <w:style w:type="paragraph" w:customStyle="1" w:styleId="1095">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096">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1097">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1098">
    <w:name w:val="TopHeader"/>
    <w:basedOn w:val="4"/>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1099">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00">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1101">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02">
    <w:name w:val="样式 目录 2 + 左侧:  1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1103">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04">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1105">
    <w:name w:val="List Paragraph"/>
    <w:basedOn w:val="1"/>
    <w:qFormat/>
    <w:uiPriority w:val="34"/>
    <w:pPr>
      <w:ind w:firstLine="420" w:firstLineChars="200"/>
    </w:pPr>
  </w:style>
  <w:style w:type="paragraph" w:customStyle="1" w:styleId="1106">
    <w:name w:val="~Heading 4"/>
    <w:next w:val="507"/>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1107">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1108">
    <w:name w:val="~Manual # Heading 2"/>
    <w:next w:val="507"/>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1109">
    <w:name w:val="‧ N bullet last"/>
    <w:basedOn w:val="509"/>
    <w:next w:val="497"/>
    <w:qFormat/>
    <w:uiPriority w:val="0"/>
  </w:style>
  <w:style w:type="paragraph" w:customStyle="1" w:styleId="1110">
    <w:name w:val="样式7"/>
    <w:basedOn w:val="176"/>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1111">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1112">
    <w:name w:val="1"/>
    <w:basedOn w:val="1"/>
    <w:next w:val="66"/>
    <w:qFormat/>
    <w:uiPriority w:val="0"/>
    <w:pPr>
      <w:widowControl/>
      <w:snapToGrid w:val="0"/>
      <w:spacing w:line="440" w:lineRule="atLeast"/>
      <w:ind w:firstLine="480"/>
    </w:pPr>
    <w:rPr>
      <w:kern w:val="0"/>
      <w:sz w:val="24"/>
      <w:szCs w:val="20"/>
    </w:rPr>
  </w:style>
  <w:style w:type="paragraph" w:customStyle="1" w:styleId="1113">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14">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1115">
    <w:name w:val="样式 章标题HZ + 段前: 0.5 行 段后: 0.5 行"/>
    <w:basedOn w:val="598"/>
    <w:qFormat/>
    <w:uiPriority w:val="0"/>
    <w:pPr>
      <w:pageBreakBefore/>
      <w:tabs>
        <w:tab w:val="left" w:pos="0"/>
      </w:tabs>
      <w:spacing w:beforeLines="0" w:afterLines="0" w:line="480" w:lineRule="auto"/>
      <w:ind w:firstLine="1256"/>
      <w:outlineLvl w:val="0"/>
    </w:pPr>
    <w:rPr>
      <w:bCs/>
    </w:rPr>
  </w:style>
  <w:style w:type="paragraph" w:customStyle="1" w:styleId="1116">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117">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18">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119">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20">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21">
    <w:name w:val="Text"/>
    <w:basedOn w:val="24"/>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1122">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123">
    <w:name w:val="*Body Text Bold"/>
    <w:basedOn w:val="295"/>
    <w:next w:val="295"/>
    <w:qFormat/>
    <w:uiPriority w:val="0"/>
    <w:pPr>
      <w:tabs>
        <w:tab w:val="left" w:pos="360"/>
      </w:tabs>
    </w:pPr>
    <w:rPr>
      <w:b/>
      <w:sz w:val="20"/>
    </w:rPr>
  </w:style>
  <w:style w:type="paragraph" w:customStyle="1" w:styleId="1124">
    <w:name w:val="默认段落字体 Para Char Char Char Char Char Char Char Char Char1 Char Char Char Char Char Char Char Char Char1 Char"/>
    <w:basedOn w:val="28"/>
    <w:qFormat/>
    <w:uiPriority w:val="0"/>
    <w:pPr>
      <w:spacing w:line="360" w:lineRule="auto"/>
      <w:ind w:firstLine="420"/>
    </w:pPr>
    <w:rPr>
      <w:rFonts w:ascii="Tahoma" w:hAnsi="Tahoma"/>
      <w:kern w:val="0"/>
      <w:sz w:val="24"/>
    </w:rPr>
  </w:style>
  <w:style w:type="paragraph" w:customStyle="1" w:styleId="1125">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1126">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27">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1128">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29">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1130">
    <w:name w:val="‧ N table-10 body right"/>
    <w:basedOn w:val="509"/>
    <w:qFormat/>
    <w:uiPriority w:val="0"/>
  </w:style>
  <w:style w:type="paragraph" w:customStyle="1" w:styleId="1131">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2">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33">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34">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1135">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36">
    <w:name w:val="顺序编号1"/>
    <w:basedOn w:val="1"/>
    <w:qFormat/>
    <w:uiPriority w:val="0"/>
    <w:pPr>
      <w:spacing w:afterLines="50" w:line="360" w:lineRule="auto"/>
      <w:ind w:firstLine="420"/>
    </w:pPr>
    <w:rPr>
      <w:rFonts w:ascii="宋体" w:hAnsi="宋体"/>
    </w:rPr>
  </w:style>
  <w:style w:type="paragraph" w:customStyle="1" w:styleId="1137">
    <w:name w:val="Char Char7 Char Char Char Char"/>
    <w:basedOn w:val="1"/>
    <w:qFormat/>
    <w:uiPriority w:val="0"/>
    <w:rPr>
      <w:rFonts w:ascii="仿宋_GB2312" w:hAnsi="Calibri" w:eastAsia="仿宋_GB2312" w:cs="Calibri"/>
      <w:b/>
      <w:sz w:val="32"/>
      <w:szCs w:val="32"/>
    </w:rPr>
  </w:style>
  <w:style w:type="paragraph" w:customStyle="1" w:styleId="1138">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39">
    <w:name w:val="样式 目录 2 + 左侧:  1 字符 右侧:  0.47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1140">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1141">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2">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143">
    <w:name w:val="*List Numbers Bold (Auto)"/>
    <w:basedOn w:val="519"/>
    <w:qFormat/>
    <w:uiPriority w:val="0"/>
    <w:pPr>
      <w:tabs>
        <w:tab w:val="left" w:pos="840"/>
      </w:tabs>
      <w:ind w:left="840"/>
    </w:pPr>
    <w:rPr>
      <w:b/>
    </w:rPr>
  </w:style>
  <w:style w:type="paragraph" w:customStyle="1" w:styleId="1144">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45">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1146">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1147">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48">
    <w:name w:val="4444"/>
    <w:basedOn w:val="7"/>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1149">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1150">
    <w:name w:val="样式11"/>
    <w:basedOn w:val="277"/>
    <w:qFormat/>
    <w:uiPriority w:val="0"/>
    <w:rPr>
      <w:rFonts w:ascii="Times New Roman"/>
    </w:rPr>
  </w:style>
  <w:style w:type="paragraph" w:customStyle="1" w:styleId="1151">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52">
    <w:name w:val="样式 正文文本缩进 + 左  0 字符"/>
    <w:basedOn w:val="3"/>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1153">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1154">
    <w:name w:val="表文字"/>
    <w:qFormat/>
    <w:uiPriority w:val="0"/>
    <w:rPr>
      <w:rFonts w:ascii="宋体" w:hAnsi="Times New Roman" w:eastAsia="宋体" w:cs="Times New Roman"/>
      <w:kern w:val="2"/>
      <w:lang w:val="en-US" w:eastAsia="zh-CN" w:bidi="ar-SA"/>
    </w:rPr>
  </w:style>
  <w:style w:type="paragraph" w:customStyle="1" w:styleId="115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6">
    <w:name w:val="1级"/>
    <w:basedOn w:val="4"/>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1157">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1158">
    <w:name w:val="样式 标题 3 + (西文) Verdana"/>
    <w:basedOn w:val="6"/>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1159">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1160">
    <w:name w:val="正文缩进1"/>
    <w:basedOn w:val="1"/>
    <w:qFormat/>
    <w:uiPriority w:val="0"/>
    <w:pPr>
      <w:spacing w:line="360" w:lineRule="auto"/>
      <w:ind w:firstLine="454"/>
      <w:jc w:val="left"/>
    </w:pPr>
    <w:rPr>
      <w:sz w:val="24"/>
    </w:rPr>
  </w:style>
  <w:style w:type="paragraph" w:customStyle="1" w:styleId="1161">
    <w:name w:val="User Index 5"/>
    <w:basedOn w:val="47"/>
    <w:qFormat/>
    <w:uiPriority w:val="0"/>
    <w:pPr>
      <w:tabs>
        <w:tab w:val="right" w:leader="dot" w:pos="9746"/>
      </w:tabs>
      <w:ind w:left="1132"/>
    </w:pPr>
  </w:style>
  <w:style w:type="paragraph" w:customStyle="1" w:styleId="1162">
    <w:name w:val="*Numbers Double"/>
    <w:basedOn w:val="543"/>
    <w:qFormat/>
    <w:uiPriority w:val="0"/>
    <w:pPr>
      <w:spacing w:after="220"/>
    </w:pPr>
  </w:style>
  <w:style w:type="paragraph" w:customStyle="1" w:styleId="1163">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64">
    <w:name w:val="Char Char2"/>
    <w:basedOn w:val="28"/>
    <w:qFormat/>
    <w:uiPriority w:val="0"/>
    <w:pPr>
      <w:spacing w:line="360" w:lineRule="auto"/>
      <w:ind w:firstLine="420"/>
    </w:pPr>
    <w:rPr>
      <w:rFonts w:ascii="Tahoma" w:hAnsi="Tahoma"/>
      <w:kern w:val="0"/>
      <w:sz w:val="24"/>
    </w:rPr>
  </w:style>
  <w:style w:type="paragraph" w:customStyle="1" w:styleId="1165">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166">
    <w:name w:val="*SOW 4"/>
    <w:basedOn w:val="566"/>
    <w:next w:val="295"/>
    <w:qFormat/>
    <w:uiPriority w:val="0"/>
    <w:pPr>
      <w:outlineLvl w:val="4"/>
    </w:pPr>
  </w:style>
  <w:style w:type="paragraph" w:customStyle="1" w:styleId="1167">
    <w:name w:val="*Bullet #3 Subtext Single"/>
    <w:basedOn w:val="1094"/>
    <w:qFormat/>
    <w:uiPriority w:val="0"/>
    <w:pPr>
      <w:spacing w:after="0"/>
      <w:ind w:firstLine="0"/>
    </w:pPr>
  </w:style>
  <w:style w:type="paragraph" w:customStyle="1" w:styleId="1168">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69">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70">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171">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2">
    <w:name w:val="Char Char24 Char Char"/>
    <w:basedOn w:val="1"/>
    <w:qFormat/>
    <w:uiPriority w:val="0"/>
    <w:pPr>
      <w:tabs>
        <w:tab w:val="right" w:pos="-2120"/>
      </w:tabs>
      <w:snapToGrid w:val="0"/>
    </w:pPr>
    <w:rPr>
      <w:sz w:val="24"/>
    </w:rPr>
  </w:style>
  <w:style w:type="paragraph" w:customStyle="1" w:styleId="1173">
    <w:name w:val="*Header"/>
    <w:basedOn w:val="295"/>
    <w:qFormat/>
    <w:uiPriority w:val="0"/>
    <w:pPr>
      <w:tabs>
        <w:tab w:val="right" w:pos="8784"/>
      </w:tabs>
    </w:pPr>
    <w:rPr>
      <w:color w:val="00637A"/>
      <w:sz w:val="18"/>
      <w:szCs w:val="18"/>
    </w:rPr>
  </w:style>
  <w:style w:type="paragraph" w:customStyle="1" w:styleId="1174">
    <w:name w:val="~Table Text"/>
    <w:basedOn w:val="573"/>
    <w:qFormat/>
    <w:uiPriority w:val="0"/>
    <w:rPr>
      <w:color w:val="00637A"/>
      <w:szCs w:val="18"/>
    </w:rPr>
  </w:style>
  <w:style w:type="paragraph" w:customStyle="1" w:styleId="1175">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1176">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1177">
    <w:name w:val="2"/>
    <w:basedOn w:val="1"/>
    <w:qFormat/>
    <w:uiPriority w:val="0"/>
    <w:rPr>
      <w:rFonts w:ascii="Tahoma" w:hAnsi="Tahoma" w:eastAsia="??" w:cs="Tahoma"/>
      <w:sz w:val="24"/>
      <w:szCs w:val="28"/>
    </w:rPr>
  </w:style>
  <w:style w:type="paragraph" w:customStyle="1" w:styleId="1178">
    <w:name w:val="*Response"/>
    <w:basedOn w:val="295"/>
    <w:next w:val="295"/>
    <w:qFormat/>
    <w:uiPriority w:val="0"/>
    <w:pPr>
      <w:ind w:left="1440" w:hanging="1440"/>
    </w:pPr>
    <w:rPr>
      <w:sz w:val="20"/>
    </w:rPr>
  </w:style>
  <w:style w:type="paragraph" w:customStyle="1" w:styleId="1179">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1180">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1181">
    <w:name w:val="•Subtitle"/>
    <w:basedOn w:val="1"/>
    <w:qFormat/>
    <w:uiPriority w:val="0"/>
    <w:pPr>
      <w:suppressAutoHyphens/>
    </w:pPr>
    <w:rPr>
      <w:rFonts w:ascii="Arial" w:hAnsi="Arial"/>
      <w:kern w:val="1"/>
      <w:lang w:eastAsia="ar-SA"/>
    </w:rPr>
  </w:style>
  <w:style w:type="paragraph" w:customStyle="1" w:styleId="1182">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183">
    <w:name w:val="*List Text"/>
    <w:basedOn w:val="295"/>
    <w:qFormat/>
    <w:uiPriority w:val="0"/>
    <w:pPr>
      <w:tabs>
        <w:tab w:val="left" w:pos="360"/>
        <w:tab w:val="left" w:pos="576"/>
        <w:tab w:val="right" w:leader="dot" w:pos="8640"/>
      </w:tabs>
      <w:suppressAutoHyphens/>
      <w:ind w:left="360" w:hanging="360"/>
    </w:pPr>
    <w:rPr>
      <w:sz w:val="18"/>
      <w:szCs w:val="18"/>
    </w:rPr>
  </w:style>
  <w:style w:type="paragraph" w:customStyle="1" w:styleId="1184">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1185">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186">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187">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188">
    <w:name w:val="yxy标题2"/>
    <w:basedOn w:val="1"/>
    <w:next w:val="1"/>
    <w:qFormat/>
    <w:uiPriority w:val="0"/>
    <w:pPr>
      <w:keepNext/>
      <w:spacing w:before="260" w:after="120" w:line="360" w:lineRule="auto"/>
      <w:outlineLvl w:val="1"/>
    </w:pPr>
    <w:rPr>
      <w:b/>
      <w:sz w:val="30"/>
      <w:szCs w:val="20"/>
    </w:rPr>
  </w:style>
  <w:style w:type="paragraph" w:customStyle="1" w:styleId="1189">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190">
    <w:name w:val="*Manual # Heading 2"/>
    <w:next w:val="295"/>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1191">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92">
    <w:name w:val="*Manual # Heading 1"/>
    <w:next w:val="295"/>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1193">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1194">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195">
    <w:name w:val="样式 标题 3H3Heading 3 - oldH31H32H33H34H35H36H37H38H39H..."/>
    <w:basedOn w:val="6"/>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1196">
    <w:name w:val="HP Recipient Data CustomerName"/>
    <w:basedOn w:val="864"/>
    <w:qFormat/>
    <w:uiPriority w:val="0"/>
  </w:style>
  <w:style w:type="paragraph" w:customStyle="1" w:styleId="1197">
    <w:name w:val="默认段落字体 Para Char"/>
    <w:basedOn w:val="1"/>
    <w:qFormat/>
    <w:uiPriority w:val="0"/>
    <w:pPr>
      <w:tabs>
        <w:tab w:val="left" w:pos="454"/>
      </w:tabs>
      <w:ind w:firstLine="420"/>
    </w:pPr>
  </w:style>
  <w:style w:type="paragraph" w:customStyle="1" w:styleId="1198">
    <w:name w:val="Char"/>
    <w:basedOn w:val="1"/>
    <w:qFormat/>
    <w:uiPriority w:val="0"/>
    <w:rPr>
      <w:rFonts w:ascii="仿宋_GB2312" w:eastAsia="仿宋_GB2312"/>
      <w:b/>
      <w:sz w:val="32"/>
      <w:szCs w:val="32"/>
    </w:rPr>
  </w:style>
  <w:style w:type="paragraph" w:customStyle="1" w:styleId="119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1200">
    <w:name w:val="List Heading"/>
    <w:basedOn w:val="1"/>
    <w:next w:val="1179"/>
    <w:qFormat/>
    <w:uiPriority w:val="0"/>
    <w:pPr>
      <w:autoSpaceDN w:val="0"/>
      <w:adjustRightInd w:val="0"/>
      <w:jc w:val="left"/>
    </w:pPr>
    <w:rPr>
      <w:rFonts w:ascii="Arial" w:hAnsi="Arial" w:eastAsia="PMingLiU"/>
      <w:kern w:val="0"/>
      <w:sz w:val="20"/>
      <w:szCs w:val="20"/>
      <w:lang w:val="en-GB" w:eastAsia="zh-TW"/>
    </w:rPr>
  </w:style>
  <w:style w:type="paragraph" w:customStyle="1" w:styleId="1201">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1202">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3">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204">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05">
    <w:name w:val="Index Separator"/>
    <w:basedOn w:val="47"/>
    <w:qFormat/>
    <w:uiPriority w:val="0"/>
  </w:style>
  <w:style w:type="paragraph" w:customStyle="1" w:styleId="1206">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07">
    <w:name w:val="TOC 标题11"/>
    <w:basedOn w:val="4"/>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1208">
    <w:name w:val="样式10"/>
    <w:basedOn w:val="584"/>
    <w:qFormat/>
    <w:uiPriority w:val="0"/>
    <w:rPr>
      <w:rFonts w:ascii="Times New Roman" w:hAnsi="宋体"/>
    </w:rPr>
  </w:style>
  <w:style w:type="paragraph" w:customStyle="1" w:styleId="1209">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1210">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11">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12">
    <w:name w:val="Marginalia"/>
    <w:basedOn w:val="19"/>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1213">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214">
    <w:name w:val="附录 Heading 2"/>
    <w:basedOn w:val="5"/>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1215">
    <w:name w:val="Char Char1 Char"/>
    <w:basedOn w:val="1"/>
    <w:qFormat/>
    <w:uiPriority w:val="0"/>
    <w:pPr>
      <w:widowControl/>
      <w:spacing w:after="160" w:line="240" w:lineRule="exact"/>
      <w:jc w:val="left"/>
    </w:pPr>
  </w:style>
  <w:style w:type="paragraph" w:customStyle="1" w:styleId="1216">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217">
    <w:name w:val="Hanging indent"/>
    <w:basedOn w:val="19"/>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1218">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19">
    <w:name w:val="标题5"/>
    <w:basedOn w:val="8"/>
    <w:qFormat/>
    <w:uiPriority w:val="0"/>
    <w:pPr>
      <w:tabs>
        <w:tab w:val="left" w:pos="1361"/>
      </w:tabs>
      <w:ind w:left="992" w:hanging="992"/>
    </w:pPr>
  </w:style>
  <w:style w:type="paragraph" w:customStyle="1" w:styleId="1220">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21">
    <w:name w:val="‧ N head TOC"/>
    <w:basedOn w:val="509"/>
    <w:next w:val="497"/>
    <w:qFormat/>
    <w:uiPriority w:val="0"/>
  </w:style>
  <w:style w:type="paragraph" w:customStyle="1" w:styleId="1222">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1223">
    <w:name w:val="HP Full Page"/>
    <w:qFormat/>
    <w:uiPriority w:val="0"/>
    <w:rPr>
      <w:rFonts w:ascii="Arial" w:hAnsi="Arial" w:eastAsia="宋体" w:cs="Times New Roman"/>
      <w:sz w:val="16"/>
      <w:szCs w:val="18"/>
      <w:lang w:val="en-US" w:eastAsia="en-US" w:bidi="ar-SA"/>
    </w:rPr>
  </w:style>
  <w:style w:type="paragraph" w:customStyle="1" w:styleId="1224">
    <w:name w:val="*Alt Numbers Double"/>
    <w:basedOn w:val="1162"/>
    <w:qFormat/>
    <w:uiPriority w:val="0"/>
    <w:pPr>
      <w:tabs>
        <w:tab w:val="left" w:pos="1440"/>
        <w:tab w:val="clear" w:pos="360"/>
      </w:tabs>
      <w:ind w:left="1440" w:hanging="1440"/>
    </w:pPr>
  </w:style>
  <w:style w:type="paragraph" w:customStyle="1" w:styleId="1225">
    <w:name w:val="无间隔11"/>
    <w:qFormat/>
    <w:uiPriority w:val="0"/>
    <w:rPr>
      <w:rFonts w:ascii="Times New Roman" w:hAnsi="Times New Roman" w:eastAsia="PMingLiU" w:cs="Times New Roman"/>
      <w:snapToGrid w:val="0"/>
      <w:sz w:val="22"/>
      <w:szCs w:val="22"/>
      <w:lang w:val="en-US" w:eastAsia="zh-TW" w:bidi="ar-SA"/>
    </w:rPr>
  </w:style>
  <w:style w:type="paragraph" w:customStyle="1" w:styleId="1226">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27">
    <w:name w:val="自定二级标题"/>
    <w:basedOn w:val="77"/>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228">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29">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30">
    <w:name w:val="目錄標題"/>
    <w:basedOn w:val="4"/>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231">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232">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233">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1234">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35">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1236">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37">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238">
    <w:name w:val="样式 宋体 居中"/>
    <w:basedOn w:val="1"/>
    <w:qFormat/>
    <w:uiPriority w:val="0"/>
    <w:pPr>
      <w:spacing w:line="360" w:lineRule="auto"/>
      <w:ind w:firstLine="420"/>
      <w:jc w:val="center"/>
    </w:pPr>
    <w:rPr>
      <w:rFonts w:ascii="宋体" w:hAnsi="宋体" w:cs="宋体"/>
      <w:szCs w:val="20"/>
    </w:rPr>
  </w:style>
  <w:style w:type="paragraph" w:customStyle="1" w:styleId="1239">
    <w:name w:val="‧ N table-8 head left"/>
    <w:basedOn w:val="640"/>
    <w:qFormat/>
    <w:uiPriority w:val="0"/>
    <w:pPr>
      <w:spacing w:before="85" w:after="113"/>
    </w:pPr>
    <w:rPr>
      <w:b/>
      <w:sz w:val="18"/>
    </w:rPr>
  </w:style>
  <w:style w:type="paragraph" w:customStyle="1" w:styleId="1240">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1241">
    <w:name w:val="yxy正文"/>
    <w:basedOn w:val="1"/>
    <w:qFormat/>
    <w:uiPriority w:val="0"/>
    <w:pPr>
      <w:spacing w:line="360" w:lineRule="auto"/>
      <w:ind w:firstLine="200" w:firstLineChars="200"/>
    </w:pPr>
    <w:rPr>
      <w:sz w:val="24"/>
      <w:szCs w:val="20"/>
    </w:rPr>
  </w:style>
  <w:style w:type="paragraph" w:customStyle="1" w:styleId="1242">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1243">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4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1245">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1246">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47">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48">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249">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50">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125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52">
    <w:name w:val="标题一"/>
    <w:basedOn w:val="4"/>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1253">
    <w:name w:val="Normal + (Complex) Arial"/>
    <w:basedOn w:val="5"/>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1254">
    <w:name w:val="表标题(小)"/>
    <w:basedOn w:val="1"/>
    <w:next w:val="3"/>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1255">
    <w:name w:val="Heading 21"/>
    <w:basedOn w:val="211"/>
    <w:next w:val="211"/>
    <w:qFormat/>
    <w:uiPriority w:val="0"/>
    <w:pPr>
      <w:spacing w:after="120"/>
    </w:pPr>
    <w:rPr>
      <w:rFonts w:ascii="Futura-Book" w:hAnsi="Futura-Book" w:eastAsia="宋体" w:cs="Times New Roman"/>
      <w:color w:val="auto"/>
    </w:rPr>
  </w:style>
  <w:style w:type="paragraph" w:customStyle="1" w:styleId="1256">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57">
    <w:name w:val="正文加一级编号"/>
    <w:basedOn w:val="1"/>
    <w:next w:val="3"/>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1258">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259">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1260">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1261">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1262">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63">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264">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65">
    <w:name w:val="*Table Text Bold"/>
    <w:basedOn w:val="573"/>
    <w:qFormat/>
    <w:uiPriority w:val="0"/>
    <w:rPr>
      <w:b/>
    </w:rPr>
  </w:style>
  <w:style w:type="paragraph" w:customStyle="1" w:styleId="1266">
    <w:name w:val="‧ N table-8 body right"/>
    <w:basedOn w:val="640"/>
    <w:qFormat/>
    <w:uiPriority w:val="0"/>
    <w:pPr>
      <w:spacing w:before="85" w:after="45"/>
      <w:jc w:val="right"/>
    </w:pPr>
    <w:rPr>
      <w:sz w:val="16"/>
    </w:rPr>
  </w:style>
  <w:style w:type="paragraph" w:customStyle="1" w:styleId="1267">
    <w:name w:val="*Manual # Heading 3"/>
    <w:next w:val="295"/>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1268">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1269">
    <w:name w:val="HP_Bullet"/>
    <w:basedOn w:val="557"/>
    <w:qFormat/>
    <w:uiPriority w:val="0"/>
    <w:pPr>
      <w:tabs>
        <w:tab w:val="left" w:pos="1200"/>
        <w:tab w:val="clear" w:pos="1440"/>
      </w:tabs>
      <w:ind w:left="3237" w:leftChars="400" w:hanging="357" w:hangingChars="200"/>
    </w:pPr>
  </w:style>
  <w:style w:type="paragraph" w:customStyle="1" w:styleId="1270">
    <w:name w:val="*SOW 5"/>
    <w:basedOn w:val="566"/>
    <w:next w:val="295"/>
    <w:qFormat/>
    <w:uiPriority w:val="0"/>
    <w:pPr>
      <w:outlineLvl w:val="5"/>
    </w:pPr>
  </w:style>
  <w:style w:type="paragraph" w:customStyle="1" w:styleId="1271">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1272">
    <w:name w:val="DAS列表二"/>
    <w:basedOn w:val="531"/>
    <w:next w:val="531"/>
    <w:qFormat/>
    <w:uiPriority w:val="0"/>
    <w:pPr>
      <w:tabs>
        <w:tab w:val="left" w:pos="840"/>
      </w:tabs>
      <w:ind w:left="960" w:firstLine="0" w:firstLineChars="0"/>
    </w:pPr>
  </w:style>
  <w:style w:type="paragraph" w:customStyle="1" w:styleId="1273">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1274">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75">
    <w:name w:val="User Index 10"/>
    <w:basedOn w:val="47"/>
    <w:qFormat/>
    <w:uiPriority w:val="0"/>
    <w:pPr>
      <w:tabs>
        <w:tab w:val="right" w:leader="dot" w:pos="9746"/>
      </w:tabs>
      <w:ind w:left="2547"/>
    </w:pPr>
  </w:style>
  <w:style w:type="paragraph" w:customStyle="1" w:styleId="1276">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1277">
    <w:name w:val="*Cover Text 2"/>
    <w:basedOn w:val="615"/>
    <w:qFormat/>
    <w:uiPriority w:val="0"/>
    <w:pPr>
      <w:spacing w:before="720"/>
    </w:pPr>
    <w:rPr>
      <w:b/>
      <w:color w:val="00637A"/>
      <w:sz w:val="24"/>
      <w:szCs w:val="24"/>
    </w:rPr>
  </w:style>
  <w:style w:type="paragraph" w:customStyle="1" w:styleId="1278">
    <w:name w:val="‧ N table-10 head center"/>
    <w:basedOn w:val="509"/>
    <w:next w:val="564"/>
    <w:qFormat/>
    <w:uiPriority w:val="0"/>
  </w:style>
  <w:style w:type="paragraph" w:customStyle="1" w:styleId="1279">
    <w:name w:val="AP_Body Char"/>
    <w:basedOn w:val="19"/>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1280">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281">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82">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1283">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84">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285">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1286">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287">
    <w:name w:val="List 1 Cont."/>
    <w:basedOn w:val="62"/>
    <w:qFormat/>
    <w:uiPriority w:val="0"/>
    <w:pPr>
      <w:widowControl/>
      <w:ind w:left="0" w:firstLine="0" w:firstLineChars="0"/>
      <w:jc w:val="left"/>
    </w:pPr>
    <w:rPr>
      <w:rFonts w:eastAsia="PMingLiU"/>
      <w:kern w:val="0"/>
      <w:sz w:val="20"/>
      <w:szCs w:val="20"/>
      <w:lang w:eastAsia="zh-TW"/>
    </w:rPr>
  </w:style>
  <w:style w:type="paragraph" w:customStyle="1" w:styleId="1288">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1289">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1290">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129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292">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1293">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29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95">
    <w:name w:val="Contents Heading"/>
    <w:basedOn w:val="18"/>
    <w:qFormat/>
    <w:uiPriority w:val="0"/>
  </w:style>
  <w:style w:type="paragraph" w:customStyle="1" w:styleId="1296">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297">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1298">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1299">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1300">
    <w:name w:val="*SOW 3"/>
    <w:basedOn w:val="566"/>
    <w:next w:val="295"/>
    <w:qFormat/>
    <w:uiPriority w:val="0"/>
    <w:pPr>
      <w:outlineLvl w:val="3"/>
    </w:pPr>
  </w:style>
  <w:style w:type="paragraph" w:customStyle="1" w:styleId="1301">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130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303">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304">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305">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1306">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307">
    <w:name w:val="样式 标题 3 + 段前: 0.3 行 段后: 0.3 行"/>
    <w:basedOn w:val="6"/>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1308">
    <w:name w:val="安安列表项"/>
    <w:basedOn w:val="1"/>
    <w:qFormat/>
    <w:uiPriority w:val="0"/>
    <w:pPr>
      <w:tabs>
        <w:tab w:val="left" w:pos="820"/>
      </w:tabs>
      <w:spacing w:line="360" w:lineRule="auto"/>
      <w:ind w:left="425" w:hanging="425"/>
    </w:pPr>
    <w:rPr>
      <w:rFonts w:ascii="宋体" w:hAnsi="宋体"/>
      <w:sz w:val="24"/>
    </w:rPr>
  </w:style>
  <w:style w:type="paragraph" w:customStyle="1" w:styleId="1309">
    <w:name w:val="*Table Text Bullet #2"/>
    <w:basedOn w:val="1032"/>
    <w:qFormat/>
    <w:uiPriority w:val="0"/>
    <w:pPr>
      <w:tabs>
        <w:tab w:val="left" w:pos="720"/>
      </w:tabs>
      <w:ind w:left="720" w:hanging="360"/>
    </w:pPr>
  </w:style>
  <w:style w:type="paragraph" w:customStyle="1" w:styleId="1310">
    <w:name w:val="TOC 标题12"/>
    <w:basedOn w:val="4"/>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1311">
    <w:name w:val="~Heading 2"/>
    <w:next w:val="507"/>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1312">
    <w:name w:val="p16"/>
    <w:basedOn w:val="1"/>
    <w:qFormat/>
    <w:uiPriority w:val="0"/>
    <w:pPr>
      <w:widowControl/>
      <w:spacing w:line="360" w:lineRule="auto"/>
      <w:ind w:firstLine="420"/>
      <w:jc w:val="left"/>
    </w:pPr>
    <w:rPr>
      <w:kern w:val="0"/>
      <w:sz w:val="24"/>
    </w:rPr>
  </w:style>
  <w:style w:type="paragraph" w:customStyle="1" w:styleId="1313">
    <w:name w:val="样式 标题 3H3Heading 3 - oldH31H32H33H34H35H36H37H38H39H...1"/>
    <w:basedOn w:val="6"/>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1314">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15">
    <w:name w:val="Table index heading"/>
    <w:basedOn w:val="18"/>
    <w:qFormat/>
    <w:uiPriority w:val="0"/>
  </w:style>
  <w:style w:type="paragraph" w:customStyle="1" w:styleId="1316">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317">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13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9">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1320">
    <w:name w:val="p21"/>
    <w:basedOn w:val="1"/>
    <w:qFormat/>
    <w:uiPriority w:val="0"/>
    <w:pPr>
      <w:widowControl/>
      <w:spacing w:line="360" w:lineRule="auto"/>
      <w:ind w:firstLine="420"/>
    </w:pPr>
    <w:rPr>
      <w:rFonts w:ascii="Tahoma" w:hAnsi="Tahoma"/>
      <w:kern w:val="0"/>
      <w:sz w:val="24"/>
      <w:szCs w:val="20"/>
    </w:rPr>
  </w:style>
  <w:style w:type="paragraph" w:customStyle="1" w:styleId="1321">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1322">
    <w:name w:val="4级"/>
    <w:basedOn w:val="7"/>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323">
    <w:name w:val="纯文本2"/>
    <w:basedOn w:val="880"/>
    <w:qFormat/>
    <w:uiPriority w:val="0"/>
    <w:pPr>
      <w:widowControl/>
      <w:jc w:val="left"/>
    </w:pPr>
    <w:rPr>
      <w:rFonts w:ascii="宋体" w:hAnsi="Courier New"/>
    </w:rPr>
  </w:style>
  <w:style w:type="paragraph" w:customStyle="1" w:styleId="1324">
    <w:name w:val="修订1"/>
    <w:unhideWhenUsed/>
    <w:qFormat/>
    <w:uiPriority w:val="99"/>
    <w:rPr>
      <w:rFonts w:ascii="Times New Roman" w:hAnsi="Times New Roman" w:eastAsia="宋体" w:cs="Times New Roman"/>
      <w:kern w:val="2"/>
      <w:sz w:val="21"/>
      <w:szCs w:val="24"/>
      <w:lang w:val="en-US" w:eastAsia="zh-CN" w:bidi="ar-SA"/>
    </w:rPr>
  </w:style>
  <w:style w:type="table" w:customStyle="1" w:styleId="1325">
    <w:name w:val="Table Normal"/>
    <w:qFormat/>
    <w:uiPriority w:val="0"/>
    <w:tblPr>
      <w:tblCellMar>
        <w:top w:w="0" w:type="dxa"/>
        <w:left w:w="0" w:type="dxa"/>
        <w:bottom w:w="0" w:type="dxa"/>
        <w:right w:w="0" w:type="dxa"/>
      </w:tblCellMar>
    </w:tblPr>
  </w:style>
  <w:style w:type="table" w:customStyle="1" w:styleId="1326">
    <w:name w:val="中等深浅网格 1 - 强调文字颜色 22"/>
    <w:basedOn w:val="80"/>
    <w:qFormat/>
    <w:uiPriority w:val="0"/>
    <w:rPr>
      <w:szCs w:val="24"/>
    </w:rPr>
    <w:tcPr>
      <w:shd w:val="clear" w:color="auto" w:fill="EDF2F8"/>
    </w:tcPr>
    <w:tblStylePr w:type="firstRow">
      <w:rPr>
        <w:b/>
        <w:bCs/>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27">
    <w:name w:val="标书正文（首行缩进）"/>
    <w:basedOn w:val="1"/>
    <w:qFormat/>
    <w:uiPriority w:val="0"/>
    <w:pPr>
      <w:spacing w:line="480" w:lineRule="exact"/>
      <w:ind w:firstLine="200" w:firstLineChars="200"/>
    </w:pPr>
    <w:rPr>
      <w:rFonts w:hAnsi="Helvetica" w:eastAsia="方正细等线_GBK" w:cs="宋体"/>
      <w:sz w:val="24"/>
    </w:rPr>
  </w:style>
  <w:style w:type="character" w:customStyle="1" w:styleId="1328">
    <w:name w:val="Char Char4"/>
    <w:qFormat/>
    <w:uiPriority w:val="0"/>
    <w:rPr>
      <w:rFonts w:ascii="Calibri" w:hAnsi="Calibri" w:eastAsia="仿宋_GB2312"/>
      <w:kern w:val="2"/>
      <w:sz w:val="24"/>
      <w:szCs w:val="21"/>
      <w:lang w:val="en-US" w:eastAsia="zh-CN" w:bidi="ar-SA"/>
    </w:rPr>
  </w:style>
  <w:style w:type="character" w:customStyle="1" w:styleId="1329">
    <w:name w:val="批注文字 Char"/>
    <w:qFormat/>
    <w:uiPriority w:val="0"/>
    <w:rPr>
      <w:kern w:val="2"/>
      <w:sz w:val="21"/>
    </w:rPr>
  </w:style>
  <w:style w:type="paragraph" w:customStyle="1" w:styleId="1330">
    <w:name w:val="_Style 1332"/>
    <w:basedOn w:val="3"/>
    <w:next w:val="2"/>
    <w:link w:val="1331"/>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character" w:customStyle="1" w:styleId="1331">
    <w:name w:val="正文首行缩进 2 Char"/>
    <w:link w:val="1330"/>
    <w:qFormat/>
    <w:uiPriority w:val="0"/>
    <w:rPr>
      <w:rFonts w:ascii="Calibri" w:hAnsi="Calibri"/>
      <w:kern w:val="2"/>
      <w:sz w:val="21"/>
      <w:szCs w:val="22"/>
    </w:rPr>
  </w:style>
  <w:style w:type="character" w:customStyle="1" w:styleId="1332">
    <w:name w:val="标题 1 Char"/>
    <w:qFormat/>
    <w:uiPriority w:val="0"/>
    <w:rPr>
      <w:rFonts w:ascii="Arial" w:hAnsi="Arial" w:eastAsia="华文中宋"/>
      <w:b/>
      <w:color w:val="000000"/>
      <w:kern w:val="2"/>
      <w:sz w:val="32"/>
      <w:szCs w:val="24"/>
    </w:rPr>
  </w:style>
  <w:style w:type="character" w:customStyle="1" w:styleId="1333">
    <w:name w:val="纯文本 Char"/>
    <w:qFormat/>
    <w:uiPriority w:val="0"/>
    <w:rPr>
      <w:rFonts w:ascii="宋体" w:hAnsi="Courier New" w:eastAsia="宋体"/>
      <w:kern w:val="2"/>
      <w:sz w:val="21"/>
      <w:lang w:val="en-US" w:eastAsia="zh-CN" w:bidi="ar-SA"/>
    </w:rPr>
  </w:style>
  <w:style w:type="paragraph" w:customStyle="1" w:styleId="133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112</Pages>
  <Words>68639</Words>
  <Characters>71285</Characters>
  <Lines>738</Lines>
  <Paragraphs>207</Paragraphs>
  <TotalTime>11</TotalTime>
  <ScaleCrop>false</ScaleCrop>
  <LinksUpToDate>false</LinksUpToDate>
  <CharactersWithSpaces>76306</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2022-11-04T14:54:00Z</dcterms:created>
  <dc:creator>USER</dc:creator>
  <cp:lastModifiedBy>Davis</cp:lastModifiedBy>
  <cp:lastPrinted>2022-07-28T05:28:00Z</cp:lastPrinted>
  <dcterms:modified xsi:type="dcterms:W3CDTF">2022-11-24T03:53:39Z</dcterms:modified>
  <dc:title>浙江省畜牧兽医局</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28B8909EE3F7486D95DB093DDA47E777</vt:lpwstr>
  </property>
</Properties>
</file>