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sz w:val="28"/>
          <w:szCs w:val="28"/>
        </w:rPr>
      </w:pPr>
      <w:bookmarkStart w:id="0" w:name="_Toc365384214"/>
    </w:p>
    <w:p>
      <w:pPr>
        <w:spacing w:line="400" w:lineRule="exact"/>
        <w:rPr>
          <w:sz w:val="28"/>
          <w:szCs w:val="28"/>
        </w:rPr>
      </w:pPr>
    </w:p>
    <w:p>
      <w:pPr>
        <w:spacing w:line="400" w:lineRule="exact"/>
        <w:rPr>
          <w:rFonts w:ascii="黑体" w:hAnsi="宋体" w:eastAsia="黑体"/>
          <w:b/>
          <w:sz w:val="44"/>
          <w:szCs w:val="44"/>
        </w:rPr>
      </w:pPr>
    </w:p>
    <w:p>
      <w:pPr>
        <w:pStyle w:val="3"/>
        <w:jc w:val="center"/>
      </w:pPr>
      <w:r>
        <w:rPr>
          <w:rFonts w:hint="eastAsia"/>
          <w:sz w:val="52"/>
          <w:szCs w:val="52"/>
        </w:rPr>
        <w:t>富川瑶族自治县司法局智慧司法项目</w:t>
      </w:r>
    </w:p>
    <w:p>
      <w:pPr>
        <w:spacing w:line="700" w:lineRule="exact"/>
        <w:jc w:val="center"/>
      </w:pPr>
    </w:p>
    <w:p>
      <w:pPr>
        <w:spacing w:line="360" w:lineRule="auto"/>
        <w:jc w:val="center"/>
        <w:rPr>
          <w:rFonts w:ascii="黑体" w:eastAsia="黑体"/>
          <w:b/>
          <w:sz w:val="72"/>
          <w:szCs w:val="72"/>
        </w:rPr>
      </w:pPr>
      <w:r>
        <w:rPr>
          <w:rFonts w:hint="eastAsia" w:ascii="黑体" w:hAnsi="宋体" w:eastAsia="黑体"/>
          <w:b/>
          <w:sz w:val="72"/>
          <w:szCs w:val="72"/>
        </w:rPr>
        <w:t>竞争性磋商文件</w:t>
      </w:r>
    </w:p>
    <w:p>
      <w:pPr>
        <w:spacing w:line="400" w:lineRule="exact"/>
        <w:rPr>
          <w:sz w:val="28"/>
          <w:szCs w:val="28"/>
        </w:rPr>
      </w:pPr>
    </w:p>
    <w:p>
      <w:pPr>
        <w:spacing w:line="700" w:lineRule="exact"/>
        <w:jc w:val="center"/>
        <w:rPr>
          <w:rFonts w:ascii="黑体" w:hAnsi="宋体" w:eastAsia="黑体"/>
          <w:b/>
          <w:sz w:val="32"/>
          <w:szCs w:val="32"/>
        </w:rPr>
      </w:pPr>
      <w:r>
        <w:rPr>
          <w:rFonts w:hint="eastAsia" w:ascii="黑体" w:hAnsi="宋体" w:eastAsia="黑体"/>
          <w:b/>
          <w:sz w:val="32"/>
          <w:szCs w:val="32"/>
        </w:rPr>
        <w:t>项目编号：FCZC2020-C3-230103-HCJS</w:t>
      </w:r>
    </w:p>
    <w:p>
      <w:pPr>
        <w:spacing w:line="700" w:lineRule="exact"/>
        <w:jc w:val="center"/>
        <w:rPr>
          <w:rFonts w:ascii="黑体" w:hAnsi="宋体" w:eastAsia="黑体"/>
          <w:b/>
          <w:sz w:val="32"/>
          <w:szCs w:val="32"/>
        </w:rPr>
      </w:pPr>
    </w:p>
    <w:p>
      <w:pPr>
        <w:spacing w:line="700" w:lineRule="exact"/>
        <w:jc w:val="center"/>
        <w:rPr>
          <w:rFonts w:ascii="黑体" w:hAnsi="宋体" w:eastAsia="黑体"/>
          <w:b/>
          <w:sz w:val="32"/>
          <w:szCs w:val="32"/>
        </w:rPr>
      </w:pPr>
    </w:p>
    <w:p>
      <w:pPr>
        <w:spacing w:line="700" w:lineRule="exact"/>
        <w:jc w:val="center"/>
        <w:rPr>
          <w:rFonts w:ascii="黑体" w:hAnsi="宋体" w:eastAsia="黑体"/>
          <w:b/>
          <w:sz w:val="32"/>
          <w:szCs w:val="32"/>
        </w:rPr>
      </w:pPr>
      <w:r>
        <w:rPr>
          <w:rFonts w:hint="eastAsia" w:ascii="黑体" w:eastAsia="黑体"/>
          <w:szCs w:val="21"/>
        </w:rPr>
        <w:drawing>
          <wp:anchor distT="0" distB="0" distL="114300" distR="114300" simplePos="0" relativeHeight="251658240" behindDoc="0" locked="0" layoutInCell="1" allowOverlap="1">
            <wp:simplePos x="0" y="0"/>
            <wp:positionH relativeFrom="column">
              <wp:posOffset>2682875</wp:posOffset>
            </wp:positionH>
            <wp:positionV relativeFrom="paragraph">
              <wp:posOffset>-328295</wp:posOffset>
            </wp:positionV>
            <wp:extent cx="1028700" cy="2371725"/>
            <wp:effectExtent l="0" t="0" r="0" b="9525"/>
            <wp:wrapSquare wrapText="right"/>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9"/>
                    <a:stretch>
                      <a:fillRect/>
                    </a:stretch>
                  </pic:blipFill>
                  <pic:spPr>
                    <a:xfrm>
                      <a:off x="0" y="0"/>
                      <a:ext cx="1028700" cy="2371725"/>
                    </a:xfrm>
                    <a:prstGeom prst="rect">
                      <a:avLst/>
                    </a:prstGeom>
                    <a:noFill/>
                    <a:ln w="9525">
                      <a:noFill/>
                    </a:ln>
                  </pic:spPr>
                </pic:pic>
              </a:graphicData>
            </a:graphic>
          </wp:anchor>
        </w:drawing>
      </w: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b/>
          <w:sz w:val="28"/>
          <w:szCs w:val="28"/>
        </w:rPr>
      </w:pPr>
    </w:p>
    <w:p>
      <w:pPr>
        <w:spacing w:line="400" w:lineRule="exact"/>
        <w:rPr>
          <w:b/>
          <w:sz w:val="28"/>
          <w:szCs w:val="28"/>
        </w:rPr>
      </w:pPr>
    </w:p>
    <w:p>
      <w:pPr>
        <w:spacing w:line="500" w:lineRule="exact"/>
        <w:jc w:val="center"/>
        <w:rPr>
          <w:rFonts w:ascii="黑体" w:hAnsi="宋体" w:eastAsia="黑体"/>
          <w:b/>
          <w:sz w:val="32"/>
          <w:szCs w:val="32"/>
          <w:u w:val="single"/>
        </w:rPr>
      </w:pPr>
      <w:r>
        <w:rPr>
          <w:rFonts w:hint="eastAsia" w:ascii="黑体" w:hAnsi="宋体" w:eastAsia="黑体"/>
          <w:b/>
          <w:sz w:val="32"/>
          <w:szCs w:val="32"/>
        </w:rPr>
        <w:t>采购人：</w:t>
      </w:r>
      <w:r>
        <w:rPr>
          <w:rFonts w:hint="eastAsia" w:ascii="黑体" w:hAnsi="宋体" w:eastAsia="黑体"/>
          <w:b/>
          <w:sz w:val="32"/>
          <w:szCs w:val="32"/>
          <w:u w:val="single"/>
        </w:rPr>
        <w:t>富川瑶族自治县司法局</w:t>
      </w:r>
    </w:p>
    <w:p>
      <w:pPr>
        <w:spacing w:line="500" w:lineRule="exact"/>
        <w:jc w:val="center"/>
        <w:rPr>
          <w:rFonts w:ascii="黑体" w:hAnsi="宋体" w:eastAsia="黑体"/>
          <w:b/>
          <w:sz w:val="32"/>
          <w:szCs w:val="32"/>
          <w:u w:val="single"/>
        </w:rPr>
      </w:pPr>
    </w:p>
    <w:p>
      <w:pPr>
        <w:spacing w:line="500" w:lineRule="exact"/>
        <w:jc w:val="center"/>
        <w:rPr>
          <w:rFonts w:ascii="黑体" w:hAnsi="宋体" w:eastAsia="黑体"/>
          <w:b/>
          <w:sz w:val="32"/>
          <w:szCs w:val="32"/>
          <w:u w:val="single"/>
        </w:rPr>
      </w:pPr>
      <w:r>
        <w:rPr>
          <w:rFonts w:hint="eastAsia" w:ascii="黑体" w:hAnsi="宋体" w:eastAsia="黑体"/>
          <w:b/>
          <w:sz w:val="32"/>
          <w:szCs w:val="32"/>
        </w:rPr>
        <w:t>采购代理机构：</w:t>
      </w:r>
      <w:r>
        <w:rPr>
          <w:rFonts w:hint="eastAsia" w:ascii="黑体" w:hAnsi="宋体" w:eastAsia="黑体"/>
          <w:b/>
          <w:sz w:val="32"/>
          <w:szCs w:val="32"/>
          <w:u w:val="single"/>
        </w:rPr>
        <w:t>华春建设工程项目管理有限责任公司</w:t>
      </w:r>
    </w:p>
    <w:p>
      <w:pPr>
        <w:spacing w:line="500" w:lineRule="exact"/>
        <w:jc w:val="center"/>
        <w:rPr>
          <w:rFonts w:ascii="黑体" w:hAnsi="宋体" w:eastAsia="黑体"/>
          <w:b/>
          <w:sz w:val="32"/>
          <w:szCs w:val="32"/>
        </w:rPr>
      </w:pPr>
    </w:p>
    <w:p>
      <w:pPr>
        <w:spacing w:line="500" w:lineRule="exact"/>
        <w:jc w:val="center"/>
        <w:rPr>
          <w:rFonts w:ascii="黑体" w:hAnsi="宋体" w:eastAsia="黑体"/>
          <w:b/>
          <w:sz w:val="32"/>
          <w:szCs w:val="32"/>
          <w:u w:val="single"/>
        </w:rPr>
      </w:pPr>
      <w:r>
        <w:rPr>
          <w:rFonts w:hint="eastAsia" w:ascii="黑体" w:hAnsi="宋体" w:eastAsia="黑体"/>
          <w:b/>
          <w:sz w:val="32"/>
          <w:szCs w:val="32"/>
        </w:rPr>
        <w:t>发布日期：</w:t>
      </w:r>
      <w:r>
        <w:rPr>
          <w:rFonts w:hint="eastAsia" w:ascii="黑体" w:hAnsi="宋体" w:eastAsia="黑体"/>
          <w:b/>
          <w:sz w:val="32"/>
          <w:szCs w:val="32"/>
          <w:u w:val="single"/>
        </w:rPr>
        <w:t>2020</w:t>
      </w:r>
      <w:r>
        <w:rPr>
          <w:rFonts w:hint="eastAsia" w:ascii="黑体" w:hAnsi="宋体" w:eastAsia="黑体"/>
          <w:b/>
          <w:sz w:val="32"/>
          <w:szCs w:val="32"/>
        </w:rPr>
        <w:t>年</w:t>
      </w:r>
      <w:r>
        <w:rPr>
          <w:rFonts w:hint="eastAsia" w:ascii="黑体" w:hAnsi="宋体" w:eastAsia="黑体"/>
          <w:b/>
          <w:sz w:val="32"/>
          <w:szCs w:val="32"/>
          <w:u w:val="single"/>
        </w:rPr>
        <w:t xml:space="preserve"> 08 </w:t>
      </w:r>
      <w:r>
        <w:rPr>
          <w:rFonts w:hint="eastAsia" w:ascii="黑体" w:hAnsi="宋体" w:eastAsia="黑体"/>
          <w:b/>
          <w:sz w:val="32"/>
          <w:szCs w:val="32"/>
        </w:rPr>
        <w:t>月</w:t>
      </w:r>
      <w:bookmarkEnd w:id="0"/>
      <w:r>
        <w:rPr>
          <w:rFonts w:hint="eastAsia" w:ascii="黑体" w:hAnsi="宋体" w:eastAsia="黑体"/>
          <w:b/>
          <w:sz w:val="32"/>
          <w:szCs w:val="32"/>
          <w:u w:val="single"/>
        </w:rPr>
        <w:t xml:space="preserve"> 18 </w:t>
      </w:r>
      <w:r>
        <w:rPr>
          <w:rFonts w:hint="eastAsia" w:ascii="黑体" w:hAnsi="宋体" w:eastAsia="黑体"/>
          <w:b/>
          <w:sz w:val="32"/>
          <w:szCs w:val="32"/>
        </w:rPr>
        <w:t>日</w:t>
      </w:r>
    </w:p>
    <w:p/>
    <w:p>
      <w:pPr>
        <w:sectPr>
          <w:headerReference r:id="rId4" w:type="first"/>
          <w:headerReference r:id="rId3" w:type="default"/>
          <w:footerReference r:id="rId5" w:type="default"/>
          <w:pgSz w:w="11910" w:h="16840"/>
          <w:pgMar w:top="1380" w:right="540" w:bottom="1180" w:left="800" w:header="846" w:footer="997" w:gutter="0"/>
          <w:cols w:space="720" w:num="1"/>
          <w:titlePg/>
        </w:sectPr>
      </w:pPr>
    </w:p>
    <w:p>
      <w:pPr>
        <w:pStyle w:val="8"/>
      </w:pPr>
    </w:p>
    <w:sdt>
      <w:sdtPr>
        <w:rPr>
          <w:rFonts w:ascii="宋体" w:hAnsi="宋体" w:eastAsia="金山简黑体"/>
          <w:b/>
          <w:spacing w:val="-8"/>
          <w:sz w:val="44"/>
          <w:szCs w:val="20"/>
        </w:rPr>
        <w:id w:val="147457721"/>
        <w15:color w:val="DBDBDB"/>
        <w:docPartObj>
          <w:docPartGallery w:val="Table of Contents"/>
          <w:docPartUnique/>
        </w:docPartObj>
      </w:sdtPr>
      <w:sdtEndPr>
        <w:rPr>
          <w:rFonts w:ascii="金山简黑体" w:hAnsi="Courier New" w:eastAsia="金山简黑体"/>
          <w:b/>
          <w:spacing w:val="-8"/>
          <w:sz w:val="44"/>
          <w:szCs w:val="20"/>
        </w:rPr>
      </w:sdtEndPr>
      <w:sdtContent>
        <w:p>
          <w:pPr>
            <w:jc w:val="center"/>
          </w:pPr>
          <w:r>
            <w:rPr>
              <w:rFonts w:ascii="宋体" w:hAnsi="宋体"/>
              <w:sz w:val="36"/>
              <w:szCs w:val="36"/>
            </w:rPr>
            <w:t>目录</w:t>
          </w:r>
        </w:p>
        <w:p>
          <w:pPr>
            <w:pStyle w:val="2"/>
            <w:tabs>
              <w:tab w:val="right" w:leader="dot" w:pos="10570"/>
            </w:tabs>
          </w:pPr>
          <w:r>
            <w:fldChar w:fldCharType="begin"/>
          </w:r>
          <w:r>
            <w:instrText xml:space="preserve">TOC \o "1-1" \h \u </w:instrText>
          </w:r>
          <w:r>
            <w:fldChar w:fldCharType="separate"/>
          </w:r>
        </w:p>
        <w:p>
          <w:pPr>
            <w:pStyle w:val="2"/>
            <w:tabs>
              <w:tab w:val="right" w:leader="dot" w:pos="10570"/>
            </w:tabs>
            <w:spacing w:line="480" w:lineRule="auto"/>
            <w:rPr>
              <w:rFonts w:ascii="宋体" w:hAnsi="宋体" w:cs="宋体"/>
              <w:sz w:val="28"/>
              <w:szCs w:val="28"/>
            </w:rPr>
          </w:pPr>
          <w:r>
            <w:fldChar w:fldCharType="begin"/>
          </w:r>
          <w:r>
            <w:instrText xml:space="preserve"> HYPERLINK \l "_Toc31395" </w:instrText>
          </w:r>
          <w:r>
            <w:fldChar w:fldCharType="separate"/>
          </w:r>
          <w:r>
            <w:rPr>
              <w:rFonts w:hint="eastAsia" w:ascii="宋体" w:hAnsi="宋体" w:cs="宋体"/>
              <w:sz w:val="28"/>
              <w:szCs w:val="28"/>
            </w:rPr>
            <w:t>第一章  竞争性磋商公告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_Toc31395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2"/>
            <w:tabs>
              <w:tab w:val="right" w:leader="dot" w:pos="10570"/>
            </w:tabs>
            <w:spacing w:line="480" w:lineRule="auto"/>
            <w:rPr>
              <w:rFonts w:ascii="宋体" w:hAnsi="宋体" w:cs="宋体"/>
              <w:sz w:val="28"/>
              <w:szCs w:val="28"/>
            </w:rPr>
          </w:pPr>
          <w:r>
            <w:fldChar w:fldCharType="begin"/>
          </w:r>
          <w:r>
            <w:instrText xml:space="preserve"> HYPERLINK \l "_Toc9291" </w:instrText>
          </w:r>
          <w:r>
            <w:fldChar w:fldCharType="separate"/>
          </w:r>
          <w:r>
            <w:rPr>
              <w:rFonts w:hint="eastAsia" w:ascii="宋体" w:hAnsi="宋体" w:cs="宋体"/>
              <w:sz w:val="28"/>
              <w:szCs w:val="28"/>
            </w:rPr>
            <w:t>第二章  竞争性磋商供应商须知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_Toc9291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2"/>
            <w:tabs>
              <w:tab w:val="right" w:leader="dot" w:pos="10570"/>
            </w:tabs>
            <w:spacing w:line="480" w:lineRule="auto"/>
            <w:rPr>
              <w:rFonts w:ascii="宋体" w:hAnsi="宋体" w:cs="宋体"/>
              <w:sz w:val="28"/>
              <w:szCs w:val="28"/>
            </w:rPr>
          </w:pPr>
          <w:r>
            <w:fldChar w:fldCharType="begin"/>
          </w:r>
          <w:r>
            <w:instrText xml:space="preserve"> HYPERLINK \l "_Toc18363" </w:instrText>
          </w:r>
          <w:r>
            <w:fldChar w:fldCharType="separate"/>
          </w:r>
          <w:r>
            <w:rPr>
              <w:rFonts w:hint="eastAsia" w:ascii="宋体" w:hAnsi="宋体" w:cs="宋体"/>
              <w:sz w:val="28"/>
              <w:szCs w:val="28"/>
            </w:rPr>
            <w:t>第三章  项目需求和说明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_Toc18363 </w:instrText>
          </w:r>
          <w:r>
            <w:rPr>
              <w:rFonts w:hint="eastAsia" w:ascii="宋体" w:hAnsi="宋体" w:cs="宋体"/>
              <w:sz w:val="28"/>
              <w:szCs w:val="28"/>
            </w:rPr>
            <w:fldChar w:fldCharType="separate"/>
          </w:r>
          <w:r>
            <w:rPr>
              <w:rFonts w:ascii="宋体" w:hAnsi="宋体" w:cs="宋体"/>
              <w:sz w:val="28"/>
              <w:szCs w:val="28"/>
            </w:rPr>
            <w:t>18</w:t>
          </w:r>
          <w:r>
            <w:rPr>
              <w:rFonts w:hint="eastAsia" w:ascii="宋体" w:hAnsi="宋体" w:cs="宋体"/>
              <w:sz w:val="28"/>
              <w:szCs w:val="28"/>
            </w:rPr>
            <w:fldChar w:fldCharType="end"/>
          </w:r>
          <w:r>
            <w:rPr>
              <w:rFonts w:hint="eastAsia" w:ascii="宋体" w:hAnsi="宋体" w:cs="宋体"/>
              <w:sz w:val="28"/>
              <w:szCs w:val="28"/>
            </w:rPr>
            <w:fldChar w:fldCharType="end"/>
          </w:r>
        </w:p>
        <w:p>
          <w:pPr>
            <w:pStyle w:val="2"/>
            <w:tabs>
              <w:tab w:val="right" w:leader="dot" w:pos="10570"/>
            </w:tabs>
            <w:spacing w:line="480" w:lineRule="auto"/>
            <w:rPr>
              <w:rFonts w:ascii="宋体" w:hAnsi="宋体" w:cs="宋体"/>
              <w:sz w:val="28"/>
              <w:szCs w:val="28"/>
            </w:rPr>
          </w:pPr>
          <w:r>
            <w:fldChar w:fldCharType="begin"/>
          </w:r>
          <w:r>
            <w:instrText xml:space="preserve"> HYPERLINK \l "_Toc23966" </w:instrText>
          </w:r>
          <w:r>
            <w:fldChar w:fldCharType="separate"/>
          </w:r>
          <w:r>
            <w:rPr>
              <w:rFonts w:hint="eastAsia" w:ascii="宋体" w:hAnsi="宋体" w:cs="宋体"/>
              <w:sz w:val="28"/>
              <w:szCs w:val="28"/>
            </w:rPr>
            <w:t>第四章 合同书</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_Toc23966 </w:instrText>
          </w:r>
          <w:r>
            <w:rPr>
              <w:rFonts w:hint="eastAsia" w:ascii="宋体" w:hAnsi="宋体" w:cs="宋体"/>
              <w:sz w:val="28"/>
              <w:szCs w:val="28"/>
            </w:rPr>
            <w:fldChar w:fldCharType="separate"/>
          </w:r>
          <w:r>
            <w:rPr>
              <w:rFonts w:ascii="宋体" w:hAnsi="宋体" w:cs="宋体"/>
              <w:sz w:val="28"/>
              <w:szCs w:val="28"/>
            </w:rPr>
            <w:t>40</w:t>
          </w:r>
          <w:r>
            <w:rPr>
              <w:rFonts w:hint="eastAsia" w:ascii="宋体" w:hAnsi="宋体" w:cs="宋体"/>
              <w:sz w:val="28"/>
              <w:szCs w:val="28"/>
            </w:rPr>
            <w:fldChar w:fldCharType="end"/>
          </w:r>
          <w:r>
            <w:rPr>
              <w:rFonts w:hint="eastAsia" w:ascii="宋体" w:hAnsi="宋体" w:cs="宋体"/>
              <w:sz w:val="28"/>
              <w:szCs w:val="28"/>
            </w:rPr>
            <w:fldChar w:fldCharType="end"/>
          </w:r>
        </w:p>
        <w:p>
          <w:pPr>
            <w:pStyle w:val="2"/>
            <w:tabs>
              <w:tab w:val="right" w:leader="dot" w:pos="10570"/>
            </w:tabs>
            <w:spacing w:line="480" w:lineRule="auto"/>
            <w:rPr>
              <w:rFonts w:ascii="宋体" w:hAnsi="宋体" w:cs="宋体"/>
              <w:sz w:val="28"/>
              <w:szCs w:val="28"/>
            </w:rPr>
          </w:pPr>
          <w:r>
            <w:fldChar w:fldCharType="begin"/>
          </w:r>
          <w:r>
            <w:instrText xml:space="preserve"> HYPERLINK \l "_Toc14093" </w:instrText>
          </w:r>
          <w:r>
            <w:fldChar w:fldCharType="separate"/>
          </w:r>
          <w:r>
            <w:rPr>
              <w:rFonts w:hint="eastAsia" w:ascii="宋体" w:hAnsi="宋体" w:cs="宋体"/>
              <w:sz w:val="28"/>
              <w:szCs w:val="28"/>
            </w:rPr>
            <w:t>第五章  响应文件（格式）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_Toc14093 </w:instrText>
          </w:r>
          <w:r>
            <w:rPr>
              <w:rFonts w:hint="eastAsia" w:ascii="宋体" w:hAnsi="宋体" w:cs="宋体"/>
              <w:sz w:val="28"/>
              <w:szCs w:val="28"/>
            </w:rPr>
            <w:fldChar w:fldCharType="separate"/>
          </w:r>
          <w:r>
            <w:rPr>
              <w:rFonts w:ascii="宋体" w:hAnsi="宋体" w:cs="宋体"/>
              <w:sz w:val="28"/>
              <w:szCs w:val="28"/>
            </w:rPr>
            <w:t>48</w:t>
          </w:r>
          <w:r>
            <w:rPr>
              <w:rFonts w:hint="eastAsia" w:ascii="宋体" w:hAnsi="宋体" w:cs="宋体"/>
              <w:sz w:val="28"/>
              <w:szCs w:val="28"/>
            </w:rPr>
            <w:fldChar w:fldCharType="end"/>
          </w:r>
          <w:r>
            <w:rPr>
              <w:rFonts w:hint="eastAsia" w:ascii="宋体" w:hAnsi="宋体" w:cs="宋体"/>
              <w:sz w:val="28"/>
              <w:szCs w:val="28"/>
            </w:rPr>
            <w:fldChar w:fldCharType="end"/>
          </w:r>
        </w:p>
        <w:p>
          <w:pPr>
            <w:pStyle w:val="2"/>
            <w:tabs>
              <w:tab w:val="right" w:leader="dot" w:pos="10570"/>
            </w:tabs>
            <w:spacing w:line="480" w:lineRule="auto"/>
          </w:pPr>
          <w:r>
            <w:fldChar w:fldCharType="begin"/>
          </w:r>
          <w:r>
            <w:instrText xml:space="preserve"> HYPERLINK \l "_Toc18028" </w:instrText>
          </w:r>
          <w:r>
            <w:fldChar w:fldCharType="separate"/>
          </w:r>
          <w:r>
            <w:rPr>
              <w:rFonts w:hint="eastAsia" w:ascii="宋体" w:hAnsi="宋体" w:cs="宋体"/>
              <w:sz w:val="28"/>
              <w:szCs w:val="28"/>
            </w:rPr>
            <w:t>第六章  评标办法和评标标准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_Toc18028 </w:instrText>
          </w:r>
          <w:r>
            <w:rPr>
              <w:rFonts w:hint="eastAsia" w:ascii="宋体" w:hAnsi="宋体" w:cs="宋体"/>
              <w:sz w:val="28"/>
              <w:szCs w:val="28"/>
            </w:rPr>
            <w:fldChar w:fldCharType="separate"/>
          </w:r>
          <w:r>
            <w:rPr>
              <w:rFonts w:ascii="宋体" w:hAnsi="宋体" w:cs="宋体"/>
              <w:sz w:val="28"/>
              <w:szCs w:val="28"/>
            </w:rPr>
            <w:t>63</w:t>
          </w:r>
          <w:r>
            <w:rPr>
              <w:rFonts w:hint="eastAsia" w:ascii="宋体" w:hAnsi="宋体" w:cs="宋体"/>
              <w:sz w:val="28"/>
              <w:szCs w:val="28"/>
            </w:rPr>
            <w:fldChar w:fldCharType="end"/>
          </w:r>
          <w:r>
            <w:rPr>
              <w:rFonts w:hint="eastAsia" w:ascii="宋体" w:hAnsi="宋体" w:cs="宋体"/>
              <w:sz w:val="28"/>
              <w:szCs w:val="28"/>
            </w:rPr>
            <w:fldChar w:fldCharType="end"/>
          </w:r>
        </w:p>
        <w:p>
          <w:pPr>
            <w:pStyle w:val="2"/>
            <w:tabs>
              <w:tab w:val="right" w:leader="dot" w:pos="10570"/>
            </w:tabs>
          </w:pPr>
        </w:p>
        <w:p>
          <w:pPr>
            <w:pStyle w:val="8"/>
          </w:pPr>
          <w:r>
            <w:fldChar w:fldCharType="end"/>
          </w:r>
        </w:p>
      </w:sdtContent>
    </w:sdt>
    <w:p>
      <w:pPr>
        <w:pStyle w:val="3"/>
        <w:jc w:val="center"/>
        <w:sectPr>
          <w:footerReference r:id="rId7" w:type="first"/>
          <w:footerReference r:id="rId6" w:type="default"/>
          <w:pgSz w:w="11910" w:h="16840"/>
          <w:pgMar w:top="1380" w:right="540" w:bottom="1180" w:left="800" w:header="737" w:footer="680" w:gutter="0"/>
          <w:pgNumType w:start="1"/>
          <w:cols w:space="720" w:num="1"/>
          <w:titlePg/>
        </w:sectPr>
      </w:pPr>
    </w:p>
    <w:p>
      <w:pPr>
        <w:pStyle w:val="3"/>
        <w:jc w:val="center"/>
        <w:rPr>
          <w:rFonts w:ascii="宋体" w:hAnsi="宋体"/>
          <w:szCs w:val="21"/>
        </w:rPr>
      </w:pPr>
      <w:bookmarkStart w:id="1" w:name="_Toc31395"/>
      <w:r>
        <w:rPr>
          <w:rFonts w:hint="eastAsia"/>
        </w:rPr>
        <w:t>第一章  竞争性磋商公告</w:t>
      </w:r>
      <w:bookmarkEnd w:id="1"/>
    </w:p>
    <w:p>
      <w:pPr>
        <w:spacing w:line="400" w:lineRule="exact"/>
        <w:jc w:val="center"/>
        <w:rPr>
          <w:rFonts w:ascii="宋体" w:hAnsi="宋体" w:cs="宋体"/>
          <w:b/>
          <w:sz w:val="28"/>
          <w:szCs w:val="28"/>
        </w:rPr>
      </w:pPr>
      <w:bookmarkStart w:id="2" w:name="_Toc365384215"/>
      <w:r>
        <w:rPr>
          <w:rFonts w:hint="eastAsia" w:ascii="宋体" w:hAnsi="宋体" w:cs="宋体"/>
          <w:b/>
          <w:sz w:val="28"/>
          <w:szCs w:val="28"/>
        </w:rPr>
        <w:t>华春建设工程项目管理有限责任公司</w:t>
      </w:r>
    </w:p>
    <w:p>
      <w:pPr>
        <w:spacing w:line="400" w:lineRule="exact"/>
        <w:jc w:val="center"/>
        <w:rPr>
          <w:rFonts w:ascii="宋体" w:hAnsi="宋体" w:cs="宋体"/>
          <w:b/>
          <w:szCs w:val="21"/>
        </w:rPr>
      </w:pPr>
      <w:r>
        <w:rPr>
          <w:rFonts w:hint="eastAsia" w:ascii="宋体" w:hAnsi="宋体" w:cs="宋体"/>
          <w:b/>
          <w:sz w:val="28"/>
          <w:szCs w:val="28"/>
        </w:rPr>
        <w:t>关于富川瑶族自治县司法局智慧司法项目的竞争性磋商公告</w:t>
      </w:r>
    </w:p>
    <w:p>
      <w:pPr>
        <w:rPr>
          <w:rFonts w:ascii="宋体" w:hAnsi="宋体" w:cs="宋体"/>
        </w:rPr>
      </w:pPr>
    </w:p>
    <w:p>
      <w:pPr>
        <w:pBdr>
          <w:top w:val="none" w:color="auto" w:sz="0" w:space="1"/>
          <w:left w:val="none" w:color="auto" w:sz="0" w:space="4"/>
          <w:bottom w:val="none" w:color="auto" w:sz="0" w:space="1"/>
          <w:right w:val="none" w:color="auto" w:sz="0" w:space="4"/>
        </w:pBdr>
        <w:spacing w:line="480" w:lineRule="auto"/>
        <w:ind w:firstLine="420" w:firstLineChars="200"/>
        <w:rPr>
          <w:rFonts w:ascii="宋体" w:hAnsi="宋体" w:cs="宋体"/>
          <w:szCs w:val="21"/>
        </w:rPr>
      </w:pPr>
      <w:r>
        <w:rPr>
          <w:rFonts w:hint="eastAsia" w:ascii="宋体" w:hAnsi="宋体" w:cs="宋体"/>
          <w:szCs w:val="21"/>
          <w:u w:val="single"/>
        </w:rPr>
        <w:t>富川瑶族自治县司法局智慧司法项目</w:t>
      </w:r>
      <w:r>
        <w:rPr>
          <w:rFonts w:hint="eastAsia" w:ascii="宋体" w:hAnsi="宋体" w:cs="宋体"/>
          <w:szCs w:val="21"/>
        </w:rPr>
        <w:t>采购项目的潜在供应商应在</w:t>
      </w:r>
      <w:r>
        <w:rPr>
          <w:rFonts w:hint="eastAsia" w:ascii="宋体" w:hAnsi="宋体" w:cs="宋体"/>
          <w:szCs w:val="21"/>
          <w:u w:val="single"/>
        </w:rPr>
        <w:t>华春建设工程项目管理有限责任公司桂东分公司（地址：</w:t>
      </w:r>
      <w:r>
        <w:rPr>
          <w:rFonts w:hint="eastAsia" w:ascii="宋体" w:hAnsi="宋体" w:cs="宋体"/>
          <w:szCs w:val="21"/>
          <w:u w:val="single"/>
          <w:lang w:eastAsia="zh-CN"/>
        </w:rPr>
        <w:t>贺州市八步区贺江幸福里商业别墅17-1栋</w:t>
      </w:r>
      <w:r>
        <w:rPr>
          <w:rFonts w:hint="eastAsia" w:ascii="宋体" w:hAnsi="宋体" w:cs="宋体"/>
          <w:szCs w:val="21"/>
          <w:u w:val="single"/>
        </w:rPr>
        <w:t>二楼招标部）</w:t>
      </w:r>
      <w:r>
        <w:rPr>
          <w:rFonts w:hint="eastAsia" w:ascii="宋体" w:hAnsi="宋体" w:cs="宋体"/>
          <w:szCs w:val="21"/>
        </w:rPr>
        <w:t>获取采购文件，并于</w:t>
      </w:r>
      <w:r>
        <w:rPr>
          <w:rFonts w:hint="eastAsia" w:ascii="宋体" w:hAnsi="宋体" w:cs="宋体"/>
          <w:szCs w:val="21"/>
          <w:u w:val="single"/>
        </w:rPr>
        <w:t xml:space="preserve"> 2020</w:t>
      </w:r>
      <w:r>
        <w:rPr>
          <w:rFonts w:hint="eastAsia" w:ascii="宋体" w:hAnsi="宋体" w:cs="宋体"/>
          <w:bCs/>
          <w:szCs w:val="21"/>
          <w:u w:val="single"/>
        </w:rPr>
        <w:t>年08月31日15点30分</w:t>
      </w:r>
      <w:r>
        <w:rPr>
          <w:rFonts w:hint="eastAsia" w:ascii="宋体" w:hAnsi="宋体" w:cs="宋体"/>
          <w:bCs/>
          <w:szCs w:val="21"/>
        </w:rPr>
        <w:t>（北京时间）前提交响应文件</w:t>
      </w:r>
      <w:r>
        <w:rPr>
          <w:rFonts w:hint="eastAsia" w:ascii="宋体" w:hAnsi="宋体" w:cs="宋体"/>
          <w:szCs w:val="21"/>
        </w:rPr>
        <w:t>。</w:t>
      </w:r>
    </w:p>
    <w:p>
      <w:pPr>
        <w:pStyle w:val="4"/>
        <w:spacing w:before="0" w:after="0" w:line="360" w:lineRule="auto"/>
        <w:rPr>
          <w:rFonts w:ascii="宋体" w:hAnsi="宋体" w:eastAsia="宋体" w:cs="宋体"/>
          <w:bCs/>
          <w:sz w:val="21"/>
          <w:szCs w:val="21"/>
        </w:rPr>
      </w:pPr>
      <w:bookmarkStart w:id="3" w:name="_Toc28359012"/>
      <w:bookmarkStart w:id="4" w:name="_Toc28359089"/>
      <w:bookmarkStart w:id="5" w:name="_Toc35393798"/>
      <w:bookmarkStart w:id="6" w:name="_Toc35393629"/>
      <w:r>
        <w:rPr>
          <w:rFonts w:hint="eastAsia" w:ascii="宋体" w:hAnsi="宋体" w:eastAsia="宋体" w:cs="宋体"/>
          <w:bCs/>
          <w:sz w:val="21"/>
          <w:szCs w:val="21"/>
        </w:rPr>
        <w:t>一、项目基本情况</w:t>
      </w:r>
      <w:bookmarkEnd w:id="3"/>
      <w:bookmarkEnd w:id="4"/>
      <w:bookmarkEnd w:id="5"/>
      <w:bookmarkEnd w:id="6"/>
    </w:p>
    <w:p>
      <w:pPr>
        <w:spacing w:line="360" w:lineRule="auto"/>
        <w:ind w:firstLine="420" w:firstLineChars="200"/>
        <w:rPr>
          <w:rFonts w:ascii="宋体" w:hAnsi="宋体" w:cs="宋体"/>
          <w:szCs w:val="21"/>
        </w:rPr>
      </w:pPr>
      <w:r>
        <w:rPr>
          <w:rFonts w:hint="eastAsia" w:ascii="宋体" w:hAnsi="宋体" w:cs="宋体"/>
          <w:szCs w:val="21"/>
        </w:rPr>
        <w:t>项目编号：FCZC2020-C3-230103-HCJS</w:t>
      </w:r>
    </w:p>
    <w:p>
      <w:pPr>
        <w:spacing w:line="360" w:lineRule="auto"/>
        <w:ind w:firstLine="420" w:firstLineChars="200"/>
        <w:rPr>
          <w:rFonts w:ascii="宋体" w:hAnsi="宋体" w:cs="宋体"/>
          <w:szCs w:val="21"/>
        </w:rPr>
      </w:pPr>
      <w:r>
        <w:rPr>
          <w:rFonts w:hint="eastAsia" w:ascii="宋体" w:hAnsi="宋体" w:cs="宋体"/>
          <w:szCs w:val="21"/>
        </w:rPr>
        <w:t>项目名称：富川瑶族自治县司法局智慧司法项目</w:t>
      </w:r>
    </w:p>
    <w:p>
      <w:pPr>
        <w:spacing w:line="360" w:lineRule="auto"/>
        <w:ind w:firstLine="420" w:firstLineChars="200"/>
        <w:rPr>
          <w:rFonts w:ascii="宋体" w:hAnsi="宋体" w:cs="宋体"/>
          <w:szCs w:val="21"/>
        </w:rPr>
      </w:pPr>
      <w:r>
        <w:rPr>
          <w:rFonts w:hint="eastAsia" w:ascii="宋体" w:hAnsi="宋体" w:cs="宋体"/>
          <w:szCs w:val="21"/>
        </w:rPr>
        <w:t xml:space="preserve">采购方式：竞争性磋商 </w:t>
      </w:r>
    </w:p>
    <w:p>
      <w:pPr>
        <w:spacing w:line="360" w:lineRule="auto"/>
        <w:ind w:firstLine="420" w:firstLineChars="200"/>
        <w:rPr>
          <w:rFonts w:ascii="宋体" w:hAnsi="宋体" w:cs="宋体"/>
          <w:szCs w:val="21"/>
        </w:rPr>
      </w:pPr>
      <w:r>
        <w:rPr>
          <w:rFonts w:hint="eastAsia" w:ascii="宋体" w:hAnsi="宋体" w:cs="宋体"/>
          <w:szCs w:val="21"/>
        </w:rPr>
        <w:t>预算金额：（人民币：大写）壹佰伍拾万元整（￥1500000.00）。该款项资金来自财政拨款，出资比例为100%。</w:t>
      </w:r>
    </w:p>
    <w:p>
      <w:pPr>
        <w:spacing w:line="360" w:lineRule="auto"/>
        <w:ind w:firstLine="420" w:firstLineChars="200"/>
        <w:rPr>
          <w:rFonts w:ascii="宋体" w:hAnsi="宋体" w:cs="宋体"/>
          <w:szCs w:val="21"/>
        </w:rPr>
      </w:pPr>
      <w:r>
        <w:rPr>
          <w:rFonts w:hint="eastAsia" w:ascii="宋体" w:hAnsi="宋体" w:cs="宋体"/>
          <w:szCs w:val="21"/>
        </w:rPr>
        <w:t>采购需求：富川瑶族自治县司法局智慧司法项目一项，详见竞争性磋商文件第三章“项目需求和说明”。</w:t>
      </w:r>
    </w:p>
    <w:p>
      <w:pPr>
        <w:spacing w:line="360" w:lineRule="auto"/>
        <w:ind w:firstLine="420" w:firstLineChars="200"/>
        <w:rPr>
          <w:rFonts w:ascii="宋体" w:hAnsi="宋体" w:cs="宋体"/>
          <w:szCs w:val="21"/>
        </w:rPr>
      </w:pPr>
      <w:r>
        <w:rPr>
          <w:rFonts w:hint="eastAsia" w:ascii="宋体" w:hAnsi="宋体" w:cs="宋体"/>
          <w:szCs w:val="21"/>
        </w:rPr>
        <w:t>服务交付时间：自签订合同之日起45个工作日内交付使用。</w:t>
      </w:r>
    </w:p>
    <w:p>
      <w:pPr>
        <w:pStyle w:val="2"/>
        <w:ind w:firstLine="420" w:firstLineChars="200"/>
      </w:pPr>
      <w:r>
        <w:rPr>
          <w:rFonts w:hint="eastAsia" w:ascii="宋体" w:hAnsi="宋体" w:cs="宋体"/>
          <w:szCs w:val="21"/>
        </w:rPr>
        <w:t>本项目不接受联合体竞标。</w:t>
      </w:r>
    </w:p>
    <w:p>
      <w:pPr>
        <w:pStyle w:val="4"/>
        <w:spacing w:line="360" w:lineRule="auto"/>
        <w:rPr>
          <w:rFonts w:ascii="宋体" w:hAnsi="宋体" w:eastAsia="宋体" w:cs="宋体"/>
          <w:bCs/>
          <w:sz w:val="21"/>
          <w:szCs w:val="21"/>
        </w:rPr>
      </w:pPr>
      <w:bookmarkStart w:id="7" w:name="_Toc35393630"/>
      <w:bookmarkStart w:id="8" w:name="_Toc28359013"/>
      <w:bookmarkStart w:id="9" w:name="_Toc28359090"/>
      <w:bookmarkStart w:id="10" w:name="_Toc35393799"/>
      <w:r>
        <w:rPr>
          <w:rFonts w:hint="eastAsia" w:ascii="宋体" w:hAnsi="宋体" w:eastAsia="宋体" w:cs="宋体"/>
          <w:bCs/>
          <w:sz w:val="21"/>
          <w:szCs w:val="21"/>
        </w:rPr>
        <w:t>二、申请人的资格要求：</w:t>
      </w:r>
      <w:bookmarkEnd w:id="7"/>
      <w:bookmarkEnd w:id="8"/>
      <w:bookmarkEnd w:id="9"/>
      <w:bookmarkEnd w:id="10"/>
    </w:p>
    <w:p>
      <w:pPr>
        <w:pStyle w:val="2"/>
        <w:spacing w:line="360" w:lineRule="auto"/>
        <w:ind w:firstLine="420" w:firstLineChars="200"/>
        <w:rPr>
          <w:rFonts w:ascii="宋体" w:hAnsi="宋体" w:cs="宋体"/>
          <w:szCs w:val="21"/>
        </w:rPr>
      </w:pPr>
      <w:bookmarkStart w:id="11" w:name="_Toc28359014"/>
      <w:bookmarkStart w:id="12" w:name="_Toc28359091"/>
      <w:bookmarkStart w:id="13" w:name="_Toc35393631"/>
      <w:bookmarkStart w:id="14" w:name="_Toc35393800"/>
      <w:r>
        <w:rPr>
          <w:rFonts w:hint="eastAsia" w:ascii="宋体" w:hAnsi="宋体" w:cs="宋体"/>
          <w:szCs w:val="21"/>
        </w:rPr>
        <w:t>1.</w:t>
      </w:r>
      <w:r>
        <w:rPr>
          <w:rFonts w:hint="eastAsia"/>
        </w:rPr>
        <w:t xml:space="preserve"> </w:t>
      </w:r>
      <w:r>
        <w:rPr>
          <w:rFonts w:hint="eastAsia" w:ascii="宋体" w:hAnsi="宋体" w:cs="宋体"/>
          <w:szCs w:val="21"/>
        </w:rPr>
        <w:t>国内注册（指按国家有关规定要求注册的），符合《中华人民共和国政府采购法》第二十二条规定，具备合法资格的供应商或经法人授权的分支机构或分公司；</w:t>
      </w:r>
    </w:p>
    <w:p>
      <w:pPr>
        <w:pStyle w:val="2"/>
        <w:spacing w:line="360" w:lineRule="auto"/>
        <w:ind w:firstLine="420" w:firstLineChars="200"/>
      </w:pPr>
      <w:r>
        <w:rPr>
          <w:rFonts w:hint="eastAsia"/>
        </w:rPr>
        <w:t>2</w:t>
      </w:r>
      <w:r>
        <w:t>.</w:t>
      </w:r>
      <w:r>
        <w:rPr>
          <w:rFonts w:hint="eastAsia"/>
        </w:rPr>
        <w:t xml:space="preserve"> 分支机构或分公司投标时，需提供具有法人资格的总公司的营业执照副本复印件及授权书，授权书须加盖总公司的公章。总公司可就本项目在一定范围及时间内出具授权书。已由总公司授权的，总公司取得的相关资质证书对分支机构或分公司有效，法律法规或者行业另有规定的除外；</w:t>
      </w:r>
    </w:p>
    <w:p>
      <w:pPr>
        <w:spacing w:line="360" w:lineRule="auto"/>
        <w:ind w:firstLine="420"/>
        <w:rPr>
          <w:rFonts w:ascii="宋体" w:hAnsi="宋体" w:cs="宋体"/>
          <w:szCs w:val="21"/>
        </w:rPr>
      </w:pPr>
      <w:r>
        <w:rPr>
          <w:rFonts w:ascii="宋体" w:hAnsi="宋体" w:cs="宋体"/>
          <w:szCs w:val="21"/>
        </w:rPr>
        <w:t>3</w:t>
      </w:r>
      <w:r>
        <w:rPr>
          <w:rFonts w:hint="eastAsia" w:ascii="宋体" w:hAnsi="宋体" w:cs="宋体"/>
          <w:szCs w:val="21"/>
        </w:rPr>
        <w:t>.单位负责人为同一人或者存在直接控股、管理关系的不同供应商，不得参加同一合同项下的政府采购活动。</w:t>
      </w:r>
    </w:p>
    <w:p>
      <w:pPr>
        <w:pStyle w:val="4"/>
        <w:spacing w:before="0" w:after="0" w:line="360" w:lineRule="auto"/>
        <w:rPr>
          <w:rFonts w:ascii="宋体" w:hAnsi="宋体" w:eastAsia="宋体" w:cs="宋体"/>
          <w:bCs/>
          <w:sz w:val="21"/>
          <w:szCs w:val="21"/>
        </w:rPr>
      </w:pPr>
      <w:r>
        <w:rPr>
          <w:rFonts w:hint="eastAsia" w:ascii="宋体" w:hAnsi="宋体" w:eastAsia="宋体" w:cs="宋体"/>
          <w:bCs/>
          <w:sz w:val="21"/>
          <w:szCs w:val="21"/>
        </w:rPr>
        <w:t>三、获取采购文件</w:t>
      </w:r>
      <w:bookmarkEnd w:id="11"/>
      <w:bookmarkEnd w:id="12"/>
      <w:bookmarkEnd w:id="13"/>
      <w:bookmarkEnd w:id="14"/>
    </w:p>
    <w:p>
      <w:pPr>
        <w:spacing w:line="560" w:lineRule="exact"/>
        <w:ind w:firstLine="411" w:firstLineChars="196"/>
        <w:rPr>
          <w:rFonts w:ascii="宋体" w:hAnsi="宋体" w:cs="宋体"/>
          <w:szCs w:val="21"/>
        </w:rPr>
      </w:pPr>
      <w:bookmarkStart w:id="15" w:name="_Toc35393632"/>
      <w:bookmarkStart w:id="16" w:name="_Toc28359015"/>
      <w:bookmarkStart w:id="17" w:name="_Toc28359092"/>
      <w:bookmarkStart w:id="18" w:name="_Toc35393801"/>
      <w:r>
        <w:rPr>
          <w:rFonts w:hint="eastAsia" w:ascii="宋体" w:hAnsi="宋体" w:cs="宋体"/>
          <w:szCs w:val="21"/>
        </w:rPr>
        <w:t>1.实地报名。凡有意参加竞标者，请于2020年08月18日发布公告之时起至2020年08月25日（法定公休日、法定节假日除外），每日上午8时30分至11时30分，下午3时00分至5时00分（北京时间，下同），由潜在磋商供应商的法定代表人/负责人（持有效法定代表人/负责人身份证明书原件及其本人二代居民身份证原件）或其授权委托代理人（持有效授权委托书原件及其本人二代居民身份证原件和复印件）携带以下证件材料在</w:t>
      </w:r>
      <w:r>
        <w:rPr>
          <w:rFonts w:hint="eastAsia" w:ascii="宋体" w:hAnsi="宋体" w:cs="宋体"/>
          <w:kern w:val="0"/>
          <w:szCs w:val="21"/>
        </w:rPr>
        <w:t>华春建设工程项目管理有限责任公司桂东分公司（地址：</w:t>
      </w:r>
      <w:r>
        <w:rPr>
          <w:rFonts w:hint="eastAsia" w:ascii="宋体" w:hAnsi="宋体" w:cs="宋体"/>
          <w:kern w:val="0"/>
          <w:szCs w:val="21"/>
          <w:lang w:eastAsia="zh-CN"/>
        </w:rPr>
        <w:t>贺州市八步区贺江幸福里商业别墅17-1栋</w:t>
      </w:r>
      <w:r>
        <w:rPr>
          <w:rFonts w:hint="eastAsia" w:ascii="宋体" w:hAnsi="宋体" w:cs="宋体"/>
          <w:kern w:val="0"/>
          <w:szCs w:val="21"/>
        </w:rPr>
        <w:t>二楼招标部）</w:t>
      </w:r>
      <w:r>
        <w:rPr>
          <w:rFonts w:hint="eastAsia" w:ascii="宋体" w:hAnsi="宋体" w:cs="宋体"/>
          <w:szCs w:val="21"/>
        </w:rPr>
        <w:t>现场报名并购买竞争性磋商文件：</w:t>
      </w:r>
    </w:p>
    <w:p>
      <w:pPr>
        <w:numPr>
          <w:ilvl w:val="0"/>
          <w:numId w:val="1"/>
        </w:numPr>
        <w:spacing w:line="560" w:lineRule="exact"/>
        <w:rPr>
          <w:rFonts w:ascii="宋体" w:hAnsi="宋体" w:cs="宋体"/>
          <w:szCs w:val="21"/>
        </w:rPr>
      </w:pPr>
      <w:r>
        <w:rPr>
          <w:rFonts w:hint="eastAsia" w:ascii="宋体" w:hAnsi="宋体" w:cs="宋体"/>
          <w:szCs w:val="21"/>
        </w:rPr>
        <w:t>《企业营业执照》副本或②三证合一后新版的《企业营业执照》副本复印件（①、②两样至少提供一样）</w:t>
      </w:r>
    </w:p>
    <w:p>
      <w:pPr>
        <w:spacing w:line="560" w:lineRule="exact"/>
        <w:ind w:firstLine="413" w:firstLineChars="196"/>
        <w:rPr>
          <w:rFonts w:ascii="宋体" w:hAnsi="宋体" w:cs="宋体"/>
          <w:kern w:val="0"/>
          <w:szCs w:val="21"/>
        </w:rPr>
      </w:pPr>
      <w:r>
        <w:rPr>
          <w:rFonts w:hint="eastAsia" w:ascii="宋体" w:hAnsi="宋体" w:cs="宋体"/>
          <w:b/>
          <w:szCs w:val="21"/>
        </w:rPr>
        <w:t>注：以上所有资料要求复印件并须加盖磋商供应商公章，报名后留下存档</w:t>
      </w:r>
      <w:r>
        <w:rPr>
          <w:rFonts w:hint="eastAsia" w:ascii="宋体" w:hAnsi="宋体" w:cs="宋体"/>
          <w:szCs w:val="21"/>
        </w:rPr>
        <w:t>。</w:t>
      </w:r>
    </w:p>
    <w:p>
      <w:pPr>
        <w:spacing w:line="560" w:lineRule="exact"/>
        <w:ind w:firstLine="422" w:firstLineChars="200"/>
        <w:rPr>
          <w:rFonts w:ascii="宋体" w:hAnsi="宋体" w:cs="宋体"/>
          <w:szCs w:val="21"/>
        </w:rPr>
      </w:pPr>
      <w:r>
        <w:rPr>
          <w:rFonts w:hint="eastAsia" w:ascii="宋体" w:hAnsi="宋体" w:cs="宋体"/>
          <w:b/>
          <w:szCs w:val="21"/>
        </w:rPr>
        <w:t>2.磋商文件售价：</w:t>
      </w:r>
      <w:r>
        <w:rPr>
          <w:rFonts w:hint="eastAsia" w:ascii="宋体" w:hAnsi="宋体" w:cs="宋体"/>
          <w:szCs w:val="21"/>
        </w:rPr>
        <w:t>300元/套，售后不退。</w:t>
      </w:r>
    </w:p>
    <w:p>
      <w:pPr>
        <w:pStyle w:val="4"/>
        <w:spacing w:line="360" w:lineRule="auto"/>
        <w:rPr>
          <w:rFonts w:ascii="宋体" w:hAnsi="宋体" w:eastAsia="宋体" w:cs="宋体"/>
          <w:bCs/>
          <w:sz w:val="21"/>
          <w:szCs w:val="21"/>
        </w:rPr>
      </w:pPr>
      <w:r>
        <w:rPr>
          <w:rFonts w:hint="eastAsia" w:ascii="宋体" w:hAnsi="宋体" w:eastAsia="宋体" w:cs="宋体"/>
          <w:bCs/>
          <w:sz w:val="21"/>
          <w:szCs w:val="21"/>
        </w:rPr>
        <w:t>四、响应文件提交</w:t>
      </w:r>
      <w:bookmarkEnd w:id="15"/>
      <w:bookmarkEnd w:id="16"/>
      <w:bookmarkEnd w:id="17"/>
      <w:bookmarkEnd w:id="18"/>
    </w:p>
    <w:p>
      <w:pPr>
        <w:spacing w:line="360" w:lineRule="auto"/>
        <w:ind w:firstLine="420" w:firstLineChars="200"/>
        <w:rPr>
          <w:rFonts w:ascii="宋体" w:hAnsi="宋体" w:cs="宋体"/>
          <w:szCs w:val="21"/>
        </w:rPr>
      </w:pPr>
      <w:bookmarkStart w:id="19" w:name="_Toc28359093"/>
      <w:bookmarkStart w:id="20" w:name="_Toc28359016"/>
      <w:bookmarkStart w:id="21" w:name="_Toc35393802"/>
      <w:bookmarkStart w:id="22" w:name="_Toc35393633"/>
      <w:r>
        <w:rPr>
          <w:rFonts w:hint="eastAsia" w:ascii="宋体" w:hAnsi="宋体" w:cs="宋体"/>
          <w:szCs w:val="21"/>
        </w:rPr>
        <w:t>1.响应文件递交的截止时间为</w:t>
      </w:r>
      <w:r>
        <w:rPr>
          <w:rFonts w:hint="eastAsia" w:ascii="宋体" w:hAnsi="宋体" w:cs="宋体"/>
          <w:szCs w:val="21"/>
          <w:u w:val="single"/>
        </w:rPr>
        <w:t>2020年08月31日15 时30分</w:t>
      </w:r>
      <w:r>
        <w:rPr>
          <w:rFonts w:hint="eastAsia" w:ascii="宋体" w:hAnsi="宋体" w:cs="宋体"/>
          <w:szCs w:val="21"/>
        </w:rPr>
        <w:t>，地点为</w:t>
      </w:r>
      <w:r>
        <w:rPr>
          <w:rFonts w:hint="eastAsia" w:ascii="宋体" w:hAnsi="宋体" w:cs="宋体"/>
          <w:kern w:val="0"/>
          <w:szCs w:val="21"/>
          <w:u w:val="single"/>
        </w:rPr>
        <w:t>富川瑶族自治县建筑市场交易中心 （地址：富川瑶族自治县富阳镇凤凰路85号2楼会议室）</w:t>
      </w:r>
      <w:r>
        <w:rPr>
          <w:rFonts w:hint="eastAsia" w:ascii="宋体" w:hAnsi="宋体" w:cs="宋体"/>
          <w:szCs w:val="21"/>
        </w:rPr>
        <w:t>。逾期送达的或者未送达指定地点的响应文件，采购人不予受理。</w:t>
      </w:r>
    </w:p>
    <w:p>
      <w:pPr>
        <w:pStyle w:val="5"/>
        <w:spacing w:line="360" w:lineRule="auto"/>
        <w:ind w:firstLineChars="200"/>
        <w:rPr>
          <w:rFonts w:ascii="宋体" w:hAnsi="宋体" w:cs="宋体"/>
          <w:sz w:val="21"/>
          <w:szCs w:val="21"/>
        </w:rPr>
      </w:pPr>
      <w:r>
        <w:rPr>
          <w:rFonts w:hint="eastAsia" w:ascii="宋体" w:hAnsi="宋体" w:cs="宋体"/>
          <w:sz w:val="21"/>
          <w:szCs w:val="21"/>
        </w:rPr>
        <w:t>2.根据《广西壮族自治区新冠肺炎疫情防控工作领导小组指挥部关于进一步加强管理严防新冠肺炎疫情输入传播扩散的紧急通知》(桂新冠防指[2020] 136 号)文件精神，各供应商法定代表人（负责人）或其授权代理人参与开标会时需正确佩戴口罩、出示健康码（健康码为绿码）、体温不得超过37.3℃、登记个人信息并承诺相关事项，没有疫情接触史或医学观察已满14天，否则将被劝返或隔离，必要时配合区域防疫机构强制隔离。</w:t>
      </w:r>
    </w:p>
    <w:p>
      <w:pPr>
        <w:pStyle w:val="4"/>
        <w:spacing w:line="360" w:lineRule="auto"/>
        <w:rPr>
          <w:rFonts w:ascii="宋体" w:hAnsi="宋体" w:eastAsia="宋体" w:cs="宋体"/>
          <w:bCs/>
          <w:sz w:val="21"/>
          <w:szCs w:val="21"/>
        </w:rPr>
      </w:pPr>
      <w:r>
        <w:rPr>
          <w:rFonts w:hint="eastAsia" w:ascii="宋体" w:hAnsi="宋体" w:eastAsia="宋体" w:cs="宋体"/>
          <w:bCs/>
          <w:sz w:val="21"/>
          <w:szCs w:val="21"/>
        </w:rPr>
        <w:t>五、开启</w:t>
      </w:r>
      <w:bookmarkEnd w:id="19"/>
      <w:bookmarkEnd w:id="20"/>
      <w:bookmarkEnd w:id="21"/>
      <w:bookmarkEnd w:id="22"/>
      <w:r>
        <w:rPr>
          <w:rFonts w:hint="eastAsia" w:ascii="宋体" w:hAnsi="宋体" w:eastAsia="宋体" w:cs="宋体"/>
          <w:bCs/>
          <w:sz w:val="21"/>
          <w:szCs w:val="21"/>
        </w:rPr>
        <w:t>：</w:t>
      </w:r>
    </w:p>
    <w:p>
      <w:pPr>
        <w:spacing w:line="360" w:lineRule="auto"/>
        <w:ind w:firstLine="420" w:firstLineChars="200"/>
        <w:jc w:val="left"/>
        <w:rPr>
          <w:rFonts w:ascii="宋体" w:hAnsi="宋体" w:cs="宋体"/>
          <w:bCs/>
          <w:szCs w:val="21"/>
          <w:u w:val="single"/>
        </w:rPr>
      </w:pPr>
      <w:r>
        <w:rPr>
          <w:rFonts w:hint="eastAsia" w:ascii="宋体" w:hAnsi="宋体" w:cs="宋体"/>
          <w:szCs w:val="21"/>
        </w:rPr>
        <w:t>时间：</w:t>
      </w:r>
      <w:r>
        <w:rPr>
          <w:rFonts w:hint="eastAsia" w:ascii="宋体" w:hAnsi="宋体" w:cs="宋体"/>
          <w:szCs w:val="21"/>
          <w:u w:val="single"/>
        </w:rPr>
        <w:t xml:space="preserve"> 2020年08月31日15时30分</w:t>
      </w:r>
      <w:r>
        <w:rPr>
          <w:rFonts w:hint="eastAsia" w:ascii="宋体" w:hAnsi="宋体" w:cs="宋体"/>
          <w:bCs/>
          <w:szCs w:val="21"/>
        </w:rPr>
        <w:t>（北京时间）</w:t>
      </w:r>
    </w:p>
    <w:p>
      <w:pPr>
        <w:spacing w:line="360" w:lineRule="auto"/>
        <w:ind w:firstLine="420" w:firstLineChars="200"/>
        <w:jc w:val="left"/>
        <w:rPr>
          <w:rFonts w:ascii="宋体" w:hAnsi="宋体" w:cs="宋体"/>
          <w:bCs/>
          <w:szCs w:val="21"/>
          <w:u w:val="single"/>
        </w:rPr>
      </w:pPr>
      <w:r>
        <w:rPr>
          <w:rFonts w:hint="eastAsia" w:ascii="宋体" w:hAnsi="宋体" w:cs="宋体"/>
          <w:szCs w:val="21"/>
        </w:rPr>
        <w:t>地点：</w:t>
      </w:r>
      <w:r>
        <w:rPr>
          <w:rFonts w:hint="eastAsia" w:ascii="宋体" w:hAnsi="宋体" w:cs="宋体"/>
          <w:kern w:val="0"/>
          <w:szCs w:val="21"/>
          <w:u w:val="single"/>
        </w:rPr>
        <w:t>富川瑶族自治县建筑市场交易中心 （地址：富川瑶族自治县富阳镇凤凰路85号2楼会议室）</w:t>
      </w:r>
    </w:p>
    <w:p>
      <w:pPr>
        <w:pStyle w:val="4"/>
        <w:spacing w:before="0" w:after="0" w:line="360" w:lineRule="auto"/>
        <w:rPr>
          <w:rFonts w:ascii="宋体" w:hAnsi="宋体" w:eastAsia="宋体" w:cs="宋体"/>
          <w:bCs/>
          <w:sz w:val="21"/>
          <w:szCs w:val="21"/>
        </w:rPr>
      </w:pPr>
      <w:bookmarkStart w:id="23" w:name="_Toc28359094"/>
      <w:bookmarkStart w:id="24" w:name="_Toc35393634"/>
      <w:bookmarkStart w:id="25" w:name="_Toc28359017"/>
      <w:bookmarkStart w:id="26" w:name="_Toc35393803"/>
      <w:r>
        <w:rPr>
          <w:rFonts w:hint="eastAsia" w:ascii="宋体" w:hAnsi="宋体" w:eastAsia="宋体" w:cs="宋体"/>
          <w:bCs/>
          <w:sz w:val="21"/>
          <w:szCs w:val="21"/>
        </w:rPr>
        <w:t>六、公告期限</w:t>
      </w:r>
      <w:bookmarkEnd w:id="23"/>
      <w:bookmarkEnd w:id="24"/>
      <w:bookmarkEnd w:id="25"/>
      <w:bookmarkEnd w:id="26"/>
    </w:p>
    <w:p>
      <w:pPr>
        <w:pStyle w:val="13"/>
        <w:widowControl/>
        <w:spacing w:beforeAutospacing="0" w:afterAutospacing="0" w:line="375" w:lineRule="atLeast"/>
        <w:ind w:firstLine="420"/>
        <w:rPr>
          <w:rFonts w:ascii="宋体" w:hAnsi="宋体" w:cs="宋体"/>
          <w:kern w:val="2"/>
          <w:sz w:val="21"/>
          <w:szCs w:val="21"/>
        </w:rPr>
      </w:pPr>
      <w:bookmarkStart w:id="27" w:name="_Toc35393635"/>
      <w:bookmarkStart w:id="28" w:name="_Toc35393804"/>
      <w:r>
        <w:rPr>
          <w:rFonts w:hint="eastAsia" w:ascii="宋体" w:hAnsi="宋体" w:cs="宋体"/>
          <w:kern w:val="2"/>
          <w:sz w:val="21"/>
          <w:szCs w:val="21"/>
        </w:rPr>
        <w:t>本次竞争性磋商公告同时在中国政府采购网（http://www.ccgp.gov.cn/）、广西政府采购网（http://zfcg.gxzf.gov.cn/）发布，公告期限为自本公告发布之日起5个工作日。</w:t>
      </w:r>
    </w:p>
    <w:p>
      <w:pPr>
        <w:pStyle w:val="4"/>
        <w:spacing w:line="360" w:lineRule="auto"/>
        <w:rPr>
          <w:rFonts w:ascii="宋体" w:hAnsi="宋体" w:eastAsia="宋体" w:cs="宋体"/>
          <w:bCs/>
          <w:sz w:val="21"/>
          <w:szCs w:val="21"/>
        </w:rPr>
      </w:pPr>
      <w:r>
        <w:rPr>
          <w:rFonts w:hint="eastAsia" w:ascii="宋体" w:hAnsi="宋体" w:eastAsia="宋体" w:cs="宋体"/>
          <w:bCs/>
          <w:sz w:val="21"/>
          <w:szCs w:val="21"/>
        </w:rPr>
        <w:t>七、其他补充事宜</w:t>
      </w:r>
      <w:bookmarkEnd w:id="27"/>
      <w:bookmarkEnd w:id="28"/>
    </w:p>
    <w:p>
      <w:pPr>
        <w:spacing w:line="400" w:lineRule="exact"/>
        <w:ind w:firstLine="422" w:firstLineChars="200"/>
        <w:rPr>
          <w:rFonts w:ascii="宋体" w:hAnsi="宋体" w:cs="宋体"/>
          <w:szCs w:val="21"/>
        </w:rPr>
      </w:pPr>
      <w:r>
        <w:rPr>
          <w:rFonts w:hint="eastAsia" w:ascii="宋体" w:hAnsi="宋体" w:cs="宋体"/>
          <w:b/>
          <w:szCs w:val="21"/>
        </w:rPr>
        <w:t>1.本项目参照执行的采购政策：</w:t>
      </w:r>
      <w:r>
        <w:rPr>
          <w:rFonts w:hint="eastAsia" w:ascii="宋体" w:hAnsi="宋体" w:cs="宋体"/>
          <w:szCs w:val="21"/>
        </w:rPr>
        <w:t>《中华人民共和国政府采购法》（中华人民共和国主席令第14号）、《中华人民共和国政府采购法实施条例》（中华人民共和国国务院令第658号）及《政府采购货物和服务招标投标管理办法》（中华人民共和国财政部令第87号）、《政府采购促进中小企业发展暂行办法》（财库〔2011〕181号）、《关于政府采购支持监狱企业发展有关问题的通知》（财库〔2014〕68号）、《关于促进残疾人就业政府采购政策的通知》（财库〔2017〕141号）、财政部国家发展改革委关于印发《节能产品政府采购实施意见》的通知（财库〔2004〕185号）、《关于环境标志产品政府采购实施的意见》（财库〔2006〕90号）。</w:t>
      </w:r>
    </w:p>
    <w:p>
      <w:pPr>
        <w:spacing w:line="380" w:lineRule="exact"/>
        <w:ind w:firstLine="422" w:firstLineChars="200"/>
        <w:rPr>
          <w:rFonts w:ascii="宋体" w:hAnsi="宋体" w:cs="宋体"/>
          <w:b/>
          <w:szCs w:val="21"/>
        </w:rPr>
      </w:pPr>
    </w:p>
    <w:p>
      <w:pPr>
        <w:spacing w:line="380" w:lineRule="exact"/>
        <w:ind w:firstLine="422" w:firstLineChars="200"/>
        <w:rPr>
          <w:rFonts w:ascii="宋体" w:hAnsi="宋体" w:cs="宋体"/>
          <w:b/>
          <w:szCs w:val="21"/>
        </w:rPr>
      </w:pPr>
      <w:r>
        <w:rPr>
          <w:rFonts w:hint="eastAsia" w:ascii="宋体" w:hAnsi="宋体" w:cs="宋体"/>
          <w:b/>
          <w:szCs w:val="21"/>
        </w:rPr>
        <w:t>2.磋商保证金：</w:t>
      </w:r>
    </w:p>
    <w:p>
      <w:pPr>
        <w:spacing w:line="380" w:lineRule="exact"/>
        <w:rPr>
          <w:rFonts w:ascii="宋体" w:hAnsi="宋体" w:cs="宋体"/>
          <w:szCs w:val="21"/>
        </w:rPr>
      </w:pPr>
      <w:r>
        <w:rPr>
          <w:rFonts w:hint="eastAsia" w:ascii="宋体" w:hAnsi="宋体" w:cs="宋体"/>
          <w:szCs w:val="21"/>
        </w:rPr>
        <w:t xml:space="preserve">    金额：（人民币：大写）壹万元整（￥10000.00）</w:t>
      </w:r>
    </w:p>
    <w:p>
      <w:pPr>
        <w:spacing w:line="380" w:lineRule="exact"/>
        <w:rPr>
          <w:rFonts w:ascii="宋体" w:hAnsi="宋体" w:cs="宋体"/>
          <w:szCs w:val="21"/>
        </w:rPr>
      </w:pPr>
      <w:r>
        <w:rPr>
          <w:rFonts w:hint="eastAsia" w:ascii="宋体" w:hAnsi="宋体" w:cs="宋体"/>
          <w:szCs w:val="21"/>
        </w:rPr>
        <w:t xml:space="preserve">    递交方式：竞争性磋商供应商于磋商截止时间前采用无条件银行保函、担保或保证保险或基本账户转账（电汇）方式形式递交，采用基本账户转账（电汇）方式形式的，须递交至以下账户：</w:t>
      </w:r>
    </w:p>
    <w:p>
      <w:pPr>
        <w:spacing w:line="380" w:lineRule="exact"/>
        <w:rPr>
          <w:rFonts w:ascii="宋体" w:hAnsi="宋体" w:cs="宋体"/>
          <w:szCs w:val="21"/>
        </w:rPr>
      </w:pPr>
      <w:r>
        <w:rPr>
          <w:rFonts w:hint="eastAsia" w:ascii="宋体" w:hAnsi="宋体" w:cs="宋体"/>
          <w:szCs w:val="21"/>
        </w:rPr>
        <w:t xml:space="preserve">    开户名称：华春建设工程项目管理有限责任公司桂东分公司</w:t>
      </w:r>
    </w:p>
    <w:p>
      <w:pPr>
        <w:spacing w:line="380" w:lineRule="exact"/>
        <w:ind w:firstLine="420" w:firstLineChars="200"/>
        <w:rPr>
          <w:rFonts w:ascii="宋体" w:hAnsi="宋体" w:cs="宋体"/>
          <w:szCs w:val="21"/>
        </w:rPr>
      </w:pPr>
      <w:r>
        <w:rPr>
          <w:rFonts w:hint="eastAsia" w:ascii="宋体" w:hAnsi="宋体" w:cs="宋体"/>
          <w:szCs w:val="21"/>
        </w:rPr>
        <w:t>开户银行：桂林银行股份有限公司贺州支行</w:t>
      </w:r>
    </w:p>
    <w:p>
      <w:pPr>
        <w:spacing w:line="380" w:lineRule="exact"/>
        <w:ind w:firstLine="426" w:firstLineChars="203"/>
        <w:rPr>
          <w:rFonts w:ascii="宋体" w:hAnsi="宋体" w:cs="宋体"/>
          <w:szCs w:val="21"/>
        </w:rPr>
      </w:pPr>
      <w:r>
        <w:rPr>
          <w:rFonts w:hint="eastAsia" w:ascii="宋体" w:hAnsi="宋体" w:cs="宋体"/>
          <w:szCs w:val="21"/>
        </w:rPr>
        <w:t>帐    号：6604 0011 1335 6000 10</w:t>
      </w:r>
    </w:p>
    <w:p>
      <w:pPr>
        <w:pStyle w:val="8"/>
        <w:rPr>
          <w:sz w:val="11"/>
          <w:szCs w:val="11"/>
        </w:rPr>
      </w:pPr>
    </w:p>
    <w:p>
      <w:pPr>
        <w:pStyle w:val="8"/>
        <w:ind w:firstLine="422" w:firstLineChars="200"/>
        <w:rPr>
          <w:rFonts w:ascii="宋体" w:hAnsi="宋体" w:eastAsia="宋体" w:cs="宋体"/>
          <w:spacing w:val="0"/>
          <w:sz w:val="21"/>
          <w:szCs w:val="21"/>
        </w:rPr>
      </w:pPr>
      <w:r>
        <w:rPr>
          <w:rFonts w:hint="eastAsia" w:ascii="宋体" w:hAnsi="宋体" w:eastAsia="宋体" w:cs="宋体"/>
          <w:spacing w:val="0"/>
          <w:sz w:val="21"/>
          <w:szCs w:val="21"/>
        </w:rPr>
        <w:t>3.评标办法和评标标准：综合评分法。</w:t>
      </w:r>
    </w:p>
    <w:p>
      <w:pPr>
        <w:spacing w:line="400" w:lineRule="exact"/>
        <w:ind w:firstLine="420"/>
        <w:rPr>
          <w:rFonts w:ascii="宋体" w:hAnsi="宋体" w:cs="宋体"/>
          <w:szCs w:val="21"/>
        </w:rPr>
      </w:pPr>
      <w:r>
        <w:rPr>
          <w:rFonts w:hint="eastAsia" w:ascii="宋体" w:hAnsi="宋体" w:cs="宋体"/>
          <w:b/>
          <w:bCs/>
          <w:szCs w:val="21"/>
        </w:rPr>
        <w:t>4.业绩要求：</w:t>
      </w:r>
      <w:r>
        <w:rPr>
          <w:rFonts w:hint="eastAsia" w:ascii="宋体" w:hAnsi="宋体" w:cs="宋体"/>
          <w:szCs w:val="21"/>
        </w:rPr>
        <w:t>无要求。</w:t>
      </w:r>
    </w:p>
    <w:p>
      <w:pPr>
        <w:spacing w:line="400" w:lineRule="exact"/>
        <w:ind w:firstLine="422" w:firstLineChars="200"/>
        <w:rPr>
          <w:rFonts w:ascii="宋体" w:hAnsi="宋体" w:cs="宋体"/>
          <w:b/>
          <w:szCs w:val="21"/>
        </w:rPr>
      </w:pPr>
      <w:r>
        <w:rPr>
          <w:rFonts w:hint="eastAsia" w:ascii="宋体" w:hAnsi="宋体" w:cs="宋体"/>
          <w:b/>
          <w:szCs w:val="21"/>
        </w:rPr>
        <w:t>5.诚信要求：以下载列的各项诚信要求均须满足（（1）、（2）两项要求均须满足）：</w:t>
      </w:r>
    </w:p>
    <w:p>
      <w:pPr>
        <w:spacing w:line="400" w:lineRule="exact"/>
        <w:ind w:firstLine="420" w:firstLineChars="200"/>
        <w:rPr>
          <w:rFonts w:ascii="宋体" w:hAnsi="宋体" w:cs="宋体"/>
          <w:szCs w:val="21"/>
        </w:rPr>
      </w:pPr>
      <w:r>
        <w:rPr>
          <w:rFonts w:hint="eastAsia" w:ascii="宋体" w:hAnsi="宋体" w:cs="宋体"/>
          <w:szCs w:val="21"/>
        </w:rPr>
        <w:t>（1）竞争性磋商供应商不得为失信（黑名单）被执行人（以①“信用中国”（网址www.creditchina.gov.cn）的查询结果，或②中国人民银行个人信用查询结果为准；①、②两样视其竞争性磋商供应商性质不同分别核验，竞争性磋商供应商为企业时核验①，其余情况核验②）；</w:t>
      </w:r>
    </w:p>
    <w:p>
      <w:pPr>
        <w:spacing w:line="400" w:lineRule="exact"/>
        <w:ind w:firstLine="420" w:firstLineChars="200"/>
        <w:rPr>
          <w:rFonts w:ascii="宋体" w:hAnsi="宋体" w:cs="宋体"/>
          <w:szCs w:val="21"/>
        </w:rPr>
      </w:pPr>
      <w:r>
        <w:rPr>
          <w:rFonts w:hint="eastAsia" w:ascii="宋体" w:hAnsi="宋体" w:cs="宋体"/>
          <w:szCs w:val="21"/>
        </w:rPr>
        <w:t>（2）竞争性磋商供应商不得存在政府采购严重违法失信行为（以“中国政府采购网（网址http://www.ccgp.gov.cn/）——政府采购严重违法失信行为记录名单”的查询结果为准）。</w:t>
      </w:r>
    </w:p>
    <w:p>
      <w:pPr>
        <w:rPr>
          <w:rFonts w:ascii="宋体" w:hAnsi="宋体" w:cs="宋体"/>
          <w:szCs w:val="21"/>
        </w:rPr>
      </w:pPr>
    </w:p>
    <w:p>
      <w:pPr>
        <w:pStyle w:val="4"/>
        <w:spacing w:before="0" w:after="0" w:line="360" w:lineRule="auto"/>
        <w:rPr>
          <w:rFonts w:ascii="宋体" w:hAnsi="宋体" w:eastAsia="宋体" w:cs="宋体"/>
          <w:bCs/>
          <w:sz w:val="21"/>
          <w:szCs w:val="21"/>
        </w:rPr>
      </w:pPr>
      <w:bookmarkStart w:id="29" w:name="_Toc28359018"/>
      <w:bookmarkStart w:id="30" w:name="_Toc35393636"/>
      <w:bookmarkStart w:id="31" w:name="_Toc28359095"/>
      <w:bookmarkStart w:id="32" w:name="_Toc35393805"/>
      <w:r>
        <w:rPr>
          <w:rFonts w:hint="eastAsia" w:ascii="宋体" w:hAnsi="宋体" w:eastAsia="宋体" w:cs="宋体"/>
          <w:bCs/>
          <w:sz w:val="21"/>
          <w:szCs w:val="21"/>
        </w:rPr>
        <w:t>八、凡对本次采购提出询问，请按以下方式联系。</w:t>
      </w:r>
      <w:bookmarkEnd w:id="29"/>
      <w:bookmarkEnd w:id="30"/>
      <w:bookmarkEnd w:id="31"/>
      <w:bookmarkEnd w:id="32"/>
    </w:p>
    <w:p>
      <w:pPr>
        <w:pStyle w:val="4"/>
        <w:spacing w:before="0" w:after="0" w:line="360" w:lineRule="auto"/>
        <w:ind w:firstLine="630" w:firstLineChars="300"/>
        <w:rPr>
          <w:rFonts w:ascii="宋体" w:hAnsi="宋体" w:eastAsia="宋体" w:cs="宋体"/>
          <w:b w:val="0"/>
          <w:sz w:val="21"/>
          <w:szCs w:val="21"/>
        </w:rPr>
      </w:pPr>
      <w:bookmarkStart w:id="33" w:name="_Toc35393637"/>
      <w:bookmarkStart w:id="34" w:name="_Toc28359096"/>
      <w:bookmarkStart w:id="35" w:name="_Toc28359019"/>
      <w:bookmarkStart w:id="36" w:name="_Toc35393806"/>
      <w:r>
        <w:rPr>
          <w:rFonts w:hint="eastAsia" w:ascii="宋体" w:hAnsi="宋体" w:eastAsia="宋体" w:cs="宋体"/>
          <w:b w:val="0"/>
          <w:sz w:val="21"/>
          <w:szCs w:val="21"/>
        </w:rPr>
        <w:t>1.采购人信息</w:t>
      </w:r>
      <w:bookmarkEnd w:id="33"/>
      <w:bookmarkEnd w:id="34"/>
      <w:bookmarkEnd w:id="35"/>
      <w:bookmarkEnd w:id="36"/>
    </w:p>
    <w:p>
      <w:pPr>
        <w:spacing w:line="360" w:lineRule="auto"/>
        <w:ind w:left="1041" w:leftChars="371" w:hanging="262" w:hangingChars="125"/>
        <w:jc w:val="left"/>
        <w:rPr>
          <w:rFonts w:ascii="宋体" w:hAnsi="宋体" w:cs="宋体"/>
          <w:szCs w:val="21"/>
        </w:rPr>
      </w:pPr>
      <w:r>
        <w:rPr>
          <w:rFonts w:hint="eastAsia" w:ascii="宋体" w:hAnsi="宋体" w:cs="宋体"/>
          <w:szCs w:val="21"/>
        </w:rPr>
        <w:t>名    称：富川瑶族自治县司法局　　</w:t>
      </w:r>
    </w:p>
    <w:p>
      <w:pPr>
        <w:spacing w:line="360" w:lineRule="auto"/>
        <w:ind w:left="1041" w:leftChars="371" w:hanging="262" w:hangingChars="125"/>
        <w:jc w:val="left"/>
        <w:rPr>
          <w:rFonts w:ascii="宋体" w:hAnsi="宋体" w:cs="宋体"/>
          <w:szCs w:val="21"/>
        </w:rPr>
      </w:pPr>
      <w:r>
        <w:rPr>
          <w:rFonts w:hint="eastAsia" w:ascii="宋体" w:hAnsi="宋体" w:cs="宋体"/>
          <w:szCs w:val="21"/>
        </w:rPr>
        <w:t>地    址：富川瑶族自治县新建路66号　　</w:t>
      </w:r>
    </w:p>
    <w:p>
      <w:pPr>
        <w:spacing w:line="360" w:lineRule="auto"/>
        <w:ind w:left="1041" w:leftChars="371" w:hanging="262" w:hangingChars="125"/>
        <w:jc w:val="left"/>
        <w:rPr>
          <w:rFonts w:ascii="宋体" w:hAnsi="宋体" w:cs="宋体"/>
          <w:szCs w:val="21"/>
        </w:rPr>
      </w:pPr>
      <w:r>
        <w:rPr>
          <w:rFonts w:hint="eastAsia" w:ascii="宋体" w:hAnsi="宋体" w:cs="宋体"/>
          <w:szCs w:val="21"/>
        </w:rPr>
        <w:t xml:space="preserve">联系方式：0774-7892202 　　 </w:t>
      </w:r>
    </w:p>
    <w:p>
      <w:pPr>
        <w:pStyle w:val="4"/>
        <w:spacing w:before="0" w:after="0" w:line="360" w:lineRule="auto"/>
        <w:ind w:firstLine="630" w:firstLineChars="300"/>
        <w:rPr>
          <w:rFonts w:ascii="宋体" w:hAnsi="宋体" w:eastAsia="宋体" w:cs="宋体"/>
          <w:b w:val="0"/>
          <w:sz w:val="21"/>
          <w:szCs w:val="21"/>
        </w:rPr>
      </w:pPr>
      <w:bookmarkStart w:id="37" w:name="_Toc28359097"/>
      <w:bookmarkStart w:id="38" w:name="_Toc28359020"/>
      <w:bookmarkStart w:id="39" w:name="_Toc35393807"/>
      <w:bookmarkStart w:id="40" w:name="_Toc35393638"/>
      <w:r>
        <w:rPr>
          <w:rFonts w:hint="eastAsia" w:ascii="宋体" w:hAnsi="宋体" w:eastAsia="宋体" w:cs="宋体"/>
          <w:b w:val="0"/>
          <w:sz w:val="21"/>
          <w:szCs w:val="21"/>
        </w:rPr>
        <w:t>2.采购代理机构信息</w:t>
      </w:r>
      <w:bookmarkEnd w:id="37"/>
      <w:bookmarkEnd w:id="38"/>
      <w:bookmarkEnd w:id="39"/>
      <w:bookmarkEnd w:id="40"/>
    </w:p>
    <w:p>
      <w:pPr>
        <w:spacing w:line="360" w:lineRule="auto"/>
        <w:ind w:firstLine="630" w:firstLineChars="300"/>
        <w:rPr>
          <w:rFonts w:ascii="宋体" w:hAnsi="宋体" w:cs="宋体"/>
          <w:szCs w:val="21"/>
        </w:rPr>
      </w:pPr>
      <w:r>
        <w:rPr>
          <w:rFonts w:hint="eastAsia" w:ascii="宋体" w:hAnsi="宋体" w:cs="宋体"/>
          <w:szCs w:val="21"/>
        </w:rPr>
        <w:t>名    称：华春建设工程项目管理有限责任公司　　　</w:t>
      </w:r>
    </w:p>
    <w:p>
      <w:pPr>
        <w:spacing w:line="360" w:lineRule="auto"/>
        <w:ind w:firstLine="630" w:firstLineChars="300"/>
        <w:rPr>
          <w:rFonts w:ascii="宋体" w:hAnsi="宋体" w:cs="宋体"/>
          <w:szCs w:val="21"/>
        </w:rPr>
      </w:pPr>
      <w:r>
        <w:rPr>
          <w:rFonts w:hint="eastAsia" w:ascii="宋体" w:hAnsi="宋体" w:cs="宋体"/>
          <w:szCs w:val="21"/>
        </w:rPr>
        <w:t>地　　址：</w:t>
      </w:r>
      <w:r>
        <w:rPr>
          <w:rFonts w:hint="eastAsia" w:ascii="宋体" w:hAnsi="宋体" w:cs="宋体"/>
          <w:szCs w:val="21"/>
          <w:lang w:eastAsia="zh-CN"/>
        </w:rPr>
        <w:t>贺州市八步区贺江幸福里商业别墅17-1栋</w:t>
      </w:r>
      <w:r>
        <w:rPr>
          <w:rFonts w:hint="eastAsia" w:ascii="宋体" w:hAnsi="宋体" w:cs="宋体"/>
          <w:szCs w:val="21"/>
        </w:rPr>
        <w:t>　　</w:t>
      </w:r>
    </w:p>
    <w:p>
      <w:pPr>
        <w:spacing w:line="360" w:lineRule="auto"/>
        <w:ind w:firstLine="630" w:firstLineChars="300"/>
        <w:rPr>
          <w:sz w:val="11"/>
          <w:szCs w:val="11"/>
        </w:rPr>
      </w:pPr>
      <w:r>
        <w:rPr>
          <w:rFonts w:hint="eastAsia" w:ascii="宋体" w:hAnsi="宋体" w:cs="宋体"/>
          <w:szCs w:val="21"/>
        </w:rPr>
        <w:t>联系方式：0774-5125001　　　</w:t>
      </w:r>
    </w:p>
    <w:p>
      <w:pPr>
        <w:pStyle w:val="4"/>
        <w:spacing w:before="0" w:after="0" w:line="360" w:lineRule="auto"/>
        <w:ind w:firstLine="630" w:firstLineChars="300"/>
        <w:rPr>
          <w:rFonts w:ascii="宋体" w:hAnsi="宋体" w:eastAsia="宋体" w:cs="宋体"/>
          <w:b w:val="0"/>
          <w:sz w:val="21"/>
          <w:szCs w:val="21"/>
        </w:rPr>
      </w:pPr>
      <w:bookmarkStart w:id="41" w:name="_Toc35393808"/>
      <w:bookmarkStart w:id="42" w:name="_Toc35393639"/>
      <w:bookmarkStart w:id="43" w:name="_Toc28359098"/>
      <w:bookmarkStart w:id="44" w:name="_Toc28359021"/>
      <w:r>
        <w:rPr>
          <w:rFonts w:hint="eastAsia" w:ascii="宋体" w:hAnsi="宋体" w:eastAsia="宋体" w:cs="宋体"/>
          <w:b w:val="0"/>
          <w:sz w:val="21"/>
          <w:szCs w:val="21"/>
        </w:rPr>
        <w:t>3.项目联系方式</w:t>
      </w:r>
      <w:bookmarkEnd w:id="41"/>
      <w:bookmarkEnd w:id="42"/>
      <w:bookmarkEnd w:id="43"/>
      <w:bookmarkEnd w:id="44"/>
    </w:p>
    <w:p>
      <w:pPr>
        <w:pStyle w:val="9"/>
        <w:spacing w:line="360" w:lineRule="auto"/>
        <w:ind w:firstLine="630" w:firstLineChars="300"/>
        <w:rPr>
          <w:rFonts w:hAnsi="宋体" w:cs="宋体"/>
          <w:szCs w:val="21"/>
        </w:rPr>
      </w:pPr>
      <w:r>
        <w:rPr>
          <w:rFonts w:hint="eastAsia" w:hAnsi="宋体" w:cs="宋体"/>
          <w:szCs w:val="21"/>
        </w:rPr>
        <w:t>项目联系人：欧伟峰</w:t>
      </w:r>
    </w:p>
    <w:p>
      <w:pPr>
        <w:spacing w:line="360" w:lineRule="auto"/>
        <w:ind w:firstLine="630" w:firstLineChars="300"/>
        <w:rPr>
          <w:rFonts w:ascii="宋体" w:hAnsi="宋体" w:cs="宋体"/>
          <w:szCs w:val="21"/>
        </w:rPr>
      </w:pPr>
      <w:r>
        <w:rPr>
          <w:rFonts w:hint="eastAsia" w:ascii="宋体" w:hAnsi="宋体" w:cs="宋体"/>
          <w:szCs w:val="21"/>
        </w:rPr>
        <w:t>电　　 话：0774-5125001　　　</w:t>
      </w:r>
    </w:p>
    <w:p>
      <w:pPr>
        <w:spacing w:line="400" w:lineRule="exact"/>
        <w:ind w:right="6" w:rightChars="3" w:firstLine="630" w:firstLineChars="300"/>
        <w:rPr>
          <w:rFonts w:ascii="宋体" w:hAnsi="宋体" w:cs="宋体"/>
          <w:szCs w:val="21"/>
        </w:rPr>
      </w:pPr>
      <w:r>
        <w:rPr>
          <w:rFonts w:hint="eastAsia" w:ascii="宋体" w:hAnsi="宋体" w:cs="宋体"/>
          <w:szCs w:val="21"/>
        </w:rPr>
        <w:t>4.监督部门：富川瑶族自治县财政局政府采购管理办公室</w:t>
      </w:r>
    </w:p>
    <w:p>
      <w:pPr>
        <w:spacing w:line="400" w:lineRule="exact"/>
        <w:ind w:right="6" w:rightChars="3" w:firstLine="630" w:firstLineChars="300"/>
        <w:rPr>
          <w:rFonts w:ascii="宋体" w:hAnsi="宋体" w:cs="宋体"/>
          <w:szCs w:val="21"/>
        </w:rPr>
      </w:pPr>
      <w:r>
        <w:rPr>
          <w:rFonts w:hint="eastAsia" w:ascii="宋体" w:hAnsi="宋体" w:cs="宋体"/>
          <w:szCs w:val="21"/>
        </w:rPr>
        <w:t>联系电话:0774-7882324</w:t>
      </w:r>
    </w:p>
    <w:p>
      <w:pPr>
        <w:spacing w:line="400" w:lineRule="exact"/>
        <w:ind w:right="6" w:rightChars="3" w:firstLine="5880" w:firstLineChars="2800"/>
        <w:rPr>
          <w:rFonts w:ascii="宋体" w:hAnsi="宋体" w:cs="宋体"/>
          <w:b/>
          <w:bCs/>
          <w:kern w:val="44"/>
          <w:sz w:val="28"/>
          <w:szCs w:val="28"/>
        </w:rPr>
      </w:pPr>
      <w:r>
        <w:rPr>
          <w:rFonts w:hint="eastAsia" w:ascii="宋体" w:hAnsi="宋体" w:cs="宋体"/>
          <w:szCs w:val="21"/>
        </w:rPr>
        <w:t>2020年08月18日</w:t>
      </w:r>
    </w:p>
    <w:p>
      <w:pPr>
        <w:rPr>
          <w:rFonts w:ascii="黑体" w:hAnsi="华文仿宋" w:eastAsia="黑体"/>
          <w:b/>
          <w:sz w:val="32"/>
          <w:szCs w:val="32"/>
        </w:rPr>
      </w:pPr>
    </w:p>
    <w:p>
      <w:bookmarkStart w:id="45" w:name="_Toc9291"/>
      <w:r>
        <w:rPr>
          <w:rFonts w:hint="eastAsia"/>
        </w:rPr>
        <w:br w:type="page"/>
      </w:r>
    </w:p>
    <w:p>
      <w:pPr>
        <w:pStyle w:val="3"/>
        <w:jc w:val="center"/>
      </w:pPr>
      <w:r>
        <w:rPr>
          <w:rFonts w:hint="eastAsia"/>
        </w:rPr>
        <w:t xml:space="preserve">第二章  </w:t>
      </w:r>
      <w:bookmarkEnd w:id="2"/>
      <w:r>
        <w:rPr>
          <w:rFonts w:hint="eastAsia"/>
        </w:rPr>
        <w:t>竞争性磋商供应商须知</w:t>
      </w:r>
      <w:bookmarkEnd w:id="45"/>
    </w:p>
    <w:p>
      <w:pPr>
        <w:spacing w:line="400" w:lineRule="exact"/>
        <w:rPr>
          <w:rFonts w:ascii="黑体" w:hAnsi="宋体"/>
          <w:b/>
          <w:sz w:val="28"/>
          <w:szCs w:val="28"/>
        </w:rPr>
      </w:pPr>
      <w:r>
        <w:rPr>
          <w:rFonts w:hint="eastAsia" w:ascii="宋体" w:hAnsi="宋体"/>
          <w:szCs w:val="21"/>
        </w:rPr>
        <w:cr/>
      </w:r>
      <w:r>
        <w:rPr>
          <w:rFonts w:hint="eastAsia" w:ascii="黑体" w:hAnsi="宋体" w:eastAsia="黑体"/>
          <w:b/>
          <w:sz w:val="28"/>
          <w:szCs w:val="28"/>
        </w:rPr>
        <w:t>竞争性磋商供应商须知前附表</w:t>
      </w:r>
    </w:p>
    <w:tbl>
      <w:tblPr>
        <w:tblStyle w:val="15"/>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478" w:type="dxa"/>
            <w:vAlign w:val="center"/>
          </w:tcPr>
          <w:p>
            <w:pPr>
              <w:pStyle w:val="24"/>
              <w:spacing w:line="300" w:lineRule="exact"/>
              <w:jc w:val="center"/>
              <w:rPr>
                <w:rFonts w:hAnsi="宋体"/>
                <w:b/>
                <w:szCs w:val="21"/>
              </w:rPr>
            </w:pPr>
            <w:r>
              <w:rPr>
                <w:rFonts w:hint="eastAsia" w:hAnsi="宋体"/>
                <w:b/>
                <w:szCs w:val="21"/>
              </w:rPr>
              <w:t>条款名称</w:t>
            </w:r>
          </w:p>
        </w:tc>
        <w:tc>
          <w:tcPr>
            <w:tcW w:w="8890" w:type="dxa"/>
            <w:vAlign w:val="center"/>
          </w:tcPr>
          <w:p>
            <w:pPr>
              <w:pStyle w:val="24"/>
              <w:spacing w:line="300" w:lineRule="exact"/>
              <w:jc w:val="center"/>
              <w:rPr>
                <w:rFonts w:hAnsi="宋体"/>
                <w:b/>
                <w:szCs w:val="21"/>
              </w:rPr>
            </w:pPr>
            <w:r>
              <w:rPr>
                <w:rFonts w:hint="eastAsia"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采购人</w:t>
            </w:r>
          </w:p>
        </w:tc>
        <w:tc>
          <w:tcPr>
            <w:tcW w:w="8890" w:type="dxa"/>
            <w:shd w:val="clear" w:color="auto" w:fill="auto"/>
            <w:vAlign w:val="center"/>
          </w:tcPr>
          <w:p>
            <w:pPr>
              <w:spacing w:line="360" w:lineRule="exact"/>
              <w:rPr>
                <w:rFonts w:ascii="宋体"/>
                <w:szCs w:val="21"/>
              </w:rPr>
            </w:pPr>
            <w:r>
              <w:rPr>
                <w:rFonts w:hint="eastAsia" w:ascii="宋体" w:hAnsi="宋体"/>
                <w:szCs w:val="21"/>
              </w:rPr>
              <w:t>名称：</w:t>
            </w:r>
            <w:r>
              <w:rPr>
                <w:rFonts w:hint="eastAsia" w:ascii="宋体" w:hAnsi="宋体"/>
                <w:bCs/>
                <w:szCs w:val="21"/>
              </w:rPr>
              <w:t>富川瑶族自治县司法局</w:t>
            </w:r>
            <w:r>
              <w:rPr>
                <w:rFonts w:ascii="宋体" w:hAnsi="宋体"/>
                <w:szCs w:val="21"/>
              </w:rPr>
              <w:t xml:space="preserve">   </w:t>
            </w:r>
            <w:r>
              <w:rPr>
                <w:rFonts w:hint="eastAsia" w:ascii="宋体" w:hAnsi="宋体"/>
                <w:szCs w:val="21"/>
              </w:rPr>
              <w:t xml:space="preserve">                      联系人：沈工     </w:t>
            </w:r>
          </w:p>
          <w:p>
            <w:pPr>
              <w:widowControl/>
              <w:spacing w:line="360" w:lineRule="exact"/>
              <w:jc w:val="left"/>
              <w:rPr>
                <w:rFonts w:ascii="宋体" w:hAnsi="宋体"/>
                <w:szCs w:val="21"/>
              </w:rPr>
            </w:pPr>
            <w:r>
              <w:rPr>
                <w:rFonts w:hint="eastAsia" w:ascii="宋体" w:hAnsi="宋体"/>
                <w:szCs w:val="21"/>
              </w:rPr>
              <w:t>地址：富川瑶族自治县新建路66号</w:t>
            </w:r>
            <w:r>
              <w:rPr>
                <w:rFonts w:hint="eastAsia" w:ascii="宋体" w:hAnsi="宋体"/>
                <w:bCs/>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电话：0774-7892202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采购代理机构</w:t>
            </w:r>
          </w:p>
        </w:tc>
        <w:tc>
          <w:tcPr>
            <w:tcW w:w="8890" w:type="dxa"/>
            <w:shd w:val="clear" w:color="auto" w:fill="auto"/>
            <w:vAlign w:val="center"/>
          </w:tcPr>
          <w:p>
            <w:pPr>
              <w:widowControl/>
              <w:spacing w:line="300" w:lineRule="exact"/>
              <w:rPr>
                <w:rFonts w:ascii="宋体" w:hAnsi="宋体"/>
                <w:szCs w:val="21"/>
              </w:rPr>
            </w:pPr>
            <w:r>
              <w:rPr>
                <w:rFonts w:hint="eastAsia" w:ascii="宋体" w:hAnsi="宋体"/>
                <w:szCs w:val="21"/>
              </w:rPr>
              <w:t>名称：华春建设工程项目管理有限责任公司</w:t>
            </w: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联系人：欧伟峰</w:t>
            </w:r>
          </w:p>
          <w:p>
            <w:pPr>
              <w:spacing w:line="300" w:lineRule="exact"/>
              <w:rPr>
                <w:rFonts w:ascii="宋体" w:hAnsi="宋体"/>
                <w:szCs w:val="21"/>
              </w:rPr>
            </w:pPr>
            <w:r>
              <w:rPr>
                <w:rFonts w:hint="eastAsia" w:ascii="宋体" w:hAnsi="宋体"/>
                <w:szCs w:val="21"/>
              </w:rPr>
              <w:t>地址：</w:t>
            </w:r>
            <w:r>
              <w:rPr>
                <w:rFonts w:hint="eastAsia" w:ascii="宋体" w:hAnsi="宋体"/>
                <w:szCs w:val="21"/>
                <w:lang w:eastAsia="zh-CN"/>
              </w:rPr>
              <w:t>贺州市八步区贺江幸福里商业别墅17-1栋</w:t>
            </w:r>
            <w:r>
              <w:rPr>
                <w:rFonts w:ascii="宋体" w:hAnsi="宋体"/>
                <w:szCs w:val="21"/>
              </w:rPr>
              <w:t xml:space="preserve">             </w:t>
            </w:r>
            <w:r>
              <w:rPr>
                <w:rFonts w:hint="eastAsia" w:ascii="宋体" w:hAnsi="宋体"/>
                <w:szCs w:val="21"/>
              </w:rPr>
              <w:t>电话：0774-5125001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项目名称</w:t>
            </w:r>
          </w:p>
        </w:tc>
        <w:tc>
          <w:tcPr>
            <w:tcW w:w="8890" w:type="dxa"/>
            <w:shd w:val="clear" w:color="auto" w:fill="auto"/>
            <w:vAlign w:val="center"/>
          </w:tcPr>
          <w:p>
            <w:pPr>
              <w:widowControl/>
              <w:spacing w:line="300" w:lineRule="exact"/>
              <w:rPr>
                <w:rFonts w:ascii="宋体" w:hAnsi="宋体"/>
                <w:szCs w:val="21"/>
              </w:rPr>
            </w:pPr>
            <w:r>
              <w:rPr>
                <w:rFonts w:hint="eastAsia" w:hAnsi="宋体"/>
                <w:szCs w:val="21"/>
              </w:rPr>
              <w:t>富川瑶族自治县司法局智慧司法项目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项目编号</w:t>
            </w:r>
          </w:p>
        </w:tc>
        <w:tc>
          <w:tcPr>
            <w:tcW w:w="8890" w:type="dxa"/>
            <w:shd w:val="clear" w:color="auto" w:fill="auto"/>
            <w:vAlign w:val="center"/>
          </w:tcPr>
          <w:p>
            <w:pPr>
              <w:widowControl/>
              <w:spacing w:line="300" w:lineRule="exact"/>
              <w:rPr>
                <w:rFonts w:ascii="宋体" w:hAnsi="宋体"/>
                <w:szCs w:val="21"/>
              </w:rPr>
            </w:pPr>
            <w:r>
              <w:rPr>
                <w:rFonts w:hint="eastAsia" w:ascii="宋体" w:hAnsi="宋体"/>
                <w:szCs w:val="21"/>
              </w:rPr>
              <w:t>FCZC2020-C3-230103-HCJS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采购范围</w:t>
            </w:r>
          </w:p>
        </w:tc>
        <w:tc>
          <w:tcPr>
            <w:tcW w:w="8890" w:type="dxa"/>
            <w:vAlign w:val="center"/>
          </w:tcPr>
          <w:p>
            <w:pPr>
              <w:widowControl/>
              <w:spacing w:line="360" w:lineRule="exact"/>
              <w:rPr>
                <w:rFonts w:ascii="宋体" w:hAnsi="宋体"/>
                <w:szCs w:val="21"/>
              </w:rPr>
            </w:pPr>
            <w:r>
              <w:rPr>
                <w:rFonts w:hint="eastAsia" w:ascii="宋体" w:hAnsi="宋体"/>
                <w:bCs/>
                <w:szCs w:val="21"/>
              </w:rPr>
              <w:t>富川瑶族自治县司法局智慧司法项目一项</w:t>
            </w:r>
            <w:r>
              <w:rPr>
                <w:rFonts w:hint="eastAsia" w:ascii="宋体" w:hAnsi="宋体"/>
                <w:szCs w:val="21"/>
              </w:rPr>
              <w:t>。详细内容详见竞争性磋商文件第三章“项目需求和说明”。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资金来源及</w:t>
            </w:r>
          </w:p>
          <w:p>
            <w:pPr>
              <w:spacing w:line="300" w:lineRule="exact"/>
              <w:jc w:val="center"/>
              <w:rPr>
                <w:rFonts w:ascii="宋体" w:hAnsi="宋体"/>
                <w:szCs w:val="21"/>
              </w:rPr>
            </w:pPr>
            <w:r>
              <w:rPr>
                <w:rFonts w:hint="eastAsia" w:ascii="宋体" w:hAnsi="宋体"/>
                <w:szCs w:val="21"/>
              </w:rPr>
              <w:t>落实情况</w:t>
            </w:r>
          </w:p>
        </w:tc>
        <w:tc>
          <w:tcPr>
            <w:tcW w:w="8890" w:type="dxa"/>
            <w:vAlign w:val="center"/>
          </w:tcPr>
          <w:p>
            <w:pPr>
              <w:spacing w:line="400" w:lineRule="exact"/>
              <w:rPr>
                <w:rFonts w:ascii="宋体" w:hAnsi="宋体"/>
                <w:szCs w:val="21"/>
              </w:rPr>
            </w:pPr>
            <w:r>
              <w:rPr>
                <w:rFonts w:hint="eastAsia" w:ascii="宋体" w:hAnsi="宋体"/>
                <w:szCs w:val="21"/>
              </w:rPr>
              <w:t>财政资金，出资比例100%，资金已到位。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pStyle w:val="24"/>
              <w:spacing w:line="300" w:lineRule="exact"/>
              <w:jc w:val="center"/>
              <w:rPr>
                <w:rFonts w:hAnsi="宋体"/>
                <w:szCs w:val="21"/>
              </w:rPr>
            </w:pPr>
            <w:r>
              <w:rPr>
                <w:rFonts w:hint="eastAsia" w:hAnsi="宋体"/>
                <w:szCs w:val="21"/>
              </w:rPr>
              <w:t>竞争性磋商供应商资质和能力要求</w:t>
            </w:r>
          </w:p>
        </w:tc>
        <w:tc>
          <w:tcPr>
            <w:tcW w:w="8890" w:type="dxa"/>
            <w:vAlign w:val="center"/>
          </w:tcPr>
          <w:p>
            <w:pPr>
              <w:spacing w:line="400" w:lineRule="exact"/>
              <w:rPr>
                <w:rFonts w:ascii="宋体" w:hAnsi="宋体"/>
                <w:szCs w:val="21"/>
              </w:rPr>
            </w:pPr>
            <w:r>
              <w:rPr>
                <w:rFonts w:hint="eastAsia" w:ascii="宋体" w:hAnsi="宋体"/>
                <w:szCs w:val="21"/>
              </w:rPr>
              <w:t>1.</w:t>
            </w:r>
            <w:r>
              <w:rPr>
                <w:rFonts w:hint="eastAsia"/>
              </w:rPr>
              <w:t xml:space="preserve"> </w:t>
            </w:r>
            <w:r>
              <w:rPr>
                <w:rFonts w:hint="eastAsia" w:ascii="宋体" w:hAnsi="宋体"/>
                <w:szCs w:val="21"/>
              </w:rPr>
              <w:t>国内注册（指按国家有关规定要求注册的），符合《中华人民共和国政府采购法》第二十二条规定，具备合法资格的供应商或经法人授权的分支机构或分公司；</w:t>
            </w:r>
          </w:p>
          <w:p>
            <w:pPr>
              <w:spacing w:line="400" w:lineRule="exact"/>
              <w:rPr>
                <w:rFonts w:ascii="宋体" w:hAnsi="宋体"/>
                <w:szCs w:val="21"/>
              </w:rPr>
            </w:pPr>
            <w:r>
              <w:rPr>
                <w:rFonts w:hint="eastAsia" w:ascii="宋体" w:hAnsi="宋体"/>
                <w:szCs w:val="21"/>
              </w:rPr>
              <w:t>2.</w:t>
            </w:r>
            <w:r>
              <w:rPr>
                <w:rFonts w:hint="eastAsia"/>
              </w:rPr>
              <w:t xml:space="preserve"> </w:t>
            </w:r>
            <w:r>
              <w:rPr>
                <w:rFonts w:hint="eastAsia" w:ascii="宋体" w:hAnsi="宋体"/>
                <w:szCs w:val="21"/>
              </w:rPr>
              <w:t>分支机构或分公司投标时，需提供具有法人资格的总公司的营业执照副本复印件及授权书，授权书须加盖总公司的公章。总公司可就本项目在一定范围及时间内出具授权书。已由总公司授权的，总公司取得的相关资质证书对分支机构或分公司有效，法律法规或者行业另有规定的除外；</w:t>
            </w:r>
          </w:p>
          <w:p>
            <w:pPr>
              <w:spacing w:line="400" w:lineRule="exact"/>
              <w:rPr>
                <w:rFonts w:ascii="宋体" w:hAnsi="宋体"/>
                <w:szCs w:val="21"/>
              </w:rPr>
            </w:pPr>
            <w:r>
              <w:rPr>
                <w:rFonts w:ascii="宋体" w:hAnsi="宋体"/>
                <w:szCs w:val="21"/>
              </w:rPr>
              <w:t>3.</w:t>
            </w:r>
            <w:r>
              <w:rPr>
                <w:rFonts w:hint="eastAsia" w:ascii="宋体" w:hAnsi="宋体"/>
                <w:szCs w:val="21"/>
              </w:rPr>
              <w:t>单位负责人为同一人或者存在直接控股、管理关系的不同供应商，不得参加同一合同项下的政府采购活动；</w:t>
            </w:r>
          </w:p>
          <w:p>
            <w:pPr>
              <w:spacing w:line="400" w:lineRule="exact"/>
              <w:rPr>
                <w:rFonts w:ascii="宋体" w:hAnsi="宋体"/>
                <w:szCs w:val="21"/>
              </w:rPr>
            </w:pPr>
            <w:r>
              <w:rPr>
                <w:rFonts w:hint="eastAsia" w:ascii="宋体" w:hAnsi="宋体"/>
                <w:b/>
                <w:szCs w:val="21"/>
              </w:rPr>
              <w:t>4.业绩要求：</w:t>
            </w:r>
            <w:r>
              <w:rPr>
                <w:rFonts w:hint="eastAsia" w:hAnsi="宋体" w:cs="宋体"/>
                <w:bCs/>
              </w:rPr>
              <w:t>无要求</w:t>
            </w:r>
            <w:r>
              <w:rPr>
                <w:rFonts w:hint="eastAsia" w:ascii="宋体" w:hAnsi="宋体"/>
                <w:szCs w:val="21"/>
              </w:rPr>
              <w:t>。</w:t>
            </w:r>
          </w:p>
          <w:p>
            <w:pPr>
              <w:spacing w:line="400" w:lineRule="exact"/>
              <w:rPr>
                <w:rFonts w:ascii="宋体" w:hAnsi="宋体"/>
                <w:b/>
                <w:szCs w:val="21"/>
              </w:rPr>
            </w:pPr>
            <w:r>
              <w:rPr>
                <w:rFonts w:hint="eastAsia" w:ascii="宋体" w:hAnsi="宋体"/>
                <w:b/>
                <w:szCs w:val="21"/>
              </w:rPr>
              <w:t>5.诚信要求：以下载列的各项诚信要求均须满足（（1）、（2）两项要求均须满足）：</w:t>
            </w:r>
          </w:p>
          <w:p>
            <w:pPr>
              <w:spacing w:line="400" w:lineRule="exact"/>
              <w:ind w:firstLine="420" w:firstLineChars="200"/>
              <w:rPr>
                <w:rFonts w:ascii="宋体" w:hAnsi="宋体"/>
                <w:szCs w:val="21"/>
              </w:rPr>
            </w:pPr>
            <w:r>
              <w:rPr>
                <w:rFonts w:hint="eastAsia" w:ascii="宋体" w:hAnsi="宋体"/>
                <w:szCs w:val="21"/>
              </w:rPr>
              <w:t>（1）竞争性磋商供应商不得为失信（黑名单）被执行人（以①“信用中国”（网址www.creditchina.gov.cn）的查询结果，或②中国人民银行个人信用查询结果为准；①、②两样视其竞争性磋商供应商性质不同分别核验，竞争性磋商供应商为企业时核验①，其余情况核验②）；</w:t>
            </w:r>
          </w:p>
          <w:p>
            <w:pPr>
              <w:spacing w:line="400" w:lineRule="exact"/>
              <w:ind w:firstLine="420" w:firstLineChars="200"/>
              <w:rPr>
                <w:rFonts w:ascii="宋体" w:hAnsi="宋体"/>
                <w:szCs w:val="21"/>
              </w:rPr>
            </w:pPr>
            <w:r>
              <w:rPr>
                <w:rFonts w:hint="eastAsia" w:ascii="宋体" w:hAnsi="宋体"/>
                <w:szCs w:val="21"/>
              </w:rPr>
              <w:t>（2）竞争性磋商供应商不得存在政府采购严重违法失信行为（以“中国政府采购网（网址http://www.ccgp.gov.cn/）——政府采购严重违法失信行为记录名单”的查询结果为准）。</w:t>
            </w:r>
          </w:p>
          <w:p>
            <w:pPr>
              <w:spacing w:line="300" w:lineRule="exact"/>
              <w:rPr>
                <w:rFonts w:ascii="宋体" w:hAnsi="宋体"/>
                <w:szCs w:val="21"/>
              </w:rPr>
            </w:pPr>
            <w:r>
              <w:rPr>
                <w:rFonts w:hint="eastAsia" w:ascii="宋体" w:hAnsi="宋体"/>
                <w:b/>
                <w:szCs w:val="21"/>
              </w:rPr>
              <w:t>6.是否接受联合体磋商：</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pStyle w:val="24"/>
              <w:spacing w:line="300" w:lineRule="exact"/>
              <w:jc w:val="center"/>
              <w:rPr>
                <w:rFonts w:hAnsi="宋体"/>
                <w:szCs w:val="21"/>
              </w:rPr>
            </w:pPr>
            <w:r>
              <w:rPr>
                <w:rFonts w:hint="eastAsia" w:hAnsi="宋体"/>
                <w:szCs w:val="21"/>
              </w:rPr>
              <w:t>工作服务期</w:t>
            </w:r>
          </w:p>
        </w:tc>
        <w:tc>
          <w:tcPr>
            <w:tcW w:w="8890" w:type="dxa"/>
            <w:vAlign w:val="center"/>
          </w:tcPr>
          <w:p>
            <w:pPr>
              <w:spacing w:line="300" w:lineRule="exact"/>
              <w:rPr>
                <w:rFonts w:ascii="宋体" w:hAnsi="宋体"/>
                <w:szCs w:val="21"/>
              </w:rPr>
            </w:pPr>
            <w:r>
              <w:rPr>
                <w:rFonts w:hint="eastAsia" w:ascii="宋体" w:hAnsi="宋体"/>
                <w:szCs w:val="21"/>
              </w:rPr>
              <w:t>见竞争性磋商文件第三章“项目需求和说明”。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踏勘现场</w:t>
            </w:r>
          </w:p>
        </w:tc>
        <w:tc>
          <w:tcPr>
            <w:tcW w:w="8890" w:type="dxa"/>
            <w:vAlign w:val="center"/>
          </w:tcPr>
          <w:p>
            <w:pPr>
              <w:spacing w:line="300" w:lineRule="exact"/>
              <w:rPr>
                <w:rFonts w:ascii="宋体" w:hAnsi="宋体"/>
                <w:szCs w:val="21"/>
              </w:rPr>
            </w:pPr>
            <w:r>
              <w:rPr>
                <w:rFonts w:hint="eastAsia" w:ascii="宋体" w:hAnsi="宋体"/>
                <w:szCs w:val="21"/>
              </w:rPr>
              <w:t>不组织，由竞争性磋商供应商自行踏勘现场。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磋商</w:t>
            </w:r>
            <w:r>
              <w:rPr>
                <w:rFonts w:ascii="宋体" w:hAnsi="宋体"/>
                <w:szCs w:val="21"/>
              </w:rPr>
              <w:t>预备会</w:t>
            </w:r>
          </w:p>
        </w:tc>
        <w:tc>
          <w:tcPr>
            <w:tcW w:w="8890" w:type="dxa"/>
            <w:vAlign w:val="center"/>
          </w:tcPr>
          <w:p>
            <w:pPr>
              <w:spacing w:line="300" w:lineRule="exact"/>
              <w:rPr>
                <w:rFonts w:ascii="宋体" w:hAnsi="宋体"/>
                <w:szCs w:val="21"/>
              </w:rPr>
            </w:pPr>
            <w:r>
              <w:rPr>
                <w:rFonts w:hint="eastAsia" w:ascii="宋体" w:hAnsi="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构成竞争性</w:t>
            </w:r>
          </w:p>
          <w:p>
            <w:pPr>
              <w:spacing w:line="300" w:lineRule="exact"/>
              <w:jc w:val="center"/>
              <w:rPr>
                <w:rFonts w:ascii="宋体" w:hAnsi="宋体"/>
                <w:szCs w:val="21"/>
              </w:rPr>
            </w:pPr>
            <w:r>
              <w:rPr>
                <w:rFonts w:hint="eastAsia" w:ascii="宋体" w:hAnsi="宋体"/>
                <w:szCs w:val="21"/>
              </w:rPr>
              <w:t>磋商文件的</w:t>
            </w:r>
          </w:p>
          <w:p>
            <w:pPr>
              <w:spacing w:line="300" w:lineRule="exact"/>
              <w:jc w:val="center"/>
              <w:rPr>
                <w:rFonts w:ascii="宋体" w:hAnsi="宋体"/>
                <w:szCs w:val="21"/>
              </w:rPr>
            </w:pPr>
            <w:r>
              <w:rPr>
                <w:rFonts w:hint="eastAsia" w:ascii="宋体" w:hAnsi="宋体"/>
                <w:szCs w:val="21"/>
              </w:rPr>
              <w:t>其他材料</w:t>
            </w:r>
          </w:p>
        </w:tc>
        <w:tc>
          <w:tcPr>
            <w:tcW w:w="8890" w:type="dxa"/>
            <w:vAlign w:val="center"/>
          </w:tcPr>
          <w:p>
            <w:pPr>
              <w:spacing w:line="300" w:lineRule="exact"/>
              <w:rPr>
                <w:rFonts w:ascii="宋体" w:hAnsi="宋体"/>
                <w:szCs w:val="21"/>
              </w:rPr>
            </w:pPr>
            <w:r>
              <w:rPr>
                <w:rFonts w:hint="eastAsia" w:ascii="宋体" w:hAnsi="宋体"/>
                <w:szCs w:val="21"/>
              </w:rPr>
              <w:t>竞争性磋商文件的澄清、修改、补充通知等内容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竞争性磋商供应商要求</w:t>
            </w:r>
          </w:p>
          <w:p>
            <w:pPr>
              <w:spacing w:line="300" w:lineRule="exact"/>
              <w:jc w:val="center"/>
              <w:rPr>
                <w:rFonts w:ascii="宋体" w:hAnsi="宋体"/>
                <w:szCs w:val="21"/>
              </w:rPr>
            </w:pPr>
            <w:r>
              <w:rPr>
                <w:rFonts w:hint="eastAsia" w:ascii="宋体" w:hAnsi="宋体"/>
                <w:szCs w:val="21"/>
              </w:rPr>
              <w:t>澄清竞争性</w:t>
            </w:r>
          </w:p>
          <w:p>
            <w:pPr>
              <w:spacing w:line="300" w:lineRule="exact"/>
              <w:jc w:val="center"/>
              <w:rPr>
                <w:rFonts w:ascii="宋体" w:hAnsi="宋体"/>
                <w:szCs w:val="21"/>
              </w:rPr>
            </w:pPr>
            <w:r>
              <w:rPr>
                <w:rFonts w:hint="eastAsia" w:ascii="宋体" w:hAnsi="宋体"/>
                <w:szCs w:val="21"/>
              </w:rPr>
              <w:t>磋商文件的</w:t>
            </w:r>
          </w:p>
          <w:p>
            <w:pPr>
              <w:spacing w:line="300" w:lineRule="exact"/>
              <w:jc w:val="center"/>
              <w:rPr>
                <w:rFonts w:ascii="宋体" w:hAnsi="宋体"/>
                <w:szCs w:val="21"/>
              </w:rPr>
            </w:pPr>
            <w:r>
              <w:rPr>
                <w:rFonts w:hint="eastAsia" w:ascii="宋体" w:hAnsi="宋体"/>
                <w:szCs w:val="21"/>
              </w:rPr>
              <w:t>截止时间</w:t>
            </w:r>
          </w:p>
        </w:tc>
        <w:tc>
          <w:tcPr>
            <w:tcW w:w="8890" w:type="dxa"/>
            <w:vAlign w:val="center"/>
          </w:tcPr>
          <w:p>
            <w:pPr>
              <w:spacing w:line="300" w:lineRule="exact"/>
              <w:rPr>
                <w:rFonts w:ascii="宋体" w:hAnsi="宋体"/>
                <w:szCs w:val="21"/>
              </w:rPr>
            </w:pPr>
            <w:r>
              <w:rPr>
                <w:rFonts w:hint="eastAsia" w:ascii="宋体" w:hAnsi="宋体"/>
                <w:szCs w:val="21"/>
              </w:rPr>
              <w:t>竞争性磋商文件发售期满后3个工作日内，供应商如对本项目有任何质疑，包括竞争性磋商文件中合格竞争性磋商供应商的资格条件、技术及服务要求或其他条款存在排他性或歧视性，均应在此时间前以书面形式提出，以利于保护供应商的合法权益。竞争性磋商供应商</w:t>
            </w:r>
            <w:r>
              <w:rPr>
                <w:rFonts w:ascii="宋体" w:hAnsi="宋体"/>
                <w:szCs w:val="21"/>
              </w:rPr>
              <w:t>不在澄清期限内提出，</w:t>
            </w:r>
            <w:r>
              <w:rPr>
                <w:rFonts w:hint="eastAsia" w:ascii="宋体" w:hAnsi="宋体"/>
                <w:szCs w:val="21"/>
              </w:rPr>
              <w:t>采购</w:t>
            </w:r>
            <w:r>
              <w:rPr>
                <w:rFonts w:ascii="宋体" w:hAnsi="宋体"/>
                <w:szCs w:val="21"/>
              </w:rPr>
              <w:t>人有权不予答复，或答复后</w:t>
            </w:r>
            <w:r>
              <w:rPr>
                <w:rFonts w:hint="eastAsia" w:ascii="宋体" w:hAnsi="宋体"/>
                <w:szCs w:val="21"/>
              </w:rPr>
              <w:t>磋商</w:t>
            </w:r>
            <w:r>
              <w:rPr>
                <w:rFonts w:ascii="宋体" w:hAnsi="宋体"/>
                <w:szCs w:val="21"/>
              </w:rPr>
              <w:t>截止时间由</w:t>
            </w:r>
            <w:r>
              <w:rPr>
                <w:rFonts w:hint="eastAsia" w:ascii="宋体" w:hAnsi="宋体"/>
                <w:szCs w:val="21"/>
              </w:rPr>
              <w:t>采购</w:t>
            </w:r>
            <w:r>
              <w:rPr>
                <w:rFonts w:ascii="宋体" w:hAnsi="宋体"/>
                <w:szCs w:val="21"/>
              </w:rPr>
              <w:t>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磋商截止时间</w:t>
            </w:r>
          </w:p>
        </w:tc>
        <w:tc>
          <w:tcPr>
            <w:tcW w:w="8890" w:type="dxa"/>
            <w:vAlign w:val="center"/>
          </w:tcPr>
          <w:p>
            <w:pPr>
              <w:spacing w:line="300" w:lineRule="exact"/>
              <w:rPr>
                <w:rFonts w:ascii="宋体" w:hAnsi="宋体"/>
                <w:szCs w:val="21"/>
              </w:rPr>
            </w:pPr>
            <w:r>
              <w:rPr>
                <w:rFonts w:hint="eastAsia" w:ascii="宋体" w:hAnsi="宋体"/>
                <w:b/>
                <w:bCs/>
                <w:szCs w:val="21"/>
              </w:rPr>
              <w:t>2020年08月31</w:t>
            </w:r>
            <w:r>
              <w:rPr>
                <w:rFonts w:ascii="宋体" w:hAnsi="宋体"/>
                <w:b/>
                <w:bCs/>
                <w:szCs w:val="21"/>
              </w:rPr>
              <w:t>日</w:t>
            </w:r>
            <w:r>
              <w:rPr>
                <w:rFonts w:hint="eastAsia" w:ascii="宋体" w:hAnsi="宋体"/>
                <w:b/>
                <w:bCs/>
                <w:szCs w:val="21"/>
              </w:rPr>
              <w:t>15</w:t>
            </w:r>
            <w:r>
              <w:rPr>
                <w:rFonts w:ascii="宋体" w:hAnsi="宋体"/>
                <w:b/>
                <w:bCs/>
                <w:szCs w:val="21"/>
              </w:rPr>
              <w:t>时</w:t>
            </w:r>
            <w:r>
              <w:rPr>
                <w:rFonts w:hint="eastAsia" w:ascii="宋体" w:hAnsi="宋体"/>
                <w:b/>
                <w:bCs/>
                <w:szCs w:val="21"/>
              </w:rPr>
              <w:t>30</w:t>
            </w:r>
            <w:r>
              <w:rPr>
                <w:rFonts w:ascii="宋体" w:hAnsi="宋体"/>
                <w:b/>
                <w:bCs/>
                <w:szCs w:val="21"/>
              </w:rPr>
              <w:t>分</w:t>
            </w:r>
            <w:r>
              <w:rPr>
                <w:rFonts w:hint="eastAsia" w:ascii="宋体" w:hAnsi="宋体"/>
                <w:b/>
                <w:bCs/>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竞争性磋商文件澄清发布方式</w:t>
            </w:r>
          </w:p>
        </w:tc>
        <w:tc>
          <w:tcPr>
            <w:tcW w:w="8890" w:type="dxa"/>
            <w:vAlign w:val="center"/>
          </w:tcPr>
          <w:p>
            <w:pPr>
              <w:spacing w:line="300" w:lineRule="exact"/>
              <w:rPr>
                <w:rFonts w:ascii="宋体" w:hAnsi="宋体"/>
                <w:szCs w:val="21"/>
              </w:rPr>
            </w:pPr>
            <w:r>
              <w:rPr>
                <w:rFonts w:ascii="宋体" w:hAnsi="宋体"/>
                <w:szCs w:val="21"/>
              </w:rPr>
              <w:t>在竞争性</w:t>
            </w:r>
            <w:r>
              <w:rPr>
                <w:rFonts w:hint="eastAsia" w:ascii="宋体" w:hAnsi="宋体"/>
                <w:szCs w:val="21"/>
              </w:rPr>
              <w:t>磋商</w:t>
            </w:r>
            <w:r>
              <w:rPr>
                <w:rFonts w:ascii="宋体" w:hAnsi="宋体"/>
                <w:szCs w:val="21"/>
              </w:rPr>
              <w:t>公告发布的同一媒介上公示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竞争性磋商供应商确认收到竞争性磋商文件澄清时间</w:t>
            </w:r>
          </w:p>
        </w:tc>
        <w:tc>
          <w:tcPr>
            <w:tcW w:w="8890" w:type="dxa"/>
            <w:vAlign w:val="center"/>
          </w:tcPr>
          <w:p>
            <w:pPr>
              <w:spacing w:line="300" w:lineRule="exact"/>
              <w:rPr>
                <w:rFonts w:ascii="宋体" w:hAnsi="宋体"/>
                <w:szCs w:val="21"/>
              </w:rPr>
            </w:pPr>
            <w:r>
              <w:rPr>
                <w:rFonts w:ascii="宋体" w:hAnsi="宋体"/>
                <w:szCs w:val="21"/>
              </w:rPr>
              <w:t>不需要确认。澄清文件在本</w:t>
            </w:r>
            <w:r>
              <w:rPr>
                <w:rFonts w:hint="eastAsia" w:ascii="宋体" w:hAnsi="宋体"/>
                <w:szCs w:val="21"/>
              </w:rPr>
              <w:t>采购项目竞争性磋商公告发布媒介刊登</w:t>
            </w:r>
            <w:r>
              <w:rPr>
                <w:rFonts w:ascii="宋体" w:hAnsi="宋体"/>
                <w:szCs w:val="21"/>
              </w:rPr>
              <w:t>之日起，视为竞争性</w:t>
            </w:r>
            <w:r>
              <w:rPr>
                <w:rFonts w:hint="eastAsia" w:ascii="宋体" w:hAnsi="宋体"/>
                <w:szCs w:val="21"/>
              </w:rPr>
              <w:t>磋商</w:t>
            </w:r>
            <w:r>
              <w:rPr>
                <w:rFonts w:ascii="宋体" w:hAnsi="宋体"/>
                <w:szCs w:val="21"/>
              </w:rPr>
              <w:t>供应商已收到该澄清。竞争性</w:t>
            </w:r>
            <w:r>
              <w:rPr>
                <w:rFonts w:hint="eastAsia" w:ascii="宋体" w:hAnsi="宋体"/>
                <w:szCs w:val="21"/>
              </w:rPr>
              <w:t>磋商</w:t>
            </w:r>
            <w:r>
              <w:rPr>
                <w:rFonts w:ascii="宋体" w:hAnsi="宋体"/>
                <w:szCs w:val="21"/>
              </w:rPr>
              <w:t>供应商未及时关注采购人在网站上</w:t>
            </w:r>
            <w:r>
              <w:rPr>
                <w:rFonts w:hint="eastAsia" w:ascii="宋体" w:hAnsi="宋体"/>
                <w:szCs w:val="21"/>
              </w:rPr>
              <w:t>刊登</w:t>
            </w:r>
            <w:r>
              <w:rPr>
                <w:rFonts w:ascii="宋体" w:hAnsi="宋体"/>
                <w:szCs w:val="21"/>
              </w:rPr>
              <w:t>的澄清文件造成的损失，由竞争性</w:t>
            </w:r>
            <w:r>
              <w:rPr>
                <w:rFonts w:hint="eastAsia" w:ascii="宋体" w:hAnsi="宋体"/>
                <w:szCs w:val="21"/>
              </w:rPr>
              <w:t>磋商</w:t>
            </w:r>
            <w:r>
              <w:rPr>
                <w:rFonts w:ascii="宋体" w:hAnsi="宋体"/>
                <w:szCs w:val="21"/>
              </w:rPr>
              <w:t>供应商自行负责。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构成响应文件的材料</w:t>
            </w:r>
          </w:p>
        </w:tc>
        <w:tc>
          <w:tcPr>
            <w:tcW w:w="8890" w:type="dxa"/>
            <w:vAlign w:val="center"/>
          </w:tcPr>
          <w:p>
            <w:pPr>
              <w:pStyle w:val="25"/>
              <w:tabs>
                <w:tab w:val="left" w:pos="956"/>
              </w:tabs>
              <w:spacing w:line="440" w:lineRule="exact"/>
              <w:jc w:val="left"/>
              <w:rPr>
                <w:szCs w:val="21"/>
              </w:rPr>
            </w:pPr>
            <w:r>
              <w:rPr>
                <w:rFonts w:hint="eastAsia"/>
                <w:szCs w:val="21"/>
              </w:rPr>
              <w:t>（1）磋商函；（必须提供）</w:t>
            </w:r>
          </w:p>
          <w:p>
            <w:pPr>
              <w:pStyle w:val="25"/>
              <w:tabs>
                <w:tab w:val="left" w:pos="956"/>
              </w:tabs>
              <w:spacing w:line="440" w:lineRule="exact"/>
              <w:jc w:val="left"/>
              <w:rPr>
                <w:szCs w:val="21"/>
              </w:rPr>
            </w:pPr>
            <w:r>
              <w:rPr>
                <w:rFonts w:hint="eastAsia"/>
                <w:szCs w:val="21"/>
              </w:rPr>
              <w:t>（2）磋商函附录；（必须提供）</w:t>
            </w:r>
          </w:p>
          <w:p>
            <w:pPr>
              <w:pStyle w:val="25"/>
              <w:tabs>
                <w:tab w:val="left" w:pos="960"/>
              </w:tabs>
              <w:spacing w:line="440" w:lineRule="exact"/>
              <w:ind w:right="96"/>
              <w:jc w:val="left"/>
              <w:rPr>
                <w:szCs w:val="21"/>
              </w:rPr>
            </w:pPr>
            <w:r>
              <w:rPr>
                <w:rFonts w:hint="eastAsia"/>
                <w:szCs w:val="21"/>
              </w:rPr>
              <w:t>（3）竞争性磋商供应商基本情况表；</w:t>
            </w:r>
          </w:p>
          <w:p>
            <w:pPr>
              <w:pStyle w:val="25"/>
              <w:tabs>
                <w:tab w:val="left" w:pos="960"/>
              </w:tabs>
              <w:spacing w:line="440" w:lineRule="exact"/>
              <w:ind w:right="691"/>
              <w:jc w:val="left"/>
              <w:rPr>
                <w:szCs w:val="21"/>
              </w:rPr>
            </w:pPr>
            <w:r>
              <w:rPr>
                <w:rFonts w:hint="eastAsia"/>
                <w:szCs w:val="21"/>
              </w:rPr>
              <w:t>（4）法定代表人/负责人身份证明及身份证复印件；（必须提供）</w:t>
            </w:r>
          </w:p>
          <w:p>
            <w:pPr>
              <w:pStyle w:val="25"/>
              <w:tabs>
                <w:tab w:val="left" w:pos="960"/>
              </w:tabs>
              <w:spacing w:line="440" w:lineRule="exact"/>
              <w:ind w:right="96"/>
              <w:jc w:val="left"/>
              <w:rPr>
                <w:szCs w:val="21"/>
              </w:rPr>
            </w:pPr>
            <w:r>
              <w:rPr>
                <w:rFonts w:hint="eastAsia"/>
                <w:szCs w:val="21"/>
              </w:rPr>
              <w:t>（5）法定代表人/负责人授权委托书和被授权人的身份证复印件；（如授权委托时，则必须提供）</w:t>
            </w:r>
          </w:p>
          <w:p>
            <w:pPr>
              <w:pStyle w:val="25"/>
              <w:tabs>
                <w:tab w:val="left" w:pos="960"/>
              </w:tabs>
              <w:spacing w:line="440" w:lineRule="exact"/>
              <w:ind w:right="96"/>
              <w:jc w:val="left"/>
              <w:rPr>
                <w:rFonts w:ascii="宋体" w:hAnsi="宋体"/>
                <w:szCs w:val="21"/>
              </w:rPr>
            </w:pPr>
            <w:r>
              <w:rPr>
                <w:rFonts w:hint="eastAsia"/>
                <w:szCs w:val="21"/>
              </w:rPr>
              <w:t>（6）</w:t>
            </w:r>
            <w:r>
              <w:rPr>
                <w:rFonts w:hint="eastAsia" w:ascii="宋体" w:hAnsi="宋体"/>
                <w:szCs w:val="21"/>
              </w:rPr>
              <w:t>技术规格偏离表；</w:t>
            </w:r>
          </w:p>
          <w:p>
            <w:pPr>
              <w:pStyle w:val="25"/>
              <w:tabs>
                <w:tab w:val="left" w:pos="960"/>
              </w:tabs>
              <w:spacing w:line="440" w:lineRule="exact"/>
              <w:ind w:right="96"/>
              <w:jc w:val="left"/>
              <w:rPr>
                <w:rFonts w:ascii="宋体" w:hAnsi="宋体"/>
                <w:szCs w:val="21"/>
              </w:rPr>
            </w:pPr>
            <w:r>
              <w:rPr>
                <w:rFonts w:hint="eastAsia" w:ascii="宋体" w:hAnsi="宋体"/>
                <w:szCs w:val="21"/>
              </w:rPr>
              <w:t>（7）商务响应表；</w:t>
            </w:r>
          </w:p>
          <w:p>
            <w:pPr>
              <w:pStyle w:val="25"/>
              <w:tabs>
                <w:tab w:val="left" w:pos="956"/>
              </w:tabs>
              <w:spacing w:line="440" w:lineRule="exact"/>
              <w:jc w:val="left"/>
              <w:rPr>
                <w:szCs w:val="21"/>
              </w:rPr>
            </w:pPr>
            <w:r>
              <w:rPr>
                <w:rFonts w:hint="eastAsia"/>
                <w:szCs w:val="21"/>
              </w:rPr>
              <w:t>（8）磋商保证金递交证明材料；（必须提供）</w:t>
            </w:r>
          </w:p>
          <w:p>
            <w:pPr>
              <w:spacing w:line="400" w:lineRule="exact"/>
              <w:ind w:firstLine="420" w:firstLineChars="200"/>
              <w:jc w:val="left"/>
              <w:rPr>
                <w:szCs w:val="21"/>
              </w:rPr>
            </w:pPr>
            <w:bookmarkStart w:id="46" w:name="_Toc487707805"/>
            <w:r>
              <w:rPr>
                <w:rFonts w:hint="eastAsia" w:ascii="宋体" w:hAnsi="宋体"/>
                <w:szCs w:val="21"/>
              </w:rPr>
              <w:t>（9）</w:t>
            </w:r>
            <w:r>
              <w:rPr>
                <w:rFonts w:ascii="宋体" w:hAnsi="宋体"/>
                <w:szCs w:val="21"/>
              </w:rPr>
              <w:t>竞争性磋商供应商类似业绩证明材料</w:t>
            </w:r>
            <w:r>
              <w:rPr>
                <w:rFonts w:hint="eastAsia" w:ascii="宋体" w:hAnsi="宋体"/>
                <w:szCs w:val="21"/>
              </w:rPr>
              <w:t>；</w:t>
            </w:r>
            <w:bookmarkEnd w:id="46"/>
          </w:p>
          <w:p>
            <w:pPr>
              <w:spacing w:line="400" w:lineRule="exact"/>
              <w:ind w:firstLine="420" w:firstLineChars="200"/>
              <w:jc w:val="left"/>
              <w:rPr>
                <w:szCs w:val="21"/>
              </w:rPr>
            </w:pPr>
            <w:bookmarkStart w:id="47" w:name="_Toc487707806"/>
            <w:r>
              <w:rPr>
                <w:rFonts w:hint="eastAsia" w:ascii="宋体" w:hAnsi="宋体"/>
                <w:szCs w:val="21"/>
              </w:rPr>
              <w:t>（10）竞争性磋商供应商认为可以证明其能力的其他材料；</w:t>
            </w:r>
            <w:bookmarkEnd w:id="47"/>
          </w:p>
          <w:p>
            <w:pPr>
              <w:pStyle w:val="25"/>
              <w:tabs>
                <w:tab w:val="left" w:pos="1059"/>
                <w:tab w:val="left" w:pos="8400"/>
              </w:tabs>
              <w:spacing w:line="440" w:lineRule="exact"/>
              <w:ind w:right="96"/>
              <w:jc w:val="left"/>
              <w:rPr>
                <w:szCs w:val="21"/>
              </w:rPr>
            </w:pPr>
            <w:r>
              <w:rPr>
                <w:rFonts w:hint="eastAsia"/>
                <w:szCs w:val="21"/>
              </w:rPr>
              <w:t>（11）对本项目的理解、实施方案及售后服务承诺方案；</w:t>
            </w:r>
          </w:p>
          <w:p>
            <w:pPr>
              <w:pStyle w:val="9"/>
              <w:spacing w:line="400" w:lineRule="exact"/>
              <w:ind w:firstLine="420" w:firstLineChars="200"/>
              <w:rPr>
                <w:rFonts w:hAnsi="宋体"/>
                <w:szCs w:val="21"/>
              </w:rPr>
            </w:pPr>
            <w:r>
              <w:rPr>
                <w:rFonts w:hint="eastAsia" w:ascii="Times New Roman" w:hAnsi="Times New Roman"/>
                <w:szCs w:val="21"/>
              </w:rPr>
              <w:t>（12）</w:t>
            </w:r>
            <w:r>
              <w:rPr>
                <w:rFonts w:hint="eastAsia"/>
                <w:szCs w:val="21"/>
              </w:rPr>
              <w:t>磋商供应商认为有必要提供的其他资料（如有）。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pStyle w:val="24"/>
              <w:spacing w:line="300" w:lineRule="exact"/>
              <w:jc w:val="center"/>
              <w:rPr>
                <w:rFonts w:hAnsi="宋体"/>
                <w:szCs w:val="21"/>
              </w:rPr>
            </w:pPr>
            <w:r>
              <w:rPr>
                <w:rFonts w:hint="eastAsia" w:hAnsi="宋体"/>
                <w:szCs w:val="21"/>
              </w:rPr>
              <w:t>磋商报价</w:t>
            </w:r>
          </w:p>
        </w:tc>
        <w:tc>
          <w:tcPr>
            <w:tcW w:w="8890" w:type="dxa"/>
            <w:vAlign w:val="center"/>
          </w:tcPr>
          <w:p>
            <w:pPr>
              <w:pStyle w:val="24"/>
              <w:spacing w:line="300" w:lineRule="exact"/>
              <w:rPr>
                <w:rFonts w:hAnsi="宋体"/>
                <w:szCs w:val="21"/>
              </w:rPr>
            </w:pPr>
            <w:r>
              <w:rPr>
                <w:rFonts w:hint="eastAsia" w:hAnsi="宋体"/>
                <w:szCs w:val="21"/>
              </w:rPr>
              <w:t>竞争性磋商供应商就《项目需求和说明》中所有的货物和服务内容作完整唯一报价。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磋商有效期</w:t>
            </w:r>
          </w:p>
        </w:tc>
        <w:tc>
          <w:tcPr>
            <w:tcW w:w="8890" w:type="dxa"/>
            <w:vAlign w:val="center"/>
          </w:tcPr>
          <w:p>
            <w:pPr>
              <w:spacing w:line="300" w:lineRule="exact"/>
              <w:rPr>
                <w:rFonts w:ascii="宋体" w:hAnsi="宋体"/>
                <w:szCs w:val="21"/>
              </w:rPr>
            </w:pPr>
            <w:r>
              <w:rPr>
                <w:rFonts w:hint="eastAsia" w:ascii="宋体" w:hAnsi="宋体"/>
                <w:szCs w:val="21"/>
              </w:rPr>
              <w:t>6</w:t>
            </w:r>
            <w:r>
              <w:rPr>
                <w:rFonts w:ascii="宋体" w:hAnsi="宋体"/>
                <w:szCs w:val="21"/>
              </w:rPr>
              <w:t>0</w:t>
            </w:r>
            <w:r>
              <w:rPr>
                <w:rFonts w:hint="eastAsia" w:ascii="宋体" w:hAnsi="宋体"/>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磋商保证金</w:t>
            </w:r>
          </w:p>
        </w:tc>
        <w:tc>
          <w:tcPr>
            <w:tcW w:w="8890" w:type="dxa"/>
            <w:vAlign w:val="center"/>
          </w:tcPr>
          <w:p>
            <w:pPr>
              <w:spacing w:line="300" w:lineRule="exact"/>
              <w:rPr>
                <w:rFonts w:ascii="宋体" w:hAnsi="宋体" w:cs="宋体"/>
                <w:b/>
                <w:szCs w:val="21"/>
                <w:u w:val="single"/>
              </w:rPr>
            </w:pPr>
            <w:r>
              <w:rPr>
                <w:rFonts w:hint="eastAsia" w:ascii="宋体" w:hAnsi="宋体" w:cs="宋体"/>
                <w:kern w:val="0"/>
                <w:szCs w:val="21"/>
              </w:rPr>
              <w:t>金额：</w:t>
            </w:r>
            <w:r>
              <w:rPr>
                <w:rFonts w:hint="eastAsia" w:ascii="宋体" w:hAnsi="宋体" w:cs="宋体"/>
                <w:b/>
                <w:szCs w:val="21"/>
                <w:u w:val="single"/>
              </w:rPr>
              <w:t>人民币壹万元整（￥10000.00）</w:t>
            </w:r>
          </w:p>
          <w:p>
            <w:pPr>
              <w:spacing w:line="300" w:lineRule="exact"/>
              <w:rPr>
                <w:rFonts w:ascii="宋体" w:hAnsi="宋体"/>
                <w:szCs w:val="21"/>
              </w:rPr>
            </w:pPr>
            <w:r>
              <w:rPr>
                <w:rFonts w:hint="eastAsia" w:ascii="宋体" w:hAnsi="宋体"/>
                <w:b/>
                <w:szCs w:val="21"/>
              </w:rPr>
              <w:t>递交方式：</w:t>
            </w:r>
            <w:r>
              <w:rPr>
                <w:rFonts w:hint="eastAsia" w:ascii="宋体" w:hAnsi="宋体" w:cs="宋体"/>
              </w:rPr>
              <w:t>可以银行保函、银行转账、电汇、担保、保证保险等方式提交。禁止采用现钞交纳方式。</w:t>
            </w:r>
            <w:r>
              <w:rPr>
                <w:rFonts w:hint="eastAsia" w:ascii="宋体" w:hAnsi="宋体"/>
                <w:szCs w:val="21"/>
              </w:rPr>
              <w:t>采用银行保函、担保或保证保险方式的，必须为无条件保函，保函有效期不得低于磋商有效期（备注：在磋商截止时间前于开标现场将开具的无条件银行保函或担保或保证保险原件递交给采购人，复印件加盖竞争性磋商供应商单位公章装入响应文件中），材料不齐全或无效的，</w:t>
            </w:r>
            <w:r>
              <w:rPr>
                <w:rFonts w:hint="eastAsia" w:ascii="宋体" w:hAnsi="宋体"/>
                <w:b/>
                <w:szCs w:val="21"/>
              </w:rPr>
              <w:t>其响应文件（竞标）作否决（废标）处理</w:t>
            </w:r>
            <w:r>
              <w:rPr>
                <w:rFonts w:hint="eastAsia" w:ascii="宋体" w:hAnsi="宋体"/>
                <w:szCs w:val="21"/>
              </w:rPr>
              <w:t>；采用银行转账、电汇方式的，必须从竞争性磋商供应商的基本账户转账或电汇到以下指定的磋商保证金专用账户（备注：于开标现场查验银行转账（电汇）底单原件(电子转账的底单原件可采用加盖转账单位公章的电子转账底单彩色打印件，以上材料复印件加盖竞争性磋商供应商单位公章装入响应文件中)，材料不齐全或无效的，</w:t>
            </w:r>
            <w:r>
              <w:rPr>
                <w:rFonts w:hint="eastAsia" w:ascii="宋体" w:hAnsi="宋体"/>
                <w:b/>
                <w:szCs w:val="21"/>
              </w:rPr>
              <w:t>其响应文件（竞标）作否决（废标）处理。</w:t>
            </w:r>
          </w:p>
          <w:p>
            <w:pPr>
              <w:spacing w:line="400" w:lineRule="exact"/>
              <w:ind w:firstLine="630" w:firstLineChars="300"/>
              <w:rPr>
                <w:rFonts w:ascii="宋体" w:hAnsi="宋体"/>
                <w:szCs w:val="21"/>
              </w:rPr>
            </w:pPr>
            <w:r>
              <w:rPr>
                <w:rFonts w:hint="eastAsia" w:ascii="宋体" w:hAnsi="宋体"/>
                <w:szCs w:val="21"/>
              </w:rPr>
              <w:t>开户名称：华春建设工程项目管理有限责任公司桂东分公司</w:t>
            </w:r>
          </w:p>
          <w:p>
            <w:pPr>
              <w:spacing w:line="400" w:lineRule="exact"/>
              <w:ind w:firstLine="630" w:firstLineChars="300"/>
              <w:rPr>
                <w:rFonts w:ascii="宋体" w:hAnsi="宋体"/>
                <w:szCs w:val="21"/>
              </w:rPr>
            </w:pPr>
            <w:r>
              <w:rPr>
                <w:rFonts w:hint="eastAsia" w:ascii="宋体" w:hAnsi="宋体"/>
                <w:szCs w:val="21"/>
              </w:rPr>
              <w:t>开户银行：桂林银行股份有限公司贺州支行</w:t>
            </w:r>
          </w:p>
          <w:p>
            <w:pPr>
              <w:spacing w:line="400" w:lineRule="exact"/>
              <w:ind w:firstLine="630" w:firstLineChars="300"/>
              <w:rPr>
                <w:rFonts w:ascii="宋体" w:hAnsi="宋体" w:cs="宋体"/>
                <w:kern w:val="0"/>
                <w:szCs w:val="21"/>
              </w:rPr>
            </w:pPr>
            <w:r>
              <w:rPr>
                <w:rFonts w:hint="eastAsia" w:ascii="宋体" w:hAnsi="宋体"/>
                <w:szCs w:val="21"/>
              </w:rPr>
              <w:t>帐    号：6604 0011 1335 6000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b/>
                <w:szCs w:val="21"/>
              </w:rPr>
            </w:pPr>
            <w:r>
              <w:rPr>
                <w:rFonts w:hint="eastAsia" w:ascii="宋体" w:hAnsi="宋体"/>
                <w:b/>
                <w:szCs w:val="21"/>
              </w:rPr>
              <w:t>签字和（或）</w:t>
            </w:r>
          </w:p>
          <w:p>
            <w:pPr>
              <w:spacing w:line="300" w:lineRule="exact"/>
              <w:jc w:val="center"/>
              <w:rPr>
                <w:rFonts w:ascii="宋体" w:hAnsi="宋体"/>
                <w:b/>
                <w:szCs w:val="21"/>
              </w:rPr>
            </w:pPr>
            <w:r>
              <w:rPr>
                <w:rFonts w:hint="eastAsia" w:ascii="宋体" w:hAnsi="宋体"/>
                <w:b/>
                <w:szCs w:val="21"/>
              </w:rPr>
              <w:t>盖章要求</w:t>
            </w:r>
          </w:p>
        </w:tc>
        <w:tc>
          <w:tcPr>
            <w:tcW w:w="8890" w:type="dxa"/>
            <w:vAlign w:val="center"/>
          </w:tcPr>
          <w:p>
            <w:pPr>
              <w:spacing w:line="300" w:lineRule="exact"/>
              <w:rPr>
                <w:rFonts w:ascii="宋体" w:hAnsi="宋体"/>
                <w:b/>
                <w:szCs w:val="21"/>
              </w:rPr>
            </w:pPr>
            <w:r>
              <w:rPr>
                <w:rFonts w:hint="eastAsia" w:ascii="宋体" w:hAnsi="宋体"/>
                <w:b/>
                <w:szCs w:val="21"/>
              </w:rPr>
              <w:t>响应文件正本须由竞争性磋商供应商在竞争性磋商文件规定的相关位置加盖竞争性磋商供应商单位公章，法定代表人/负责人或其授权代理人应在指定签字处</w:t>
            </w:r>
            <w:r>
              <w:rPr>
                <w:rFonts w:hint="eastAsia" w:ascii="宋体" w:hAnsi="宋体"/>
                <w:b/>
              </w:rPr>
              <w:t>签字（法定代表人/负责人签字或加盖印鉴，委托代理人必须签字）</w:t>
            </w:r>
            <w:r>
              <w:rPr>
                <w:rFonts w:hint="eastAsia" w:ascii="宋体" w:hAnsi="宋体"/>
                <w:b/>
                <w:szCs w:val="21"/>
              </w:rPr>
              <w:t>。</w:t>
            </w:r>
          </w:p>
          <w:p>
            <w:pPr>
              <w:spacing w:line="300" w:lineRule="exact"/>
              <w:rPr>
                <w:rFonts w:ascii="宋体" w:hAnsi="宋体"/>
                <w:b/>
                <w:szCs w:val="21"/>
              </w:rPr>
            </w:pPr>
            <w:r>
              <w:rPr>
                <w:rFonts w:hint="eastAsia" w:ascii="宋体" w:hAnsi="宋体"/>
                <w:b/>
                <w:szCs w:val="21"/>
              </w:rPr>
              <w:t>对有签署格式要求的应当在落款签署处签署姓名，有盖公章格式要求的应当在落款盖章处加盖单位公章。对有实质性内容的材料（即要求提供的组成响应文件的相关表格和证明材料等）均应在空白处加盖竞争性磋商供应商公章。</w:t>
            </w:r>
          </w:p>
          <w:p>
            <w:pPr>
              <w:spacing w:line="300" w:lineRule="exact"/>
              <w:rPr>
                <w:rFonts w:ascii="宋体" w:hAnsi="宋体"/>
                <w:b/>
                <w:szCs w:val="21"/>
              </w:rPr>
            </w:pPr>
            <w:r>
              <w:rPr>
                <w:rFonts w:hint="eastAsia" w:ascii="宋体" w:hAnsi="宋体"/>
                <w:b/>
                <w:szCs w:val="21"/>
              </w:rPr>
              <w:t>副本可使用已在指定位置签字盖章的正本的复印件（封面除外）。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pStyle w:val="24"/>
              <w:spacing w:line="300" w:lineRule="exact"/>
              <w:jc w:val="center"/>
              <w:rPr>
                <w:rFonts w:hAnsi="宋体"/>
                <w:szCs w:val="21"/>
              </w:rPr>
            </w:pPr>
            <w:r>
              <w:rPr>
                <w:rFonts w:hint="eastAsia" w:hAnsi="宋体"/>
                <w:szCs w:val="21"/>
              </w:rPr>
              <w:t>响应文件份数</w:t>
            </w:r>
          </w:p>
        </w:tc>
        <w:tc>
          <w:tcPr>
            <w:tcW w:w="8890" w:type="dxa"/>
            <w:vAlign w:val="center"/>
          </w:tcPr>
          <w:p>
            <w:pPr>
              <w:pStyle w:val="9"/>
              <w:spacing w:line="300" w:lineRule="exact"/>
              <w:rPr>
                <w:rFonts w:hAnsi="宋体"/>
                <w:szCs w:val="21"/>
              </w:rPr>
            </w:pPr>
            <w:r>
              <w:rPr>
                <w:rFonts w:hint="eastAsia" w:hAnsi="宋体"/>
                <w:szCs w:val="21"/>
              </w:rPr>
              <w:t>正本：壹份；副本：伍份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478" w:type="dxa"/>
            <w:vAlign w:val="center"/>
          </w:tcPr>
          <w:p>
            <w:pPr>
              <w:pStyle w:val="24"/>
              <w:spacing w:line="300" w:lineRule="exact"/>
              <w:jc w:val="center"/>
              <w:rPr>
                <w:rFonts w:hAnsi="宋体"/>
                <w:b/>
                <w:szCs w:val="21"/>
              </w:rPr>
            </w:pPr>
            <w:r>
              <w:rPr>
                <w:rFonts w:hint="eastAsia" w:hAnsi="宋体"/>
                <w:b/>
                <w:szCs w:val="21"/>
              </w:rPr>
              <w:t>响应文件装订要求</w:t>
            </w:r>
          </w:p>
        </w:tc>
        <w:tc>
          <w:tcPr>
            <w:tcW w:w="8890" w:type="dxa"/>
            <w:vAlign w:val="center"/>
          </w:tcPr>
          <w:p>
            <w:pPr>
              <w:pStyle w:val="9"/>
              <w:spacing w:line="300" w:lineRule="exact"/>
              <w:rPr>
                <w:rFonts w:hAnsi="宋体"/>
                <w:b/>
                <w:szCs w:val="21"/>
              </w:rPr>
            </w:pPr>
            <w:r>
              <w:rPr>
                <w:rFonts w:hint="eastAsia" w:hAnsi="宋体"/>
                <w:b/>
                <w:szCs w:val="21"/>
              </w:rPr>
              <w:t>竞争性磋商供应商必须按竞争性磋商文件第五章《响应文件（格式）》要求顺序自编目录及</w:t>
            </w:r>
            <w:r>
              <w:rPr>
                <w:rFonts w:hAnsi="宋体"/>
                <w:b/>
                <w:szCs w:val="21"/>
              </w:rPr>
              <w:t>逐页标注连续页码</w:t>
            </w:r>
            <w:r>
              <w:rPr>
                <w:rFonts w:hint="eastAsia" w:hAnsi="宋体"/>
                <w:b/>
                <w:szCs w:val="21"/>
              </w:rPr>
              <w:t>装订成册，且响应文件装订位置必须封边，不允许使用活页夹、拉杆夹、夹条等可能导致响应文件散落或脱页的装订方式，否则将可能被评标委员会（磋商小组）视为无效响应文件。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包装、密封</w:t>
            </w:r>
          </w:p>
        </w:tc>
        <w:tc>
          <w:tcPr>
            <w:tcW w:w="8890" w:type="dxa"/>
            <w:vAlign w:val="center"/>
          </w:tcPr>
          <w:p>
            <w:pPr>
              <w:spacing w:line="300" w:lineRule="exact"/>
              <w:rPr>
                <w:rFonts w:ascii="宋体" w:hAnsi="宋体"/>
                <w:szCs w:val="21"/>
              </w:rPr>
            </w:pPr>
            <w:r>
              <w:rPr>
                <w:rFonts w:hint="eastAsia" w:ascii="宋体" w:hAnsi="宋体"/>
                <w:szCs w:val="21"/>
              </w:rPr>
              <w:t>响应文件正本、副本一并密封一个密封袋中。封口处应加盖竞争性磋商供应商密封章或单位公章。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封套上</w:t>
            </w:r>
          </w:p>
          <w:p>
            <w:pPr>
              <w:spacing w:line="300" w:lineRule="exact"/>
              <w:jc w:val="center"/>
              <w:rPr>
                <w:rFonts w:ascii="宋体" w:hAnsi="宋体"/>
                <w:szCs w:val="21"/>
              </w:rPr>
            </w:pPr>
            <w:r>
              <w:rPr>
                <w:rFonts w:hint="eastAsia" w:ascii="宋体" w:hAnsi="宋体"/>
                <w:szCs w:val="21"/>
              </w:rPr>
              <w:t>写明内容</w:t>
            </w:r>
          </w:p>
        </w:tc>
        <w:tc>
          <w:tcPr>
            <w:tcW w:w="8890" w:type="dxa"/>
            <w:vAlign w:val="center"/>
          </w:tcPr>
          <w:p>
            <w:pPr>
              <w:spacing w:line="300" w:lineRule="exact"/>
              <w:rPr>
                <w:rFonts w:ascii="宋体" w:hAnsi="宋体"/>
                <w:szCs w:val="21"/>
              </w:rPr>
            </w:pPr>
            <w:r>
              <w:rPr>
                <w:rFonts w:hint="eastAsia" w:ascii="宋体" w:hAnsi="宋体"/>
                <w:szCs w:val="21"/>
              </w:rPr>
              <w:t>采购人名称：</w:t>
            </w:r>
            <w:r>
              <w:rPr>
                <w:rFonts w:hint="eastAsia" w:ascii="宋体" w:hAnsi="宋体"/>
                <w:szCs w:val="21"/>
                <w:u w:val="single"/>
              </w:rPr>
              <w:t xml:space="preserve">                          </w:t>
            </w:r>
          </w:p>
          <w:p>
            <w:pPr>
              <w:spacing w:line="300" w:lineRule="exact"/>
              <w:rPr>
                <w:rFonts w:ascii="宋体" w:hAnsi="宋体"/>
                <w:szCs w:val="21"/>
              </w:rPr>
            </w:pPr>
            <w:r>
              <w:rPr>
                <w:rFonts w:hint="eastAsia" w:ascii="宋体" w:hAnsi="宋体"/>
                <w:szCs w:val="21"/>
              </w:rPr>
              <w:t>采购人地址：</w:t>
            </w:r>
            <w:r>
              <w:rPr>
                <w:rFonts w:hint="eastAsia" w:ascii="宋体" w:hAnsi="宋体"/>
                <w:szCs w:val="21"/>
                <w:u w:val="single"/>
              </w:rPr>
              <w:t xml:space="preserve">                          </w:t>
            </w:r>
          </w:p>
          <w:p>
            <w:pPr>
              <w:spacing w:line="300" w:lineRule="exact"/>
              <w:rPr>
                <w:rFonts w:ascii="宋体" w:hAnsi="宋体"/>
                <w:szCs w:val="21"/>
                <w:u w:val="single"/>
              </w:rPr>
            </w:pPr>
            <w:r>
              <w:rPr>
                <w:rFonts w:hint="eastAsia" w:ascii="宋体" w:hAnsi="宋体"/>
                <w:szCs w:val="21"/>
              </w:rPr>
              <w:t>竞争性磋商供应商名称：</w:t>
            </w:r>
            <w:r>
              <w:rPr>
                <w:rFonts w:hint="eastAsia" w:ascii="宋体" w:hAnsi="宋体"/>
                <w:szCs w:val="21"/>
                <w:u w:val="single"/>
              </w:rPr>
              <w:t xml:space="preserve">                           </w:t>
            </w:r>
          </w:p>
          <w:p>
            <w:pPr>
              <w:spacing w:line="300" w:lineRule="exact"/>
              <w:rPr>
                <w:rFonts w:ascii="宋体" w:hAnsi="宋体"/>
                <w:szCs w:val="21"/>
                <w:u w:val="single"/>
              </w:rPr>
            </w:pPr>
            <w:r>
              <w:rPr>
                <w:rFonts w:hint="eastAsia" w:ascii="宋体" w:hAnsi="宋体"/>
                <w:szCs w:val="21"/>
              </w:rPr>
              <w:t>竞争性磋商供应商地址：</w:t>
            </w:r>
            <w:r>
              <w:rPr>
                <w:rFonts w:hint="eastAsia" w:ascii="宋体" w:hAnsi="宋体"/>
                <w:szCs w:val="21"/>
                <w:u w:val="single"/>
              </w:rPr>
              <w:t xml:space="preserve">                           </w:t>
            </w:r>
          </w:p>
          <w:p>
            <w:pPr>
              <w:spacing w:line="300" w:lineRule="exact"/>
              <w:rPr>
                <w:rFonts w:ascii="宋体" w:hAnsi="宋体"/>
                <w:szCs w:val="21"/>
              </w:rPr>
            </w:pPr>
            <w:r>
              <w:rPr>
                <w:rFonts w:hint="eastAsia" w:ascii="宋体" w:hAnsi="宋体"/>
                <w:szCs w:val="21"/>
                <w:u w:val="single"/>
              </w:rPr>
              <w:t>（项目名称）</w:t>
            </w:r>
            <w:r>
              <w:rPr>
                <w:rFonts w:hint="eastAsia" w:ascii="宋体" w:hAnsi="宋体"/>
                <w:szCs w:val="21"/>
              </w:rPr>
              <w:t>响应文件在“</w:t>
            </w:r>
            <w:r>
              <w:rPr>
                <w:rFonts w:hint="eastAsia" w:ascii="宋体" w:hAnsi="宋体"/>
                <w:szCs w:val="21"/>
                <w:u w:val="single"/>
              </w:rPr>
              <w:t xml:space="preserve">    </w:t>
            </w:r>
            <w:r>
              <w:rPr>
                <w:rFonts w:ascii="宋体" w:hAnsi="宋体"/>
                <w:szCs w:val="21"/>
                <w:u w:val="single"/>
              </w:rPr>
              <w:t>年</w:t>
            </w:r>
            <w:r>
              <w:rPr>
                <w:rFonts w:hint="eastAsia" w:ascii="宋体" w:hAnsi="宋体"/>
                <w:szCs w:val="21"/>
                <w:u w:val="single"/>
              </w:rPr>
              <w:t xml:space="preserve">    </w:t>
            </w:r>
            <w:r>
              <w:rPr>
                <w:rFonts w:ascii="宋体" w:hAnsi="宋体"/>
                <w:szCs w:val="21"/>
                <w:u w:val="single"/>
              </w:rPr>
              <w:t>月</w:t>
            </w:r>
            <w:r>
              <w:rPr>
                <w:rFonts w:hint="eastAsia" w:ascii="宋体" w:hAnsi="宋体"/>
                <w:szCs w:val="21"/>
                <w:u w:val="single"/>
              </w:rPr>
              <w:t xml:space="preserve">    </w:t>
            </w:r>
            <w:r>
              <w:rPr>
                <w:rFonts w:ascii="宋体" w:hAnsi="宋体"/>
                <w:szCs w:val="21"/>
                <w:u w:val="single"/>
              </w:rPr>
              <w:t>日</w:t>
            </w:r>
            <w:r>
              <w:rPr>
                <w:rFonts w:hint="eastAsia" w:ascii="宋体" w:hAnsi="宋体"/>
                <w:szCs w:val="21"/>
                <w:u w:val="single"/>
              </w:rPr>
              <w:t xml:space="preserve">    </w:t>
            </w:r>
            <w:r>
              <w:rPr>
                <w:rFonts w:hint="eastAsia" w:ascii="宋体" w:hAnsi="宋体" w:cs="宋体"/>
                <w:szCs w:val="21"/>
                <w:u w:val="single"/>
              </w:rPr>
              <w:t>时</w:t>
            </w:r>
            <w:r>
              <w:rPr>
                <w:rFonts w:hint="eastAsia" w:ascii="宋体" w:hAnsi="宋体"/>
                <w:szCs w:val="21"/>
                <w:u w:val="single"/>
              </w:rPr>
              <w:t xml:space="preserve">    </w:t>
            </w:r>
            <w:r>
              <w:rPr>
                <w:rFonts w:hint="eastAsia" w:ascii="宋体" w:hAnsi="宋体" w:cs="宋体"/>
                <w:szCs w:val="21"/>
                <w:u w:val="single"/>
              </w:rPr>
              <w:t>分”</w:t>
            </w:r>
            <w:r>
              <w:rPr>
                <w:rFonts w:hint="eastAsia" w:ascii="宋体" w:hAnsi="宋体"/>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响应文件</w:t>
            </w:r>
            <w:r>
              <w:rPr>
                <w:rFonts w:ascii="宋体" w:hAnsi="宋体"/>
                <w:szCs w:val="21"/>
              </w:rPr>
              <w:t>递交</w:t>
            </w:r>
          </w:p>
        </w:tc>
        <w:tc>
          <w:tcPr>
            <w:tcW w:w="8890" w:type="dxa"/>
            <w:vAlign w:val="center"/>
          </w:tcPr>
          <w:p>
            <w:pPr>
              <w:spacing w:line="300" w:lineRule="exact"/>
              <w:rPr>
                <w:rFonts w:ascii="宋体" w:hAnsi="宋体"/>
                <w:szCs w:val="21"/>
              </w:rPr>
            </w:pPr>
            <w:r>
              <w:rPr>
                <w:rFonts w:hint="eastAsia" w:ascii="宋体" w:hAnsi="宋体"/>
                <w:szCs w:val="21"/>
              </w:rPr>
              <w:t>递交地点：富川瑶族自治县建筑市场交易中心（地址：富川瑶族自治县富阳镇凤凰路85号2楼会议室）</w:t>
            </w:r>
          </w:p>
          <w:p>
            <w:pPr>
              <w:spacing w:line="300" w:lineRule="exact"/>
              <w:rPr>
                <w:rFonts w:ascii="宋体" w:hAnsi="宋体"/>
                <w:szCs w:val="21"/>
              </w:rPr>
            </w:pPr>
            <w:r>
              <w:rPr>
                <w:rFonts w:hint="eastAsia" w:ascii="宋体" w:hAnsi="宋体"/>
                <w:szCs w:val="21"/>
              </w:rPr>
              <w:t>是否退还响应文件：否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开标时间和</w:t>
            </w:r>
          </w:p>
          <w:p>
            <w:pPr>
              <w:spacing w:line="300" w:lineRule="exact"/>
              <w:jc w:val="center"/>
              <w:rPr>
                <w:rFonts w:ascii="宋体" w:hAnsi="宋体"/>
                <w:szCs w:val="21"/>
              </w:rPr>
            </w:pPr>
            <w:r>
              <w:rPr>
                <w:rFonts w:hint="eastAsia" w:ascii="宋体" w:hAnsi="宋体"/>
                <w:szCs w:val="21"/>
              </w:rPr>
              <w:t>地点</w:t>
            </w:r>
          </w:p>
        </w:tc>
        <w:tc>
          <w:tcPr>
            <w:tcW w:w="8890" w:type="dxa"/>
            <w:vAlign w:val="center"/>
          </w:tcPr>
          <w:p>
            <w:pPr>
              <w:spacing w:line="300" w:lineRule="exact"/>
              <w:rPr>
                <w:rFonts w:ascii="宋体" w:hAnsi="宋体"/>
                <w:szCs w:val="21"/>
              </w:rPr>
            </w:pPr>
            <w:r>
              <w:rPr>
                <w:rFonts w:hint="eastAsia" w:ascii="宋体" w:hAnsi="宋体"/>
                <w:szCs w:val="21"/>
              </w:rPr>
              <w:t>开标时间：</w:t>
            </w:r>
            <w:r>
              <w:rPr>
                <w:rFonts w:hint="eastAsia" w:ascii="宋体" w:hAnsi="宋体"/>
                <w:szCs w:val="21"/>
                <w:u w:val="single"/>
              </w:rPr>
              <w:t>2020年08月31</w:t>
            </w:r>
            <w:r>
              <w:rPr>
                <w:rFonts w:ascii="宋体" w:hAnsi="宋体"/>
                <w:szCs w:val="21"/>
                <w:u w:val="single"/>
              </w:rPr>
              <w:t>日</w:t>
            </w:r>
            <w:r>
              <w:rPr>
                <w:rFonts w:hint="eastAsia" w:ascii="宋体" w:hAnsi="宋体"/>
                <w:szCs w:val="21"/>
                <w:u w:val="single"/>
              </w:rPr>
              <w:t>15</w:t>
            </w:r>
            <w:r>
              <w:rPr>
                <w:rFonts w:ascii="宋体" w:hAnsi="宋体"/>
                <w:szCs w:val="21"/>
                <w:u w:val="single"/>
              </w:rPr>
              <w:t>时</w:t>
            </w:r>
            <w:r>
              <w:rPr>
                <w:rFonts w:hint="eastAsia" w:ascii="宋体" w:hAnsi="宋体"/>
                <w:szCs w:val="21"/>
                <w:u w:val="single"/>
              </w:rPr>
              <w:t>30</w:t>
            </w:r>
            <w:r>
              <w:rPr>
                <w:rFonts w:ascii="宋体" w:hAnsi="宋体"/>
                <w:szCs w:val="21"/>
                <w:u w:val="single"/>
              </w:rPr>
              <w:t>分</w:t>
            </w:r>
            <w:r>
              <w:rPr>
                <w:rFonts w:hint="eastAsia" w:ascii="宋体" w:hAnsi="宋体"/>
                <w:szCs w:val="21"/>
              </w:rPr>
              <w:t>（同磋商截止时间）</w:t>
            </w:r>
          </w:p>
          <w:p>
            <w:pPr>
              <w:spacing w:line="300" w:lineRule="exact"/>
              <w:rPr>
                <w:rFonts w:ascii="宋体" w:hAnsi="宋体"/>
                <w:szCs w:val="21"/>
              </w:rPr>
            </w:pPr>
            <w:r>
              <w:rPr>
                <w:rFonts w:hint="eastAsia" w:ascii="宋体" w:hAnsi="宋体"/>
                <w:szCs w:val="21"/>
              </w:rPr>
              <w:t>开标地点：富川瑶族自治县建筑市场交易中心（地址：富川瑶族自治县富阳镇凤凰路85号2楼会议室）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参加磋商会议的竞争性磋商供应商代表携带的</w:t>
            </w:r>
          </w:p>
          <w:p>
            <w:pPr>
              <w:spacing w:line="300" w:lineRule="exact"/>
              <w:jc w:val="center"/>
              <w:rPr>
                <w:rFonts w:ascii="宋体" w:hAnsi="宋体"/>
                <w:szCs w:val="21"/>
              </w:rPr>
            </w:pPr>
            <w:r>
              <w:rPr>
                <w:rFonts w:hint="eastAsia" w:ascii="宋体" w:hAnsi="宋体"/>
                <w:szCs w:val="21"/>
              </w:rPr>
              <w:t>相关资格证件材料</w:t>
            </w:r>
          </w:p>
        </w:tc>
        <w:tc>
          <w:tcPr>
            <w:tcW w:w="8890" w:type="dxa"/>
            <w:vAlign w:val="center"/>
          </w:tcPr>
          <w:p>
            <w:pPr>
              <w:spacing w:line="300" w:lineRule="exact"/>
              <w:rPr>
                <w:rFonts w:ascii="宋体" w:hAnsi="宋体"/>
                <w:szCs w:val="21"/>
              </w:rPr>
            </w:pPr>
            <w:r>
              <w:rPr>
                <w:rFonts w:hint="eastAsia" w:ascii="宋体" w:hAnsi="宋体"/>
                <w:szCs w:val="21"/>
              </w:rPr>
              <w:t>密封情况检查：见竞争性磋商文件。</w:t>
            </w:r>
          </w:p>
          <w:p>
            <w:pPr>
              <w:spacing w:line="300" w:lineRule="exact"/>
              <w:rPr>
                <w:rFonts w:ascii="宋体" w:hAnsi="宋体"/>
                <w:szCs w:val="21"/>
              </w:rPr>
            </w:pPr>
            <w:r>
              <w:rPr>
                <w:rFonts w:hint="eastAsia" w:ascii="宋体" w:hAnsi="宋体"/>
                <w:szCs w:val="21"/>
              </w:rPr>
              <w:t>开标顺序：见竞争性磋商文件。</w:t>
            </w:r>
          </w:p>
          <w:p>
            <w:pPr>
              <w:widowControl/>
              <w:spacing w:line="300" w:lineRule="exact"/>
              <w:jc w:val="left"/>
              <w:rPr>
                <w:rFonts w:ascii="宋体" w:hAnsi="宋体"/>
                <w:b/>
                <w:szCs w:val="21"/>
              </w:rPr>
            </w:pPr>
            <w:r>
              <w:rPr>
                <w:rFonts w:hint="eastAsia" w:ascii="宋体" w:hAnsi="宋体"/>
                <w:b/>
                <w:szCs w:val="21"/>
              </w:rPr>
              <w:t>磋商会议须核验以下证件材料，不能提供或提供不齐全的作无效投标处理：</w:t>
            </w:r>
          </w:p>
          <w:p>
            <w:pPr>
              <w:spacing w:line="300" w:lineRule="exact"/>
              <w:rPr>
                <w:rFonts w:ascii="宋体" w:hAnsi="宋体"/>
                <w:szCs w:val="21"/>
              </w:rPr>
            </w:pPr>
            <w:r>
              <w:rPr>
                <w:rFonts w:hint="eastAsia" w:ascii="宋体" w:hAnsi="宋体"/>
                <w:szCs w:val="21"/>
              </w:rPr>
              <w:t>1.“企业营业执照”副本复印件或三证合一后新版的“企业营业执照”副本复印件、法定代表人/负责人二代居民身份证原件及其复印件（法人/负责人到会提供）或授权委托书原件、委托代理人二代居民身份证原件及复印件（委托代理时提供）；</w:t>
            </w:r>
          </w:p>
          <w:p>
            <w:pPr>
              <w:spacing w:line="300" w:lineRule="exact"/>
            </w:pPr>
            <w:r>
              <w:rPr>
                <w:rFonts w:hint="eastAsia" w:ascii="宋体" w:hAnsi="宋体"/>
                <w:szCs w:val="21"/>
              </w:rPr>
              <w:t>2.</w:t>
            </w:r>
            <w:r>
              <w:rPr>
                <w:rFonts w:hint="eastAsia"/>
              </w:rPr>
              <w:t>磋商保证金银行转账证明材料：附加盖竞争性磋商供应商单位公章的以下证明材料（①、②两样视竞争性磋商供应商磋商保证金递交方式确定，电汇方式的提供①项材料，其余情况提供②项目材料）：</w:t>
            </w:r>
          </w:p>
          <w:p>
            <w:pPr>
              <w:spacing w:line="300" w:lineRule="exact"/>
              <w:ind w:firstLine="210" w:firstLineChars="100"/>
            </w:pPr>
            <w:r>
              <w:rPr>
                <w:rFonts w:hint="eastAsia"/>
              </w:rPr>
              <w:t>①银行转账（电汇）底单复印件；</w:t>
            </w:r>
          </w:p>
          <w:p>
            <w:pPr>
              <w:spacing w:line="300" w:lineRule="exact"/>
              <w:ind w:firstLine="210" w:firstLineChars="100"/>
              <w:rPr>
                <w:rFonts w:ascii="宋体" w:hAnsi="宋体"/>
                <w:szCs w:val="21"/>
              </w:rPr>
            </w:pPr>
            <w:r>
              <w:rPr>
                <w:rFonts w:hint="eastAsia"/>
              </w:rPr>
              <w:t>②无条件银行保函或担保或保证保险复印件。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竞争性磋商</w:t>
            </w:r>
          </w:p>
          <w:p>
            <w:pPr>
              <w:spacing w:line="300" w:lineRule="exact"/>
              <w:jc w:val="center"/>
              <w:rPr>
                <w:rFonts w:ascii="宋体" w:hAnsi="宋体"/>
                <w:szCs w:val="21"/>
              </w:rPr>
            </w:pPr>
            <w:r>
              <w:rPr>
                <w:rFonts w:hint="eastAsia" w:ascii="宋体" w:hAnsi="宋体"/>
                <w:szCs w:val="21"/>
              </w:rPr>
              <w:t>会议程序</w:t>
            </w:r>
          </w:p>
        </w:tc>
        <w:tc>
          <w:tcPr>
            <w:tcW w:w="8890" w:type="dxa"/>
            <w:vAlign w:val="center"/>
          </w:tcPr>
          <w:p>
            <w:pPr>
              <w:spacing w:line="300" w:lineRule="exact"/>
              <w:rPr>
                <w:rFonts w:ascii="宋体" w:hAnsi="宋体"/>
                <w:szCs w:val="21"/>
              </w:rPr>
            </w:pPr>
            <w:r>
              <w:rPr>
                <w:rFonts w:hint="eastAsia" w:ascii="宋体" w:hAnsi="宋体"/>
                <w:szCs w:val="21"/>
              </w:rPr>
              <w:t>1.宣布磋商会议纪律；</w:t>
            </w:r>
          </w:p>
          <w:p>
            <w:pPr>
              <w:spacing w:line="300" w:lineRule="exact"/>
              <w:rPr>
                <w:rFonts w:ascii="宋体" w:hAnsi="宋体"/>
                <w:szCs w:val="21"/>
              </w:rPr>
            </w:pPr>
            <w:r>
              <w:rPr>
                <w:rFonts w:hint="eastAsia" w:ascii="宋体" w:hAnsi="宋体"/>
                <w:szCs w:val="21"/>
              </w:rPr>
              <w:t>2.公布在磋商截止时间前递交响应文件的竞争性磋商供应商名称，并点名确认竞争性磋商供应商是否派人到场；</w:t>
            </w:r>
          </w:p>
          <w:p>
            <w:pPr>
              <w:spacing w:line="300" w:lineRule="exact"/>
              <w:rPr>
                <w:rFonts w:ascii="宋体" w:hAnsi="宋体"/>
                <w:szCs w:val="21"/>
              </w:rPr>
            </w:pPr>
            <w:r>
              <w:rPr>
                <w:rFonts w:hint="eastAsia" w:ascii="宋体" w:hAnsi="宋体"/>
                <w:szCs w:val="21"/>
              </w:rPr>
              <w:t>3.宣读磋商会议主持人、唱标人、记录人、监标人等有关人员姓名；</w:t>
            </w:r>
          </w:p>
          <w:p>
            <w:pPr>
              <w:spacing w:line="300" w:lineRule="exact"/>
              <w:rPr>
                <w:rFonts w:ascii="宋体" w:hAnsi="宋体"/>
                <w:szCs w:val="21"/>
              </w:rPr>
            </w:pPr>
            <w:bookmarkStart w:id="48" w:name="_Toc251051540"/>
            <w:r>
              <w:rPr>
                <w:rFonts w:hint="eastAsia" w:ascii="宋体" w:hAnsi="宋体"/>
                <w:szCs w:val="21"/>
              </w:rPr>
              <w:t>4.核验竞争性磋商供应商代表携带的相关资格证件材料是否合格；</w:t>
            </w:r>
            <w:bookmarkEnd w:id="48"/>
          </w:p>
          <w:p>
            <w:pPr>
              <w:spacing w:line="300" w:lineRule="exact"/>
              <w:rPr>
                <w:rFonts w:ascii="宋体" w:hAnsi="宋体"/>
                <w:szCs w:val="21"/>
              </w:rPr>
            </w:pPr>
            <w:r>
              <w:rPr>
                <w:rFonts w:hint="eastAsia" w:ascii="宋体" w:hAnsi="宋体"/>
                <w:szCs w:val="21"/>
              </w:rPr>
              <w:t>5.密封情况检查：各竞争性磋商供应商的代表交叉检验；</w:t>
            </w:r>
          </w:p>
          <w:p>
            <w:pPr>
              <w:spacing w:line="300" w:lineRule="exact"/>
              <w:rPr>
                <w:rFonts w:ascii="宋体" w:hAnsi="宋体"/>
                <w:szCs w:val="21"/>
              </w:rPr>
            </w:pPr>
            <w:r>
              <w:rPr>
                <w:rFonts w:hint="eastAsia" w:ascii="宋体" w:hAnsi="宋体"/>
                <w:szCs w:val="21"/>
              </w:rPr>
              <w:t>6.启封响应文件顺序：按随机的顺序拆封响应文件；</w:t>
            </w:r>
            <w:r>
              <w:rPr>
                <w:rFonts w:ascii="宋体" w:hAnsi="宋体"/>
                <w:szCs w:val="21"/>
              </w:rPr>
              <w:t xml:space="preserve"> </w:t>
            </w:r>
          </w:p>
          <w:p>
            <w:pPr>
              <w:spacing w:line="300" w:lineRule="exact"/>
              <w:rPr>
                <w:rFonts w:ascii="宋体" w:hAnsi="宋体"/>
                <w:szCs w:val="21"/>
              </w:rPr>
            </w:pPr>
            <w:r>
              <w:rPr>
                <w:rFonts w:hint="eastAsia" w:ascii="宋体" w:hAnsi="宋体"/>
                <w:szCs w:val="21"/>
              </w:rPr>
              <w:t>7.宣读竞争性磋商供应商名称、磋商保证金缴纳情况及采购人认为有必要宣读的其他内容，并记录在案；</w:t>
            </w:r>
          </w:p>
          <w:p>
            <w:pPr>
              <w:spacing w:line="300" w:lineRule="exact"/>
              <w:rPr>
                <w:rFonts w:ascii="宋体" w:hAnsi="宋体"/>
                <w:szCs w:val="21"/>
              </w:rPr>
            </w:pPr>
            <w:r>
              <w:rPr>
                <w:rFonts w:hint="eastAsia" w:ascii="宋体" w:hAnsi="宋体"/>
                <w:szCs w:val="21"/>
              </w:rPr>
              <w:t>8.竞争性磋商供应商代表、采购人代表、监标人、记录人等有关人员在开标记录上签字确认；</w:t>
            </w:r>
          </w:p>
          <w:p>
            <w:pPr>
              <w:pStyle w:val="24"/>
              <w:spacing w:line="300" w:lineRule="exact"/>
              <w:rPr>
                <w:rFonts w:hAnsi="宋体"/>
                <w:szCs w:val="21"/>
              </w:rPr>
            </w:pPr>
            <w:r>
              <w:rPr>
                <w:rFonts w:hint="eastAsia" w:hAnsi="宋体"/>
                <w:szCs w:val="21"/>
              </w:rPr>
              <w:t>9.初步评审：评标委员会（磋商小组）只与通过“形式、符合性评审标准”、“响应性评审”的竞争性磋商供应商进行磋商。由评标委员会（磋商小组）对各竞争性磋商供应商提出的各项需求及合同条款的异议进行评定，待磋商完毕并统一各项需求标准及合同条款内容后，采购代理机构公开宣读告知各竞争性磋商供应商评标委员会（磋商小组）对项目需求和说明及合同条款内容审定的统一执行标准，各竞争性磋商供应商对公开宣读的告知内容予以签字确认；</w:t>
            </w:r>
          </w:p>
          <w:p>
            <w:pPr>
              <w:pStyle w:val="24"/>
              <w:spacing w:line="300" w:lineRule="exact"/>
              <w:rPr>
                <w:rFonts w:hAnsi="宋体"/>
                <w:szCs w:val="21"/>
              </w:rPr>
            </w:pPr>
            <w:r>
              <w:rPr>
                <w:rFonts w:hint="eastAsia" w:hAnsi="宋体"/>
                <w:szCs w:val="21"/>
              </w:rPr>
              <w:t>10.采购代理机构公开征询各竞争性磋商供应商是否参与采购项目最终磋商，对采购代理机构公开宣读的由评标委员会（磋商小组）对项目需求和说明及合同条款内容审定的统一执行标准无意向参与采购项目最终磋商的竞争性磋商供应商，在其签字确认无磋商意向后退出项目开标会议场地，采购代理机构在法定时效内退回其磋商保证金；参与采购项目最终磋商的竞争性磋商供应商不足2个的，宣布采购失败；</w:t>
            </w:r>
          </w:p>
          <w:p>
            <w:pPr>
              <w:pStyle w:val="24"/>
              <w:spacing w:line="300" w:lineRule="exact"/>
              <w:rPr>
                <w:rFonts w:hAnsi="宋体"/>
                <w:szCs w:val="21"/>
              </w:rPr>
            </w:pPr>
            <w:r>
              <w:rPr>
                <w:rFonts w:hint="eastAsia" w:hAnsi="宋体"/>
                <w:szCs w:val="21"/>
              </w:rPr>
              <w:t>11.参与采购项目最终磋商的竞争性磋商供应商在规定的时间（10分钟）填写递交《竞争性磋商供应商参与采购项目最终磋商响应文件》（内容包含其就评标委员会（磋商小组）对项目需求和说明及合同条款内容审定的统一执行标准作出的包含补充、修改、承诺、磋商报价、工作服务期等实质性磋商内容，必须由竞争性磋商供应商代表签名或加盖竞争性磋商供应商单位公章），该《竞争性磋商供应商参与采购项目最终磋商响应文件》为构成《响应文件》的组成部分，作为评标、定标的依据。</w:t>
            </w:r>
          </w:p>
          <w:p>
            <w:pPr>
              <w:pStyle w:val="24"/>
              <w:spacing w:line="300" w:lineRule="exact"/>
              <w:rPr>
                <w:rFonts w:hAnsi="宋体"/>
                <w:szCs w:val="21"/>
              </w:rPr>
            </w:pPr>
            <w:r>
              <w:rPr>
                <w:rFonts w:hint="eastAsia" w:hAnsi="宋体"/>
                <w:szCs w:val="21"/>
              </w:rPr>
              <w:t>12.采购代理机构宣读竞争性磋商供应商名称、磋商报价、</w:t>
            </w:r>
            <w:r>
              <w:rPr>
                <w:rFonts w:hint="eastAsia"/>
                <w:spacing w:val="-2"/>
              </w:rPr>
              <w:t>服务交付时间</w:t>
            </w:r>
            <w:r>
              <w:rPr>
                <w:rFonts w:hint="eastAsia" w:hAnsi="宋体"/>
                <w:szCs w:val="21"/>
              </w:rPr>
              <w:t>以及采购人认为有必要宣读的其他内容，并记录在案；</w:t>
            </w:r>
          </w:p>
          <w:p>
            <w:pPr>
              <w:spacing w:line="300" w:lineRule="exact"/>
              <w:rPr>
                <w:rFonts w:ascii="宋体" w:hAnsi="宋体"/>
                <w:szCs w:val="21"/>
              </w:rPr>
            </w:pPr>
            <w:r>
              <w:rPr>
                <w:rFonts w:hint="eastAsia" w:ascii="宋体" w:hAnsi="宋体"/>
                <w:szCs w:val="21"/>
              </w:rPr>
              <w:t>13.竞争性磋商会议结束。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pStyle w:val="24"/>
              <w:spacing w:line="300" w:lineRule="exact"/>
              <w:jc w:val="center"/>
              <w:rPr>
                <w:rFonts w:hAnsi="宋体"/>
                <w:szCs w:val="21"/>
              </w:rPr>
            </w:pPr>
            <w:r>
              <w:rPr>
                <w:rFonts w:hint="eastAsia" w:hAnsi="宋体"/>
                <w:szCs w:val="21"/>
              </w:rPr>
              <w:t xml:space="preserve">评标办法 </w:t>
            </w:r>
          </w:p>
        </w:tc>
        <w:tc>
          <w:tcPr>
            <w:tcW w:w="8890" w:type="dxa"/>
            <w:vAlign w:val="center"/>
          </w:tcPr>
          <w:p>
            <w:pPr>
              <w:pStyle w:val="24"/>
              <w:spacing w:line="300" w:lineRule="exact"/>
              <w:rPr>
                <w:rFonts w:hAnsi="宋体"/>
                <w:szCs w:val="21"/>
              </w:rPr>
            </w:pPr>
            <w:r>
              <w:rPr>
                <w:rFonts w:hint="eastAsia"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磋商小组的</w:t>
            </w:r>
          </w:p>
          <w:p>
            <w:pPr>
              <w:spacing w:line="300" w:lineRule="exact"/>
              <w:jc w:val="center"/>
              <w:rPr>
                <w:rFonts w:ascii="宋体" w:hAnsi="宋体"/>
                <w:szCs w:val="21"/>
              </w:rPr>
            </w:pPr>
            <w:r>
              <w:rPr>
                <w:rFonts w:hint="eastAsia" w:ascii="宋体" w:hAnsi="宋体"/>
                <w:szCs w:val="21"/>
              </w:rPr>
              <w:t>组建与授权</w:t>
            </w:r>
          </w:p>
        </w:tc>
        <w:tc>
          <w:tcPr>
            <w:tcW w:w="8890" w:type="dxa"/>
            <w:vAlign w:val="center"/>
          </w:tcPr>
          <w:p>
            <w:pPr>
              <w:spacing w:line="300" w:lineRule="exact"/>
              <w:rPr>
                <w:rFonts w:ascii="宋体" w:hAnsi="宋体"/>
                <w:szCs w:val="21"/>
              </w:rPr>
            </w:pPr>
            <w:r>
              <w:rPr>
                <w:rFonts w:hint="eastAsia" w:ascii="宋体" w:hAnsi="宋体"/>
                <w:szCs w:val="21"/>
              </w:rPr>
              <w:t>磋商小组构成：3人，其中</w:t>
            </w:r>
            <w:r>
              <w:rPr>
                <w:rFonts w:hint="eastAsia" w:ascii="宋体" w:hAnsi="宋体" w:cs="宋体"/>
                <w:szCs w:val="21"/>
              </w:rPr>
              <w:t>采购人</w:t>
            </w:r>
            <w:r>
              <w:rPr>
                <w:rFonts w:hint="eastAsia" w:ascii="宋体" w:hAnsi="宋体"/>
                <w:szCs w:val="21"/>
              </w:rPr>
              <w:t>代表</w:t>
            </w:r>
            <w:r>
              <w:rPr>
                <w:rFonts w:ascii="宋体" w:hAnsi="宋体"/>
                <w:szCs w:val="21"/>
              </w:rPr>
              <w:t>1</w:t>
            </w:r>
            <w:r>
              <w:rPr>
                <w:rFonts w:hint="eastAsia" w:ascii="宋体" w:hAnsi="宋体"/>
                <w:szCs w:val="21"/>
              </w:rPr>
              <w:t>人，专家2人。</w:t>
            </w:r>
          </w:p>
          <w:p>
            <w:pPr>
              <w:spacing w:line="300" w:lineRule="exact"/>
              <w:rPr>
                <w:rFonts w:ascii="宋体" w:hAnsi="宋体"/>
                <w:szCs w:val="21"/>
              </w:rPr>
            </w:pPr>
            <w:r>
              <w:rPr>
                <w:rFonts w:hint="eastAsia" w:ascii="宋体" w:hAnsi="宋体"/>
                <w:szCs w:val="21"/>
              </w:rPr>
              <w:t>评标专家确定方式：在相应的评标专家库中随机抽取确定。</w:t>
            </w:r>
          </w:p>
          <w:p>
            <w:pPr>
              <w:spacing w:line="300" w:lineRule="exact"/>
              <w:rPr>
                <w:rFonts w:ascii="宋体" w:hAnsi="宋体"/>
                <w:szCs w:val="21"/>
              </w:rPr>
            </w:pPr>
            <w:r>
              <w:rPr>
                <w:rFonts w:hint="eastAsia" w:ascii="宋体" w:hAnsi="宋体"/>
                <w:szCs w:val="21"/>
              </w:rPr>
              <w:t>是否授权磋商小组确定拟成交人：是。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成交结果</w:t>
            </w:r>
          </w:p>
          <w:p>
            <w:pPr>
              <w:spacing w:line="300" w:lineRule="exact"/>
              <w:jc w:val="center"/>
              <w:rPr>
                <w:rFonts w:ascii="宋体" w:hAnsi="宋体"/>
                <w:szCs w:val="21"/>
              </w:rPr>
            </w:pPr>
            <w:r>
              <w:rPr>
                <w:rFonts w:hint="eastAsia" w:ascii="宋体" w:hAnsi="宋体"/>
                <w:szCs w:val="21"/>
              </w:rPr>
              <w:t>（评标结果）</w:t>
            </w:r>
          </w:p>
          <w:p>
            <w:pPr>
              <w:spacing w:line="300" w:lineRule="exact"/>
              <w:jc w:val="center"/>
              <w:rPr>
                <w:rFonts w:ascii="宋体" w:hAnsi="宋体"/>
                <w:szCs w:val="21"/>
              </w:rPr>
            </w:pPr>
            <w:r>
              <w:rPr>
                <w:rFonts w:ascii="宋体" w:hAnsi="宋体"/>
                <w:szCs w:val="21"/>
              </w:rPr>
              <w:t>公示的媒介</w:t>
            </w:r>
          </w:p>
        </w:tc>
        <w:tc>
          <w:tcPr>
            <w:tcW w:w="8890" w:type="dxa"/>
            <w:vAlign w:val="center"/>
          </w:tcPr>
          <w:p>
            <w:pPr>
              <w:spacing w:line="300" w:lineRule="exact"/>
              <w:rPr>
                <w:rFonts w:ascii="宋体" w:hAnsi="宋体"/>
                <w:szCs w:val="21"/>
              </w:rPr>
            </w:pPr>
            <w:r>
              <w:rPr>
                <w:rFonts w:hint="eastAsia" w:ascii="宋体" w:hAnsi="宋体"/>
                <w:szCs w:val="21"/>
              </w:rPr>
              <w:t>采购代理机构将在发布本项目竞争性磋商公告的网站上刊登成交结果（评标结果）公示。公示期为1个工作日。竞争性磋商供应商可以自成交结果（评标结果）公示期满前以书面形式向本采购代理机构提出质疑，</w:t>
            </w:r>
            <w:r>
              <w:rPr>
                <w:rFonts w:hint="eastAsia" w:ascii="宋体" w:hAnsi="宋体"/>
                <w:kern w:val="0"/>
                <w:szCs w:val="21"/>
              </w:rPr>
              <w:t>本采购代理将在收到异议起3个工作日内作出答复并同时延长公示期。</w:t>
            </w:r>
            <w:r>
              <w:rPr>
                <w:rFonts w:hint="eastAsia" w:ascii="宋体" w:hAnsi="宋体"/>
                <w:szCs w:val="21"/>
              </w:rPr>
              <w:t>如对本采购代理机构的答复不满意或者本采购代理机构未在规定的时间内做出答复，可以在答复期满之日起15个工作日内以书面形式向同级政府采购监督管理部门投诉。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履约担保</w:t>
            </w:r>
          </w:p>
        </w:tc>
        <w:tc>
          <w:tcPr>
            <w:tcW w:w="8890" w:type="dxa"/>
            <w:vAlign w:val="center"/>
          </w:tcPr>
          <w:p>
            <w:pPr>
              <w:spacing w:line="300" w:lineRule="exact"/>
              <w:rPr>
                <w:rFonts w:ascii="宋体" w:hAnsi="宋体"/>
                <w:szCs w:val="21"/>
              </w:rPr>
            </w:pPr>
            <w:r>
              <w:rPr>
                <w:rFonts w:hint="eastAsia"/>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重新采购</w:t>
            </w:r>
          </w:p>
        </w:tc>
        <w:tc>
          <w:tcPr>
            <w:tcW w:w="8890" w:type="dxa"/>
            <w:vAlign w:val="center"/>
          </w:tcPr>
          <w:p>
            <w:pPr>
              <w:spacing w:line="300" w:lineRule="exact"/>
              <w:rPr>
                <w:rFonts w:ascii="宋体" w:hAnsi="宋体"/>
                <w:szCs w:val="21"/>
              </w:rPr>
            </w:pPr>
            <w:r>
              <w:rPr>
                <w:rFonts w:hint="eastAsia" w:ascii="宋体" w:hAnsi="宋体"/>
                <w:szCs w:val="21"/>
              </w:rPr>
              <w:t>有下列情形之一的，采购人将重新采购：</w:t>
            </w:r>
          </w:p>
          <w:p>
            <w:pPr>
              <w:spacing w:line="300" w:lineRule="exact"/>
              <w:rPr>
                <w:rFonts w:ascii="宋体" w:hAnsi="宋体"/>
                <w:szCs w:val="21"/>
              </w:rPr>
            </w:pPr>
            <w:r>
              <w:rPr>
                <w:rFonts w:hint="eastAsia" w:ascii="宋体" w:hAnsi="宋体"/>
                <w:szCs w:val="21"/>
              </w:rPr>
              <w:t>1.成交候选人少于2个的；</w:t>
            </w:r>
          </w:p>
          <w:p>
            <w:pPr>
              <w:spacing w:line="300" w:lineRule="exact"/>
              <w:rPr>
                <w:rFonts w:ascii="宋体" w:hAnsi="宋体"/>
                <w:szCs w:val="21"/>
              </w:rPr>
            </w:pPr>
            <w:r>
              <w:rPr>
                <w:rFonts w:hint="eastAsia" w:ascii="宋体" w:hAnsi="宋体"/>
                <w:szCs w:val="21"/>
              </w:rPr>
              <w:t>2.其他有关法律规定应当重新采购的情形的。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78" w:type="dxa"/>
            <w:vAlign w:val="center"/>
          </w:tcPr>
          <w:p>
            <w:pPr>
              <w:spacing w:line="300" w:lineRule="exact"/>
              <w:jc w:val="center"/>
              <w:rPr>
                <w:rFonts w:ascii="宋体" w:hAnsi="宋体"/>
                <w:b/>
                <w:szCs w:val="21"/>
              </w:rPr>
            </w:pPr>
            <w:r>
              <w:rPr>
                <w:rFonts w:hint="eastAsia" w:ascii="宋体" w:hAnsi="宋体"/>
                <w:b/>
                <w:szCs w:val="21"/>
              </w:rPr>
              <w:t>响应文件编制注意事项</w:t>
            </w:r>
          </w:p>
        </w:tc>
        <w:tc>
          <w:tcPr>
            <w:tcW w:w="8890" w:type="dxa"/>
            <w:vAlign w:val="center"/>
          </w:tcPr>
          <w:p>
            <w:pPr>
              <w:pStyle w:val="9"/>
              <w:spacing w:line="300" w:lineRule="exact"/>
              <w:rPr>
                <w:rFonts w:hAnsi="宋体"/>
                <w:b/>
                <w:szCs w:val="21"/>
              </w:rPr>
            </w:pPr>
            <w:r>
              <w:rPr>
                <w:rFonts w:hint="eastAsia" w:hAnsi="宋体"/>
                <w:b/>
                <w:szCs w:val="21"/>
              </w:rPr>
              <w:t>1.考核期</w:t>
            </w:r>
          </w:p>
          <w:p>
            <w:pPr>
              <w:pStyle w:val="9"/>
              <w:spacing w:line="300" w:lineRule="exact"/>
              <w:ind w:firstLine="411" w:firstLineChars="196"/>
              <w:rPr>
                <w:rFonts w:hAnsi="宋体"/>
                <w:szCs w:val="21"/>
              </w:rPr>
            </w:pPr>
            <w:r>
              <w:rPr>
                <w:rFonts w:hint="eastAsia" w:hAnsi="宋体"/>
                <w:szCs w:val="21"/>
              </w:rPr>
              <w:t>本项目竞争性磋商文件所有涉及时间处均指“北京时间”。除竞争性磋商文件特别注明的外，本项目考核期均指2017年月0</w:t>
            </w:r>
            <w:r>
              <w:rPr>
                <w:rFonts w:hAnsi="宋体"/>
                <w:szCs w:val="21"/>
              </w:rPr>
              <w:t>7</w:t>
            </w:r>
            <w:r>
              <w:rPr>
                <w:rFonts w:hint="eastAsia" w:hAnsi="宋体"/>
                <w:szCs w:val="21"/>
              </w:rPr>
              <w:t>日至本项目磋商截标之日止。</w:t>
            </w:r>
          </w:p>
          <w:p>
            <w:pPr>
              <w:spacing w:line="300" w:lineRule="exact"/>
              <w:rPr>
                <w:rFonts w:ascii="宋体" w:hAnsi="宋体"/>
                <w:b/>
                <w:szCs w:val="21"/>
              </w:rPr>
            </w:pPr>
            <w:r>
              <w:rPr>
                <w:rFonts w:hint="eastAsia" w:ascii="宋体" w:hAnsi="宋体"/>
                <w:b/>
                <w:szCs w:val="21"/>
              </w:rPr>
              <w:t>2.上限控制价：（人民币：大写）壹佰伍拾万元整（￥1500000.00），竞争性磋商供应商报价高于公布的控制价的磋商无效。</w:t>
            </w:r>
          </w:p>
          <w:p>
            <w:pPr>
              <w:pStyle w:val="9"/>
              <w:spacing w:line="300" w:lineRule="exact"/>
              <w:rPr>
                <w:rFonts w:hAnsi="宋体"/>
                <w:b/>
              </w:rPr>
            </w:pPr>
            <w:r>
              <w:rPr>
                <w:rFonts w:hint="eastAsia" w:hAnsi="宋体"/>
                <w:b/>
                <w:szCs w:val="21"/>
              </w:rPr>
              <w:t>3.</w:t>
            </w:r>
            <w:r>
              <w:rPr>
                <w:rFonts w:hint="eastAsia" w:hAnsi="宋体"/>
                <w:b/>
              </w:rPr>
              <w:t>类似项目业绩说明：</w:t>
            </w:r>
          </w:p>
          <w:p>
            <w:pPr>
              <w:pStyle w:val="9"/>
              <w:spacing w:line="300" w:lineRule="exact"/>
              <w:ind w:firstLine="411" w:firstLineChars="196"/>
              <w:rPr>
                <w:rFonts w:hAnsi="宋体"/>
                <w:szCs w:val="21"/>
              </w:rPr>
            </w:pPr>
            <w:r>
              <w:rPr>
                <w:rFonts w:hint="eastAsia" w:hAnsi="宋体"/>
                <w:szCs w:val="21"/>
              </w:rPr>
              <w:t>◆</w:t>
            </w:r>
            <w:r>
              <w:rPr>
                <w:rFonts w:hint="eastAsia" w:hAnsi="宋体"/>
                <w:b/>
                <w:szCs w:val="21"/>
              </w:rPr>
              <w:t>合同时限（考核期）：</w:t>
            </w:r>
            <w:r>
              <w:rPr>
                <w:rFonts w:hint="eastAsia" w:hAnsi="宋体"/>
                <w:szCs w:val="21"/>
              </w:rPr>
              <w:t>合同签订时间至本项目磋商截止之日不超过三年。</w:t>
            </w:r>
          </w:p>
          <w:p>
            <w:pPr>
              <w:pStyle w:val="9"/>
              <w:spacing w:line="300" w:lineRule="exact"/>
              <w:ind w:firstLine="411" w:firstLineChars="196"/>
              <w:rPr>
                <w:rFonts w:hAnsi="宋体"/>
              </w:rPr>
            </w:pPr>
            <w:r>
              <w:rPr>
                <w:rFonts w:hint="eastAsia" w:hAnsi="宋体"/>
                <w:szCs w:val="21"/>
              </w:rPr>
              <w:t>◆</w:t>
            </w:r>
            <w:r>
              <w:rPr>
                <w:rFonts w:hint="eastAsia" w:hAnsi="宋体"/>
                <w:b/>
                <w:szCs w:val="21"/>
              </w:rPr>
              <w:t>合同内容（标的物）：</w:t>
            </w:r>
            <w:r>
              <w:rPr>
                <w:rFonts w:hint="eastAsia" w:hAnsi="宋体"/>
                <w:szCs w:val="21"/>
              </w:rPr>
              <w:t>竞争性磋商供应商承接过智慧司法服务</w:t>
            </w:r>
            <w:r>
              <w:rPr>
                <w:rFonts w:hint="eastAsia"/>
                <w:bCs/>
              </w:rPr>
              <w:t>类似</w:t>
            </w:r>
            <w:r>
              <w:rPr>
                <w:rFonts w:hint="eastAsia" w:hAnsi="宋体"/>
                <w:szCs w:val="21"/>
              </w:rPr>
              <w:t>业绩。</w:t>
            </w:r>
          </w:p>
          <w:p>
            <w:pPr>
              <w:pStyle w:val="9"/>
              <w:spacing w:line="300" w:lineRule="exact"/>
              <w:ind w:firstLine="420" w:firstLineChars="200"/>
              <w:rPr>
                <w:rFonts w:hAnsi="宋体"/>
              </w:rPr>
            </w:pPr>
            <w:r>
              <w:rPr>
                <w:rFonts w:hint="eastAsia" w:hAnsi="宋体"/>
                <w:szCs w:val="21"/>
              </w:rPr>
              <w:t>◆</w:t>
            </w:r>
            <w:r>
              <w:rPr>
                <w:rFonts w:hint="eastAsia" w:hAnsi="宋体"/>
                <w:b/>
                <w:szCs w:val="21"/>
              </w:rPr>
              <w:t>合同规模（指标要素——合同金额）：</w:t>
            </w:r>
            <w:r>
              <w:rPr>
                <w:rFonts w:hint="eastAsia" w:hAnsi="宋体"/>
                <w:kern w:val="0"/>
                <w:szCs w:val="21"/>
              </w:rPr>
              <w:t>单项合同金额达人民</w:t>
            </w:r>
            <w:r>
              <w:rPr>
                <w:rFonts w:hint="eastAsia" w:hAnsi="宋体"/>
                <w:szCs w:val="21"/>
              </w:rPr>
              <w:t>币45万</w:t>
            </w:r>
            <w:r>
              <w:rPr>
                <w:rFonts w:hint="eastAsia" w:hAnsi="宋体"/>
                <w:kern w:val="0"/>
                <w:szCs w:val="21"/>
              </w:rPr>
              <w:t>元及以上</w:t>
            </w:r>
            <w:r>
              <w:rPr>
                <w:rFonts w:hint="eastAsia" w:hAnsi="宋体"/>
                <w:szCs w:val="21"/>
              </w:rPr>
              <w:t>。</w:t>
            </w:r>
          </w:p>
          <w:p>
            <w:pPr>
              <w:pStyle w:val="9"/>
              <w:spacing w:line="300" w:lineRule="exact"/>
              <w:ind w:firstLine="420" w:firstLineChars="200"/>
              <w:rPr>
                <w:rFonts w:hAnsi="宋体"/>
                <w:szCs w:val="21"/>
              </w:rPr>
            </w:pPr>
            <w:r>
              <w:rPr>
                <w:rFonts w:hint="eastAsia" w:hAnsi="宋体"/>
                <w:szCs w:val="21"/>
              </w:rPr>
              <w:t>◆</w:t>
            </w:r>
            <w:r>
              <w:rPr>
                <w:rFonts w:hint="eastAsia" w:hAnsi="宋体"/>
                <w:b/>
                <w:szCs w:val="21"/>
              </w:rPr>
              <w:t>证明材料：</w:t>
            </w:r>
            <w:r>
              <w:rPr>
                <w:rFonts w:hint="eastAsia" w:hAnsi="宋体"/>
                <w:szCs w:val="21"/>
              </w:rPr>
              <w:t>竞争性磋商供应商所提供的以下材料须能清晰反映评标办法和评标标准所需的各项有关参考因素（签订合同的①时限、②内容、③成交金额）。</w:t>
            </w:r>
            <w:r>
              <w:rPr>
                <w:rFonts w:hint="eastAsia" w:hAnsi="宋体"/>
                <w:b/>
                <w:szCs w:val="21"/>
              </w:rPr>
              <w:t>不能清晰反映的均作无效材料处理，相应考核项不通过，相应评审项不得分。</w:t>
            </w:r>
          </w:p>
          <w:p>
            <w:pPr>
              <w:pStyle w:val="9"/>
              <w:spacing w:line="300" w:lineRule="exact"/>
              <w:ind w:firstLine="420" w:firstLineChars="200"/>
              <w:rPr>
                <w:rFonts w:hAnsi="宋体"/>
                <w:szCs w:val="21"/>
              </w:rPr>
            </w:pPr>
            <w:r>
              <w:rPr>
                <w:rFonts w:hint="eastAsia"/>
              </w:rPr>
              <w:t>提供合同（协议书）复印件或中标（成交）通知书复印件</w:t>
            </w:r>
            <w:r>
              <w:rPr>
                <w:rFonts w:hint="eastAsia" w:hAnsi="宋体"/>
                <w:szCs w:val="21"/>
              </w:rPr>
              <w:t>，原件核查；</w:t>
            </w:r>
          </w:p>
          <w:p>
            <w:pPr>
              <w:pStyle w:val="9"/>
              <w:spacing w:line="360" w:lineRule="auto"/>
              <w:rPr>
                <w:rFonts w:hAnsi="宋体"/>
                <w:szCs w:val="21"/>
              </w:rPr>
            </w:pPr>
            <w:r>
              <w:rPr>
                <w:rFonts w:hint="eastAsia" w:hAnsi="宋体"/>
                <w:b/>
                <w:szCs w:val="21"/>
              </w:rPr>
              <w:t>4、企业成本分析：</w:t>
            </w:r>
            <w:r>
              <w:rPr>
                <w:rFonts w:hint="eastAsia" w:hAnsi="宋体"/>
                <w:szCs w:val="21"/>
              </w:rPr>
              <w:t>参照《政府采购货物和服务招标投标管理办法》（中华人民共和国财政部令第87号）第六十条指导精神：磋商小组认为竞争性磋商供应商的报价明显低于其他通过符合性审查竞争性磋商供应商的报价，有可能影响产品质量或者不能诚信履约的，应当要求其在评标现场合理的时间内提供书面说明，必要时提交相关证明材料；竞争性磋商供应商不能证明其报价合理性的，磋商小组应当将其作为无效磋商处理。上款书面说明系指企业对本采购项目的成本分析，包括完成本项目的货物（采购货物、随配附件、备品备件、工具、运抵指定交货地点的费用、安装（调试）费用）和服务（后续服务（检测、项目跟踪、培训等）和所有工作量及其相关配套内容的全套文件（检测文件、项目跟踪文件、项目设备使用解析文件和服务项目成果资料汇编文件等）编制）以及保险、税金等其它所有成本的全部费用，并提交相关证明材料。</w:t>
            </w:r>
            <w:r>
              <w:rPr>
                <w:rFonts w:hint="eastAsia" w:hAnsi="宋体"/>
                <w:b/>
                <w:bCs/>
                <w:szCs w:val="21"/>
              </w:rPr>
              <w:t>当本项目某竞争性磋商供应商磋商报价与采购预算价（上限控制价）相比较的让利幅度≥15%（磋商报价≤￥1275000.00）时，竞争性磋商供应商的响应文件中须附针对其磋商报价作出的书面说明（企业成本分析）并提供相关证明材料。</w:t>
            </w:r>
            <w:r>
              <w:rPr>
                <w:rFonts w:hint="eastAsia" w:hAnsi="宋体"/>
                <w:szCs w:val="21"/>
              </w:rPr>
              <w:t>未按上述要求附书面说明（企业成本分析）并提供相关证明材料的或磋商小组针对其提交证明材料进行核算后仍认为其材料不能合理说明或者所提供证明材料不齐全的，不再接受竞争性磋商供应商补充材料，视其以低于企业成本报价恶意磋商，其响应文件（竞标）作无效磋商处理。</w:t>
            </w:r>
          </w:p>
          <w:p>
            <w:pPr>
              <w:pStyle w:val="9"/>
              <w:spacing w:line="300" w:lineRule="exact"/>
              <w:rPr>
                <w:b/>
              </w:rPr>
            </w:pPr>
            <w:r>
              <w:rPr>
                <w:rFonts w:hint="eastAsia"/>
                <w:b/>
              </w:rPr>
              <w:t>备注：</w:t>
            </w:r>
            <w:r>
              <w:rPr>
                <w:rFonts w:hint="eastAsia" w:hAnsi="宋体"/>
                <w:b/>
              </w:rPr>
              <w:t>上款所述证明材料如下载列（（1）、（2）两项均须提供）</w:t>
            </w:r>
          </w:p>
          <w:p>
            <w:pPr>
              <w:pStyle w:val="9"/>
              <w:spacing w:line="300" w:lineRule="exact"/>
              <w:ind w:firstLine="413" w:firstLineChars="196"/>
              <w:rPr>
                <w:rFonts w:hAnsi="宋体"/>
                <w:b/>
              </w:rPr>
            </w:pPr>
            <w:r>
              <w:rPr>
                <w:rFonts w:hint="eastAsia" w:hAnsi="宋体"/>
                <w:b/>
              </w:rPr>
              <w:t>（1）竞争性磋商供应商</w:t>
            </w:r>
            <w:r>
              <w:rPr>
                <w:rFonts w:hint="eastAsia" w:hAnsi="宋体"/>
                <w:b/>
                <w:bCs/>
                <w:szCs w:val="21"/>
              </w:rPr>
              <w:t>2017年度—2019</w:t>
            </w:r>
            <w:r>
              <w:rPr>
                <w:rFonts w:hint="eastAsia" w:hAnsi="宋体"/>
                <w:b/>
              </w:rPr>
              <w:t>年度经具备审计资质的第三方机构出具的财务审计情况：</w:t>
            </w:r>
            <w:r>
              <w:rPr>
                <w:rFonts w:hint="eastAsia" w:hAnsi="宋体"/>
              </w:rPr>
              <w:t>竞争性磋商供应商2017年度—2019年度经具备审计资质的第三方机构出具的审计报告（内容至少须含有其固定资产成本及折旧、管理成本、人工费成本（如人员工资、奖金、福利及差旅等费用，必须根据竞争性磋商供应商所在省（自治区、直辖市）政府部门或者人力资源社会保障部门公布的关于2019年竞争性磋商供应商所在地（以其《营业执照》上载明的注册地为准）最低工资标准相关文件要求编制，且附政府机构税务部门为其拟派本项目人员开具的近3个月（说明：时间为2020年0</w:t>
            </w:r>
            <w:r>
              <w:rPr>
                <w:rFonts w:hAnsi="宋体"/>
              </w:rPr>
              <w:t>5</w:t>
            </w:r>
            <w:r>
              <w:rPr>
                <w:rFonts w:hint="eastAsia" w:hAnsi="宋体"/>
              </w:rPr>
              <w:t>月至2020年0</w:t>
            </w:r>
            <w:r>
              <w:rPr>
                <w:rFonts w:hAnsi="宋体"/>
              </w:rPr>
              <w:t>7</w:t>
            </w:r>
            <w:r>
              <w:rPr>
                <w:rFonts w:hint="eastAsia" w:hAnsi="宋体"/>
              </w:rPr>
              <w:t>月</w:t>
            </w:r>
            <w:r>
              <w:rPr>
                <w:rFonts w:hint="eastAsia" w:hAnsi="宋体"/>
                <w:szCs w:val="21"/>
              </w:rPr>
              <w:t>,</w:t>
            </w:r>
            <w:r>
              <w:rPr>
                <w:rFonts w:hint="eastAsia" w:hAnsi="宋体"/>
              </w:rPr>
              <w:t>属于有特殊政策扶持情形的地区，亦须出具①国家税务部门或其授权设立的第三方机构出具的证明函件，或②该政策文件在网查询的页面截图（须能清晰反映查询网址以供核验））依法缴纳个人所得税或依法免缴个人所得税的凭证作为参考依据）、税收（含增值税、企业所得税、印花税等所有税种，必须提供近一年度（至本项目投标截止时间不超过一年）不少于3个项目企业年度税务缴纳凭证作为参考依据）等所有成本及利润）复印件。</w:t>
            </w:r>
          </w:p>
          <w:p>
            <w:pPr>
              <w:autoSpaceDE w:val="0"/>
              <w:autoSpaceDN w:val="0"/>
              <w:adjustRightInd w:val="0"/>
              <w:spacing w:line="300" w:lineRule="exact"/>
              <w:ind w:firstLine="413" w:firstLineChars="196"/>
              <w:rPr>
                <w:rFonts w:ascii="宋体" w:hAnsi="宋体"/>
                <w:b/>
                <w:szCs w:val="21"/>
              </w:rPr>
            </w:pPr>
            <w:r>
              <w:rPr>
                <w:rFonts w:hint="eastAsia" w:hAnsi="宋体"/>
                <w:b/>
              </w:rPr>
              <w:t>（2）</w:t>
            </w:r>
            <w:r>
              <w:rPr>
                <w:rFonts w:hint="eastAsia" w:ascii="宋体" w:hAnsi="宋体"/>
                <w:b/>
                <w:szCs w:val="21"/>
              </w:rPr>
              <w:t>成功案例：</w:t>
            </w:r>
          </w:p>
          <w:p>
            <w:pPr>
              <w:autoSpaceDE w:val="0"/>
              <w:autoSpaceDN w:val="0"/>
              <w:adjustRightInd w:val="0"/>
              <w:spacing w:line="300" w:lineRule="exact"/>
              <w:ind w:firstLine="413" w:firstLineChars="196"/>
              <w:rPr>
                <w:rFonts w:ascii="宋体" w:hAnsi="宋体"/>
                <w:b/>
                <w:bCs/>
              </w:rPr>
            </w:pPr>
            <w:r>
              <w:rPr>
                <w:rFonts w:hint="eastAsia" w:ascii="宋体" w:hAnsi="宋体"/>
                <w:b/>
              </w:rPr>
              <w:t>竞争性磋商供应商</w:t>
            </w:r>
            <w:r>
              <w:rPr>
                <w:rFonts w:hint="eastAsia" w:ascii="宋体" w:hAnsi="宋体"/>
                <w:b/>
                <w:bCs/>
              </w:rPr>
              <w:t>以此让利幅度完成过质量合格的类似项目：</w:t>
            </w:r>
            <w:r>
              <w:rPr>
                <w:rFonts w:hint="eastAsia" w:ascii="宋体" w:hAnsi="宋体"/>
              </w:rPr>
              <w:t>竞争性磋商供应商有3个及以上且让利幅度</w:t>
            </w:r>
            <w:r>
              <w:rPr>
                <w:rFonts w:hint="eastAsia" w:ascii="宋体" w:hAnsi="宋体"/>
                <w:bCs/>
              </w:rPr>
              <w:t>（让利幅度=项目合同价÷项目最高竞标限价（采购控制价））不低于其对本项目报价的让利幅度的类似项目业绩</w:t>
            </w:r>
            <w:r>
              <w:rPr>
                <w:rFonts w:hint="eastAsia" w:ascii="宋体" w:hAnsi="宋体"/>
                <w:szCs w:val="21"/>
              </w:rPr>
              <w:t>（对应本《竞争性磋商文件》第二章“竞争性磋商供应商须知”——竞争性磋商供应商知前附表——《响应文件》编制注意事项——3.类似项目业绩说明对应解析）已证明</w:t>
            </w:r>
            <w:r>
              <w:rPr>
                <w:rFonts w:hint="eastAsia" w:ascii="宋体" w:hAnsi="宋体"/>
              </w:rPr>
              <w:t>其以等量及以上让利幅度完成过质量合格的类似项目（有成功案例），否则视为其报价存在服务风险，未能有足够类似经验承载项目运行，</w:t>
            </w:r>
            <w:r>
              <w:rPr>
                <w:rFonts w:hint="eastAsia" w:ascii="宋体" w:hAnsi="宋体"/>
                <w:b/>
              </w:rPr>
              <w:t>其《响应文件》（竞标）作否决（废标）处理</w:t>
            </w:r>
            <w:r>
              <w:rPr>
                <w:rFonts w:hint="eastAsia" w:ascii="宋体" w:hAnsi="宋体"/>
              </w:rPr>
              <w:t>。</w:t>
            </w:r>
          </w:p>
          <w:p>
            <w:pPr>
              <w:autoSpaceDE w:val="0"/>
              <w:autoSpaceDN w:val="0"/>
              <w:adjustRightInd w:val="0"/>
              <w:spacing w:line="300" w:lineRule="exact"/>
              <w:ind w:firstLine="413" w:firstLineChars="196"/>
              <w:rPr>
                <w:rFonts w:hAnsi="宋体" w:cs="宋体"/>
                <w:bCs/>
              </w:rPr>
            </w:pPr>
            <w:r>
              <w:rPr>
                <w:rFonts w:hint="eastAsia" w:ascii="宋体" w:hAnsi="宋体"/>
                <w:b/>
                <w:bCs/>
              </w:rPr>
              <w:t>备注：评标委员会（磋商小组）于开标会结束2小时内确定是否需要竞争性磋商供应商就其磋商报价作出“</w:t>
            </w:r>
            <w:r>
              <w:rPr>
                <w:rFonts w:hint="eastAsia"/>
                <w:b/>
              </w:rPr>
              <w:t>竞争性磋商供应商承接项目成本分析</w:t>
            </w:r>
            <w:r>
              <w:rPr>
                <w:rFonts w:hint="eastAsia" w:ascii="宋体" w:hAnsi="宋体"/>
                <w:b/>
                <w:bCs/>
              </w:rPr>
              <w:t>”，对需要进行该项文件编制活动的竞争性磋商供应商发出《要求竞争性磋商供应商澄清“项目成本”通知书》交由项目采购代理机构联系该竞争性磋商供应商，评标委员会（磋商小组）发出《要求竞争性磋商供应商澄清“项目成本”通知书》之时起1小时内由竞争性磋商供应商《响应文件》的递交人将《</w:t>
            </w:r>
            <w:r>
              <w:rPr>
                <w:rFonts w:hint="eastAsia"/>
                <w:b/>
              </w:rPr>
              <w:t>承接项目成本分析</w:t>
            </w:r>
            <w:r>
              <w:rPr>
                <w:rFonts w:hint="eastAsia" w:ascii="宋体" w:hAnsi="宋体"/>
                <w:b/>
                <w:bCs/>
              </w:rPr>
              <w:t>》（响应文件递交人签字并加按其食指手印进行确认）递交项目采购代理机构，逾期未提交或采购代理机构按开标会《竞争性磋商供应商签到表》无法与该人员联系的，</w:t>
            </w:r>
            <w:r>
              <w:rPr>
                <w:rFonts w:hint="eastAsia" w:ascii="宋体" w:hAnsi="宋体"/>
                <w:b/>
              </w:rPr>
              <w:t>其《响应文件》（竞标）作否决（废标）处理。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r>
              <w:rPr>
                <w:rFonts w:hint="eastAsia" w:ascii="宋体" w:hAnsi="宋体"/>
                <w:szCs w:val="21"/>
              </w:rPr>
              <w:t>成交单位</w:t>
            </w:r>
          </w:p>
          <w:p>
            <w:pPr>
              <w:spacing w:line="300" w:lineRule="exact"/>
              <w:jc w:val="center"/>
              <w:rPr>
                <w:rFonts w:ascii="宋体" w:hAnsi="宋体"/>
                <w:szCs w:val="21"/>
              </w:rPr>
            </w:pPr>
            <w:r>
              <w:rPr>
                <w:rFonts w:hint="eastAsia" w:ascii="宋体" w:hAnsi="宋体"/>
                <w:szCs w:val="21"/>
              </w:rPr>
              <w:t>相关费用</w:t>
            </w:r>
          </w:p>
        </w:tc>
        <w:tc>
          <w:tcPr>
            <w:tcW w:w="8890" w:type="dxa"/>
          </w:tcPr>
          <w:p>
            <w:pPr>
              <w:spacing w:line="300" w:lineRule="exact"/>
              <w:rPr>
                <w:rFonts w:ascii="宋体" w:hAnsi="宋体"/>
                <w:szCs w:val="21"/>
              </w:rPr>
            </w:pPr>
            <w:r>
              <w:rPr>
                <w:rFonts w:hint="eastAsia" w:ascii="宋体" w:hAnsi="宋体"/>
                <w:szCs w:val="21"/>
              </w:rPr>
              <w:t>1.采购代理费：根据国家发改办〔2003〕857号文，采购代理费由成交单位交纳，含在磋商报价内，采购代理费金额按国家计委计价格【2002】1980号文规定的“招标代理服务收费标准”执行。由成交人领取成交通知书时一次性向采购代理机构缴纳。</w:t>
            </w:r>
          </w:p>
          <w:p>
            <w:pPr>
              <w:spacing w:line="300" w:lineRule="exact"/>
              <w:rPr>
                <w:rFonts w:ascii="宋体" w:hAnsi="宋体"/>
                <w:szCs w:val="21"/>
              </w:rPr>
            </w:pPr>
            <w:r>
              <w:rPr>
                <w:rFonts w:hint="eastAsia" w:ascii="宋体" w:hAnsi="宋体"/>
                <w:szCs w:val="21"/>
              </w:rPr>
              <w:t>2.开、评标会议费用：本项目的开、评标会议发生的各项评审费用由成交人支付。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8" w:type="dxa"/>
            <w:vAlign w:val="center"/>
          </w:tcPr>
          <w:p>
            <w:pPr>
              <w:spacing w:line="300" w:lineRule="exact"/>
              <w:jc w:val="center"/>
              <w:rPr>
                <w:rFonts w:ascii="宋体" w:hAnsi="宋体"/>
                <w:szCs w:val="21"/>
              </w:rPr>
            </w:pPr>
          </w:p>
        </w:tc>
        <w:tc>
          <w:tcPr>
            <w:tcW w:w="8890" w:type="dxa"/>
          </w:tcPr>
          <w:p>
            <w:pPr>
              <w:spacing w:line="300" w:lineRule="exact"/>
              <w:rPr>
                <w:rFonts w:ascii="宋体" w:hAnsi="宋体"/>
                <w:szCs w:val="21"/>
              </w:rPr>
            </w:pPr>
          </w:p>
        </w:tc>
      </w:tr>
    </w:tbl>
    <w:p>
      <w:pPr>
        <w:spacing w:line="400" w:lineRule="exact"/>
        <w:rPr>
          <w:rFonts w:ascii="黑体" w:eastAsia="黑体"/>
          <w:sz w:val="28"/>
          <w:szCs w:val="28"/>
        </w:rPr>
      </w:pPr>
    </w:p>
    <w:p>
      <w:pPr>
        <w:spacing w:line="400" w:lineRule="exact"/>
        <w:rPr>
          <w:rFonts w:ascii="黑体" w:eastAsia="黑体"/>
          <w:b/>
          <w:sz w:val="28"/>
          <w:szCs w:val="28"/>
        </w:rPr>
      </w:pPr>
      <w:r>
        <w:rPr>
          <w:rFonts w:hint="eastAsia" w:ascii="黑体" w:eastAsia="黑体"/>
          <w:b/>
          <w:sz w:val="28"/>
          <w:szCs w:val="28"/>
        </w:rPr>
        <w:br w:type="page"/>
      </w:r>
    </w:p>
    <w:p>
      <w:pPr>
        <w:spacing w:line="400" w:lineRule="exact"/>
        <w:rPr>
          <w:rFonts w:ascii="黑体" w:eastAsia="黑体"/>
          <w:b/>
          <w:sz w:val="28"/>
          <w:szCs w:val="28"/>
        </w:rPr>
      </w:pPr>
      <w:r>
        <w:rPr>
          <w:rFonts w:hint="eastAsia" w:ascii="黑体" w:eastAsia="黑体"/>
          <w:b/>
          <w:sz w:val="28"/>
          <w:szCs w:val="28"/>
        </w:rPr>
        <w:t>竞争性磋商供应商须知正文</w:t>
      </w:r>
    </w:p>
    <w:p>
      <w:pPr>
        <w:spacing w:line="400" w:lineRule="exact"/>
        <w:rPr>
          <w:rFonts w:ascii="黑体" w:eastAsia="黑体"/>
          <w:b/>
          <w:sz w:val="28"/>
          <w:szCs w:val="28"/>
        </w:rPr>
      </w:pPr>
    </w:p>
    <w:p>
      <w:pPr>
        <w:pStyle w:val="24"/>
        <w:spacing w:line="400" w:lineRule="exact"/>
        <w:jc w:val="center"/>
        <w:outlineLvl w:val="2"/>
        <w:rPr>
          <w:rFonts w:hAnsi="宋体"/>
          <w:b/>
          <w:szCs w:val="21"/>
        </w:rPr>
      </w:pPr>
      <w:bookmarkStart w:id="49" w:name="_Toc13596_WPSOffice_Level2"/>
      <w:bookmarkStart w:id="50" w:name="_Toc365384216"/>
      <w:r>
        <w:rPr>
          <w:rFonts w:hint="eastAsia" w:hAnsi="宋体"/>
          <w:b/>
          <w:szCs w:val="21"/>
        </w:rPr>
        <w:t>一．总则</w:t>
      </w:r>
      <w:bookmarkEnd w:id="49"/>
    </w:p>
    <w:p>
      <w:pPr>
        <w:pStyle w:val="24"/>
        <w:spacing w:line="400" w:lineRule="exact"/>
        <w:outlineLvl w:val="2"/>
        <w:rPr>
          <w:rFonts w:hAnsi="宋体"/>
          <w:szCs w:val="21"/>
        </w:rPr>
      </w:pPr>
      <w:r>
        <w:rPr>
          <w:rFonts w:hint="eastAsia" w:hAnsi="宋体"/>
          <w:b/>
          <w:szCs w:val="21"/>
        </w:rPr>
        <w:t>1.项目名称、项目编号</w:t>
      </w:r>
    </w:p>
    <w:p>
      <w:pPr>
        <w:pStyle w:val="9"/>
        <w:spacing w:line="400" w:lineRule="exact"/>
        <w:rPr>
          <w:rFonts w:hAnsi="宋体"/>
          <w:szCs w:val="21"/>
        </w:rPr>
      </w:pPr>
      <w:r>
        <w:rPr>
          <w:rFonts w:hint="eastAsia" w:hAnsi="宋体"/>
          <w:szCs w:val="21"/>
        </w:rPr>
        <w:t>见竞争性磋商供应商须知前附表。</w:t>
      </w:r>
    </w:p>
    <w:p>
      <w:pPr>
        <w:pStyle w:val="9"/>
        <w:spacing w:line="400" w:lineRule="exact"/>
        <w:outlineLvl w:val="2"/>
        <w:rPr>
          <w:rFonts w:hAnsi="宋体"/>
          <w:b/>
          <w:szCs w:val="21"/>
        </w:rPr>
      </w:pPr>
      <w:r>
        <w:rPr>
          <w:rFonts w:hint="eastAsia" w:hAnsi="宋体"/>
          <w:b/>
          <w:szCs w:val="21"/>
        </w:rPr>
        <w:t>2.竞争性磋商供应商资格</w:t>
      </w:r>
    </w:p>
    <w:p>
      <w:pPr>
        <w:pStyle w:val="9"/>
        <w:spacing w:line="400" w:lineRule="exact"/>
        <w:rPr>
          <w:rFonts w:hAnsi="宋体"/>
          <w:szCs w:val="21"/>
        </w:rPr>
      </w:pPr>
      <w:r>
        <w:rPr>
          <w:rFonts w:hint="eastAsia" w:hAnsi="宋体"/>
          <w:szCs w:val="21"/>
        </w:rPr>
        <w:t>见竞争性磋商供应商须知前附表。</w:t>
      </w:r>
    </w:p>
    <w:p>
      <w:pPr>
        <w:pStyle w:val="9"/>
        <w:spacing w:line="400" w:lineRule="exact"/>
        <w:outlineLvl w:val="2"/>
        <w:rPr>
          <w:rFonts w:hAnsi="宋体"/>
          <w:b/>
          <w:szCs w:val="21"/>
        </w:rPr>
      </w:pPr>
      <w:r>
        <w:rPr>
          <w:rFonts w:hint="eastAsia" w:hAnsi="宋体"/>
          <w:b/>
          <w:szCs w:val="21"/>
        </w:rPr>
        <w:t>3.磋商费用</w:t>
      </w:r>
    </w:p>
    <w:p>
      <w:pPr>
        <w:pStyle w:val="9"/>
        <w:spacing w:line="400" w:lineRule="exact"/>
        <w:rPr>
          <w:rFonts w:hAnsi="宋体"/>
          <w:szCs w:val="21"/>
        </w:rPr>
      </w:pPr>
      <w:r>
        <w:rPr>
          <w:rFonts w:hint="eastAsia" w:hAnsi="宋体"/>
          <w:szCs w:val="21"/>
        </w:rPr>
        <w:t>3.1竞争性磋商供应商应自行承担所有与本次磋商有关的费用。</w:t>
      </w:r>
    </w:p>
    <w:p>
      <w:pPr>
        <w:pStyle w:val="9"/>
        <w:spacing w:line="400" w:lineRule="exact"/>
        <w:outlineLvl w:val="2"/>
        <w:rPr>
          <w:rFonts w:hAnsi="宋体"/>
          <w:b/>
          <w:szCs w:val="21"/>
        </w:rPr>
      </w:pPr>
      <w:r>
        <w:rPr>
          <w:rFonts w:hint="eastAsia" w:hAnsi="宋体"/>
          <w:b/>
          <w:szCs w:val="21"/>
        </w:rPr>
        <w:t>4.竞争性磋商文件构成</w:t>
      </w:r>
    </w:p>
    <w:p>
      <w:pPr>
        <w:pStyle w:val="9"/>
        <w:spacing w:line="400" w:lineRule="exact"/>
        <w:rPr>
          <w:rFonts w:hAnsi="宋体"/>
          <w:szCs w:val="21"/>
        </w:rPr>
      </w:pPr>
      <w:r>
        <w:rPr>
          <w:rFonts w:hint="eastAsia" w:hAnsi="宋体"/>
          <w:szCs w:val="21"/>
        </w:rPr>
        <w:t>4.1竞争性磋商文件包括：</w:t>
      </w:r>
    </w:p>
    <w:p>
      <w:pPr>
        <w:pStyle w:val="9"/>
        <w:spacing w:line="400" w:lineRule="exact"/>
        <w:rPr>
          <w:rFonts w:hAnsi="宋体"/>
          <w:szCs w:val="21"/>
        </w:rPr>
      </w:pPr>
      <w:r>
        <w:rPr>
          <w:rFonts w:hint="eastAsia" w:hAnsi="宋体"/>
          <w:szCs w:val="21"/>
        </w:rPr>
        <w:t>（1）竞争性磋商公告；</w:t>
      </w:r>
    </w:p>
    <w:p>
      <w:pPr>
        <w:pStyle w:val="9"/>
        <w:spacing w:line="400" w:lineRule="exact"/>
        <w:rPr>
          <w:rFonts w:hAnsi="宋体"/>
          <w:szCs w:val="21"/>
        </w:rPr>
      </w:pPr>
      <w:r>
        <w:rPr>
          <w:rFonts w:hint="eastAsia" w:hAnsi="宋体"/>
          <w:szCs w:val="21"/>
        </w:rPr>
        <w:t>（2）竞争性磋商供应商须知；</w:t>
      </w:r>
    </w:p>
    <w:p>
      <w:pPr>
        <w:pStyle w:val="9"/>
        <w:spacing w:line="400" w:lineRule="exact"/>
        <w:rPr>
          <w:rFonts w:hAnsi="宋体"/>
          <w:szCs w:val="21"/>
        </w:rPr>
      </w:pPr>
      <w:r>
        <w:rPr>
          <w:rFonts w:hint="eastAsia" w:hAnsi="宋体"/>
          <w:szCs w:val="21"/>
        </w:rPr>
        <w:t>（3）项目需求及说明；</w:t>
      </w:r>
    </w:p>
    <w:p>
      <w:pPr>
        <w:pStyle w:val="9"/>
        <w:spacing w:line="400" w:lineRule="exact"/>
        <w:rPr>
          <w:rFonts w:hAnsi="宋体"/>
          <w:szCs w:val="21"/>
        </w:rPr>
      </w:pPr>
      <w:r>
        <w:rPr>
          <w:rFonts w:hint="eastAsia" w:hAnsi="宋体"/>
          <w:szCs w:val="21"/>
        </w:rPr>
        <w:t>（4）合同书（格式）；</w:t>
      </w:r>
    </w:p>
    <w:p>
      <w:pPr>
        <w:pStyle w:val="9"/>
        <w:spacing w:line="400" w:lineRule="exact"/>
        <w:rPr>
          <w:rFonts w:hAnsi="宋体"/>
          <w:szCs w:val="21"/>
        </w:rPr>
      </w:pPr>
      <w:r>
        <w:rPr>
          <w:rFonts w:hint="eastAsia" w:hAnsi="宋体"/>
          <w:szCs w:val="21"/>
        </w:rPr>
        <w:t>（5）响应文件（格式）；</w:t>
      </w:r>
    </w:p>
    <w:p>
      <w:pPr>
        <w:pStyle w:val="9"/>
        <w:spacing w:line="400" w:lineRule="exact"/>
        <w:rPr>
          <w:rFonts w:hAnsi="宋体"/>
          <w:szCs w:val="21"/>
        </w:rPr>
      </w:pPr>
      <w:r>
        <w:rPr>
          <w:rFonts w:hint="eastAsia" w:hAnsi="宋体"/>
          <w:szCs w:val="21"/>
        </w:rPr>
        <w:t>（6）评标方法和评标标准。</w:t>
      </w:r>
    </w:p>
    <w:p>
      <w:pPr>
        <w:pStyle w:val="9"/>
        <w:spacing w:line="400" w:lineRule="exact"/>
        <w:rPr>
          <w:rFonts w:hAnsi="宋体"/>
          <w:szCs w:val="21"/>
        </w:rPr>
      </w:pPr>
    </w:p>
    <w:p>
      <w:pPr>
        <w:pStyle w:val="9"/>
        <w:spacing w:line="400" w:lineRule="exact"/>
        <w:jc w:val="center"/>
        <w:outlineLvl w:val="2"/>
        <w:rPr>
          <w:rFonts w:hAnsi="宋体"/>
          <w:b/>
          <w:szCs w:val="21"/>
        </w:rPr>
      </w:pPr>
      <w:bookmarkStart w:id="51" w:name="_Toc26695_WPSOffice_Level2"/>
      <w:r>
        <w:rPr>
          <w:rFonts w:hint="eastAsia" w:hAnsi="宋体"/>
          <w:b/>
          <w:szCs w:val="21"/>
        </w:rPr>
        <w:t>二．磋商文件的澄清和修改</w:t>
      </w:r>
      <w:bookmarkEnd w:id="51"/>
    </w:p>
    <w:p>
      <w:pPr>
        <w:pStyle w:val="9"/>
        <w:spacing w:line="400" w:lineRule="exact"/>
        <w:outlineLvl w:val="2"/>
        <w:rPr>
          <w:rFonts w:hAnsi="宋体"/>
          <w:b/>
          <w:szCs w:val="21"/>
        </w:rPr>
      </w:pPr>
      <w:r>
        <w:rPr>
          <w:rFonts w:hint="eastAsia" w:hAnsi="宋体"/>
          <w:b/>
          <w:szCs w:val="21"/>
        </w:rPr>
        <w:t>5.竞争性磋商文件的澄清和修改</w:t>
      </w:r>
    </w:p>
    <w:p>
      <w:pPr>
        <w:pStyle w:val="9"/>
        <w:spacing w:line="400" w:lineRule="exact"/>
        <w:ind w:firstLine="420"/>
        <w:rPr>
          <w:rFonts w:hAnsi="宋体"/>
          <w:szCs w:val="21"/>
        </w:rPr>
      </w:pPr>
      <w:bookmarkStart w:id="52" w:name="_Toc365384218"/>
      <w:r>
        <w:rPr>
          <w:rFonts w:hint="eastAsia" w:hAnsi="宋体"/>
          <w:szCs w:val="21"/>
        </w:rPr>
        <w:t>5.1竞争性磋商供应商应认真审核《项目需求和说明》中的技术参数、配置及要求，如发现表中技术参数、配置有误或要求不合理的，竞争性磋商供应商必须在前附表规定的时间前以传真等书面形式通知华春建设工程项目管理有限责任公司（以下简称“采购代理机构”），同时认定其他澄清方式为无效。否则，由此产生的后果由竞争性磋商供应商负责。采购代理机构将以书面形式予以答复要求澄清并在发布本项目竞争性磋商公告的媒介上发布澄清信息。</w:t>
      </w:r>
    </w:p>
    <w:p>
      <w:pPr>
        <w:pStyle w:val="9"/>
        <w:spacing w:line="400" w:lineRule="exact"/>
        <w:ind w:firstLine="420" w:firstLineChars="200"/>
        <w:rPr>
          <w:rFonts w:hAnsi="宋体"/>
          <w:szCs w:val="21"/>
        </w:rPr>
      </w:pPr>
      <w:r>
        <w:rPr>
          <w:rFonts w:hint="eastAsia" w:hAnsi="宋体"/>
          <w:szCs w:val="21"/>
        </w:rPr>
        <w:t>5.2采购代理机构对已发出的竞争性磋商文件进行必要澄清或者修改的，在竞争性磋商文件要求提交响应文件截止时间1日前，在发布本项目竞争性磋商供应商竞争性磋商公告的媒介上刊登补充信息。该公告的内容为《竞争性磋商文件》的组成部分。《竞争性磋商文件》的澄清和修改且该澄清修改实质性影响《响应文件》编制的，磋商时间（磋商截止时间）顺延为从澄清和修改通知在本项目竞争性磋商公告发布的媒介上刊登之日起不少于3个工作日。</w:t>
      </w:r>
    </w:p>
    <w:p>
      <w:pPr>
        <w:pStyle w:val="9"/>
        <w:spacing w:line="400" w:lineRule="exact"/>
        <w:ind w:firstLine="420" w:firstLineChars="200"/>
        <w:rPr>
          <w:rFonts w:hAnsi="宋体"/>
          <w:szCs w:val="21"/>
        </w:rPr>
      </w:pPr>
      <w:r>
        <w:rPr>
          <w:rFonts w:hint="eastAsia" w:hAnsi="宋体"/>
          <w:szCs w:val="21"/>
        </w:rPr>
        <w:t>5.3采购代理机构可视具体情况，延长磋商截止时间和开标时间。采购代理机构至少在竞争性磋商文件要求提交响应文件的截止时间1日前，在发布本项目竞争性磋商供应商竞争性磋商公告的媒介上刊登补充信息。</w:t>
      </w:r>
    </w:p>
    <w:p>
      <w:pPr>
        <w:pStyle w:val="9"/>
        <w:spacing w:line="400" w:lineRule="exact"/>
        <w:rPr>
          <w:rFonts w:hAnsi="宋体"/>
          <w:szCs w:val="21"/>
        </w:rPr>
      </w:pPr>
    </w:p>
    <w:p>
      <w:pPr>
        <w:pStyle w:val="9"/>
        <w:spacing w:line="400" w:lineRule="exact"/>
        <w:rPr>
          <w:rFonts w:hAnsi="宋体"/>
          <w:szCs w:val="21"/>
        </w:rPr>
      </w:pPr>
    </w:p>
    <w:p>
      <w:pPr>
        <w:pStyle w:val="9"/>
        <w:spacing w:line="400" w:lineRule="exact"/>
        <w:jc w:val="center"/>
        <w:outlineLvl w:val="2"/>
        <w:rPr>
          <w:rFonts w:hAnsi="宋体"/>
          <w:b/>
          <w:szCs w:val="21"/>
        </w:rPr>
      </w:pPr>
      <w:bookmarkStart w:id="53" w:name="_Toc6080_WPSOffice_Level2"/>
      <w:r>
        <w:rPr>
          <w:rFonts w:hint="eastAsia" w:hAnsi="宋体"/>
          <w:b/>
          <w:szCs w:val="21"/>
        </w:rPr>
        <w:t>三．响应文件的编制</w:t>
      </w:r>
      <w:bookmarkEnd w:id="52"/>
      <w:bookmarkEnd w:id="53"/>
    </w:p>
    <w:p>
      <w:pPr>
        <w:pStyle w:val="9"/>
        <w:spacing w:line="400" w:lineRule="exact"/>
        <w:outlineLvl w:val="2"/>
        <w:rPr>
          <w:rFonts w:hAnsi="宋体"/>
          <w:b/>
          <w:szCs w:val="21"/>
        </w:rPr>
      </w:pPr>
      <w:r>
        <w:rPr>
          <w:rFonts w:hint="eastAsia" w:hAnsi="宋体"/>
          <w:b/>
          <w:szCs w:val="21"/>
        </w:rPr>
        <w:t>6.</w:t>
      </w:r>
      <w:r>
        <w:rPr>
          <w:rFonts w:hint="eastAsia" w:hAnsi="宋体"/>
          <w:szCs w:val="21"/>
        </w:rPr>
        <w:t xml:space="preserve"> </w:t>
      </w:r>
      <w:r>
        <w:rPr>
          <w:rFonts w:hint="eastAsia" w:hAnsi="宋体"/>
          <w:b/>
          <w:szCs w:val="21"/>
        </w:rPr>
        <w:t>响应文件编写的注意事项</w:t>
      </w:r>
    </w:p>
    <w:p>
      <w:pPr>
        <w:pStyle w:val="9"/>
        <w:spacing w:line="400" w:lineRule="exact"/>
        <w:rPr>
          <w:rFonts w:hAnsi="宋体"/>
          <w:szCs w:val="21"/>
        </w:rPr>
      </w:pPr>
      <w:r>
        <w:rPr>
          <w:rFonts w:hint="eastAsia" w:hAnsi="宋体"/>
          <w:szCs w:val="21"/>
        </w:rPr>
        <w:t>6.1竞争性磋商供应商应认真阅读竞争性磋商文件，按照竞争性磋商文件的要求编制响应文件。响应文件应对竞争性磋商文件提出的要求和条件作出实质性响应。</w:t>
      </w:r>
    </w:p>
    <w:p>
      <w:pPr>
        <w:pStyle w:val="9"/>
        <w:spacing w:line="400" w:lineRule="exact"/>
        <w:rPr>
          <w:rFonts w:hAnsi="宋体"/>
          <w:b/>
          <w:szCs w:val="21"/>
        </w:rPr>
      </w:pPr>
      <w:r>
        <w:rPr>
          <w:rFonts w:hint="eastAsia" w:hAnsi="宋体"/>
          <w:b/>
          <w:szCs w:val="21"/>
        </w:rPr>
        <w:t>6.2对竞争性磋商文件提出的实质性要求和条件作出响应是指竞争性磋商供应商必须对竞争性磋商文件中涉及项目的价格、采购货物的主要技术参数和性能配置、服务期、数量、售后服务及其它要求或采购服务的服务内容、服务期限及其它要求、合同主要条款等内容作出响应。</w:t>
      </w:r>
    </w:p>
    <w:p>
      <w:pPr>
        <w:pStyle w:val="9"/>
        <w:spacing w:line="400" w:lineRule="exact"/>
        <w:rPr>
          <w:rFonts w:hAnsi="宋体"/>
          <w:szCs w:val="21"/>
        </w:rPr>
      </w:pPr>
      <w:r>
        <w:rPr>
          <w:rFonts w:hint="eastAsia" w:hAnsi="宋体"/>
          <w:szCs w:val="21"/>
        </w:rPr>
        <w:t>6.3项目需求和说明中采购货物的主要技术参数和性能配置，采购服务的服务内容、服务期限若为单一供应商特有的仅作为参考标准，磋商供应商提供的货物或服务是否等于或优于采购要求由磋商小组评定。</w:t>
      </w:r>
    </w:p>
    <w:p>
      <w:pPr>
        <w:pStyle w:val="9"/>
        <w:spacing w:line="400" w:lineRule="exact"/>
        <w:outlineLvl w:val="2"/>
        <w:rPr>
          <w:rFonts w:hAnsi="宋体"/>
          <w:b/>
          <w:szCs w:val="21"/>
        </w:rPr>
      </w:pPr>
      <w:r>
        <w:rPr>
          <w:rFonts w:hint="eastAsia" w:hAnsi="宋体"/>
          <w:b/>
          <w:szCs w:val="21"/>
        </w:rPr>
        <w:t>7.磋商的文字及计量单位</w:t>
      </w:r>
    </w:p>
    <w:p>
      <w:pPr>
        <w:pStyle w:val="9"/>
        <w:spacing w:line="400" w:lineRule="exact"/>
        <w:rPr>
          <w:rFonts w:hAnsi="宋体"/>
          <w:spacing w:val="-4"/>
          <w:szCs w:val="21"/>
        </w:rPr>
      </w:pPr>
      <w:r>
        <w:rPr>
          <w:rFonts w:hint="eastAsia" w:hAnsi="宋体"/>
          <w:spacing w:val="-4"/>
          <w:szCs w:val="21"/>
        </w:rPr>
        <w:t>7.1</w:t>
      </w:r>
      <w:r>
        <w:rPr>
          <w:rFonts w:hint="eastAsia" w:hAnsi="宋体"/>
          <w:szCs w:val="21"/>
        </w:rPr>
        <w:t>竞争性磋商供应商</w:t>
      </w:r>
      <w:r>
        <w:rPr>
          <w:rFonts w:hint="eastAsia" w:hAnsi="宋体"/>
          <w:spacing w:val="-4"/>
          <w:szCs w:val="21"/>
        </w:rPr>
        <w:t>的</w:t>
      </w:r>
      <w:r>
        <w:rPr>
          <w:rFonts w:hint="eastAsia" w:hAnsi="宋体"/>
          <w:szCs w:val="21"/>
        </w:rPr>
        <w:t>响应文件</w:t>
      </w:r>
      <w:r>
        <w:rPr>
          <w:rFonts w:hint="eastAsia" w:hAnsi="宋体"/>
          <w:spacing w:val="-4"/>
          <w:szCs w:val="21"/>
        </w:rPr>
        <w:t>以及</w:t>
      </w:r>
      <w:r>
        <w:rPr>
          <w:rFonts w:hint="eastAsia" w:hAnsi="宋体"/>
          <w:szCs w:val="21"/>
        </w:rPr>
        <w:t>竞争性磋商供应商</w:t>
      </w:r>
      <w:r>
        <w:rPr>
          <w:rFonts w:hint="eastAsia" w:hAnsi="宋体"/>
          <w:spacing w:val="-4"/>
          <w:szCs w:val="21"/>
        </w:rPr>
        <w:t>与采购代理机构所有来往函件统一使用中文（特别规定除外）。</w:t>
      </w:r>
    </w:p>
    <w:p>
      <w:pPr>
        <w:pStyle w:val="9"/>
        <w:spacing w:line="400" w:lineRule="exact"/>
        <w:rPr>
          <w:rFonts w:hAnsi="宋体"/>
          <w:szCs w:val="21"/>
        </w:rPr>
      </w:pPr>
      <w:r>
        <w:rPr>
          <w:rFonts w:hint="eastAsia" w:hAnsi="宋体"/>
          <w:szCs w:val="21"/>
        </w:rPr>
        <w:t>7.2响应文件中使用的计量单位除竞争性磋商文件中有特殊规定外，一律使用法定计量单位。</w:t>
      </w:r>
    </w:p>
    <w:p>
      <w:pPr>
        <w:pStyle w:val="9"/>
        <w:spacing w:line="400" w:lineRule="exact"/>
        <w:outlineLvl w:val="2"/>
        <w:rPr>
          <w:rFonts w:hAnsi="宋体"/>
          <w:b/>
          <w:szCs w:val="21"/>
        </w:rPr>
      </w:pPr>
      <w:r>
        <w:rPr>
          <w:rFonts w:hint="eastAsia" w:hAnsi="宋体"/>
          <w:b/>
          <w:szCs w:val="21"/>
        </w:rPr>
        <w:t>8.响应文件的书写及签名、盖章要求</w:t>
      </w:r>
    </w:p>
    <w:p>
      <w:pPr>
        <w:pStyle w:val="9"/>
        <w:spacing w:line="400" w:lineRule="exact"/>
        <w:rPr>
          <w:rFonts w:hAnsi="宋体"/>
          <w:szCs w:val="21"/>
        </w:rPr>
      </w:pPr>
      <w:r>
        <w:rPr>
          <w:rFonts w:hint="eastAsia" w:hAnsi="宋体"/>
          <w:szCs w:val="21"/>
        </w:rPr>
        <w:t>8.1响应文件正本必须用不褪色的墨水书写或打印。</w:t>
      </w:r>
    </w:p>
    <w:p>
      <w:pPr>
        <w:pStyle w:val="9"/>
        <w:spacing w:line="400" w:lineRule="exact"/>
        <w:rPr>
          <w:rFonts w:hAnsi="宋体"/>
          <w:szCs w:val="21"/>
        </w:rPr>
      </w:pPr>
      <w:r>
        <w:rPr>
          <w:rFonts w:hint="eastAsia" w:hAnsi="宋体"/>
          <w:szCs w:val="21"/>
        </w:rPr>
        <w:t>8.2响应文件的书写应清楚工整，修改处应由法定代表人/负责人或委托代理人签字或加盖公章。</w:t>
      </w:r>
    </w:p>
    <w:p>
      <w:pPr>
        <w:pStyle w:val="9"/>
        <w:spacing w:line="400" w:lineRule="exact"/>
        <w:rPr>
          <w:rFonts w:hAnsi="宋体"/>
          <w:szCs w:val="21"/>
        </w:rPr>
      </w:pPr>
      <w:r>
        <w:rPr>
          <w:rFonts w:hint="eastAsia" w:hAnsi="宋体"/>
          <w:szCs w:val="21"/>
        </w:rPr>
        <w:t>8.3字迹潦草、表达不清、未按要求填写或可能导致非唯一理解的响应文件可能被认定为无效的磋商。</w:t>
      </w:r>
    </w:p>
    <w:p>
      <w:pPr>
        <w:pStyle w:val="9"/>
        <w:spacing w:line="400" w:lineRule="exact"/>
        <w:rPr>
          <w:rFonts w:hAnsi="宋体"/>
          <w:szCs w:val="21"/>
        </w:rPr>
      </w:pPr>
      <w:r>
        <w:rPr>
          <w:rFonts w:hint="eastAsia" w:hAnsi="宋体"/>
          <w:szCs w:val="21"/>
        </w:rPr>
        <w:t>8.4响应文件应由法定代表人/负责人或委托代理人在规定签名、盖章处逐一签名和加盖单位的公章，否则磋商无效。</w:t>
      </w:r>
    </w:p>
    <w:p>
      <w:pPr>
        <w:pStyle w:val="9"/>
        <w:spacing w:line="400" w:lineRule="exact"/>
        <w:rPr>
          <w:rFonts w:hAnsi="宋体"/>
          <w:szCs w:val="21"/>
        </w:rPr>
      </w:pPr>
      <w:r>
        <w:rPr>
          <w:rFonts w:hint="eastAsia" w:hAnsi="宋体"/>
          <w:szCs w:val="21"/>
        </w:rPr>
        <w:t>8.5响应文件的份数：见竞争性磋商供应商须知前附表。并在每份文件封面注明“正本”、“副本”字样。一旦正本和副本内容不符，以正本为准。</w:t>
      </w:r>
    </w:p>
    <w:p>
      <w:pPr>
        <w:pStyle w:val="9"/>
        <w:spacing w:line="400" w:lineRule="exact"/>
        <w:rPr>
          <w:rFonts w:hAnsi="宋体"/>
          <w:b/>
          <w:szCs w:val="21"/>
        </w:rPr>
      </w:pPr>
      <w:r>
        <w:rPr>
          <w:rFonts w:hint="eastAsia" w:hAnsi="宋体"/>
          <w:b/>
          <w:szCs w:val="21"/>
        </w:rPr>
        <w:t>9.响应文件的构成</w:t>
      </w:r>
    </w:p>
    <w:p>
      <w:pPr>
        <w:pStyle w:val="9"/>
        <w:spacing w:line="400" w:lineRule="exact"/>
        <w:rPr>
          <w:szCs w:val="21"/>
        </w:rPr>
      </w:pPr>
      <w:r>
        <w:rPr>
          <w:rFonts w:hint="eastAsia" w:hAnsi="宋体"/>
          <w:szCs w:val="21"/>
        </w:rPr>
        <w:t>9.1竞争性磋商供应商编写的且在响应文件递交截止时间之前递交的响应文件必须包括内容见“竞争性磋商供应商须知前附表”</w:t>
      </w:r>
      <w:r>
        <w:rPr>
          <w:rFonts w:hint="eastAsia"/>
        </w:rPr>
        <w:t>。</w:t>
      </w:r>
    </w:p>
    <w:p>
      <w:pPr>
        <w:spacing w:line="400" w:lineRule="exact"/>
        <w:rPr>
          <w:rFonts w:ascii="宋体" w:hAnsi="宋体"/>
          <w:szCs w:val="21"/>
        </w:rPr>
      </w:pPr>
      <w:r>
        <w:rPr>
          <w:rFonts w:hint="eastAsia" w:ascii="宋体" w:hAnsi="宋体"/>
          <w:szCs w:val="21"/>
        </w:rPr>
        <w:t>9.2竞争性磋商供应商应当使用竞争性磋商文件第五章中所提供的响应文件格式填写，如不够用时，竞争性磋商供应商可按同样格式展开。无格式的自行设计编制。</w:t>
      </w:r>
    </w:p>
    <w:p>
      <w:pPr>
        <w:pStyle w:val="9"/>
        <w:spacing w:line="400" w:lineRule="exact"/>
        <w:rPr>
          <w:szCs w:val="21"/>
        </w:rPr>
      </w:pPr>
      <w:r>
        <w:rPr>
          <w:rFonts w:hint="eastAsia"/>
        </w:rPr>
        <w:t>9.3响应文件装订要求见“竞争性磋商供应商须知前附表”。</w:t>
      </w:r>
    </w:p>
    <w:p>
      <w:pPr>
        <w:pStyle w:val="9"/>
        <w:spacing w:line="400" w:lineRule="exact"/>
        <w:outlineLvl w:val="2"/>
        <w:rPr>
          <w:rFonts w:hAnsi="宋体"/>
          <w:b/>
          <w:szCs w:val="21"/>
        </w:rPr>
      </w:pPr>
      <w:r>
        <w:rPr>
          <w:rFonts w:hint="eastAsia" w:hAnsi="宋体"/>
          <w:b/>
          <w:szCs w:val="21"/>
        </w:rPr>
        <w:t>10</w:t>
      </w:r>
      <w:r>
        <w:rPr>
          <w:rFonts w:hAnsi="宋体"/>
          <w:b/>
          <w:szCs w:val="21"/>
        </w:rPr>
        <w:t>.</w:t>
      </w:r>
      <w:r>
        <w:rPr>
          <w:rFonts w:hint="eastAsia" w:hAnsi="宋体"/>
          <w:szCs w:val="21"/>
        </w:rPr>
        <w:t xml:space="preserve"> </w:t>
      </w:r>
      <w:r>
        <w:rPr>
          <w:rFonts w:hint="eastAsia" w:hAnsi="宋体"/>
          <w:b/>
          <w:szCs w:val="21"/>
        </w:rPr>
        <w:t>响应文件格式</w:t>
      </w:r>
    </w:p>
    <w:p>
      <w:pPr>
        <w:pStyle w:val="9"/>
        <w:spacing w:line="400" w:lineRule="exact"/>
        <w:rPr>
          <w:rFonts w:hAnsi="宋体"/>
          <w:szCs w:val="21"/>
        </w:rPr>
      </w:pPr>
      <w:r>
        <w:rPr>
          <w:rFonts w:hint="eastAsia" w:hAnsi="宋体"/>
          <w:szCs w:val="21"/>
        </w:rPr>
        <w:t>10.1竞争性磋商供应商应按竞争性磋商文件提供的格式详细完整地填写各项内容。</w:t>
      </w:r>
    </w:p>
    <w:p>
      <w:pPr>
        <w:pStyle w:val="9"/>
        <w:spacing w:line="400" w:lineRule="exact"/>
        <w:rPr>
          <w:rFonts w:hAnsi="宋体"/>
          <w:szCs w:val="21"/>
        </w:rPr>
      </w:pPr>
    </w:p>
    <w:p>
      <w:pPr>
        <w:pStyle w:val="9"/>
        <w:spacing w:line="400" w:lineRule="exact"/>
        <w:jc w:val="center"/>
        <w:outlineLvl w:val="2"/>
        <w:rPr>
          <w:rFonts w:hAnsi="宋体"/>
          <w:b/>
          <w:szCs w:val="21"/>
        </w:rPr>
      </w:pPr>
      <w:bookmarkStart w:id="54" w:name="_Toc365384219"/>
      <w:bookmarkStart w:id="55" w:name="_Toc30487_WPSOffice_Level2"/>
      <w:r>
        <w:rPr>
          <w:rFonts w:hint="eastAsia" w:hAnsi="宋体"/>
          <w:b/>
          <w:szCs w:val="21"/>
        </w:rPr>
        <w:t>四．磋商报价</w:t>
      </w:r>
      <w:bookmarkEnd w:id="54"/>
      <w:bookmarkEnd w:id="55"/>
    </w:p>
    <w:p>
      <w:pPr>
        <w:pStyle w:val="9"/>
        <w:spacing w:line="400" w:lineRule="exact"/>
        <w:outlineLvl w:val="2"/>
        <w:rPr>
          <w:rFonts w:hAnsi="宋体"/>
          <w:b/>
          <w:szCs w:val="21"/>
        </w:rPr>
      </w:pPr>
      <w:r>
        <w:rPr>
          <w:rFonts w:hint="eastAsia" w:hAnsi="宋体"/>
          <w:b/>
          <w:szCs w:val="21"/>
        </w:rPr>
        <w:t>11.</w:t>
      </w:r>
      <w:r>
        <w:rPr>
          <w:rFonts w:hint="eastAsia" w:hAnsi="宋体"/>
          <w:szCs w:val="21"/>
        </w:rPr>
        <w:t xml:space="preserve"> </w:t>
      </w:r>
      <w:r>
        <w:rPr>
          <w:rFonts w:hint="eastAsia" w:hAnsi="宋体"/>
          <w:b/>
          <w:szCs w:val="21"/>
        </w:rPr>
        <w:t>磋商报价</w:t>
      </w:r>
    </w:p>
    <w:p>
      <w:pPr>
        <w:pStyle w:val="9"/>
        <w:spacing w:line="400" w:lineRule="exact"/>
        <w:rPr>
          <w:rFonts w:hAnsi="宋体"/>
          <w:szCs w:val="21"/>
        </w:rPr>
      </w:pPr>
      <w:r>
        <w:rPr>
          <w:rFonts w:hint="eastAsia" w:hAnsi="宋体"/>
          <w:szCs w:val="21"/>
        </w:rPr>
        <w:t>11.1若本竞争性磋商文件第五章“响应文件格式”磋商函附录要求竞争性磋商供应商分别填写单价和总价的，磋商竞争性磋商供应商应在磋商函附录上相应标明单价和总价。大写金额和小写金额不一致的，以大写金额为准；总价金额与单价汇总金额不一致的，以单价金额计算结果为准；单价金额小数点有明显错位的，应以总价为准，并修改单价；对不同文字文本响应文件的解释发生异议的，以中文文本为准。磋商函附录汇总数额与磋商函磋商总报价不一致的以磋商函附录汇总数额为准。</w:t>
      </w:r>
      <w:r>
        <w:rPr>
          <w:rFonts w:hint="eastAsia" w:hAnsi="宋体"/>
          <w:b/>
          <w:szCs w:val="21"/>
        </w:rPr>
        <w:t>如果竞争性磋商供应商不接受对其错误的更正，其磋商无效。如果因竞争性磋商供应商原因引起的报价失误，并在磋商时被接受，其后果由竞争性磋商供应商自负。</w:t>
      </w:r>
    </w:p>
    <w:p>
      <w:pPr>
        <w:pStyle w:val="24"/>
        <w:spacing w:line="400" w:lineRule="exact"/>
        <w:rPr>
          <w:rFonts w:hAnsi="宋体"/>
          <w:szCs w:val="21"/>
        </w:rPr>
      </w:pPr>
      <w:r>
        <w:rPr>
          <w:rFonts w:hint="eastAsia" w:hAnsi="宋体"/>
          <w:szCs w:val="21"/>
        </w:rPr>
        <w:t>11.2竞争性磋商供应商就《项目需求和说明》中所有的货物和服务内容作完整唯一报价。本项目上限控制价见竞争性磋商供应商须知前附表，竞争性磋商供应商报价高于上限控制价的磋商无效。</w:t>
      </w:r>
    </w:p>
    <w:p>
      <w:pPr>
        <w:pStyle w:val="9"/>
        <w:spacing w:line="400" w:lineRule="exact"/>
        <w:rPr>
          <w:rFonts w:hAnsi="宋体"/>
          <w:szCs w:val="21"/>
        </w:rPr>
      </w:pPr>
      <w:r>
        <w:rPr>
          <w:rFonts w:hint="eastAsia" w:hAnsi="宋体"/>
          <w:szCs w:val="21"/>
        </w:rPr>
        <w:t>11.3磋商报价依据采购人要求，在保证成果质量的前提下，竞争性磋商供应商应根据自身企业情况进行报价。本次磋商报价包括完成本项目的货物（采购货物、随配附件、备品备件、工具、运抵指定交货地点的各种费用、安装、调试费用和售后服务、税金及其它所有成本、费用）和服务（所有工作量及相关配套内容和全套文件及后续服务）的全部费用。</w:t>
      </w:r>
    </w:p>
    <w:p>
      <w:pPr>
        <w:pStyle w:val="9"/>
        <w:spacing w:line="400" w:lineRule="exact"/>
        <w:outlineLvl w:val="2"/>
        <w:rPr>
          <w:rFonts w:hAnsi="宋体"/>
          <w:szCs w:val="21"/>
        </w:rPr>
      </w:pPr>
      <w:r>
        <w:rPr>
          <w:rFonts w:hint="eastAsia" w:hAnsi="宋体"/>
          <w:szCs w:val="21"/>
        </w:rPr>
        <w:t>11.4本项目按总价包干形式确定报价。合同价格在合同实施期间不因市场价格变化因素而变动。竞争性磋商供应商在报价时应考虑各方面因素、各种风险和自己的承受能力。经磋商小组审核严重不平衡的报价将不予接受。</w:t>
      </w:r>
    </w:p>
    <w:p>
      <w:pPr>
        <w:pStyle w:val="9"/>
        <w:spacing w:line="400" w:lineRule="exact"/>
        <w:outlineLvl w:val="2"/>
        <w:rPr>
          <w:rFonts w:hAnsi="宋体"/>
          <w:szCs w:val="21"/>
        </w:rPr>
      </w:pPr>
      <w:r>
        <w:rPr>
          <w:rFonts w:hint="eastAsia" w:hAnsi="宋体"/>
          <w:szCs w:val="21"/>
        </w:rPr>
        <w:t>11.5上限控制价：见竞争性磋商供应商须知前附表。</w:t>
      </w:r>
    </w:p>
    <w:p>
      <w:pPr>
        <w:pStyle w:val="9"/>
        <w:spacing w:line="400" w:lineRule="exact"/>
        <w:outlineLvl w:val="2"/>
        <w:rPr>
          <w:rFonts w:hAnsi="宋体"/>
          <w:szCs w:val="21"/>
        </w:rPr>
      </w:pPr>
      <w:bookmarkStart w:id="56" w:name="_Toc487707773"/>
      <w:r>
        <w:rPr>
          <w:rFonts w:hint="eastAsia" w:hAnsi="宋体"/>
          <w:szCs w:val="21"/>
        </w:rPr>
        <w:t>11.6承接项目成本分析：</w:t>
      </w:r>
      <w:bookmarkEnd w:id="56"/>
      <w:r>
        <w:rPr>
          <w:rFonts w:hint="eastAsia" w:hAnsi="宋体"/>
          <w:szCs w:val="21"/>
        </w:rPr>
        <w:t>见竞争性磋商供应商须知前附表。</w:t>
      </w:r>
    </w:p>
    <w:p>
      <w:pPr>
        <w:pStyle w:val="9"/>
        <w:spacing w:line="400" w:lineRule="exact"/>
        <w:rPr>
          <w:rFonts w:hAnsi="宋体"/>
          <w:szCs w:val="21"/>
        </w:rPr>
      </w:pPr>
    </w:p>
    <w:p>
      <w:pPr>
        <w:pStyle w:val="9"/>
        <w:spacing w:line="400" w:lineRule="exact"/>
        <w:outlineLvl w:val="2"/>
        <w:rPr>
          <w:rFonts w:hAnsi="宋体"/>
          <w:b/>
          <w:szCs w:val="21"/>
        </w:rPr>
      </w:pPr>
      <w:r>
        <w:rPr>
          <w:rFonts w:hint="eastAsia" w:hAnsi="宋体"/>
          <w:b/>
          <w:szCs w:val="21"/>
        </w:rPr>
        <w:t>12.磋商货币</w:t>
      </w:r>
    </w:p>
    <w:p>
      <w:pPr>
        <w:pStyle w:val="9"/>
        <w:spacing w:line="400" w:lineRule="exact"/>
        <w:rPr>
          <w:rFonts w:hAnsi="宋体"/>
          <w:szCs w:val="21"/>
        </w:rPr>
      </w:pPr>
      <w:r>
        <w:rPr>
          <w:rFonts w:hint="eastAsia" w:hAnsi="宋体"/>
          <w:szCs w:val="21"/>
        </w:rPr>
        <w:t>12.1磋商应以人民币报价。</w:t>
      </w:r>
    </w:p>
    <w:p>
      <w:pPr>
        <w:pStyle w:val="9"/>
        <w:spacing w:line="400" w:lineRule="exact"/>
        <w:rPr>
          <w:rFonts w:hAnsi="宋体"/>
          <w:szCs w:val="21"/>
        </w:rPr>
      </w:pPr>
    </w:p>
    <w:p>
      <w:pPr>
        <w:pStyle w:val="9"/>
        <w:spacing w:line="400" w:lineRule="exact"/>
        <w:jc w:val="center"/>
        <w:outlineLvl w:val="2"/>
        <w:rPr>
          <w:rFonts w:hAnsi="宋体"/>
          <w:b/>
          <w:szCs w:val="21"/>
        </w:rPr>
      </w:pPr>
      <w:bookmarkStart w:id="57" w:name="_Toc30144_WPSOffice_Level2"/>
      <w:bookmarkStart w:id="58" w:name="_Toc365384220"/>
      <w:r>
        <w:rPr>
          <w:rFonts w:hint="eastAsia" w:hAnsi="宋体"/>
          <w:b/>
          <w:szCs w:val="21"/>
        </w:rPr>
        <w:t>五．</w:t>
      </w:r>
      <w:bookmarkEnd w:id="57"/>
      <w:bookmarkEnd w:id="58"/>
      <w:r>
        <w:rPr>
          <w:rFonts w:hint="eastAsia" w:hAnsi="宋体"/>
          <w:b/>
          <w:szCs w:val="21"/>
        </w:rPr>
        <w:t>响应文件组成</w:t>
      </w:r>
    </w:p>
    <w:p>
      <w:pPr>
        <w:pStyle w:val="9"/>
        <w:spacing w:line="400" w:lineRule="exact"/>
        <w:jc w:val="left"/>
        <w:outlineLvl w:val="2"/>
        <w:rPr>
          <w:rFonts w:hAnsi="宋体"/>
          <w:b/>
          <w:szCs w:val="21"/>
        </w:rPr>
      </w:pPr>
      <w:r>
        <w:rPr>
          <w:rFonts w:hint="eastAsia" w:hAnsi="宋体"/>
          <w:b/>
          <w:szCs w:val="21"/>
        </w:rPr>
        <w:t>13.响应文件组成</w:t>
      </w:r>
    </w:p>
    <w:p>
      <w:pPr>
        <w:pStyle w:val="25"/>
        <w:tabs>
          <w:tab w:val="left" w:pos="956"/>
        </w:tabs>
        <w:spacing w:line="440" w:lineRule="exact"/>
        <w:jc w:val="left"/>
        <w:rPr>
          <w:szCs w:val="21"/>
        </w:rPr>
      </w:pPr>
      <w:bookmarkStart w:id="59" w:name="_Toc365384222"/>
      <w:bookmarkStart w:id="60" w:name="_Toc12779_WPSOffice_Level2"/>
      <w:r>
        <w:rPr>
          <w:rFonts w:hint="eastAsia"/>
          <w:szCs w:val="21"/>
        </w:rPr>
        <w:t>（1）磋商函；（必须提供）</w:t>
      </w:r>
    </w:p>
    <w:p>
      <w:pPr>
        <w:pStyle w:val="25"/>
        <w:tabs>
          <w:tab w:val="left" w:pos="956"/>
        </w:tabs>
        <w:spacing w:line="440" w:lineRule="exact"/>
        <w:jc w:val="left"/>
        <w:rPr>
          <w:szCs w:val="21"/>
        </w:rPr>
      </w:pPr>
      <w:r>
        <w:rPr>
          <w:rFonts w:hint="eastAsia"/>
          <w:szCs w:val="21"/>
        </w:rPr>
        <w:t>（2）磋商函附录；（必须提供）</w:t>
      </w:r>
    </w:p>
    <w:p>
      <w:pPr>
        <w:pStyle w:val="25"/>
        <w:tabs>
          <w:tab w:val="left" w:pos="960"/>
        </w:tabs>
        <w:spacing w:line="440" w:lineRule="exact"/>
        <w:ind w:right="96"/>
        <w:jc w:val="left"/>
        <w:rPr>
          <w:szCs w:val="21"/>
        </w:rPr>
      </w:pPr>
      <w:r>
        <w:rPr>
          <w:rFonts w:hint="eastAsia"/>
          <w:szCs w:val="21"/>
        </w:rPr>
        <w:t>（3）竞争性磋商供应商基本情况表；</w:t>
      </w:r>
    </w:p>
    <w:p>
      <w:pPr>
        <w:pStyle w:val="25"/>
        <w:tabs>
          <w:tab w:val="left" w:pos="960"/>
        </w:tabs>
        <w:spacing w:line="440" w:lineRule="exact"/>
        <w:ind w:right="691"/>
        <w:jc w:val="left"/>
        <w:rPr>
          <w:szCs w:val="21"/>
        </w:rPr>
      </w:pPr>
      <w:r>
        <w:rPr>
          <w:rFonts w:hint="eastAsia"/>
          <w:szCs w:val="21"/>
        </w:rPr>
        <w:t>（4）法定代表人/负责人身份证明及身份证复印件；（必须提供）</w:t>
      </w:r>
    </w:p>
    <w:p>
      <w:pPr>
        <w:pStyle w:val="25"/>
        <w:tabs>
          <w:tab w:val="left" w:pos="960"/>
        </w:tabs>
        <w:spacing w:line="440" w:lineRule="exact"/>
        <w:ind w:right="96"/>
        <w:jc w:val="left"/>
        <w:rPr>
          <w:szCs w:val="21"/>
        </w:rPr>
      </w:pPr>
      <w:r>
        <w:rPr>
          <w:rFonts w:hint="eastAsia"/>
          <w:szCs w:val="21"/>
        </w:rPr>
        <w:t>（5）法定代表人/负责人授权委托书和被授权人的身份证复印件；（如授权委托时，则必须提供）</w:t>
      </w:r>
    </w:p>
    <w:p>
      <w:pPr>
        <w:pStyle w:val="25"/>
        <w:tabs>
          <w:tab w:val="left" w:pos="960"/>
        </w:tabs>
        <w:spacing w:line="440" w:lineRule="exact"/>
        <w:ind w:right="96"/>
        <w:jc w:val="left"/>
        <w:rPr>
          <w:szCs w:val="21"/>
        </w:rPr>
      </w:pPr>
      <w:r>
        <w:rPr>
          <w:rFonts w:hint="eastAsia"/>
          <w:szCs w:val="21"/>
        </w:rPr>
        <w:t>（6）</w:t>
      </w:r>
      <w:r>
        <w:rPr>
          <w:rFonts w:hint="eastAsia" w:ascii="宋体" w:hAnsi="宋体"/>
          <w:szCs w:val="21"/>
        </w:rPr>
        <w:t>技术规格偏离表；</w:t>
      </w:r>
    </w:p>
    <w:p>
      <w:pPr>
        <w:pStyle w:val="25"/>
        <w:tabs>
          <w:tab w:val="left" w:pos="960"/>
        </w:tabs>
        <w:spacing w:line="440" w:lineRule="exact"/>
        <w:ind w:right="96"/>
        <w:jc w:val="left"/>
        <w:rPr>
          <w:rFonts w:ascii="宋体" w:hAnsi="宋体"/>
          <w:szCs w:val="21"/>
        </w:rPr>
      </w:pPr>
      <w:r>
        <w:rPr>
          <w:rFonts w:hint="eastAsia" w:ascii="宋体" w:hAnsi="宋体"/>
          <w:szCs w:val="21"/>
        </w:rPr>
        <w:t>（7）商务响应表；</w:t>
      </w:r>
    </w:p>
    <w:p>
      <w:pPr>
        <w:spacing w:line="400" w:lineRule="exact"/>
        <w:ind w:firstLine="420" w:firstLineChars="200"/>
        <w:jc w:val="left"/>
        <w:rPr>
          <w:szCs w:val="21"/>
        </w:rPr>
      </w:pPr>
      <w:r>
        <w:rPr>
          <w:rFonts w:hint="eastAsia"/>
          <w:szCs w:val="21"/>
        </w:rPr>
        <w:t>（8）磋商保证金递交证明材料；（必须提供）</w:t>
      </w:r>
    </w:p>
    <w:p>
      <w:pPr>
        <w:spacing w:line="400" w:lineRule="exact"/>
        <w:ind w:firstLine="420" w:firstLineChars="200"/>
        <w:jc w:val="left"/>
        <w:rPr>
          <w:szCs w:val="21"/>
        </w:rPr>
      </w:pPr>
      <w:r>
        <w:rPr>
          <w:rFonts w:hint="eastAsia" w:ascii="宋体" w:hAnsi="宋体"/>
          <w:szCs w:val="21"/>
        </w:rPr>
        <w:t>（9）</w:t>
      </w:r>
      <w:r>
        <w:rPr>
          <w:rFonts w:ascii="宋体" w:hAnsi="宋体"/>
          <w:szCs w:val="21"/>
        </w:rPr>
        <w:t>竞争性磋商供应商类似业绩证明材料</w:t>
      </w:r>
      <w:r>
        <w:rPr>
          <w:rFonts w:hint="eastAsia" w:ascii="宋体" w:hAnsi="宋体"/>
          <w:szCs w:val="21"/>
        </w:rPr>
        <w:t>；</w:t>
      </w:r>
    </w:p>
    <w:p>
      <w:pPr>
        <w:spacing w:line="400" w:lineRule="exact"/>
        <w:ind w:firstLine="420" w:firstLineChars="200"/>
        <w:jc w:val="left"/>
        <w:rPr>
          <w:szCs w:val="21"/>
        </w:rPr>
      </w:pPr>
      <w:r>
        <w:rPr>
          <w:rFonts w:hint="eastAsia" w:ascii="宋体" w:hAnsi="宋体"/>
          <w:szCs w:val="21"/>
        </w:rPr>
        <w:t>（10）竞争性磋商供应商认为可以证明其能力的其他材料；</w:t>
      </w:r>
    </w:p>
    <w:p>
      <w:pPr>
        <w:pStyle w:val="25"/>
        <w:tabs>
          <w:tab w:val="left" w:pos="1059"/>
          <w:tab w:val="left" w:pos="8400"/>
        </w:tabs>
        <w:spacing w:line="440" w:lineRule="exact"/>
        <w:ind w:right="96"/>
        <w:jc w:val="left"/>
        <w:rPr>
          <w:szCs w:val="21"/>
        </w:rPr>
      </w:pPr>
      <w:r>
        <w:rPr>
          <w:rFonts w:hint="eastAsia"/>
          <w:szCs w:val="21"/>
        </w:rPr>
        <w:t>（11）对本项目的理解、实施方案及售后服务承诺方案；</w:t>
      </w:r>
    </w:p>
    <w:p>
      <w:pPr>
        <w:autoSpaceDE w:val="0"/>
        <w:autoSpaceDN w:val="0"/>
        <w:spacing w:before="130" w:line="357" w:lineRule="auto"/>
        <w:ind w:left="428"/>
        <w:jc w:val="left"/>
        <w:rPr>
          <w:szCs w:val="21"/>
        </w:rPr>
      </w:pPr>
      <w:r>
        <w:rPr>
          <w:rFonts w:hint="eastAsia"/>
          <w:szCs w:val="21"/>
        </w:rPr>
        <w:t>（12）磋商供应商认为有必要提供的其他资料（如有）。</w:t>
      </w:r>
    </w:p>
    <w:p>
      <w:pPr>
        <w:autoSpaceDE w:val="0"/>
        <w:autoSpaceDN w:val="0"/>
        <w:spacing w:before="130" w:line="357" w:lineRule="auto"/>
        <w:ind w:left="428"/>
        <w:jc w:val="left"/>
        <w:rPr>
          <w:rFonts w:ascii="宋体" w:hAnsi="宋体" w:cs="宋体"/>
          <w:szCs w:val="22"/>
          <w:lang w:val="zh-CN" w:bidi="zh-CN"/>
        </w:rPr>
      </w:pPr>
      <w:r>
        <w:rPr>
          <w:rFonts w:ascii="宋体" w:hAnsi="宋体" w:cs="宋体"/>
          <w:szCs w:val="22"/>
          <w:lang w:val="zh-CN" w:bidi="zh-CN"/>
        </w:rPr>
        <w:t>注：以上材料注明“必须提供”的，则</w:t>
      </w:r>
      <w:r>
        <w:rPr>
          <w:rFonts w:hint="eastAsia" w:ascii="宋体" w:hAnsi="宋体" w:cs="宋体"/>
          <w:szCs w:val="22"/>
          <w:lang w:val="zh-CN" w:bidi="zh-CN"/>
        </w:rPr>
        <w:t>竞争性磋商响应文件</w:t>
      </w:r>
      <w:r>
        <w:rPr>
          <w:rFonts w:ascii="宋体" w:hAnsi="宋体" w:cs="宋体"/>
          <w:szCs w:val="22"/>
          <w:lang w:val="zh-CN" w:bidi="zh-CN"/>
        </w:rPr>
        <w:t>必须提供，否则做无效竞标处理；提供的所有证明文件应真实有效，并加盖单位公章，否则该证明文件无效, 所引起的后果由</w:t>
      </w:r>
      <w:r>
        <w:rPr>
          <w:rFonts w:hint="eastAsia" w:ascii="宋体" w:hAnsi="宋体" w:cs="宋体"/>
          <w:szCs w:val="22"/>
          <w:lang w:val="zh-CN" w:bidi="zh-CN"/>
        </w:rPr>
        <w:t>磋商供应商</w:t>
      </w:r>
      <w:r>
        <w:rPr>
          <w:rFonts w:ascii="宋体" w:hAnsi="宋体" w:cs="宋体"/>
          <w:szCs w:val="22"/>
          <w:lang w:val="zh-CN" w:bidi="zh-CN"/>
        </w:rPr>
        <w:t>承担。</w:t>
      </w:r>
    </w:p>
    <w:p>
      <w:pPr>
        <w:pStyle w:val="9"/>
        <w:spacing w:line="400" w:lineRule="exact"/>
        <w:jc w:val="center"/>
        <w:outlineLvl w:val="2"/>
        <w:rPr>
          <w:rFonts w:hAnsi="宋体"/>
          <w:b/>
          <w:szCs w:val="21"/>
        </w:rPr>
      </w:pPr>
      <w:r>
        <w:rPr>
          <w:rFonts w:hint="eastAsia" w:hAnsi="宋体"/>
          <w:b/>
          <w:szCs w:val="21"/>
        </w:rPr>
        <w:t>六．</w:t>
      </w:r>
      <w:bookmarkEnd w:id="59"/>
      <w:bookmarkEnd w:id="60"/>
      <w:r>
        <w:rPr>
          <w:rFonts w:hint="eastAsia" w:hAnsi="宋体"/>
          <w:b/>
          <w:szCs w:val="21"/>
        </w:rPr>
        <w:t>磋商保证金</w:t>
      </w:r>
    </w:p>
    <w:p>
      <w:pPr>
        <w:pStyle w:val="9"/>
        <w:spacing w:line="400" w:lineRule="exact"/>
        <w:outlineLvl w:val="2"/>
        <w:rPr>
          <w:rFonts w:hAnsi="宋体"/>
          <w:b/>
          <w:szCs w:val="21"/>
        </w:rPr>
      </w:pPr>
      <w:r>
        <w:rPr>
          <w:rFonts w:hint="eastAsia" w:hAnsi="宋体"/>
          <w:b/>
          <w:szCs w:val="21"/>
        </w:rPr>
        <w:t>14.</w:t>
      </w:r>
      <w:r>
        <w:rPr>
          <w:rFonts w:hint="eastAsia" w:hAnsi="宋体"/>
          <w:szCs w:val="21"/>
        </w:rPr>
        <w:t xml:space="preserve"> </w:t>
      </w:r>
      <w:r>
        <w:rPr>
          <w:rFonts w:hint="eastAsia" w:hAnsi="宋体"/>
          <w:b/>
          <w:szCs w:val="21"/>
        </w:rPr>
        <w:t>磋商保证金</w:t>
      </w:r>
    </w:p>
    <w:p>
      <w:pPr>
        <w:spacing w:line="400" w:lineRule="exact"/>
        <w:rPr>
          <w:rFonts w:ascii="宋体" w:hAnsi="宋体"/>
          <w:szCs w:val="21"/>
        </w:rPr>
      </w:pPr>
      <w:bookmarkStart w:id="61" w:name="_Toc305850719"/>
      <w:r>
        <w:rPr>
          <w:rFonts w:hint="eastAsia" w:ascii="宋体" w:hAnsi="宋体"/>
          <w:szCs w:val="21"/>
        </w:rPr>
        <w:t>14.1竞争性磋商供应商在递交响应文件的同时，应按竞争性磋商供应商须知前附表规定的金额形式递交磋商保证金，并作为其响应文件的组成部分。</w:t>
      </w:r>
    </w:p>
    <w:p>
      <w:pPr>
        <w:spacing w:line="400" w:lineRule="exact"/>
        <w:rPr>
          <w:rFonts w:ascii="宋体" w:hAnsi="宋体"/>
          <w:szCs w:val="21"/>
        </w:rPr>
      </w:pPr>
      <w:r>
        <w:rPr>
          <w:rFonts w:hint="eastAsia" w:ascii="宋体" w:hAnsi="宋体"/>
          <w:szCs w:val="21"/>
        </w:rPr>
        <w:t>14.2竞争性磋商供应商不按要求提交磋商保证金的，</w:t>
      </w:r>
      <w:r>
        <w:rPr>
          <w:rFonts w:hint="eastAsia" w:ascii="宋体" w:hAnsi="宋体"/>
          <w:b/>
          <w:bCs/>
          <w:szCs w:val="21"/>
        </w:rPr>
        <w:t>其响应文件作废标处理。</w:t>
      </w:r>
    </w:p>
    <w:p>
      <w:pPr>
        <w:spacing w:line="400" w:lineRule="exact"/>
        <w:rPr>
          <w:rFonts w:ascii="宋体" w:hAnsi="宋体"/>
          <w:szCs w:val="21"/>
        </w:rPr>
      </w:pPr>
      <w:r>
        <w:rPr>
          <w:rFonts w:hint="eastAsia" w:ascii="宋体" w:hAnsi="宋体"/>
          <w:szCs w:val="21"/>
        </w:rPr>
        <w:t>14.3未成交的磋商供应商的磋商保证金将在中标通知书发出后5个工作天内退还，成交供应商的磋商保证金在合同签署并生效之日起5个工作日内退还。</w:t>
      </w:r>
    </w:p>
    <w:p>
      <w:pPr>
        <w:spacing w:line="400" w:lineRule="exact"/>
        <w:rPr>
          <w:rFonts w:ascii="宋体" w:hAnsi="宋体"/>
          <w:szCs w:val="21"/>
        </w:rPr>
      </w:pPr>
      <w:r>
        <w:rPr>
          <w:rFonts w:hint="eastAsia" w:ascii="宋体" w:hAnsi="宋体"/>
          <w:szCs w:val="21"/>
        </w:rPr>
        <w:t>14.4有下列情形之一的，磋商保证金将不予退还：</w:t>
      </w:r>
    </w:p>
    <w:p>
      <w:pPr>
        <w:spacing w:line="400" w:lineRule="exact"/>
        <w:rPr>
          <w:rFonts w:ascii="宋体" w:hAnsi="宋体"/>
          <w:szCs w:val="21"/>
        </w:rPr>
      </w:pPr>
      <w:r>
        <w:rPr>
          <w:rFonts w:hint="eastAsia" w:ascii="宋体" w:hAnsi="宋体"/>
          <w:szCs w:val="21"/>
        </w:rPr>
        <w:t>（1）竞争性磋商供应商在规定的磋商有效期内撤销或修改其响应文件；</w:t>
      </w:r>
    </w:p>
    <w:p>
      <w:pPr>
        <w:spacing w:line="400" w:lineRule="exact"/>
        <w:rPr>
          <w:rFonts w:ascii="宋体" w:hAnsi="宋体"/>
          <w:szCs w:val="21"/>
        </w:rPr>
      </w:pPr>
      <w:r>
        <w:rPr>
          <w:rFonts w:hint="eastAsia" w:ascii="宋体" w:hAnsi="宋体"/>
          <w:szCs w:val="21"/>
        </w:rPr>
        <w:t>（2）成交供应商在收到成交通知书后，无正当理由拒签合同协议书或未按竞争性磋商文件规定提交履约担保。</w:t>
      </w:r>
    </w:p>
    <w:p>
      <w:pPr>
        <w:spacing w:line="400" w:lineRule="exact"/>
        <w:rPr>
          <w:rFonts w:ascii="宋体" w:hAnsi="宋体"/>
          <w:szCs w:val="21"/>
        </w:rPr>
      </w:pPr>
    </w:p>
    <w:bookmarkEnd w:id="61"/>
    <w:p>
      <w:pPr>
        <w:pStyle w:val="9"/>
        <w:spacing w:line="400" w:lineRule="exact"/>
        <w:jc w:val="center"/>
        <w:outlineLvl w:val="2"/>
        <w:rPr>
          <w:rFonts w:hAnsi="宋体"/>
          <w:b/>
          <w:szCs w:val="21"/>
        </w:rPr>
      </w:pPr>
      <w:bookmarkStart w:id="62" w:name="_Toc365384223"/>
      <w:bookmarkStart w:id="63" w:name="_Toc27238_WPSOffice_Level2"/>
      <w:r>
        <w:rPr>
          <w:rFonts w:hint="eastAsia" w:hAnsi="宋体"/>
          <w:b/>
          <w:szCs w:val="21"/>
        </w:rPr>
        <w:t>七．响应文件的密封、修改和撤回</w:t>
      </w:r>
      <w:bookmarkEnd w:id="62"/>
      <w:bookmarkEnd w:id="63"/>
    </w:p>
    <w:p>
      <w:pPr>
        <w:pStyle w:val="9"/>
        <w:spacing w:line="400" w:lineRule="exact"/>
        <w:outlineLvl w:val="2"/>
        <w:rPr>
          <w:rFonts w:hAnsi="宋体"/>
          <w:b/>
          <w:szCs w:val="21"/>
        </w:rPr>
      </w:pPr>
      <w:r>
        <w:rPr>
          <w:rFonts w:hint="eastAsia" w:hAnsi="宋体"/>
          <w:b/>
          <w:szCs w:val="21"/>
        </w:rPr>
        <w:t>15.</w:t>
      </w:r>
      <w:r>
        <w:rPr>
          <w:rFonts w:hint="eastAsia" w:hAnsi="宋体"/>
          <w:szCs w:val="21"/>
        </w:rPr>
        <w:t xml:space="preserve"> </w:t>
      </w:r>
      <w:r>
        <w:rPr>
          <w:rFonts w:hint="eastAsia" w:hAnsi="宋体"/>
          <w:b/>
          <w:szCs w:val="21"/>
        </w:rPr>
        <w:t>响应文件的密封与标记</w:t>
      </w:r>
    </w:p>
    <w:p>
      <w:pPr>
        <w:pStyle w:val="9"/>
        <w:spacing w:line="400" w:lineRule="exact"/>
        <w:rPr>
          <w:rFonts w:hAnsi="宋体"/>
          <w:szCs w:val="21"/>
        </w:rPr>
      </w:pPr>
      <w:r>
        <w:rPr>
          <w:rFonts w:hint="eastAsia" w:hAnsi="宋体"/>
          <w:szCs w:val="21"/>
        </w:rPr>
        <w:t>15.1竞争性磋商供应商应将响应文件按正、副本分别装订成册，在每个文本封面上标明“正本”或“副本”，以及项目名称、项目编号、竞争性磋商供应商名称等内容。</w:t>
      </w:r>
    </w:p>
    <w:p>
      <w:pPr>
        <w:pStyle w:val="9"/>
        <w:spacing w:line="400" w:lineRule="exact"/>
        <w:rPr>
          <w:rFonts w:hAnsi="宋体"/>
          <w:szCs w:val="21"/>
        </w:rPr>
      </w:pPr>
      <w:r>
        <w:rPr>
          <w:rFonts w:hint="eastAsia" w:hAnsi="宋体"/>
          <w:szCs w:val="21"/>
        </w:rPr>
        <w:t>15.2竞争性磋商供应商应将响应文件正、副本一并装入一个响应文件袋中加以密封，并在封口处加盖竞争性磋商供应商单位公章或授权委托人签字。</w:t>
      </w:r>
    </w:p>
    <w:p>
      <w:pPr>
        <w:pStyle w:val="9"/>
        <w:spacing w:line="400" w:lineRule="exact"/>
        <w:rPr>
          <w:rFonts w:hAnsi="宋体"/>
          <w:szCs w:val="21"/>
        </w:rPr>
      </w:pPr>
      <w:r>
        <w:rPr>
          <w:rFonts w:hint="eastAsia" w:hAnsi="宋体"/>
          <w:szCs w:val="21"/>
        </w:rPr>
        <w:t>15.3响应文件封套上写明的内容见竞争性磋商供应商须知前附表。</w:t>
      </w:r>
    </w:p>
    <w:p>
      <w:pPr>
        <w:pStyle w:val="9"/>
        <w:spacing w:line="400" w:lineRule="exact"/>
        <w:rPr>
          <w:rFonts w:hAnsi="宋体"/>
          <w:b/>
          <w:szCs w:val="21"/>
        </w:rPr>
      </w:pPr>
      <w:r>
        <w:rPr>
          <w:rFonts w:hint="eastAsia" w:hAnsi="宋体"/>
          <w:szCs w:val="21"/>
        </w:rPr>
        <w:t>15.4响应文件的密封以响应文件袋无明显缝隙露出袋内文件且封口处有加盖竞争性磋商供应商公章或授权委托人签字为合格。</w:t>
      </w:r>
    </w:p>
    <w:p>
      <w:pPr>
        <w:pStyle w:val="9"/>
        <w:spacing w:line="400" w:lineRule="exact"/>
        <w:rPr>
          <w:rFonts w:hAnsi="宋体"/>
          <w:szCs w:val="21"/>
        </w:rPr>
      </w:pPr>
      <w:r>
        <w:rPr>
          <w:rFonts w:hint="eastAsia" w:hAnsi="宋体"/>
          <w:szCs w:val="21"/>
        </w:rPr>
        <w:t>15.5竞争性磋商供应商在递交响应文件时未按本须知要求密封、标记的，经监督小组确认后，当场拒收其响应文件并退还。</w:t>
      </w:r>
    </w:p>
    <w:p>
      <w:pPr>
        <w:pStyle w:val="9"/>
        <w:spacing w:line="400" w:lineRule="exact"/>
        <w:outlineLvl w:val="2"/>
        <w:rPr>
          <w:rFonts w:hAnsi="宋体"/>
          <w:b/>
          <w:szCs w:val="21"/>
        </w:rPr>
      </w:pPr>
      <w:r>
        <w:rPr>
          <w:rFonts w:hint="eastAsia" w:hAnsi="宋体"/>
          <w:b/>
          <w:szCs w:val="21"/>
        </w:rPr>
        <w:t>16.响应文件的修改及撤回</w:t>
      </w:r>
    </w:p>
    <w:p>
      <w:pPr>
        <w:pStyle w:val="9"/>
        <w:spacing w:line="400" w:lineRule="exact"/>
        <w:rPr>
          <w:rFonts w:hAnsi="宋体"/>
          <w:szCs w:val="21"/>
        </w:rPr>
      </w:pPr>
      <w:r>
        <w:rPr>
          <w:rFonts w:hint="eastAsia" w:hAnsi="宋体"/>
          <w:szCs w:val="21"/>
        </w:rPr>
        <w:t>16.1竞争性磋商供应商在磋商截止时间前，对所递交的响应文件可以进行补充、修改或撤回。竞争性磋商供应商对所递交的补充、修改或撤回需向采购代理机构出具书面通知。补充、修改或撤回的内容为响应文件的组成部分。</w:t>
      </w:r>
    </w:p>
    <w:p>
      <w:pPr>
        <w:pStyle w:val="9"/>
        <w:spacing w:line="400" w:lineRule="exact"/>
        <w:rPr>
          <w:rFonts w:hAnsi="宋体"/>
          <w:szCs w:val="21"/>
        </w:rPr>
      </w:pPr>
      <w:r>
        <w:rPr>
          <w:rFonts w:hint="eastAsia" w:hAnsi="宋体"/>
          <w:szCs w:val="21"/>
        </w:rPr>
        <w:t>16.2响应文件的修改通知应按本须知第15条的规定密封、标记和递交，并在封面上标明“修改”字样。</w:t>
      </w:r>
    </w:p>
    <w:p>
      <w:pPr>
        <w:pStyle w:val="9"/>
        <w:spacing w:line="400" w:lineRule="exact"/>
        <w:rPr>
          <w:rFonts w:hAnsi="宋体"/>
          <w:szCs w:val="21"/>
        </w:rPr>
      </w:pPr>
      <w:r>
        <w:rPr>
          <w:rFonts w:hint="eastAsia" w:hAnsi="宋体"/>
          <w:szCs w:val="21"/>
        </w:rPr>
        <w:t>16.3在磋商截止时间后，竞争性磋商供应商不得对其磋商做任何修改。</w:t>
      </w:r>
    </w:p>
    <w:p>
      <w:pPr>
        <w:pStyle w:val="9"/>
        <w:spacing w:line="400" w:lineRule="exact"/>
        <w:rPr>
          <w:rFonts w:hAnsi="宋体"/>
          <w:szCs w:val="21"/>
        </w:rPr>
      </w:pPr>
      <w:r>
        <w:rPr>
          <w:rFonts w:hint="eastAsia" w:hAnsi="宋体"/>
          <w:szCs w:val="21"/>
        </w:rPr>
        <w:t>16.4在磋商截止时间后的磋商有效期内，竞争性磋商供应商不得撤回其磋商，否则其所撤回分标的磋商保证金将不予以退还。</w:t>
      </w:r>
    </w:p>
    <w:p>
      <w:pPr>
        <w:pStyle w:val="9"/>
        <w:spacing w:line="400" w:lineRule="exact"/>
        <w:rPr>
          <w:rFonts w:hAnsi="宋体"/>
          <w:szCs w:val="21"/>
        </w:rPr>
      </w:pPr>
    </w:p>
    <w:p>
      <w:pPr>
        <w:pStyle w:val="9"/>
        <w:spacing w:line="400" w:lineRule="exact"/>
        <w:jc w:val="center"/>
        <w:outlineLvl w:val="2"/>
        <w:rPr>
          <w:rFonts w:hAnsi="宋体"/>
          <w:b/>
          <w:szCs w:val="21"/>
        </w:rPr>
      </w:pPr>
      <w:bookmarkStart w:id="64" w:name="_Toc365384224"/>
      <w:bookmarkStart w:id="65" w:name="_Toc31151_WPSOffice_Level2"/>
      <w:r>
        <w:rPr>
          <w:rFonts w:hint="eastAsia" w:hAnsi="宋体"/>
          <w:b/>
          <w:szCs w:val="21"/>
        </w:rPr>
        <w:t>八．响应文件的提交、截止时间、磋商有效期</w:t>
      </w:r>
      <w:bookmarkEnd w:id="64"/>
      <w:bookmarkEnd w:id="65"/>
    </w:p>
    <w:p>
      <w:pPr>
        <w:pStyle w:val="9"/>
        <w:spacing w:line="400" w:lineRule="exact"/>
        <w:outlineLvl w:val="2"/>
        <w:rPr>
          <w:rFonts w:hAnsi="宋体"/>
          <w:b/>
          <w:szCs w:val="21"/>
        </w:rPr>
      </w:pPr>
      <w:r>
        <w:rPr>
          <w:rFonts w:hint="eastAsia" w:hAnsi="宋体"/>
          <w:b/>
          <w:szCs w:val="21"/>
        </w:rPr>
        <w:t>17.磋商截止时间</w:t>
      </w:r>
    </w:p>
    <w:p>
      <w:pPr>
        <w:pStyle w:val="9"/>
        <w:spacing w:line="400" w:lineRule="exact"/>
        <w:rPr>
          <w:rFonts w:hAnsi="宋体"/>
          <w:szCs w:val="21"/>
          <w:u w:val="single"/>
        </w:rPr>
      </w:pPr>
      <w:r>
        <w:rPr>
          <w:rFonts w:hint="eastAsia" w:hAnsi="宋体"/>
          <w:szCs w:val="21"/>
        </w:rPr>
        <w:t>17.1响应文件的递交不得迟于本须知前附表规定的截止时间。</w:t>
      </w:r>
    </w:p>
    <w:p>
      <w:pPr>
        <w:pStyle w:val="9"/>
        <w:spacing w:line="400" w:lineRule="exact"/>
        <w:rPr>
          <w:rFonts w:hAnsi="宋体"/>
          <w:b/>
          <w:szCs w:val="21"/>
        </w:rPr>
      </w:pPr>
      <w:r>
        <w:rPr>
          <w:rFonts w:hint="eastAsia" w:hAnsi="宋体"/>
          <w:szCs w:val="21"/>
        </w:rPr>
        <w:t>17.2竞争性磋商供应商必须在规定时间内将响应文件送到本须知前附表规定地点，</w:t>
      </w:r>
      <w:r>
        <w:rPr>
          <w:rFonts w:hint="eastAsia" w:hAnsi="宋体"/>
          <w:b/>
          <w:szCs w:val="21"/>
        </w:rPr>
        <w:t>超过磋商截止时间送达的响应文件为无效响应文件，采购代理机构将拒收。</w:t>
      </w:r>
    </w:p>
    <w:p>
      <w:pPr>
        <w:pStyle w:val="9"/>
        <w:spacing w:line="400" w:lineRule="exact"/>
        <w:outlineLvl w:val="2"/>
        <w:rPr>
          <w:rFonts w:hAnsi="宋体"/>
          <w:b/>
          <w:szCs w:val="21"/>
        </w:rPr>
      </w:pPr>
      <w:r>
        <w:rPr>
          <w:rFonts w:hint="eastAsia" w:hAnsi="宋体"/>
          <w:b/>
          <w:szCs w:val="21"/>
        </w:rPr>
        <w:t>18.</w:t>
      </w:r>
      <w:r>
        <w:rPr>
          <w:rFonts w:hint="eastAsia" w:hAnsi="宋体"/>
          <w:szCs w:val="21"/>
        </w:rPr>
        <w:t xml:space="preserve"> </w:t>
      </w:r>
      <w:r>
        <w:rPr>
          <w:rFonts w:hint="eastAsia" w:hAnsi="宋体"/>
          <w:b/>
          <w:szCs w:val="21"/>
        </w:rPr>
        <w:t>磋商的有效期</w:t>
      </w:r>
    </w:p>
    <w:p>
      <w:pPr>
        <w:pStyle w:val="9"/>
        <w:spacing w:line="400" w:lineRule="exact"/>
        <w:rPr>
          <w:rFonts w:hAnsi="宋体"/>
          <w:szCs w:val="21"/>
        </w:rPr>
      </w:pPr>
      <w:r>
        <w:rPr>
          <w:rFonts w:hint="eastAsia" w:hAnsi="宋体"/>
          <w:szCs w:val="21"/>
        </w:rPr>
        <w:t>18.1响应文件从磋商截止日期后60天内有效。</w:t>
      </w:r>
    </w:p>
    <w:p>
      <w:pPr>
        <w:pStyle w:val="9"/>
        <w:spacing w:line="400" w:lineRule="exact"/>
        <w:rPr>
          <w:rFonts w:hAnsi="宋体"/>
          <w:szCs w:val="21"/>
        </w:rPr>
      </w:pPr>
      <w:r>
        <w:rPr>
          <w:rFonts w:hint="eastAsia" w:hAnsi="宋体"/>
          <w:szCs w:val="21"/>
        </w:rPr>
        <w:t>18.2在特殊情况下，采购代理机构可与竞争性磋商供应商协商延长响应文件的有效期。</w:t>
      </w:r>
    </w:p>
    <w:p>
      <w:pPr>
        <w:pStyle w:val="9"/>
        <w:spacing w:line="400" w:lineRule="exact"/>
        <w:rPr>
          <w:rFonts w:hAnsi="宋体"/>
          <w:szCs w:val="21"/>
        </w:rPr>
      </w:pPr>
    </w:p>
    <w:p>
      <w:pPr>
        <w:pStyle w:val="9"/>
        <w:spacing w:line="400" w:lineRule="exact"/>
        <w:jc w:val="center"/>
        <w:outlineLvl w:val="2"/>
        <w:rPr>
          <w:rFonts w:hAnsi="宋体"/>
          <w:b/>
          <w:szCs w:val="21"/>
        </w:rPr>
      </w:pPr>
      <w:bookmarkStart w:id="66" w:name="_Toc365384225"/>
      <w:bookmarkStart w:id="67" w:name="_Toc25235_WPSOffice_Level2"/>
      <w:r>
        <w:rPr>
          <w:rFonts w:hint="eastAsia" w:hAnsi="宋体"/>
          <w:b/>
          <w:szCs w:val="21"/>
        </w:rPr>
        <w:t>九．竞争性磋商（简称磋商）与评标</w:t>
      </w:r>
      <w:bookmarkEnd w:id="66"/>
      <w:bookmarkEnd w:id="67"/>
    </w:p>
    <w:p>
      <w:pPr>
        <w:pStyle w:val="9"/>
        <w:spacing w:line="400" w:lineRule="exact"/>
        <w:rPr>
          <w:rFonts w:hAnsi="宋体"/>
          <w:b/>
          <w:szCs w:val="21"/>
        </w:rPr>
      </w:pPr>
    </w:p>
    <w:p>
      <w:pPr>
        <w:pStyle w:val="9"/>
        <w:spacing w:line="400" w:lineRule="exact"/>
        <w:outlineLvl w:val="2"/>
        <w:rPr>
          <w:rFonts w:hAnsi="宋体"/>
          <w:b/>
          <w:szCs w:val="21"/>
        </w:rPr>
      </w:pPr>
      <w:r>
        <w:rPr>
          <w:rFonts w:hint="eastAsia" w:hAnsi="宋体"/>
          <w:b/>
          <w:szCs w:val="21"/>
        </w:rPr>
        <w:t>19.磋商</w:t>
      </w:r>
    </w:p>
    <w:p>
      <w:pPr>
        <w:pStyle w:val="9"/>
        <w:spacing w:line="400" w:lineRule="exact"/>
        <w:ind w:firstLine="420" w:firstLineChars="200"/>
        <w:rPr>
          <w:rFonts w:hAnsi="宋体"/>
          <w:szCs w:val="21"/>
        </w:rPr>
      </w:pPr>
      <w:r>
        <w:rPr>
          <w:rFonts w:hint="eastAsia" w:hAnsi="宋体"/>
        </w:rPr>
        <w:t>19.1采购代理机构根据竞标项目的特点组建磋商小组（评标委员会），磋商小组（评标委员会）成员将由</w:t>
      </w:r>
      <w:r>
        <w:rPr>
          <w:rFonts w:hint="eastAsia" w:hAnsi="宋体"/>
          <w:szCs w:val="21"/>
        </w:rPr>
        <w:t>评标专家库</w:t>
      </w:r>
      <w:r>
        <w:rPr>
          <w:rFonts w:hint="eastAsia" w:hAnsi="宋体"/>
        </w:rPr>
        <w:t>的专家、采购人代表共3人以上单数组成，磋商小组（评标委员会）构成：3人，其中采购人代表1人，专家2人。在整个磋商过程中，磋商小组（评标委员会）将负责对全部《响应文件》进行审查、磋商及评定工作。本项目</w:t>
      </w:r>
      <w:r>
        <w:rPr>
          <w:rFonts w:hint="eastAsia" w:hAnsi="宋体"/>
          <w:szCs w:val="21"/>
        </w:rPr>
        <w:t>授权</w:t>
      </w:r>
      <w:r>
        <w:rPr>
          <w:rFonts w:hAnsi="宋体"/>
          <w:szCs w:val="21"/>
        </w:rPr>
        <w:t>磋商小组（评标委员会）</w:t>
      </w:r>
      <w:r>
        <w:rPr>
          <w:rFonts w:hint="eastAsia" w:hAnsi="宋体"/>
          <w:szCs w:val="21"/>
        </w:rPr>
        <w:t>确定拟成交供应商。</w:t>
      </w:r>
    </w:p>
    <w:p>
      <w:pPr>
        <w:pStyle w:val="9"/>
        <w:spacing w:line="400" w:lineRule="exact"/>
        <w:ind w:firstLine="420" w:firstLineChars="200"/>
        <w:rPr>
          <w:rFonts w:hAnsi="宋体"/>
          <w:szCs w:val="21"/>
        </w:rPr>
      </w:pPr>
      <w:r>
        <w:rPr>
          <w:rFonts w:hint="eastAsia" w:hAnsi="宋体"/>
        </w:rPr>
        <w:t>19.2</w:t>
      </w:r>
      <w:r>
        <w:rPr>
          <w:rFonts w:hAnsi="宋体"/>
        </w:rPr>
        <w:t>在磋商</w:t>
      </w:r>
      <w:r>
        <w:rPr>
          <w:rFonts w:hint="eastAsia" w:hAnsi="宋体"/>
        </w:rPr>
        <w:t>开始前，磋商小组（评标委员会）</w:t>
      </w:r>
      <w:r>
        <w:rPr>
          <w:rFonts w:hAnsi="宋体"/>
        </w:rPr>
        <w:t>定好下列事项：磋商的具体程序，如磋商轮次及每个轮次的磋商重点；拟磋商的内容，包括技术规格、服务等，明确磋商小组（评标委员会）应当考虑的具体因素及相关要求等。</w:t>
      </w:r>
    </w:p>
    <w:p>
      <w:pPr>
        <w:pStyle w:val="9"/>
        <w:spacing w:line="400" w:lineRule="exact"/>
        <w:ind w:firstLine="420" w:firstLineChars="200"/>
        <w:rPr>
          <w:rFonts w:hAnsi="宋体"/>
          <w:spacing w:val="-4"/>
        </w:rPr>
      </w:pPr>
      <w:r>
        <w:rPr>
          <w:rFonts w:hint="eastAsia" w:hAnsi="宋体"/>
        </w:rPr>
        <w:t>19.3</w:t>
      </w:r>
      <w:r>
        <w:rPr>
          <w:rFonts w:hint="eastAsia" w:hAnsi="宋体"/>
          <w:spacing w:val="-4"/>
        </w:rPr>
        <w:t>磋商程序：</w:t>
      </w:r>
    </w:p>
    <w:p>
      <w:pPr>
        <w:pStyle w:val="9"/>
        <w:spacing w:line="400" w:lineRule="exact"/>
        <w:ind w:firstLine="420" w:firstLineChars="200"/>
        <w:rPr>
          <w:rFonts w:hAnsi="宋体"/>
          <w:spacing w:val="-4"/>
        </w:rPr>
      </w:pPr>
      <w:r>
        <w:rPr>
          <w:rFonts w:hint="eastAsia" w:hAnsi="宋体"/>
        </w:rPr>
        <w:t>19.3.1磋商程序见</w:t>
      </w:r>
      <w:r>
        <w:rPr>
          <w:rFonts w:hint="eastAsia" w:hAnsi="宋体"/>
          <w:szCs w:val="21"/>
        </w:rPr>
        <w:t>竞争性磋商供应商</w:t>
      </w:r>
      <w:r>
        <w:rPr>
          <w:rFonts w:hint="eastAsia" w:hAnsi="宋体"/>
        </w:rPr>
        <w:t>须知前附表。</w:t>
      </w:r>
    </w:p>
    <w:p>
      <w:pPr>
        <w:pStyle w:val="9"/>
        <w:spacing w:line="400" w:lineRule="exact"/>
        <w:ind w:firstLine="420" w:firstLineChars="200"/>
        <w:rPr>
          <w:rFonts w:hAnsi="宋体"/>
        </w:rPr>
      </w:pPr>
      <w:r>
        <w:rPr>
          <w:rFonts w:hint="eastAsia" w:hAnsi="宋体"/>
        </w:rPr>
        <w:t>19.3.2</w:t>
      </w:r>
      <w:r>
        <w:rPr>
          <w:rFonts w:hint="eastAsia" w:hAnsi="宋体"/>
          <w:szCs w:val="21"/>
        </w:rPr>
        <w:t>竞争性磋商供应商</w:t>
      </w:r>
      <w:r>
        <w:rPr>
          <w:rFonts w:hint="eastAsia" w:hAnsi="宋体"/>
        </w:rPr>
        <w:t>代表须按时参加竞争性磋商</w:t>
      </w:r>
      <w:r>
        <w:rPr>
          <w:rFonts w:hAnsi="宋体"/>
        </w:rPr>
        <w:t>。</w:t>
      </w:r>
    </w:p>
    <w:p>
      <w:pPr>
        <w:pStyle w:val="9"/>
        <w:spacing w:line="400" w:lineRule="exact"/>
        <w:ind w:firstLine="420" w:firstLineChars="200"/>
        <w:rPr>
          <w:rFonts w:hAnsi="宋体"/>
        </w:rPr>
      </w:pPr>
      <w:r>
        <w:rPr>
          <w:rFonts w:hint="eastAsia" w:hAnsi="宋体"/>
        </w:rPr>
        <w:t>19.3.3磋商小组（评标委员会）成员作为一个集体按抽签顺序与单个各</w:t>
      </w:r>
      <w:r>
        <w:rPr>
          <w:rFonts w:hint="eastAsia" w:hAnsi="宋体"/>
          <w:szCs w:val="21"/>
        </w:rPr>
        <w:t>竞争性磋商供应商</w:t>
      </w:r>
      <w:r>
        <w:rPr>
          <w:rFonts w:hint="eastAsia" w:hAnsi="宋体"/>
        </w:rPr>
        <w:t>分别进行磋商，磋商的内容为各竞争性磋商供应商就本项目《竞争性磋商文件》第三章“项目需求和说明”和第四章“合同书（格式）”内容提出的异议或合理性方案。磋商内容须作记录，待</w:t>
      </w:r>
      <w:r>
        <w:rPr>
          <w:rFonts w:hint="eastAsia" w:hAnsi="宋体"/>
          <w:szCs w:val="21"/>
        </w:rPr>
        <w:t>磋商小组（评标委员会）对</w:t>
      </w:r>
      <w:r>
        <w:rPr>
          <w:rFonts w:hint="eastAsia" w:hAnsi="宋体"/>
        </w:rPr>
        <w:t>《竞争性磋商文件》第三章“项目需求和说明”和第四章“合同书（格式）”内容</w:t>
      </w:r>
      <w:r>
        <w:rPr>
          <w:rFonts w:hint="eastAsia" w:hAnsi="宋体"/>
          <w:szCs w:val="21"/>
        </w:rPr>
        <w:t>审定形成统一执行标准后，交由采购代理机构公开宣读告知各竞争性磋商供应商，竞争性磋商供应商对公开宣读的告知内容予以签字确认</w:t>
      </w:r>
      <w:r>
        <w:rPr>
          <w:rFonts w:hint="eastAsia" w:hAnsi="宋体"/>
        </w:rPr>
        <w:t>。</w:t>
      </w:r>
    </w:p>
    <w:p>
      <w:pPr>
        <w:pStyle w:val="9"/>
        <w:spacing w:line="400" w:lineRule="exact"/>
        <w:ind w:firstLine="420" w:firstLineChars="200"/>
        <w:rPr>
          <w:rFonts w:hAnsi="宋体"/>
        </w:rPr>
      </w:pPr>
      <w:r>
        <w:rPr>
          <w:rFonts w:hint="eastAsia" w:hAnsi="宋体"/>
        </w:rPr>
        <w:t>19.3.4磋商结束后，磋商小组（评标委员会）不得再与</w:t>
      </w:r>
      <w:r>
        <w:rPr>
          <w:rFonts w:hint="eastAsia" w:hAnsi="宋体"/>
          <w:szCs w:val="21"/>
        </w:rPr>
        <w:t>竞争性磋商供应商</w:t>
      </w:r>
      <w:r>
        <w:rPr>
          <w:rFonts w:hint="eastAsia" w:hAnsi="宋体"/>
        </w:rPr>
        <w:t>进行任何形式的商谈。</w:t>
      </w:r>
    </w:p>
    <w:p>
      <w:pPr>
        <w:pStyle w:val="9"/>
        <w:spacing w:line="400" w:lineRule="exact"/>
        <w:ind w:firstLine="420" w:firstLineChars="200"/>
        <w:rPr>
          <w:rFonts w:hAnsi="宋体"/>
        </w:rPr>
      </w:pPr>
      <w:r>
        <w:rPr>
          <w:rFonts w:hint="eastAsia" w:hAnsi="宋体"/>
        </w:rPr>
        <w:t>19.3.5磋商的任何一方不得透露与磋商有关的其他</w:t>
      </w:r>
      <w:r>
        <w:rPr>
          <w:rFonts w:hint="eastAsia" w:hAnsi="宋体"/>
          <w:szCs w:val="21"/>
        </w:rPr>
        <w:t>竞争性磋商供应商</w:t>
      </w:r>
      <w:r>
        <w:rPr>
          <w:rFonts w:hint="eastAsia" w:hAnsi="宋体"/>
        </w:rPr>
        <w:t>的技术资料、价格和其他信息。</w:t>
      </w:r>
    </w:p>
    <w:p>
      <w:pPr>
        <w:pStyle w:val="9"/>
        <w:spacing w:line="400" w:lineRule="exact"/>
        <w:rPr>
          <w:rFonts w:hAnsi="宋体"/>
          <w:b/>
        </w:rPr>
      </w:pPr>
      <w:r>
        <w:rPr>
          <w:rFonts w:hint="eastAsia" w:hAnsi="宋体"/>
          <w:b/>
        </w:rPr>
        <w:t xml:space="preserve">20.评标 </w:t>
      </w:r>
    </w:p>
    <w:p>
      <w:pPr>
        <w:pStyle w:val="9"/>
        <w:spacing w:line="400" w:lineRule="exact"/>
        <w:rPr>
          <w:rFonts w:hAnsi="宋体"/>
        </w:rPr>
      </w:pPr>
      <w:r>
        <w:rPr>
          <w:rFonts w:hint="eastAsia" w:hAnsi="宋体"/>
        </w:rPr>
        <w:t>20.1本项目的评标依据为磋商文件和</w:t>
      </w:r>
      <w:r>
        <w:rPr>
          <w:rFonts w:hint="eastAsia" w:hAnsi="宋体"/>
          <w:szCs w:val="21"/>
        </w:rPr>
        <w:t>响应文件</w:t>
      </w:r>
      <w:r>
        <w:rPr>
          <w:rFonts w:hint="eastAsia" w:hAnsi="宋体"/>
        </w:rPr>
        <w:t>。</w:t>
      </w:r>
    </w:p>
    <w:p>
      <w:pPr>
        <w:spacing w:line="400" w:lineRule="exact"/>
        <w:rPr>
          <w:rFonts w:ascii="宋体" w:hAnsi="宋体"/>
          <w:szCs w:val="21"/>
        </w:rPr>
      </w:pPr>
      <w:r>
        <w:rPr>
          <w:rFonts w:hint="eastAsia" w:ascii="宋体" w:hAnsi="宋体"/>
        </w:rPr>
        <w:t>20.2</w:t>
      </w:r>
      <w:r>
        <w:rPr>
          <w:rFonts w:hint="eastAsia" w:ascii="宋体" w:hAnsi="宋体"/>
          <w:szCs w:val="21"/>
        </w:rPr>
        <w:t>综合评分法。在通过第六章“评标方法和评标标准”初步评审的前提下，按第六章“评标方法和评标标准”评审因素的量化指标评审，得分最高的供应商为成交候选供应商。全部满足采购需求、质量和服务等实质性要求（通过第六章“评标方法和评标标准”初步评审）的竞争性磋商供应商不足2家或参加磋商最终报价单位不足2家的，项目采购失败。</w:t>
      </w:r>
    </w:p>
    <w:p>
      <w:pPr>
        <w:pStyle w:val="8"/>
      </w:pPr>
    </w:p>
    <w:p>
      <w:pPr>
        <w:pStyle w:val="9"/>
        <w:spacing w:line="400" w:lineRule="exact"/>
        <w:rPr>
          <w:rFonts w:hAnsi="宋体"/>
        </w:rPr>
      </w:pPr>
      <w:r>
        <w:rPr>
          <w:rFonts w:hint="eastAsia" w:hAnsi="宋体"/>
        </w:rPr>
        <w:t>20.3</w:t>
      </w:r>
      <w:r>
        <w:rPr>
          <w:rFonts w:hint="eastAsia" w:hAnsi="宋体"/>
          <w:szCs w:val="21"/>
        </w:rPr>
        <w:t>竞争性磋商供应商</w:t>
      </w:r>
      <w:r>
        <w:rPr>
          <w:rFonts w:hint="eastAsia" w:hAnsi="宋体"/>
        </w:rPr>
        <w:t>在评定过程中，所进行的力图影响评定公正性的活动，将可能导致其</w:t>
      </w:r>
      <w:r>
        <w:rPr>
          <w:rFonts w:hint="eastAsia" w:hAnsi="宋体"/>
          <w:szCs w:val="21"/>
        </w:rPr>
        <w:t>成交</w:t>
      </w:r>
      <w:r>
        <w:rPr>
          <w:rFonts w:hint="eastAsia" w:hAnsi="宋体"/>
        </w:rPr>
        <w:t>资格被取消。评标委员会（磋商小组）成员、有关工作人员及其他知情人不得透露对</w:t>
      </w:r>
      <w:r>
        <w:rPr>
          <w:rFonts w:hint="eastAsia" w:hAnsi="宋体"/>
          <w:szCs w:val="21"/>
        </w:rPr>
        <w:t>响应文件</w:t>
      </w:r>
      <w:r>
        <w:rPr>
          <w:rFonts w:hint="eastAsia" w:hAnsi="宋体"/>
        </w:rPr>
        <w:t>的评审、比较和</w:t>
      </w:r>
      <w:r>
        <w:rPr>
          <w:rFonts w:hint="eastAsia" w:hAnsi="宋体"/>
          <w:szCs w:val="21"/>
        </w:rPr>
        <w:t>成交结果</w:t>
      </w:r>
      <w:r>
        <w:rPr>
          <w:rFonts w:hint="eastAsia" w:hAnsi="宋体"/>
        </w:rPr>
        <w:t>的推荐情况以及与评标有关的其他情况。</w:t>
      </w:r>
    </w:p>
    <w:p>
      <w:pPr>
        <w:pStyle w:val="9"/>
        <w:spacing w:line="400" w:lineRule="exact"/>
        <w:rPr>
          <w:rFonts w:hAnsi="宋体"/>
          <w:szCs w:val="21"/>
        </w:rPr>
      </w:pPr>
      <w:r>
        <w:rPr>
          <w:rFonts w:hint="eastAsia" w:hAnsi="宋体"/>
          <w:b/>
          <w:szCs w:val="21"/>
        </w:rPr>
        <w:t>21.无效磋商</w:t>
      </w:r>
    </w:p>
    <w:p>
      <w:pPr>
        <w:pStyle w:val="9"/>
        <w:spacing w:line="400" w:lineRule="exact"/>
        <w:rPr>
          <w:rFonts w:hAnsi="宋体"/>
        </w:rPr>
      </w:pPr>
      <w:r>
        <w:rPr>
          <w:rFonts w:hint="eastAsia" w:hAnsi="宋体"/>
        </w:rPr>
        <w:t>21.1</w:t>
      </w:r>
      <w:r>
        <w:rPr>
          <w:rFonts w:hint="eastAsia" w:hAnsi="宋体"/>
          <w:szCs w:val="21"/>
        </w:rPr>
        <w:t>响应文件</w:t>
      </w:r>
      <w:r>
        <w:rPr>
          <w:rFonts w:hint="eastAsia" w:hAnsi="宋体"/>
        </w:rPr>
        <w:t>如有下列情况之一，将会在评标中按照无效</w:t>
      </w:r>
      <w:r>
        <w:rPr>
          <w:rFonts w:hint="eastAsia" w:hAnsi="宋体"/>
          <w:szCs w:val="21"/>
        </w:rPr>
        <w:t>响应文件</w:t>
      </w:r>
      <w:r>
        <w:rPr>
          <w:rFonts w:hint="eastAsia" w:hAnsi="宋体"/>
        </w:rPr>
        <w:t>处理：</w:t>
      </w:r>
    </w:p>
    <w:p>
      <w:pPr>
        <w:pStyle w:val="9"/>
        <w:spacing w:line="400" w:lineRule="exact"/>
        <w:rPr>
          <w:rFonts w:hAnsi="宋体"/>
        </w:rPr>
      </w:pPr>
      <w:r>
        <w:rPr>
          <w:rFonts w:hint="eastAsia" w:hAnsi="宋体"/>
        </w:rPr>
        <w:t>（1）未按竞争性磋商文件要求缴纳</w:t>
      </w:r>
      <w:r>
        <w:rPr>
          <w:rFonts w:hint="eastAsia" w:hAnsi="宋体"/>
          <w:szCs w:val="21"/>
        </w:rPr>
        <w:t>磋商保证金</w:t>
      </w:r>
      <w:r>
        <w:rPr>
          <w:rFonts w:hint="eastAsia" w:hAnsi="宋体"/>
        </w:rPr>
        <w:t>的；</w:t>
      </w:r>
    </w:p>
    <w:p>
      <w:pPr>
        <w:pStyle w:val="9"/>
        <w:spacing w:line="400" w:lineRule="exact"/>
        <w:rPr>
          <w:rFonts w:hAnsi="宋体"/>
        </w:rPr>
      </w:pPr>
      <w:r>
        <w:rPr>
          <w:rFonts w:hint="eastAsia" w:hAnsi="宋体"/>
        </w:rPr>
        <w:t>（2）未按竞争性磋商文件规定要求密封、签署、盖章的；</w:t>
      </w:r>
    </w:p>
    <w:p>
      <w:pPr>
        <w:pStyle w:val="9"/>
        <w:spacing w:line="400" w:lineRule="exact"/>
        <w:rPr>
          <w:rFonts w:hAnsi="宋体"/>
        </w:rPr>
      </w:pPr>
      <w:r>
        <w:rPr>
          <w:rFonts w:hint="eastAsia" w:hAnsi="宋体"/>
        </w:rPr>
        <w:t>（3）不具备竞争性磋商文件中规定资格要求的；</w:t>
      </w:r>
    </w:p>
    <w:p>
      <w:pPr>
        <w:pStyle w:val="9"/>
        <w:spacing w:line="400" w:lineRule="exact"/>
        <w:rPr>
          <w:rFonts w:hAnsi="宋体"/>
        </w:rPr>
      </w:pPr>
      <w:r>
        <w:rPr>
          <w:rFonts w:hint="eastAsia" w:hAnsi="宋体"/>
        </w:rPr>
        <w:t>（4）不符合法律、法规的(如超行政许可经营范围的)；</w:t>
      </w:r>
    </w:p>
    <w:p>
      <w:pPr>
        <w:pStyle w:val="9"/>
        <w:spacing w:line="400" w:lineRule="exact"/>
        <w:rPr>
          <w:rFonts w:hAnsi="宋体"/>
        </w:rPr>
      </w:pPr>
      <w:r>
        <w:rPr>
          <w:rFonts w:hint="eastAsia" w:hAnsi="宋体"/>
        </w:rPr>
        <w:t>（5）不符合本须知第6.2条规定的实质性要求并且在磋商规定的时间内无法说明和补充的；</w:t>
      </w:r>
    </w:p>
    <w:p>
      <w:pPr>
        <w:pStyle w:val="9"/>
        <w:spacing w:line="400" w:lineRule="exact"/>
        <w:outlineLvl w:val="2"/>
        <w:rPr>
          <w:rFonts w:hAnsi="宋体"/>
          <w:b/>
          <w:szCs w:val="21"/>
        </w:rPr>
      </w:pPr>
      <w:r>
        <w:rPr>
          <w:rFonts w:hint="eastAsia" w:hAnsi="宋体"/>
          <w:b/>
          <w:szCs w:val="21"/>
        </w:rPr>
        <w:t>22.</w:t>
      </w:r>
      <w:r>
        <w:rPr>
          <w:rFonts w:hAnsi="宋体"/>
          <w:b/>
          <w:szCs w:val="21"/>
        </w:rPr>
        <w:t>废标</w:t>
      </w:r>
    </w:p>
    <w:p>
      <w:pPr>
        <w:pStyle w:val="9"/>
        <w:spacing w:line="400" w:lineRule="exact"/>
        <w:rPr>
          <w:rFonts w:hAnsi="宋体"/>
        </w:rPr>
      </w:pPr>
      <w:r>
        <w:rPr>
          <w:rFonts w:hint="eastAsia" w:hAnsi="宋体"/>
        </w:rPr>
        <w:t>22.1磋商项目</w:t>
      </w:r>
      <w:r>
        <w:rPr>
          <w:rFonts w:hAnsi="宋体"/>
        </w:rPr>
        <w:t>出现下列情形之一的，</w:t>
      </w:r>
      <w:r>
        <w:rPr>
          <w:rFonts w:hint="eastAsia" w:hAnsi="宋体"/>
        </w:rPr>
        <w:t>采购代理机构将</w:t>
      </w:r>
      <w:r>
        <w:rPr>
          <w:rFonts w:hAnsi="宋体"/>
        </w:rPr>
        <w:t>予废标：</w:t>
      </w:r>
    </w:p>
    <w:p>
      <w:pPr>
        <w:pStyle w:val="9"/>
        <w:spacing w:line="400" w:lineRule="exact"/>
        <w:rPr>
          <w:rFonts w:hAnsi="宋体"/>
        </w:rPr>
      </w:pPr>
      <w:r>
        <w:rPr>
          <w:rFonts w:hint="eastAsia" w:hAnsi="宋体"/>
        </w:rPr>
        <w:t>（1）符合竞争要求的供应商或者报价未超过采购预算的供应商不足</w:t>
      </w:r>
      <w:r>
        <w:rPr>
          <w:rFonts w:hint="eastAsia" w:hAnsi="宋体"/>
          <w:lang w:eastAsia="zh-CN"/>
        </w:rPr>
        <w:t>两</w:t>
      </w:r>
      <w:r>
        <w:rPr>
          <w:rFonts w:hint="eastAsia" w:hAnsi="宋体"/>
        </w:rPr>
        <w:t>家的；</w:t>
      </w:r>
    </w:p>
    <w:p>
      <w:pPr>
        <w:pStyle w:val="9"/>
        <w:spacing w:line="400" w:lineRule="exact"/>
        <w:rPr>
          <w:rFonts w:hAnsi="宋体"/>
        </w:rPr>
      </w:pPr>
      <w:r>
        <w:rPr>
          <w:rFonts w:hint="eastAsia" w:hAnsi="宋体"/>
        </w:rPr>
        <w:t>（2）</w:t>
      </w:r>
      <w:r>
        <w:rPr>
          <w:rFonts w:hAnsi="宋体"/>
        </w:rPr>
        <w:t>出现影响采购公正的违法、违规行为的；</w:t>
      </w:r>
      <w:r>
        <w:rPr>
          <w:rFonts w:hAnsi="宋体"/>
        </w:rPr>
        <w:br w:type="textWrapping"/>
      </w:r>
      <w:r>
        <w:rPr>
          <w:rFonts w:hint="eastAsia" w:hAnsi="宋体"/>
        </w:rPr>
        <w:t>（3）</w:t>
      </w:r>
      <w:r>
        <w:rPr>
          <w:rFonts w:hint="eastAsia" w:hAnsi="宋体"/>
          <w:szCs w:val="21"/>
        </w:rPr>
        <w:t>竞争性磋商供应商</w:t>
      </w:r>
      <w:r>
        <w:rPr>
          <w:rFonts w:hAnsi="宋体"/>
        </w:rPr>
        <w:t>的</w:t>
      </w:r>
      <w:r>
        <w:rPr>
          <w:rFonts w:hint="eastAsia" w:hAnsi="宋体"/>
        </w:rPr>
        <w:t>最终</w:t>
      </w:r>
      <w:r>
        <w:rPr>
          <w:rFonts w:hAnsi="宋体"/>
        </w:rPr>
        <w:t>报价均超过了采购预算，</w:t>
      </w:r>
      <w:r>
        <w:rPr>
          <w:rFonts w:hint="eastAsia" w:hAnsi="宋体"/>
          <w:szCs w:val="21"/>
        </w:rPr>
        <w:t>采购</w:t>
      </w:r>
      <w:r>
        <w:rPr>
          <w:rFonts w:hAnsi="宋体"/>
        </w:rPr>
        <w:t>人不能支付的；</w:t>
      </w:r>
      <w:r>
        <w:rPr>
          <w:rFonts w:hAnsi="宋体"/>
        </w:rPr>
        <w:br w:type="textWrapping"/>
      </w:r>
      <w:r>
        <w:rPr>
          <w:rFonts w:hint="eastAsia" w:hAnsi="宋体"/>
        </w:rPr>
        <w:t>（4）</w:t>
      </w:r>
      <w:r>
        <w:rPr>
          <w:rFonts w:hAnsi="宋体"/>
        </w:rPr>
        <w:t>因重大变故，采购任务取消的。　</w:t>
      </w:r>
    </w:p>
    <w:p>
      <w:pPr>
        <w:pStyle w:val="9"/>
        <w:spacing w:line="400" w:lineRule="exact"/>
        <w:rPr>
          <w:rFonts w:hAnsi="宋体"/>
          <w:szCs w:val="21"/>
        </w:rPr>
      </w:pPr>
      <w:r>
        <w:rPr>
          <w:rFonts w:hint="eastAsia" w:hAnsi="宋体"/>
          <w:szCs w:val="21"/>
        </w:rPr>
        <w:t>22.2</w:t>
      </w:r>
      <w:r>
        <w:rPr>
          <w:rFonts w:hAnsi="宋体"/>
          <w:szCs w:val="21"/>
        </w:rPr>
        <w:t>废标后，</w:t>
      </w:r>
      <w:r>
        <w:rPr>
          <w:rFonts w:hint="eastAsia" w:hAnsi="宋体"/>
          <w:szCs w:val="21"/>
        </w:rPr>
        <w:t>采购代理机构</w:t>
      </w:r>
      <w:r>
        <w:rPr>
          <w:rFonts w:hAnsi="宋体"/>
          <w:szCs w:val="21"/>
        </w:rPr>
        <w:t>将</w:t>
      </w:r>
      <w:r>
        <w:rPr>
          <w:rFonts w:hint="eastAsia" w:hAnsi="宋体"/>
          <w:szCs w:val="21"/>
        </w:rPr>
        <w:t>把</w:t>
      </w:r>
      <w:r>
        <w:rPr>
          <w:rFonts w:hAnsi="宋体"/>
          <w:szCs w:val="21"/>
        </w:rPr>
        <w:t>废标理由通知所有</w:t>
      </w:r>
      <w:r>
        <w:rPr>
          <w:rFonts w:hint="eastAsia" w:hAnsi="宋体"/>
          <w:szCs w:val="21"/>
        </w:rPr>
        <w:t>竞争性磋商供应商。</w:t>
      </w:r>
    </w:p>
    <w:p>
      <w:pPr>
        <w:pStyle w:val="9"/>
        <w:spacing w:line="400" w:lineRule="exact"/>
        <w:rPr>
          <w:rFonts w:hAnsi="宋体"/>
          <w:szCs w:val="21"/>
        </w:rPr>
      </w:pPr>
    </w:p>
    <w:p>
      <w:pPr>
        <w:pStyle w:val="9"/>
        <w:spacing w:line="400" w:lineRule="exact"/>
        <w:jc w:val="center"/>
        <w:outlineLvl w:val="1"/>
        <w:rPr>
          <w:rFonts w:hAnsi="宋体"/>
          <w:b/>
          <w:szCs w:val="21"/>
        </w:rPr>
      </w:pPr>
      <w:bookmarkStart w:id="68" w:name="_Toc24799_WPSOffice_Level2"/>
      <w:bookmarkStart w:id="69" w:name="_Toc305850722"/>
      <w:r>
        <w:rPr>
          <w:rFonts w:hint="eastAsia" w:hAnsi="宋体"/>
          <w:b/>
          <w:szCs w:val="21"/>
        </w:rPr>
        <w:t>十.磋商结果</w:t>
      </w:r>
      <w:bookmarkEnd w:id="68"/>
      <w:bookmarkEnd w:id="69"/>
    </w:p>
    <w:p>
      <w:pPr>
        <w:pStyle w:val="9"/>
        <w:spacing w:line="400" w:lineRule="exact"/>
        <w:outlineLvl w:val="2"/>
        <w:rPr>
          <w:rFonts w:hAnsi="宋体"/>
          <w:b/>
          <w:szCs w:val="21"/>
        </w:rPr>
      </w:pPr>
      <w:r>
        <w:rPr>
          <w:rFonts w:hint="eastAsia" w:hAnsi="宋体"/>
          <w:b/>
          <w:szCs w:val="21"/>
        </w:rPr>
        <w:t>23.成交结果（评标结果）公示</w:t>
      </w:r>
    </w:p>
    <w:p>
      <w:pPr>
        <w:pStyle w:val="9"/>
        <w:spacing w:line="400" w:lineRule="exact"/>
        <w:outlineLvl w:val="2"/>
        <w:rPr>
          <w:rFonts w:hAnsi="宋体"/>
          <w:szCs w:val="21"/>
        </w:rPr>
      </w:pPr>
      <w:r>
        <w:rPr>
          <w:rFonts w:hint="eastAsia"/>
        </w:rPr>
        <w:t>23.</w:t>
      </w:r>
      <w:r>
        <w:t>1</w:t>
      </w:r>
      <w:r>
        <w:rPr>
          <w:rFonts w:hint="eastAsia" w:hAnsi="宋体"/>
          <w:szCs w:val="21"/>
        </w:rPr>
        <w:t>采购代理机构将在发布本项目竞争性磋商公告的网站上刊登成交结果（评标结果）公示。公示期为1个工作日。竞争性磋商供应商可以自成交结果（评标结果）公示期满前以书面形式向本采购代理机构提出质疑，</w:t>
      </w:r>
      <w:r>
        <w:rPr>
          <w:rFonts w:hint="eastAsia" w:hAnsi="宋体"/>
          <w:kern w:val="0"/>
          <w:szCs w:val="21"/>
        </w:rPr>
        <w:t>本采购代理将在收到异议起3个工作日内作出答复并同时延长公示期。</w:t>
      </w:r>
      <w:r>
        <w:rPr>
          <w:rFonts w:hint="eastAsia" w:hAnsi="宋体"/>
          <w:szCs w:val="21"/>
        </w:rPr>
        <w:t>如对本采购代理机构的答复不满意或者本采购代理机构未在规定的时间内做出答复，可以在答复期满之日起15个工作日内以书面形式向同级政府采购监督管理部门投诉。</w:t>
      </w:r>
    </w:p>
    <w:p>
      <w:pPr>
        <w:spacing w:line="400" w:lineRule="exact"/>
        <w:rPr>
          <w:rFonts w:ascii="宋体" w:hAnsi="宋体"/>
          <w:szCs w:val="21"/>
        </w:rPr>
      </w:pPr>
      <w:r>
        <w:rPr>
          <w:rFonts w:hint="eastAsia" w:ascii="宋体" w:hAnsi="宋体"/>
          <w:szCs w:val="21"/>
        </w:rPr>
        <w:t>23.2采购</w:t>
      </w:r>
      <w:r>
        <w:rPr>
          <w:rFonts w:ascii="宋体" w:hAnsi="宋体"/>
          <w:szCs w:val="21"/>
        </w:rPr>
        <w:t>人对</w:t>
      </w:r>
      <w:r>
        <w:rPr>
          <w:rFonts w:hint="eastAsia" w:ascii="宋体" w:hAnsi="宋体"/>
          <w:szCs w:val="21"/>
        </w:rPr>
        <w:t>成交结果</w:t>
      </w:r>
      <w:r>
        <w:rPr>
          <w:rFonts w:ascii="宋体" w:hAnsi="宋体"/>
          <w:szCs w:val="21"/>
        </w:rPr>
        <w:t>有异议的，</w:t>
      </w:r>
      <w:r>
        <w:rPr>
          <w:rFonts w:hint="eastAsia" w:ascii="宋体" w:hAnsi="宋体"/>
          <w:szCs w:val="21"/>
        </w:rPr>
        <w:t>参照上款执行</w:t>
      </w:r>
      <w:r>
        <w:rPr>
          <w:rFonts w:ascii="宋体" w:hAnsi="宋体"/>
          <w:szCs w:val="21"/>
        </w:rPr>
        <w:t>。</w:t>
      </w:r>
    </w:p>
    <w:p>
      <w:pPr>
        <w:pStyle w:val="9"/>
        <w:spacing w:line="400" w:lineRule="exact"/>
        <w:outlineLvl w:val="2"/>
        <w:rPr>
          <w:rFonts w:hAnsi="宋体"/>
          <w:b/>
          <w:szCs w:val="21"/>
        </w:rPr>
      </w:pPr>
      <w:r>
        <w:rPr>
          <w:rFonts w:hint="eastAsia" w:hAnsi="宋体"/>
          <w:b/>
          <w:szCs w:val="21"/>
        </w:rPr>
        <w:t>24.成交通知</w:t>
      </w:r>
    </w:p>
    <w:p>
      <w:pPr>
        <w:pStyle w:val="9"/>
        <w:spacing w:line="400" w:lineRule="exact"/>
        <w:rPr>
          <w:rFonts w:hAnsi="宋体"/>
          <w:b/>
          <w:szCs w:val="21"/>
        </w:rPr>
      </w:pPr>
      <w:r>
        <w:rPr>
          <w:rFonts w:hint="eastAsia" w:hAnsi="宋体"/>
          <w:szCs w:val="21"/>
        </w:rPr>
        <w:t>24.1成交结果（评标结果）公示期满</w:t>
      </w:r>
      <w:r>
        <w:rPr>
          <w:rFonts w:hAnsi="宋体"/>
        </w:rPr>
        <w:t>无异议</w:t>
      </w:r>
      <w:r>
        <w:rPr>
          <w:rFonts w:hint="eastAsia" w:hAnsi="宋体"/>
        </w:rPr>
        <w:t>和</w:t>
      </w:r>
      <w:r>
        <w:rPr>
          <w:rFonts w:hAnsi="宋体"/>
        </w:rPr>
        <w:t>投诉的，</w:t>
      </w:r>
      <w:r>
        <w:rPr>
          <w:rFonts w:hint="eastAsia" w:hAnsi="宋体"/>
        </w:rPr>
        <w:t>或投诉答复期满采购代理机构未再收到新异议和投诉的，</w:t>
      </w:r>
      <w:r>
        <w:rPr>
          <w:rFonts w:hint="eastAsia" w:hAnsi="宋体"/>
          <w:szCs w:val="21"/>
        </w:rPr>
        <w:t>采购代理机构</w:t>
      </w:r>
      <w:r>
        <w:rPr>
          <w:rFonts w:hAnsi="宋体"/>
        </w:rPr>
        <w:t>在</w:t>
      </w:r>
      <w:r>
        <w:rPr>
          <w:rFonts w:hint="eastAsia" w:hAnsi="宋体"/>
        </w:rPr>
        <w:t>公示期满</w:t>
      </w:r>
      <w:r>
        <w:rPr>
          <w:rFonts w:hAnsi="宋体"/>
        </w:rPr>
        <w:t>7日内以书面形式向</w:t>
      </w:r>
      <w:r>
        <w:rPr>
          <w:rFonts w:hint="eastAsia" w:hAnsi="宋体"/>
          <w:szCs w:val="21"/>
        </w:rPr>
        <w:t>成交结果（评标结果）公示载明的</w:t>
      </w:r>
      <w:r>
        <w:rPr>
          <w:rFonts w:hint="eastAsia" w:hAnsi="宋体"/>
        </w:rPr>
        <w:t>拟</w:t>
      </w:r>
      <w:r>
        <w:rPr>
          <w:rFonts w:hint="eastAsia" w:hAnsi="宋体"/>
          <w:szCs w:val="21"/>
        </w:rPr>
        <w:t>成交</w:t>
      </w:r>
      <w:r>
        <w:rPr>
          <w:rFonts w:hAnsi="宋体"/>
        </w:rPr>
        <w:t>人发出</w:t>
      </w:r>
      <w:r>
        <w:rPr>
          <w:rFonts w:hint="eastAsia" w:hAnsi="宋体"/>
          <w:szCs w:val="21"/>
        </w:rPr>
        <w:t>成交</w:t>
      </w:r>
      <w:r>
        <w:rPr>
          <w:rFonts w:hAnsi="宋体"/>
        </w:rPr>
        <w:t>通知书</w:t>
      </w:r>
      <w:r>
        <w:rPr>
          <w:rFonts w:hint="eastAsia" w:hAnsi="宋体"/>
        </w:rPr>
        <w:t>。</w:t>
      </w:r>
    </w:p>
    <w:p>
      <w:pPr>
        <w:pStyle w:val="9"/>
        <w:spacing w:line="400" w:lineRule="exact"/>
        <w:rPr>
          <w:rFonts w:hAnsi="宋体"/>
          <w:szCs w:val="21"/>
        </w:rPr>
      </w:pPr>
      <w:r>
        <w:rPr>
          <w:rFonts w:hint="eastAsia" w:hAnsi="宋体"/>
          <w:szCs w:val="21"/>
        </w:rPr>
        <w:t>24.2采购代理机构无义务向落标的竞争性磋商供应商解释落标原因和退还其响应文件。</w:t>
      </w:r>
    </w:p>
    <w:p>
      <w:pPr>
        <w:pStyle w:val="9"/>
        <w:spacing w:line="400" w:lineRule="exact"/>
        <w:outlineLvl w:val="2"/>
        <w:rPr>
          <w:rFonts w:hAnsi="宋体"/>
          <w:b/>
          <w:szCs w:val="21"/>
        </w:rPr>
      </w:pPr>
      <w:r>
        <w:rPr>
          <w:rFonts w:hint="eastAsia" w:hAnsi="宋体"/>
          <w:b/>
          <w:szCs w:val="21"/>
        </w:rPr>
        <w:t>25.合同授予标准</w:t>
      </w:r>
    </w:p>
    <w:p>
      <w:pPr>
        <w:pStyle w:val="9"/>
        <w:spacing w:line="400" w:lineRule="exact"/>
        <w:rPr>
          <w:rFonts w:hAnsi="宋体"/>
          <w:szCs w:val="21"/>
        </w:rPr>
      </w:pPr>
      <w:r>
        <w:rPr>
          <w:rFonts w:hint="eastAsia" w:hAnsi="宋体"/>
          <w:szCs w:val="21"/>
        </w:rPr>
        <w:t>25.1合同将授予被确定为实质上响应竞争性磋商文件要求，评标认为具备履行合同能力，按详细评审因素的量化指标评审后综合得分最高的供应商；</w:t>
      </w:r>
    </w:p>
    <w:p>
      <w:pPr>
        <w:pStyle w:val="9"/>
        <w:spacing w:line="400" w:lineRule="exact"/>
        <w:rPr>
          <w:rFonts w:hAnsi="宋体"/>
          <w:szCs w:val="21"/>
        </w:rPr>
      </w:pPr>
      <w:r>
        <w:rPr>
          <w:rFonts w:hint="eastAsia" w:hAnsi="宋体"/>
          <w:szCs w:val="21"/>
        </w:rPr>
        <w:t>25.2采购人授权磋商小组直接确定成交供应商。</w:t>
      </w:r>
    </w:p>
    <w:p>
      <w:pPr>
        <w:pStyle w:val="9"/>
        <w:spacing w:line="400" w:lineRule="exact"/>
        <w:outlineLvl w:val="2"/>
        <w:rPr>
          <w:rFonts w:hAnsi="宋体"/>
          <w:b/>
          <w:szCs w:val="21"/>
        </w:rPr>
      </w:pPr>
      <w:r>
        <w:rPr>
          <w:rFonts w:hint="eastAsia" w:hAnsi="宋体"/>
          <w:b/>
          <w:szCs w:val="21"/>
        </w:rPr>
        <w:t>26.签订合同</w:t>
      </w:r>
    </w:p>
    <w:p>
      <w:pPr>
        <w:pStyle w:val="9"/>
        <w:spacing w:line="360" w:lineRule="exact"/>
        <w:rPr>
          <w:rFonts w:hAnsi="宋体"/>
          <w:szCs w:val="21"/>
        </w:rPr>
      </w:pPr>
      <w:r>
        <w:rPr>
          <w:rFonts w:hint="eastAsia"/>
        </w:rPr>
        <w:t>26.1</w:t>
      </w:r>
      <w:r>
        <w:rPr>
          <w:rFonts w:hint="eastAsia" w:hAnsi="宋体"/>
          <w:szCs w:val="21"/>
        </w:rPr>
        <w:t>成交</w:t>
      </w:r>
      <w:r>
        <w:rPr>
          <w:rFonts w:hint="eastAsia"/>
        </w:rPr>
        <w:t>供应商收到</w:t>
      </w:r>
      <w:r>
        <w:rPr>
          <w:rFonts w:hint="eastAsia" w:hAnsi="宋体"/>
          <w:szCs w:val="21"/>
        </w:rPr>
        <w:t>成交</w:t>
      </w:r>
      <w:r>
        <w:rPr>
          <w:rFonts w:hint="eastAsia"/>
        </w:rPr>
        <w:t>通知书发出之日起30天内，根据竞争性磋商文件和成交供应商的响应文件订立书面合同。</w:t>
      </w:r>
    </w:p>
    <w:p>
      <w:pPr>
        <w:pStyle w:val="9"/>
        <w:spacing w:line="400" w:lineRule="exact"/>
        <w:rPr>
          <w:rFonts w:hAnsi="宋体"/>
          <w:szCs w:val="21"/>
        </w:rPr>
      </w:pPr>
      <w:r>
        <w:rPr>
          <w:rFonts w:hint="eastAsia" w:hAnsi="宋体"/>
          <w:szCs w:val="21"/>
        </w:rPr>
        <w:t>26.2如成交供应商不按成交通知书的规定签订合同（采购人原因除外），则按成交供应商违约处理，采购代理机构将取消该成交决定，不予退还该成交供应商的磋商保证金，成交供应商应当依法承担法律责任。</w:t>
      </w:r>
    </w:p>
    <w:p>
      <w:pPr>
        <w:pStyle w:val="9"/>
        <w:spacing w:line="400" w:lineRule="exact"/>
        <w:rPr>
          <w:rFonts w:hAnsi="宋体"/>
          <w:szCs w:val="21"/>
        </w:rPr>
      </w:pPr>
      <w:r>
        <w:rPr>
          <w:rFonts w:hint="eastAsia" w:hAnsi="宋体"/>
          <w:szCs w:val="21"/>
        </w:rPr>
        <w:t>26.3成交供应商因不可抗力或者自身原因不能履行政府采购合同的，采购人可以确定排名第二位的成交候选供应商并与其签订政府采购合同，以此类推。</w:t>
      </w:r>
    </w:p>
    <w:p>
      <w:pPr>
        <w:pStyle w:val="9"/>
        <w:spacing w:line="400" w:lineRule="exact"/>
        <w:rPr>
          <w:rFonts w:hAnsi="宋体"/>
          <w:szCs w:val="21"/>
        </w:rPr>
      </w:pPr>
      <w:r>
        <w:rPr>
          <w:rFonts w:hint="eastAsia" w:hAnsi="宋体"/>
          <w:szCs w:val="21"/>
        </w:rPr>
        <w:t>26.4由于成交供应商放弃成交或未按规定签订合同，造成本项目的合同成交价提高（指采购人选择第二成交候选供应商或重新采购导致成交金额高于违约供应商的成交价），所超出违约供应的成交价部分由违约供应商承担赔偿责任。</w:t>
      </w:r>
    </w:p>
    <w:p>
      <w:pPr>
        <w:pStyle w:val="9"/>
        <w:spacing w:line="400" w:lineRule="exact"/>
        <w:rPr>
          <w:rFonts w:hAnsi="宋体"/>
          <w:b/>
          <w:bCs/>
          <w:szCs w:val="21"/>
        </w:rPr>
      </w:pPr>
      <w:r>
        <w:rPr>
          <w:rFonts w:hint="eastAsia" w:hAnsi="宋体"/>
          <w:b/>
          <w:bCs/>
          <w:szCs w:val="21"/>
        </w:rPr>
        <w:t>27.</w:t>
      </w:r>
      <w:r>
        <w:rPr>
          <w:rFonts w:hAnsi="宋体"/>
          <w:b/>
          <w:bCs/>
          <w:szCs w:val="21"/>
        </w:rPr>
        <w:t>履约</w:t>
      </w:r>
      <w:r>
        <w:rPr>
          <w:rFonts w:hint="eastAsia" w:hAnsi="宋体"/>
          <w:b/>
          <w:bCs/>
          <w:szCs w:val="21"/>
        </w:rPr>
        <w:t>保证金</w:t>
      </w:r>
    </w:p>
    <w:p>
      <w:pPr>
        <w:pStyle w:val="9"/>
        <w:spacing w:line="400" w:lineRule="exact"/>
        <w:outlineLvl w:val="2"/>
        <w:rPr>
          <w:rFonts w:hAnsi="宋体"/>
          <w:bCs/>
          <w:szCs w:val="21"/>
        </w:rPr>
      </w:pPr>
      <w:r>
        <w:rPr>
          <w:rFonts w:hint="eastAsia" w:hAnsi="宋体"/>
          <w:bCs/>
          <w:szCs w:val="21"/>
        </w:rPr>
        <w:t>无</w:t>
      </w:r>
    </w:p>
    <w:p>
      <w:pPr>
        <w:pStyle w:val="9"/>
        <w:spacing w:line="400" w:lineRule="exact"/>
        <w:outlineLvl w:val="2"/>
        <w:rPr>
          <w:rFonts w:hAnsi="宋体"/>
          <w:b/>
          <w:szCs w:val="21"/>
        </w:rPr>
      </w:pPr>
      <w:r>
        <w:rPr>
          <w:rFonts w:hint="eastAsia" w:hAnsi="宋体"/>
          <w:b/>
          <w:szCs w:val="21"/>
        </w:rPr>
        <w:t>28.合同履行中的追加</w:t>
      </w:r>
    </w:p>
    <w:p>
      <w:pPr>
        <w:pStyle w:val="9"/>
        <w:spacing w:line="400" w:lineRule="exact"/>
        <w:rPr>
          <w:rFonts w:hAnsi="宋体"/>
          <w:szCs w:val="21"/>
        </w:rPr>
      </w:pPr>
      <w:r>
        <w:rPr>
          <w:rFonts w:hint="eastAsia" w:hAnsi="宋体"/>
          <w:szCs w:val="21"/>
        </w:rPr>
        <w:t>28.1</w:t>
      </w:r>
      <w:r>
        <w:rPr>
          <w:rFonts w:hAnsi="宋体"/>
          <w:szCs w:val="21"/>
        </w:rPr>
        <w:t>政府采购合同履行中，</w:t>
      </w:r>
      <w:r>
        <w:rPr>
          <w:rFonts w:hint="eastAsia" w:hAnsi="宋体"/>
          <w:szCs w:val="21"/>
        </w:rPr>
        <w:t>采购</w:t>
      </w:r>
      <w:r>
        <w:rPr>
          <w:rFonts w:hAnsi="宋体"/>
          <w:szCs w:val="21"/>
        </w:rPr>
        <w:t>单位需追加与合同标的相同的货物、工程和服务的，经</w:t>
      </w:r>
      <w:r>
        <w:rPr>
          <w:rFonts w:hint="eastAsia" w:hAnsi="宋体"/>
          <w:szCs w:val="21"/>
        </w:rPr>
        <w:t>监督管理部门</w:t>
      </w:r>
      <w:r>
        <w:rPr>
          <w:rFonts w:hAnsi="宋体"/>
          <w:szCs w:val="21"/>
        </w:rPr>
        <w:t>同意，在不改变合同其他条款的前提下，可以与</w:t>
      </w:r>
      <w:r>
        <w:rPr>
          <w:rFonts w:hint="eastAsia" w:hAnsi="宋体"/>
          <w:szCs w:val="21"/>
        </w:rPr>
        <w:t>成交供应商</w:t>
      </w:r>
      <w:r>
        <w:rPr>
          <w:rFonts w:hAnsi="宋体"/>
          <w:szCs w:val="21"/>
        </w:rPr>
        <w:t>协商签订补充的合同。但补充的合同涉及的采购金额不得超过原合同采购金额的10%。</w:t>
      </w:r>
    </w:p>
    <w:p>
      <w:pPr>
        <w:pStyle w:val="9"/>
        <w:spacing w:line="400" w:lineRule="exact"/>
        <w:rPr>
          <w:rFonts w:hAnsi="宋体"/>
          <w:szCs w:val="21"/>
        </w:rPr>
      </w:pPr>
    </w:p>
    <w:p>
      <w:pPr>
        <w:pStyle w:val="9"/>
        <w:spacing w:line="400" w:lineRule="exact"/>
        <w:jc w:val="center"/>
        <w:outlineLvl w:val="2"/>
        <w:rPr>
          <w:rFonts w:hAnsi="宋体"/>
          <w:b/>
          <w:szCs w:val="21"/>
        </w:rPr>
      </w:pPr>
      <w:bookmarkStart w:id="70" w:name="_Toc900_WPSOffice_Level2"/>
      <w:bookmarkStart w:id="71" w:name="_Toc365384227"/>
      <w:r>
        <w:rPr>
          <w:rFonts w:hint="eastAsia" w:hAnsi="宋体"/>
          <w:b/>
          <w:szCs w:val="21"/>
        </w:rPr>
        <w:t>十一.其他事项</w:t>
      </w:r>
      <w:bookmarkEnd w:id="70"/>
      <w:bookmarkEnd w:id="71"/>
    </w:p>
    <w:p>
      <w:pPr>
        <w:pStyle w:val="9"/>
        <w:spacing w:line="400" w:lineRule="exact"/>
        <w:outlineLvl w:val="2"/>
        <w:rPr>
          <w:rFonts w:hAnsi="宋体"/>
          <w:b/>
          <w:szCs w:val="21"/>
        </w:rPr>
      </w:pPr>
      <w:r>
        <w:rPr>
          <w:rFonts w:hint="eastAsia" w:hAnsi="宋体"/>
          <w:b/>
          <w:szCs w:val="21"/>
        </w:rPr>
        <w:t>29.相关费用</w:t>
      </w:r>
    </w:p>
    <w:p>
      <w:pPr>
        <w:spacing w:line="400" w:lineRule="exact"/>
        <w:rPr>
          <w:rFonts w:ascii="宋体" w:hAnsi="宋体"/>
          <w:szCs w:val="21"/>
        </w:rPr>
      </w:pPr>
      <w:r>
        <w:rPr>
          <w:rFonts w:hint="eastAsia" w:ascii="宋体" w:hAnsi="宋体"/>
          <w:szCs w:val="21"/>
        </w:rPr>
        <w:t>见竞争性磋商供应商须知前附表。</w:t>
      </w:r>
    </w:p>
    <w:p>
      <w:pPr>
        <w:pStyle w:val="9"/>
        <w:spacing w:line="400" w:lineRule="exact"/>
        <w:outlineLvl w:val="2"/>
        <w:rPr>
          <w:rFonts w:hAnsi="宋体"/>
          <w:b/>
          <w:szCs w:val="21"/>
        </w:rPr>
      </w:pPr>
      <w:r>
        <w:rPr>
          <w:rFonts w:hint="eastAsia" w:hAnsi="宋体"/>
          <w:b/>
          <w:szCs w:val="21"/>
        </w:rPr>
        <w:t>30.违约等行为公示</w:t>
      </w:r>
    </w:p>
    <w:p>
      <w:pPr>
        <w:pStyle w:val="9"/>
        <w:spacing w:line="400" w:lineRule="exact"/>
        <w:rPr>
          <w:rFonts w:hAnsi="宋体"/>
          <w:szCs w:val="21"/>
        </w:rPr>
      </w:pPr>
      <w:r>
        <w:rPr>
          <w:rFonts w:hint="eastAsia" w:hAnsi="宋体"/>
          <w:szCs w:val="21"/>
        </w:rPr>
        <w:t>30.1采购代理机构有权将供应商的违法、违规、违约行为报送监督管理部门，经核实的情况后在市本级公共资源交易中心予以公布。</w:t>
      </w:r>
    </w:p>
    <w:p>
      <w:pPr>
        <w:pStyle w:val="9"/>
        <w:spacing w:line="400" w:lineRule="exact"/>
        <w:outlineLvl w:val="2"/>
        <w:rPr>
          <w:rFonts w:hAnsi="宋体"/>
          <w:b/>
          <w:szCs w:val="21"/>
        </w:rPr>
      </w:pPr>
      <w:r>
        <w:rPr>
          <w:rFonts w:hint="eastAsia" w:hAnsi="宋体"/>
          <w:b/>
          <w:szCs w:val="21"/>
        </w:rPr>
        <w:t>31.解释权</w:t>
      </w:r>
    </w:p>
    <w:bookmarkEnd w:id="50"/>
    <w:p>
      <w:pPr>
        <w:pStyle w:val="9"/>
        <w:spacing w:line="400" w:lineRule="exact"/>
        <w:rPr>
          <w:rFonts w:hAnsi="宋体"/>
          <w:szCs w:val="21"/>
        </w:rPr>
      </w:pPr>
      <w:r>
        <w:rPr>
          <w:rFonts w:hint="eastAsia" w:hAnsi="宋体"/>
          <w:szCs w:val="21"/>
        </w:rPr>
        <w:t>31.1本竞争性磋商文件解释权属华春建设工程项目管理有限责任公司。</w:t>
      </w:r>
    </w:p>
    <w:p>
      <w:pPr>
        <w:spacing w:line="400" w:lineRule="exact"/>
        <w:jc w:val="center"/>
        <w:rPr>
          <w:rFonts w:ascii="黑体" w:hAnsi="宋体" w:eastAsia="黑体"/>
          <w:b/>
          <w:sz w:val="32"/>
          <w:szCs w:val="32"/>
        </w:rPr>
      </w:pPr>
      <w:bookmarkStart w:id="72" w:name="_Toc305850724"/>
      <w:r>
        <w:rPr>
          <w:rFonts w:hint="eastAsia" w:ascii="黑体" w:hAnsi="宋体" w:eastAsia="黑体"/>
          <w:b/>
          <w:sz w:val="32"/>
          <w:szCs w:val="32"/>
        </w:rPr>
        <w:br w:type="page"/>
      </w:r>
    </w:p>
    <w:p>
      <w:pPr>
        <w:spacing w:line="400" w:lineRule="exact"/>
        <w:jc w:val="center"/>
        <w:outlineLvl w:val="0"/>
        <w:rPr>
          <w:rFonts w:ascii="黑体" w:hAnsi="宋体" w:eastAsia="黑体"/>
          <w:b/>
          <w:sz w:val="32"/>
          <w:szCs w:val="32"/>
        </w:rPr>
      </w:pPr>
      <w:bookmarkStart w:id="73" w:name="_Toc18363"/>
      <w:r>
        <w:rPr>
          <w:rFonts w:hint="eastAsia" w:ascii="黑体" w:hAnsi="宋体" w:eastAsia="黑体"/>
          <w:b/>
          <w:sz w:val="32"/>
          <w:szCs w:val="32"/>
        </w:rPr>
        <w:t>第三章  项目需求和说明</w:t>
      </w:r>
      <w:bookmarkEnd w:id="72"/>
      <w:bookmarkEnd w:id="73"/>
    </w:p>
    <w:p>
      <w:pPr>
        <w:rPr>
          <w:b/>
        </w:rPr>
      </w:pPr>
    </w:p>
    <w:p>
      <w:pPr>
        <w:pStyle w:val="8"/>
        <w:autoSpaceDE w:val="0"/>
        <w:autoSpaceDN w:val="0"/>
        <w:spacing w:before="132" w:line="357" w:lineRule="auto"/>
        <w:ind w:left="428" w:right="7826"/>
        <w:jc w:val="left"/>
        <w:rPr>
          <w:rFonts w:ascii="宋体" w:hAnsi="宋体" w:eastAsia="宋体" w:cs="宋体"/>
          <w:b w:val="0"/>
          <w:spacing w:val="0"/>
          <w:kern w:val="0"/>
          <w:sz w:val="21"/>
          <w:szCs w:val="21"/>
          <w:lang w:val="zh-CN" w:bidi="zh-CN"/>
        </w:rPr>
      </w:pPr>
      <w:bookmarkStart w:id="74" w:name="_Toc305850725"/>
    </w:p>
    <w:p>
      <w:pPr>
        <w:pStyle w:val="8"/>
        <w:autoSpaceDE w:val="0"/>
        <w:autoSpaceDN w:val="0"/>
        <w:spacing w:before="132" w:line="357" w:lineRule="auto"/>
        <w:ind w:left="428" w:right="5730"/>
        <w:jc w:val="left"/>
        <w:rPr>
          <w:rFonts w:ascii="宋体" w:hAnsi="宋体" w:eastAsia="宋体" w:cs="宋体"/>
          <w:b w:val="0"/>
          <w:spacing w:val="0"/>
          <w:kern w:val="0"/>
          <w:sz w:val="21"/>
          <w:szCs w:val="21"/>
          <w:lang w:val="zh-CN" w:bidi="zh-CN"/>
        </w:rPr>
      </w:pPr>
    </w:p>
    <w:p>
      <w:pPr>
        <w:pStyle w:val="8"/>
        <w:spacing w:line="360" w:lineRule="auto"/>
        <w:rPr>
          <w:rFonts w:ascii="宋体" w:hAnsi="宋体" w:eastAsia="宋体"/>
          <w:b w:val="0"/>
          <w:spacing w:val="0"/>
          <w:sz w:val="21"/>
          <w:szCs w:val="21"/>
        </w:rPr>
      </w:pPr>
      <w:r>
        <w:rPr>
          <w:rFonts w:hint="eastAsia" w:ascii="宋体" w:hAnsi="宋体" w:eastAsia="宋体"/>
          <w:b w:val="0"/>
          <w:spacing w:val="0"/>
          <w:sz w:val="21"/>
          <w:szCs w:val="21"/>
        </w:rPr>
        <w:t>说明：1、凡在“配套软硬件技术指标要求”中带有★的招标要求必须响应或优于，否则做废标处理；带有▲的技术条款系指本项目中与产品性能相关紧密的技术指标、功能项目条款，将作为设备综合性能分的评审依据。</w:t>
      </w:r>
    </w:p>
    <w:p>
      <w:pPr>
        <w:pStyle w:val="8"/>
        <w:spacing w:line="360" w:lineRule="auto"/>
        <w:rPr>
          <w:rFonts w:ascii="宋体" w:hAnsi="宋体" w:eastAsia="宋体"/>
          <w:b w:val="0"/>
          <w:spacing w:val="0"/>
          <w:sz w:val="21"/>
          <w:szCs w:val="21"/>
        </w:rPr>
      </w:pPr>
      <w:r>
        <w:rPr>
          <w:rFonts w:hint="eastAsia" w:ascii="宋体" w:hAnsi="宋体" w:eastAsia="宋体"/>
          <w:b w:val="0"/>
          <w:spacing w:val="0"/>
          <w:sz w:val="21"/>
          <w:szCs w:val="21"/>
        </w:rPr>
        <w:t>2、评标时，如果磋商小组发现本“项目需求和说明”的技术需求（含附件）和售后服务及其他要求中含有其他限制性要求的，有权认定不得作为主要技术参数、要求不得作为磋商无效要求处理。</w:t>
      </w:r>
    </w:p>
    <w:p>
      <w:pPr>
        <w:pStyle w:val="8"/>
        <w:spacing w:line="360" w:lineRule="auto"/>
        <w:rPr>
          <w:rFonts w:ascii="宋体" w:hAnsi="宋体" w:eastAsia="宋体"/>
          <w:b w:val="0"/>
          <w:spacing w:val="0"/>
          <w:sz w:val="21"/>
          <w:szCs w:val="21"/>
        </w:rPr>
      </w:pPr>
      <w:r>
        <w:rPr>
          <w:rFonts w:hint="eastAsia" w:ascii="宋体" w:hAnsi="宋体" w:eastAsia="宋体"/>
          <w:b w:val="0"/>
          <w:spacing w:val="0"/>
          <w:sz w:val="21"/>
          <w:szCs w:val="21"/>
        </w:rPr>
        <w:t>3、本竞争性磋商条件书所称中小企业必须符合《政府采购促进中小企业发展暂行办法》第二条规定。</w:t>
      </w:r>
    </w:p>
    <w:p>
      <w:pPr>
        <w:pStyle w:val="8"/>
        <w:spacing w:line="360" w:lineRule="auto"/>
        <w:rPr>
          <w:rFonts w:ascii="宋体" w:hAnsi="宋体" w:eastAsia="宋体"/>
          <w:b w:val="0"/>
          <w:spacing w:val="0"/>
          <w:sz w:val="21"/>
          <w:szCs w:val="21"/>
        </w:rPr>
      </w:pPr>
      <w:r>
        <w:rPr>
          <w:rFonts w:hint="eastAsia" w:ascii="宋体" w:hAnsi="宋体" w:eastAsia="宋体"/>
          <w:b w:val="0"/>
          <w:spacing w:val="0"/>
          <w:sz w:val="21"/>
          <w:szCs w:val="21"/>
        </w:rPr>
        <w:t>4、小型和微型企业产品的价格给予6%的扣除，用扣除后的价格参与评审，具体扣除比例请以第六章《评标办法和评标标准》的规定为准。</w:t>
      </w:r>
    </w:p>
    <w:p>
      <w:pPr>
        <w:pStyle w:val="8"/>
        <w:spacing w:line="360" w:lineRule="auto"/>
        <w:rPr>
          <w:rFonts w:ascii="宋体" w:hAnsi="宋体" w:eastAsia="宋体"/>
          <w:b w:val="0"/>
          <w:spacing w:val="0"/>
          <w:sz w:val="21"/>
          <w:szCs w:val="21"/>
        </w:rPr>
      </w:pPr>
      <w:r>
        <w:rPr>
          <w:rFonts w:hint="eastAsia" w:ascii="宋体" w:hAnsi="宋体" w:eastAsia="宋体"/>
          <w:b w:val="0"/>
          <w:spacing w:val="0"/>
          <w:sz w:val="21"/>
          <w:szCs w:val="21"/>
        </w:rPr>
        <w:t>5、小型、微型企业提供中型企业制造的货物的，视同为中型企业。</w:t>
      </w:r>
    </w:p>
    <w:p>
      <w:pPr>
        <w:pStyle w:val="8"/>
        <w:spacing w:line="360" w:lineRule="auto"/>
        <w:rPr>
          <w:rFonts w:ascii="宋体" w:hAnsi="宋体" w:eastAsia="宋体"/>
          <w:b w:val="0"/>
          <w:spacing w:val="0"/>
          <w:sz w:val="21"/>
          <w:szCs w:val="21"/>
        </w:rPr>
      </w:pPr>
      <w:r>
        <w:rPr>
          <w:rFonts w:hint="eastAsia" w:ascii="宋体" w:hAnsi="宋体" w:eastAsia="宋体"/>
          <w:b w:val="0"/>
          <w:spacing w:val="0"/>
          <w:sz w:val="21"/>
          <w:szCs w:val="21"/>
        </w:rPr>
        <w:t>6、小型、微型企业提供大型企业制造的货物的，视同为大型企业。</w:t>
      </w:r>
    </w:p>
    <w:p>
      <w:pPr>
        <w:pStyle w:val="8"/>
        <w:spacing w:line="360" w:lineRule="auto"/>
        <w:rPr>
          <w:rFonts w:ascii="宋体" w:hAnsi="宋体" w:eastAsia="宋体"/>
          <w:b w:val="0"/>
          <w:spacing w:val="0"/>
          <w:sz w:val="21"/>
          <w:szCs w:val="21"/>
        </w:rPr>
      </w:pPr>
      <w:r>
        <w:rPr>
          <w:rFonts w:hint="eastAsia" w:ascii="宋体" w:hAnsi="宋体" w:eastAsia="宋体"/>
          <w:b w:val="0"/>
          <w:spacing w:val="0"/>
          <w:sz w:val="21"/>
          <w:szCs w:val="21"/>
        </w:rPr>
        <w:t>7、磋商供应商必须自行为其磋商产品侵犯其他磋商供应商或专利人的专利成果承担相应法律责任；同时，具有产品专利的磋商供应商应在其竞争性磋商响应文件中提供与其自有产品专利相关的有效证明材料，否则，不能就其产品的专利在本项目磋商过程中被侵权问题提出异议。</w:t>
      </w:r>
      <w:r>
        <w:rPr>
          <w:rFonts w:hint="eastAsia" w:ascii="宋体" w:hAnsi="宋体" w:eastAsia="宋体"/>
          <w:b w:val="0"/>
          <w:spacing w:val="0"/>
          <w:sz w:val="21"/>
          <w:szCs w:val="21"/>
        </w:rPr>
        <w:tab/>
      </w:r>
    </w:p>
    <w:p>
      <w:pPr>
        <w:pStyle w:val="8"/>
        <w:spacing w:line="360" w:lineRule="auto"/>
        <w:rPr>
          <w:rFonts w:ascii="宋体" w:hAnsi="宋体" w:eastAsia="宋体"/>
          <w:b w:val="0"/>
          <w:spacing w:val="0"/>
          <w:sz w:val="21"/>
          <w:szCs w:val="21"/>
        </w:rPr>
      </w:pPr>
      <w:r>
        <w:rPr>
          <w:rFonts w:hint="eastAsia" w:ascii="宋体" w:hAnsi="宋体" w:eastAsia="宋体"/>
          <w:b w:val="0"/>
          <w:spacing w:val="0"/>
          <w:sz w:val="21"/>
          <w:szCs w:val="21"/>
        </w:rPr>
        <w:t>8、根据财政部《财库〔2019〕9号》文件，2019年4月1日起，对政府采购节能产品、环境标志产品实施品目清单管理。根据财政部《财库〔2019〕19号》文件，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本项目中属于政府强制采购的节能产品的，磋商供应商在响应文件中必须提供所投产品型号在中国政府采购网（http://www.ccgp.gov.cn）上属于节能产品的查询结果打印材料或国家认可的认证机构颁发的节能证书复印件，并加磋商供应商公章，否则磋商无效。</w:t>
      </w:r>
    </w:p>
    <w:p>
      <w:pPr>
        <w:spacing w:line="360" w:lineRule="auto"/>
        <w:rPr>
          <w:rFonts w:ascii="宋体" w:hAnsi="宋体"/>
          <w:sz w:val="24"/>
        </w:rPr>
      </w:pPr>
      <w:r>
        <w:rPr>
          <w:rFonts w:hint="eastAsia" w:ascii="宋体" w:hAnsi="宋体"/>
          <w:sz w:val="24"/>
        </w:rPr>
        <w:br w:type="page"/>
      </w:r>
    </w:p>
    <w:p>
      <w:pPr>
        <w:pStyle w:val="8"/>
        <w:rPr>
          <w:rFonts w:ascii="宋体" w:hAnsi="宋体" w:eastAsia="宋体"/>
          <w:b w:val="0"/>
          <w:spacing w:val="0"/>
          <w:sz w:val="21"/>
        </w:rPr>
      </w:pPr>
    </w:p>
    <w:tbl>
      <w:tblPr>
        <w:tblStyle w:val="15"/>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7"/>
        <w:gridCol w:w="1200"/>
        <w:gridCol w:w="5753"/>
        <w:gridCol w:w="625"/>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7" w:type="dxa"/>
            <w:shd w:val="clear" w:color="auto" w:fill="D9D9D9"/>
            <w:noWrap/>
            <w:tcMar>
              <w:top w:w="15" w:type="dxa"/>
              <w:left w:w="15" w:type="dxa"/>
              <w:right w:w="15" w:type="dxa"/>
            </w:tcMar>
            <w:vAlign w:val="center"/>
          </w:tcPr>
          <w:p>
            <w:pPr>
              <w:widowControl/>
              <w:spacing w:line="360" w:lineRule="exact"/>
              <w:jc w:val="left"/>
              <w:textAlignment w:val="center"/>
              <w:rPr>
                <w:rFonts w:ascii="宋体" w:hAnsi="宋体" w:cs="宋体"/>
                <w:b/>
                <w:szCs w:val="21"/>
              </w:rPr>
            </w:pPr>
            <w:bookmarkStart w:id="75" w:name="_Hlk39663017"/>
            <w:r>
              <w:rPr>
                <w:rFonts w:hint="eastAsia" w:ascii="宋体" w:hAnsi="宋体" w:cs="宋体"/>
                <w:b/>
                <w:kern w:val="0"/>
                <w:szCs w:val="21"/>
                <w:lang w:bidi="ar"/>
              </w:rPr>
              <w:t>序号</w:t>
            </w:r>
          </w:p>
        </w:tc>
        <w:tc>
          <w:tcPr>
            <w:tcW w:w="1200" w:type="dxa"/>
            <w:shd w:val="clear" w:color="auto" w:fill="D9D9D9"/>
            <w:tcMar>
              <w:top w:w="15" w:type="dxa"/>
              <w:left w:w="15" w:type="dxa"/>
              <w:right w:w="15" w:type="dxa"/>
            </w:tcMar>
            <w:vAlign w:val="center"/>
          </w:tcPr>
          <w:p>
            <w:pPr>
              <w:widowControl/>
              <w:spacing w:line="360" w:lineRule="exact"/>
              <w:jc w:val="center"/>
              <w:textAlignment w:val="center"/>
              <w:rPr>
                <w:rFonts w:ascii="宋体" w:hAnsi="宋体" w:cs="宋体"/>
                <w:b/>
                <w:szCs w:val="21"/>
              </w:rPr>
            </w:pPr>
            <w:r>
              <w:rPr>
                <w:rFonts w:hint="eastAsia" w:ascii="宋体" w:hAnsi="宋体" w:cs="宋体"/>
                <w:b/>
                <w:kern w:val="0"/>
                <w:szCs w:val="21"/>
                <w:lang w:bidi="ar"/>
              </w:rPr>
              <w:t>服务名称</w:t>
            </w:r>
          </w:p>
        </w:tc>
        <w:tc>
          <w:tcPr>
            <w:tcW w:w="5753" w:type="dxa"/>
            <w:shd w:val="clear" w:color="auto" w:fill="D9D9D9"/>
            <w:tcMar>
              <w:top w:w="15" w:type="dxa"/>
              <w:left w:w="15" w:type="dxa"/>
              <w:right w:w="15" w:type="dxa"/>
            </w:tcMar>
            <w:vAlign w:val="center"/>
          </w:tcPr>
          <w:p>
            <w:pPr>
              <w:widowControl/>
              <w:spacing w:line="360" w:lineRule="exact"/>
              <w:jc w:val="center"/>
              <w:textAlignment w:val="center"/>
              <w:rPr>
                <w:rFonts w:ascii="宋体" w:hAnsi="宋体" w:cs="宋体"/>
                <w:b/>
                <w:szCs w:val="21"/>
              </w:rPr>
            </w:pPr>
            <w:r>
              <w:rPr>
                <w:rFonts w:hint="eastAsia" w:ascii="宋体" w:hAnsi="宋体" w:cs="宋体"/>
                <w:b/>
                <w:kern w:val="0"/>
                <w:szCs w:val="21"/>
                <w:lang w:bidi="ar"/>
              </w:rPr>
              <w:t>配套软硬件技术指标要求</w:t>
            </w:r>
          </w:p>
        </w:tc>
        <w:tc>
          <w:tcPr>
            <w:tcW w:w="625" w:type="dxa"/>
            <w:shd w:val="clear" w:color="auto" w:fill="D9D9D9"/>
            <w:tcMar>
              <w:top w:w="15" w:type="dxa"/>
              <w:left w:w="15" w:type="dxa"/>
              <w:right w:w="15" w:type="dxa"/>
            </w:tcMar>
            <w:vAlign w:val="center"/>
          </w:tcPr>
          <w:p>
            <w:pPr>
              <w:widowControl/>
              <w:spacing w:line="360" w:lineRule="exact"/>
              <w:jc w:val="center"/>
              <w:textAlignment w:val="center"/>
              <w:rPr>
                <w:rFonts w:ascii="宋体" w:hAnsi="宋体" w:cs="宋体"/>
                <w:b/>
                <w:szCs w:val="21"/>
              </w:rPr>
            </w:pPr>
            <w:r>
              <w:rPr>
                <w:rFonts w:hint="eastAsia" w:ascii="宋体" w:hAnsi="宋体" w:cs="宋体"/>
                <w:b/>
                <w:kern w:val="0"/>
                <w:szCs w:val="21"/>
                <w:lang w:bidi="ar"/>
              </w:rPr>
              <w:t>单位</w:t>
            </w:r>
          </w:p>
        </w:tc>
        <w:tc>
          <w:tcPr>
            <w:tcW w:w="516" w:type="dxa"/>
            <w:shd w:val="clear" w:color="auto" w:fill="D9D9D9"/>
            <w:tcMar>
              <w:top w:w="15" w:type="dxa"/>
              <w:left w:w="15" w:type="dxa"/>
              <w:right w:w="15" w:type="dxa"/>
            </w:tcMar>
            <w:vAlign w:val="center"/>
          </w:tcPr>
          <w:p>
            <w:pPr>
              <w:widowControl/>
              <w:spacing w:line="360" w:lineRule="exact"/>
              <w:jc w:val="center"/>
              <w:textAlignment w:val="center"/>
              <w:rPr>
                <w:rFonts w:ascii="宋体" w:hAnsi="宋体" w:cs="宋体"/>
                <w:b/>
                <w:szCs w:val="21"/>
              </w:rPr>
            </w:pPr>
            <w:r>
              <w:rPr>
                <w:rFonts w:hint="eastAsia" w:ascii="宋体" w:hAnsi="宋体" w:cs="宋体"/>
                <w:b/>
                <w:kern w:val="0"/>
                <w:szCs w:val="21"/>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7" w:type="dxa"/>
            <w:shd w:val="clear" w:color="auto" w:fill="auto"/>
            <w:tcMar>
              <w:top w:w="15" w:type="dxa"/>
              <w:left w:w="15" w:type="dxa"/>
              <w:right w:w="15" w:type="dxa"/>
            </w:tcMar>
            <w:vAlign w:val="center"/>
          </w:tcPr>
          <w:p>
            <w:pPr>
              <w:widowControl/>
              <w:spacing w:line="360" w:lineRule="exact"/>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1200" w:type="dxa"/>
            <w:shd w:val="clear" w:color="auto" w:fill="auto"/>
            <w:tcMar>
              <w:top w:w="15" w:type="dxa"/>
              <w:left w:w="15" w:type="dxa"/>
              <w:right w:w="15" w:type="dxa"/>
            </w:tcMar>
            <w:vAlign w:val="center"/>
          </w:tcPr>
          <w:p>
            <w:pPr>
              <w:widowControl/>
              <w:spacing w:line="360" w:lineRule="exact"/>
              <w:jc w:val="left"/>
              <w:textAlignment w:val="center"/>
              <w:rPr>
                <w:rFonts w:ascii="宋体" w:hAnsi="宋体" w:cs="宋体"/>
                <w:b/>
                <w:kern w:val="0"/>
                <w:szCs w:val="21"/>
                <w:lang w:bidi="ar"/>
              </w:rPr>
            </w:pPr>
            <w:r>
              <w:rPr>
                <w:rFonts w:hint="eastAsia" w:ascii="宋体" w:hAnsi="宋体" w:cs="宋体"/>
                <w:b/>
                <w:kern w:val="0"/>
                <w:szCs w:val="21"/>
                <w:lang w:bidi="ar"/>
              </w:rPr>
              <w:t>乡镇司法所远程督查系统升级服务</w:t>
            </w:r>
          </w:p>
        </w:tc>
        <w:tc>
          <w:tcPr>
            <w:tcW w:w="5753" w:type="dxa"/>
            <w:shd w:val="clear" w:color="auto" w:fill="auto"/>
            <w:tcMar>
              <w:top w:w="15" w:type="dxa"/>
              <w:left w:w="15" w:type="dxa"/>
              <w:right w:w="15" w:type="dxa"/>
            </w:tcMar>
            <w:vAlign w:val="center"/>
          </w:tcPr>
          <w:p>
            <w:pPr>
              <w:spacing w:line="360" w:lineRule="exact"/>
              <w:jc w:val="left"/>
              <w:textAlignment w:val="center"/>
            </w:pPr>
            <w:r>
              <w:rPr>
                <w:rFonts w:hint="eastAsia" w:ascii="宋体" w:hAnsi="宋体" w:cs="宋体"/>
                <w:b/>
                <w:bCs/>
                <w:kern w:val="0"/>
                <w:szCs w:val="21"/>
                <w:lang w:bidi="ar"/>
              </w:rPr>
              <w:t>一、服务内容：</w:t>
            </w:r>
            <w:r>
              <w:rPr>
                <w:szCs w:val="21"/>
              </w:rPr>
              <w:t>提供远程视频</w:t>
            </w:r>
            <w:r>
              <w:rPr>
                <w:rFonts w:hint="eastAsia"/>
                <w:szCs w:val="21"/>
              </w:rPr>
              <w:t>督查</w:t>
            </w:r>
            <w:r>
              <w:rPr>
                <w:szCs w:val="21"/>
              </w:rPr>
              <w:t>服务，通过远程通信手段、数据加密及编解码技术、视频技术、语音信息化等技术手段，对司法所的工作规范性进行视频监督，保证司法行政社区矫正业务相关工作人员工作规范。实现对社区矫正对象社区矫正过程的远程监管，同时对主要社区矫正任务如教育培训、社区服务的效果落实情况的监管，从而保证社区矫正的效果，防止社区矫正对象社区矫正过程的敷衍了事，提高社区矫正对象社区矫正过程的规范性。</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二、提供服务所需的配套软硬件技术指标要求：</w:t>
            </w:r>
          </w:p>
          <w:p>
            <w:pPr>
              <w:pStyle w:val="2"/>
              <w:rPr>
                <w:rFonts w:ascii="宋体" w:hAnsi="宋体" w:cs="宋体"/>
                <w:b/>
                <w:bCs/>
                <w:kern w:val="0"/>
                <w:szCs w:val="21"/>
                <w:lang w:bidi="ar"/>
              </w:rPr>
            </w:pPr>
            <w:r>
              <w:rPr>
                <w:rFonts w:hint="eastAsia" w:ascii="宋体" w:hAnsi="宋体" w:cs="宋体"/>
                <w:b/>
                <w:bCs/>
                <w:kern w:val="0"/>
                <w:szCs w:val="21"/>
                <w:lang w:bidi="ar"/>
              </w:rPr>
              <w:t>（一）综合管理平台（1套）</w:t>
            </w:r>
          </w:p>
          <w:p>
            <w:pPr>
              <w:ind w:firstLine="315" w:firstLineChars="150"/>
              <w:rPr>
                <w:szCs w:val="21"/>
              </w:rPr>
            </w:pPr>
            <w:r>
              <w:rPr>
                <w:szCs w:val="21"/>
              </w:rPr>
              <w:t>1、平台应具有≥200路的监控授权路数，并可对设备在线率、录像状态、视频质量等运维状态进行统计，生成报表。</w:t>
            </w:r>
          </w:p>
          <w:p>
            <w:pPr>
              <w:ind w:firstLine="315" w:firstLineChars="150"/>
              <w:rPr>
                <w:szCs w:val="21"/>
              </w:rPr>
            </w:pPr>
            <w:r>
              <w:rPr>
                <w:szCs w:val="21"/>
              </w:rPr>
              <w:t>2、支持对用户、角色、组织、区域、人员、车辆、卡片、设备等基础资源进行管理调配。</w:t>
            </w:r>
          </w:p>
          <w:p>
            <w:pPr>
              <w:ind w:firstLine="315" w:firstLineChars="150"/>
              <w:rPr>
                <w:szCs w:val="21"/>
              </w:rPr>
            </w:pPr>
            <w:r>
              <w:rPr>
                <w:szCs w:val="21"/>
              </w:rPr>
              <w:t>3、可根据用户使用习惯自定义配置快捷功能入口，支持首页投放大屏展示，支持最近7天每日的用户活跃数统计。</w:t>
            </w:r>
          </w:p>
          <w:p>
            <w:pPr>
              <w:ind w:firstLine="315" w:firstLineChars="150"/>
              <w:rPr>
                <w:szCs w:val="21"/>
              </w:rPr>
            </w:pPr>
            <w:r>
              <w:rPr>
                <w:szCs w:val="21"/>
              </w:rPr>
              <w:t>4、支持以中心管理服务为核心的网络拓扑结构，支持对系统中的分组、服务器、组件等统计概览、查看。</w:t>
            </w:r>
          </w:p>
          <w:p>
            <w:pPr>
              <w:ind w:firstLine="315" w:firstLineChars="150"/>
              <w:rPr>
                <w:szCs w:val="21"/>
              </w:rPr>
            </w:pPr>
            <w:r>
              <w:rPr>
                <w:szCs w:val="21"/>
              </w:rPr>
              <w:t>5、支持多色彩（红、橙、黄）展示运行告警状态，支持告警统计、概览、处理，支持告警记录查看、查询，支持告警单条、批量处理，支持系统最近7天每日告警数统计，支持评分量化系统监控指数，显示系统运行状态。</w:t>
            </w:r>
          </w:p>
          <w:p>
            <w:pPr>
              <w:ind w:firstLine="315" w:firstLineChars="150"/>
              <w:rPr>
                <w:szCs w:val="21"/>
              </w:rPr>
            </w:pPr>
            <w:r>
              <w:rPr>
                <w:szCs w:val="21"/>
              </w:rPr>
              <w:t>6、能按照指定设备、指定通道进行图像的实时点播，支持点播图像的显示、缩放、抓拍和录像，支持多用户对同一图像资源的同时点播。</w:t>
            </w:r>
          </w:p>
          <w:p>
            <w:pPr>
              <w:ind w:firstLine="315" w:firstLineChars="150"/>
              <w:rPr>
                <w:szCs w:val="21"/>
              </w:rPr>
            </w:pPr>
            <w:r>
              <w:rPr>
                <w:szCs w:val="21"/>
              </w:rPr>
              <w:t>7、支持BS客户端、CS客户端、移动客户端（Android、iOS）视频预览，支持多浏览器实时预览。</w:t>
            </w:r>
          </w:p>
          <w:p>
            <w:pPr>
              <w:ind w:firstLine="315" w:firstLineChars="150"/>
              <w:rPr>
                <w:szCs w:val="21"/>
              </w:rPr>
            </w:pPr>
            <w:r>
              <w:rPr>
                <w:szCs w:val="21"/>
              </w:rPr>
              <w:t>8、客户端支持自动在1/4/6/7/9/16/24画面分隔模式间进行监控点轮巡预览，轮巡时间可设置，支持全屏显示。</w:t>
            </w:r>
          </w:p>
          <w:p>
            <w:pPr>
              <w:ind w:firstLine="315" w:firstLineChars="150"/>
              <w:rPr>
                <w:szCs w:val="21"/>
              </w:rPr>
            </w:pPr>
            <w:r>
              <w:rPr>
                <w:szCs w:val="21"/>
              </w:rPr>
              <w:t>9、预览画面支持监控点信息、语音对讲、开关声音、云台与镜头控制、抓图、多图抓拍等。</w:t>
            </w:r>
          </w:p>
          <w:p>
            <w:pPr>
              <w:ind w:firstLine="315" w:firstLineChars="150"/>
              <w:rPr>
                <w:szCs w:val="21"/>
              </w:rPr>
            </w:pPr>
            <w:r>
              <w:rPr>
                <w:szCs w:val="21"/>
              </w:rPr>
              <w:t>10、支持录像标签功能，支持搜索、修改、删除标签，并可通过标签定位录像并回放。</w:t>
            </w:r>
          </w:p>
          <w:p>
            <w:pPr>
              <w:ind w:firstLine="315" w:firstLineChars="150"/>
              <w:rPr>
                <w:szCs w:val="21"/>
              </w:rPr>
            </w:pPr>
            <w:r>
              <w:rPr>
                <w:szCs w:val="21"/>
              </w:rPr>
              <w:t>11、支持视频质量诊断，接收信号丢失、图像黑白等异常情况的报警信息。</w:t>
            </w:r>
          </w:p>
          <w:p>
            <w:pPr>
              <w:ind w:firstLine="315" w:firstLineChars="150"/>
              <w:rPr>
                <w:szCs w:val="21"/>
              </w:rPr>
            </w:pPr>
            <w:r>
              <w:rPr>
                <w:szCs w:val="21"/>
              </w:rPr>
              <w:t>12、支持对监控点、编码设备的在线状态进行设备巡检，并以统计图方式展示巡检结果。</w:t>
            </w:r>
          </w:p>
          <w:p>
            <w:pPr>
              <w:ind w:firstLine="315" w:firstLineChars="150"/>
              <w:rPr>
                <w:szCs w:val="21"/>
              </w:rPr>
            </w:pPr>
            <w:r>
              <w:rPr>
                <w:szCs w:val="21"/>
              </w:rPr>
              <w:t>13、支持本地安装、卸载组件，支持本地组件服务配置，回传配置信息；支持修改本地告警配置，从中心获取告警配置信息。</w:t>
            </w:r>
          </w:p>
          <w:p/>
          <w:p>
            <w:pPr>
              <w:pStyle w:val="2"/>
              <w:rPr>
                <w:rFonts w:ascii="宋体" w:hAnsi="宋体" w:cs="宋体"/>
                <w:b/>
                <w:bCs/>
                <w:kern w:val="0"/>
                <w:szCs w:val="21"/>
                <w:lang w:bidi="ar"/>
              </w:rPr>
            </w:pPr>
            <w:r>
              <w:rPr>
                <w:rFonts w:hint="eastAsia" w:ascii="宋体" w:hAnsi="宋体" w:cs="宋体"/>
                <w:b/>
                <w:bCs/>
                <w:kern w:val="0"/>
                <w:szCs w:val="21"/>
                <w:lang w:bidi="ar"/>
              </w:rPr>
              <w:t>（二）平台服务器（1套）</w:t>
            </w:r>
          </w:p>
          <w:p>
            <w:pPr>
              <w:ind w:firstLine="315" w:firstLineChars="150"/>
              <w:rPr>
                <w:szCs w:val="21"/>
              </w:rPr>
            </w:pPr>
            <w:r>
              <w:rPr>
                <w:szCs w:val="21"/>
              </w:rPr>
              <w:t>1、CPU≥1颗Xeon® Silver 4114（10核，2.2GHz）。</w:t>
            </w:r>
          </w:p>
          <w:p>
            <w:pPr>
              <w:ind w:firstLine="315" w:firstLineChars="150"/>
              <w:rPr>
                <w:szCs w:val="21"/>
              </w:rPr>
            </w:pPr>
            <w:r>
              <w:rPr>
                <w:szCs w:val="21"/>
              </w:rPr>
              <w:t>2、网口≥2个千兆电口，≥1个RJ45管理接口，≥4个USB 3.0接口，≥1个VGA接口。</w:t>
            </w:r>
          </w:p>
          <w:p>
            <w:pPr>
              <w:ind w:firstLine="315" w:firstLineChars="150"/>
              <w:rPr>
                <w:szCs w:val="21"/>
              </w:rPr>
            </w:pPr>
            <w:r>
              <w:rPr>
                <w:szCs w:val="21"/>
              </w:rPr>
              <w:t>3、内存≥32G*2 DDR4，≥16根内存插槽，最大支持扩展至2TB内存。</w:t>
            </w:r>
          </w:p>
          <w:p>
            <w:pPr>
              <w:ind w:firstLine="315" w:firstLineChars="150"/>
              <w:rPr>
                <w:szCs w:val="21"/>
              </w:rPr>
            </w:pPr>
            <w:r>
              <w:rPr>
                <w:szCs w:val="21"/>
              </w:rPr>
              <w:t>4、硬盘≥2块1T 7.2K 3.5寸 SATA硬盘，最高可支持12块3.5寸（兼容2.5寸）热插拔SAS/SATA硬盘。</w:t>
            </w:r>
          </w:p>
          <w:p>
            <w:pPr>
              <w:ind w:firstLine="315" w:firstLineChars="150"/>
              <w:rPr>
                <w:szCs w:val="21"/>
              </w:rPr>
            </w:pPr>
            <w:r>
              <w:rPr>
                <w:szCs w:val="21"/>
              </w:rPr>
              <w:t>5、阵列卡：SAS_HBA卡，支持RAID 0/1/10。</w:t>
            </w:r>
          </w:p>
          <w:p>
            <w:pPr>
              <w:ind w:firstLine="315" w:firstLineChars="150"/>
              <w:rPr>
                <w:szCs w:val="21"/>
              </w:rPr>
            </w:pPr>
            <w:r>
              <w:rPr>
                <w:szCs w:val="21"/>
              </w:rPr>
              <w:t>6、PCIE扩展可支持≥6个PCIE扩展插槽。</w:t>
            </w:r>
          </w:p>
          <w:p>
            <w:pPr>
              <w:ind w:firstLine="315" w:firstLineChars="150"/>
              <w:rPr>
                <w:szCs w:val="21"/>
              </w:rPr>
            </w:pPr>
            <w:r>
              <w:rPr>
                <w:szCs w:val="21"/>
              </w:rPr>
              <w:t>7、电源标配550W（1+1）高效铂金CRPS冗余电源，≥2U双路标准机架式服务器。</w:t>
            </w:r>
          </w:p>
          <w:p>
            <w:pPr>
              <w:pStyle w:val="2"/>
              <w:rPr>
                <w:rFonts w:ascii="宋体" w:hAnsi="宋体" w:cs="宋体"/>
                <w:b/>
                <w:bCs/>
                <w:kern w:val="0"/>
                <w:szCs w:val="21"/>
                <w:lang w:bidi="ar"/>
              </w:rPr>
            </w:pPr>
            <w:r>
              <w:rPr>
                <w:rFonts w:hint="eastAsia" w:ascii="宋体" w:hAnsi="宋体" w:cs="宋体"/>
                <w:b/>
                <w:bCs/>
                <w:kern w:val="0"/>
                <w:szCs w:val="21"/>
                <w:lang w:bidi="ar"/>
              </w:rPr>
              <w:t>（三）解码器（1套）</w:t>
            </w:r>
          </w:p>
          <w:p>
            <w:pPr>
              <w:ind w:firstLine="315" w:firstLineChars="150"/>
              <w:rPr>
                <w:szCs w:val="21"/>
              </w:rPr>
            </w:pPr>
            <w:r>
              <w:rPr>
                <w:szCs w:val="21"/>
              </w:rPr>
              <w:t>1、根据项目的实际使用状况，采用嵌入式架构，专用Linux系统，为了设备稳定可靠运行，不得采用工控机或者PC机的X86架构。</w:t>
            </w:r>
          </w:p>
          <w:p>
            <w:pPr>
              <w:ind w:firstLine="315" w:firstLineChars="150"/>
              <w:rPr>
                <w:szCs w:val="21"/>
              </w:rPr>
            </w:pPr>
            <w:r>
              <w:rPr>
                <w:rFonts w:hint="eastAsia"/>
                <w:szCs w:val="21"/>
              </w:rPr>
              <w:t>▲</w:t>
            </w:r>
            <w:r>
              <w:rPr>
                <w:szCs w:val="21"/>
              </w:rPr>
              <w:t>2、具备丰富的接口：≥1个RS485接口，≥1路语音输入/输出，≥8路报警输入/输出，≥1个VGA输入接口，≥8个HDMI输出，≥1个音频输出接口，≥2个视频输出接口，≥2个USB接口，≥20个RJ45接口。</w:t>
            </w:r>
          </w:p>
          <w:p>
            <w:pPr>
              <w:ind w:firstLine="315" w:firstLineChars="150"/>
              <w:rPr>
                <w:szCs w:val="21"/>
              </w:rPr>
            </w:pPr>
            <w:r>
              <w:rPr>
                <w:szCs w:val="21"/>
              </w:rPr>
              <w:t>3、支持ONVIF、RTSP、H264、H265等协议。</w:t>
            </w:r>
          </w:p>
          <w:p>
            <w:pPr>
              <w:ind w:firstLine="315" w:firstLineChars="150"/>
              <w:rPr>
                <w:szCs w:val="21"/>
              </w:rPr>
            </w:pPr>
            <w:r>
              <w:rPr>
                <w:rFonts w:hint="eastAsia"/>
                <w:szCs w:val="21"/>
              </w:rPr>
              <w:t>▲</w:t>
            </w:r>
            <w:r>
              <w:rPr>
                <w:szCs w:val="21"/>
              </w:rPr>
              <w:t>4、设备可对实时视频流及录像文件进行解码输出显示，解码能力支持：≥8路分辨率为4000×3000(20fps)的H.265、Smart265视频图像，≥16路分辨率为4096×2160(25fps)的H.265、Smart265视频图像，≥16路分辨率为3840×2160(25fps)的H.265、Smart265视频图像，≥24路分辨率为2592×1944(30fps)的H.265、Smart265视频图像，≥64路分辨率为1920×1080(30fps)的H.265、Smart265视频图像，≥124路分辨率为1280×720(30fps)的H.265、Smart265视频图像。</w:t>
            </w:r>
          </w:p>
          <w:p>
            <w:pPr>
              <w:ind w:firstLine="315" w:firstLineChars="150"/>
              <w:rPr>
                <w:szCs w:val="21"/>
              </w:rPr>
            </w:pPr>
            <w:r>
              <w:rPr>
                <w:szCs w:val="21"/>
              </w:rPr>
              <w:t>5、支持解码显示画面1/4/6/8/9/12/16画面分割显示。</w:t>
            </w:r>
          </w:p>
          <w:p>
            <w:pPr>
              <w:ind w:firstLine="315" w:firstLineChars="150"/>
              <w:rPr>
                <w:szCs w:val="21"/>
              </w:rPr>
            </w:pPr>
            <w:r>
              <w:rPr>
                <w:szCs w:val="21"/>
              </w:rPr>
              <w:t>6、VGA接口输出可以设置1024×768、1280×1024、1280×720、1920×1080、1600×1200等视频图像。</w:t>
            </w:r>
          </w:p>
          <w:p>
            <w:pPr>
              <w:ind w:firstLine="315" w:firstLineChars="150"/>
              <w:rPr>
                <w:szCs w:val="21"/>
              </w:rPr>
            </w:pPr>
            <w:r>
              <w:rPr>
                <w:szCs w:val="21"/>
              </w:rPr>
              <w:t>7、可通过客户端设置HDMI接口输出分辨率1024×768、1280×1024、1280×720、1920×1080、1600×1200等视频图像。</w:t>
            </w:r>
          </w:p>
          <w:p>
            <w:pPr>
              <w:ind w:firstLine="315" w:firstLineChars="150"/>
              <w:rPr>
                <w:szCs w:val="21"/>
              </w:rPr>
            </w:pPr>
            <w:r>
              <w:rPr>
                <w:rFonts w:hint="eastAsia"/>
                <w:szCs w:val="21"/>
              </w:rPr>
              <w:t>▲</w:t>
            </w:r>
            <w:r>
              <w:rPr>
                <w:szCs w:val="21"/>
              </w:rPr>
              <w:t>8、可通过客户端软件进行≥2画面分割同时显示走廊模式下的视频画面，具有NTP校时及客户端软件手动校时两种校时方式。</w:t>
            </w:r>
          </w:p>
          <w:p>
            <w:pPr>
              <w:ind w:firstLine="315" w:firstLineChars="150"/>
              <w:rPr>
                <w:szCs w:val="21"/>
              </w:rPr>
            </w:pPr>
            <w:r>
              <w:rPr>
                <w:rFonts w:hint="eastAsia"/>
                <w:szCs w:val="21"/>
              </w:rPr>
              <w:t>▲</w:t>
            </w:r>
            <w:r>
              <w:rPr>
                <w:szCs w:val="21"/>
              </w:rPr>
              <w:t>9、可通过有线网络及无线网络（含wifi热点）模式访问设备，可解码显示智能行为分析信息，包括移动侦测、越界入侵、区域入侵、起身离开等，并上传报警信息。</w:t>
            </w:r>
          </w:p>
          <w:p>
            <w:pPr>
              <w:ind w:firstLine="315" w:firstLineChars="150"/>
              <w:rPr>
                <w:szCs w:val="21"/>
              </w:rPr>
            </w:pPr>
            <w:r>
              <w:rPr>
                <w:szCs w:val="21"/>
              </w:rPr>
              <w:t>10、客户端具有可以重启设备，进行恢复出厂设置功能。</w:t>
            </w:r>
          </w:p>
          <w:p>
            <w:pPr>
              <w:ind w:firstLine="315" w:firstLineChars="150"/>
              <w:rPr>
                <w:szCs w:val="21"/>
              </w:rPr>
            </w:pPr>
            <w:r>
              <w:rPr>
                <w:szCs w:val="21"/>
              </w:rPr>
              <w:t>11、支持客户端或IE浏览器控制，可将客户端当前回放的录像同步解码后输出显示。</w:t>
            </w:r>
          </w:p>
          <w:p>
            <w:pPr>
              <w:ind w:firstLine="420" w:firstLineChars="200"/>
              <w:rPr>
                <w:szCs w:val="21"/>
              </w:rPr>
            </w:pPr>
            <w:r>
              <w:rPr>
                <w:szCs w:val="21"/>
              </w:rPr>
              <w:t>12、支持客户端与设备之间双向语音对讲。</w:t>
            </w:r>
          </w:p>
          <w:p>
            <w:pPr>
              <w:ind w:firstLine="420" w:firstLineChars="200"/>
            </w:pPr>
            <w:r>
              <w:rPr>
                <w:szCs w:val="21"/>
              </w:rPr>
              <w:t>13、设备通过高温、低温检测（高温55±2℃，低温-20±3℃，湿度93%，能正常稳定工作。</w:t>
            </w:r>
          </w:p>
          <w:p>
            <w:pPr>
              <w:pStyle w:val="2"/>
              <w:rPr>
                <w:rFonts w:ascii="宋体" w:hAnsi="宋体" w:cs="宋体"/>
                <w:b/>
                <w:bCs/>
                <w:kern w:val="0"/>
                <w:szCs w:val="21"/>
                <w:lang w:bidi="ar"/>
              </w:rPr>
            </w:pPr>
            <w:r>
              <w:rPr>
                <w:rFonts w:hint="eastAsia" w:ascii="宋体" w:hAnsi="宋体" w:cs="宋体"/>
                <w:b/>
                <w:bCs/>
                <w:kern w:val="0"/>
                <w:szCs w:val="21"/>
                <w:lang w:bidi="ar"/>
              </w:rPr>
              <w:t>（四）司法所监控系统监控及回传（12套）</w:t>
            </w:r>
          </w:p>
          <w:p>
            <w:r>
              <w:t>司法所部分监控设备更换、增加拾音器和报警按钮、线路和交换机设备故障排查及部分更换，前端NVR存储升级及回传县司法局平台解码上墙</w:t>
            </w:r>
            <w:r>
              <w:rPr>
                <w:rFonts w:hint="eastAsia"/>
              </w:rPr>
              <w:t>。</w:t>
            </w:r>
          </w:p>
          <w:p>
            <w:pPr>
              <w:pStyle w:val="2"/>
              <w:rPr>
                <w:rFonts w:ascii="宋体" w:hAnsi="宋体" w:cs="宋体"/>
                <w:b/>
                <w:bCs/>
                <w:kern w:val="0"/>
                <w:szCs w:val="21"/>
                <w:lang w:bidi="ar"/>
              </w:rPr>
            </w:pPr>
            <w:r>
              <w:rPr>
                <w:rFonts w:hint="eastAsia" w:ascii="宋体" w:hAnsi="宋体" w:cs="宋体"/>
                <w:b/>
                <w:bCs/>
                <w:kern w:val="0"/>
                <w:szCs w:val="21"/>
                <w:lang w:bidi="ar"/>
              </w:rPr>
              <w:t>（五）12个乡镇司法所电子政务外网服务（12项）</w:t>
            </w:r>
          </w:p>
          <w:p>
            <w:r>
              <w:t>镇政府到司法所光缆交换机光纤收发器熔纤等材料和技术服务</w:t>
            </w:r>
            <w:r>
              <w:rPr>
                <w:rFonts w:hint="eastAsia"/>
              </w:rPr>
              <w:t>。</w:t>
            </w:r>
          </w:p>
        </w:tc>
        <w:tc>
          <w:tcPr>
            <w:tcW w:w="6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516"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7" w:type="dxa"/>
            <w:shd w:val="clear" w:color="auto" w:fill="auto"/>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kern w:val="0"/>
                <w:szCs w:val="21"/>
                <w:lang w:bidi="ar"/>
              </w:rPr>
              <w:t>2</w:t>
            </w:r>
          </w:p>
        </w:tc>
        <w:tc>
          <w:tcPr>
            <w:tcW w:w="1200" w:type="dxa"/>
            <w:shd w:val="clear" w:color="auto" w:fill="auto"/>
            <w:tcMar>
              <w:top w:w="15" w:type="dxa"/>
              <w:left w:w="15" w:type="dxa"/>
              <w:right w:w="15" w:type="dxa"/>
            </w:tcMar>
            <w:vAlign w:val="center"/>
          </w:tcPr>
          <w:p>
            <w:pPr>
              <w:widowControl/>
              <w:spacing w:line="360" w:lineRule="exact"/>
              <w:jc w:val="left"/>
              <w:textAlignment w:val="center"/>
              <w:rPr>
                <w:rFonts w:ascii="宋体" w:hAnsi="宋体" w:cs="宋体"/>
                <w:szCs w:val="21"/>
              </w:rPr>
            </w:pPr>
            <w:r>
              <w:rPr>
                <w:rFonts w:hint="eastAsia" w:ascii="宋体" w:hAnsi="宋体" w:cs="宋体"/>
                <w:b/>
                <w:kern w:val="0"/>
                <w:szCs w:val="21"/>
                <w:lang w:bidi="ar"/>
              </w:rPr>
              <w:t>公共法律智能咨询系统定制化服务</w:t>
            </w:r>
          </w:p>
        </w:tc>
        <w:tc>
          <w:tcPr>
            <w:tcW w:w="5753" w:type="dxa"/>
            <w:shd w:val="clear" w:color="auto" w:fill="auto"/>
            <w:tcMar>
              <w:top w:w="15" w:type="dxa"/>
              <w:left w:w="15" w:type="dxa"/>
              <w:right w:w="15" w:type="dxa"/>
            </w:tcMar>
            <w:vAlign w:val="center"/>
          </w:tcPr>
          <w:p>
            <w:pPr>
              <w:widowControl/>
              <w:spacing w:line="360" w:lineRule="exact"/>
              <w:jc w:val="left"/>
              <w:textAlignment w:val="center"/>
              <w:rPr>
                <w:rFonts w:ascii="宋体" w:hAnsi="宋体" w:cs="宋体"/>
                <w:b/>
                <w:bCs/>
                <w:kern w:val="0"/>
                <w:szCs w:val="21"/>
                <w:lang w:bidi="ar"/>
              </w:rPr>
            </w:pPr>
            <w:r>
              <w:rPr>
                <w:rFonts w:hint="eastAsia" w:ascii="宋体" w:hAnsi="宋体" w:cs="宋体"/>
                <w:b/>
                <w:bCs/>
                <w:kern w:val="0"/>
                <w:szCs w:val="21"/>
                <w:lang w:bidi="ar"/>
              </w:rPr>
              <w:t>一、服务内容：</w:t>
            </w:r>
            <w:r>
              <w:rPr>
                <w:rFonts w:hint="eastAsia" w:ascii="宋体" w:hAnsi="宋体" w:cs="宋体"/>
                <w:kern w:val="0"/>
                <w:szCs w:val="21"/>
                <w:lang w:bidi="ar"/>
              </w:rPr>
              <w:t>定制公共法律服务智能咨询系统，利用智能系统的普惠性、普适性，线上线下服务共推进，法律服务零距离，精准无差别，大幅提升司法惠民的效率，让百姓可以实实在在的获得优质的法律服务。</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二、提供服务所需的配套软硬件技术指标要求：</w:t>
            </w:r>
          </w:p>
          <w:p>
            <w:pPr>
              <w:widowControl/>
              <w:spacing w:line="360" w:lineRule="exact"/>
              <w:jc w:val="left"/>
              <w:textAlignment w:val="center"/>
              <w:rPr>
                <w:rFonts w:ascii="宋体" w:hAnsi="宋体" w:cs="宋体"/>
                <w:b/>
                <w:bCs/>
                <w:kern w:val="0"/>
                <w:szCs w:val="21"/>
                <w:lang w:bidi="ar"/>
              </w:rPr>
            </w:pPr>
            <w:r>
              <w:rPr>
                <w:rFonts w:hint="eastAsia" w:ascii="宋体" w:hAnsi="宋体" w:cs="宋体"/>
                <w:b/>
                <w:bCs/>
                <w:kern w:val="0"/>
                <w:szCs w:val="21"/>
                <w:lang w:bidi="ar"/>
              </w:rPr>
              <w:t>（一）公共法律服务业务展示服务（1项）</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一、公共法律服务业务展示服务：部署一台触摸查询终端，提供方便群众进行法律援助、公证、人民调解等相关查询和办事指引服务。</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1、尺寸：43寸、触控显示面板；</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2、分辨率：≥1920×1080；</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3、钢化玻璃10点电容触控；</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4、CPU：四核；</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5、内存：2G及以上；</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6、存储：8G及以上；</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7、系统：Android 5.1及以上</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 xml:space="preserve">8、HDMI：支持HDMI输出； </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9、SD：支持SD卡槽；</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10、USB：支持USB2.0、USB3.0；</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11、RJ45 ：支持网口端输入；</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12、DC：支持12V DC；</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13、支持WIFI、蓝牙；</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14、支持10M/100M自适应以太网；</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15、无锐角安全设计，大K底座；</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 xml:space="preserve">16、支持系统固化到设备 ROM 中：系统数据能在芯片级上进行防篡改安全加固。 </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 xml:space="preserve">17、时间令牌加密：使用时间令牌及区块链技术精确同步时间比对加密身份、案件、信息，确保数据的唯一、真实、合法。 </w:t>
            </w:r>
          </w:p>
          <w:p>
            <w:pPr>
              <w:pStyle w:val="2"/>
              <w:rPr>
                <w:lang w:bidi="ar"/>
              </w:rPr>
            </w:pPr>
            <w:r>
              <w:rPr>
                <w:rFonts w:hint="eastAsia" w:ascii="宋体" w:hAnsi="宋体" w:cs="宋体"/>
                <w:kern w:val="0"/>
                <w:szCs w:val="21"/>
                <w:lang w:bidi="ar"/>
              </w:rPr>
              <w:t>18、设备及系统兼容国产安可系统，确保涉密交换数据安全，符合国家信息安全政策要求。</w:t>
            </w:r>
          </w:p>
          <w:p>
            <w:pPr>
              <w:widowControl/>
              <w:spacing w:line="360" w:lineRule="exact"/>
              <w:jc w:val="left"/>
              <w:textAlignment w:val="center"/>
              <w:rPr>
                <w:rFonts w:ascii="宋体" w:hAnsi="宋体" w:cs="宋体"/>
                <w:b/>
                <w:bCs/>
                <w:kern w:val="0"/>
                <w:szCs w:val="21"/>
                <w:lang w:bidi="ar"/>
              </w:rPr>
            </w:pPr>
            <w:r>
              <w:rPr>
                <w:rFonts w:hint="eastAsia" w:ascii="宋体" w:hAnsi="宋体" w:cs="宋体"/>
                <w:b/>
                <w:bCs/>
                <w:kern w:val="0"/>
                <w:szCs w:val="21"/>
                <w:lang w:bidi="ar"/>
              </w:rPr>
              <w:t>（二）公共法律服务业务展示服务系统定制（1项）</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为响应自治区司法厅关于转发《司法部关于印发公共法律服务网络平台 实体平台 热线平台融合发展实施方案的通知》的通知政策要求，本项目需配备终端软件系统要求：</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1、配备的智能终端设备要全部实现安装广西公共法律服务智能设备客户端应用软件（广西法网•桂法通APP），实现与广西法律服务网互联互通，数据共享。</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2、具备线上智能咨询。</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3、具备法律服务地图查找，可以通过法律服务地图查到法律服务机构及法律服务人员的数据。</w:t>
            </w:r>
          </w:p>
          <w:p>
            <w:pPr>
              <w:pStyle w:val="2"/>
              <w:rPr>
                <w:rFonts w:ascii="宋体" w:hAnsi="宋体" w:cs="宋体"/>
                <w:szCs w:val="21"/>
              </w:rPr>
            </w:pPr>
            <w:r>
              <w:rPr>
                <w:rFonts w:hint="eastAsia" w:ascii="宋体" w:hAnsi="宋体" w:cs="宋体"/>
                <w:kern w:val="0"/>
                <w:szCs w:val="21"/>
                <w:lang w:bidi="ar"/>
              </w:rPr>
              <w:t>4、具备服务对象的业务咨询、查询等大数据智能汇总分析，形成有效的数据分析报告，为决策预警、资源调配、政策分析等提供有效数据支持功能。</w:t>
            </w:r>
          </w:p>
        </w:tc>
        <w:tc>
          <w:tcPr>
            <w:tcW w:w="6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kern w:val="0"/>
                <w:szCs w:val="21"/>
                <w:lang w:bidi="ar"/>
              </w:rPr>
              <w:t>项</w:t>
            </w:r>
          </w:p>
        </w:tc>
        <w:tc>
          <w:tcPr>
            <w:tcW w:w="516"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7" w:type="dxa"/>
            <w:shd w:val="clear" w:color="auto" w:fill="auto"/>
            <w:tcMar>
              <w:top w:w="15" w:type="dxa"/>
              <w:left w:w="15" w:type="dxa"/>
              <w:right w:w="15" w:type="dxa"/>
            </w:tcMar>
            <w:vAlign w:val="center"/>
          </w:tcPr>
          <w:p>
            <w:pPr>
              <w:widowControl/>
              <w:spacing w:line="360" w:lineRule="exact"/>
              <w:jc w:val="left"/>
              <w:textAlignment w:val="center"/>
              <w:rPr>
                <w:rFonts w:ascii="宋体" w:hAnsi="宋体" w:cs="宋体"/>
                <w:szCs w:val="21"/>
              </w:rPr>
            </w:pPr>
            <w:r>
              <w:rPr>
                <w:rFonts w:hint="eastAsia" w:ascii="宋体" w:hAnsi="宋体" w:cs="宋体"/>
                <w:kern w:val="0"/>
                <w:szCs w:val="21"/>
                <w:lang w:bidi="ar"/>
              </w:rPr>
              <w:t>3</w:t>
            </w:r>
          </w:p>
        </w:tc>
        <w:tc>
          <w:tcPr>
            <w:tcW w:w="1200" w:type="dxa"/>
            <w:shd w:val="clear" w:color="auto" w:fill="auto"/>
            <w:tcMar>
              <w:top w:w="15" w:type="dxa"/>
              <w:left w:w="15" w:type="dxa"/>
              <w:right w:w="15" w:type="dxa"/>
            </w:tcMar>
            <w:vAlign w:val="center"/>
          </w:tcPr>
          <w:p>
            <w:pPr>
              <w:widowControl/>
              <w:spacing w:line="360" w:lineRule="exact"/>
              <w:jc w:val="center"/>
              <w:textAlignment w:val="center"/>
              <w:rPr>
                <w:rFonts w:ascii="宋体" w:hAnsi="宋体" w:cs="宋体"/>
                <w:b/>
                <w:kern w:val="0"/>
                <w:szCs w:val="21"/>
                <w:lang w:bidi="ar"/>
              </w:rPr>
            </w:pPr>
            <w:r>
              <w:rPr>
                <w:rFonts w:hint="eastAsia" w:ascii="宋体" w:hAnsi="宋体" w:cs="宋体"/>
                <w:b/>
                <w:kern w:val="0"/>
                <w:szCs w:val="21"/>
                <w:lang w:bidi="ar"/>
              </w:rPr>
              <w:t>远程视频会议系统定制服务</w:t>
            </w:r>
          </w:p>
        </w:tc>
        <w:tc>
          <w:tcPr>
            <w:tcW w:w="5753" w:type="dxa"/>
            <w:shd w:val="clear" w:color="auto" w:fill="auto"/>
            <w:tcMar>
              <w:top w:w="15" w:type="dxa"/>
              <w:left w:w="15" w:type="dxa"/>
              <w:right w:w="15" w:type="dxa"/>
            </w:tcMar>
            <w:vAlign w:val="center"/>
          </w:tcPr>
          <w:p>
            <w:pPr>
              <w:widowControl/>
              <w:spacing w:line="360" w:lineRule="exact"/>
              <w:textAlignment w:val="center"/>
              <w:rPr>
                <w:rFonts w:ascii="宋体" w:hAnsi="宋体" w:cs="宋体"/>
                <w:kern w:val="0"/>
                <w:szCs w:val="21"/>
                <w:lang w:bidi="ar"/>
              </w:rPr>
            </w:pPr>
            <w:r>
              <w:rPr>
                <w:rFonts w:hint="eastAsia" w:ascii="宋体" w:hAnsi="宋体" w:cs="宋体"/>
                <w:b/>
                <w:bCs/>
                <w:kern w:val="0"/>
                <w:szCs w:val="21"/>
                <w:lang w:bidi="ar"/>
              </w:rPr>
              <w:t>一、服务内容：</w:t>
            </w:r>
            <w:r>
              <w:rPr>
                <w:rFonts w:hint="eastAsia" w:ascii="宋体" w:hAnsi="宋体" w:cs="宋体"/>
                <w:kern w:val="0"/>
                <w:szCs w:val="21"/>
                <w:lang w:bidi="ar"/>
              </w:rPr>
              <w:t>为提升司法局工作效率，减少不必要的交通时间损耗，提供必要的远程协助手段，富川瑶族自治县司法局在全县乡镇司法所与县司法局建设远程视频会议系统，远程会议系统提供同时发起多方远程会议及多场1对1远程会议的服务。</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二、提供服务所需的配套软硬件技术指标要求：</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※主会场（县级会场）</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（一）视频会议主机（1台）</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全新一代服务器，集成CMS、CRS、MCU、GK、直播、存储六大服务于一体，插卡式模块设计，支持高清分辨率，带来极致的远程视频会议体验。</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1.服务器采用嵌入式操作系统，非Windows操作系统；采用电信级设计、插卡式模块设计，支持7*24小时连续工作。</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2.具有良好的兼容性，支持ITU-T H.323.IETF SIP协议，支持H.323.SIP、RTSP等协议的设备混合入会，支持RTSP监控摄像机入会，支持和监控平台无缝对接。</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3.带宽速率支持64Kbps-8Mbps；支持QCIF、CIF、4CIF、480P、D1.720P、1080P视频分辨率；支持H.264.H.264 MP、H.264 HP、H.265视频编解码协议，支持G.711.G.722.G.722.1.G.722.1C、OPUS等音频编解码协议，音质最高达48KHz。</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支持以图表形式按日、周、月、年等时间长度显示服务器的CPU使用率和内存使用率，支持以图表形式实时统计和展示终端设备在线数、会议详情（包括会议数量、会议名称、会议状态、会议时长等）。需提供第三方检验报告复印件并盖生产厂商公章。</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5.单机支持≥4路物理会议，支持并发≥20个虚拟会议，支持≥16路1080P并发用户；支持级联，级联可支持1000以上用户入会；支持MCU组成资源池，实现MCU资源的统一管理、动态分配MCU资源、相互备份。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6.单台设备支持≥8路HDMI视频输出，可将会议画面直接输出；为系统稳定性，设备具备有双网口。</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7.支持所有终端同时发送辅流，支持所有终端同时观看≥25路辅流，支持主流辅流混合画面；支持主视频1080p60fps时，辅视频同时实现1080P60fps高清效果。</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8.内置GK模块，支持终端注册E.164分机号，并使用E.164分机号互相呼叫；内置会议录制模块，可对多个会议视频、音频进行实时录制存储，支持扩展存储容量到4TB。</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9.支持视频点名功能，可设置点名主题、画面布局、主会场、主会场显示窗口、被点名会场显示窗口，点名结束后可生成完整点名结果的excel表格下载保存。（提供功能界面截图，并盖生产厂商公章）支持多种多画面布局，每屏最多</w:t>
            </w:r>
            <w:r>
              <w:rPr>
                <w:rFonts w:ascii="宋体" w:hAnsi="宋体" w:cs="宋体"/>
                <w:kern w:val="0"/>
                <w:szCs w:val="21"/>
                <w:lang w:bidi="ar"/>
              </w:rPr>
              <w:t>64画面。（提供功能界面截图，并盖生产厂商公章）</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10.支持电子白板、电子投票、会议签到、文件共享等数据会议功能；支持中英文字幕、横幅、滚动消息、显示会场名称，满足会议辅助显示功能。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11.支持在控制web上进行网络ping测试、路由跟踪测试、网络带宽测试等。</w:t>
            </w:r>
            <w:r>
              <w:rPr>
                <w:rFonts w:ascii="宋体" w:hAnsi="宋体" w:cs="宋体"/>
                <w:kern w:val="0"/>
                <w:szCs w:val="21"/>
                <w:lang w:bidi="ar"/>
              </w:rPr>
              <w:t>(提供功能界面截图，并盖生产厂商公章)</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12.支持在会议控制界面直接观看会议实时视频。支持直播功能，可任意选择会议中一个会场或者合成媒体流作为直播源，并可随时切换直播源；支持手机等设备通过扫码方式观看直播，直播过程中可进行文字聊天。需提供第三方检验报告复印件并盖生产厂商公章。</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13.支持与第三方系统融合，支持通过SDK调用系统的预约会议、获取会议列表、停止会议、删除会议、呼叫离线成员、设置成员观看内容、设置录制、设置直播、设置轮询、调节摄像机、发送滚动消息、设置横幅、切换画面布局、控制各个会场的发言权等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14.支持FEC向前纠错功能，当数据丢包率小于20%且不是连续的丢包时，画面不会出现模糊不清或严重马赛克的情况。</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15.支持H.239数字双流技术，主辅流皆可达到1080P，VCS会议模式支持所有终端同时发送辅流（支持同一会议N个终端同一时间发送N个辅流），支持主流辅流混合画面；支持主视频1080p60fps时，辅视频同时实现1080P60fps高清效果。</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16.H.323会议模式支持常见的多种多画面布局，每屏最多64画面；支持画面自动分屏功能，支持画面轮询功能，可指定轮询窗口画面、轮询会场、轮询次数时间等；H.323会议模式支持在会议控制界面直接观看会议实时视频，支持会场终端画面融入式远程呈现；并支持会场预览画面快照功能，以jpg图片方式保存到服务器。</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17.支持广播会场功能，广播会场模式下，会议布局被切换至只显示被广播的会场的模式，所有在会会场只能观看被广播会场的画面。</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18.支持RTSP视频码流对接设备，支持监控IP摄像机通过RTSP视频流对接方式直接入会，可以与监控平台无缝对接。</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19.支持直播功能，支持RTMP、HLS直播方式；可任意选择会议中一个会场或者合成媒体流作为直播源，并可随时切换直播源；支持浏览器或播放器访问直播链接地址即可观看会议直播，支持直播访问密码管理功能；直播直播观看人数不受并发数限制，通过后台管理可查看观看人数。</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20.支持手机等设备通过扫码（二维码）方式观看会议直播，在会议直播过程中可进行文字聊天。</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21.可设置会议密码，会议控制密码，管理员密码；支持AES 128位动态加密算法、H.235视频会议加密标准，确保会议的安全性。</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22.会议通知方式支持通过短信或通过邮件通知，会议召开、会议变更、会议取消都可设置对应的通知消息；对于手机APP客户端，支持APP消息通知推送功能。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23.会议通知方式支持通过短信或通过邮件通知，会议召开、会议变更、会议取消都可设置对应的通知消息；对于手机APP客户端，支持APP消息通知推送功能；支持中英文字幕、横幅、滚动消息、显示会场名称，满足会议辅助显示功能；支持视频软终端接入会议，并实现数据双流功能，在VCS模式下，还可支持电子白板、投票表决、会议签到等功能；软终端支持安装在Windows或MAC电脑版、IOS或Android手机平板端。</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24.支持智能流控功能，包括通知编码和码率自动调整功能，通知编码启动后，MCU会根据终端在MCU上显示的窗口大小自动调节终端的编码参数，码率自动调整功能启动后，MCU端会根据发送信号的丢包、延时等情况自动调整MCU的编码码率。</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25.具有丰富的音频处理机制及管理模式，支持唇音同步、智能多路混音、回声消除、自动增益、噪声消除、会场发言管理；支持入会自动静音功能，后台管理终端支持全部静音、全部发言、全部闭音等功能。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26.支持语音激励控制模式，终端发言时，在画面布局中的画面宽以不同颜色区分，以提示该会场正在发言。</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27.VCS会议支持主席控制会议模式，自由模式，在该模式下，主席终端可实现会议管理、画面布局等功能。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28.支持音视频编码选择功能，可实现音频视频同步编码或纯音频编码。</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29.支持会场断点重邀功能；选择总是邀请时，终端异常掉线后MCU每隔10秒会重新邀请终端入会，直到终端入会为止。选择有限邀请时；需要设定邀请次数，邀请超过设定次数MCU就不再邀请，选择不邀请，终端异常掉线后MCU不会主动邀请终端入会。</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30.支持后台远程控制终端的摄像机上下左右移动、调焦、缩放操作。</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31.支持对会场名称设置及显示功能，可设置所有会场在会议画面中是否显示名称及名称的显示位置、字体颜色、背景颜色、字体大小、字体透明度。</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32.支持横幅功能，可在会议画面上添加横幅，并可设置是否启用横幅及横幅的字体大小、字体颜色、背景颜色和透明度。</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33.支持滚动消息功能，可发送滚动消息，并可设置是否启用滚动消息及滚动消息的字体大小、字体颜色、背景颜色、透明度和滚动次数。</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34.支持对正在召开的会议进行会议时间延长、结束会议、级联画面设置、指定主席会场、自动填充、切换布局、音频接收、音频发送、视频接收、视频发送、视频调节、信息查询、点名发言、剥夺主席、挂断/呼叫、群组管理会场、指定观看画面等会议管理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35.采用中英文管理界面，可实现中英文WEB管理，符合中国使用习惯；通过Web方式实现设备管理、用户管理、会议管理，支持Telnet、ssh等远程维护方式，根据用户特性、区域特性进行分区管理。</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36.支持系统硬件监测功能，能够实时监测系统各硬件模块的工作状态，并具备异常告警功能。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37.支持远程控制和远程升级功能。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38.支持分级用户权限管理，为不同用户分配不同的管理和使用权限。</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39.支持语音优先，支持QOS策略模式。</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40.支持IPV4和IPV6协议，具备跨越路由器及防火墙的能力，保证系统安全，支持QOS、NAT、H.245隧道等参数的设置。</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41.支持支持双机热备，可以指定备用服务器，但主服务器出现断网、断电等异常情况不能工作时，中心管理服务器会将主服务器上的会议及相关数据转移到备用服务器上进行，切换时间小于10s。</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★42.竞争性磋商供应商或者厂商提供第三方检测机构出具的检测报告复印件及加盖公章，内容必须包含以上第1、第2、第3、第</w:t>
            </w:r>
            <w:r>
              <w:rPr>
                <w:rFonts w:ascii="宋体" w:hAnsi="宋体" w:cs="宋体"/>
                <w:kern w:val="0"/>
                <w:szCs w:val="21"/>
                <w:lang w:bidi="ar"/>
              </w:rPr>
              <w:t>4</w:t>
            </w:r>
            <w:r>
              <w:rPr>
                <w:rFonts w:hint="eastAsia" w:ascii="宋体" w:hAnsi="宋体" w:cs="宋体"/>
                <w:kern w:val="0"/>
                <w:szCs w:val="21"/>
                <w:lang w:bidi="ar"/>
              </w:rPr>
              <w:t>、第5、第6、第7、第8、第9、第10、第11、第</w:t>
            </w:r>
            <w:r>
              <w:rPr>
                <w:rFonts w:ascii="宋体" w:hAnsi="宋体" w:cs="宋体"/>
                <w:kern w:val="0"/>
                <w:szCs w:val="21"/>
                <w:lang w:bidi="ar"/>
              </w:rPr>
              <w:t>12</w:t>
            </w:r>
            <w:r>
              <w:rPr>
                <w:rFonts w:hint="eastAsia" w:ascii="宋体" w:hAnsi="宋体" w:cs="宋体"/>
                <w:kern w:val="0"/>
                <w:szCs w:val="21"/>
                <w:lang w:bidi="ar"/>
              </w:rPr>
              <w:t>、第13、第</w:t>
            </w:r>
            <w:r>
              <w:rPr>
                <w:rFonts w:ascii="宋体" w:hAnsi="宋体" w:cs="宋体"/>
                <w:kern w:val="0"/>
                <w:szCs w:val="21"/>
                <w:lang w:bidi="ar"/>
              </w:rPr>
              <w:t>14项</w:t>
            </w:r>
            <w:r>
              <w:rPr>
                <w:rFonts w:hint="eastAsia" w:ascii="宋体" w:hAnsi="宋体" w:cs="宋体"/>
                <w:kern w:val="0"/>
                <w:szCs w:val="21"/>
                <w:lang w:bidi="ar"/>
              </w:rPr>
              <w:t>内容。原件备查。</w:t>
            </w:r>
          </w:p>
          <w:p>
            <w:pPr>
              <w:widowControl/>
              <w:spacing w:line="360" w:lineRule="exact"/>
              <w:textAlignment w:val="center"/>
              <w:rPr>
                <w:rFonts w:ascii="宋体" w:hAnsi="宋体" w:cs="宋体"/>
                <w:szCs w:val="21"/>
              </w:rPr>
            </w:pPr>
            <w:r>
              <w:rPr>
                <w:rFonts w:ascii="宋体" w:hAnsi="宋体" w:cs="宋体"/>
                <w:kern w:val="0"/>
                <w:szCs w:val="21"/>
                <w:lang w:bidi="ar"/>
              </w:rPr>
              <w:t>43.投标主要产品（MCU）要求为国内生产产品，具有国内电信设备进网许可证，提供证书复印件，并盖生产厂商公章。</w:t>
            </w:r>
          </w:p>
          <w:p>
            <w:pPr>
              <w:pStyle w:val="2"/>
              <w:rPr>
                <w:lang w:bidi="ar"/>
              </w:rPr>
            </w:pP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（二）高清视频会议MCU嵌入软件（1套）</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技术参数：</w:t>
            </w:r>
            <w:r>
              <w:rPr>
                <w:rFonts w:hint="eastAsia" w:ascii="宋体" w:hAnsi="宋体" w:cs="宋体"/>
                <w:kern w:val="0"/>
                <w:szCs w:val="21"/>
                <w:lang w:bidi="ar"/>
              </w:rPr>
              <w:br w:type="textWrapping"/>
            </w:r>
            <w:r>
              <w:rPr>
                <w:rFonts w:hint="eastAsia" w:ascii="宋体" w:hAnsi="宋体" w:cs="宋体"/>
                <w:kern w:val="0"/>
                <w:szCs w:val="21"/>
                <w:lang w:bidi="ar"/>
              </w:rPr>
              <w:t>1.多点控制单元（MCU）嵌入式软件，内嵌于设备，实现设备各项基本功能的运行。</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2.支持通过Web方式实现设备管理、用户管理、会议管理，支持Telnet、ssh等远程维护方式，根据用户特性、区域特性进行分区管理。</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3.支持混速、混视频格式、混协议会议。</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4.支持多画面，常见多种多画面布局，支持自动分屏。</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5.支持多级网络视频管理，也支持扁平化的网络管理。</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6.支持视频通信协议H.323，支持H.264HP等视频编解码技术、G7.11.G.722等音频编解码技术。</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7.支持“主流+辅流”双流方式</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★8.提供以下提供功能界面截图，并盖生产厂商公章：</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1)通过移动端与电脑端软件进行互动，通过移动端扫描二维码方式与PC电脑端连接。通过移动端（手机或平板）远程控制演讲电脑的PPT，可将打开对应电脑的PPT等格式文档功能，并且支持PPT全屏、翻页等功能。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2)支持放大镜放大局部功能，可对PPT中文字等较小或看不清的部分进行放大操作。</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3)具备基本辅助工具，包括画笔、聚光灯、放大镜等，画笔颜色、画笔大小通过移动端轻松可调。</w:t>
            </w:r>
          </w:p>
          <w:p>
            <w:pPr>
              <w:spacing w:line="360" w:lineRule="exact"/>
              <w:textAlignment w:val="center"/>
              <w:rPr>
                <w:rFonts w:ascii="宋体" w:hAnsi="宋体" w:cs="宋体"/>
                <w:szCs w:val="21"/>
              </w:rPr>
            </w:pPr>
            <w:r>
              <w:rPr>
                <w:rFonts w:hint="eastAsia" w:ascii="宋体" w:hAnsi="宋体" w:cs="宋体"/>
                <w:kern w:val="0"/>
                <w:szCs w:val="21"/>
                <w:lang w:bidi="ar"/>
              </w:rPr>
              <w:t>4)支持将现场情况通过移动端拍摄，以辅流的方式传输给远程视频会议。</w:t>
            </w:r>
          </w:p>
          <w:p>
            <w:pPr>
              <w:widowControl/>
              <w:spacing w:line="360" w:lineRule="exact"/>
              <w:textAlignment w:val="center"/>
              <w:rPr>
                <w:rFonts w:ascii="宋体" w:hAnsi="宋体" w:cs="宋体"/>
                <w:kern w:val="0"/>
                <w:szCs w:val="21"/>
                <w:lang w:bidi="ar"/>
              </w:rPr>
            </w:pP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（三）分体式高清视频终端（1台）</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产品概述：</w:t>
            </w:r>
          </w:p>
          <w:p>
            <w:pPr>
              <w:widowControl/>
              <w:spacing w:line="360" w:lineRule="exact"/>
              <w:textAlignment w:val="center"/>
              <w:rPr>
                <w:rFonts w:ascii="宋体" w:hAnsi="宋体" w:cs="宋体"/>
                <w:kern w:val="0"/>
                <w:szCs w:val="21"/>
                <w:lang w:bidi="ar"/>
              </w:rPr>
            </w:pPr>
            <w:r>
              <w:rPr>
                <w:rFonts w:ascii="宋体" w:hAnsi="宋体" w:cs="宋体"/>
                <w:kern w:val="0"/>
                <w:szCs w:val="21"/>
                <w:lang w:bidi="ar"/>
              </w:rPr>
              <w:t>1.采用嵌入式操作系统，非Windows/安卓操作系统；内置硬件视频处理单元；终端采用B/S管理架构，可通过访问浏览器登陆WEB远程进行管理。</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2.支持ITU-T H.323标准协议，具有良好的兼容性，呼叫带宽支持64Kbps-8Mbps；支持QCIF、CIF、4CIF、480P、D1.720P、1080P视频分辨率，支持H.264.H.264 MP、H.264 HP、H.265视频编解码协议，支持G.711.G.722.G.722.1.G.722.1C、OPUS等音频编解码协议，音质最高达48KHz。</w:t>
            </w:r>
          </w:p>
          <w:p>
            <w:pPr>
              <w:widowControl/>
              <w:spacing w:line="360" w:lineRule="exact"/>
              <w:textAlignment w:val="center"/>
              <w:rPr>
                <w:rFonts w:ascii="宋体" w:hAnsi="宋体" w:cs="宋体"/>
                <w:kern w:val="0"/>
                <w:szCs w:val="21"/>
                <w:lang w:bidi="ar"/>
              </w:rPr>
            </w:pPr>
            <w:r>
              <w:rPr>
                <w:rFonts w:ascii="宋体" w:hAnsi="宋体" w:cs="宋体"/>
                <w:kern w:val="0"/>
                <w:szCs w:val="21"/>
                <w:lang w:bidi="ar"/>
              </w:rPr>
              <w:t>3.支持截取辅流画面进行标注功能，满足远程培训、教学等场景的交互式操作；支持主动打开远端辅流画面，能在同一时间观看最多25个不同视频终端的辅流画面。</w:t>
            </w:r>
          </w:p>
          <w:p>
            <w:pPr>
              <w:widowControl/>
              <w:spacing w:line="360" w:lineRule="exact"/>
              <w:textAlignment w:val="center"/>
              <w:rPr>
                <w:rFonts w:ascii="宋体" w:hAnsi="宋体" w:cs="宋体"/>
                <w:kern w:val="0"/>
                <w:szCs w:val="21"/>
                <w:lang w:bidi="ar"/>
              </w:rPr>
            </w:pPr>
            <w:r>
              <w:rPr>
                <w:rFonts w:ascii="宋体" w:hAnsi="宋体" w:cs="宋体"/>
                <w:kern w:val="0"/>
                <w:szCs w:val="21"/>
                <w:lang w:bidi="ar"/>
              </w:rPr>
              <w:t>4.支持通过2.4G遥控器、web、触控、鼠标/键盘等方式来操控终端，支持遥控器飞鼠操控模式。支持任意打开、关闭远端视频，支持飞鼠方式拖拽变更视频在画面布局中的窗口位置。支持单屏双显、双屏双显应用功能，支持4：3和16：9显示方式；支持H.239双流协议。</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5.支持自动噪声抑制，自动增益控制和自动回声消除、唇音同步等音频处理功能；支持会场静音和闭音功能，会场声音输出大小可调。</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6.支持IPV4和IPV6协议，支持NAT穿越，具备跨越路由器及防火墙的能力，保证系统安全。超强网络适应性，根据网络自动调整分辨率，保障会议的流畅。</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7.支持多画面布局，单屏支持25路画面同时显示。支持控制所有远端会场双流的带宽，支持对远端会场进行云台控制。支持控制同一会议中的其他终端的发言权。支持发送滚动消息和横幅等功能。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★8.配备USB接口，支持接入USB存储设备；支持会议录制功能，可以直接录制会议过程中的视频和音频。（提供功能界面截图，并盖生产厂商公章）</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★9.终端内置会议签到、电子白板、电子投票、文件共享等数据会议功能，满足远程培训、教学等场景应用需求。（提供功能界面截图，并盖生产厂商公章）</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10.支持与第三方系统融合，支持通过SDK调用终端的调节摄像机、发送滚动消息、设置横幅、切换画面布局、控制各个会场的发言权等功能。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11.具备≥3路视频输入接口（其中含≥2路HDMI高清输入接口），2路HDMI高清输出接口；≥2路音频输入接口，≥2路音频输出接口，≥2个USB2.0接口用于接扩展设备或在线升级。</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12.支持主席控制模式，申请主席权限后可控制所有远端会场双流的编码速率、分辨率等参数，支持对远端会场进行云台摄像机的上下左右移动、调焦、缩放操作；支持控制同一会议中的其他终端的发言权。</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13.支持控制所有远端会场双流的带宽，支持对远端会场进行云台控制。</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14.支持横幅功能，可在会议画面上添加横幅，并可设置是否启用横幅及横幅的字体大小、字体颜色、背景颜色和透明度;支持滚动消息功能，可发送滚动消息，并可设置是否启用滚动消息及滚动消息的字体大小、字体颜色、背景颜色、透明度和滚动次数。</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15.支持语音优先，支持QOS策略模式，支持IP Precedence，Diffserv。</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16.具备有良好的管理及可维护性，支持本地音频、视频回路诊断功能；一键本地音视频测试；支持在操作界面上进行网络ping测试；支持呼叫日志和历史记录的查询。</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投标主要产品（视频终端）要求为国内生产产品，具有国内电信设备进网许可证，提供证书复印件，并盖生产厂商公章。</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提供国家知识产权局颁发外观设计专利证书复印件，并盖生产厂商公章。</w:t>
            </w:r>
          </w:p>
          <w:p>
            <w:pPr>
              <w:spacing w:line="360" w:lineRule="exact"/>
              <w:textAlignment w:val="center"/>
              <w:rPr>
                <w:rFonts w:ascii="宋体" w:hAnsi="宋体" w:cs="宋体"/>
                <w:szCs w:val="21"/>
              </w:rPr>
            </w:pPr>
            <w:r>
              <w:rPr>
                <w:rFonts w:hint="eastAsia" w:ascii="宋体" w:hAnsi="宋体" w:cs="宋体"/>
                <w:kern w:val="0"/>
                <w:szCs w:val="21"/>
                <w:lang w:bidi="ar"/>
              </w:rPr>
              <w:t>★由于项目涉及音视频设备系统较多，同时需要实现各个系统互联互通互动，为避免多系统多品牌之间需要对接，会存在的未知兼容问题和系统不稳定以及需要多节点操作造成的不必要麻烦和隐患，要求项目涉及的视频会议主机、高清视频会议MCU嵌入软件、高清视频终端、高清视频会议终端嵌入软件、摄像机、高清视频会议专用摄像头内嵌软件、麦克风、壁挂音箱要求为同一品牌。若非同一品牌，竞标前需提供设备对接测试并由使用方确定方案可行签字同意后，投标时出示系统对接测试报告证明复印件，否则视为无效磋商处理。</w:t>
            </w:r>
          </w:p>
          <w:p>
            <w:pPr>
              <w:widowControl/>
              <w:spacing w:line="360" w:lineRule="exact"/>
              <w:textAlignment w:val="center"/>
              <w:rPr>
                <w:rFonts w:ascii="宋体" w:hAnsi="宋体" w:cs="宋体"/>
                <w:kern w:val="0"/>
                <w:szCs w:val="21"/>
                <w:lang w:bidi="ar"/>
              </w:rPr>
            </w:pP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（四）高清视频会议终端嵌入软件（1套）</w:t>
            </w:r>
          </w:p>
          <w:p>
            <w:pPr>
              <w:spacing w:line="360" w:lineRule="exact"/>
              <w:textAlignment w:val="center"/>
              <w:rPr>
                <w:rFonts w:ascii="宋体" w:hAnsi="宋体" w:cs="宋体"/>
                <w:szCs w:val="21"/>
              </w:rPr>
            </w:pPr>
            <w:r>
              <w:rPr>
                <w:rFonts w:hint="eastAsia" w:ascii="宋体" w:hAnsi="宋体" w:cs="宋体"/>
                <w:kern w:val="0"/>
                <w:szCs w:val="21"/>
                <w:lang w:bidi="ar"/>
              </w:rPr>
              <w:t>1.远程视频会议终端嵌入式软件，内嵌于设备，实现设备各项基本功能的运行。</w:t>
            </w:r>
            <w:r>
              <w:rPr>
                <w:rFonts w:hint="eastAsia" w:ascii="宋体" w:hAnsi="宋体" w:cs="宋体"/>
                <w:kern w:val="0"/>
                <w:szCs w:val="21"/>
                <w:lang w:bidi="ar"/>
              </w:rPr>
              <w:br w:type="textWrapping"/>
            </w:r>
            <w:r>
              <w:rPr>
                <w:rFonts w:hint="eastAsia" w:ascii="宋体" w:hAnsi="宋体" w:cs="宋体"/>
                <w:kern w:val="0"/>
                <w:szCs w:val="21"/>
                <w:lang w:bidi="ar"/>
              </w:rPr>
              <w:t>2.支持国际电联ITU-H.323标准通信协议，兼容SIP协议。</w:t>
            </w:r>
            <w:r>
              <w:rPr>
                <w:rFonts w:hint="eastAsia" w:ascii="宋体" w:hAnsi="宋体" w:cs="宋体"/>
                <w:kern w:val="0"/>
                <w:szCs w:val="21"/>
                <w:lang w:bidi="ar"/>
              </w:rPr>
              <w:br w:type="textWrapping"/>
            </w:r>
            <w:r>
              <w:rPr>
                <w:rFonts w:hint="eastAsia" w:ascii="宋体" w:hAnsi="宋体" w:cs="宋体"/>
                <w:kern w:val="0"/>
                <w:szCs w:val="21"/>
                <w:lang w:bidi="ar"/>
              </w:rPr>
              <w:t>3.支持H.264HP等视频编解码技术、G7.11、G.722等音频编解码技术。</w:t>
            </w:r>
            <w:r>
              <w:rPr>
                <w:rFonts w:hint="eastAsia" w:ascii="宋体" w:hAnsi="宋体" w:cs="宋体"/>
                <w:kern w:val="0"/>
                <w:szCs w:val="21"/>
                <w:lang w:bidi="ar"/>
              </w:rPr>
              <w:br w:type="textWrapping"/>
            </w:r>
            <w:r>
              <w:rPr>
                <w:rFonts w:hint="eastAsia" w:ascii="宋体" w:hAnsi="宋体" w:cs="宋体"/>
                <w:kern w:val="0"/>
                <w:szCs w:val="21"/>
                <w:lang w:bidi="ar"/>
              </w:rPr>
              <w:t>4.支持“主流+辅流”双流方式传输视频会议画面。</w:t>
            </w:r>
            <w:r>
              <w:rPr>
                <w:rFonts w:hint="eastAsia" w:ascii="宋体" w:hAnsi="宋体" w:cs="宋体"/>
                <w:kern w:val="0"/>
                <w:szCs w:val="21"/>
                <w:lang w:bidi="ar"/>
              </w:rPr>
              <w:br w:type="textWrapping"/>
            </w:r>
            <w:r>
              <w:rPr>
                <w:rFonts w:hint="eastAsia" w:ascii="宋体" w:hAnsi="宋体" w:cs="宋体"/>
                <w:kern w:val="0"/>
                <w:szCs w:val="21"/>
                <w:lang w:bidi="ar"/>
              </w:rPr>
              <w:t>5.支持高清1080P/60帧视频处理能力。</w:t>
            </w:r>
            <w:r>
              <w:rPr>
                <w:rFonts w:hint="eastAsia" w:ascii="宋体" w:hAnsi="宋体" w:cs="宋体"/>
                <w:kern w:val="0"/>
                <w:szCs w:val="21"/>
                <w:lang w:bidi="ar"/>
              </w:rPr>
              <w:br w:type="textWrapping"/>
            </w:r>
            <w:r>
              <w:rPr>
                <w:rFonts w:hint="eastAsia" w:ascii="宋体" w:hAnsi="宋体" w:cs="宋体"/>
                <w:kern w:val="0"/>
                <w:szCs w:val="21"/>
                <w:lang w:bidi="ar"/>
              </w:rPr>
              <w:t>6.支持WEB管理，符合不同用户的使用习惯。</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（五）摄像机（1只）</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w:t>
            </w:r>
            <w:r>
              <w:rPr>
                <w:rFonts w:hint="eastAsia" w:ascii="宋体" w:hAnsi="宋体" w:cs="宋体"/>
                <w:kern w:val="0"/>
                <w:szCs w:val="21"/>
                <w:lang w:bidi="ar"/>
              </w:rPr>
              <w:tab/>
            </w:r>
            <w:r>
              <w:rPr>
                <w:rFonts w:hint="eastAsia" w:ascii="宋体" w:hAnsi="宋体" w:cs="宋体"/>
                <w:kern w:val="0"/>
                <w:szCs w:val="21"/>
                <w:lang w:bidi="ar"/>
              </w:rPr>
              <w:t>高清摄像机具备≥20倍光学变倍镜头，支持≥10倍数字变焦；采用1/2.8英寸、≥207万有效像素的高品质HD CMOS传感器。</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w:t>
            </w:r>
            <w:r>
              <w:rPr>
                <w:rFonts w:hint="eastAsia" w:ascii="宋体" w:hAnsi="宋体" w:cs="宋体"/>
                <w:kern w:val="0"/>
                <w:szCs w:val="21"/>
                <w:lang w:bidi="ar"/>
              </w:rPr>
              <w:tab/>
            </w:r>
            <w:r>
              <w:rPr>
                <w:rFonts w:hint="eastAsia" w:ascii="宋体" w:hAnsi="宋体" w:cs="宋体"/>
                <w:kern w:val="0"/>
                <w:szCs w:val="21"/>
                <w:lang w:bidi="ar"/>
              </w:rPr>
              <w:t>镜头支持≥55.4°高品质超广角；镜头焦距f＝4.7～94mm, 光圈系数F1.6 ～ F3.5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w:t>
            </w:r>
            <w:r>
              <w:rPr>
                <w:rFonts w:hint="eastAsia" w:ascii="宋体" w:hAnsi="宋体" w:cs="宋体"/>
                <w:kern w:val="0"/>
                <w:szCs w:val="21"/>
                <w:lang w:bidi="ar"/>
              </w:rPr>
              <w:tab/>
            </w:r>
            <w:r>
              <w:rPr>
                <w:rFonts w:hint="eastAsia" w:ascii="宋体" w:hAnsi="宋体" w:cs="宋体"/>
                <w:kern w:val="0"/>
                <w:szCs w:val="21"/>
                <w:lang w:bidi="ar"/>
              </w:rPr>
              <w:t>支持1080P60/50/30/25/59.94/29.97；1080I60/50/59.94；720P60/50/30/25/59.94/29.97分辨率，支持输出帧率60帧/秒。</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w:t>
            </w:r>
            <w:r>
              <w:rPr>
                <w:rFonts w:hint="eastAsia" w:ascii="宋体" w:hAnsi="宋体" w:cs="宋体"/>
                <w:kern w:val="0"/>
                <w:szCs w:val="21"/>
                <w:lang w:bidi="ar"/>
              </w:rPr>
              <w:tab/>
            </w:r>
            <w:r>
              <w:rPr>
                <w:rFonts w:hint="eastAsia" w:ascii="宋体" w:hAnsi="宋体" w:cs="宋体"/>
                <w:kern w:val="0"/>
                <w:szCs w:val="21"/>
                <w:lang w:bidi="ar"/>
              </w:rPr>
              <w:t>具备1路DVI（HDMI）高清视频输出接口、3G-SDI、有线LAN，3G-SDI支持1080P60；视频编码标准：支持H.265/H.264视频压缩；支持高达1920x1080分辨率60帧/秒压缩；支持2路1920x1080分辨率30帧/秒压缩。</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5.</w:t>
            </w:r>
            <w:r>
              <w:rPr>
                <w:rFonts w:hint="eastAsia" w:ascii="宋体" w:hAnsi="宋体" w:cs="宋体"/>
                <w:kern w:val="0"/>
                <w:szCs w:val="21"/>
                <w:lang w:bidi="ar"/>
              </w:rPr>
              <w:tab/>
            </w:r>
            <w:r>
              <w:rPr>
                <w:rFonts w:hint="eastAsia" w:ascii="宋体" w:hAnsi="宋体" w:cs="宋体"/>
                <w:kern w:val="0"/>
                <w:szCs w:val="21"/>
                <w:lang w:bidi="ar"/>
              </w:rPr>
              <w:t>支持ONVIF、GB/T28181.RTSP、RTMP协议、RTP组播，同时支持RTMP推送模式，可实现轻松链接流媒体服务器(Wowza、FMS)</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6.</w:t>
            </w:r>
            <w:r>
              <w:rPr>
                <w:rFonts w:hint="eastAsia" w:ascii="宋体" w:hAnsi="宋体" w:cs="宋体"/>
                <w:kern w:val="0"/>
                <w:szCs w:val="21"/>
                <w:lang w:bidi="ar"/>
              </w:rPr>
              <w:tab/>
            </w:r>
            <w:r>
              <w:rPr>
                <w:rFonts w:hint="eastAsia" w:ascii="宋体" w:hAnsi="宋体" w:cs="宋体"/>
                <w:kern w:val="0"/>
                <w:szCs w:val="21"/>
                <w:lang w:bidi="ar"/>
              </w:rPr>
              <w:t>支持RS232串口远程对摄像机进行控制（带环通RS-232输出），支持VISCA、PELCO-D、PELCO-P协议，支持自动识别协议。支持网络全命令VISCA控制协议。支持多达255个预置位(遥控器设置调用为10个)</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7.</w:t>
            </w:r>
            <w:r>
              <w:rPr>
                <w:rFonts w:hint="eastAsia" w:ascii="宋体" w:hAnsi="宋体" w:cs="宋体"/>
                <w:kern w:val="0"/>
                <w:szCs w:val="21"/>
                <w:lang w:bidi="ar"/>
              </w:rPr>
              <w:tab/>
            </w:r>
            <w:r>
              <w:rPr>
                <w:rFonts w:hint="eastAsia" w:ascii="宋体" w:hAnsi="宋体" w:cs="宋体"/>
                <w:kern w:val="0"/>
                <w:szCs w:val="21"/>
                <w:lang w:bidi="ar"/>
              </w:rPr>
              <w:t>水平视场角：2.9°～55.4°；支持水平转动范围：-170°～+170°，垂直转动范围：-30°～+90°，水平转动速度范围：0.1 ～100°/秒 ，垂直转动速度范围：0.1～45°/秒。</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8.</w:t>
            </w:r>
            <w:r>
              <w:rPr>
                <w:rFonts w:hint="eastAsia" w:ascii="宋体" w:hAnsi="宋体" w:cs="宋体"/>
                <w:kern w:val="0"/>
                <w:szCs w:val="21"/>
                <w:lang w:bidi="ar"/>
              </w:rPr>
              <w:tab/>
            </w:r>
            <w:r>
              <w:rPr>
                <w:rFonts w:hint="eastAsia" w:ascii="宋体" w:hAnsi="宋体" w:cs="宋体"/>
                <w:kern w:val="0"/>
                <w:szCs w:val="21"/>
                <w:lang w:bidi="ar"/>
              </w:rPr>
              <w:t>采用先进的2D、3D降噪技术，图像信噪比＞55dB；支持16000、32000、44100、48000采样频率，支持AAC、MP3、G711音频编码。</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9.</w:t>
            </w:r>
            <w:r>
              <w:rPr>
                <w:rFonts w:hint="eastAsia" w:ascii="宋体" w:hAnsi="宋体" w:cs="宋体"/>
                <w:kern w:val="0"/>
                <w:szCs w:val="21"/>
                <w:lang w:bidi="ar"/>
              </w:rPr>
              <w:tab/>
            </w:r>
            <w:r>
              <w:rPr>
                <w:rFonts w:hint="eastAsia" w:ascii="宋体" w:hAnsi="宋体" w:cs="宋体"/>
                <w:kern w:val="0"/>
                <w:szCs w:val="21"/>
                <w:lang w:bidi="ar"/>
              </w:rPr>
              <w:t>最低照度：0.5Lux(F1.8, AGC ON)；支持低功耗休眠/唤醒，休眠时功耗低于400mW</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0</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图像传感器 ：1/2.8英寸高品质CMOS传感器</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1</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有效像素 ：207万、16：9</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2</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视频信号：ST接口视频格式：1080P60/50/30/25/59.94/29.97；1080I60/50/59.94；720P60/50/30/25/59.94/29.97。</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3</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镜头变倍 ：20倍光学变焦，f＝4.7～94mm。10倍数字变焦</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4</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视角：2.9°（窄角）～55.4°（广角）</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5</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光圈系数 ：F1.6 ～ F3.5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6</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最低照度 ：0.5Lux(F1.8, AGC ON)</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7</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数字降噪：2D&amp;3D数字降噪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8</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白平衡 ：手动/自动/一键白平衡/ 3000K/ 4000K/5000K/6500K </w:t>
            </w:r>
          </w:p>
          <w:p>
            <w:pPr>
              <w:widowControl/>
              <w:spacing w:line="360" w:lineRule="exact"/>
              <w:textAlignment w:val="center"/>
              <w:rPr>
                <w:rFonts w:ascii="宋体" w:hAnsi="宋体" w:cs="宋体"/>
                <w:kern w:val="0"/>
                <w:szCs w:val="21"/>
                <w:lang w:bidi="ar"/>
              </w:rPr>
            </w:pPr>
            <w:r>
              <w:rPr>
                <w:rFonts w:ascii="宋体" w:hAnsi="宋体" w:cs="宋体"/>
                <w:kern w:val="0"/>
                <w:szCs w:val="21"/>
                <w:lang w:bidi="ar"/>
              </w:rPr>
              <w:t>19</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聚焦 ：自动/手动/一键聚焦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w:t>
            </w:r>
            <w:r>
              <w:rPr>
                <w:rFonts w:ascii="宋体" w:hAnsi="宋体" w:cs="宋体"/>
                <w:kern w:val="0"/>
                <w:szCs w:val="21"/>
                <w:lang w:bidi="ar"/>
              </w:rPr>
              <w:t>0</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信噪比：&gt;55dB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w:t>
            </w:r>
            <w:r>
              <w:rPr>
                <w:rFonts w:ascii="宋体" w:hAnsi="宋体" w:cs="宋体"/>
                <w:kern w:val="0"/>
                <w:szCs w:val="21"/>
                <w:lang w:bidi="ar"/>
              </w:rPr>
              <w:t>1</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视频接口 ：DVI（HDMI）、 3G-SDI、LAN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w:t>
            </w:r>
            <w:r>
              <w:rPr>
                <w:rFonts w:ascii="宋体" w:hAnsi="宋体" w:cs="宋体"/>
                <w:kern w:val="0"/>
                <w:szCs w:val="21"/>
                <w:lang w:bidi="ar"/>
              </w:rPr>
              <w:t>2</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图像码流 ：双码流输出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w:t>
            </w:r>
            <w:r>
              <w:rPr>
                <w:rFonts w:ascii="宋体" w:hAnsi="宋体" w:cs="宋体"/>
                <w:kern w:val="0"/>
                <w:szCs w:val="21"/>
                <w:lang w:bidi="ar"/>
              </w:rPr>
              <w:t>3</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视频压缩格式：H.265、H.264；双码流输出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w:t>
            </w:r>
            <w:r>
              <w:rPr>
                <w:rFonts w:ascii="宋体" w:hAnsi="宋体" w:cs="宋体"/>
                <w:kern w:val="0"/>
                <w:szCs w:val="21"/>
                <w:lang w:bidi="ar"/>
              </w:rPr>
              <w:t>4</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控制信号接口 ：RS-232，带环通RS-232输出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w:t>
            </w:r>
            <w:r>
              <w:rPr>
                <w:rFonts w:ascii="宋体" w:hAnsi="宋体" w:cs="宋体"/>
                <w:kern w:val="0"/>
                <w:szCs w:val="21"/>
                <w:lang w:bidi="ar"/>
              </w:rPr>
              <w:t>5</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控制协议：VISCA/Pelco-D/Pelco-P；波特率115200/9600/4800/2400bps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w:t>
            </w:r>
            <w:r>
              <w:rPr>
                <w:rFonts w:ascii="宋体" w:hAnsi="宋体" w:cs="宋体"/>
                <w:kern w:val="0"/>
                <w:szCs w:val="21"/>
                <w:lang w:bidi="ar"/>
              </w:rPr>
              <w:t>6</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RS485接口：1路RS485控制接口</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w:t>
            </w:r>
            <w:r>
              <w:rPr>
                <w:rFonts w:ascii="宋体" w:hAnsi="宋体" w:cs="宋体"/>
                <w:kern w:val="0"/>
                <w:szCs w:val="21"/>
                <w:lang w:bidi="ar"/>
              </w:rPr>
              <w:t>7</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音频输入接口：A-IN、双声道3.5mm线性输入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w:t>
            </w:r>
            <w:r>
              <w:rPr>
                <w:rFonts w:ascii="宋体" w:hAnsi="宋体" w:cs="宋体"/>
                <w:kern w:val="0"/>
                <w:szCs w:val="21"/>
                <w:lang w:bidi="ar"/>
              </w:rPr>
              <w:t>8</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音频压缩格式 ：AAC、MP3、G.711。 </w:t>
            </w:r>
          </w:p>
          <w:p>
            <w:pPr>
              <w:widowControl/>
              <w:spacing w:line="360" w:lineRule="exact"/>
              <w:textAlignment w:val="center"/>
              <w:rPr>
                <w:rFonts w:ascii="宋体" w:hAnsi="宋体" w:cs="宋体"/>
                <w:kern w:val="0"/>
                <w:szCs w:val="21"/>
                <w:lang w:bidi="ar"/>
              </w:rPr>
            </w:pPr>
            <w:r>
              <w:rPr>
                <w:rFonts w:ascii="宋体" w:hAnsi="宋体" w:cs="宋体"/>
                <w:kern w:val="0"/>
                <w:szCs w:val="21"/>
                <w:lang w:bidi="ar"/>
              </w:rPr>
              <w:t>29</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网络接口 ：100M网口（10/100 BASE-TX），支持网络VISCA控制协议。</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w:t>
            </w:r>
            <w:r>
              <w:rPr>
                <w:rFonts w:ascii="宋体" w:hAnsi="宋体" w:cs="宋体"/>
                <w:kern w:val="0"/>
                <w:szCs w:val="21"/>
                <w:lang w:bidi="ar"/>
              </w:rPr>
              <w:t>0</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网络协议 ：RTSP、RTMP、ONVIF、GB/T28181、RTP组播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w:t>
            </w:r>
            <w:r>
              <w:rPr>
                <w:rFonts w:ascii="宋体" w:hAnsi="宋体" w:cs="宋体"/>
                <w:kern w:val="0"/>
                <w:szCs w:val="21"/>
                <w:lang w:bidi="ar"/>
              </w:rPr>
              <w:t>1</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电源接口 ：HEC3800电源插座(DC12V)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w:t>
            </w:r>
            <w:r>
              <w:rPr>
                <w:rFonts w:ascii="宋体" w:hAnsi="宋体" w:cs="宋体"/>
                <w:kern w:val="0"/>
                <w:szCs w:val="21"/>
                <w:lang w:bidi="ar"/>
              </w:rPr>
              <w:t>2</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水平转动 ：-170°～+170°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w:t>
            </w:r>
            <w:r>
              <w:rPr>
                <w:rFonts w:ascii="宋体" w:hAnsi="宋体" w:cs="宋体"/>
                <w:kern w:val="0"/>
                <w:szCs w:val="21"/>
                <w:lang w:bidi="ar"/>
              </w:rPr>
              <w:t>3</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俯仰转动：-30°～+90°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w:t>
            </w:r>
            <w:r>
              <w:rPr>
                <w:rFonts w:ascii="宋体" w:hAnsi="宋体" w:cs="宋体"/>
                <w:kern w:val="0"/>
                <w:szCs w:val="21"/>
                <w:lang w:bidi="ar"/>
              </w:rPr>
              <w:t>4</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水平控制速度 ：0.1 ～100°/秒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w:t>
            </w:r>
            <w:r>
              <w:rPr>
                <w:rFonts w:ascii="宋体" w:hAnsi="宋体" w:cs="宋体"/>
                <w:kern w:val="0"/>
                <w:szCs w:val="21"/>
                <w:lang w:bidi="ar"/>
              </w:rPr>
              <w:t>5</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俯仰控制速度 ：0.1～45°/秒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w:t>
            </w:r>
            <w:r>
              <w:rPr>
                <w:rFonts w:ascii="宋体" w:hAnsi="宋体" w:cs="宋体"/>
                <w:kern w:val="0"/>
                <w:szCs w:val="21"/>
                <w:lang w:bidi="ar"/>
              </w:rPr>
              <w:t>6</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电源适配器 ：输入AC110V-AC220V输出DC12V/1.5A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w:t>
            </w:r>
            <w:r>
              <w:rPr>
                <w:rFonts w:ascii="宋体" w:hAnsi="宋体" w:cs="宋体"/>
                <w:kern w:val="0"/>
                <w:szCs w:val="21"/>
                <w:lang w:bidi="ar"/>
              </w:rPr>
              <w:t>7</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输入电流：1A（最大）</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w:t>
            </w:r>
            <w:r>
              <w:rPr>
                <w:rFonts w:ascii="宋体" w:hAnsi="宋体" w:cs="宋体"/>
                <w:kern w:val="0"/>
                <w:szCs w:val="21"/>
                <w:lang w:bidi="ar"/>
              </w:rPr>
              <w:t>8</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功耗 ：12W(最大)</w:t>
            </w:r>
          </w:p>
          <w:p>
            <w:pPr>
              <w:widowControl/>
              <w:spacing w:line="360" w:lineRule="exact"/>
              <w:textAlignment w:val="center"/>
              <w:rPr>
                <w:rFonts w:ascii="宋体" w:hAnsi="宋体" w:cs="宋体"/>
                <w:kern w:val="0"/>
                <w:szCs w:val="21"/>
                <w:lang w:bidi="ar"/>
              </w:rPr>
            </w:pPr>
            <w:r>
              <w:rPr>
                <w:rFonts w:ascii="宋体" w:hAnsi="宋体" w:cs="宋体"/>
                <w:kern w:val="0"/>
                <w:szCs w:val="21"/>
                <w:lang w:bidi="ar"/>
              </w:rPr>
              <w:t>39</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工作温度：-10℃～+50℃</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w:t>
            </w:r>
            <w:r>
              <w:rPr>
                <w:rFonts w:ascii="宋体" w:hAnsi="宋体" w:cs="宋体"/>
                <w:kern w:val="0"/>
                <w:szCs w:val="21"/>
                <w:lang w:bidi="ar"/>
              </w:rPr>
              <w:t>0</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 xml:space="preserve">工作湿度：20%～80%，无结露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w:t>
            </w:r>
            <w:r>
              <w:rPr>
                <w:rFonts w:ascii="宋体" w:hAnsi="宋体" w:cs="宋体"/>
                <w:kern w:val="0"/>
                <w:szCs w:val="21"/>
                <w:lang w:bidi="ar"/>
              </w:rPr>
              <w:t>1</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尺寸（WXHXD）：258mm×172mm×169mm</w:t>
            </w:r>
          </w:p>
          <w:p>
            <w:pPr>
              <w:spacing w:line="360" w:lineRule="exact"/>
              <w:textAlignment w:val="center"/>
              <w:rPr>
                <w:rFonts w:ascii="宋体" w:hAnsi="宋体" w:cs="宋体"/>
                <w:szCs w:val="21"/>
              </w:rPr>
            </w:pPr>
            <w:r>
              <w:rPr>
                <w:rFonts w:hint="eastAsia" w:ascii="宋体" w:hAnsi="宋体" w:cs="宋体"/>
                <w:kern w:val="0"/>
                <w:szCs w:val="21"/>
                <w:lang w:bidi="ar"/>
              </w:rPr>
              <w:t>4</w:t>
            </w:r>
            <w:r>
              <w:rPr>
                <w:rFonts w:ascii="宋体" w:hAnsi="宋体" w:cs="宋体"/>
                <w:kern w:val="0"/>
                <w:szCs w:val="21"/>
                <w:lang w:bidi="ar"/>
              </w:rPr>
              <w:t>2</w:t>
            </w:r>
            <w:r>
              <w:rPr>
                <w:rFonts w:hint="eastAsia" w:ascii="宋体" w:hAnsi="宋体" w:cs="宋体"/>
                <w:kern w:val="0"/>
                <w:szCs w:val="21"/>
                <w:lang w:bidi="ar"/>
              </w:rPr>
              <w:t>.</w:t>
            </w:r>
            <w:r>
              <w:rPr>
                <w:rFonts w:hint="eastAsia" w:ascii="宋体" w:hAnsi="宋体" w:cs="宋体"/>
                <w:kern w:val="0"/>
                <w:szCs w:val="21"/>
                <w:lang w:bidi="ar"/>
              </w:rPr>
              <w:tab/>
            </w:r>
            <w:r>
              <w:rPr>
                <w:rFonts w:hint="eastAsia" w:ascii="宋体" w:hAnsi="宋体" w:cs="宋体"/>
                <w:kern w:val="0"/>
                <w:szCs w:val="21"/>
                <w:lang w:bidi="ar"/>
              </w:rPr>
              <w:t>重量：1.54kg</w:t>
            </w:r>
          </w:p>
          <w:p>
            <w:pPr>
              <w:spacing w:line="360" w:lineRule="exact"/>
              <w:textAlignment w:val="center"/>
              <w:rPr>
                <w:rFonts w:ascii="宋体" w:hAnsi="宋体" w:cs="宋体"/>
                <w:kern w:val="0"/>
                <w:szCs w:val="21"/>
                <w:lang w:bidi="ar"/>
              </w:rPr>
            </w:pPr>
          </w:p>
          <w:p>
            <w:pPr>
              <w:widowControl/>
              <w:spacing w:line="360" w:lineRule="exact"/>
              <w:textAlignment w:val="center"/>
              <w:rPr>
                <w:rFonts w:ascii="宋体" w:hAnsi="宋体" w:cs="宋体"/>
                <w:szCs w:val="21"/>
              </w:rPr>
            </w:pPr>
            <w:r>
              <w:rPr>
                <w:rFonts w:hint="eastAsia" w:ascii="宋体" w:hAnsi="宋体" w:cs="宋体"/>
                <w:b/>
                <w:bCs/>
                <w:kern w:val="0"/>
                <w:szCs w:val="21"/>
                <w:lang w:bidi="ar"/>
              </w:rPr>
              <w:t>（六）高清视频会议专用摄像头内嵌软件（1套）</w:t>
            </w:r>
            <w:r>
              <w:rPr>
                <w:rFonts w:hint="eastAsia" w:ascii="宋体" w:hAnsi="宋体" w:cs="宋体"/>
                <w:b/>
                <w:bCs/>
                <w:kern w:val="0"/>
                <w:szCs w:val="21"/>
                <w:lang w:bidi="ar"/>
              </w:rPr>
              <w:br w:type="textWrapping"/>
            </w:r>
            <w:r>
              <w:rPr>
                <w:rFonts w:hint="eastAsia" w:ascii="宋体" w:hAnsi="宋体" w:cs="宋体"/>
                <w:kern w:val="0"/>
                <w:szCs w:val="21"/>
                <w:lang w:bidi="ar"/>
              </w:rPr>
              <w:t>1.软件内嵌于高清视频会议专用摄像头，实现高清视频拍摄采集处理功能。</w:t>
            </w:r>
            <w:r>
              <w:rPr>
                <w:rFonts w:hint="eastAsia" w:ascii="宋体" w:hAnsi="宋体" w:cs="宋体"/>
                <w:kern w:val="0"/>
                <w:szCs w:val="21"/>
                <w:lang w:bidi="ar"/>
              </w:rPr>
              <w:br w:type="textWrapping"/>
            </w:r>
            <w:r>
              <w:rPr>
                <w:rFonts w:hint="eastAsia" w:ascii="宋体" w:hAnsi="宋体" w:cs="宋体"/>
                <w:kern w:val="0"/>
                <w:szCs w:val="21"/>
                <w:lang w:bidi="ar"/>
              </w:rPr>
              <w:t>2.支持高清1080P/60帧视频处理能力。</w:t>
            </w:r>
            <w:r>
              <w:rPr>
                <w:rFonts w:hint="eastAsia" w:ascii="宋体" w:hAnsi="宋体" w:cs="宋体"/>
                <w:kern w:val="0"/>
                <w:szCs w:val="21"/>
                <w:lang w:bidi="ar"/>
              </w:rPr>
              <w:br w:type="textWrapping"/>
            </w:r>
            <w:r>
              <w:rPr>
                <w:rFonts w:hint="eastAsia" w:ascii="宋体" w:hAnsi="宋体" w:cs="宋体"/>
                <w:kern w:val="0"/>
                <w:szCs w:val="21"/>
                <w:lang w:bidi="ar"/>
              </w:rPr>
              <w:t>3.支持对高清视频信号HDMI/DVI的处理、传输；支持H.264视频编解码技术能力。</w:t>
            </w:r>
            <w:r>
              <w:rPr>
                <w:rFonts w:hint="eastAsia" w:ascii="宋体" w:hAnsi="宋体" w:cs="宋体"/>
                <w:kern w:val="0"/>
                <w:szCs w:val="21"/>
                <w:lang w:bidi="ar"/>
              </w:rPr>
              <w:br w:type="textWrapping"/>
            </w:r>
            <w:r>
              <w:rPr>
                <w:rFonts w:hint="eastAsia" w:ascii="宋体" w:hAnsi="宋体" w:cs="宋体"/>
                <w:kern w:val="0"/>
                <w:szCs w:val="21"/>
                <w:lang w:bidi="ar"/>
              </w:rPr>
              <w:t>4.支持光学变焦处理能力，支持通过串口实现远程控制。</w:t>
            </w:r>
            <w:r>
              <w:rPr>
                <w:rFonts w:hint="eastAsia" w:ascii="宋体" w:hAnsi="宋体" w:cs="宋体"/>
                <w:kern w:val="0"/>
                <w:szCs w:val="21"/>
                <w:lang w:bidi="ar"/>
              </w:rPr>
              <w:br w:type="textWrapping"/>
            </w:r>
            <w:r>
              <w:rPr>
                <w:rFonts w:hint="eastAsia" w:ascii="宋体" w:hAnsi="宋体" w:cs="宋体"/>
                <w:kern w:val="0"/>
                <w:szCs w:val="21"/>
                <w:lang w:bidi="ar"/>
              </w:rPr>
              <w:t>5.支持2D、3D降噪技术。</w:t>
            </w:r>
            <w:r>
              <w:rPr>
                <w:rFonts w:hint="eastAsia" w:ascii="宋体" w:hAnsi="宋体" w:cs="宋体"/>
                <w:kern w:val="0"/>
                <w:szCs w:val="21"/>
                <w:lang w:bidi="ar"/>
              </w:rPr>
              <w:br w:type="textWrapping"/>
            </w:r>
            <w:r>
              <w:rPr>
                <w:rFonts w:hint="eastAsia" w:ascii="宋体" w:hAnsi="宋体" w:cs="宋体"/>
                <w:kern w:val="0"/>
                <w:szCs w:val="21"/>
                <w:lang w:bidi="ar"/>
              </w:rPr>
              <w:t>6.支持预置位设定及调用功能。</w:t>
            </w:r>
          </w:p>
          <w:p>
            <w:r>
              <w:rPr>
                <w:rFonts w:hint="eastAsia" w:ascii="宋体" w:hAnsi="宋体" w:cs="宋体"/>
                <w:b/>
                <w:bCs/>
                <w:kern w:val="0"/>
                <w:szCs w:val="21"/>
                <w:lang w:bidi="ar"/>
              </w:rPr>
              <w:t>（七）麦克风（1只）</w:t>
            </w:r>
            <w:r>
              <w:rPr>
                <w:rFonts w:hint="eastAsia" w:ascii="宋体" w:hAnsi="宋体" w:cs="宋体"/>
                <w:kern w:val="0"/>
                <w:szCs w:val="21"/>
                <w:lang w:bidi="ar"/>
              </w:rPr>
              <w:br w:type="textWrapping"/>
            </w:r>
            <w:r>
              <w:t>1.360°拾音麦克风星型阵列，宽范围频率响应，支持模拟输出。</w:t>
            </w:r>
          </w:p>
          <w:p>
            <w:r>
              <w:t>2.可自动将焦点对准当前发言人，音质清晰，低噪音。</w:t>
            </w:r>
          </w:p>
          <w:p>
            <w:r>
              <w:t>3.桌面式设计特性，优化音频采集，真实还原声音。</w:t>
            </w:r>
          </w:p>
          <w:p>
            <w:r>
              <w:t>4.麦克风可放置于桌面，设备部署更简洁，更美观，更高效。</w:t>
            </w:r>
          </w:p>
          <w:p>
            <w:r>
              <w:t>5.内置回声消除AEC、自动增益AGC、噪声抑制ANS等音频处理功能。</w:t>
            </w:r>
          </w:p>
          <w:p>
            <w:r>
              <w:t>6.具备电容感应式无杂音触摸按键，并带有红蓝静音指示灯。</w:t>
            </w:r>
          </w:p>
          <w:p>
            <w:r>
              <w:rPr>
                <w:rFonts w:ascii="Segoe UI Symbol" w:hAnsi="Segoe UI Symbol" w:cs="Segoe UI Symbol"/>
              </w:rPr>
              <w:t>★</w:t>
            </w:r>
            <w:r>
              <w:t>7.全向</w:t>
            </w:r>
            <w:r>
              <w:rPr>
                <w:rFonts w:hint="eastAsia"/>
              </w:rPr>
              <w:t>麦</w:t>
            </w:r>
            <w:r>
              <w:t>具备有web后台管理功能，支持音量设置、自动增益最大数值调整、噪声抑制“中”或“弱”调整、打开或关闭回声消除、调整回声抑制效果强度。（提供功能界面截图，并盖生产厂商公章）</w:t>
            </w:r>
          </w:p>
          <w:p>
            <w:r>
              <w:t>8.支持通过web后台管理功能加载不同的场景，支持4种不同的场景调用，方便针对不同使用环境的调试及应用。（提供功能界面截图，并盖生产厂商公章）</w:t>
            </w:r>
          </w:p>
          <w:p>
            <w:r>
              <w:t>9.支持通过web后台管理界面进行固件升级功能。</w:t>
            </w:r>
          </w:p>
          <w:p>
            <w:r>
              <w:rPr>
                <w:rFonts w:hint="eastAsia"/>
              </w:rPr>
              <w:t>10</w:t>
            </w:r>
            <w:r>
              <w:t>.单体 ：背极式驻极体</w:t>
            </w:r>
          </w:p>
          <w:p>
            <w:r>
              <w:rPr>
                <w:rFonts w:hint="eastAsia"/>
              </w:rPr>
              <w:t>11</w:t>
            </w:r>
            <w:r>
              <w:t>.指向性：360°</w:t>
            </w:r>
          </w:p>
          <w:p>
            <w:r>
              <w:rPr>
                <w:rFonts w:hint="eastAsia"/>
              </w:rPr>
              <w:t>12</w:t>
            </w:r>
            <w:r>
              <w:t>.拾音半径：6米</w:t>
            </w:r>
          </w:p>
          <w:p>
            <w:r>
              <w:rPr>
                <w:rFonts w:hint="eastAsia"/>
              </w:rPr>
              <w:t>13</w:t>
            </w:r>
            <w:r>
              <w:t>.频率响应：40Hz ~ 20KHz</w:t>
            </w:r>
          </w:p>
          <w:p>
            <w:r>
              <w:rPr>
                <w:rFonts w:hint="eastAsia"/>
              </w:rPr>
              <w:t>14</w:t>
            </w:r>
            <w:r>
              <w:t>.灵敏度：-38dB ± 2dB (0dB = 1V / Pa at 1KHz)</w:t>
            </w:r>
          </w:p>
          <w:p>
            <w:r>
              <w:rPr>
                <w:rFonts w:hint="eastAsia"/>
              </w:rPr>
              <w:t>15</w:t>
            </w:r>
            <w:r>
              <w:t>输出阻抗：500Ω ± 30% (at 1kHz)</w:t>
            </w:r>
          </w:p>
          <w:p>
            <w:r>
              <w:rPr>
                <w:rFonts w:hint="eastAsia"/>
              </w:rPr>
              <w:t>16</w:t>
            </w:r>
            <w:r>
              <w:t>.等效噪声级：＜50dBA SPL</w:t>
            </w:r>
          </w:p>
          <w:p>
            <w:r>
              <w:rPr>
                <w:rFonts w:hint="eastAsia"/>
              </w:rPr>
              <w:t>17</w:t>
            </w:r>
            <w:r>
              <w:t>.最大声压级：103dBA SPL</w:t>
            </w:r>
          </w:p>
          <w:p>
            <w:r>
              <w:rPr>
                <w:rFonts w:hint="eastAsia"/>
              </w:rPr>
              <w:t>18</w:t>
            </w:r>
            <w:r>
              <w:t>.AEC：支持</w:t>
            </w:r>
          </w:p>
          <w:p>
            <w:r>
              <w:rPr>
                <w:rFonts w:hint="eastAsia"/>
              </w:rPr>
              <w:t>19</w:t>
            </w:r>
            <w:r>
              <w:t>AGC：支持</w:t>
            </w:r>
          </w:p>
          <w:p>
            <w:r>
              <w:rPr>
                <w:rFonts w:hint="eastAsia"/>
              </w:rPr>
              <w:t>20</w:t>
            </w:r>
            <w:r>
              <w:t>.ANS：支持</w:t>
            </w:r>
          </w:p>
          <w:p>
            <w:r>
              <w:rPr>
                <w:rFonts w:hint="eastAsia"/>
              </w:rPr>
              <w:t>21</w:t>
            </w:r>
            <w:r>
              <w:t>静音按键：电容感应式无杂音触摸按键</w:t>
            </w:r>
          </w:p>
          <w:p>
            <w:r>
              <w:rPr>
                <w:rFonts w:hint="eastAsia"/>
              </w:rPr>
              <w:t>22</w:t>
            </w:r>
            <w:r>
              <w:t>.模拟音频输出：对接视频会议终端</w:t>
            </w:r>
          </w:p>
          <w:p>
            <w:r>
              <w:rPr>
                <w:rFonts w:hint="eastAsia"/>
              </w:rPr>
              <w:t>23</w:t>
            </w:r>
            <w:r>
              <w:t>.系统指示灯：红色：静音；蓝色：非静音</w:t>
            </w:r>
          </w:p>
          <w:p>
            <w:r>
              <w:rPr>
                <w:rFonts w:hint="eastAsia"/>
              </w:rPr>
              <w:t>24</w:t>
            </w:r>
            <w:r>
              <w:t>.模拟口（1号口）：RJ45，内嵌供电和模拟音频输入输出，带音频输入（回声参考）指示灯</w:t>
            </w:r>
          </w:p>
          <w:p>
            <w:r>
              <w:t>模拟口（2号口） RJ45，接扩展麦（最多可扩展3个扩展麦）</w:t>
            </w:r>
          </w:p>
          <w:p>
            <w:r>
              <w:rPr>
                <w:rFonts w:hint="eastAsia"/>
              </w:rPr>
              <w:t>25</w:t>
            </w:r>
            <w:r>
              <w:t>.转接盒接口：1路麦克风输出端子、1路参考音频接口</w:t>
            </w:r>
          </w:p>
          <w:p>
            <w:r>
              <w:rPr>
                <w:rFonts w:hint="eastAsia"/>
              </w:rPr>
              <w:t>26</w:t>
            </w:r>
            <w:r>
              <w:t>.输入电压：非标POE 48V供电（通过麦克风转接盒）</w:t>
            </w:r>
          </w:p>
          <w:p>
            <w:r>
              <w:rPr>
                <w:rFonts w:hint="eastAsia"/>
              </w:rPr>
              <w:t>27</w:t>
            </w:r>
            <w:r>
              <w:t>.输入电流：0.1A</w:t>
            </w:r>
          </w:p>
          <w:p>
            <w:r>
              <w:rPr>
                <w:rFonts w:hint="eastAsia"/>
              </w:rPr>
              <w:t>28</w:t>
            </w:r>
            <w:r>
              <w:t>.转接盒工作电压：输入 12V, 输出 48V （PoE）</w:t>
            </w:r>
          </w:p>
          <w:p>
            <w:r>
              <w:rPr>
                <w:rFonts w:hint="eastAsia"/>
              </w:rPr>
              <w:t>29</w:t>
            </w:r>
            <w:r>
              <w:t>.温度要求：0℃ ～40℃（工作状态）、-20℃～+60℃（非工作状态）</w:t>
            </w:r>
          </w:p>
          <w:p>
            <w:r>
              <w:rPr>
                <w:rFonts w:hint="eastAsia"/>
              </w:rPr>
              <w:t>30</w:t>
            </w:r>
            <w:r>
              <w:t>.湿度要求：10%～80% （工作状态）、0%～95% （非工作状态）；不结露</w:t>
            </w:r>
          </w:p>
          <w:p>
            <w:r>
              <w:rPr>
                <w:rFonts w:hint="eastAsia"/>
              </w:rPr>
              <w:t>31</w:t>
            </w:r>
            <w:r>
              <w:t>.功耗：4.8W</w:t>
            </w:r>
          </w:p>
          <w:p>
            <w:r>
              <w:rPr>
                <w:rFonts w:hint="eastAsia"/>
              </w:rPr>
              <w:t>32</w:t>
            </w:r>
            <w:r>
              <w:t>.尺寸：桌面麦克风：直径160mm、高35mm；模拟前端转接盒：70mm*66mm*27mm</w:t>
            </w:r>
          </w:p>
          <w:p>
            <w:pPr>
              <w:rPr>
                <w:rFonts w:ascii="宋体" w:hAnsi="宋体" w:cs="宋体"/>
                <w:kern w:val="0"/>
                <w:szCs w:val="21"/>
                <w:lang w:bidi="ar"/>
              </w:rPr>
            </w:pPr>
            <w:r>
              <w:rPr>
                <w:rFonts w:hint="eastAsia"/>
              </w:rPr>
              <w:t>33</w:t>
            </w:r>
            <w:r>
              <w:t>.重量（净重）：391g</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（八）台式电脑（1台）</w:t>
            </w:r>
          </w:p>
          <w:p>
            <w:pPr>
              <w:widowControl/>
              <w:spacing w:line="360" w:lineRule="exact"/>
              <w:textAlignment w:val="center"/>
              <w:rPr>
                <w:lang w:bidi="ar"/>
              </w:rPr>
            </w:pPr>
            <w:r>
              <w:rPr>
                <w:rFonts w:hint="eastAsia" w:ascii="宋体" w:hAnsi="宋体" w:cs="宋体"/>
                <w:kern w:val="0"/>
                <w:szCs w:val="21"/>
                <w:lang w:bidi="ar"/>
              </w:rPr>
              <w:t>i5-9400 8G 1T (W</w:t>
            </w:r>
            <w:r>
              <w:rPr>
                <w:rFonts w:ascii="宋体" w:hAnsi="宋体" w:cs="宋体"/>
                <w:kern w:val="0"/>
                <w:szCs w:val="21"/>
                <w:lang w:bidi="ar"/>
              </w:rPr>
              <w:t>IN</w:t>
            </w:r>
            <w:r>
              <w:rPr>
                <w:rFonts w:hint="eastAsia" w:ascii="宋体" w:hAnsi="宋体" w:cs="宋体"/>
                <w:kern w:val="0"/>
                <w:szCs w:val="21"/>
                <w:lang w:bidi="ar"/>
              </w:rPr>
              <w:t>10)</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※分会场（乡镇级会场）</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（一）高清视频终端（</w:t>
            </w:r>
            <w:r>
              <w:rPr>
                <w:rFonts w:ascii="宋体" w:hAnsi="宋体" w:cs="宋体"/>
                <w:b/>
                <w:bCs/>
                <w:kern w:val="0"/>
                <w:szCs w:val="21"/>
                <w:lang w:bidi="ar"/>
              </w:rPr>
              <w:t>12</w:t>
            </w:r>
            <w:r>
              <w:rPr>
                <w:rFonts w:hint="eastAsia" w:ascii="宋体" w:hAnsi="宋体" w:cs="宋体"/>
                <w:b/>
                <w:bCs/>
                <w:kern w:val="0"/>
                <w:szCs w:val="21"/>
                <w:lang w:bidi="ar"/>
              </w:rPr>
              <w:t>台）</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产品概述</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全新一体式高清视频会议终端，集成高清摄像机、麦克风，外观精致、性能卓越；支持H.264编解码技术，超低带宽即可实现超高清效果，简化安装方式，适用于各类中小型会议场所。</w:t>
            </w:r>
          </w:p>
          <w:p>
            <w:pPr>
              <w:widowControl/>
              <w:spacing w:line="360" w:lineRule="exact"/>
              <w:textAlignment w:val="center"/>
              <w:rPr>
                <w:rFonts w:ascii="宋体" w:hAnsi="宋体" w:cs="宋体"/>
                <w:kern w:val="0"/>
                <w:szCs w:val="21"/>
                <w:lang w:bidi="ar"/>
              </w:rPr>
            </w:pP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功能特点</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1.一体式集成化设计，内置硬件视频处理单元和集成高清摄像机，采用嵌入式硬件解决方案，高效率，低延时。</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2.采用完整原生安卓底层操作系统6.0版本，可无缝移植安卓视频会议应用。</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3.支持ITU-T H.323标准协议，具有良好的兼容性；支持VCS协议。</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4.支持H.264视频编解码协议，支持1080P、720P、VGA、CIF、QVGA、QCIF视频分辨率。</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5.支持G.711、G.722等音频编解码协议。</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6.支持电子白板、文件共享数据会议功能。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7.支持切换画面布局、主席控制等常用功能。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8.支持横幅功能，可在会议画面上添加横幅，并可设置是否启用横幅及横幅的字体大小、字体颜色、背景颜色和透明度。</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9.支持滚动消息功能，可发送滚动消息，并可设置是否启用滚动消息及滚动消息的字体大小、字体颜色、背景颜色、透明度和滚动次数。</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10.全定制自动对焦无畸变镜头（AF镜头），定制镜头模组，围绕视频会议需求优化设计，广角视场高达84°；支持电子云台（EPTZ）。</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11.内置麦克风阵列，可全向拾音，独有的噪声抑制算法，支持自动噪声抑制、支持自动增益控制、自动回声消除、唇音同步等音频处理功能。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12.支持会场静音和闭音功能，会场声音输出大小可调。</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13.内置无线WiFi模块，支持通过无线方式接入网络。</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14.终端具备2个USB接口，支持通过2.4G遥控器、触控、鼠标键盘等方式来操控终端，支持遥控器飞鼠操控模式。</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15.全开放API，支持第三方应用的开发，易于二次开发实现定制需求。</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技术参数</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(1)内置高清摄像机：</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(1)传感器：1/2.5英寸，CMOS</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(2)有效像素：207万</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(3)扫描方式：逐行</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(4)镜头焦距：f=3.5mm</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(5)水平视场角：84°</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(6)自动对焦：支持</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(2)视频输出：2路HDMI输出接口</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(3)内置麦克风：全向拾音，拾音距离可达3米</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(4)音频接口：1路3.5mm音频接口（输入输出一体化），2路HDMI输出接口（支持音频）</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(5)USB接口：1路USB2.0</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(6)TF接口：1路TF卡接口</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(7)网络接口：1路RJ45，10/100Base-T</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(8)尺寸：195mm×34mm×59mm(不含突出部分)</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(9)毛重：0.25kg</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(10)工作电压：DC 12V</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(11)最大功耗：9.6W</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(12)温度要求：0℃~40℃(工作状态)，-40℃~70℃(非工作状态)</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(13)相对湿度：10% ~ 80% (工作状态)，0% ~ 95%(非工作状态)</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(14)周围噪音：小于46dBA SPL</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(15)照度：5lux（最小照度），推荐照度大于300lux</w:t>
            </w:r>
          </w:p>
          <w:p>
            <w:pPr>
              <w:widowControl/>
              <w:spacing w:line="360" w:lineRule="exact"/>
              <w:textAlignment w:val="center"/>
              <w:rPr>
                <w:rFonts w:ascii="宋体" w:hAnsi="宋体" w:cs="宋体"/>
                <w:szCs w:val="21"/>
              </w:rPr>
            </w:pPr>
            <w:r>
              <w:rPr>
                <w:rFonts w:hint="eastAsia" w:ascii="宋体" w:hAnsi="宋体" w:cs="宋体"/>
                <w:b/>
                <w:bCs/>
                <w:kern w:val="0"/>
                <w:szCs w:val="21"/>
                <w:lang w:bidi="ar"/>
              </w:rPr>
              <w:t>（二）高清视频会议终端嵌入软件（12套）</w:t>
            </w:r>
            <w:r>
              <w:rPr>
                <w:rFonts w:hint="eastAsia" w:ascii="宋体" w:hAnsi="宋体" w:cs="宋体"/>
                <w:kern w:val="0"/>
                <w:szCs w:val="21"/>
                <w:lang w:bidi="ar"/>
              </w:rPr>
              <w:br w:type="textWrapping"/>
            </w:r>
            <w:r>
              <w:rPr>
                <w:rFonts w:hint="eastAsia" w:ascii="宋体" w:hAnsi="宋体" w:cs="宋体"/>
                <w:kern w:val="0"/>
                <w:szCs w:val="21"/>
                <w:lang w:bidi="ar"/>
              </w:rPr>
              <w:t>1.远程视频会议终端嵌入式软件，内嵌于设备，实现设备各项基本功能的运行。</w:t>
            </w:r>
            <w:r>
              <w:rPr>
                <w:rFonts w:hint="eastAsia" w:ascii="宋体" w:hAnsi="宋体" w:cs="宋体"/>
                <w:kern w:val="0"/>
                <w:szCs w:val="21"/>
                <w:lang w:bidi="ar"/>
              </w:rPr>
              <w:br w:type="textWrapping"/>
            </w:r>
            <w:r>
              <w:rPr>
                <w:rFonts w:hint="eastAsia" w:ascii="宋体" w:hAnsi="宋体" w:cs="宋体"/>
                <w:kern w:val="0"/>
                <w:szCs w:val="21"/>
                <w:lang w:bidi="ar"/>
              </w:rPr>
              <w:t>2.支持国际电联ITU-H.323标准通信协议。</w:t>
            </w:r>
            <w:r>
              <w:rPr>
                <w:rFonts w:hint="eastAsia" w:ascii="宋体" w:hAnsi="宋体" w:cs="宋体"/>
                <w:kern w:val="0"/>
                <w:szCs w:val="21"/>
                <w:lang w:bidi="ar"/>
              </w:rPr>
              <w:br w:type="textWrapping"/>
            </w:r>
            <w:r>
              <w:rPr>
                <w:rFonts w:hint="eastAsia" w:ascii="宋体" w:hAnsi="宋体" w:cs="宋体"/>
                <w:kern w:val="0"/>
                <w:szCs w:val="21"/>
                <w:lang w:bidi="ar"/>
              </w:rPr>
              <w:t>3.支持H.264HP等视频编解码技术、G7.11、G.722等音频编解码技术。</w:t>
            </w:r>
            <w:r>
              <w:rPr>
                <w:rFonts w:hint="eastAsia" w:ascii="宋体" w:hAnsi="宋体" w:cs="宋体"/>
                <w:kern w:val="0"/>
                <w:szCs w:val="21"/>
                <w:lang w:bidi="ar"/>
              </w:rPr>
              <w:br w:type="textWrapping"/>
            </w:r>
            <w:r>
              <w:rPr>
                <w:rFonts w:hint="eastAsia" w:ascii="宋体" w:hAnsi="宋体" w:cs="宋体"/>
                <w:kern w:val="0"/>
                <w:szCs w:val="21"/>
                <w:lang w:bidi="ar"/>
              </w:rPr>
              <w:t>4.支持高清1080P视频处理能力。</w:t>
            </w:r>
          </w:p>
          <w:p>
            <w:pPr>
              <w:widowControl/>
              <w:spacing w:line="360" w:lineRule="exact"/>
              <w:textAlignment w:val="center"/>
              <w:rPr>
                <w:rFonts w:ascii="宋体" w:hAnsi="宋体" w:cs="宋体"/>
                <w:kern w:val="0"/>
                <w:szCs w:val="21"/>
                <w:lang w:bidi="ar"/>
              </w:rPr>
            </w:pPr>
            <w:r>
              <w:rPr>
                <w:rFonts w:hint="eastAsia" w:ascii="宋体" w:hAnsi="宋体" w:cs="宋体"/>
                <w:b/>
                <w:bCs/>
                <w:kern w:val="0"/>
                <w:szCs w:val="21"/>
                <w:lang w:bidi="ar"/>
              </w:rPr>
              <w:t>（三）麦克风（12只）</w:t>
            </w:r>
            <w:r>
              <w:rPr>
                <w:rFonts w:hint="eastAsia" w:ascii="宋体" w:hAnsi="宋体" w:cs="宋体"/>
                <w:kern w:val="0"/>
                <w:szCs w:val="21"/>
                <w:lang w:bidi="ar"/>
              </w:rPr>
              <w:br w:type="textWrapping"/>
            </w:r>
            <w:r>
              <w:rPr>
                <w:rFonts w:hint="eastAsia" w:ascii="宋体" w:hAnsi="宋体" w:cs="宋体"/>
                <w:kern w:val="0"/>
                <w:szCs w:val="21"/>
                <w:lang w:bidi="ar"/>
              </w:rPr>
              <w:t>1．换能方式:电容式</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2．指向性:心形指向性</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3．频率响应:20Hz-18KHz</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4．输出阻抗:75Ω，平衡</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 xml:space="preserve">5．灵敏度:-40dB±2dB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 xml:space="preserve">6．动态范围:109dB, 1KH at max spl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7．信噪比 :65dB 1KHz at 1Pa</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 xml:space="preserve">8．供电电压:DC3V/幻象48V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9．开关:电子轻触</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 xml:space="preserve">10．咪杆长度:410mm </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11．线材配置:8米双芯、卡龙母+卡龙公</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12．单支话筒重量:0.78Kg</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13．底座规格（L x W x H）:114×140×37mm</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（四）壁挂音箱（12对）</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1．输出功率：25W×2@8Ω</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2．输入灵敏度：0.5V</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3．输出频响：80Hz-18KHz/1W,±0.5dB</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4．谐波失真：20Hz-20KHz/1W,0.05%</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5．阻尼系数：&gt;200@8Ω/400Hz</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6．转换速率：30V/US</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7．通道分离度：&gt;75dB(无计权)</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8．信噪比：&gt;95dB(无计权)</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9．放大器类型：AB类</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10．指示类型：电源、通道信号</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11．保护类型：过温保护、过载保护、开关机静音</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12．高音调节：±10dB</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13．低音调节：±10dB</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14．输入类型：欧式端子平衡、莲花座、立体声3.5插孔</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15．适用电源：~220V50HzHz</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16．产品尺寸：183×200×240mm</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17．净重：4.7Kg(1对)</w:t>
            </w:r>
          </w:p>
          <w:p>
            <w:pPr>
              <w:widowControl/>
              <w:spacing w:line="360" w:lineRule="exact"/>
              <w:textAlignment w:val="center"/>
              <w:rPr>
                <w:rFonts w:ascii="宋体" w:hAnsi="宋体" w:cs="宋体"/>
                <w:szCs w:val="21"/>
              </w:rPr>
            </w:pPr>
            <w:r>
              <w:rPr>
                <w:rFonts w:hint="eastAsia" w:ascii="宋体" w:hAnsi="宋体" w:cs="宋体"/>
                <w:kern w:val="0"/>
                <w:szCs w:val="21"/>
                <w:lang w:bidi="ar"/>
              </w:rPr>
              <w:t>18.防护等级：IP66</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（五）电视机（12套）</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 xml:space="preserve">55英寸4K超高清 </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※辅助材料</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（一）交换机（1台）</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w:t>
            </w:r>
            <w:r>
              <w:rPr>
                <w:rFonts w:hint="eastAsia" w:ascii="宋体" w:hAnsi="宋体" w:cs="宋体"/>
                <w:kern w:val="0"/>
                <w:szCs w:val="21"/>
                <w:lang w:bidi="ar"/>
              </w:rPr>
              <w:tab/>
            </w:r>
            <w:r>
              <w:rPr>
                <w:rFonts w:hint="eastAsia" w:ascii="宋体" w:hAnsi="宋体" w:cs="宋体"/>
                <w:kern w:val="0"/>
                <w:szCs w:val="21"/>
                <w:lang w:bidi="ar"/>
              </w:rPr>
              <w:t>24个10/100/1000Base-T以太网端口，4个千兆SFP</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w:t>
            </w:r>
            <w:r>
              <w:rPr>
                <w:rFonts w:hint="eastAsia" w:ascii="宋体" w:hAnsi="宋体" w:cs="宋体"/>
                <w:kern w:val="0"/>
                <w:szCs w:val="21"/>
                <w:lang w:bidi="ar"/>
              </w:rPr>
              <w:tab/>
            </w:r>
            <w:r>
              <w:rPr>
                <w:rFonts w:hint="eastAsia" w:ascii="宋体" w:hAnsi="宋体" w:cs="宋体"/>
                <w:kern w:val="0"/>
                <w:szCs w:val="21"/>
                <w:lang w:bidi="ar"/>
              </w:rPr>
              <w:t>交流供电</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w:t>
            </w:r>
            <w:r>
              <w:rPr>
                <w:rFonts w:hint="eastAsia" w:ascii="宋体" w:hAnsi="宋体" w:cs="宋体"/>
                <w:kern w:val="0"/>
                <w:szCs w:val="21"/>
                <w:lang w:bidi="ar"/>
              </w:rPr>
              <w:tab/>
            </w:r>
            <w:r>
              <w:rPr>
                <w:rFonts w:hint="eastAsia" w:ascii="宋体" w:hAnsi="宋体" w:cs="宋体"/>
                <w:kern w:val="0"/>
                <w:szCs w:val="21"/>
                <w:lang w:bidi="ar"/>
              </w:rPr>
              <w:t>包转发率：51Mpps/126Mpps</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w:t>
            </w:r>
            <w:r>
              <w:rPr>
                <w:rFonts w:hint="eastAsia" w:ascii="宋体" w:hAnsi="宋体" w:cs="宋体"/>
                <w:kern w:val="0"/>
                <w:szCs w:val="21"/>
                <w:lang w:bidi="ar"/>
              </w:rPr>
              <w:tab/>
            </w:r>
            <w:r>
              <w:rPr>
                <w:rFonts w:hint="eastAsia" w:ascii="宋体" w:hAnsi="宋体" w:cs="宋体"/>
                <w:kern w:val="0"/>
                <w:szCs w:val="21"/>
                <w:lang w:bidi="ar"/>
              </w:rPr>
              <w:t>交换容量：336Gbps/3.36Tbps</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5.</w:t>
            </w:r>
            <w:r>
              <w:rPr>
                <w:rFonts w:hint="eastAsia" w:ascii="宋体" w:hAnsi="宋体" w:cs="宋体"/>
                <w:kern w:val="0"/>
                <w:szCs w:val="21"/>
                <w:lang w:bidi="ar"/>
              </w:rPr>
              <w:tab/>
            </w:r>
            <w:r>
              <w:rPr>
                <w:rFonts w:hint="eastAsia" w:ascii="宋体" w:hAnsi="宋体" w:cs="宋体"/>
                <w:kern w:val="0"/>
                <w:szCs w:val="21"/>
                <w:lang w:bidi="ar"/>
              </w:rPr>
              <w:t>外形尺寸mm（宽×深×高）442×220×43.6</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6.</w:t>
            </w:r>
            <w:r>
              <w:rPr>
                <w:rFonts w:hint="eastAsia" w:ascii="宋体" w:hAnsi="宋体" w:cs="宋体"/>
                <w:kern w:val="0"/>
                <w:szCs w:val="21"/>
                <w:lang w:bidi="ar"/>
              </w:rPr>
              <w:tab/>
            </w:r>
            <w:r>
              <w:rPr>
                <w:rFonts w:hint="eastAsia" w:ascii="宋体" w:hAnsi="宋体" w:cs="宋体"/>
                <w:kern w:val="0"/>
                <w:szCs w:val="21"/>
                <w:lang w:bidi="ar"/>
              </w:rPr>
              <w:t>输入电压AC：额定电压范围：100-240V AC；50~60Hz最大电压范围：90-264V AC；47~63Hz</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7.</w:t>
            </w:r>
            <w:r>
              <w:rPr>
                <w:rFonts w:hint="eastAsia" w:ascii="宋体" w:hAnsi="宋体" w:cs="宋体"/>
                <w:kern w:val="0"/>
                <w:szCs w:val="21"/>
                <w:lang w:bidi="ar"/>
              </w:rPr>
              <w:tab/>
            </w:r>
            <w:r>
              <w:rPr>
                <w:rFonts w:hint="eastAsia" w:ascii="宋体" w:hAnsi="宋体" w:cs="宋体"/>
                <w:kern w:val="0"/>
                <w:szCs w:val="21"/>
                <w:lang w:bidi="ar"/>
              </w:rPr>
              <w:t>最大功耗20.2W</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8.</w:t>
            </w:r>
            <w:r>
              <w:rPr>
                <w:rFonts w:hint="eastAsia" w:ascii="宋体" w:hAnsi="宋体" w:cs="宋体"/>
                <w:kern w:val="0"/>
                <w:szCs w:val="21"/>
                <w:lang w:bidi="ar"/>
              </w:rPr>
              <w:tab/>
            </w:r>
            <w:r>
              <w:rPr>
                <w:rFonts w:hint="eastAsia" w:ascii="宋体" w:hAnsi="宋体" w:cs="宋体"/>
                <w:kern w:val="0"/>
                <w:szCs w:val="21"/>
                <w:lang w:bidi="ar"/>
              </w:rPr>
              <w:t>MAC地址表：支持MAC地址自动学习和老化、支持静态、动态、黑洞MAC表项、支持源MAC地址过滤、支持接口MAC地址学习个数限制</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9.</w:t>
            </w:r>
            <w:r>
              <w:rPr>
                <w:rFonts w:hint="eastAsia" w:ascii="宋体" w:hAnsi="宋体" w:cs="宋体"/>
                <w:kern w:val="0"/>
                <w:szCs w:val="21"/>
                <w:lang w:bidi="ar"/>
              </w:rPr>
              <w:tab/>
            </w:r>
            <w:r>
              <w:rPr>
                <w:rFonts w:hint="eastAsia" w:ascii="宋体" w:hAnsi="宋体" w:cs="宋体"/>
                <w:kern w:val="0"/>
                <w:szCs w:val="21"/>
                <w:lang w:bidi="ar"/>
              </w:rPr>
              <w:t>VLAN特性：支持4K个VLAN、支持Guest VLAN、Voice VLAN、支持GVRP协议、支持MUX VLAN功能、支持基于MAC/协议/IP子网/策略/端口的VLAN、支持1:1和N:1 VLAN Mapping功能</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10.</w:t>
            </w:r>
            <w:r>
              <w:rPr>
                <w:rFonts w:hint="eastAsia" w:ascii="宋体" w:hAnsi="宋体" w:cs="宋体"/>
                <w:kern w:val="0"/>
                <w:szCs w:val="21"/>
                <w:lang w:bidi="ar"/>
              </w:rPr>
              <w:tab/>
            </w:r>
            <w:r>
              <w:rPr>
                <w:rFonts w:hint="eastAsia" w:ascii="宋体" w:hAnsi="宋体" w:cs="宋体"/>
                <w:kern w:val="0"/>
                <w:szCs w:val="21"/>
                <w:lang w:bidi="ar"/>
              </w:rPr>
              <w:t>环网保护技术：支持RRPP环型拓扑和RRPP多实例、支持SmartLink树型拓朴和SmartLink多实例，提供主备链路的毫秒级保护、支持智能以太保护SEP协议、支持ERPS以太环保护协议（G.8032）、支持STP（IEEE 802.1d），RSTP（IEEE 802.1w）和MSTP（IEEE 802.1s）协议、支持BPDU保护、根保护和环回保护、支持BPDU Tunnel</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11.</w:t>
            </w:r>
            <w:r>
              <w:rPr>
                <w:rFonts w:hint="eastAsia" w:ascii="宋体" w:hAnsi="宋体" w:cs="宋体"/>
                <w:kern w:val="0"/>
                <w:szCs w:val="21"/>
                <w:lang w:bidi="ar"/>
              </w:rPr>
              <w:tab/>
            </w:r>
            <w:r>
              <w:rPr>
                <w:rFonts w:hint="eastAsia" w:ascii="宋体" w:hAnsi="宋体" w:cs="宋体"/>
                <w:kern w:val="0"/>
                <w:szCs w:val="21"/>
                <w:lang w:bidi="ar"/>
              </w:rPr>
              <w:t>IP路由：静态路由，支持RIP、RIPng、OSPF、OSPFv3协议</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12.</w:t>
            </w:r>
            <w:r>
              <w:rPr>
                <w:rFonts w:hint="eastAsia" w:ascii="宋体" w:hAnsi="宋体" w:cs="宋体"/>
                <w:kern w:val="0"/>
                <w:szCs w:val="21"/>
                <w:lang w:bidi="ar"/>
              </w:rPr>
              <w:tab/>
            </w:r>
            <w:r>
              <w:rPr>
                <w:rFonts w:hint="eastAsia" w:ascii="宋体" w:hAnsi="宋体" w:cs="宋体"/>
                <w:kern w:val="0"/>
                <w:szCs w:val="21"/>
                <w:lang w:bidi="ar"/>
              </w:rPr>
              <w:t>QoS/ACL：支持对端口入方向、出方向进行速率限制、支持报文重定向、支持基于端口的流量监管，支持双速三色CAR功能、每端口支持8个队列、支持WRR、DRR、SP、WRR＋SP、DRR+SP队列调度算法</w:t>
            </w:r>
          </w:p>
          <w:p>
            <w:pPr>
              <w:spacing w:line="360" w:lineRule="exact"/>
              <w:textAlignment w:val="center"/>
              <w:rPr>
                <w:rFonts w:ascii="宋体" w:hAnsi="宋体" w:cs="宋体"/>
                <w:szCs w:val="21"/>
              </w:rPr>
            </w:pPr>
            <w:r>
              <w:rPr>
                <w:rFonts w:hint="eastAsia" w:ascii="宋体" w:hAnsi="宋体" w:cs="宋体"/>
                <w:kern w:val="0"/>
                <w:szCs w:val="21"/>
                <w:lang w:bidi="ar"/>
              </w:rPr>
              <w:t>13.</w:t>
            </w:r>
            <w:r>
              <w:rPr>
                <w:rFonts w:hint="eastAsia" w:ascii="宋体" w:hAnsi="宋体" w:cs="宋体"/>
                <w:kern w:val="0"/>
                <w:szCs w:val="21"/>
                <w:lang w:bidi="ar"/>
              </w:rPr>
              <w:tab/>
            </w:r>
            <w:r>
              <w:rPr>
                <w:rFonts w:hint="eastAsia" w:ascii="宋体" w:hAnsi="宋体" w:cs="宋体"/>
                <w:kern w:val="0"/>
                <w:szCs w:val="21"/>
                <w:lang w:bidi="ar"/>
              </w:rPr>
              <w:t>支持报文的802.1p和DSCP优先级重新标记、支持L2（Layer 2）~L4（Layer 4）包过滤功能，提供基于源MAC地址、目的MAC地址、源IP地址、目的IP地址、TCP/UDP协议源/目的端口号、协议、VLAN的包过滤功能、支持基于队列限速和端口整形的功能</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（二）机柜（1套）</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1.</w:t>
            </w:r>
            <w:r>
              <w:rPr>
                <w:rFonts w:hint="eastAsia" w:ascii="宋体" w:hAnsi="宋体" w:cs="宋体"/>
                <w:kern w:val="0"/>
                <w:szCs w:val="21"/>
                <w:lang w:bidi="ar"/>
              </w:rPr>
              <w:tab/>
            </w:r>
            <w:r>
              <w:rPr>
                <w:rFonts w:hint="eastAsia" w:ascii="宋体" w:hAnsi="宋体" w:cs="宋体"/>
                <w:kern w:val="0"/>
                <w:szCs w:val="21"/>
                <w:lang w:bidi="ar"/>
              </w:rPr>
              <w:t>机柜尺寸：600*600*1245</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2.</w:t>
            </w:r>
            <w:r>
              <w:rPr>
                <w:rFonts w:hint="eastAsia" w:ascii="宋体" w:hAnsi="宋体" w:cs="宋体"/>
                <w:kern w:val="0"/>
                <w:szCs w:val="21"/>
                <w:lang w:bidi="ar"/>
              </w:rPr>
              <w:tab/>
            </w:r>
            <w:r>
              <w:rPr>
                <w:rFonts w:hint="eastAsia" w:ascii="宋体" w:hAnsi="宋体" w:cs="宋体"/>
                <w:kern w:val="0"/>
                <w:szCs w:val="21"/>
                <w:lang w:bidi="ar"/>
              </w:rPr>
              <w:t>材料：SPCC优质冷轧钢板。</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3.</w:t>
            </w:r>
            <w:r>
              <w:rPr>
                <w:rFonts w:hint="eastAsia" w:ascii="宋体" w:hAnsi="宋体" w:cs="宋体"/>
                <w:kern w:val="0"/>
                <w:szCs w:val="21"/>
                <w:lang w:bidi="ar"/>
              </w:rPr>
              <w:tab/>
            </w:r>
            <w:r>
              <w:rPr>
                <w:rFonts w:hint="eastAsia" w:ascii="宋体" w:hAnsi="宋体" w:cs="宋体"/>
                <w:kern w:val="0"/>
                <w:szCs w:val="21"/>
                <w:lang w:bidi="ar"/>
              </w:rPr>
              <w:t>结构：模块化组装设计，内部标准19英寸机架结构。</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4.</w:t>
            </w:r>
            <w:r>
              <w:rPr>
                <w:rFonts w:hint="eastAsia" w:ascii="宋体" w:hAnsi="宋体" w:cs="宋体"/>
                <w:kern w:val="0"/>
                <w:szCs w:val="21"/>
                <w:lang w:bidi="ar"/>
              </w:rPr>
              <w:tab/>
            </w:r>
            <w:r>
              <w:rPr>
                <w:rFonts w:hint="eastAsia" w:ascii="宋体" w:hAnsi="宋体" w:cs="宋体"/>
                <w:kern w:val="0"/>
                <w:szCs w:val="21"/>
                <w:lang w:bidi="ar"/>
              </w:rPr>
              <w:t>门板：前为钢化玻璃门，后为平面钢质门，左右为快拆钢质门。</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5.</w:t>
            </w:r>
            <w:r>
              <w:rPr>
                <w:rFonts w:hint="eastAsia" w:ascii="宋体" w:hAnsi="宋体" w:cs="宋体"/>
                <w:kern w:val="0"/>
                <w:szCs w:val="21"/>
                <w:lang w:bidi="ar"/>
              </w:rPr>
              <w:tab/>
            </w:r>
            <w:r>
              <w:rPr>
                <w:rFonts w:hint="eastAsia" w:ascii="宋体" w:hAnsi="宋体" w:cs="宋体"/>
                <w:kern w:val="0"/>
                <w:szCs w:val="21"/>
                <w:lang w:bidi="ar"/>
              </w:rPr>
              <w:t>颜色：黑色或白色。</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6.</w:t>
            </w:r>
            <w:r>
              <w:rPr>
                <w:rFonts w:hint="eastAsia" w:ascii="宋体" w:hAnsi="宋体" w:cs="宋体"/>
                <w:kern w:val="0"/>
                <w:szCs w:val="21"/>
                <w:lang w:bidi="ar"/>
              </w:rPr>
              <w:tab/>
            </w:r>
            <w:r>
              <w:rPr>
                <w:rFonts w:hint="eastAsia" w:ascii="宋体" w:hAnsi="宋体" w:cs="宋体"/>
                <w:kern w:val="0"/>
                <w:szCs w:val="21"/>
                <w:lang w:bidi="ar"/>
              </w:rPr>
              <w:t>表面处理：方孔条镀锌，其余部件均经过脱脂、酸洗、磷化、静电喷涂喷塑处理。</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7.</w:t>
            </w:r>
            <w:r>
              <w:rPr>
                <w:rFonts w:hint="eastAsia" w:ascii="宋体" w:hAnsi="宋体" w:cs="宋体"/>
                <w:kern w:val="0"/>
                <w:szCs w:val="21"/>
                <w:lang w:bidi="ar"/>
              </w:rPr>
              <w:tab/>
            </w:r>
            <w:r>
              <w:rPr>
                <w:rFonts w:hint="eastAsia" w:ascii="宋体" w:hAnsi="宋体" w:cs="宋体"/>
                <w:kern w:val="0"/>
                <w:szCs w:val="21"/>
                <w:lang w:bidi="ar"/>
              </w:rPr>
              <w:t>防护等级：IP23。</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8.</w:t>
            </w:r>
            <w:r>
              <w:rPr>
                <w:rFonts w:hint="eastAsia" w:ascii="宋体" w:hAnsi="宋体" w:cs="宋体"/>
                <w:kern w:val="0"/>
                <w:szCs w:val="21"/>
                <w:lang w:bidi="ar"/>
              </w:rPr>
              <w:tab/>
            </w:r>
            <w:r>
              <w:rPr>
                <w:rFonts w:hint="eastAsia" w:ascii="宋体" w:hAnsi="宋体" w:cs="宋体"/>
                <w:kern w:val="0"/>
                <w:szCs w:val="21"/>
                <w:lang w:bidi="ar"/>
              </w:rPr>
              <w:t>标准宽深：W600mm；D600mm。</w:t>
            </w:r>
          </w:p>
          <w:p>
            <w:pPr>
              <w:spacing w:line="360" w:lineRule="exact"/>
              <w:textAlignment w:val="center"/>
              <w:rPr>
                <w:rFonts w:ascii="宋体" w:hAnsi="宋体" w:cs="宋体"/>
                <w:szCs w:val="21"/>
              </w:rPr>
            </w:pPr>
            <w:r>
              <w:rPr>
                <w:rFonts w:hint="eastAsia" w:ascii="宋体" w:hAnsi="宋体" w:cs="宋体"/>
                <w:kern w:val="0"/>
                <w:szCs w:val="21"/>
                <w:lang w:bidi="ar"/>
              </w:rPr>
              <w:t>9.</w:t>
            </w:r>
            <w:r>
              <w:rPr>
                <w:rFonts w:hint="eastAsia" w:ascii="宋体" w:hAnsi="宋体" w:cs="宋体"/>
                <w:kern w:val="0"/>
                <w:szCs w:val="21"/>
                <w:lang w:bidi="ar"/>
              </w:rPr>
              <w:tab/>
            </w:r>
            <w:r>
              <w:rPr>
                <w:rFonts w:hint="eastAsia" w:ascii="宋体" w:hAnsi="宋体" w:cs="宋体"/>
                <w:kern w:val="0"/>
                <w:szCs w:val="21"/>
                <w:lang w:bidi="ar"/>
              </w:rPr>
              <w:t>承重：静态承重≥500KG。</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（三）视频线（12条）</w:t>
            </w:r>
          </w:p>
          <w:p>
            <w:pPr>
              <w:widowControl/>
              <w:spacing w:line="360" w:lineRule="exact"/>
              <w:textAlignment w:val="center"/>
              <w:rPr>
                <w:rFonts w:ascii="宋体" w:hAnsi="宋体" w:cs="宋体"/>
                <w:szCs w:val="21"/>
              </w:rPr>
            </w:pPr>
            <w:r>
              <w:rPr>
                <w:rFonts w:hint="eastAsia" w:ascii="宋体" w:hAnsi="宋体" w:cs="宋体"/>
                <w:kern w:val="0"/>
                <w:szCs w:val="21"/>
                <w:lang w:bidi="ar"/>
              </w:rPr>
              <w:t xml:space="preserve">HDMI线材质: 纯铜，长度:8米 </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（四）电源线（6</w:t>
            </w:r>
            <w:r>
              <w:rPr>
                <w:rFonts w:ascii="宋体" w:hAnsi="宋体" w:cs="宋体"/>
                <w:b/>
                <w:bCs/>
                <w:kern w:val="0"/>
                <w:szCs w:val="21"/>
                <w:lang w:bidi="ar"/>
              </w:rPr>
              <w:t>50</w:t>
            </w:r>
            <w:r>
              <w:rPr>
                <w:rFonts w:hint="eastAsia" w:ascii="宋体" w:hAnsi="宋体" w:cs="宋体"/>
                <w:b/>
                <w:bCs/>
                <w:kern w:val="0"/>
                <w:szCs w:val="21"/>
                <w:lang w:bidi="ar"/>
              </w:rPr>
              <w:t>米）</w:t>
            </w:r>
          </w:p>
          <w:p>
            <w:pPr>
              <w:widowControl/>
              <w:spacing w:line="360" w:lineRule="exact"/>
              <w:textAlignment w:val="center"/>
              <w:rPr>
                <w:rFonts w:ascii="宋体" w:hAnsi="宋体" w:cs="宋体"/>
                <w:szCs w:val="21"/>
              </w:rPr>
            </w:pPr>
            <w:r>
              <w:rPr>
                <w:rFonts w:hint="eastAsia" w:ascii="宋体" w:hAnsi="宋体" w:cs="宋体"/>
                <w:kern w:val="0"/>
                <w:szCs w:val="21"/>
                <w:lang w:bidi="ar"/>
              </w:rPr>
              <w:t xml:space="preserve">电源线RVVP电线电缆 国标纯铜环保 RVV3*1.5 200米 </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（五）网线（1</w:t>
            </w:r>
            <w:r>
              <w:rPr>
                <w:rFonts w:ascii="宋体" w:hAnsi="宋体" w:cs="宋体"/>
                <w:b/>
                <w:bCs/>
                <w:kern w:val="0"/>
                <w:szCs w:val="21"/>
                <w:lang w:bidi="ar"/>
              </w:rPr>
              <w:t>.5</w:t>
            </w:r>
            <w:r>
              <w:rPr>
                <w:rFonts w:hint="eastAsia" w:ascii="宋体" w:hAnsi="宋体" w:cs="宋体"/>
                <w:b/>
                <w:bCs/>
                <w:kern w:val="0"/>
                <w:szCs w:val="21"/>
                <w:lang w:bidi="ar"/>
              </w:rPr>
              <w:t>箱）</w:t>
            </w:r>
          </w:p>
          <w:p>
            <w:pPr>
              <w:widowControl/>
              <w:spacing w:line="360" w:lineRule="exact"/>
              <w:textAlignment w:val="center"/>
              <w:rPr>
                <w:rFonts w:ascii="宋体" w:hAnsi="宋体" w:cs="宋体"/>
                <w:szCs w:val="21"/>
              </w:rPr>
            </w:pPr>
            <w:r>
              <w:rPr>
                <w:rFonts w:hint="eastAsia" w:ascii="宋体" w:hAnsi="宋体" w:cs="宋体"/>
                <w:kern w:val="0"/>
                <w:szCs w:val="21"/>
                <w:lang w:bidi="ar"/>
              </w:rPr>
              <w:t>六类网线、非屏蔽纯铜线千兆网线箱线灰色305米</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（六）话筒线（6</w:t>
            </w:r>
            <w:r>
              <w:rPr>
                <w:rFonts w:ascii="宋体" w:hAnsi="宋体" w:cs="宋体"/>
                <w:b/>
                <w:bCs/>
                <w:kern w:val="0"/>
                <w:szCs w:val="21"/>
                <w:lang w:bidi="ar"/>
              </w:rPr>
              <w:t>50</w:t>
            </w:r>
            <w:r>
              <w:rPr>
                <w:rFonts w:hint="eastAsia" w:ascii="宋体" w:hAnsi="宋体" w:cs="宋体"/>
                <w:b/>
                <w:bCs/>
                <w:kern w:val="0"/>
                <w:szCs w:val="21"/>
                <w:lang w:bidi="ar"/>
              </w:rPr>
              <w:t>批）</w:t>
            </w:r>
          </w:p>
          <w:p>
            <w:pPr>
              <w:widowControl/>
              <w:spacing w:line="360" w:lineRule="exact"/>
              <w:textAlignment w:val="center"/>
              <w:rPr>
                <w:rFonts w:ascii="宋体" w:hAnsi="宋体" w:cs="宋体"/>
                <w:kern w:val="0"/>
                <w:szCs w:val="21"/>
                <w:lang w:bidi="ar"/>
              </w:rPr>
            </w:pPr>
            <w:r>
              <w:rPr>
                <w:rFonts w:hint="eastAsia" w:ascii="宋体" w:hAnsi="宋体" w:cs="宋体"/>
                <w:kern w:val="0"/>
                <w:szCs w:val="21"/>
                <w:lang w:bidi="ar"/>
              </w:rPr>
              <w:t xml:space="preserve">RVPE 2*0.3 </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（七）音频插头（1批）</w:t>
            </w:r>
          </w:p>
          <w:p>
            <w:pPr>
              <w:widowControl/>
              <w:spacing w:line="360" w:lineRule="exact"/>
              <w:textAlignment w:val="center"/>
              <w:rPr>
                <w:rFonts w:ascii="宋体" w:hAnsi="宋体" w:cs="宋体"/>
                <w:szCs w:val="21"/>
              </w:rPr>
            </w:pPr>
            <w:r>
              <w:rPr>
                <w:rFonts w:hint="eastAsia" w:ascii="宋体" w:hAnsi="宋体" w:cs="宋体"/>
                <w:kern w:val="0"/>
                <w:szCs w:val="21"/>
                <w:lang w:bidi="ar"/>
              </w:rPr>
              <w:t>RCA莲花头</w:t>
            </w:r>
          </w:p>
          <w:p>
            <w:pPr>
              <w:widowControl/>
              <w:spacing w:line="360" w:lineRule="exact"/>
              <w:textAlignment w:val="center"/>
              <w:rPr>
                <w:rFonts w:ascii="宋体" w:hAnsi="宋体" w:cs="宋体"/>
                <w:b/>
                <w:bCs/>
                <w:kern w:val="0"/>
                <w:szCs w:val="21"/>
                <w:lang w:bidi="ar"/>
              </w:rPr>
            </w:pPr>
            <w:r>
              <w:rPr>
                <w:rFonts w:hint="eastAsia" w:ascii="宋体" w:hAnsi="宋体" w:cs="宋体"/>
                <w:b/>
                <w:bCs/>
                <w:kern w:val="0"/>
                <w:szCs w:val="21"/>
                <w:lang w:bidi="ar"/>
              </w:rPr>
              <w:t>（八）P</w:t>
            </w:r>
            <w:r>
              <w:rPr>
                <w:rFonts w:ascii="宋体" w:hAnsi="宋体" w:cs="宋体"/>
                <w:b/>
                <w:bCs/>
                <w:kern w:val="0"/>
                <w:szCs w:val="21"/>
                <w:lang w:bidi="ar"/>
              </w:rPr>
              <w:t>VC</w:t>
            </w:r>
            <w:r>
              <w:rPr>
                <w:rFonts w:hint="eastAsia" w:ascii="宋体" w:hAnsi="宋体" w:cs="宋体"/>
                <w:b/>
                <w:bCs/>
                <w:kern w:val="0"/>
                <w:szCs w:val="21"/>
                <w:lang w:bidi="ar"/>
              </w:rPr>
              <w:t>管（1批）</w:t>
            </w:r>
          </w:p>
          <w:p>
            <w:pPr>
              <w:rPr>
                <w:rFonts w:ascii="宋体" w:hAnsi="宋体"/>
              </w:rPr>
            </w:pPr>
            <w:r>
              <w:rPr>
                <w:rFonts w:hint="eastAsia" w:ascii="宋体" w:hAnsi="宋体" w:cs="宋体"/>
                <w:kern w:val="0"/>
                <w:szCs w:val="21"/>
                <w:lang w:bidi="ar"/>
              </w:rPr>
              <w:t>白色线管，4米</w:t>
            </w:r>
          </w:p>
          <w:p>
            <w:pPr>
              <w:widowControl/>
              <w:spacing w:line="360" w:lineRule="exact"/>
              <w:jc w:val="left"/>
              <w:textAlignment w:val="center"/>
              <w:rPr>
                <w:rFonts w:ascii="宋体" w:hAnsi="宋体" w:cs="宋体"/>
                <w:b/>
                <w:bCs/>
                <w:kern w:val="0"/>
                <w:szCs w:val="21"/>
                <w:lang w:bidi="ar"/>
              </w:rPr>
            </w:pPr>
            <w:r>
              <w:rPr>
                <w:rFonts w:hint="eastAsia" w:ascii="宋体" w:hAnsi="宋体" w:cs="宋体"/>
                <w:b/>
                <w:bCs/>
                <w:kern w:val="0"/>
                <w:szCs w:val="21"/>
                <w:lang w:bidi="ar"/>
              </w:rPr>
              <w:t>（九）辅材（1项）</w:t>
            </w:r>
          </w:p>
          <w:p>
            <w:r>
              <w:rPr>
                <w:rFonts w:hint="eastAsia"/>
              </w:rPr>
              <w:t>管材、扎带、螺栓等</w:t>
            </w:r>
          </w:p>
          <w:p>
            <w:pPr>
              <w:rPr>
                <w:b/>
                <w:bCs/>
              </w:rPr>
            </w:pPr>
            <w:r>
              <w:rPr>
                <w:rFonts w:hint="eastAsia"/>
                <w:b/>
                <w:bCs/>
              </w:rPr>
              <w:t>（十）设备安装和调试（1项）</w:t>
            </w:r>
          </w:p>
          <w:p>
            <w:r>
              <w:rPr>
                <w:rFonts w:hint="eastAsia"/>
              </w:rPr>
              <w:t>1、主会场安装调试1项</w:t>
            </w:r>
          </w:p>
          <w:p>
            <w:pPr>
              <w:rPr>
                <w:lang w:bidi="ar"/>
              </w:rPr>
            </w:pPr>
            <w:r>
              <w:rPr>
                <w:rFonts w:hint="eastAsia"/>
              </w:rPr>
              <w:t>2、分会场设备安装调试1</w:t>
            </w:r>
            <w:r>
              <w:t>2</w:t>
            </w:r>
            <w:r>
              <w:rPr>
                <w:rFonts w:hint="eastAsia"/>
              </w:rPr>
              <w:t>项</w:t>
            </w:r>
          </w:p>
        </w:tc>
        <w:tc>
          <w:tcPr>
            <w:tcW w:w="625" w:type="dxa"/>
            <w:shd w:val="clear" w:color="auto" w:fill="auto"/>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项</w:t>
            </w:r>
          </w:p>
        </w:tc>
        <w:tc>
          <w:tcPr>
            <w:tcW w:w="516" w:type="dxa"/>
            <w:shd w:val="clear" w:color="auto" w:fill="auto"/>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7" w:type="dxa"/>
            <w:shd w:val="clear" w:color="auto" w:fill="auto"/>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4</w:t>
            </w:r>
          </w:p>
        </w:tc>
        <w:tc>
          <w:tcPr>
            <w:tcW w:w="1200" w:type="dxa"/>
            <w:shd w:val="clear" w:color="auto" w:fill="auto"/>
            <w:tcMar>
              <w:top w:w="15" w:type="dxa"/>
              <w:left w:w="15" w:type="dxa"/>
              <w:right w:w="15" w:type="dxa"/>
            </w:tcMar>
            <w:vAlign w:val="center"/>
          </w:tcPr>
          <w:p>
            <w:pPr>
              <w:widowControl/>
              <w:spacing w:line="360" w:lineRule="exact"/>
              <w:jc w:val="left"/>
              <w:textAlignment w:val="center"/>
              <w:rPr>
                <w:rFonts w:ascii="宋体" w:hAnsi="宋体" w:cs="宋体"/>
                <w:bCs/>
                <w:kern w:val="0"/>
                <w:szCs w:val="21"/>
                <w:lang w:bidi="ar"/>
              </w:rPr>
            </w:pPr>
            <w:r>
              <w:rPr>
                <w:rFonts w:hint="eastAsia" w:ascii="宋体" w:hAnsi="宋体" w:cs="宋体"/>
                <w:b/>
                <w:kern w:val="0"/>
                <w:szCs w:val="21"/>
                <w:lang w:bidi="ar"/>
              </w:rPr>
              <w:t>司法局指挥中心大屏显示系统定制服务</w:t>
            </w:r>
          </w:p>
        </w:tc>
        <w:tc>
          <w:tcPr>
            <w:tcW w:w="5753" w:type="dxa"/>
            <w:shd w:val="clear" w:color="auto" w:fill="auto"/>
            <w:tcMar>
              <w:top w:w="15" w:type="dxa"/>
              <w:left w:w="15" w:type="dxa"/>
              <w:right w:w="15" w:type="dxa"/>
            </w:tcMar>
            <w:vAlign w:val="center"/>
          </w:tcPr>
          <w:p>
            <w:pPr>
              <w:widowControl/>
              <w:spacing w:line="360" w:lineRule="exact"/>
              <w:jc w:val="left"/>
              <w:textAlignment w:val="center"/>
              <w:rPr>
                <w:rFonts w:ascii="宋体" w:hAnsi="宋体" w:cs="宋体"/>
                <w:kern w:val="0"/>
                <w:szCs w:val="21"/>
                <w:lang w:bidi="ar"/>
              </w:rPr>
            </w:pPr>
            <w:r>
              <w:rPr>
                <w:rFonts w:hint="eastAsia" w:ascii="宋体" w:hAnsi="宋体" w:cs="宋体"/>
                <w:b/>
                <w:bCs/>
                <w:kern w:val="0"/>
                <w:szCs w:val="21"/>
                <w:lang w:bidi="ar"/>
              </w:rPr>
              <w:t>一、服务内容：</w:t>
            </w:r>
            <w:r>
              <w:rPr>
                <w:rFonts w:hint="eastAsia" w:ascii="宋体" w:hAnsi="宋体" w:cs="宋体"/>
                <w:kern w:val="0"/>
                <w:szCs w:val="21"/>
                <w:lang w:bidi="ar"/>
              </w:rPr>
              <w:t>为司法指挥中心提供高清显示系统定制服务，系统能按客户需求进行信息展示，提升应急指挥作战水平。</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二、提供服务所需的配套软硬件技术指标要求：</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（一）户内全彩LED屏（11.</w:t>
            </w:r>
            <w:r>
              <w:rPr>
                <w:rFonts w:ascii="宋体" w:hAnsi="宋体" w:eastAsia="宋体" w:cs="宋体"/>
                <w:bCs/>
                <w:spacing w:val="0"/>
                <w:kern w:val="0"/>
                <w:sz w:val="21"/>
                <w:szCs w:val="21"/>
                <w:lang w:bidi="ar"/>
              </w:rPr>
              <w:t>41</w:t>
            </w:r>
            <w:r>
              <w:rPr>
                <w:rFonts w:hint="eastAsia" w:ascii="宋体" w:hAnsi="宋体" w:eastAsia="宋体" w:cs="宋体"/>
                <w:bCs/>
                <w:spacing w:val="0"/>
                <w:kern w:val="0"/>
                <w:sz w:val="21"/>
                <w:szCs w:val="21"/>
                <w:lang w:bidi="ar"/>
              </w:rPr>
              <w:t>平方）</w:t>
            </w:r>
          </w:p>
          <w:p>
            <w:pPr>
              <w:widowControl/>
              <w:jc w:val="left"/>
              <w:rPr>
                <w:rFonts w:ascii="宋体" w:hAnsi="宋体"/>
                <w:szCs w:val="21"/>
              </w:rPr>
            </w:pPr>
          </w:p>
          <w:p>
            <w:pPr>
              <w:widowControl/>
              <w:jc w:val="left"/>
              <w:rPr>
                <w:rFonts w:ascii="宋体" w:hAnsi="宋体"/>
                <w:szCs w:val="21"/>
              </w:rPr>
            </w:pPr>
            <w:r>
              <w:rPr>
                <w:rFonts w:hint="eastAsia" w:ascii="宋体" w:hAnsi="宋体"/>
                <w:szCs w:val="21"/>
              </w:rPr>
              <w:t>1.显示尺寸：4.</w:t>
            </w:r>
            <w:r>
              <w:rPr>
                <w:rFonts w:ascii="宋体" w:hAnsi="宋体"/>
                <w:szCs w:val="21"/>
              </w:rPr>
              <w:t>32</w:t>
            </w:r>
            <w:r>
              <w:rPr>
                <w:rFonts w:hint="eastAsia" w:ascii="宋体" w:hAnsi="宋体"/>
                <w:szCs w:val="21"/>
              </w:rPr>
              <w:t>m*2.</w:t>
            </w:r>
            <w:r>
              <w:rPr>
                <w:rFonts w:ascii="宋体" w:hAnsi="宋体"/>
                <w:szCs w:val="21"/>
              </w:rPr>
              <w:t>6</w:t>
            </w:r>
            <w:r>
              <w:rPr>
                <w:rFonts w:hint="eastAsia" w:ascii="宋体" w:hAnsi="宋体"/>
                <w:szCs w:val="21"/>
              </w:rPr>
              <w:t>4m=11.</w:t>
            </w:r>
            <w:r>
              <w:rPr>
                <w:rFonts w:ascii="宋体" w:hAnsi="宋体"/>
                <w:szCs w:val="21"/>
              </w:rPr>
              <w:t>41</w:t>
            </w:r>
            <w:r>
              <w:rPr>
                <w:rFonts w:hint="eastAsia" w:ascii="宋体" w:hAnsi="宋体"/>
                <w:szCs w:val="21"/>
              </w:rPr>
              <w:t>m²</w:t>
            </w:r>
          </w:p>
          <w:p>
            <w:pPr>
              <w:widowControl/>
              <w:jc w:val="left"/>
              <w:rPr>
                <w:rFonts w:ascii="宋体" w:hAnsi="宋体"/>
                <w:szCs w:val="21"/>
              </w:rPr>
            </w:pPr>
            <w:r>
              <w:rPr>
                <w:rFonts w:hint="eastAsia" w:ascii="宋体" w:hAnsi="宋体"/>
                <w:szCs w:val="21"/>
              </w:rPr>
              <w:t>2.物理点间距：1.875mm</w:t>
            </w:r>
          </w:p>
          <w:p>
            <w:pPr>
              <w:widowControl/>
              <w:jc w:val="left"/>
              <w:rPr>
                <w:rFonts w:ascii="宋体" w:hAnsi="宋体"/>
                <w:szCs w:val="21"/>
              </w:rPr>
            </w:pPr>
            <w:r>
              <w:rPr>
                <w:rFonts w:hint="eastAsia" w:ascii="宋体" w:hAnsi="宋体"/>
                <w:szCs w:val="21"/>
              </w:rPr>
              <w:t>3.分辨率：284444点/m²</w:t>
            </w:r>
          </w:p>
          <w:p>
            <w:pPr>
              <w:widowControl/>
              <w:jc w:val="left"/>
              <w:rPr>
                <w:rFonts w:ascii="宋体" w:hAnsi="宋体"/>
                <w:szCs w:val="21"/>
              </w:rPr>
            </w:pPr>
            <w:r>
              <w:rPr>
                <w:rFonts w:hint="eastAsia" w:ascii="宋体" w:hAnsi="宋体"/>
                <w:szCs w:val="21"/>
              </w:rPr>
              <w:t>4.像素中心距相对偏差：＜3%</w:t>
            </w:r>
          </w:p>
          <w:p>
            <w:pPr>
              <w:widowControl/>
              <w:jc w:val="left"/>
              <w:rPr>
                <w:rFonts w:ascii="宋体" w:hAnsi="宋体"/>
                <w:szCs w:val="21"/>
              </w:rPr>
            </w:pPr>
            <w:r>
              <w:rPr>
                <w:rFonts w:hint="eastAsia" w:ascii="宋体" w:hAnsi="宋体"/>
                <w:szCs w:val="21"/>
              </w:rPr>
              <w:t>5.模组平整度：≤0.2mm</w:t>
            </w:r>
          </w:p>
          <w:p>
            <w:pPr>
              <w:widowControl/>
              <w:jc w:val="left"/>
              <w:rPr>
                <w:rFonts w:ascii="宋体" w:hAnsi="宋体"/>
                <w:szCs w:val="21"/>
              </w:rPr>
            </w:pPr>
            <w:r>
              <w:rPr>
                <w:rFonts w:hint="eastAsia" w:ascii="宋体" w:hAnsi="宋体"/>
                <w:szCs w:val="21"/>
              </w:rPr>
              <w:t>6.IC：PWM</w:t>
            </w:r>
          </w:p>
          <w:p>
            <w:pPr>
              <w:widowControl/>
              <w:jc w:val="left"/>
              <w:rPr>
                <w:rFonts w:ascii="宋体" w:hAnsi="宋体"/>
                <w:szCs w:val="21"/>
              </w:rPr>
            </w:pPr>
            <w:r>
              <w:rPr>
                <w:rFonts w:hint="eastAsia" w:ascii="宋体" w:hAnsi="宋体"/>
                <w:szCs w:val="21"/>
              </w:rPr>
              <w:t>7.发光点颜色组合：1R1G1B</w:t>
            </w:r>
          </w:p>
          <w:p>
            <w:pPr>
              <w:widowControl/>
              <w:jc w:val="left"/>
              <w:rPr>
                <w:rFonts w:ascii="宋体" w:hAnsi="宋体"/>
                <w:szCs w:val="21"/>
              </w:rPr>
            </w:pPr>
            <w:r>
              <w:rPr>
                <w:rFonts w:hint="eastAsia" w:ascii="宋体" w:hAnsi="宋体"/>
                <w:szCs w:val="21"/>
              </w:rPr>
              <w:t>8.单元板分辨率：128*128</w:t>
            </w:r>
          </w:p>
          <w:p>
            <w:pPr>
              <w:widowControl/>
              <w:jc w:val="left"/>
              <w:rPr>
                <w:rFonts w:ascii="宋体" w:hAnsi="宋体"/>
                <w:szCs w:val="21"/>
              </w:rPr>
            </w:pPr>
            <w:r>
              <w:rPr>
                <w:rFonts w:hint="eastAsia" w:ascii="宋体" w:hAnsi="宋体"/>
                <w:szCs w:val="21"/>
              </w:rPr>
              <w:t>9.单元板尺寸（mm）：240*240</w:t>
            </w:r>
          </w:p>
          <w:p>
            <w:pPr>
              <w:widowControl/>
              <w:jc w:val="left"/>
              <w:rPr>
                <w:rFonts w:ascii="宋体" w:hAnsi="宋体"/>
                <w:szCs w:val="21"/>
              </w:rPr>
            </w:pPr>
            <w:r>
              <w:rPr>
                <w:rFonts w:hint="eastAsia" w:ascii="宋体" w:hAnsi="宋体"/>
                <w:szCs w:val="21"/>
              </w:rPr>
              <w:t>10.工作电压：DC+4.2V~+5V</w:t>
            </w:r>
          </w:p>
          <w:p>
            <w:pPr>
              <w:widowControl/>
              <w:jc w:val="left"/>
              <w:rPr>
                <w:rFonts w:ascii="宋体" w:hAnsi="宋体"/>
                <w:szCs w:val="21"/>
              </w:rPr>
            </w:pPr>
            <w:r>
              <w:rPr>
                <w:rFonts w:hint="eastAsia" w:ascii="宋体" w:hAnsi="宋体"/>
                <w:szCs w:val="21"/>
              </w:rPr>
              <w:t>11.最佳视距：≥2m</w:t>
            </w:r>
          </w:p>
          <w:p>
            <w:pPr>
              <w:widowControl/>
              <w:jc w:val="left"/>
              <w:rPr>
                <w:rFonts w:ascii="宋体" w:hAnsi="宋体"/>
                <w:szCs w:val="21"/>
              </w:rPr>
            </w:pPr>
            <w:r>
              <w:rPr>
                <w:rFonts w:hint="eastAsia" w:ascii="宋体" w:hAnsi="宋体"/>
                <w:szCs w:val="21"/>
              </w:rPr>
              <w:t>12.水平视角：160°</w:t>
            </w:r>
          </w:p>
          <w:p>
            <w:pPr>
              <w:widowControl/>
              <w:jc w:val="left"/>
              <w:rPr>
                <w:rFonts w:ascii="宋体" w:hAnsi="宋体"/>
                <w:szCs w:val="21"/>
              </w:rPr>
            </w:pPr>
            <w:r>
              <w:rPr>
                <w:rFonts w:hint="eastAsia" w:ascii="宋体" w:hAnsi="宋体"/>
                <w:szCs w:val="21"/>
              </w:rPr>
              <w:t>13.垂直视角：160°</w:t>
            </w:r>
          </w:p>
          <w:p>
            <w:pPr>
              <w:widowControl/>
              <w:jc w:val="left"/>
              <w:rPr>
                <w:rFonts w:ascii="宋体" w:hAnsi="宋体"/>
                <w:szCs w:val="21"/>
              </w:rPr>
            </w:pPr>
            <w:r>
              <w:rPr>
                <w:rFonts w:hint="eastAsia" w:ascii="宋体" w:hAnsi="宋体"/>
                <w:szCs w:val="21"/>
              </w:rPr>
              <w:t>14.维护方式：前维护</w:t>
            </w:r>
          </w:p>
          <w:p>
            <w:pPr>
              <w:widowControl/>
              <w:jc w:val="left"/>
              <w:rPr>
                <w:rFonts w:ascii="宋体" w:hAnsi="宋体"/>
                <w:szCs w:val="21"/>
              </w:rPr>
            </w:pPr>
            <w:r>
              <w:rPr>
                <w:rFonts w:hint="eastAsia" w:ascii="宋体" w:hAnsi="宋体"/>
                <w:szCs w:val="21"/>
              </w:rPr>
              <w:t>15.显示卡：DVI/HDMI/DP</w:t>
            </w:r>
          </w:p>
          <w:p>
            <w:pPr>
              <w:widowControl/>
              <w:jc w:val="left"/>
              <w:rPr>
                <w:rFonts w:ascii="宋体" w:hAnsi="宋体"/>
                <w:szCs w:val="21"/>
              </w:rPr>
            </w:pPr>
            <w:r>
              <w:rPr>
                <w:rFonts w:hint="eastAsia" w:ascii="宋体" w:hAnsi="宋体"/>
                <w:szCs w:val="21"/>
              </w:rPr>
              <w:t>16.视频信号：兼容PAL/NTSC/SECAM制式, 支持S-Video；VGA；RGB；Composite Video；SDI；DVI；RF；RGBHV；YUV；YC等</w:t>
            </w:r>
          </w:p>
          <w:p>
            <w:pPr>
              <w:widowControl/>
              <w:jc w:val="left"/>
              <w:rPr>
                <w:rFonts w:ascii="宋体" w:hAnsi="宋体"/>
                <w:szCs w:val="21"/>
              </w:rPr>
            </w:pPr>
            <w:r>
              <w:rPr>
                <w:rFonts w:hint="eastAsia" w:ascii="宋体" w:hAnsi="宋体"/>
                <w:szCs w:val="21"/>
              </w:rPr>
              <w:t>17.控制方式：同步控制</w:t>
            </w:r>
          </w:p>
          <w:p>
            <w:pPr>
              <w:widowControl/>
              <w:jc w:val="left"/>
              <w:rPr>
                <w:rFonts w:ascii="宋体" w:hAnsi="宋体"/>
                <w:szCs w:val="21"/>
              </w:rPr>
            </w:pPr>
            <w:r>
              <w:rPr>
                <w:rFonts w:hint="eastAsia" w:ascii="宋体" w:hAnsi="宋体"/>
                <w:szCs w:val="21"/>
              </w:rPr>
              <w:t>18.驱动器件：恒流</w:t>
            </w:r>
          </w:p>
          <w:p>
            <w:pPr>
              <w:widowControl/>
              <w:jc w:val="left"/>
              <w:rPr>
                <w:rFonts w:ascii="宋体" w:hAnsi="宋体"/>
                <w:szCs w:val="21"/>
              </w:rPr>
            </w:pPr>
            <w:r>
              <w:rPr>
                <w:rFonts w:hint="eastAsia" w:ascii="宋体" w:hAnsi="宋体"/>
                <w:szCs w:val="21"/>
              </w:rPr>
              <w:t>19.刷新频率：≥3840Hz</w:t>
            </w:r>
          </w:p>
          <w:p>
            <w:pPr>
              <w:widowControl/>
              <w:jc w:val="left"/>
              <w:rPr>
                <w:rFonts w:ascii="宋体" w:hAnsi="宋体"/>
                <w:szCs w:val="21"/>
              </w:rPr>
            </w:pPr>
            <w:r>
              <w:rPr>
                <w:rFonts w:hint="eastAsia" w:ascii="宋体" w:hAnsi="宋体"/>
                <w:szCs w:val="21"/>
              </w:rPr>
              <w:t>20.换帧频率：≥60Hz</w:t>
            </w:r>
          </w:p>
          <w:p>
            <w:pPr>
              <w:widowControl/>
              <w:jc w:val="left"/>
              <w:rPr>
                <w:rFonts w:ascii="宋体" w:hAnsi="宋体"/>
                <w:szCs w:val="21"/>
              </w:rPr>
            </w:pPr>
            <w:r>
              <w:rPr>
                <w:rFonts w:hint="eastAsia" w:ascii="宋体" w:hAnsi="宋体"/>
                <w:szCs w:val="21"/>
              </w:rPr>
              <w:t>21.灰度等级：12/14/16BIT</w:t>
            </w:r>
          </w:p>
          <w:p>
            <w:pPr>
              <w:widowControl/>
              <w:jc w:val="left"/>
              <w:rPr>
                <w:rFonts w:ascii="宋体" w:hAnsi="宋体"/>
                <w:szCs w:val="21"/>
              </w:rPr>
            </w:pPr>
            <w:r>
              <w:rPr>
                <w:rFonts w:hint="eastAsia" w:ascii="宋体" w:hAnsi="宋体"/>
                <w:szCs w:val="21"/>
              </w:rPr>
              <w:t>22.色温：2000-10000K可调</w:t>
            </w:r>
          </w:p>
          <w:p>
            <w:pPr>
              <w:widowControl/>
              <w:jc w:val="left"/>
              <w:rPr>
                <w:rFonts w:ascii="宋体" w:hAnsi="宋体"/>
                <w:szCs w:val="21"/>
              </w:rPr>
            </w:pPr>
            <w:r>
              <w:rPr>
                <w:rFonts w:hint="eastAsia" w:ascii="宋体" w:hAnsi="宋体"/>
                <w:szCs w:val="21"/>
              </w:rPr>
              <w:t>23.扫描方式：32S</w:t>
            </w:r>
          </w:p>
          <w:p>
            <w:pPr>
              <w:widowControl/>
              <w:jc w:val="left"/>
              <w:rPr>
                <w:rFonts w:ascii="宋体" w:hAnsi="宋体"/>
                <w:szCs w:val="21"/>
              </w:rPr>
            </w:pPr>
            <w:r>
              <w:rPr>
                <w:rFonts w:hint="eastAsia" w:ascii="宋体" w:hAnsi="宋体"/>
                <w:szCs w:val="21"/>
              </w:rPr>
              <w:t>24.亮度：200-800CD/m²</w:t>
            </w:r>
          </w:p>
          <w:p>
            <w:pPr>
              <w:widowControl/>
              <w:jc w:val="left"/>
              <w:rPr>
                <w:rFonts w:ascii="宋体" w:hAnsi="宋体"/>
                <w:szCs w:val="21"/>
              </w:rPr>
            </w:pPr>
            <w:r>
              <w:rPr>
                <w:rFonts w:hint="eastAsia" w:ascii="宋体" w:hAnsi="宋体"/>
                <w:szCs w:val="21"/>
              </w:rPr>
              <w:t>25.对比度：3000：1，峰值功耗：800W/㎡ ，平均功耗：350W/㎡LED使用寿命：≥100000H无故障运行时间：≥10000H</w:t>
            </w:r>
          </w:p>
          <w:p>
            <w:pPr>
              <w:rPr>
                <w:rFonts w:ascii="宋体" w:hAnsi="宋体" w:cs="宋体"/>
                <w:szCs w:val="21"/>
              </w:rPr>
            </w:pPr>
            <w:r>
              <w:rPr>
                <w:rFonts w:hint="eastAsia" w:ascii="宋体" w:hAnsi="宋体" w:cs="宋体"/>
                <w:szCs w:val="21"/>
              </w:rPr>
              <w:t>26.PCB阻燃：V-0等级</w:t>
            </w:r>
          </w:p>
          <w:p>
            <w:pPr>
              <w:rPr>
                <w:rFonts w:ascii="宋体" w:hAnsi="宋体" w:cs="宋体"/>
                <w:szCs w:val="21"/>
              </w:rPr>
            </w:pPr>
            <w:r>
              <w:rPr>
                <w:rFonts w:hint="eastAsia" w:ascii="宋体" w:hAnsi="宋体" w:cs="宋体"/>
                <w:szCs w:val="21"/>
              </w:rPr>
              <w:t>27.抗干扰符合：IEC801执行标准</w:t>
            </w:r>
          </w:p>
          <w:p>
            <w:pPr>
              <w:rPr>
                <w:rFonts w:ascii="宋体" w:hAnsi="宋体" w:cs="宋体"/>
                <w:szCs w:val="21"/>
              </w:rPr>
            </w:pPr>
            <w:r>
              <w:rPr>
                <w:rFonts w:hint="eastAsia" w:ascii="宋体" w:hAnsi="宋体" w:cs="宋体"/>
                <w:szCs w:val="21"/>
              </w:rPr>
              <w:t>28.安全符合：GB4793执行标准</w:t>
            </w:r>
          </w:p>
          <w:p>
            <w:pPr>
              <w:pStyle w:val="8"/>
              <w:spacing w:line="360" w:lineRule="exact"/>
              <w:rPr>
                <w:rFonts w:ascii="宋体" w:hAnsi="宋体" w:eastAsia="宋体" w:cs="宋体"/>
                <w:b w:val="0"/>
                <w:spacing w:val="0"/>
                <w:kern w:val="0"/>
                <w:sz w:val="21"/>
                <w:szCs w:val="21"/>
                <w:lang w:bidi="ar"/>
              </w:rPr>
            </w:pPr>
            <w:r>
              <w:rPr>
                <w:rFonts w:hint="eastAsia" w:ascii="宋体" w:hAnsi="宋体" w:eastAsia="宋体" w:cs="宋体"/>
                <w:b w:val="0"/>
                <w:sz w:val="21"/>
                <w:szCs w:val="21"/>
              </w:rPr>
              <w:t>29.平均无故障时间≥10000小时，寿命≥50000小时，杂点率小于万分之一</w:t>
            </w:r>
            <w:r>
              <w:rPr>
                <w:rFonts w:hint="eastAsia" w:ascii="宋体" w:hAnsi="宋体" w:eastAsia="宋体" w:cs="宋体"/>
                <w:bCs/>
                <w:sz w:val="21"/>
                <w:szCs w:val="21"/>
              </w:rPr>
              <w:t>；</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（二）接收卡（</w:t>
            </w:r>
            <w:r>
              <w:rPr>
                <w:rFonts w:ascii="宋体" w:hAnsi="宋体" w:eastAsia="宋体" w:cs="宋体"/>
                <w:bCs/>
                <w:spacing w:val="0"/>
                <w:kern w:val="0"/>
                <w:sz w:val="21"/>
                <w:szCs w:val="21"/>
                <w:lang w:bidi="ar"/>
              </w:rPr>
              <w:t>36</w:t>
            </w:r>
            <w:r>
              <w:rPr>
                <w:rFonts w:hint="eastAsia" w:ascii="宋体" w:hAnsi="宋体" w:eastAsia="宋体" w:cs="宋体"/>
                <w:bCs/>
                <w:spacing w:val="0"/>
                <w:kern w:val="0"/>
                <w:sz w:val="21"/>
                <w:szCs w:val="21"/>
                <w:lang w:bidi="ar"/>
              </w:rPr>
              <w:t>张）</w:t>
            </w:r>
          </w:p>
          <w:p>
            <w:pPr>
              <w:jc w:val="left"/>
              <w:rPr>
                <w:rFonts w:ascii="宋体" w:hAnsi="宋体" w:cs="宋体"/>
                <w:szCs w:val="21"/>
              </w:rPr>
            </w:pPr>
            <w:r>
              <w:rPr>
                <w:rFonts w:hint="eastAsia" w:ascii="宋体" w:hAnsi="宋体" w:cs="宋体"/>
                <w:szCs w:val="21"/>
              </w:rPr>
              <w:t>1、集成HUB75，无需再配转接板，更方便，成本更低；</w:t>
            </w:r>
          </w:p>
          <w:p>
            <w:pPr>
              <w:jc w:val="left"/>
              <w:rPr>
                <w:rFonts w:ascii="宋体" w:hAnsi="宋体" w:cs="宋体"/>
                <w:szCs w:val="21"/>
              </w:rPr>
            </w:pPr>
            <w:r>
              <w:rPr>
                <w:rFonts w:hint="eastAsia" w:ascii="宋体" w:hAnsi="宋体" w:cs="宋体"/>
                <w:szCs w:val="21"/>
              </w:rPr>
              <w:t>2、减少接插连接件，减少故障点，故障率更低；</w:t>
            </w:r>
          </w:p>
          <w:p>
            <w:pPr>
              <w:jc w:val="left"/>
              <w:rPr>
                <w:rFonts w:ascii="宋体" w:hAnsi="宋体" w:cs="宋体"/>
                <w:szCs w:val="21"/>
              </w:rPr>
            </w:pPr>
            <w:r>
              <w:rPr>
                <w:rFonts w:hint="eastAsia" w:ascii="宋体" w:hAnsi="宋体" w:cs="宋体"/>
                <w:szCs w:val="21"/>
              </w:rPr>
              <w:t>3、支持常规芯片实现高刷新、高灰度、高亮度；</w:t>
            </w:r>
          </w:p>
          <w:p>
            <w:pPr>
              <w:jc w:val="left"/>
              <w:rPr>
                <w:rFonts w:ascii="宋体" w:hAnsi="宋体" w:cs="宋体"/>
                <w:szCs w:val="21"/>
              </w:rPr>
            </w:pPr>
            <w:r>
              <w:rPr>
                <w:rFonts w:hint="eastAsia" w:ascii="宋体" w:hAnsi="宋体" w:cs="宋体"/>
                <w:szCs w:val="21"/>
              </w:rPr>
              <w:t>4、全新灰度引擎，低灰度表现更佳；</w:t>
            </w:r>
          </w:p>
          <w:p>
            <w:pPr>
              <w:jc w:val="left"/>
              <w:rPr>
                <w:rFonts w:ascii="宋体" w:hAnsi="宋体" w:cs="宋体"/>
                <w:szCs w:val="21"/>
              </w:rPr>
            </w:pPr>
            <w:r>
              <w:rPr>
                <w:rFonts w:hint="eastAsia" w:ascii="宋体" w:hAnsi="宋体" w:cs="宋体"/>
                <w:szCs w:val="21"/>
              </w:rPr>
              <w:t>5、细节处理更完美，可消除单元板设计引起的某行偏暗、低灰偏红、鬼影等细节问题；</w:t>
            </w:r>
          </w:p>
          <w:p>
            <w:pPr>
              <w:jc w:val="left"/>
              <w:rPr>
                <w:rFonts w:ascii="宋体" w:hAnsi="宋体" w:cs="宋体"/>
                <w:szCs w:val="21"/>
              </w:rPr>
            </w:pPr>
            <w:r>
              <w:rPr>
                <w:rFonts w:hint="eastAsia" w:ascii="宋体" w:hAnsi="宋体" w:cs="宋体"/>
                <w:szCs w:val="21"/>
              </w:rPr>
              <w:t>6、支持14bit精度的色度、亮度一体化逐点校正；</w:t>
            </w:r>
          </w:p>
          <w:p>
            <w:pPr>
              <w:jc w:val="left"/>
              <w:rPr>
                <w:rFonts w:ascii="宋体" w:hAnsi="宋体" w:cs="宋体"/>
                <w:szCs w:val="21"/>
              </w:rPr>
            </w:pPr>
            <w:r>
              <w:rPr>
                <w:rFonts w:hint="eastAsia" w:ascii="宋体" w:hAnsi="宋体" w:cs="宋体"/>
                <w:szCs w:val="21"/>
              </w:rPr>
              <w:t>7、支持所有常规芯片、PWM芯片和灯饰芯片；</w:t>
            </w:r>
          </w:p>
          <w:p>
            <w:pPr>
              <w:jc w:val="left"/>
              <w:rPr>
                <w:rFonts w:ascii="宋体" w:hAnsi="宋体" w:cs="宋体"/>
                <w:szCs w:val="21"/>
              </w:rPr>
            </w:pPr>
            <w:r>
              <w:rPr>
                <w:rFonts w:hint="eastAsia" w:ascii="宋体" w:hAnsi="宋体" w:cs="宋体"/>
                <w:szCs w:val="21"/>
              </w:rPr>
              <w:t>8、支持静态屏、1/2~1/64扫之间的任意扫描类型；</w:t>
            </w:r>
          </w:p>
          <w:p>
            <w:pPr>
              <w:jc w:val="left"/>
              <w:rPr>
                <w:rFonts w:ascii="宋体" w:hAnsi="宋体" w:cs="宋体"/>
                <w:szCs w:val="21"/>
              </w:rPr>
            </w:pPr>
            <w:r>
              <w:rPr>
                <w:rFonts w:hint="eastAsia" w:ascii="宋体" w:hAnsi="宋体" w:cs="宋体"/>
                <w:szCs w:val="21"/>
              </w:rPr>
              <w:t>9、支持任意抽点，支持数据偏移，可轻松实现各种异型屏、球形屏、创意显示屏；</w:t>
            </w:r>
          </w:p>
          <w:p>
            <w:pPr>
              <w:jc w:val="left"/>
              <w:rPr>
                <w:rFonts w:ascii="宋体" w:hAnsi="宋体" w:cs="宋体"/>
                <w:szCs w:val="21"/>
              </w:rPr>
            </w:pPr>
            <w:r>
              <w:rPr>
                <w:rFonts w:hint="eastAsia" w:ascii="宋体" w:hAnsi="宋体" w:cs="宋体"/>
                <w:szCs w:val="21"/>
              </w:rPr>
              <w:t>10、单卡支持16组RGB信号输出；</w:t>
            </w:r>
          </w:p>
          <w:p>
            <w:pPr>
              <w:jc w:val="left"/>
              <w:rPr>
                <w:rFonts w:ascii="宋体" w:hAnsi="宋体" w:cs="宋体"/>
                <w:szCs w:val="21"/>
              </w:rPr>
            </w:pPr>
            <w:r>
              <w:rPr>
                <w:rFonts w:hint="eastAsia" w:ascii="宋体" w:hAnsi="宋体" w:cs="宋体"/>
                <w:szCs w:val="21"/>
              </w:rPr>
              <w:t>11、支持超大带载面积，单卡带载128*512，256*256；</w:t>
            </w:r>
          </w:p>
          <w:p>
            <w:pPr>
              <w:jc w:val="left"/>
              <w:rPr>
                <w:rFonts w:ascii="宋体" w:hAnsi="宋体" w:cs="宋体"/>
                <w:szCs w:val="21"/>
              </w:rPr>
            </w:pPr>
            <w:r>
              <w:rPr>
                <w:rFonts w:hint="eastAsia" w:ascii="宋体" w:hAnsi="宋体" w:cs="宋体"/>
                <w:szCs w:val="21"/>
              </w:rPr>
              <w:t>12、先进设计，优质元器件，全自动高低温老化测试，零故障出厂；</w:t>
            </w:r>
          </w:p>
          <w:p>
            <w:pPr>
              <w:jc w:val="left"/>
              <w:rPr>
                <w:rFonts w:ascii="宋体" w:hAnsi="宋体" w:cs="宋体"/>
                <w:szCs w:val="21"/>
              </w:rPr>
            </w:pPr>
            <w:r>
              <w:rPr>
                <w:rFonts w:hint="eastAsia" w:ascii="宋体" w:hAnsi="宋体" w:cs="宋体"/>
                <w:szCs w:val="21"/>
              </w:rPr>
              <w:t>13、支持DC 3.3V~6V超宽工作电压，有效减弱电压波动带来的影响；</w:t>
            </w:r>
          </w:p>
          <w:p>
            <w:pPr>
              <w:pStyle w:val="8"/>
              <w:spacing w:line="360" w:lineRule="exact"/>
              <w:rPr>
                <w:rFonts w:ascii="宋体" w:hAnsi="宋体" w:eastAsia="宋体" w:cs="宋体"/>
                <w:b w:val="0"/>
                <w:spacing w:val="0"/>
                <w:kern w:val="0"/>
                <w:sz w:val="21"/>
                <w:szCs w:val="21"/>
                <w:lang w:bidi="ar"/>
              </w:rPr>
            </w:pP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（三）数据发送卡（</w:t>
            </w:r>
            <w:r>
              <w:rPr>
                <w:rFonts w:ascii="宋体" w:hAnsi="宋体" w:eastAsia="宋体" w:cs="宋体"/>
                <w:bCs/>
                <w:spacing w:val="0"/>
                <w:kern w:val="0"/>
                <w:sz w:val="21"/>
                <w:szCs w:val="21"/>
                <w:lang w:bidi="ar"/>
              </w:rPr>
              <w:t>3</w:t>
            </w:r>
            <w:r>
              <w:rPr>
                <w:rFonts w:hint="eastAsia" w:ascii="宋体" w:hAnsi="宋体" w:eastAsia="宋体" w:cs="宋体"/>
                <w:bCs/>
                <w:spacing w:val="0"/>
                <w:kern w:val="0"/>
                <w:sz w:val="21"/>
                <w:szCs w:val="21"/>
                <w:lang w:bidi="ar"/>
              </w:rPr>
              <w:t>张）</w:t>
            </w:r>
          </w:p>
          <w:p>
            <w:pPr>
              <w:pStyle w:val="13"/>
              <w:widowControl/>
              <w:spacing w:beforeAutospacing="0" w:afterAutospacing="0"/>
              <w:rPr>
                <w:rFonts w:ascii="宋体" w:hAnsi="宋体" w:cs="宋体"/>
                <w:sz w:val="21"/>
                <w:szCs w:val="21"/>
              </w:rPr>
            </w:pPr>
            <w:r>
              <w:rPr>
                <w:rFonts w:hint="eastAsia" w:ascii="宋体" w:hAnsi="宋体" w:cs="宋体"/>
                <w:sz w:val="21"/>
                <w:szCs w:val="21"/>
              </w:rPr>
              <w:t>1</w:t>
            </w:r>
            <w:r>
              <w:rPr>
                <w:rFonts w:hint="eastAsia" w:ascii="宋体" w:hAnsi="宋体" w:cs="宋体"/>
              </w:rPr>
              <w:t>、</w:t>
            </w:r>
            <w:r>
              <w:rPr>
                <w:rFonts w:hint="eastAsia" w:ascii="宋体" w:hAnsi="宋体" w:cs="宋体"/>
                <w:sz w:val="21"/>
                <w:szCs w:val="21"/>
              </w:rPr>
              <w:t>支持音频输入，通过网线同步传输；</w:t>
            </w:r>
          </w:p>
          <w:p>
            <w:pPr>
              <w:pStyle w:val="13"/>
              <w:widowControl/>
              <w:spacing w:beforeAutospacing="0" w:afterAutospacing="0"/>
              <w:rPr>
                <w:rFonts w:ascii="宋体" w:hAnsi="宋体" w:cs="宋体"/>
                <w:sz w:val="21"/>
                <w:szCs w:val="21"/>
              </w:rPr>
            </w:pPr>
            <w:r>
              <w:rPr>
                <w:rFonts w:hint="eastAsia" w:ascii="宋体" w:hAnsi="宋体" w:cs="宋体"/>
                <w:sz w:val="21"/>
                <w:szCs w:val="21"/>
              </w:rPr>
              <w:t>2、输入分辨率：最大1920×1200点，支持分辨率任意设置；</w:t>
            </w:r>
          </w:p>
          <w:p>
            <w:pPr>
              <w:pStyle w:val="13"/>
              <w:widowControl/>
              <w:spacing w:beforeAutospacing="0" w:afterAutospacing="0"/>
              <w:rPr>
                <w:rFonts w:ascii="宋体" w:hAnsi="宋体" w:cs="宋体"/>
                <w:sz w:val="21"/>
                <w:szCs w:val="21"/>
              </w:rPr>
            </w:pPr>
            <w:r>
              <w:rPr>
                <w:rFonts w:hint="eastAsia" w:ascii="宋体" w:hAnsi="宋体" w:cs="宋体"/>
                <w:sz w:val="21"/>
                <w:szCs w:val="21"/>
              </w:rPr>
              <w:t>3、单卡最大带载面积：130万点，最宽可达2560，或最高可达2560点；</w:t>
            </w:r>
          </w:p>
          <w:p>
            <w:pPr>
              <w:pStyle w:val="13"/>
              <w:widowControl/>
              <w:spacing w:beforeAutospacing="0" w:afterAutospacing="0"/>
              <w:rPr>
                <w:rFonts w:ascii="宋体" w:hAnsi="宋体" w:cs="宋体"/>
                <w:sz w:val="21"/>
                <w:szCs w:val="21"/>
              </w:rPr>
            </w:pPr>
            <w:r>
              <w:rPr>
                <w:rFonts w:hint="eastAsia" w:ascii="宋体" w:hAnsi="宋体" w:cs="宋体"/>
                <w:sz w:val="21"/>
                <w:szCs w:val="21"/>
              </w:rPr>
              <w:t>4、2个千兆网口输出，支持两上下、左右任意拼接；</w:t>
            </w:r>
          </w:p>
          <w:p>
            <w:pPr>
              <w:pStyle w:val="13"/>
              <w:widowControl/>
              <w:spacing w:beforeAutospacing="0" w:afterAutospacing="0"/>
              <w:rPr>
                <w:rFonts w:ascii="宋体" w:hAnsi="宋体" w:cs="宋体"/>
                <w:sz w:val="21"/>
                <w:szCs w:val="21"/>
              </w:rPr>
            </w:pPr>
            <w:r>
              <w:rPr>
                <w:rFonts w:hint="eastAsia" w:ascii="宋体" w:hAnsi="宋体" w:cs="宋体"/>
                <w:sz w:val="21"/>
                <w:szCs w:val="21"/>
              </w:rPr>
              <w:t>5、双USB接口进行数据通讯，方便级联拼接，严格同步；</w:t>
            </w:r>
          </w:p>
          <w:p>
            <w:pPr>
              <w:pStyle w:val="13"/>
              <w:widowControl/>
              <w:spacing w:beforeAutospacing="0" w:afterAutospacing="0"/>
              <w:rPr>
                <w:rFonts w:ascii="宋体" w:hAnsi="宋体" w:cs="宋体"/>
                <w:sz w:val="21"/>
                <w:szCs w:val="21"/>
              </w:rPr>
            </w:pPr>
            <w:r>
              <w:rPr>
                <w:rFonts w:hint="eastAsia" w:ascii="宋体" w:hAnsi="宋体" w:cs="宋体"/>
                <w:sz w:val="21"/>
                <w:szCs w:val="21"/>
              </w:rPr>
              <w:t>6、支持低亮高灰；</w:t>
            </w:r>
          </w:p>
          <w:p>
            <w:pPr>
              <w:pStyle w:val="13"/>
              <w:widowControl/>
              <w:spacing w:beforeAutospacing="0" w:afterAutospacing="0"/>
              <w:rPr>
                <w:rFonts w:ascii="宋体" w:hAnsi="宋体" w:cs="宋体"/>
                <w:sz w:val="21"/>
                <w:szCs w:val="21"/>
              </w:rPr>
            </w:pPr>
            <w:r>
              <w:rPr>
                <w:rFonts w:hint="eastAsia" w:ascii="宋体" w:hAnsi="宋体" w:cs="宋体"/>
                <w:sz w:val="21"/>
                <w:szCs w:val="21"/>
              </w:rPr>
              <w:t>7、采用PCI-E 1X接口，通用性更强；</w:t>
            </w:r>
          </w:p>
          <w:p>
            <w:pPr>
              <w:pStyle w:val="13"/>
              <w:widowControl/>
              <w:spacing w:beforeAutospacing="0" w:afterAutospacing="0"/>
              <w:rPr>
                <w:rFonts w:ascii="宋体" w:hAnsi="宋体" w:cs="宋体"/>
                <w:sz w:val="21"/>
                <w:szCs w:val="21"/>
              </w:rPr>
            </w:pPr>
            <w:r>
              <w:rPr>
                <w:rFonts w:hint="eastAsia" w:ascii="宋体" w:hAnsi="宋体" w:cs="宋体"/>
                <w:sz w:val="21"/>
                <w:szCs w:val="21"/>
              </w:rPr>
              <w:t>8、支持DC 3.8~12V超宽工作电压，更强适应性；</w:t>
            </w:r>
          </w:p>
          <w:p>
            <w:pPr>
              <w:pStyle w:val="8"/>
              <w:spacing w:line="360" w:lineRule="exact"/>
              <w:rPr>
                <w:rFonts w:ascii="宋体" w:hAnsi="宋体" w:eastAsia="宋体" w:cs="宋体"/>
                <w:b w:val="0"/>
                <w:spacing w:val="0"/>
                <w:kern w:val="0"/>
                <w:sz w:val="21"/>
                <w:szCs w:val="21"/>
                <w:lang w:bidi="ar"/>
              </w:rPr>
            </w:pP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（四）LED边框组建（11.84平方）</w:t>
            </w:r>
          </w:p>
          <w:p>
            <w:pPr>
              <w:pStyle w:val="8"/>
              <w:spacing w:line="360" w:lineRule="exact"/>
              <w:rPr>
                <w:rFonts w:ascii="宋体" w:hAnsi="宋体" w:eastAsia="宋体" w:cs="宋体"/>
                <w:b w:val="0"/>
                <w:spacing w:val="0"/>
                <w:kern w:val="0"/>
                <w:sz w:val="21"/>
                <w:szCs w:val="21"/>
                <w:lang w:bidi="ar"/>
              </w:rPr>
            </w:pPr>
            <w:r>
              <w:rPr>
                <w:rFonts w:ascii="宋体" w:hAnsi="宋体" w:eastAsia="宋体" w:cs="宋体"/>
                <w:b w:val="0"/>
                <w:spacing w:val="0"/>
                <w:kern w:val="0"/>
                <w:sz w:val="21"/>
                <w:szCs w:val="21"/>
                <w:lang w:bidi="ar"/>
              </w:rPr>
              <w:t>LED边框组建与主屏高度贴合，可选嵌入式或明装安装方式，整体美观。</w:t>
            </w:r>
          </w:p>
          <w:p>
            <w:pPr>
              <w:pStyle w:val="8"/>
              <w:spacing w:line="360" w:lineRule="exact"/>
              <w:rPr>
                <w:rFonts w:ascii="宋体" w:hAnsi="宋体" w:eastAsia="宋体" w:cs="宋体"/>
                <w:b w:val="0"/>
                <w:spacing w:val="0"/>
                <w:kern w:val="0"/>
                <w:sz w:val="21"/>
                <w:szCs w:val="21"/>
                <w:lang w:bidi="ar"/>
              </w:rPr>
            </w:pPr>
            <w:r>
              <w:rPr>
                <w:rFonts w:ascii="宋体" w:hAnsi="宋体" w:eastAsia="宋体" w:cs="宋体"/>
                <w:b w:val="0"/>
                <w:spacing w:val="0"/>
                <w:kern w:val="0"/>
                <w:sz w:val="21"/>
                <w:szCs w:val="21"/>
                <w:lang w:bidi="ar"/>
              </w:rPr>
              <w:t>具备可维护特性</w:t>
            </w:r>
          </w:p>
          <w:p>
            <w:pPr>
              <w:pStyle w:val="8"/>
              <w:spacing w:line="360" w:lineRule="exact"/>
              <w:rPr>
                <w:rFonts w:ascii="宋体" w:hAnsi="宋体" w:eastAsia="宋体" w:cs="宋体"/>
                <w:b w:val="0"/>
                <w:spacing w:val="0"/>
                <w:kern w:val="0"/>
                <w:sz w:val="21"/>
                <w:szCs w:val="21"/>
                <w:lang w:bidi="ar"/>
              </w:rPr>
            </w:pPr>
            <w:r>
              <w:rPr>
                <w:rFonts w:ascii="宋体" w:hAnsi="宋体" w:eastAsia="宋体" w:cs="宋体"/>
                <w:b w:val="0"/>
                <w:spacing w:val="0"/>
                <w:kern w:val="0"/>
                <w:sz w:val="21"/>
                <w:szCs w:val="21"/>
                <w:lang w:bidi="ar"/>
              </w:rPr>
              <w:t>具备高</w:t>
            </w:r>
            <w:r>
              <w:rPr>
                <w:rFonts w:hint="eastAsia" w:ascii="宋体" w:hAnsi="宋体" w:eastAsia="宋体" w:cs="宋体"/>
                <w:b w:val="0"/>
                <w:spacing w:val="0"/>
                <w:kern w:val="0"/>
                <w:sz w:val="21"/>
                <w:szCs w:val="21"/>
                <w:lang w:bidi="ar"/>
              </w:rPr>
              <w:t>散热</w:t>
            </w:r>
            <w:r>
              <w:rPr>
                <w:rFonts w:ascii="宋体" w:hAnsi="宋体" w:eastAsia="宋体" w:cs="宋体"/>
                <w:b w:val="0"/>
                <w:spacing w:val="0"/>
                <w:kern w:val="0"/>
                <w:sz w:val="21"/>
                <w:szCs w:val="21"/>
                <w:lang w:bidi="ar"/>
              </w:rPr>
              <w:t>结构特性</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（五）播放软件（1套）</w:t>
            </w:r>
          </w:p>
          <w:p>
            <w:pPr>
              <w:pStyle w:val="13"/>
              <w:widowControl/>
              <w:numPr>
                <w:ilvl w:val="0"/>
                <w:numId w:val="2"/>
              </w:numPr>
              <w:spacing w:beforeAutospacing="0" w:afterAutospacing="0"/>
              <w:rPr>
                <w:rFonts w:ascii="宋体" w:hAnsi="宋体" w:eastAsia="Times New Roman" w:cs="Arial"/>
                <w:sz w:val="21"/>
                <w:szCs w:val="21"/>
              </w:rPr>
            </w:pPr>
            <w:r>
              <w:rPr>
                <w:rFonts w:hint="eastAsia" w:ascii="宋体" w:hAnsi="宋体" w:eastAsia="Times New Roman" w:cs="Arial"/>
                <w:sz w:val="21"/>
                <w:szCs w:val="21"/>
              </w:rPr>
              <w:t>支持视频、音频、图像、文字、Flash、Gif 等形式的媒体文件播放</w:t>
            </w:r>
          </w:p>
          <w:p>
            <w:pPr>
              <w:pStyle w:val="13"/>
              <w:widowControl/>
              <w:numPr>
                <w:ilvl w:val="0"/>
                <w:numId w:val="2"/>
              </w:numPr>
              <w:spacing w:beforeAutospacing="0" w:afterAutospacing="0"/>
              <w:rPr>
                <w:rFonts w:ascii="宋体" w:hAnsi="宋体" w:cs="宋体"/>
                <w:bCs/>
                <w:sz w:val="21"/>
                <w:szCs w:val="21"/>
              </w:rPr>
            </w:pPr>
            <w:r>
              <w:rPr>
                <w:rFonts w:hint="eastAsia" w:ascii="宋体" w:hAnsi="宋体" w:eastAsia="Times New Roman" w:cs="Arial"/>
                <w:sz w:val="21"/>
                <w:szCs w:val="21"/>
              </w:rPr>
              <w:t>支持 Microsoft office 的 Word、Excel、PPT 显示</w:t>
            </w:r>
          </w:p>
          <w:p>
            <w:pPr>
              <w:pStyle w:val="13"/>
              <w:widowControl/>
              <w:numPr>
                <w:ilvl w:val="0"/>
                <w:numId w:val="2"/>
              </w:numPr>
              <w:spacing w:beforeAutospacing="0" w:afterAutospacing="0"/>
              <w:rPr>
                <w:rFonts w:ascii="宋体" w:hAnsi="宋体" w:cs="宋体"/>
                <w:bCs/>
                <w:sz w:val="21"/>
                <w:szCs w:val="21"/>
              </w:rPr>
            </w:pPr>
            <w:r>
              <w:rPr>
                <w:rFonts w:hint="eastAsia" w:ascii="宋体" w:hAnsi="宋体" w:eastAsia="Times New Roman" w:cs="Arial"/>
                <w:sz w:val="21"/>
                <w:szCs w:val="21"/>
              </w:rPr>
              <w:t xml:space="preserve">支持时钟、计时、天气预报显示;支持外部视频信号(TV、AV、S-Video、 复合视频)播放 </w:t>
            </w:r>
          </w:p>
          <w:p>
            <w:pPr>
              <w:pStyle w:val="13"/>
              <w:widowControl/>
              <w:numPr>
                <w:ilvl w:val="0"/>
                <w:numId w:val="2"/>
              </w:numPr>
              <w:spacing w:beforeAutospacing="0" w:afterAutospacing="0"/>
              <w:rPr>
                <w:rFonts w:ascii="宋体" w:hAnsi="宋体" w:cs="宋体"/>
                <w:bCs/>
                <w:sz w:val="21"/>
                <w:szCs w:val="21"/>
              </w:rPr>
            </w:pPr>
            <w:r>
              <w:rPr>
                <w:rFonts w:hint="eastAsia" w:ascii="宋体" w:hAnsi="宋体" w:eastAsia="Times New Roman" w:cs="Arial"/>
                <w:sz w:val="21"/>
                <w:szCs w:val="21"/>
              </w:rPr>
              <w:t xml:space="preserve">支持多页面多分区节目编辑 </w:t>
            </w:r>
          </w:p>
          <w:p>
            <w:pPr>
              <w:pStyle w:val="13"/>
              <w:widowControl/>
              <w:numPr>
                <w:ilvl w:val="0"/>
                <w:numId w:val="2"/>
              </w:numPr>
              <w:spacing w:beforeAutospacing="0" w:afterAutospacing="0"/>
              <w:rPr>
                <w:rFonts w:ascii="宋体" w:hAnsi="宋体" w:cs="宋体"/>
                <w:bCs/>
                <w:sz w:val="21"/>
                <w:szCs w:val="21"/>
              </w:rPr>
            </w:pPr>
            <w:r>
              <w:rPr>
                <w:rFonts w:hint="eastAsia" w:ascii="宋体" w:hAnsi="宋体" w:eastAsia="Times New Roman" w:cs="Arial"/>
                <w:sz w:val="21"/>
                <w:szCs w:val="21"/>
              </w:rPr>
              <w:t>软件提供了丰富灵活的视频切换功能、分区特效</w:t>
            </w:r>
          </w:p>
          <w:p>
            <w:pPr>
              <w:pStyle w:val="13"/>
              <w:widowControl/>
              <w:numPr>
                <w:ilvl w:val="0"/>
                <w:numId w:val="2"/>
              </w:numPr>
              <w:spacing w:beforeAutospacing="0" w:afterAutospacing="0"/>
              <w:rPr>
                <w:rFonts w:ascii="宋体" w:hAnsi="宋体" w:cs="宋体"/>
                <w:bCs/>
                <w:sz w:val="21"/>
                <w:szCs w:val="21"/>
              </w:rPr>
            </w:pPr>
            <w:r>
              <w:rPr>
                <w:rFonts w:hint="eastAsia" w:ascii="宋体" w:hAnsi="宋体" w:eastAsia="Times New Roman" w:cs="Arial"/>
                <w:sz w:val="21"/>
                <w:szCs w:val="21"/>
              </w:rPr>
              <w:t>三维特效动画，让显示屏的显示效果得到完美展现；</w:t>
            </w:r>
          </w:p>
          <w:p>
            <w:pPr>
              <w:pStyle w:val="8"/>
              <w:spacing w:line="360" w:lineRule="exact"/>
              <w:rPr>
                <w:rFonts w:ascii="宋体" w:hAnsi="宋体" w:eastAsia="宋体" w:cs="宋体"/>
                <w:b w:val="0"/>
                <w:spacing w:val="0"/>
                <w:kern w:val="0"/>
                <w:sz w:val="21"/>
                <w:szCs w:val="21"/>
                <w:lang w:bidi="ar"/>
              </w:rPr>
            </w:pP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（六）布线（1套）</w:t>
            </w:r>
          </w:p>
          <w:p>
            <w:pPr>
              <w:pStyle w:val="8"/>
              <w:spacing w:line="360" w:lineRule="exact"/>
              <w:rPr>
                <w:rFonts w:ascii="宋体" w:hAnsi="宋体" w:eastAsia="宋体" w:cs="宋体"/>
                <w:b w:val="0"/>
                <w:spacing w:val="0"/>
                <w:kern w:val="0"/>
                <w:sz w:val="21"/>
                <w:szCs w:val="21"/>
                <w:lang w:bidi="ar"/>
              </w:rPr>
            </w:pPr>
            <w:r>
              <w:rPr>
                <w:rFonts w:ascii="宋体" w:hAnsi="宋体" w:eastAsia="宋体" w:cs="宋体"/>
                <w:b w:val="0"/>
                <w:spacing w:val="0"/>
                <w:kern w:val="0"/>
                <w:sz w:val="21"/>
                <w:szCs w:val="21"/>
                <w:lang w:bidi="ar"/>
              </w:rPr>
              <w:t>三厢五线制，最大功率10KW</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（七）视频处理器（1台）</w:t>
            </w:r>
          </w:p>
          <w:p>
            <w:pPr>
              <w:pStyle w:val="8"/>
              <w:spacing w:line="360" w:lineRule="exact"/>
              <w:rPr>
                <w:rFonts w:ascii="宋体" w:hAnsi="宋体" w:eastAsia="宋体" w:cs="宋体"/>
                <w:b w:val="0"/>
                <w:spacing w:val="0"/>
                <w:kern w:val="0"/>
                <w:sz w:val="21"/>
                <w:szCs w:val="21"/>
                <w:lang w:bidi="ar"/>
              </w:rPr>
            </w:pPr>
            <w:r>
              <w:rPr>
                <w:rFonts w:ascii="宋体" w:hAnsi="宋体" w:eastAsia="宋体" w:cs="宋体"/>
                <w:b w:val="0"/>
                <w:spacing w:val="0"/>
                <w:kern w:val="0"/>
                <w:sz w:val="21"/>
                <w:szCs w:val="21"/>
                <w:lang w:bidi="ar"/>
              </w:rPr>
              <w:t>支持全屏投放，支持DVI,HDMI,VGA,DVD,CV,等信号源输入</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（八）配电柜（1台）</w:t>
            </w:r>
          </w:p>
          <w:p>
            <w:pPr>
              <w:pStyle w:val="8"/>
              <w:spacing w:line="360" w:lineRule="exact"/>
              <w:rPr>
                <w:rFonts w:ascii="宋体" w:hAnsi="宋体" w:eastAsia="宋体" w:cs="宋体"/>
                <w:b w:val="0"/>
                <w:spacing w:val="0"/>
                <w:kern w:val="0"/>
                <w:sz w:val="21"/>
                <w:szCs w:val="21"/>
                <w:lang w:bidi="ar"/>
              </w:rPr>
            </w:pPr>
            <w:r>
              <w:rPr>
                <w:rFonts w:ascii="宋体" w:hAnsi="宋体" w:eastAsia="宋体" w:cs="宋体"/>
                <w:b w:val="0"/>
                <w:spacing w:val="0"/>
                <w:kern w:val="0"/>
                <w:sz w:val="21"/>
                <w:szCs w:val="21"/>
                <w:lang w:bidi="ar"/>
              </w:rPr>
              <w:t>带定时时空，智能分组上电</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（九）管理工作站（1台）</w:t>
            </w:r>
          </w:p>
          <w:p>
            <w:pPr>
              <w:pStyle w:val="8"/>
              <w:spacing w:line="360" w:lineRule="exact"/>
              <w:rPr>
                <w:rFonts w:ascii="宋体" w:hAnsi="宋体" w:eastAsia="宋体" w:cs="宋体"/>
                <w:b w:val="0"/>
                <w:spacing w:val="0"/>
                <w:kern w:val="0"/>
                <w:sz w:val="21"/>
                <w:szCs w:val="21"/>
                <w:lang w:bidi="ar"/>
              </w:rPr>
            </w:pPr>
            <w:r>
              <w:rPr>
                <w:rFonts w:ascii="宋体" w:hAnsi="宋体" w:eastAsia="宋体" w:cs="宋体"/>
                <w:b w:val="0"/>
                <w:spacing w:val="0"/>
                <w:kern w:val="0"/>
                <w:sz w:val="21"/>
                <w:szCs w:val="21"/>
                <w:lang w:bidi="ar"/>
              </w:rPr>
              <w:t>i5-9400 8G 1T win10</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（十）吸盘（1台）</w:t>
            </w:r>
          </w:p>
          <w:p>
            <w:pPr>
              <w:pStyle w:val="8"/>
              <w:spacing w:line="360" w:lineRule="exact"/>
              <w:rPr>
                <w:rFonts w:ascii="宋体" w:hAnsi="宋体" w:eastAsia="宋体" w:cs="宋体"/>
                <w:b w:val="0"/>
                <w:spacing w:val="0"/>
                <w:kern w:val="0"/>
                <w:sz w:val="21"/>
                <w:szCs w:val="21"/>
                <w:lang w:bidi="ar"/>
              </w:rPr>
            </w:pPr>
            <w:r>
              <w:rPr>
                <w:rFonts w:ascii="宋体" w:hAnsi="宋体" w:eastAsia="宋体" w:cs="宋体"/>
                <w:b w:val="0"/>
                <w:spacing w:val="0"/>
                <w:kern w:val="0"/>
                <w:sz w:val="21"/>
                <w:szCs w:val="21"/>
                <w:lang w:bidi="ar"/>
              </w:rPr>
              <w:t>真空吸盘（前维护）</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（十一）包装（1套）</w:t>
            </w:r>
          </w:p>
          <w:p>
            <w:pPr>
              <w:pStyle w:val="8"/>
              <w:spacing w:line="360" w:lineRule="exact"/>
              <w:rPr>
                <w:rFonts w:ascii="宋体" w:hAnsi="宋体" w:eastAsia="宋体" w:cs="宋体"/>
                <w:b w:val="0"/>
                <w:spacing w:val="0"/>
                <w:kern w:val="0"/>
                <w:sz w:val="21"/>
                <w:szCs w:val="21"/>
                <w:lang w:bidi="ar"/>
              </w:rPr>
            </w:pPr>
            <w:r>
              <w:rPr>
                <w:rFonts w:ascii="宋体" w:hAnsi="宋体" w:eastAsia="宋体" w:cs="宋体"/>
                <w:b w:val="0"/>
                <w:spacing w:val="0"/>
                <w:kern w:val="0"/>
                <w:sz w:val="21"/>
                <w:szCs w:val="21"/>
                <w:lang w:bidi="ar"/>
              </w:rPr>
              <w:t>珍珠棉+纸箱</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（十二）设备安装调试（1项）</w:t>
            </w:r>
          </w:p>
          <w:p>
            <w:pPr>
              <w:pStyle w:val="8"/>
              <w:spacing w:line="360" w:lineRule="exact"/>
              <w:rPr>
                <w:rFonts w:ascii="宋体" w:hAnsi="宋体" w:cs="宋体"/>
                <w:kern w:val="0"/>
                <w:szCs w:val="21"/>
                <w:lang w:bidi="ar"/>
              </w:rPr>
            </w:pPr>
            <w:r>
              <w:rPr>
                <w:rFonts w:ascii="宋体" w:hAnsi="宋体" w:eastAsia="宋体" w:cs="宋体"/>
                <w:b w:val="0"/>
                <w:spacing w:val="0"/>
                <w:kern w:val="0"/>
                <w:sz w:val="21"/>
                <w:szCs w:val="21"/>
                <w:lang w:bidi="ar"/>
              </w:rPr>
              <w:t>设备安装调试</w:t>
            </w:r>
          </w:p>
        </w:tc>
        <w:tc>
          <w:tcPr>
            <w:tcW w:w="6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kern w:val="0"/>
                <w:szCs w:val="21"/>
                <w:lang w:bidi="ar"/>
              </w:rPr>
            </w:pPr>
          </w:p>
        </w:tc>
        <w:tc>
          <w:tcPr>
            <w:tcW w:w="516"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7" w:type="dxa"/>
            <w:shd w:val="clear" w:color="auto" w:fill="auto"/>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5</w:t>
            </w:r>
          </w:p>
        </w:tc>
        <w:tc>
          <w:tcPr>
            <w:tcW w:w="1200" w:type="dxa"/>
            <w:shd w:val="clear" w:color="auto" w:fill="auto"/>
            <w:tcMar>
              <w:top w:w="15" w:type="dxa"/>
              <w:left w:w="15" w:type="dxa"/>
              <w:right w:w="15" w:type="dxa"/>
            </w:tcMar>
            <w:vAlign w:val="center"/>
          </w:tcPr>
          <w:p>
            <w:pPr>
              <w:widowControl/>
              <w:spacing w:line="360" w:lineRule="exact"/>
              <w:jc w:val="left"/>
              <w:textAlignment w:val="center"/>
              <w:rPr>
                <w:rFonts w:ascii="宋体" w:hAnsi="宋体" w:cs="宋体"/>
                <w:szCs w:val="21"/>
              </w:rPr>
            </w:pPr>
            <w:r>
              <w:rPr>
                <w:rFonts w:hint="eastAsia" w:ascii="宋体" w:hAnsi="宋体" w:cs="宋体"/>
                <w:b/>
                <w:kern w:val="0"/>
                <w:szCs w:val="21"/>
                <w:lang w:bidi="ar"/>
              </w:rPr>
              <w:t>社区矫正定位技术服务</w:t>
            </w:r>
          </w:p>
        </w:tc>
        <w:tc>
          <w:tcPr>
            <w:tcW w:w="5753" w:type="dxa"/>
            <w:shd w:val="clear" w:color="auto" w:fill="auto"/>
            <w:tcMar>
              <w:top w:w="15" w:type="dxa"/>
              <w:left w:w="15" w:type="dxa"/>
              <w:right w:w="15" w:type="dxa"/>
            </w:tcMar>
            <w:vAlign w:val="center"/>
          </w:tcPr>
          <w:p>
            <w:pPr>
              <w:widowControl/>
              <w:spacing w:line="360" w:lineRule="exact"/>
              <w:jc w:val="left"/>
              <w:textAlignment w:val="center"/>
              <w:rPr>
                <w:rFonts w:ascii="宋体" w:hAnsi="宋体" w:cs="宋体"/>
                <w:kern w:val="0"/>
                <w:szCs w:val="21"/>
                <w:lang w:bidi="ar"/>
              </w:rPr>
            </w:pPr>
            <w:r>
              <w:rPr>
                <w:rFonts w:hint="eastAsia" w:ascii="宋体" w:hAnsi="宋体" w:cs="宋体"/>
                <w:b/>
                <w:bCs/>
                <w:kern w:val="0"/>
                <w:szCs w:val="21"/>
                <w:lang w:bidi="ar"/>
              </w:rPr>
              <w:t>一、服务内容：</w:t>
            </w:r>
            <w:r>
              <w:rPr>
                <w:rFonts w:hint="eastAsia" w:ascii="宋体" w:hAnsi="宋体" w:cs="宋体"/>
                <w:kern w:val="0"/>
                <w:szCs w:val="21"/>
                <w:lang w:bidi="ar"/>
              </w:rPr>
              <w:t>社区矫正定位技术服务用于社区矫正对象矫正过程的报到的电子化智能化管理服务，实现对社区矫正对象的电子化记录和智能化校验。</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二、提供服务所需的配套软硬件技术指标要求：</w:t>
            </w:r>
          </w:p>
          <w:p>
            <w:pPr>
              <w:pStyle w:val="8"/>
              <w:spacing w:line="360" w:lineRule="exact"/>
              <w:rPr>
                <w:rFonts w:ascii="宋体" w:hAnsi="宋体" w:eastAsia="宋体" w:cs="宋体"/>
                <w:bCs/>
                <w:spacing w:val="0"/>
                <w:kern w:val="0"/>
                <w:sz w:val="21"/>
                <w:szCs w:val="21"/>
                <w:lang w:bidi="ar"/>
              </w:rPr>
            </w:pPr>
            <w:r>
              <w:rPr>
                <w:rFonts w:hint="eastAsia" w:ascii="宋体" w:hAnsi="宋体" w:eastAsia="宋体" w:cs="宋体"/>
                <w:bCs/>
                <w:spacing w:val="0"/>
                <w:kern w:val="0"/>
                <w:sz w:val="21"/>
                <w:szCs w:val="21"/>
                <w:lang w:bidi="ar"/>
              </w:rPr>
              <w:t>（一）认证比对终端（1套）</w:t>
            </w:r>
          </w:p>
          <w:p>
            <w:pPr>
              <w:jc w:val="left"/>
            </w:pPr>
            <w:r>
              <w:rPr>
                <w:rFonts w:hint="eastAsia"/>
              </w:rPr>
              <w:t>1、设备采用触摸显示屏，尺寸不小于10寸，分辨率不小于1280*800。</w:t>
            </w:r>
          </w:p>
          <w:p>
            <w:pPr>
              <w:jc w:val="left"/>
            </w:pPr>
            <w:r>
              <w:rPr>
                <w:rFonts w:hint="eastAsia"/>
              </w:rPr>
              <w:t>2、设备应支持≥200W像素高清宽动态双目摄像头，支持上下15°调节拍摄角度。</w:t>
            </w:r>
          </w:p>
          <w:p>
            <w:pPr>
              <w:jc w:val="left"/>
            </w:pPr>
            <w:r>
              <w:rPr>
                <w:rFonts w:hint="eastAsia"/>
              </w:rPr>
              <w:t>3、设备应采用高性能GPU处理器，具有≥有线网口*2，彼此物理隔离，支持通过网络方式传输比对结果及图片，≥RS485*1、≥RS232*1支持通过RS232/RS485拓展应用，可输出比对结果及信息，≥HDMI*1，≥USB*2，具有开关机键，支持扬声器输出。</w:t>
            </w:r>
          </w:p>
          <w:p>
            <w:pPr>
              <w:jc w:val="left"/>
            </w:pPr>
            <w:r>
              <w:rPr>
                <w:rFonts w:hint="eastAsia"/>
              </w:rPr>
              <w:t>4、设备应具有如下存储容量：在1:1人证比对模式下，人脸容量无限制，1:N模式下，支持≥20000张人脸库，支持≥50000张卡片容量，支持≥50000笔记录存储。</w:t>
            </w:r>
          </w:p>
          <w:p>
            <w:pPr>
              <w:jc w:val="left"/>
            </w:pPr>
            <w:r>
              <w:rPr>
                <w:rFonts w:hint="eastAsia"/>
              </w:rPr>
              <w:t>5、设备应具有以下人证比对功能：支持居民身份证信息读取，支持现场抓拍人员人脸照片与居民身份证内的照片进行比对，完成人员身份核验，人证比对时间：≤1秒。</w:t>
            </w:r>
          </w:p>
          <w:p>
            <w:pPr>
              <w:jc w:val="left"/>
            </w:pPr>
            <w:r>
              <w:rPr>
                <w:rFonts w:hint="eastAsia"/>
              </w:rPr>
              <w:t>6、设备应支持照片及视频防假功能，使用照片或视频无法识别，并输出语音提示，无需用户配合，即可完成真人检测。</w:t>
            </w:r>
          </w:p>
          <w:p>
            <w:pPr>
              <w:jc w:val="left"/>
            </w:pPr>
            <w:r>
              <w:rPr>
                <w:rFonts w:hint="eastAsia"/>
              </w:rPr>
              <w:t>7、应具有黑名单核验功能，支持中心下发或本地U盘导入人脸或卡号黑名单，支持本地黑名单人脸或卡号比对，支持本地黑名单报警功能，报警信息可上传中心。</w:t>
            </w:r>
          </w:p>
          <w:p>
            <w:pPr>
              <w:jc w:val="left"/>
            </w:pPr>
            <w:r>
              <w:rPr>
                <w:rFonts w:hint="eastAsia"/>
              </w:rPr>
              <w:t>8、应具有人脸注册功能，支持本地菜单管理、远程中心下发、U盘本地导入人员信息（姓名、卡号、人脸等信息），支持比对结果、身份证信息及人脸抓拍图片本地存储、实时中心上传及断网续传功能。</w:t>
            </w:r>
          </w:p>
          <w:p>
            <w:pPr>
              <w:jc w:val="left"/>
            </w:pPr>
            <w:r>
              <w:rPr>
                <w:rFonts w:hint="eastAsia"/>
              </w:rPr>
              <w:t>9、应支持比对结果语音及文字提示功能，支持视频预览、人脸捕捉框、人员信息、设备状态、设备模式及操作提示，支持实时捕捉人脸，并在视频预览窗口实时显示人脸捕捉框。</w:t>
            </w:r>
          </w:p>
          <w:p>
            <w:pPr>
              <w:jc w:val="left"/>
            </w:pPr>
            <w:r>
              <w:rPr>
                <w:rFonts w:hint="eastAsia"/>
              </w:rPr>
              <w:t>10、设备应支持文字、图片广告播放功能，支持本地重置设备管理密码、IP地址功能。</w:t>
            </w:r>
          </w:p>
          <w:p>
            <w:pPr>
              <w:jc w:val="left"/>
            </w:pPr>
            <w:r>
              <w:rPr>
                <w:rFonts w:hint="eastAsia"/>
              </w:rPr>
              <w:t>11、支持安全设置功能，首次使用时，需设置激活密码方可使用，登陆本地管理菜单需先输入登陆密码，保证设备操作安全。</w:t>
            </w:r>
          </w:p>
          <w:p>
            <w:pPr>
              <w:jc w:val="left"/>
            </w:pPr>
            <w:r>
              <w:rPr>
                <w:rFonts w:hint="eastAsia"/>
              </w:rPr>
              <w:t>12、设备具有指示灯，正常工作时红色指示灯常亮，比对失败时红灯闪烁，比对成功时绿色常亮3秒，并且支持刷卡时，设备有蜂鸣器提示。</w:t>
            </w:r>
          </w:p>
          <w:p>
            <w:pPr>
              <w:widowControl/>
              <w:spacing w:line="360" w:lineRule="exact"/>
              <w:jc w:val="left"/>
              <w:textAlignment w:val="center"/>
              <w:rPr>
                <w:rFonts w:ascii="宋体" w:hAnsi="宋体" w:cs="宋体"/>
                <w:szCs w:val="21"/>
              </w:rPr>
            </w:pPr>
            <w:r>
              <w:rPr>
                <w:rFonts w:hint="eastAsia"/>
              </w:rPr>
              <w:t>13、设备可调节播放语音音量大小，底座应具有防滑设计。</w:t>
            </w:r>
          </w:p>
        </w:tc>
        <w:tc>
          <w:tcPr>
            <w:tcW w:w="6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kern w:val="0"/>
                <w:szCs w:val="21"/>
                <w:lang w:bidi="ar"/>
              </w:rPr>
              <w:t>项</w:t>
            </w:r>
          </w:p>
        </w:tc>
        <w:tc>
          <w:tcPr>
            <w:tcW w:w="516"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ascii="宋体" w:hAnsi="宋体" w:cs="宋体"/>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7" w:type="dxa"/>
            <w:shd w:val="clear" w:color="auto" w:fill="auto"/>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kern w:val="0"/>
                <w:szCs w:val="21"/>
                <w:lang w:bidi="ar"/>
              </w:rPr>
              <w:t>6</w:t>
            </w:r>
          </w:p>
        </w:tc>
        <w:tc>
          <w:tcPr>
            <w:tcW w:w="1200" w:type="dxa"/>
            <w:shd w:val="clear" w:color="auto" w:fill="auto"/>
            <w:tcMar>
              <w:top w:w="15" w:type="dxa"/>
              <w:left w:w="15" w:type="dxa"/>
              <w:right w:w="15" w:type="dxa"/>
            </w:tcMar>
            <w:vAlign w:val="center"/>
          </w:tcPr>
          <w:p>
            <w:pPr>
              <w:widowControl/>
              <w:spacing w:line="360" w:lineRule="exact"/>
              <w:jc w:val="left"/>
              <w:textAlignment w:val="center"/>
              <w:rPr>
                <w:rFonts w:ascii="宋体" w:hAnsi="宋体" w:cs="宋体"/>
                <w:szCs w:val="21"/>
              </w:rPr>
            </w:pPr>
            <w:r>
              <w:rPr>
                <w:rFonts w:hint="eastAsia" w:ascii="宋体" w:hAnsi="宋体" w:cs="宋体"/>
                <w:b/>
                <w:kern w:val="0"/>
                <w:szCs w:val="21"/>
                <w:lang w:bidi="ar"/>
              </w:rPr>
              <w:t>公共法律服务中心升级改造服务</w:t>
            </w:r>
          </w:p>
        </w:tc>
        <w:tc>
          <w:tcPr>
            <w:tcW w:w="5753" w:type="dxa"/>
            <w:shd w:val="clear" w:color="auto" w:fill="auto"/>
            <w:tcMar>
              <w:top w:w="15" w:type="dxa"/>
              <w:left w:w="15" w:type="dxa"/>
              <w:right w:w="15" w:type="dxa"/>
            </w:tcMar>
            <w:vAlign w:val="center"/>
          </w:tcPr>
          <w:p>
            <w:pPr>
              <w:widowControl/>
              <w:spacing w:line="360" w:lineRule="exact"/>
              <w:jc w:val="left"/>
              <w:textAlignment w:val="center"/>
            </w:pPr>
            <w:r>
              <w:rPr>
                <w:rFonts w:hint="eastAsia" w:ascii="宋体" w:hAnsi="宋体" w:cs="宋体"/>
                <w:b/>
                <w:bCs/>
                <w:kern w:val="0"/>
                <w:szCs w:val="21"/>
                <w:lang w:bidi="ar"/>
              </w:rPr>
              <w:t>一、服务内容：</w:t>
            </w:r>
            <w:r>
              <w:rPr>
                <w:rFonts w:hint="eastAsia"/>
              </w:rPr>
              <w:t>对公共法律服务中心的业务配套系统进行升级改造，规范公共法律服务中心的业务流程，为群众提供更优质的法律服务。</w:t>
            </w:r>
          </w:p>
          <w:p>
            <w:pPr>
              <w:widowControl/>
              <w:spacing w:line="360" w:lineRule="exact"/>
              <w:jc w:val="left"/>
              <w:textAlignment w:val="center"/>
              <w:rPr>
                <w:rFonts w:ascii="宋体" w:hAnsi="宋体" w:cs="宋体"/>
                <w:b/>
                <w:bCs/>
                <w:kern w:val="0"/>
                <w:szCs w:val="21"/>
                <w:lang w:bidi="ar"/>
              </w:rPr>
            </w:pPr>
            <w:r>
              <w:rPr>
                <w:rFonts w:hint="eastAsia" w:ascii="宋体" w:hAnsi="宋体" w:cs="宋体"/>
                <w:b/>
                <w:bCs/>
                <w:kern w:val="0"/>
                <w:szCs w:val="21"/>
                <w:lang w:bidi="ar"/>
              </w:rPr>
              <w:t>二、提供服务所需的配套软硬件技术指标要求：</w:t>
            </w:r>
          </w:p>
          <w:p>
            <w:pPr>
              <w:widowControl/>
              <w:spacing w:line="360" w:lineRule="exact"/>
              <w:jc w:val="left"/>
              <w:textAlignment w:val="center"/>
              <w:rPr>
                <w:rFonts w:ascii="宋体" w:hAnsi="宋体" w:cs="宋体"/>
                <w:b/>
                <w:bCs/>
                <w:kern w:val="0"/>
                <w:szCs w:val="21"/>
                <w:lang w:bidi="ar"/>
              </w:rPr>
            </w:pPr>
            <w:r>
              <w:rPr>
                <w:rFonts w:hint="eastAsia" w:ascii="宋体" w:hAnsi="宋体" w:cs="宋体"/>
                <w:b/>
                <w:bCs/>
                <w:kern w:val="0"/>
                <w:szCs w:val="21"/>
                <w:lang w:bidi="ar"/>
              </w:rPr>
              <w:t>（一）公共法律服务大厅升级改造服务（1项）</w:t>
            </w:r>
          </w:p>
          <w:p>
            <w:pPr>
              <w:widowControl/>
              <w:spacing w:line="360" w:lineRule="exact"/>
              <w:jc w:val="left"/>
              <w:textAlignment w:val="center"/>
            </w:pPr>
            <w:r>
              <w:rPr>
                <w:rFonts w:hint="eastAsia"/>
              </w:rPr>
              <w:t>公共法律服务大厅基础设施升级改造服务（包括公共法律服务大厅效果图设计、标识标牌、司法行政徽 、指引标识、法律宣传等、玻璃门、自动闸门、背景墙、业务台、桌椅升级等）</w:t>
            </w:r>
          </w:p>
        </w:tc>
        <w:tc>
          <w:tcPr>
            <w:tcW w:w="6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kern w:val="0"/>
                <w:szCs w:val="21"/>
                <w:lang w:bidi="ar"/>
              </w:rPr>
              <w:t>项</w:t>
            </w:r>
          </w:p>
        </w:tc>
        <w:tc>
          <w:tcPr>
            <w:tcW w:w="516"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7"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kern w:val="0"/>
                <w:szCs w:val="21"/>
                <w:lang w:bidi="ar"/>
              </w:rPr>
              <w:t>7</w:t>
            </w:r>
          </w:p>
        </w:tc>
        <w:tc>
          <w:tcPr>
            <w:tcW w:w="1200"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szCs w:val="21"/>
              </w:rPr>
            </w:pPr>
            <w:r>
              <w:rPr>
                <w:rFonts w:hint="eastAsia" w:ascii="宋体" w:hAnsi="宋体" w:cs="宋体"/>
                <w:b/>
                <w:bCs/>
                <w:kern w:val="0"/>
                <w:szCs w:val="21"/>
                <w:lang w:bidi="ar"/>
              </w:rPr>
              <w:t>系统集成和技术服务</w:t>
            </w:r>
          </w:p>
        </w:tc>
        <w:tc>
          <w:tcPr>
            <w:tcW w:w="5753" w:type="dxa"/>
            <w:shd w:val="clear" w:color="auto" w:fill="auto"/>
            <w:tcMar>
              <w:top w:w="15" w:type="dxa"/>
              <w:left w:w="15" w:type="dxa"/>
              <w:right w:w="15" w:type="dxa"/>
            </w:tcMar>
            <w:vAlign w:val="center"/>
          </w:tcPr>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1、完成本项目所有系统的安装、调试、校准至可正常使用，提供本项目开工报告、竣工材料等采购单位所需的材料；</w:t>
            </w:r>
          </w:p>
          <w:p>
            <w:pPr>
              <w:widowControl/>
              <w:spacing w:line="360" w:lineRule="exact"/>
              <w:jc w:val="left"/>
              <w:textAlignment w:val="center"/>
              <w:rPr>
                <w:rFonts w:ascii="宋体" w:hAnsi="宋体" w:cs="宋体"/>
                <w:kern w:val="0"/>
                <w:szCs w:val="21"/>
                <w:lang w:bidi="ar"/>
              </w:rPr>
            </w:pPr>
            <w:r>
              <w:rPr>
                <w:rFonts w:hint="eastAsia" w:ascii="宋体" w:hAnsi="宋体" w:cs="宋体"/>
                <w:kern w:val="0"/>
                <w:szCs w:val="21"/>
                <w:lang w:bidi="ar"/>
              </w:rPr>
              <w:t>2、培训使用人员、确保其熟练掌握系统功能；</w:t>
            </w:r>
          </w:p>
          <w:p>
            <w:pPr>
              <w:widowControl/>
              <w:spacing w:line="360" w:lineRule="exact"/>
              <w:jc w:val="left"/>
              <w:textAlignment w:val="center"/>
              <w:rPr>
                <w:rFonts w:ascii="宋体" w:hAnsi="宋体" w:cs="宋体"/>
                <w:szCs w:val="21"/>
              </w:rPr>
            </w:pPr>
            <w:r>
              <w:rPr>
                <w:rFonts w:hint="eastAsia" w:ascii="宋体" w:hAnsi="宋体" w:cs="宋体"/>
                <w:kern w:val="0"/>
                <w:szCs w:val="21"/>
                <w:lang w:bidi="ar"/>
              </w:rPr>
              <w:t>3、综合运维服务，在服务期内对系统进行日常维护，及时响应故障报修，确保平台正常运行。</w:t>
            </w:r>
          </w:p>
        </w:tc>
        <w:tc>
          <w:tcPr>
            <w:tcW w:w="6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kern w:val="0"/>
                <w:szCs w:val="21"/>
                <w:lang w:bidi="ar"/>
              </w:rPr>
              <w:t>项</w:t>
            </w:r>
          </w:p>
        </w:tc>
        <w:tc>
          <w:tcPr>
            <w:tcW w:w="516"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szCs w:val="21"/>
              </w:rPr>
            </w:pPr>
            <w:r>
              <w:rPr>
                <w:rFonts w:hint="eastAsia" w:ascii="宋体" w:hAnsi="宋体" w:cs="宋体"/>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47" w:type="dxa"/>
            <w:gridSpan w:val="2"/>
            <w:shd w:val="clear" w:color="auto" w:fill="auto"/>
            <w:noWrap/>
            <w:tcMar>
              <w:top w:w="15" w:type="dxa"/>
              <w:left w:w="15" w:type="dxa"/>
              <w:right w:w="15" w:type="dxa"/>
            </w:tcMar>
            <w:vAlign w:val="center"/>
          </w:tcPr>
          <w:p>
            <w:pPr>
              <w:spacing w:line="360" w:lineRule="exact"/>
              <w:jc w:val="center"/>
              <w:rPr>
                <w:rFonts w:ascii="宋体" w:hAnsi="宋体" w:cs="宋体"/>
                <w:szCs w:val="21"/>
              </w:rPr>
            </w:pPr>
            <w:r>
              <w:rPr>
                <w:rFonts w:ascii="宋体" w:hAnsi="宋体"/>
                <w:b/>
                <w:szCs w:val="21"/>
              </w:rPr>
              <w:t>商务条款</w:t>
            </w:r>
          </w:p>
        </w:tc>
        <w:tc>
          <w:tcPr>
            <w:tcW w:w="6894" w:type="dxa"/>
            <w:gridSpan w:val="3"/>
            <w:shd w:val="clear" w:color="auto" w:fill="auto"/>
            <w:noWrap/>
            <w:tcMar>
              <w:top w:w="15" w:type="dxa"/>
              <w:left w:w="15" w:type="dxa"/>
              <w:right w:w="15" w:type="dxa"/>
            </w:tcMar>
            <w:vAlign w:val="center"/>
          </w:tcPr>
          <w:p>
            <w:r>
              <w:t>一、</w:t>
            </w:r>
            <w:r>
              <w:rPr>
                <w:rFonts w:hint="eastAsia"/>
              </w:rPr>
              <w:t>本项目核心产品为：</w:t>
            </w:r>
            <w:r>
              <w:rPr>
                <w:rFonts w:hint="eastAsia"/>
                <w:kern w:val="0"/>
                <w:lang w:bidi="ar"/>
              </w:rPr>
              <w:t>高清视频终端</w:t>
            </w:r>
          </w:p>
          <w:p>
            <w:r>
              <w:rPr>
                <w:rFonts w:hint="eastAsia"/>
              </w:rPr>
              <w:t>二、</w:t>
            </w:r>
            <w:r>
              <w:t>确定</w:t>
            </w:r>
            <w:r>
              <w:rPr>
                <w:rFonts w:hint="eastAsia"/>
              </w:rPr>
              <w:t>成交人</w:t>
            </w:r>
            <w:r>
              <w:t>后，</w:t>
            </w:r>
            <w:r>
              <w:rPr>
                <w:rFonts w:hint="eastAsia"/>
              </w:rPr>
              <w:t>成交</w:t>
            </w:r>
            <w:r>
              <w:t>后的单价不随时间、市场价格等因素的变动而改变，直至采购人完成采购任务为止。</w:t>
            </w:r>
          </w:p>
          <w:p>
            <w:r>
              <w:rPr>
                <w:rFonts w:hint="eastAsia"/>
              </w:rPr>
              <w:t>三</w:t>
            </w:r>
            <w:r>
              <w:t>、</w:t>
            </w:r>
            <w:r>
              <w:rPr>
                <w:rFonts w:hint="eastAsia"/>
              </w:rPr>
              <w:t>服务期限</w:t>
            </w:r>
            <w:r>
              <w:t>：</w:t>
            </w:r>
            <w:r>
              <w:rPr>
                <w:rFonts w:hint="eastAsia"/>
              </w:rPr>
              <w:t>12 个月（自项目交付并验收合格之日起计）。</w:t>
            </w:r>
          </w:p>
          <w:p>
            <w:r>
              <w:rPr>
                <w:rFonts w:hint="eastAsia"/>
              </w:rPr>
              <w:t>四</w:t>
            </w:r>
            <w:r>
              <w:t>、</w:t>
            </w:r>
            <w:r>
              <w:rPr>
                <w:rFonts w:hint="eastAsia"/>
              </w:rPr>
              <w:t>服务交付时间</w:t>
            </w:r>
            <w:r>
              <w:t>：</w:t>
            </w:r>
            <w:r>
              <w:rPr>
                <w:rFonts w:hint="eastAsia"/>
              </w:rPr>
              <w:t>自签订合同之日起45个工作日内交付使用</w:t>
            </w:r>
            <w:r>
              <w:t>。</w:t>
            </w:r>
          </w:p>
          <w:p>
            <w:r>
              <w:rPr>
                <w:rFonts w:hint="eastAsia"/>
              </w:rPr>
              <w:t>五</w:t>
            </w:r>
            <w:r>
              <w:t>、</w:t>
            </w:r>
            <w:r>
              <w:rPr>
                <w:rFonts w:hint="eastAsia"/>
              </w:rPr>
              <w:t>服务</w:t>
            </w:r>
            <w:r>
              <w:t>地点：采购人指定地点</w:t>
            </w:r>
          </w:p>
          <w:p>
            <w:r>
              <w:rPr>
                <w:rFonts w:hint="eastAsia"/>
                <w:kern w:val="0"/>
                <w:lang w:bidi="ar"/>
              </w:rPr>
              <w:t>★</w:t>
            </w:r>
            <w:r>
              <w:rPr>
                <w:rFonts w:hint="eastAsia"/>
              </w:rPr>
              <w:t>六</w:t>
            </w:r>
            <w:r>
              <w:t>、</w:t>
            </w:r>
            <w:r>
              <w:rPr>
                <w:rFonts w:hint="eastAsia"/>
              </w:rPr>
              <w:t>交付</w:t>
            </w:r>
            <w:r>
              <w:t>方式：采购人指定地点现场</w:t>
            </w:r>
            <w:r>
              <w:rPr>
                <w:rFonts w:hint="eastAsia"/>
              </w:rPr>
              <w:t>交付</w:t>
            </w:r>
            <w:r>
              <w:t>，</w:t>
            </w:r>
            <w:r>
              <w:rPr>
                <w:rFonts w:hint="eastAsia"/>
              </w:rPr>
              <w:t>竞争性磋商供应商名称</w:t>
            </w:r>
            <w:r>
              <w:t>报价时需自行综合考虑运输问题。</w:t>
            </w:r>
          </w:p>
          <w:p>
            <w:r>
              <w:rPr>
                <w:rFonts w:hint="eastAsia"/>
                <w:kern w:val="0"/>
                <w:lang w:bidi="ar"/>
              </w:rPr>
              <w:t>★</w:t>
            </w:r>
            <w:r>
              <w:rPr>
                <w:rFonts w:hint="eastAsia"/>
              </w:rPr>
              <w:t>七</w:t>
            </w:r>
            <w:r>
              <w:t>、服务要求：</w:t>
            </w:r>
          </w:p>
          <w:p>
            <w:r>
              <w:t>1、必须提供全新的产品，其产品必须符合国家有关认证标准、安全规定，质保期</w:t>
            </w:r>
            <w:r>
              <w:rPr>
                <w:rFonts w:hint="eastAsia"/>
              </w:rPr>
              <w:t>一</w:t>
            </w:r>
            <w:r>
              <w:t>年（自安装合格之日起计，生产厂商提供质保期超过</w:t>
            </w:r>
            <w:r>
              <w:rPr>
                <w:rFonts w:hint="eastAsia"/>
              </w:rPr>
              <w:t>一</w:t>
            </w:r>
            <w:r>
              <w:t>年的，按厂商质保期计算），产品质保期</w:t>
            </w:r>
            <w:r>
              <w:rPr>
                <w:rFonts w:hint="eastAsia"/>
              </w:rPr>
              <w:t>一</w:t>
            </w:r>
            <w:r>
              <w:t>年内实行“三包”，质保期后按国家有关规定及厂家承诺实行；</w:t>
            </w:r>
          </w:p>
          <w:p>
            <w:r>
              <w:t>2、</w:t>
            </w:r>
            <w:r>
              <w:rPr>
                <w:rFonts w:hint="eastAsia"/>
              </w:rPr>
              <w:t>供应商提供全部系统必须是合法销售渠道的全新合格产品，所有系统必须完全满足采购条件书所述性能配置要求，若产品在运输过程中损坏或擦伤须无偿调换相同产品；供应产品缺型缺码，供应商配合进行增补或调换，</w:t>
            </w:r>
            <w:r>
              <w:t>免费送货上门、有破损、变质的及时更换。</w:t>
            </w:r>
          </w:p>
          <w:p>
            <w:r>
              <w:t>3、维修响应：在质量保证期内，供应商在接到采购方的报修电话后 30 分钟内必须响应，</w:t>
            </w:r>
            <w:r>
              <w:rPr>
                <w:rFonts w:hint="eastAsia"/>
              </w:rPr>
              <w:t>24</w:t>
            </w:r>
            <w:r>
              <w:t>小时内必须赶到现场并免费维修更换有缺陷的货物或部件；</w:t>
            </w:r>
          </w:p>
          <w:p>
            <w:r>
              <w:rPr>
                <w:rFonts w:hint="eastAsia"/>
                <w:kern w:val="0"/>
                <w:lang w:bidi="ar"/>
              </w:rPr>
              <w:t>★</w:t>
            </w:r>
            <w:r>
              <w:rPr>
                <w:rFonts w:hint="eastAsia"/>
              </w:rPr>
              <w:t>八</w:t>
            </w:r>
            <w:r>
              <w:t>、验收条件及标准：安装调试完毕后按国家标准或行业标准在采购人指定地点由采购人对货物进行验收。</w:t>
            </w:r>
          </w:p>
          <w:p>
            <w:pPr>
              <w:rPr>
                <w:lang w:val="zh-CN"/>
              </w:rPr>
            </w:pPr>
            <w:r>
              <w:rPr>
                <w:rFonts w:hint="eastAsia"/>
              </w:rPr>
              <w:t>九</w:t>
            </w:r>
            <w:r>
              <w:t>、</w:t>
            </w:r>
            <w:r>
              <w:rPr>
                <w:rFonts w:hint="eastAsia"/>
              </w:rPr>
              <w:t>付款方式：</w:t>
            </w:r>
            <w:r>
              <w:rPr>
                <w:rFonts w:hint="eastAsia"/>
                <w:lang w:val="zh-CN"/>
              </w:rPr>
              <w:t>自签订合同之日起10个工作日内甲方应向乙方支付本项目合同款费用的</w:t>
            </w:r>
            <w:r>
              <w:rPr>
                <w:rFonts w:hint="eastAsia"/>
              </w:rPr>
              <w:t>30</w:t>
            </w:r>
            <w:r>
              <w:rPr>
                <w:rFonts w:hint="eastAsia"/>
                <w:lang w:val="zh-CN"/>
              </w:rPr>
              <w:t>%；项目验收合格通过后</w:t>
            </w:r>
            <w:r>
              <w:rPr>
                <w:rFonts w:hint="eastAsia"/>
              </w:rPr>
              <w:t>90</w:t>
            </w:r>
            <w:r>
              <w:rPr>
                <w:rFonts w:hint="eastAsia"/>
                <w:lang w:val="zh-CN"/>
              </w:rPr>
              <w:t>个工作日内甲方应向乙方支付至本项目9</w:t>
            </w:r>
            <w:r>
              <w:rPr>
                <w:rFonts w:hint="eastAsia"/>
              </w:rPr>
              <w:t>5%</w:t>
            </w:r>
            <w:r>
              <w:rPr>
                <w:rFonts w:hint="eastAsia"/>
                <w:lang w:val="zh-CN"/>
              </w:rPr>
              <w:t>合同款；剩余</w:t>
            </w:r>
            <w:r>
              <w:rPr>
                <w:rFonts w:hint="eastAsia"/>
              </w:rPr>
              <w:t>5</w:t>
            </w:r>
            <w:r>
              <w:rPr>
                <w:rFonts w:hint="eastAsia"/>
                <w:lang w:val="zh-CN"/>
              </w:rPr>
              <w:t>%合同款作为质量保证金，系统运行质保期满后30个工作日内退还。</w:t>
            </w:r>
          </w:p>
          <w:p>
            <w:r>
              <w:rPr>
                <w:rFonts w:hint="eastAsia"/>
                <w:kern w:val="0"/>
                <w:lang w:bidi="ar"/>
              </w:rPr>
              <w:t>★</w:t>
            </w:r>
            <w:r>
              <w:rPr>
                <w:rFonts w:hint="eastAsia"/>
              </w:rPr>
              <w:t>十</w:t>
            </w:r>
            <w:r>
              <w:t>、</w:t>
            </w:r>
            <w:r>
              <w:rPr>
                <w:rFonts w:hint="eastAsia"/>
              </w:rPr>
              <w:t>磋商</w:t>
            </w:r>
            <w:r>
              <w:t>报价为采购人指定地点的现场交货价，包括：</w:t>
            </w:r>
          </w:p>
          <w:p>
            <w:r>
              <w:rPr>
                <w:rFonts w:hint="eastAsia" w:ascii="宋体" w:hAnsi="宋体" w:cs="宋体"/>
              </w:rPr>
              <w:t>①</w:t>
            </w:r>
            <w:r>
              <w:t>本次项目包含</w:t>
            </w:r>
            <w:r>
              <w:rPr>
                <w:rFonts w:hint="eastAsia"/>
              </w:rPr>
              <w:t>系统</w:t>
            </w:r>
            <w:r>
              <w:t>安装建设、维护，提供</w:t>
            </w:r>
            <w:r>
              <w:rPr>
                <w:rFonts w:hint="eastAsia"/>
              </w:rPr>
              <w:t>系统</w:t>
            </w:r>
            <w:r>
              <w:t>质保</w:t>
            </w:r>
            <w:r>
              <w:rPr>
                <w:rFonts w:hint="eastAsia"/>
              </w:rPr>
              <w:t>一</w:t>
            </w:r>
            <w:r>
              <w:t>年</w:t>
            </w:r>
            <w:r>
              <w:rPr>
                <w:rFonts w:hint="eastAsia"/>
              </w:rPr>
              <w:t>。</w:t>
            </w:r>
          </w:p>
          <w:p>
            <w:pPr>
              <w:rPr>
                <w:rFonts w:cs="宋体"/>
              </w:rPr>
            </w:pPr>
            <w:r>
              <w:rPr>
                <w:rFonts w:hint="eastAsia" w:cs="宋体"/>
              </w:rPr>
              <w:t>②</w:t>
            </w:r>
            <w:r>
              <w:t>设备</w:t>
            </w:r>
            <w:r>
              <w:rPr>
                <w:rFonts w:hint="eastAsia"/>
              </w:rPr>
              <w:t>（系统）</w:t>
            </w:r>
            <w:r>
              <w:t>、随配附件、备品备件、工具、运抵指定交货地点、保险、现场安装、调试及验收的各种费用和售后服务、人员费用、技术支持费用、运维费用、培训费用、管理费、税金及其它所有成本费用的总和。(注：</w:t>
            </w:r>
            <w:r>
              <w:rPr>
                <w:rFonts w:hint="eastAsia"/>
              </w:rPr>
              <w:t>竞争性磋商供应商名称</w:t>
            </w:r>
            <w:r>
              <w:t>自行考虑完成项目所需的辅材、杂配件等数量，</w:t>
            </w:r>
            <w:r>
              <w:rPr>
                <w:rFonts w:hint="eastAsia"/>
              </w:rPr>
              <w:t>磋商</w:t>
            </w:r>
            <w:r>
              <w:t>报价中应包含全部内容，</w:t>
            </w:r>
            <w:r>
              <w:rPr>
                <w:rFonts w:hint="eastAsia"/>
              </w:rPr>
              <w:t>成交</w:t>
            </w:r>
            <w:r>
              <w:t>后采购人不再另行支付额外费用。)</w:t>
            </w:r>
          </w:p>
        </w:tc>
      </w:tr>
      <w:bookmarkEnd w:id="75"/>
    </w:tbl>
    <w:p>
      <w:pPr>
        <w:pStyle w:val="26"/>
        <w:spacing w:before="43" w:line="278" w:lineRule="auto"/>
        <w:ind w:right="102"/>
        <w:rPr>
          <w:spacing w:val="-2"/>
        </w:rPr>
        <w:sectPr>
          <w:headerReference r:id="rId9" w:type="first"/>
          <w:footerReference r:id="rId12" w:type="first"/>
          <w:headerReference r:id="rId8" w:type="default"/>
          <w:footerReference r:id="rId10" w:type="default"/>
          <w:footerReference r:id="rId11" w:type="even"/>
          <w:pgSz w:w="11906" w:h="16838"/>
          <w:pgMar w:top="1354" w:right="1175" w:bottom="1134" w:left="1071" w:header="567" w:footer="567" w:gutter="0"/>
          <w:pgNumType w:start="1"/>
          <w:cols w:space="720" w:num="1"/>
          <w:titlePg/>
          <w:docGrid w:type="lines" w:linePitch="331" w:charSpace="0"/>
        </w:sectPr>
      </w:pPr>
    </w:p>
    <w:p>
      <w:pPr>
        <w:spacing w:line="400" w:lineRule="exact"/>
        <w:rPr>
          <w:rFonts w:ascii="黑体" w:hAnsi="宋体" w:eastAsia="黑体"/>
          <w:b/>
          <w:sz w:val="32"/>
          <w:szCs w:val="32"/>
        </w:rPr>
      </w:pPr>
    </w:p>
    <w:bookmarkEnd w:id="74"/>
    <w:p>
      <w:pPr>
        <w:pStyle w:val="9"/>
        <w:spacing w:line="600" w:lineRule="exact"/>
        <w:jc w:val="center"/>
        <w:outlineLvl w:val="0"/>
        <w:rPr>
          <w:rFonts w:ascii="黑体" w:hAnsi="Times New Roman" w:eastAsia="黑体"/>
          <w:b/>
          <w:sz w:val="44"/>
          <w:szCs w:val="44"/>
        </w:rPr>
      </w:pPr>
      <w:bookmarkStart w:id="76" w:name="_Toc23966"/>
      <w:bookmarkStart w:id="77" w:name="_Toc305850728"/>
      <w:r>
        <w:rPr>
          <w:rFonts w:hint="eastAsia" w:ascii="黑体" w:hAnsi="宋体" w:eastAsia="黑体"/>
          <w:b/>
          <w:sz w:val="44"/>
          <w:szCs w:val="44"/>
        </w:rPr>
        <w:t>第四章 合同书</w:t>
      </w:r>
      <w:bookmarkEnd w:id="76"/>
      <w:r>
        <w:rPr>
          <w:rFonts w:hint="eastAsia" w:ascii="黑体" w:hAnsi="宋体" w:eastAsia="黑体"/>
          <w:b/>
          <w:sz w:val="44"/>
          <w:szCs w:val="44"/>
        </w:rPr>
        <w:t>（格式）</w:t>
      </w: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pStyle w:val="9"/>
        <w:spacing w:line="600" w:lineRule="exact"/>
        <w:jc w:val="center"/>
        <w:rPr>
          <w:rFonts w:ascii="黑体" w:hAnsi="宋体" w:eastAsia="黑体"/>
          <w:b/>
          <w:sz w:val="44"/>
          <w:szCs w:val="44"/>
          <w:u w:val="single"/>
        </w:rPr>
      </w:pPr>
      <w:bookmarkStart w:id="78" w:name="_Toc13580_WPSOffice_Level1"/>
      <w:r>
        <w:rPr>
          <w:rFonts w:hint="eastAsia" w:ascii="黑体" w:hAnsi="宋体" w:eastAsia="黑体"/>
          <w:b/>
          <w:sz w:val="36"/>
          <w:szCs w:val="36"/>
        </w:rPr>
        <w:t>合同名称：</w:t>
      </w:r>
      <w:bookmarkEnd w:id="78"/>
      <w:r>
        <w:rPr>
          <w:rFonts w:hint="eastAsia" w:ascii="黑体" w:hAnsi="宋体" w:eastAsia="黑体"/>
          <w:b/>
          <w:sz w:val="36"/>
          <w:szCs w:val="36"/>
          <w:u w:val="single"/>
        </w:rPr>
        <w:t>富川瑶族自治县司法局智慧司法项目</w:t>
      </w: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spacing w:line="700" w:lineRule="exact"/>
        <w:jc w:val="center"/>
        <w:rPr>
          <w:rFonts w:ascii="黑体" w:hAnsi="宋体" w:eastAsia="黑体"/>
          <w:b/>
          <w:sz w:val="32"/>
          <w:szCs w:val="32"/>
        </w:rPr>
      </w:pPr>
      <w:bookmarkStart w:id="79" w:name="_Toc18267_WPSOffice_Level1"/>
      <w:r>
        <w:rPr>
          <w:rFonts w:hint="eastAsia" w:ascii="黑体" w:hAnsi="宋体" w:eastAsia="黑体"/>
          <w:b/>
          <w:sz w:val="32"/>
        </w:rPr>
        <w:t>项目编号：</w:t>
      </w:r>
      <w:bookmarkEnd w:id="79"/>
      <w:r>
        <w:rPr>
          <w:rFonts w:hint="eastAsia" w:ascii="黑体" w:hAnsi="宋体" w:eastAsia="黑体"/>
          <w:b/>
          <w:sz w:val="32"/>
          <w:szCs w:val="32"/>
        </w:rPr>
        <w:t xml:space="preserve"> </w:t>
      </w:r>
    </w:p>
    <w:p>
      <w:pPr>
        <w:pStyle w:val="9"/>
        <w:spacing w:line="500" w:lineRule="exact"/>
        <w:rPr>
          <w:rFonts w:ascii="黑体" w:hAnsi="宋体" w:eastAsia="黑体"/>
          <w:sz w:val="32"/>
          <w:szCs w:val="32"/>
        </w:rPr>
      </w:pP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pStyle w:val="9"/>
        <w:spacing w:line="400" w:lineRule="exact"/>
        <w:jc w:val="left"/>
        <w:rPr>
          <w:rFonts w:ascii="Times New Roman" w:hAnsi="Times New Roman"/>
          <w:sz w:val="32"/>
        </w:rPr>
      </w:pPr>
    </w:p>
    <w:p>
      <w:pPr>
        <w:pStyle w:val="9"/>
        <w:spacing w:line="500" w:lineRule="exact"/>
        <w:jc w:val="center"/>
        <w:rPr>
          <w:rFonts w:ascii="黑体" w:hAnsi="Times New Roman" w:eastAsia="黑体"/>
          <w:sz w:val="32"/>
        </w:rPr>
      </w:pPr>
      <w:bookmarkStart w:id="80" w:name="_Toc30806_WPSOffice_Level1"/>
      <w:r>
        <w:rPr>
          <w:rFonts w:hint="eastAsia" w:ascii="黑体" w:hAnsi="宋体" w:eastAsia="黑体"/>
          <w:sz w:val="32"/>
        </w:rPr>
        <w:t>签订合同地点：</w:t>
      </w:r>
      <w:bookmarkEnd w:id="80"/>
      <w:r>
        <w:rPr>
          <w:rFonts w:hint="eastAsia" w:ascii="黑体" w:hAnsi="宋体" w:eastAsia="黑体"/>
          <w:sz w:val="32"/>
          <w:u w:val="single"/>
        </w:rPr>
        <w:t>　　　　　　　　　　　</w:t>
      </w:r>
    </w:p>
    <w:p>
      <w:pPr>
        <w:pStyle w:val="9"/>
        <w:spacing w:line="500" w:lineRule="exact"/>
        <w:jc w:val="center"/>
        <w:rPr>
          <w:rFonts w:ascii="黑体" w:hAnsi="宋体" w:eastAsia="黑体"/>
          <w:sz w:val="32"/>
          <w:u w:val="single"/>
        </w:rPr>
      </w:pPr>
      <w:bookmarkStart w:id="81" w:name="_Toc3166_WPSOffice_Level1"/>
      <w:r>
        <w:rPr>
          <w:rFonts w:hint="eastAsia" w:ascii="黑体" w:hAnsi="宋体" w:eastAsia="黑体"/>
          <w:sz w:val="32"/>
        </w:rPr>
        <w:t>签订合同时间：</w:t>
      </w:r>
      <w:bookmarkEnd w:id="81"/>
      <w:r>
        <w:rPr>
          <w:rFonts w:hint="eastAsia" w:ascii="黑体" w:hAnsi="宋体" w:eastAsia="黑体"/>
          <w:sz w:val="32"/>
          <w:u w:val="single"/>
        </w:rPr>
        <w:t>　　　　　　　　  　　</w:t>
      </w:r>
    </w:p>
    <w:p>
      <w:pPr>
        <w:pStyle w:val="9"/>
        <w:spacing w:line="500" w:lineRule="exact"/>
        <w:rPr>
          <w:szCs w:val="21"/>
        </w:rPr>
      </w:pPr>
      <w:r>
        <w:br w:type="page"/>
      </w:r>
    </w:p>
    <w:p>
      <w:pPr>
        <w:pStyle w:val="8"/>
        <w:tabs>
          <w:tab w:val="left" w:pos="848"/>
          <w:tab w:val="left" w:pos="1268"/>
          <w:tab w:val="left" w:pos="1688"/>
          <w:tab w:val="left" w:pos="2107"/>
          <w:tab w:val="left" w:pos="4891"/>
          <w:tab w:val="left" w:pos="7576"/>
          <w:tab w:val="left" w:pos="7619"/>
        </w:tabs>
        <w:spacing w:before="1" w:line="321" w:lineRule="auto"/>
        <w:ind w:left="428" w:right="2909"/>
        <w:rPr>
          <w:rFonts w:ascii="宋体" w:hAnsi="宋体" w:eastAsia="宋体" w:cs="宋体"/>
          <w:b w:val="0"/>
          <w:spacing w:val="-2"/>
          <w:sz w:val="21"/>
          <w:szCs w:val="24"/>
          <w:lang w:val="zh-CN" w:bidi="zh-CN"/>
        </w:rPr>
      </w:pPr>
    </w:p>
    <w:p>
      <w:pPr>
        <w:snapToGrid w:val="0"/>
        <w:spacing w:line="382" w:lineRule="exact"/>
        <w:rPr>
          <w:rFonts w:ascii="宋体" w:hAnsi="宋体"/>
          <w:szCs w:val="21"/>
          <w:u w:val="single"/>
        </w:rPr>
      </w:pPr>
      <w:r>
        <w:rPr>
          <w:rFonts w:hint="eastAsia" w:ascii="宋体" w:hAnsi="宋体"/>
          <w:szCs w:val="21"/>
        </w:rPr>
        <w:t>采购人（甲方）：</w:t>
      </w:r>
      <w:r>
        <w:rPr>
          <w:rFonts w:hint="eastAsia" w:ascii="宋体" w:hAnsi="宋体"/>
          <w:szCs w:val="21"/>
          <w:u w:val="single"/>
        </w:rPr>
        <w:t xml:space="preserve">                          </w:t>
      </w:r>
      <w:r>
        <w:rPr>
          <w:rFonts w:hint="eastAsia" w:ascii="宋体" w:hAnsi="宋体"/>
          <w:szCs w:val="21"/>
        </w:rPr>
        <w:t xml:space="preserve">        </w:t>
      </w:r>
      <w:r>
        <w:rPr>
          <w:rFonts w:hint="eastAsia" w:ascii="宋体" w:hAnsi="宋体"/>
          <w:spacing w:val="-20"/>
          <w:szCs w:val="21"/>
        </w:rPr>
        <w:t>采 购 计 划 号：</w:t>
      </w:r>
      <w:r>
        <w:rPr>
          <w:rFonts w:hint="eastAsia" w:ascii="宋体" w:hAnsi="宋体"/>
          <w:szCs w:val="21"/>
          <w:u w:val="single"/>
        </w:rPr>
        <w:t xml:space="preserve">                         </w:t>
      </w:r>
    </w:p>
    <w:p>
      <w:pPr>
        <w:snapToGrid w:val="0"/>
        <w:spacing w:line="382" w:lineRule="exact"/>
        <w:rPr>
          <w:rFonts w:ascii="宋体" w:hAnsi="宋体"/>
          <w:szCs w:val="21"/>
          <w:u w:val="single"/>
        </w:rPr>
      </w:pPr>
      <w:r>
        <w:rPr>
          <w:rFonts w:hint="eastAsia" w:ascii="宋体" w:hAnsi="宋体"/>
          <w:szCs w:val="21"/>
        </w:rPr>
        <w:t>供应商（乙方）：</w:t>
      </w:r>
      <w:r>
        <w:rPr>
          <w:rFonts w:hint="eastAsia" w:ascii="宋体" w:hAnsi="宋体"/>
          <w:szCs w:val="21"/>
          <w:u w:val="single"/>
        </w:rPr>
        <w:t xml:space="preserve">                          </w:t>
      </w:r>
      <w:r>
        <w:rPr>
          <w:rFonts w:hint="eastAsia" w:ascii="宋体" w:hAnsi="宋体"/>
          <w:szCs w:val="21"/>
        </w:rPr>
        <w:t xml:space="preserve">        采购项目名称和</w:t>
      </w:r>
      <w:r>
        <w:rPr>
          <w:rFonts w:hint="eastAsia" w:ascii="宋体" w:hAnsi="宋体"/>
          <w:spacing w:val="-20"/>
          <w:szCs w:val="21"/>
        </w:rPr>
        <w:t>编号：</w:t>
      </w:r>
      <w:r>
        <w:rPr>
          <w:rFonts w:hint="eastAsia" w:ascii="宋体" w:hAnsi="宋体"/>
          <w:szCs w:val="21"/>
          <w:u w:val="single"/>
        </w:rPr>
        <w:t xml:space="preserve">                       </w:t>
      </w:r>
    </w:p>
    <w:p>
      <w:pPr>
        <w:snapToGrid w:val="0"/>
        <w:spacing w:line="382" w:lineRule="exact"/>
        <w:rPr>
          <w:rFonts w:ascii="宋体" w:hAnsi="宋体"/>
          <w:szCs w:val="21"/>
          <w:u w:val="single"/>
        </w:rPr>
      </w:pPr>
      <w:r>
        <w:rPr>
          <w:rFonts w:hint="eastAsia" w:ascii="宋体" w:hAnsi="宋体"/>
          <w:szCs w:val="21"/>
        </w:rPr>
        <w:t>签  订  地  点：</w:t>
      </w:r>
      <w:r>
        <w:rPr>
          <w:rFonts w:hint="eastAsia" w:ascii="宋体" w:hAnsi="宋体"/>
          <w:szCs w:val="21"/>
          <w:u w:val="single"/>
        </w:rPr>
        <w:t xml:space="preserve">                        </w:t>
      </w:r>
      <w:r>
        <w:rPr>
          <w:rFonts w:hint="eastAsia" w:ascii="宋体" w:hAnsi="宋体"/>
          <w:szCs w:val="21"/>
        </w:rPr>
        <w:t xml:space="preserve">         签 订 时 间：</w:t>
      </w:r>
      <w:r>
        <w:rPr>
          <w:rFonts w:hint="eastAsia" w:ascii="宋体" w:hAnsi="宋体"/>
          <w:szCs w:val="21"/>
          <w:u w:val="single"/>
        </w:rPr>
        <w:t xml:space="preserve">                       </w:t>
      </w:r>
    </w:p>
    <w:p>
      <w:pPr>
        <w:snapToGrid w:val="0"/>
        <w:spacing w:line="382" w:lineRule="exact"/>
        <w:ind w:firstLine="420" w:firstLineChars="200"/>
        <w:rPr>
          <w:rFonts w:ascii="宋体" w:hAnsi="宋体"/>
          <w:szCs w:val="21"/>
        </w:rPr>
      </w:pPr>
    </w:p>
    <w:p>
      <w:pPr>
        <w:snapToGrid w:val="0"/>
        <w:spacing w:line="382" w:lineRule="exact"/>
        <w:rPr>
          <w:rFonts w:ascii="宋体" w:hAnsi="宋体"/>
          <w:szCs w:val="21"/>
        </w:rPr>
      </w:pPr>
      <w:r>
        <w:rPr>
          <w:rFonts w:hint="eastAsia" w:ascii="宋体" w:hAnsi="宋体"/>
          <w:szCs w:val="21"/>
        </w:rPr>
        <w:t xml:space="preserve">    根据《中华人民共和国政府采购法》、《中华人民共和国合同法》等法律、法规规定，按照竞争性磋商文件（以下简称“磋商文件”）规定条款和成交供应商竞争性磋商响应文件（以下简称“响应文件”）及其承诺，甲乙双方签订本合同。</w:t>
      </w:r>
    </w:p>
    <w:p>
      <w:pPr>
        <w:snapToGrid w:val="0"/>
        <w:spacing w:line="382" w:lineRule="exact"/>
        <w:rPr>
          <w:rFonts w:ascii="宋体" w:hAnsi="宋体"/>
          <w:b/>
          <w:szCs w:val="21"/>
        </w:rPr>
      </w:pPr>
      <w:r>
        <w:rPr>
          <w:rFonts w:hint="eastAsia" w:ascii="宋体" w:hAnsi="宋体"/>
          <w:szCs w:val="21"/>
        </w:rPr>
        <w:t xml:space="preserve">    </w:t>
      </w:r>
      <w:r>
        <w:rPr>
          <w:rFonts w:hint="eastAsia" w:ascii="宋体" w:hAnsi="宋体"/>
          <w:b/>
          <w:szCs w:val="21"/>
        </w:rPr>
        <w:t>第一条　合同标的</w:t>
      </w:r>
    </w:p>
    <w:p>
      <w:pPr>
        <w:numPr>
          <w:ilvl w:val="0"/>
          <w:numId w:val="3"/>
        </w:numPr>
        <w:snapToGrid w:val="0"/>
        <w:spacing w:line="382" w:lineRule="exact"/>
        <w:rPr>
          <w:rFonts w:ascii="宋体" w:hAnsi="宋体"/>
          <w:szCs w:val="21"/>
        </w:rPr>
      </w:pPr>
      <w:r>
        <w:rPr>
          <w:rFonts w:hint="eastAsia" w:ascii="宋体" w:hAnsi="宋体"/>
          <w:szCs w:val="21"/>
        </w:rPr>
        <w:t>供货一览表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049"/>
        <w:gridCol w:w="920"/>
        <w:gridCol w:w="832"/>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51" w:type="dxa"/>
            <w:vAlign w:val="center"/>
          </w:tcPr>
          <w:p>
            <w:pPr>
              <w:snapToGrid w:val="0"/>
              <w:spacing w:line="382" w:lineRule="exact"/>
              <w:jc w:val="center"/>
              <w:rPr>
                <w:rFonts w:ascii="宋体" w:hAnsi="宋体"/>
                <w:szCs w:val="21"/>
              </w:rPr>
            </w:pPr>
            <w:r>
              <w:rPr>
                <w:rFonts w:hint="eastAsia" w:ascii="宋体" w:hAnsi="宋体"/>
                <w:szCs w:val="21"/>
              </w:rPr>
              <w:t>序号</w:t>
            </w:r>
          </w:p>
        </w:tc>
        <w:tc>
          <w:tcPr>
            <w:tcW w:w="4049" w:type="dxa"/>
            <w:vAlign w:val="center"/>
          </w:tcPr>
          <w:p>
            <w:pPr>
              <w:snapToGrid w:val="0"/>
              <w:spacing w:line="382" w:lineRule="exact"/>
              <w:jc w:val="center"/>
              <w:rPr>
                <w:rFonts w:ascii="宋体" w:hAnsi="宋体"/>
                <w:szCs w:val="21"/>
              </w:rPr>
            </w:pPr>
            <w:r>
              <w:rPr>
                <w:rFonts w:hint="eastAsia" w:ascii="宋体" w:hAnsi="宋体"/>
                <w:szCs w:val="21"/>
              </w:rPr>
              <w:t>服务名称</w:t>
            </w:r>
          </w:p>
        </w:tc>
        <w:tc>
          <w:tcPr>
            <w:tcW w:w="920" w:type="dxa"/>
            <w:vAlign w:val="center"/>
          </w:tcPr>
          <w:p>
            <w:pPr>
              <w:snapToGrid w:val="0"/>
              <w:spacing w:line="382" w:lineRule="exact"/>
              <w:jc w:val="center"/>
              <w:rPr>
                <w:rFonts w:ascii="宋体" w:hAnsi="宋体"/>
                <w:szCs w:val="21"/>
              </w:rPr>
            </w:pPr>
            <w:r>
              <w:rPr>
                <w:rFonts w:hint="eastAsia" w:ascii="宋体" w:hAnsi="宋体"/>
                <w:szCs w:val="21"/>
              </w:rPr>
              <w:t>数量</w:t>
            </w:r>
          </w:p>
        </w:tc>
        <w:tc>
          <w:tcPr>
            <w:tcW w:w="832" w:type="dxa"/>
            <w:vAlign w:val="center"/>
          </w:tcPr>
          <w:p>
            <w:pPr>
              <w:snapToGrid w:val="0"/>
              <w:spacing w:line="382" w:lineRule="exact"/>
              <w:jc w:val="center"/>
              <w:rPr>
                <w:rFonts w:ascii="宋体" w:hAnsi="宋体"/>
                <w:szCs w:val="21"/>
              </w:rPr>
            </w:pPr>
            <w:r>
              <w:rPr>
                <w:rFonts w:hint="eastAsia" w:ascii="宋体" w:hAnsi="宋体"/>
                <w:szCs w:val="21"/>
              </w:rPr>
              <w:t>单位</w:t>
            </w:r>
          </w:p>
        </w:tc>
        <w:tc>
          <w:tcPr>
            <w:tcW w:w="1080" w:type="dxa"/>
            <w:vAlign w:val="center"/>
          </w:tcPr>
          <w:p>
            <w:pPr>
              <w:snapToGrid w:val="0"/>
              <w:spacing w:line="382" w:lineRule="exact"/>
              <w:jc w:val="center"/>
              <w:rPr>
                <w:rFonts w:ascii="宋体" w:hAnsi="宋体"/>
                <w:szCs w:val="21"/>
              </w:rPr>
            </w:pPr>
            <w:r>
              <w:rPr>
                <w:rFonts w:hint="eastAsia" w:ascii="宋体" w:hAnsi="宋体"/>
                <w:szCs w:val="21"/>
              </w:rPr>
              <w:t>单价</w:t>
            </w:r>
          </w:p>
          <w:p>
            <w:pPr>
              <w:snapToGrid w:val="0"/>
              <w:spacing w:line="382" w:lineRule="exact"/>
              <w:jc w:val="center"/>
              <w:rPr>
                <w:rFonts w:ascii="宋体" w:hAnsi="宋体"/>
                <w:szCs w:val="21"/>
              </w:rPr>
            </w:pPr>
            <w:r>
              <w:rPr>
                <w:rFonts w:hint="eastAsia" w:ascii="宋体" w:hAnsi="宋体"/>
                <w:szCs w:val="21"/>
              </w:rPr>
              <w:t>（元）</w:t>
            </w:r>
          </w:p>
        </w:tc>
        <w:tc>
          <w:tcPr>
            <w:tcW w:w="1440" w:type="dxa"/>
            <w:vAlign w:val="center"/>
          </w:tcPr>
          <w:p>
            <w:pPr>
              <w:snapToGrid w:val="0"/>
              <w:spacing w:line="382" w:lineRule="exact"/>
              <w:jc w:val="center"/>
              <w:rPr>
                <w:rFonts w:ascii="宋体" w:hAnsi="宋体"/>
                <w:szCs w:val="21"/>
              </w:rPr>
            </w:pPr>
            <w:r>
              <w:rPr>
                <w:rFonts w:hint="eastAsia" w:ascii="宋体" w:hAnsi="宋体"/>
                <w:szCs w:val="21"/>
              </w:rPr>
              <w:t>金额</w:t>
            </w:r>
          </w:p>
          <w:p>
            <w:pPr>
              <w:snapToGrid w:val="0"/>
              <w:spacing w:line="382" w:lineRule="exact"/>
              <w:jc w:val="center"/>
              <w:rPr>
                <w:rFonts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51" w:type="dxa"/>
            <w:vAlign w:val="center"/>
          </w:tcPr>
          <w:p>
            <w:pPr>
              <w:snapToGrid w:val="0"/>
              <w:spacing w:line="382" w:lineRule="exact"/>
              <w:jc w:val="center"/>
              <w:rPr>
                <w:rFonts w:ascii="宋体" w:hAnsi="宋体"/>
                <w:szCs w:val="21"/>
              </w:rPr>
            </w:pPr>
          </w:p>
        </w:tc>
        <w:tc>
          <w:tcPr>
            <w:tcW w:w="4049" w:type="dxa"/>
            <w:vAlign w:val="center"/>
          </w:tcPr>
          <w:p>
            <w:pPr>
              <w:snapToGrid w:val="0"/>
              <w:spacing w:line="382" w:lineRule="exact"/>
              <w:jc w:val="center"/>
              <w:rPr>
                <w:rFonts w:ascii="宋体" w:hAnsi="宋体"/>
                <w:szCs w:val="21"/>
              </w:rPr>
            </w:pPr>
          </w:p>
        </w:tc>
        <w:tc>
          <w:tcPr>
            <w:tcW w:w="920" w:type="dxa"/>
            <w:vAlign w:val="center"/>
          </w:tcPr>
          <w:p>
            <w:pPr>
              <w:snapToGrid w:val="0"/>
              <w:spacing w:line="382" w:lineRule="exact"/>
              <w:jc w:val="center"/>
              <w:rPr>
                <w:rFonts w:ascii="宋体" w:hAnsi="宋体"/>
                <w:szCs w:val="21"/>
              </w:rPr>
            </w:pPr>
          </w:p>
        </w:tc>
        <w:tc>
          <w:tcPr>
            <w:tcW w:w="832" w:type="dxa"/>
            <w:vAlign w:val="center"/>
          </w:tcPr>
          <w:p>
            <w:pPr>
              <w:snapToGrid w:val="0"/>
              <w:spacing w:line="382" w:lineRule="exact"/>
              <w:jc w:val="center"/>
              <w:rPr>
                <w:rFonts w:ascii="宋体" w:hAnsi="宋体"/>
                <w:szCs w:val="21"/>
              </w:rPr>
            </w:pPr>
          </w:p>
        </w:tc>
        <w:tc>
          <w:tcPr>
            <w:tcW w:w="1080" w:type="dxa"/>
            <w:vAlign w:val="center"/>
          </w:tcPr>
          <w:p>
            <w:pPr>
              <w:snapToGrid w:val="0"/>
              <w:spacing w:line="382" w:lineRule="exact"/>
              <w:jc w:val="center"/>
              <w:rPr>
                <w:rFonts w:ascii="宋体" w:hAnsi="宋体"/>
                <w:szCs w:val="21"/>
              </w:rPr>
            </w:pPr>
          </w:p>
        </w:tc>
        <w:tc>
          <w:tcPr>
            <w:tcW w:w="1440" w:type="dxa"/>
            <w:vAlign w:val="center"/>
          </w:tcPr>
          <w:p>
            <w:pPr>
              <w:snapToGrid w:val="0"/>
              <w:spacing w:line="382" w:lineRule="exact"/>
              <w:jc w:val="center"/>
              <w:rPr>
                <w:rFonts w:ascii="宋体" w:hAnsi="宋体"/>
                <w:szCs w:val="21"/>
              </w:rPr>
            </w:pPr>
          </w:p>
        </w:tc>
      </w:tr>
    </w:tbl>
    <w:p>
      <w:pPr>
        <w:spacing w:line="382" w:lineRule="exact"/>
      </w:pPr>
      <w:r>
        <w:rPr>
          <w:rFonts w:hint="eastAsia"/>
        </w:rPr>
        <w:t xml:space="preserve">    </w:t>
      </w:r>
      <w:r>
        <w:rPr>
          <w:rFonts w:hint="eastAsia" w:ascii="宋体" w:hAnsi="宋体"/>
          <w:szCs w:val="21"/>
        </w:rPr>
        <w:t>2、</w:t>
      </w:r>
      <w:r>
        <w:rPr>
          <w:rFonts w:hint="eastAsia"/>
        </w:rPr>
        <w:t>合同合计金额包括货物价款，备件、专用工具、安装、调试、检验、技术培训及技术资料和包装、运输等全部费用。如磋商文件、响应文件对其另有规定的，从其规定。</w:t>
      </w:r>
    </w:p>
    <w:p>
      <w:pPr>
        <w:spacing w:line="382" w:lineRule="exact"/>
        <w:rPr>
          <w:rFonts w:ascii="宋体" w:hAnsi="宋体"/>
          <w:b/>
          <w:szCs w:val="21"/>
        </w:rPr>
      </w:pPr>
      <w:r>
        <w:rPr>
          <w:rFonts w:hint="eastAsia"/>
        </w:rPr>
        <w:t xml:space="preserve">    </w:t>
      </w:r>
      <w:r>
        <w:rPr>
          <w:rFonts w:hint="eastAsia" w:ascii="宋体" w:hAnsi="宋体"/>
          <w:b/>
          <w:szCs w:val="21"/>
        </w:rPr>
        <w:t>第二条　质量保证</w:t>
      </w:r>
    </w:p>
    <w:p>
      <w:pPr>
        <w:spacing w:line="382" w:lineRule="exact"/>
        <w:rPr>
          <w:rFonts w:ascii="宋体" w:hAnsi="宋体"/>
          <w:szCs w:val="21"/>
        </w:rPr>
      </w:pPr>
      <w:r>
        <w:rPr>
          <w:rFonts w:hint="eastAsia" w:ascii="宋体" w:hAnsi="宋体"/>
          <w:b/>
          <w:szCs w:val="21"/>
        </w:rPr>
        <w:t xml:space="preserve">    </w:t>
      </w:r>
      <w:r>
        <w:rPr>
          <w:rFonts w:hint="eastAsia" w:ascii="宋体" w:hAnsi="宋体"/>
          <w:szCs w:val="21"/>
        </w:rPr>
        <w:t>1、乙方所提供的货物型号、技术规格、技术参数等质量必须与磋商文件、响应文件和承诺相一致。乙方提供的节能和环保产品必须是列入品目清单的产品。</w:t>
      </w:r>
    </w:p>
    <w:p>
      <w:pPr>
        <w:spacing w:line="382" w:lineRule="exact"/>
        <w:rPr>
          <w:rFonts w:ascii="宋体" w:hAnsi="宋体"/>
          <w:szCs w:val="21"/>
        </w:rPr>
      </w:pPr>
      <w:r>
        <w:rPr>
          <w:rFonts w:hint="eastAsia" w:ascii="宋体" w:hAnsi="宋体"/>
          <w:szCs w:val="21"/>
        </w:rPr>
        <w:t xml:space="preserve">    2、乙方所提供的货物必须是全新、未经使用的原装产品，且在正常安装、使用和保养条件下，其使用寿命期内各项指标均达到质量要求。</w:t>
      </w:r>
    </w:p>
    <w:p>
      <w:pPr>
        <w:spacing w:line="382" w:lineRule="exact"/>
        <w:rPr>
          <w:rFonts w:ascii="宋体" w:hAnsi="宋体"/>
          <w:b/>
          <w:szCs w:val="21"/>
        </w:rPr>
      </w:pPr>
      <w:r>
        <w:rPr>
          <w:rFonts w:hint="eastAsia" w:ascii="宋体" w:hAnsi="宋体"/>
          <w:szCs w:val="21"/>
        </w:rPr>
        <w:t xml:space="preserve">    </w:t>
      </w:r>
      <w:r>
        <w:rPr>
          <w:rFonts w:hint="eastAsia" w:ascii="宋体" w:hAnsi="宋体"/>
          <w:b/>
          <w:szCs w:val="21"/>
        </w:rPr>
        <w:t>第三条　权力保证</w:t>
      </w:r>
    </w:p>
    <w:p>
      <w:pPr>
        <w:spacing w:line="382" w:lineRule="exact"/>
        <w:rPr>
          <w:rFonts w:ascii="宋体" w:hAnsi="宋体"/>
          <w:szCs w:val="21"/>
        </w:rPr>
      </w:pPr>
      <w:r>
        <w:rPr>
          <w:rFonts w:hint="eastAsia" w:ascii="宋体" w:hAnsi="宋体"/>
          <w:b/>
          <w:szCs w:val="21"/>
        </w:rPr>
        <w:t xml:space="preserve">    </w:t>
      </w:r>
      <w:r>
        <w:rPr>
          <w:rFonts w:hint="eastAsia" w:ascii="宋体" w:hAnsi="宋体"/>
          <w:szCs w:val="21"/>
        </w:rPr>
        <w:t>乙方应保证所提供货物在使用时不会侵犯任何第三方的专利权、商标权、工业设计权或其他权利。</w:t>
      </w:r>
    </w:p>
    <w:p>
      <w:pPr>
        <w:spacing w:line="382" w:lineRule="exact"/>
        <w:rPr>
          <w:rFonts w:ascii="宋体" w:hAnsi="宋体"/>
          <w:szCs w:val="21"/>
        </w:rPr>
      </w:pPr>
      <w:r>
        <w:rPr>
          <w:rFonts w:hint="eastAsia" w:ascii="宋体" w:hAnsi="宋体"/>
          <w:szCs w:val="21"/>
        </w:rPr>
        <w:t xml:space="preserve">    乙方应按磋商文件规定的时间或响应文件承诺的时间向甲方提供使用货物的有关技术资料。</w:t>
      </w:r>
    </w:p>
    <w:p>
      <w:pPr>
        <w:spacing w:line="382" w:lineRule="exact"/>
        <w:rPr>
          <w:rFonts w:ascii="宋体" w:hAnsi="宋体"/>
          <w:szCs w:val="21"/>
        </w:rPr>
      </w:pPr>
      <w:r>
        <w:rPr>
          <w:rFonts w:hint="eastAsia" w:ascii="宋体" w:hAnsi="宋体"/>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82" w:lineRule="exact"/>
        <w:rPr>
          <w:rFonts w:ascii="宋体" w:hAnsi="宋体"/>
          <w:szCs w:val="21"/>
        </w:rPr>
      </w:pPr>
      <w:r>
        <w:rPr>
          <w:rFonts w:hint="eastAsia" w:ascii="宋体" w:hAnsi="宋体"/>
          <w:szCs w:val="21"/>
        </w:rPr>
        <w:t xml:space="preserve">    乙方保证所交付的货物的所有权完全属于乙方且无任何抵押、质押、查封等产权瑕疵。</w:t>
      </w:r>
    </w:p>
    <w:p>
      <w:pPr>
        <w:spacing w:line="382" w:lineRule="exact"/>
        <w:rPr>
          <w:rFonts w:ascii="宋体" w:hAnsi="宋体"/>
          <w:b/>
          <w:szCs w:val="21"/>
        </w:rPr>
      </w:pPr>
      <w:r>
        <w:rPr>
          <w:rFonts w:hint="eastAsia" w:ascii="宋体" w:hAnsi="宋体"/>
          <w:szCs w:val="21"/>
        </w:rPr>
        <w:t xml:space="preserve">    </w:t>
      </w:r>
      <w:r>
        <w:rPr>
          <w:rFonts w:hint="eastAsia" w:ascii="宋体" w:hAnsi="宋体"/>
          <w:b/>
          <w:szCs w:val="21"/>
        </w:rPr>
        <w:t>第四条　包装和运输</w:t>
      </w:r>
    </w:p>
    <w:p>
      <w:pPr>
        <w:spacing w:line="382" w:lineRule="exact"/>
        <w:rPr>
          <w:rFonts w:ascii="宋体" w:hAnsi="宋体"/>
          <w:szCs w:val="21"/>
        </w:rPr>
      </w:pPr>
      <w:r>
        <w:rPr>
          <w:rFonts w:hint="eastAsia" w:ascii="宋体" w:hAnsi="宋体"/>
          <w:b/>
          <w:szCs w:val="21"/>
        </w:rPr>
        <w:t xml:space="preserve">    </w:t>
      </w:r>
      <w:r>
        <w:rPr>
          <w:rFonts w:hint="eastAsia" w:ascii="宋体" w:hAnsi="宋体"/>
          <w:szCs w:val="21"/>
        </w:rPr>
        <w:t>1、乙方提供的货物均应按磋商文件、响应文件要求的包装材料、包装标准、包装方式进行包装，每一包装单元内应附详细的装箱单和质量合格证。</w:t>
      </w:r>
    </w:p>
    <w:p>
      <w:pPr>
        <w:spacing w:line="382" w:lineRule="exact"/>
        <w:rPr>
          <w:rFonts w:ascii="宋体" w:hAnsi="宋体"/>
          <w:szCs w:val="21"/>
        </w:rPr>
      </w:pPr>
      <w:r>
        <w:rPr>
          <w:rFonts w:hint="eastAsia" w:ascii="宋体" w:hAnsi="宋体"/>
          <w:szCs w:val="21"/>
        </w:rPr>
        <w:t xml:space="preserve">    2、货物的运输方式：</w:t>
      </w:r>
      <w:r>
        <w:rPr>
          <w:rFonts w:hint="eastAsia" w:ascii="宋体" w:hAnsi="宋体"/>
          <w:szCs w:val="21"/>
          <w:u w:val="single"/>
        </w:rPr>
        <w:t xml:space="preserve">                                                </w:t>
      </w:r>
      <w:r>
        <w:rPr>
          <w:rFonts w:hint="eastAsia" w:ascii="宋体" w:hAnsi="宋体"/>
          <w:szCs w:val="21"/>
        </w:rPr>
        <w:t>。</w:t>
      </w:r>
    </w:p>
    <w:p>
      <w:pPr>
        <w:spacing w:line="382" w:lineRule="exact"/>
        <w:rPr>
          <w:rFonts w:ascii="宋体" w:hAnsi="宋体"/>
          <w:szCs w:val="21"/>
        </w:rPr>
      </w:pPr>
      <w:r>
        <w:rPr>
          <w:rFonts w:hint="eastAsia" w:ascii="宋体" w:hAnsi="宋体"/>
          <w:szCs w:val="21"/>
        </w:rPr>
        <w:t xml:space="preserve">    3、乙方负责货物运输，货物运输合理损耗及计算方法：</w:t>
      </w:r>
      <w:r>
        <w:rPr>
          <w:rFonts w:hint="eastAsia" w:ascii="宋体" w:hAnsi="宋体"/>
          <w:szCs w:val="21"/>
          <w:u w:val="single"/>
        </w:rPr>
        <w:t xml:space="preserve">                  </w:t>
      </w:r>
      <w:r>
        <w:rPr>
          <w:rFonts w:hint="eastAsia" w:ascii="宋体" w:hAnsi="宋体"/>
          <w:szCs w:val="21"/>
        </w:rPr>
        <w:t>。</w:t>
      </w:r>
    </w:p>
    <w:p>
      <w:pPr>
        <w:spacing w:line="382" w:lineRule="exact"/>
        <w:rPr>
          <w:rFonts w:ascii="宋体" w:hAnsi="宋体"/>
          <w:b/>
          <w:szCs w:val="21"/>
        </w:rPr>
      </w:pPr>
      <w:r>
        <w:rPr>
          <w:rFonts w:hint="eastAsia" w:ascii="宋体" w:hAnsi="宋体"/>
          <w:szCs w:val="21"/>
        </w:rPr>
        <w:t xml:space="preserve">    </w:t>
      </w:r>
      <w:r>
        <w:rPr>
          <w:rFonts w:hint="eastAsia" w:ascii="宋体" w:hAnsi="宋体"/>
          <w:b/>
          <w:szCs w:val="21"/>
        </w:rPr>
        <w:t>第五条　交付和验收</w:t>
      </w:r>
    </w:p>
    <w:p>
      <w:pPr>
        <w:spacing w:line="382" w:lineRule="exact"/>
        <w:rPr>
          <w:rFonts w:ascii="宋体" w:hAnsi="宋体"/>
          <w:szCs w:val="21"/>
        </w:rPr>
      </w:pPr>
      <w:r>
        <w:rPr>
          <w:rFonts w:hint="eastAsia" w:ascii="宋体" w:hAnsi="宋体"/>
          <w:b/>
          <w:szCs w:val="21"/>
        </w:rPr>
        <w:t xml:space="preserve">    </w:t>
      </w:r>
      <w:r>
        <w:rPr>
          <w:rFonts w:hint="eastAsia" w:ascii="宋体" w:hAnsi="宋体"/>
          <w:szCs w:val="21"/>
        </w:rPr>
        <w:t>1、交货时间：</w:t>
      </w:r>
      <w:r>
        <w:rPr>
          <w:rFonts w:hint="eastAsia" w:ascii="宋体" w:hAnsi="宋体"/>
          <w:szCs w:val="21"/>
          <w:u w:val="single"/>
        </w:rPr>
        <w:t xml:space="preserve">   按乙方响应文件中所承诺的时间   </w:t>
      </w:r>
      <w:r>
        <w:rPr>
          <w:rFonts w:hint="eastAsia" w:ascii="宋体" w:hAnsi="宋体"/>
          <w:szCs w:val="21"/>
        </w:rPr>
        <w:t>、地点：</w:t>
      </w:r>
      <w:r>
        <w:rPr>
          <w:rFonts w:hint="eastAsia" w:ascii="宋体" w:hAnsi="宋体"/>
          <w:szCs w:val="21"/>
          <w:u w:val="single"/>
        </w:rPr>
        <w:t xml:space="preserve">   采购人指定地点   </w:t>
      </w:r>
      <w:r>
        <w:rPr>
          <w:rFonts w:hint="eastAsia" w:ascii="宋体" w:hAnsi="宋体"/>
          <w:szCs w:val="21"/>
        </w:rPr>
        <w:t>。</w:t>
      </w:r>
    </w:p>
    <w:p>
      <w:pPr>
        <w:spacing w:line="382" w:lineRule="exact"/>
        <w:rPr>
          <w:rFonts w:ascii="宋体" w:hAnsi="宋体"/>
          <w:szCs w:val="21"/>
        </w:rPr>
      </w:pPr>
      <w:r>
        <w:rPr>
          <w:rFonts w:hint="eastAsia" w:ascii="宋体" w:hAnsi="宋体"/>
          <w:szCs w:val="21"/>
        </w:rPr>
        <w:t xml:space="preserve">    2、乙方提供不符合磋商文件、响应文件和本合同规定的货物，甲方有权拒绝接受。</w:t>
      </w:r>
    </w:p>
    <w:p>
      <w:pPr>
        <w:spacing w:line="382" w:lineRule="exact"/>
        <w:rPr>
          <w:rFonts w:ascii="宋体" w:hAnsi="宋体"/>
          <w:szCs w:val="21"/>
        </w:rPr>
      </w:pPr>
      <w:r>
        <w:rPr>
          <w:rFonts w:hint="eastAsia" w:ascii="宋体" w:hAnsi="宋体"/>
          <w:szCs w:val="21"/>
        </w:rPr>
        <w:t xml:space="preserve">    3、乙方应将所提供货物的装箱清单、用户手册、原厂保修卡、随机资料、工具和备品、备件等交付给甲方，如有缺失应及时补齐，否则视为逾期交货。</w:t>
      </w:r>
    </w:p>
    <w:p>
      <w:pPr>
        <w:spacing w:line="382" w:lineRule="exact"/>
        <w:rPr>
          <w:rFonts w:ascii="宋体" w:hAnsi="宋体"/>
          <w:szCs w:val="21"/>
        </w:rPr>
      </w:pPr>
      <w:r>
        <w:rPr>
          <w:rFonts w:hint="eastAsia" w:ascii="宋体" w:hAnsi="宋体"/>
          <w:szCs w:val="21"/>
        </w:rPr>
        <w:t xml:space="preserve">    4、甲方应当在到货（安装、调试完）后七个工作日内进行验收，逾期不验收的，乙方可视同验收合格。验收合格后由甲乙双方签署货物验收单并加盖采购人公章，甲乙双方各执一份。</w:t>
      </w:r>
    </w:p>
    <w:p>
      <w:pPr>
        <w:spacing w:line="382" w:lineRule="exact"/>
        <w:rPr>
          <w:rFonts w:ascii="宋体" w:hAnsi="宋体"/>
          <w:szCs w:val="21"/>
        </w:rPr>
      </w:pPr>
      <w:r>
        <w:rPr>
          <w:rFonts w:hint="eastAsia" w:ascii="宋体" w:hAnsi="宋体"/>
          <w:szCs w:val="21"/>
        </w:rPr>
        <w:t xml:space="preserve">    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line="382" w:lineRule="exact"/>
        <w:rPr>
          <w:rFonts w:ascii="宋体" w:hAnsi="宋体"/>
          <w:szCs w:val="21"/>
        </w:rPr>
      </w:pPr>
      <w:r>
        <w:rPr>
          <w:rFonts w:hint="eastAsia" w:ascii="宋体" w:hAnsi="宋体"/>
          <w:szCs w:val="21"/>
        </w:rPr>
        <w:t xml:space="preserve">    6、甲方对验收有异议的，在验收后五个工作日内以书面形式向乙方提出，乙方应自收到甲方书面异议后</w:t>
      </w:r>
      <w:r>
        <w:rPr>
          <w:rFonts w:hint="eastAsia" w:ascii="宋体" w:hAnsi="宋体"/>
          <w:szCs w:val="21"/>
          <w:u w:val="single"/>
        </w:rPr>
        <w:t xml:space="preserve">     </w:t>
      </w:r>
      <w:r>
        <w:rPr>
          <w:rFonts w:hint="eastAsia" w:ascii="宋体" w:hAnsi="宋体"/>
          <w:szCs w:val="21"/>
        </w:rPr>
        <w:t>日内及时予以解决。</w:t>
      </w:r>
    </w:p>
    <w:p>
      <w:pPr>
        <w:spacing w:line="382" w:lineRule="exact"/>
        <w:rPr>
          <w:rFonts w:ascii="宋体" w:hAnsi="宋体"/>
          <w:b/>
          <w:szCs w:val="21"/>
        </w:rPr>
      </w:pPr>
      <w:r>
        <w:rPr>
          <w:rFonts w:hint="eastAsia" w:ascii="宋体" w:hAnsi="宋体"/>
          <w:szCs w:val="21"/>
        </w:rPr>
        <w:t xml:space="preserve">    </w:t>
      </w:r>
      <w:r>
        <w:rPr>
          <w:rFonts w:hint="eastAsia" w:ascii="宋体" w:hAnsi="宋体"/>
          <w:b/>
          <w:szCs w:val="21"/>
        </w:rPr>
        <w:t>第六条　安装和培训</w:t>
      </w:r>
    </w:p>
    <w:p>
      <w:pPr>
        <w:spacing w:line="382" w:lineRule="exact"/>
        <w:rPr>
          <w:rFonts w:ascii="宋体" w:hAnsi="宋体"/>
          <w:szCs w:val="21"/>
        </w:rPr>
      </w:pPr>
      <w:r>
        <w:rPr>
          <w:rFonts w:hint="eastAsia" w:ascii="宋体" w:hAnsi="宋体"/>
          <w:b/>
          <w:szCs w:val="21"/>
        </w:rPr>
        <w:t xml:space="preserve">    </w:t>
      </w:r>
      <w:r>
        <w:rPr>
          <w:rFonts w:hint="eastAsia" w:ascii="宋体" w:hAnsi="宋体"/>
          <w:szCs w:val="21"/>
        </w:rPr>
        <w:t>1、甲方应提供必要安装条件（如场地、电源、水源等）。</w:t>
      </w:r>
    </w:p>
    <w:p>
      <w:pPr>
        <w:spacing w:line="382" w:lineRule="exact"/>
        <w:rPr>
          <w:rFonts w:ascii="宋体" w:hAnsi="宋体"/>
          <w:szCs w:val="21"/>
        </w:rPr>
      </w:pPr>
      <w:r>
        <w:rPr>
          <w:rFonts w:hint="eastAsia" w:ascii="宋体" w:hAnsi="宋体"/>
          <w:szCs w:val="21"/>
        </w:rPr>
        <w:t xml:space="preserve">    2、乙方负责甲方有关人员的培训。培训时间、地点：</w:t>
      </w:r>
      <w:r>
        <w:rPr>
          <w:rFonts w:hint="eastAsia" w:ascii="宋体" w:hAnsi="宋体"/>
          <w:szCs w:val="21"/>
          <w:u w:val="single"/>
        </w:rPr>
        <w:t xml:space="preserve">   由甲方根据情况合理安排  </w:t>
      </w:r>
      <w:r>
        <w:rPr>
          <w:rFonts w:hint="eastAsia" w:ascii="宋体" w:hAnsi="宋体"/>
          <w:szCs w:val="21"/>
        </w:rPr>
        <w:t>。</w:t>
      </w:r>
    </w:p>
    <w:p>
      <w:pPr>
        <w:spacing w:line="382" w:lineRule="exact"/>
        <w:rPr>
          <w:rFonts w:ascii="宋体" w:hAnsi="宋体"/>
          <w:b/>
          <w:szCs w:val="21"/>
        </w:rPr>
      </w:pPr>
      <w:r>
        <w:rPr>
          <w:rFonts w:hint="eastAsia" w:ascii="宋体" w:hAnsi="宋体"/>
          <w:szCs w:val="21"/>
        </w:rPr>
        <w:t xml:space="preserve">    </w:t>
      </w:r>
      <w:r>
        <w:rPr>
          <w:rFonts w:hint="eastAsia" w:ascii="宋体" w:hAnsi="宋体"/>
          <w:b/>
          <w:szCs w:val="21"/>
        </w:rPr>
        <w:t>第七条  售后服务、保修期</w:t>
      </w:r>
    </w:p>
    <w:p>
      <w:pPr>
        <w:spacing w:line="382" w:lineRule="exact"/>
        <w:rPr>
          <w:rFonts w:ascii="宋体" w:hAnsi="宋体"/>
          <w:szCs w:val="21"/>
        </w:rPr>
      </w:pPr>
      <w:r>
        <w:rPr>
          <w:rFonts w:hint="eastAsia" w:ascii="宋体" w:hAnsi="宋体"/>
          <w:b/>
          <w:szCs w:val="21"/>
        </w:rPr>
        <w:t xml:space="preserve">    </w:t>
      </w:r>
      <w:r>
        <w:rPr>
          <w:rFonts w:hint="eastAsia" w:ascii="宋体" w:hAnsi="宋体"/>
          <w:szCs w:val="21"/>
        </w:rPr>
        <w:t>1、乙方应按照国家有关法律法规和“三包”规定以及磋商文件、响应文件和本合同所附的《服务承诺》，为甲方提供售后服务。</w:t>
      </w:r>
    </w:p>
    <w:p>
      <w:pPr>
        <w:spacing w:line="382" w:lineRule="exact"/>
        <w:rPr>
          <w:rFonts w:ascii="宋体" w:hAnsi="宋体"/>
          <w:szCs w:val="21"/>
        </w:rPr>
      </w:pPr>
      <w:r>
        <w:rPr>
          <w:rFonts w:hint="eastAsia" w:ascii="宋体" w:hAnsi="宋体"/>
          <w:szCs w:val="21"/>
        </w:rPr>
        <w:t xml:space="preserve">    2、货物保修期：</w:t>
      </w:r>
      <w:r>
        <w:rPr>
          <w:rFonts w:hint="eastAsia" w:ascii="宋体" w:hAnsi="宋体"/>
          <w:szCs w:val="21"/>
          <w:u w:val="single"/>
        </w:rPr>
        <w:t xml:space="preserve">      按响应文件的承诺      </w:t>
      </w:r>
      <w:r>
        <w:rPr>
          <w:rFonts w:hint="eastAsia" w:ascii="宋体" w:hAnsi="宋体"/>
          <w:szCs w:val="21"/>
        </w:rPr>
        <w:t>。</w:t>
      </w:r>
    </w:p>
    <w:p>
      <w:pPr>
        <w:spacing w:line="382" w:lineRule="exact"/>
        <w:rPr>
          <w:rFonts w:ascii="宋体" w:hAnsi="宋体"/>
          <w:szCs w:val="21"/>
        </w:rPr>
      </w:pPr>
      <w:r>
        <w:rPr>
          <w:rFonts w:hint="eastAsia" w:ascii="宋体" w:hAnsi="宋体"/>
          <w:szCs w:val="21"/>
        </w:rPr>
        <w:t xml:space="preserve">    3、乙方提供的服务承诺和售后服务及保修期责任等其它具体约定事项。（见合同附件）</w:t>
      </w:r>
    </w:p>
    <w:p>
      <w:pPr>
        <w:spacing w:line="382" w:lineRule="exact"/>
        <w:rPr>
          <w:rFonts w:ascii="宋体" w:hAnsi="宋体"/>
          <w:b/>
          <w:szCs w:val="21"/>
        </w:rPr>
      </w:pPr>
      <w:r>
        <w:rPr>
          <w:rFonts w:hint="eastAsia" w:ascii="宋体" w:hAnsi="宋体"/>
          <w:szCs w:val="21"/>
        </w:rPr>
        <w:t xml:space="preserve">    </w:t>
      </w:r>
      <w:r>
        <w:rPr>
          <w:rFonts w:hint="eastAsia" w:ascii="宋体" w:hAnsi="宋体"/>
          <w:b/>
          <w:szCs w:val="21"/>
        </w:rPr>
        <w:t>第八条　付款方式和保证金</w:t>
      </w:r>
    </w:p>
    <w:p>
      <w:pPr>
        <w:spacing w:line="382" w:lineRule="exact"/>
      </w:pPr>
      <w:r>
        <w:rPr>
          <w:rFonts w:hint="eastAsia" w:ascii="宋体" w:hAnsi="宋体"/>
          <w:b/>
          <w:szCs w:val="21"/>
        </w:rPr>
        <w:t xml:space="preserve">    </w:t>
      </w:r>
      <w:r>
        <w:rPr>
          <w:rFonts w:hint="eastAsia"/>
        </w:rPr>
        <w:t>1、当采购数量与实际使用数量不一致时，乙方应根据实际使用量供货，合同的最终结算金额按实</w:t>
      </w:r>
    </w:p>
    <w:p>
      <w:pPr>
        <w:spacing w:line="382" w:lineRule="exact"/>
      </w:pPr>
      <w:r>
        <w:rPr>
          <w:rFonts w:hint="eastAsia"/>
        </w:rPr>
        <w:t>际使用量乘以成交单价进行计算。</w:t>
      </w:r>
    </w:p>
    <w:p>
      <w:pPr>
        <w:spacing w:line="382" w:lineRule="exact"/>
      </w:pPr>
      <w:r>
        <w:rPr>
          <w:rFonts w:hint="eastAsia"/>
        </w:rPr>
        <w:t xml:space="preserve">    2、资金性质：</w:t>
      </w:r>
      <w:r>
        <w:rPr>
          <w:rFonts w:hint="eastAsia"/>
          <w:u w:val="single"/>
        </w:rPr>
        <w:t xml:space="preserve">  财政资金    </w:t>
      </w:r>
      <w:r>
        <w:rPr>
          <w:rFonts w:hint="eastAsia"/>
        </w:rPr>
        <w:t>。</w:t>
      </w:r>
    </w:p>
    <w:p>
      <w:pPr>
        <w:spacing w:line="382" w:lineRule="exact"/>
        <w:ind w:firstLine="420"/>
      </w:pPr>
      <w:r>
        <w:rPr>
          <w:rFonts w:hint="eastAsia"/>
        </w:rPr>
        <w:t>3、付款方式：</w:t>
      </w:r>
      <w:r>
        <w:rPr>
          <w:rFonts w:hint="eastAsia"/>
          <w:lang w:val="zh-CN"/>
        </w:rPr>
        <w:t>自签订合同之日起10个工作日内甲方应向乙方支付本项目合同款费用的</w:t>
      </w:r>
      <w:r>
        <w:rPr>
          <w:rFonts w:hint="eastAsia"/>
        </w:rPr>
        <w:t>3</w:t>
      </w:r>
      <w:r>
        <w:rPr>
          <w:rFonts w:hint="eastAsia"/>
          <w:lang w:val="zh-CN"/>
        </w:rPr>
        <w:t>0%；项目验收合格通过后</w:t>
      </w:r>
      <w:r>
        <w:rPr>
          <w:rFonts w:hint="eastAsia"/>
        </w:rPr>
        <w:t>90</w:t>
      </w:r>
      <w:r>
        <w:rPr>
          <w:rFonts w:hint="eastAsia"/>
          <w:lang w:val="zh-CN"/>
        </w:rPr>
        <w:t>个工作日内甲方应向乙方支付至本项目</w:t>
      </w:r>
      <w:r>
        <w:rPr>
          <w:rFonts w:hint="eastAsia"/>
        </w:rPr>
        <w:t>95%</w:t>
      </w:r>
      <w:r>
        <w:rPr>
          <w:rFonts w:hint="eastAsia"/>
          <w:lang w:val="zh-CN"/>
        </w:rPr>
        <w:t>合同款；剩余</w:t>
      </w:r>
      <w:r>
        <w:rPr>
          <w:rFonts w:hint="eastAsia"/>
        </w:rPr>
        <w:t>5</w:t>
      </w:r>
      <w:r>
        <w:rPr>
          <w:rFonts w:hint="eastAsia"/>
          <w:lang w:val="zh-CN"/>
        </w:rPr>
        <w:t>%合同款作为质量保证金，系统运行质保期满后30个工作日内退还。</w:t>
      </w:r>
    </w:p>
    <w:p>
      <w:pPr>
        <w:spacing w:line="382" w:lineRule="exact"/>
        <w:ind w:firstLine="420"/>
        <w:rPr>
          <w:rFonts w:ascii="宋体" w:hAnsi="宋体"/>
          <w:b/>
          <w:szCs w:val="21"/>
        </w:rPr>
      </w:pPr>
      <w:r>
        <w:rPr>
          <w:rFonts w:hint="eastAsia" w:ascii="宋体" w:hAnsi="宋体"/>
          <w:b/>
          <w:szCs w:val="21"/>
        </w:rPr>
        <w:t xml:space="preserve">第九条  </w:t>
      </w:r>
      <w:r>
        <w:rPr>
          <w:rFonts w:hint="eastAsia"/>
          <w:b/>
        </w:rPr>
        <w:t>履约</w:t>
      </w:r>
      <w:r>
        <w:rPr>
          <w:rFonts w:hint="eastAsia" w:ascii="宋体" w:hAnsi="宋体"/>
          <w:b/>
          <w:szCs w:val="21"/>
        </w:rPr>
        <w:t>保证金</w:t>
      </w:r>
    </w:p>
    <w:p>
      <w:pPr>
        <w:spacing w:line="382" w:lineRule="exact"/>
      </w:pPr>
      <w:r>
        <w:rPr>
          <w:rFonts w:hint="eastAsia" w:ascii="宋体" w:hAnsi="宋体"/>
          <w:szCs w:val="21"/>
        </w:rPr>
        <w:t xml:space="preserve">    不需要</w:t>
      </w:r>
      <w:r>
        <w:rPr>
          <w:rFonts w:hint="eastAsia"/>
        </w:rPr>
        <w:t>。</w:t>
      </w:r>
    </w:p>
    <w:p>
      <w:pPr>
        <w:spacing w:line="382" w:lineRule="exact"/>
        <w:rPr>
          <w:rFonts w:ascii="宋体" w:hAnsi="宋体"/>
          <w:b/>
          <w:szCs w:val="21"/>
        </w:rPr>
      </w:pPr>
      <w:r>
        <w:rPr>
          <w:rFonts w:hint="eastAsia"/>
        </w:rPr>
        <w:t xml:space="preserve">    </w:t>
      </w:r>
      <w:r>
        <w:rPr>
          <w:rFonts w:hint="eastAsia" w:ascii="宋体" w:hAnsi="宋体"/>
          <w:b/>
          <w:szCs w:val="21"/>
        </w:rPr>
        <w:t>第十条  税费</w:t>
      </w:r>
    </w:p>
    <w:p>
      <w:pPr>
        <w:spacing w:line="382" w:lineRule="exact"/>
        <w:rPr>
          <w:rFonts w:ascii="宋体" w:hAnsi="宋体"/>
          <w:szCs w:val="21"/>
        </w:rPr>
      </w:pPr>
      <w:r>
        <w:rPr>
          <w:rFonts w:hint="eastAsia" w:ascii="宋体" w:hAnsi="宋体"/>
          <w:b/>
          <w:szCs w:val="21"/>
        </w:rPr>
        <w:t xml:space="preserve">    </w:t>
      </w:r>
      <w:r>
        <w:rPr>
          <w:rFonts w:hint="eastAsia" w:ascii="宋体" w:hAnsi="宋体"/>
          <w:szCs w:val="21"/>
        </w:rPr>
        <w:t>本合同执行中相关的一切税费均由乙方负担。</w:t>
      </w:r>
    </w:p>
    <w:p>
      <w:pPr>
        <w:spacing w:line="382" w:lineRule="exact"/>
        <w:rPr>
          <w:rFonts w:ascii="宋体" w:hAnsi="宋体"/>
          <w:b/>
          <w:szCs w:val="21"/>
        </w:rPr>
      </w:pPr>
      <w:r>
        <w:rPr>
          <w:rFonts w:hint="eastAsia" w:ascii="宋体" w:hAnsi="宋体"/>
          <w:szCs w:val="21"/>
        </w:rPr>
        <w:t xml:space="preserve">    </w:t>
      </w:r>
      <w:r>
        <w:rPr>
          <w:rFonts w:hint="eastAsia" w:ascii="宋体" w:hAnsi="宋体"/>
          <w:b/>
          <w:szCs w:val="21"/>
        </w:rPr>
        <w:t>第十一条  质量保证及售后服务</w:t>
      </w:r>
    </w:p>
    <w:p>
      <w:pPr>
        <w:spacing w:line="382" w:lineRule="exact"/>
      </w:pPr>
      <w:r>
        <w:rPr>
          <w:rFonts w:hint="eastAsia" w:ascii="宋体"/>
          <w:b/>
          <w:szCs w:val="21"/>
        </w:rPr>
        <w:t xml:space="preserve">    </w:t>
      </w:r>
      <w:r>
        <w:rPr>
          <w:rFonts w:hint="eastAsia" w:ascii="宋体"/>
          <w:szCs w:val="21"/>
        </w:rPr>
        <w:t>1、乙方应按磋商文件规定及响应文件承诺的货物性能、技术要求、质量标准向甲方提供未经使用的全新产品。</w:t>
      </w:r>
      <w:r>
        <w:rPr>
          <w:rFonts w:hint="eastAsia"/>
        </w:rPr>
        <w:t>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pPr>
        <w:spacing w:line="382" w:lineRule="exact"/>
      </w:pPr>
      <w:r>
        <w:rPr>
          <w:rFonts w:hint="eastAsia"/>
        </w:rPr>
        <w:t xml:space="preserve">    （1）更换：由乙方承担所发生的全部费用。</w:t>
      </w:r>
    </w:p>
    <w:p>
      <w:pPr>
        <w:spacing w:line="382" w:lineRule="exact"/>
      </w:pPr>
      <w:r>
        <w:rPr>
          <w:rFonts w:hint="eastAsia"/>
        </w:rPr>
        <w:t xml:space="preserve">    （2）贬值处理：由甲乙双方合议定价。</w:t>
      </w:r>
    </w:p>
    <w:p>
      <w:pPr>
        <w:spacing w:line="382" w:lineRule="exact"/>
      </w:pPr>
      <w:r>
        <w:rPr>
          <w:rFonts w:hint="eastAsia"/>
        </w:rPr>
        <w:t xml:space="preserve">    （3）退货处理：乙方应退还甲方支付的合同款，同时应承担该货物的直接费用（运输、保险、检验、</w:t>
      </w:r>
    </w:p>
    <w:p>
      <w:pPr>
        <w:spacing w:line="382" w:lineRule="exact"/>
      </w:pPr>
      <w:r>
        <w:rPr>
          <w:rFonts w:hint="eastAsia"/>
        </w:rPr>
        <w:t>货款利息及银行手续费等）。</w:t>
      </w:r>
    </w:p>
    <w:p>
      <w:pPr>
        <w:spacing w:line="382" w:lineRule="exact"/>
      </w:pPr>
      <w:r>
        <w:rPr>
          <w:rFonts w:hint="eastAsia"/>
        </w:rPr>
        <w:t xml:space="preserve">    2、如在使用过程中发生质量问题，乙方在接到甲方通知后在</w:t>
      </w:r>
      <w:r>
        <w:rPr>
          <w:rFonts w:hint="eastAsia"/>
          <w:u w:val="single"/>
        </w:rPr>
        <w:t xml:space="preserve">   1  </w:t>
      </w:r>
      <w:r>
        <w:rPr>
          <w:rFonts w:hint="eastAsia"/>
        </w:rPr>
        <w:t>小时内到达甲方现场。</w:t>
      </w:r>
    </w:p>
    <w:p>
      <w:pPr>
        <w:spacing w:line="382" w:lineRule="exact"/>
      </w:pPr>
      <w:r>
        <w:rPr>
          <w:rFonts w:hint="eastAsia"/>
        </w:rPr>
        <w:t xml:space="preserve">    3、在质保期内，乙方应对货物出现的质量及安全问题负责处理解决并承担一切费用。</w:t>
      </w:r>
    </w:p>
    <w:p>
      <w:pPr>
        <w:spacing w:line="382" w:lineRule="exact"/>
      </w:pPr>
      <w:r>
        <w:rPr>
          <w:rFonts w:hint="eastAsia"/>
        </w:rPr>
        <w:t xml:space="preserve">    4、上述的货物免费保修期为</w:t>
      </w:r>
      <w:r>
        <w:rPr>
          <w:rFonts w:hint="eastAsia"/>
          <w:u w:val="single"/>
        </w:rPr>
        <w:t xml:space="preserve">   </w:t>
      </w:r>
      <w:r>
        <w:rPr>
          <w:u w:val="single"/>
        </w:rPr>
        <w:pict>
          <v:shape id="_x0000_i1025" o:spt="75" type="#_x0000_t75" style="height:0.7pt;width:0.7pt;" filled="f" o:preferrelative="t" stroked="f" coordsize="21600,21600">
            <v:path/>
            <v:fill on="f" focussize="0,0"/>
            <v:stroke on="f" joinstyle="miter"/>
            <v:imagedata o:title=""/>
            <o:lock v:ext="edit" aspectratio="t"/>
            <w10:wrap type="none"/>
            <w10:anchorlock/>
          </v:shape>
        </w:pict>
      </w:r>
      <w:r>
        <w:rPr>
          <w:rFonts w:hint="eastAsia"/>
          <w:u w:val="single"/>
        </w:rPr>
        <w:t xml:space="preserve">   </w:t>
      </w:r>
      <w:r>
        <w:rPr>
          <w:rFonts w:hint="eastAsia"/>
        </w:rPr>
        <w:t>年，因人为因素出现的故障不在免费保修范围内。超过保修期的机器设备，终生维修，维修时只收部件成本费。</w:t>
      </w:r>
    </w:p>
    <w:p>
      <w:pPr>
        <w:spacing w:line="382" w:lineRule="exact"/>
        <w:rPr>
          <w:rFonts w:hAnsi="宋体"/>
          <w:b/>
        </w:rPr>
      </w:pPr>
      <w:r>
        <w:rPr>
          <w:rFonts w:hint="eastAsia"/>
        </w:rPr>
        <w:t xml:space="preserve">    </w:t>
      </w:r>
      <w:r>
        <w:rPr>
          <w:rFonts w:hint="eastAsia" w:hAnsi="宋体"/>
          <w:b/>
        </w:rPr>
        <w:t>第十二条  调试和验收</w:t>
      </w:r>
    </w:p>
    <w:p>
      <w:pPr>
        <w:spacing w:line="382" w:lineRule="exact"/>
        <w:rPr>
          <w:rFonts w:hAnsi="宋体"/>
        </w:rPr>
      </w:pPr>
      <w:r>
        <w:rPr>
          <w:rFonts w:hint="eastAsia" w:hAnsi="宋体"/>
          <w:b/>
        </w:rPr>
        <w:t xml:space="preserve">   </w:t>
      </w:r>
      <w:r>
        <w:rPr>
          <w:rFonts w:hint="eastAsia" w:hAnsi="宋体"/>
        </w:rPr>
        <w:t xml:space="preserve"> 1、甲方对乙方提交的货物依据磋商文件上的技术规格要求和国家有关质量标准进行现场初步验收，外观、说明书符合磋商文件技术要求的，给予签收，初步验收不合格的不予签收。货到后，</w:t>
      </w:r>
      <w:r>
        <w:rPr>
          <w:rFonts w:hint="eastAsia" w:hAnsi="宋体"/>
          <w:bCs/>
        </w:rPr>
        <w:t>甲方应当在到货（安装、调试完）后七个工作日内进行验收</w:t>
      </w:r>
      <w:r>
        <w:rPr>
          <w:rFonts w:hint="eastAsia" w:hAnsi="宋体"/>
        </w:rPr>
        <w:t>。</w:t>
      </w:r>
    </w:p>
    <w:p>
      <w:pPr>
        <w:spacing w:line="382" w:lineRule="exact"/>
        <w:rPr>
          <w:rFonts w:hAnsi="宋体"/>
        </w:rPr>
      </w:pPr>
      <w:r>
        <w:rPr>
          <w:rFonts w:hint="eastAsia" w:hAnsi="宋体"/>
        </w:rPr>
        <w:t xml:space="preserve">    2、乙方交货前应对产品作出全面检查和对验收文件进行整理，并列出清单，作为甲方收货验收和使用的技术条件依据，检验的结果应随货物交甲方。</w:t>
      </w:r>
    </w:p>
    <w:p>
      <w:pPr>
        <w:spacing w:line="382" w:lineRule="exact"/>
        <w:rPr>
          <w:rFonts w:hAnsi="宋体"/>
        </w:rPr>
      </w:pPr>
      <w:r>
        <w:rPr>
          <w:rFonts w:hint="eastAsia" w:hAnsi="宋体"/>
        </w:rPr>
        <w:t xml:space="preserve">    3、甲方对乙方提供的货物在使用前进行调试时，乙方需负责安装并培训甲方的使用操作人员，并协助甲方一起调试，直到符合技术要求，甲方才做最终验收。</w:t>
      </w:r>
    </w:p>
    <w:p>
      <w:pPr>
        <w:spacing w:line="382" w:lineRule="exact"/>
        <w:rPr>
          <w:rFonts w:hAnsi="宋体"/>
        </w:rPr>
      </w:pPr>
      <w:r>
        <w:rPr>
          <w:rFonts w:hint="eastAsia" w:hAnsi="宋体"/>
        </w:rPr>
        <w:t xml:space="preserve">    4、对技术复杂的货物，甲方应请国家认可的专业检测机构参与初步验收及最终验收，并由其出具质量检测报告。</w:t>
      </w:r>
    </w:p>
    <w:p>
      <w:pPr>
        <w:spacing w:line="382" w:lineRule="exact"/>
        <w:rPr>
          <w:rFonts w:hAnsi="宋体"/>
        </w:rPr>
      </w:pPr>
      <w:r>
        <w:rPr>
          <w:rFonts w:hint="eastAsia" w:hAnsi="宋体"/>
        </w:rPr>
        <w:t xml:space="preserve">    5、验收时乙方必须在现场，验收完毕后作出验收结果报告；验收费用由乙方负责。</w:t>
      </w:r>
    </w:p>
    <w:p>
      <w:pPr>
        <w:spacing w:line="382" w:lineRule="exact"/>
        <w:rPr>
          <w:rFonts w:hAnsi="宋体"/>
          <w:b/>
        </w:rPr>
      </w:pPr>
      <w:r>
        <w:rPr>
          <w:rFonts w:hint="eastAsia" w:hAnsi="宋体"/>
        </w:rPr>
        <w:t xml:space="preserve">    </w:t>
      </w:r>
      <w:r>
        <w:rPr>
          <w:rFonts w:hint="eastAsia" w:hAnsi="宋体"/>
          <w:b/>
        </w:rPr>
        <w:t>第十三条  货物包装、发运及运输</w:t>
      </w:r>
    </w:p>
    <w:p>
      <w:pPr>
        <w:spacing w:line="382" w:lineRule="exact"/>
      </w:pPr>
      <w:r>
        <w:rPr>
          <w:rFonts w:hint="eastAsia"/>
          <w:b/>
        </w:rPr>
        <w:t xml:space="preserve"> </w:t>
      </w:r>
      <w:r>
        <w:rPr>
          <w:rFonts w:hint="eastAsia"/>
        </w:rPr>
        <w:t xml:space="preserve">   1、乙方应在货物发运前对其进行满足运输距离、防潮、防震、防锈和防破损装卸等要求包装，以</w:t>
      </w:r>
    </w:p>
    <w:p>
      <w:pPr>
        <w:spacing w:line="382" w:lineRule="exact"/>
      </w:pPr>
      <w:r>
        <w:rPr>
          <w:rFonts w:hint="eastAsia"/>
        </w:rPr>
        <w:t>保证货物安全运达甲方指定地点。</w:t>
      </w:r>
    </w:p>
    <w:p>
      <w:pPr>
        <w:spacing w:line="382" w:lineRule="exact"/>
      </w:pPr>
      <w:r>
        <w:rPr>
          <w:rFonts w:hint="eastAsia"/>
        </w:rPr>
        <w:t xml:space="preserve">    2、使用说明书、质量检验证明书、随配附件和工具以及清单一并附于货物内。</w:t>
      </w:r>
    </w:p>
    <w:p>
      <w:pPr>
        <w:spacing w:line="382" w:lineRule="exact"/>
      </w:pPr>
      <w:r>
        <w:rPr>
          <w:rFonts w:hint="eastAsia"/>
        </w:rPr>
        <w:t xml:space="preserve">    3、乙方在货物发运手续办理完毕后二十四小时内或货到甲方四十八小时前通知甲方，以准备接货。</w:t>
      </w:r>
    </w:p>
    <w:p>
      <w:pPr>
        <w:spacing w:line="382" w:lineRule="exact"/>
      </w:pPr>
      <w:r>
        <w:rPr>
          <w:rFonts w:hint="eastAsia"/>
        </w:rPr>
        <w:t xml:space="preserve">    4、货物在交付甲方前发生的风险均由乙方负责。</w:t>
      </w:r>
    </w:p>
    <w:p>
      <w:pPr>
        <w:spacing w:line="382" w:lineRule="exact"/>
      </w:pPr>
      <w:r>
        <w:rPr>
          <w:rFonts w:hint="eastAsia"/>
        </w:rPr>
        <w:t xml:space="preserve">    5、货物在规定的交付期限内由乙方送达甲方指定的地点视为交付，乙方同时需通知甲方货物已送达。</w:t>
      </w:r>
    </w:p>
    <w:p>
      <w:pPr>
        <w:spacing w:line="382" w:lineRule="exact"/>
        <w:rPr>
          <w:rFonts w:ascii="宋体" w:hAnsi="宋体"/>
          <w:b/>
          <w:szCs w:val="21"/>
        </w:rPr>
      </w:pPr>
      <w:r>
        <w:rPr>
          <w:rFonts w:hint="eastAsia"/>
        </w:rPr>
        <w:t xml:space="preserve">    </w:t>
      </w:r>
      <w:r>
        <w:rPr>
          <w:rFonts w:hint="eastAsia" w:ascii="宋体" w:hAnsi="宋体"/>
          <w:b/>
          <w:szCs w:val="21"/>
        </w:rPr>
        <w:t>第十四条　 违约责任</w:t>
      </w:r>
    </w:p>
    <w:p>
      <w:pPr>
        <w:spacing w:line="382" w:lineRule="exact"/>
        <w:rPr>
          <w:rFonts w:ascii="宋体" w:hAnsi="宋体"/>
          <w:szCs w:val="21"/>
        </w:rPr>
      </w:pPr>
      <w:r>
        <w:rPr>
          <w:rFonts w:hint="eastAsia" w:ascii="宋体" w:hAnsi="宋体"/>
          <w:b/>
          <w:szCs w:val="21"/>
        </w:rPr>
        <w:t xml:space="preserve">    </w:t>
      </w:r>
      <w:r>
        <w:rPr>
          <w:rFonts w:hint="eastAsia" w:ascii="宋体" w:hAnsi="宋体"/>
          <w:szCs w:val="21"/>
        </w:rPr>
        <w:t>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spacing w:line="382" w:lineRule="exact"/>
        <w:rPr>
          <w:rFonts w:ascii="宋体" w:hAnsi="宋体"/>
          <w:szCs w:val="21"/>
        </w:rPr>
      </w:pPr>
      <w:r>
        <w:rPr>
          <w:rFonts w:hint="eastAsia" w:ascii="宋体" w:hAnsi="宋体"/>
          <w:szCs w:val="21"/>
        </w:rPr>
        <w:t xml:space="preserve">    2、乙方提供的货物如侵犯了第三方合法权益而引发的任何纠纷或诉讼，均由乙方负责交涉并承担全部责任。</w:t>
      </w:r>
    </w:p>
    <w:p>
      <w:pPr>
        <w:spacing w:line="382" w:lineRule="exact"/>
        <w:rPr>
          <w:rFonts w:ascii="宋体" w:hAnsi="宋体"/>
          <w:szCs w:val="21"/>
        </w:rPr>
      </w:pPr>
      <w:r>
        <w:rPr>
          <w:rFonts w:hint="eastAsia" w:ascii="宋体" w:hAnsi="宋体"/>
          <w:szCs w:val="21"/>
        </w:rPr>
        <w:t xml:space="preserve">    3、因包装、运输引起的货物损坏，按质量不合格处罚。</w:t>
      </w:r>
    </w:p>
    <w:p>
      <w:pPr>
        <w:spacing w:line="382" w:lineRule="exact"/>
        <w:rPr>
          <w:rFonts w:ascii="宋体" w:hAnsi="宋体"/>
          <w:szCs w:val="21"/>
        </w:rPr>
      </w:pPr>
      <w:r>
        <w:rPr>
          <w:rFonts w:hint="eastAsia" w:ascii="宋体" w:hAnsi="宋体"/>
          <w:szCs w:val="21"/>
        </w:rPr>
        <w:t xml:space="preserve">    4、甲方无故延期接收货物、乙方逾期交货的，每天向对方偿付违约货款额3‰违约金，但违约金累计不得超过违约货款额</w:t>
      </w:r>
      <w:r>
        <w:rPr>
          <w:rFonts w:hint="eastAsia" w:ascii="宋体" w:hAnsi="宋体"/>
          <w:szCs w:val="21"/>
          <w:u w:val="single"/>
        </w:rPr>
        <w:t>5%</w:t>
      </w:r>
      <w:r>
        <w:rPr>
          <w:rFonts w:hint="eastAsia" w:ascii="宋体" w:hAnsi="宋体"/>
          <w:szCs w:val="21"/>
        </w:rPr>
        <w:t>，超过</w:t>
      </w:r>
      <w:r>
        <w:rPr>
          <w:rFonts w:hint="eastAsia" w:ascii="宋体" w:hAnsi="宋体"/>
          <w:szCs w:val="21"/>
          <w:u w:val="single"/>
        </w:rPr>
        <w:t xml:space="preserve">    </w:t>
      </w:r>
      <w:r>
        <w:rPr>
          <w:rFonts w:hint="eastAsia" w:ascii="宋体" w:hAnsi="宋体"/>
          <w:szCs w:val="21"/>
        </w:rPr>
        <w:t>天对方有权解除合同，违约方承担因此给对方造成经济损失；甲方延期支付货款的，每天向乙方偿付延期货款额</w:t>
      </w:r>
      <w:r>
        <w:rPr>
          <w:rFonts w:hint="eastAsia" w:ascii="宋体" w:hAnsi="宋体"/>
          <w:szCs w:val="21"/>
          <w:u w:val="single"/>
        </w:rPr>
        <w:t xml:space="preserve">3‰ </w:t>
      </w:r>
      <w:r>
        <w:rPr>
          <w:rFonts w:hint="eastAsia" w:ascii="宋体" w:hAnsi="宋体"/>
          <w:szCs w:val="21"/>
        </w:rPr>
        <w:t>滞纳金，但滞纳金累计不得超过延期货款额</w:t>
      </w:r>
      <w:r>
        <w:rPr>
          <w:rFonts w:hint="eastAsia" w:ascii="宋体" w:hAnsi="宋体"/>
          <w:szCs w:val="21"/>
          <w:u w:val="single"/>
        </w:rPr>
        <w:t>5%</w:t>
      </w:r>
      <w:r>
        <w:rPr>
          <w:rFonts w:hint="eastAsia" w:ascii="宋体" w:hAnsi="宋体"/>
          <w:szCs w:val="21"/>
        </w:rPr>
        <w:t>。</w:t>
      </w:r>
    </w:p>
    <w:p>
      <w:pPr>
        <w:spacing w:line="382" w:lineRule="exact"/>
        <w:rPr>
          <w:rFonts w:ascii="宋体" w:hAnsi="宋体"/>
          <w:szCs w:val="21"/>
        </w:rPr>
      </w:pPr>
      <w:r>
        <w:rPr>
          <w:rFonts w:hint="eastAsia" w:ascii="宋体" w:hAnsi="宋体"/>
          <w:szCs w:val="21"/>
        </w:rPr>
        <w:t xml:space="preserve">    5、乙方未按本合同和响应文件中规定的服务承诺提供售后服务的，乙方应按本合同合计金额</w:t>
      </w:r>
      <w:r>
        <w:rPr>
          <w:rFonts w:hint="eastAsia" w:ascii="宋体" w:hAnsi="宋体"/>
          <w:szCs w:val="21"/>
          <w:u w:val="single"/>
        </w:rPr>
        <w:t xml:space="preserve"> 5%</w:t>
      </w:r>
      <w:r>
        <w:rPr>
          <w:rFonts w:hint="eastAsia" w:ascii="宋体" w:hAnsi="宋体"/>
          <w:szCs w:val="21"/>
        </w:rPr>
        <w:t>向甲方支付违约金。</w:t>
      </w:r>
    </w:p>
    <w:p>
      <w:pPr>
        <w:spacing w:line="382" w:lineRule="exact"/>
        <w:rPr>
          <w:rFonts w:ascii="宋体" w:hAnsi="宋体"/>
          <w:szCs w:val="21"/>
        </w:rPr>
      </w:pPr>
      <w:r>
        <w:rPr>
          <w:rFonts w:hint="eastAsia" w:ascii="宋体" w:hAnsi="宋体"/>
          <w:szCs w:val="21"/>
        </w:rPr>
        <w:t xml:space="preserve">    6、乙方提供的货物在质量保证期内，因设计、工艺或材料的缺陷和其它质量原因造成的问题，由乙方负责。</w:t>
      </w:r>
    </w:p>
    <w:p>
      <w:pPr>
        <w:spacing w:line="382" w:lineRule="exact"/>
        <w:ind w:firstLine="420"/>
        <w:rPr>
          <w:rFonts w:ascii="宋体" w:hAnsi="宋体"/>
          <w:szCs w:val="21"/>
        </w:rPr>
      </w:pPr>
      <w:r>
        <w:rPr>
          <w:rFonts w:hint="eastAsia" w:ascii="宋体" w:hAnsi="宋体"/>
          <w:szCs w:val="21"/>
        </w:rPr>
        <w:t>7、其它违约行为按违约货款额5%收取违约金。</w:t>
      </w:r>
    </w:p>
    <w:p>
      <w:pPr>
        <w:spacing w:line="382" w:lineRule="exact"/>
        <w:ind w:firstLine="420"/>
        <w:rPr>
          <w:rFonts w:ascii="宋体" w:hAnsi="宋体"/>
          <w:szCs w:val="21"/>
        </w:rPr>
      </w:pPr>
      <w:r>
        <w:rPr>
          <w:rFonts w:hint="eastAsia" w:ascii="宋体" w:hAnsi="宋体"/>
          <w:szCs w:val="21"/>
        </w:rPr>
        <w:t>8、乙方支付的违约金不足以弥补甲方损失的，还应承担赔偿责任。</w:t>
      </w:r>
    </w:p>
    <w:p>
      <w:pPr>
        <w:spacing w:line="382" w:lineRule="exact"/>
        <w:rPr>
          <w:rFonts w:hAnsi="宋体"/>
          <w:b/>
        </w:rPr>
      </w:pPr>
      <w:r>
        <w:rPr>
          <w:rFonts w:hint="eastAsia" w:ascii="宋体" w:hAnsi="宋体"/>
          <w:szCs w:val="21"/>
        </w:rPr>
        <w:t xml:space="preserve">    </w:t>
      </w:r>
      <w:r>
        <w:rPr>
          <w:rFonts w:hint="eastAsia" w:hAnsi="宋体"/>
          <w:b/>
        </w:rPr>
        <w:t>第十五条  不可抗力事件处理</w:t>
      </w:r>
    </w:p>
    <w:p>
      <w:pPr>
        <w:spacing w:line="382" w:lineRule="exact"/>
        <w:rPr>
          <w:rFonts w:hAnsi="宋体"/>
        </w:rPr>
      </w:pPr>
      <w:r>
        <w:rPr>
          <w:rFonts w:hint="eastAsia" w:hAnsi="宋体"/>
        </w:rPr>
        <w:t xml:space="preserve">    1、在合同有效期内，任何一方因不可抗力事件导致不能履行合同，则合同履行期可延长，其延长期与不可抗力影响期相同。</w:t>
      </w:r>
    </w:p>
    <w:p>
      <w:pPr>
        <w:spacing w:line="382" w:lineRule="exact"/>
        <w:rPr>
          <w:rFonts w:hAnsi="宋体"/>
        </w:rPr>
      </w:pPr>
      <w:r>
        <w:rPr>
          <w:rFonts w:hint="eastAsia" w:hAnsi="宋体"/>
        </w:rPr>
        <w:t xml:space="preserve">    2、不可抗力事件发生后，应立即通知对方，并寄送有关权威机构出具的证明。</w:t>
      </w:r>
    </w:p>
    <w:p>
      <w:pPr>
        <w:spacing w:line="382" w:lineRule="exact"/>
        <w:rPr>
          <w:rFonts w:hAnsi="宋体"/>
        </w:rPr>
      </w:pPr>
      <w:r>
        <w:rPr>
          <w:rFonts w:hint="eastAsia" w:hAnsi="宋体"/>
        </w:rPr>
        <w:t xml:space="preserve">    3、不可抗力事件延续一百二十天以上，双方应通过友好协商，确定是否继续履行合同。</w:t>
      </w:r>
    </w:p>
    <w:p>
      <w:pPr>
        <w:spacing w:line="382" w:lineRule="exact"/>
        <w:rPr>
          <w:rFonts w:ascii="宋体" w:hAnsi="宋体"/>
          <w:b/>
          <w:szCs w:val="21"/>
        </w:rPr>
      </w:pPr>
      <w:r>
        <w:rPr>
          <w:rFonts w:hint="eastAsia" w:hAnsi="宋体"/>
        </w:rPr>
        <w:t xml:space="preserve">    </w:t>
      </w:r>
      <w:r>
        <w:rPr>
          <w:rFonts w:hint="eastAsia" w:ascii="宋体" w:hAnsi="宋体"/>
          <w:b/>
          <w:szCs w:val="21"/>
        </w:rPr>
        <w:t>第十六条  合同争议解决</w:t>
      </w:r>
    </w:p>
    <w:p>
      <w:pPr>
        <w:spacing w:line="382" w:lineRule="exact"/>
        <w:rPr>
          <w:rFonts w:ascii="宋体" w:hAnsi="宋体"/>
          <w:szCs w:val="21"/>
        </w:rPr>
      </w:pPr>
      <w:r>
        <w:rPr>
          <w:rFonts w:hint="eastAsia" w:ascii="宋体" w:hAnsi="宋体"/>
          <w:b/>
          <w:szCs w:val="21"/>
        </w:rPr>
        <w:t xml:space="preserve">    </w:t>
      </w:r>
      <w:r>
        <w:rPr>
          <w:rFonts w:hint="eastAsia" w:ascii="宋体" w:hAnsi="宋体"/>
          <w:szCs w:val="21"/>
        </w:rPr>
        <w:t>1、因货物质量问题发生争议的，应邀请国家认可的质量检测机构对货物质量进行鉴定。货物符合标准的，鉴定费由甲方承担；货物不符合标准的，鉴定费由乙方承担。</w:t>
      </w:r>
    </w:p>
    <w:p>
      <w:pPr>
        <w:spacing w:line="382" w:lineRule="exact"/>
        <w:rPr>
          <w:rFonts w:ascii="宋体" w:hAnsi="宋体"/>
          <w:szCs w:val="21"/>
        </w:rPr>
      </w:pPr>
      <w:r>
        <w:rPr>
          <w:rFonts w:hint="eastAsia" w:ascii="宋体" w:hAnsi="宋体"/>
          <w:szCs w:val="21"/>
        </w:rPr>
        <w:t xml:space="preserve">    2、因履行本合同引起的或与本合同有关的争议，甲乙双方应首先通过友好协商解决，如果协商不能解决，可向仲裁委员会申请仲裁或向人民法院提起诉讼。</w:t>
      </w:r>
    </w:p>
    <w:p>
      <w:pPr>
        <w:spacing w:line="382" w:lineRule="exact"/>
        <w:rPr>
          <w:rFonts w:ascii="宋体" w:hAnsi="宋体"/>
          <w:szCs w:val="21"/>
        </w:rPr>
      </w:pPr>
      <w:r>
        <w:rPr>
          <w:rFonts w:hint="eastAsia" w:ascii="宋体" w:hAnsi="宋体"/>
          <w:szCs w:val="21"/>
        </w:rPr>
        <w:t xml:space="preserve">    3、诉讼期间，本合同继续履行。</w:t>
      </w:r>
    </w:p>
    <w:p>
      <w:pPr>
        <w:spacing w:line="382" w:lineRule="exact"/>
        <w:rPr>
          <w:rFonts w:hAnsi="宋体"/>
          <w:b/>
        </w:rPr>
      </w:pPr>
      <w:r>
        <w:rPr>
          <w:rFonts w:hint="eastAsia" w:ascii="宋体" w:hAnsi="宋体"/>
          <w:szCs w:val="21"/>
        </w:rPr>
        <w:t xml:space="preserve">    </w:t>
      </w:r>
      <w:r>
        <w:rPr>
          <w:rFonts w:hint="eastAsia" w:hAnsi="宋体"/>
          <w:b/>
        </w:rPr>
        <w:t>第十七条  诉讼</w:t>
      </w:r>
    </w:p>
    <w:p>
      <w:pPr>
        <w:spacing w:line="382" w:lineRule="exact"/>
      </w:pPr>
      <w:r>
        <w:rPr>
          <w:rFonts w:hint="eastAsia"/>
        </w:rPr>
        <w:t xml:space="preserve">    双方在执行合同中所发生的一切争议，应通过协商解决。如果协商不能解决，可向仲裁委员会申请</w:t>
      </w:r>
    </w:p>
    <w:p>
      <w:pPr>
        <w:spacing w:line="382" w:lineRule="exact"/>
      </w:pPr>
      <w:r>
        <w:rPr>
          <w:rFonts w:hint="eastAsia"/>
        </w:rPr>
        <w:t>仲裁或向人民法院提起诉讼。</w:t>
      </w:r>
    </w:p>
    <w:p>
      <w:pPr>
        <w:spacing w:line="382" w:lineRule="exact"/>
        <w:rPr>
          <w:rFonts w:hAnsi="宋体"/>
          <w:b/>
        </w:rPr>
      </w:pPr>
      <w:r>
        <w:rPr>
          <w:rFonts w:hint="eastAsia"/>
        </w:rPr>
        <w:t xml:space="preserve">    </w:t>
      </w:r>
      <w:r>
        <w:rPr>
          <w:rFonts w:hint="eastAsia" w:hAnsi="宋体"/>
          <w:b/>
        </w:rPr>
        <w:t>第十八条  合同生效及其它</w:t>
      </w:r>
    </w:p>
    <w:p>
      <w:pPr>
        <w:spacing w:line="382" w:lineRule="exact"/>
        <w:rPr>
          <w:rFonts w:hAnsi="宋体"/>
          <w:b/>
        </w:rPr>
      </w:pPr>
      <w:r>
        <w:rPr>
          <w:rFonts w:hint="eastAsia" w:hAnsi="宋体"/>
          <w:b/>
        </w:rPr>
        <w:t xml:space="preserve">    1、合同经双方法定代表人(负责人)或授权代表（委托代理人）签字并加盖单位公章后生效。</w:t>
      </w:r>
    </w:p>
    <w:p>
      <w:pPr>
        <w:spacing w:line="382" w:lineRule="exact"/>
        <w:rPr>
          <w:rFonts w:hAnsi="宋体"/>
          <w:b/>
        </w:rPr>
      </w:pPr>
      <w:r>
        <w:rPr>
          <w:rFonts w:hint="eastAsia" w:hAnsi="宋体"/>
          <w:b/>
        </w:rPr>
        <w:t xml:space="preserve">    2、合同执行中涉及采购资金和采购内容修改或补充的，须经广西壮族自治区财政厅政府采购监督管理处审批，并签书面补充协议报广西壮族自治区财政厅政府采购监督管理处备案，方可作为主合同不可分割的一部分。</w:t>
      </w:r>
    </w:p>
    <w:p>
      <w:pPr>
        <w:spacing w:line="382" w:lineRule="exact"/>
        <w:rPr>
          <w:rFonts w:hAnsi="宋体"/>
          <w:b/>
        </w:rPr>
      </w:pPr>
      <w:r>
        <w:rPr>
          <w:rFonts w:hint="eastAsia" w:hAnsi="宋体"/>
          <w:b/>
        </w:rPr>
        <w:t xml:space="preserve">    3、本合同未尽事宜，遵照《合同法》有关条文执行。</w:t>
      </w:r>
    </w:p>
    <w:p>
      <w:pPr>
        <w:spacing w:line="382" w:lineRule="exact"/>
        <w:rPr>
          <w:rFonts w:ascii="宋体" w:hAnsi="宋体"/>
          <w:b/>
          <w:szCs w:val="21"/>
        </w:rPr>
      </w:pPr>
      <w:r>
        <w:rPr>
          <w:rFonts w:hint="eastAsia" w:hAnsi="宋体"/>
          <w:b/>
        </w:rPr>
        <w:t xml:space="preserve">    </w:t>
      </w:r>
      <w:r>
        <w:rPr>
          <w:rFonts w:hint="eastAsia" w:ascii="宋体" w:hAnsi="宋体"/>
          <w:b/>
          <w:szCs w:val="21"/>
        </w:rPr>
        <w:t>第十九条　 合同的变更、终止与转让</w:t>
      </w:r>
    </w:p>
    <w:p>
      <w:pPr>
        <w:snapToGrid w:val="0"/>
        <w:spacing w:line="382" w:lineRule="exact"/>
        <w:ind w:firstLine="420" w:firstLineChars="200"/>
        <w:rPr>
          <w:rFonts w:ascii="宋体" w:hAnsi="宋体"/>
          <w:szCs w:val="21"/>
        </w:rPr>
      </w:pPr>
      <w:r>
        <w:rPr>
          <w:rFonts w:hint="eastAsia" w:ascii="宋体" w:hAnsi="宋体"/>
          <w:szCs w:val="21"/>
        </w:rPr>
        <w:t>1、除《中华人民共和国政府采购法》第五十条规定的情形外，本合同一经签订，甲乙双方不得擅自变更、中止或终止。</w:t>
      </w:r>
    </w:p>
    <w:p>
      <w:pPr>
        <w:snapToGrid w:val="0"/>
        <w:spacing w:line="382" w:lineRule="exact"/>
        <w:ind w:firstLine="420" w:firstLineChars="200"/>
        <w:rPr>
          <w:rFonts w:hAnsi="宋体"/>
        </w:rPr>
      </w:pPr>
      <w:r>
        <w:rPr>
          <w:rFonts w:hint="eastAsia" w:hAnsi="宋体"/>
        </w:rPr>
        <w:t>2、乙方不得擅自转让（无进口资格的供应商委托进口货物除外）其应履行的合同义务。</w:t>
      </w:r>
    </w:p>
    <w:p>
      <w:pPr>
        <w:snapToGrid w:val="0"/>
        <w:spacing w:line="382" w:lineRule="exact"/>
        <w:ind w:firstLine="422" w:firstLineChars="200"/>
        <w:rPr>
          <w:rFonts w:ascii="宋体" w:hAnsi="宋体"/>
          <w:b/>
          <w:szCs w:val="21"/>
        </w:rPr>
      </w:pPr>
      <w:r>
        <w:rPr>
          <w:rFonts w:hint="eastAsia" w:ascii="宋体" w:hAnsi="宋体"/>
          <w:b/>
          <w:szCs w:val="21"/>
        </w:rPr>
        <w:t>第二十条　 签订本合同依据</w:t>
      </w:r>
    </w:p>
    <w:p>
      <w:pPr>
        <w:snapToGrid w:val="0"/>
        <w:spacing w:line="382" w:lineRule="exact"/>
        <w:ind w:firstLine="420" w:firstLineChars="200"/>
        <w:rPr>
          <w:rFonts w:ascii="宋体" w:hAnsi="宋体"/>
          <w:szCs w:val="21"/>
        </w:rPr>
      </w:pPr>
      <w:r>
        <w:rPr>
          <w:rFonts w:hint="eastAsia" w:ascii="宋体" w:hAnsi="宋体"/>
          <w:szCs w:val="21"/>
        </w:rPr>
        <w:t>1、磋商文件；</w:t>
      </w:r>
    </w:p>
    <w:p>
      <w:pPr>
        <w:snapToGrid w:val="0"/>
        <w:spacing w:line="382" w:lineRule="exact"/>
        <w:ind w:firstLine="420" w:firstLineChars="200"/>
        <w:rPr>
          <w:rFonts w:ascii="宋体" w:hAnsi="宋体"/>
          <w:szCs w:val="21"/>
        </w:rPr>
      </w:pPr>
      <w:r>
        <w:rPr>
          <w:rFonts w:hint="eastAsia" w:ascii="宋体" w:hAnsi="宋体"/>
          <w:szCs w:val="21"/>
        </w:rPr>
        <w:t>2、乙方提供的响应文件；</w:t>
      </w:r>
    </w:p>
    <w:p>
      <w:pPr>
        <w:snapToGrid w:val="0"/>
        <w:spacing w:line="382" w:lineRule="exact"/>
        <w:ind w:firstLine="420" w:firstLineChars="200"/>
        <w:rPr>
          <w:rFonts w:ascii="宋体" w:hAnsi="宋体"/>
          <w:szCs w:val="21"/>
        </w:rPr>
      </w:pPr>
      <w:r>
        <w:rPr>
          <w:rFonts w:hint="eastAsia" w:ascii="宋体" w:hAnsi="宋体"/>
          <w:szCs w:val="21"/>
        </w:rPr>
        <w:t xml:space="preserve">3、磋商书； </w:t>
      </w:r>
    </w:p>
    <w:p>
      <w:pPr>
        <w:snapToGrid w:val="0"/>
        <w:spacing w:line="382" w:lineRule="exact"/>
        <w:ind w:firstLine="420" w:firstLineChars="200"/>
        <w:rPr>
          <w:rFonts w:ascii="宋体" w:hAnsi="宋体"/>
          <w:szCs w:val="21"/>
        </w:rPr>
      </w:pPr>
      <w:r>
        <w:rPr>
          <w:rFonts w:hint="eastAsia" w:ascii="宋体" w:hAnsi="宋体"/>
          <w:szCs w:val="21"/>
        </w:rPr>
        <w:t>4、成交通知书。</w:t>
      </w:r>
    </w:p>
    <w:p>
      <w:pPr>
        <w:snapToGrid w:val="0"/>
        <w:spacing w:line="382" w:lineRule="exact"/>
        <w:ind w:firstLine="422" w:firstLineChars="200"/>
        <w:rPr>
          <w:rFonts w:ascii="宋体" w:hAnsi="宋体"/>
          <w:szCs w:val="21"/>
        </w:rPr>
      </w:pPr>
      <w:r>
        <w:rPr>
          <w:rFonts w:hint="eastAsia" w:ascii="宋体" w:hAnsi="宋体"/>
          <w:b/>
          <w:szCs w:val="21"/>
        </w:rPr>
        <w:t>第二十一条　</w:t>
      </w: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份，具有同等法律效力，政府采购监督管理处、采购代理机构各一份，甲乙双方</w:t>
      </w:r>
      <w:r>
        <w:rPr>
          <w:rFonts w:hint="eastAsia" w:ascii="宋体" w:hAnsi="宋体"/>
          <w:szCs w:val="21"/>
          <w:u w:val="single"/>
        </w:rPr>
        <w:t xml:space="preserve">  </w:t>
      </w:r>
      <w:r>
        <w:rPr>
          <w:rFonts w:hint="eastAsia" w:ascii="宋体" w:hAnsi="宋体"/>
          <w:szCs w:val="21"/>
        </w:rPr>
        <w:t>份。</w:t>
      </w:r>
    </w:p>
    <w:p>
      <w:pPr>
        <w:snapToGrid w:val="0"/>
        <w:spacing w:line="382" w:lineRule="exact"/>
        <w:ind w:firstLine="420" w:firstLineChars="200"/>
        <w:rPr>
          <w:rFonts w:ascii="宋体" w:hAnsi="宋体"/>
          <w:szCs w:val="21"/>
        </w:rPr>
      </w:pPr>
      <w:r>
        <w:rPr>
          <w:rFonts w:hint="eastAsia" w:ascii="宋体" w:hAnsi="宋体"/>
          <w:szCs w:val="21"/>
        </w:rPr>
        <w:t>本合同甲乙双方签字盖章后生效，自签订之日起七个工作日内，采购人或采购代理机构应当将合同报政府采购监督管理处备案。</w:t>
      </w:r>
    </w:p>
    <w:tbl>
      <w:tblPr>
        <w:tblStyle w:val="15"/>
        <w:tblW w:w="103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84"/>
        <w:gridCol w:w="5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184" w:type="dxa"/>
          </w:tcPr>
          <w:p>
            <w:pPr>
              <w:spacing w:line="400" w:lineRule="exact"/>
              <w:ind w:left="1632" w:hanging="1632" w:hangingChars="800"/>
              <w:rPr>
                <w:rFonts w:ascii="宋体" w:hAnsi="宋体"/>
                <w:spacing w:val="-3"/>
                <w:szCs w:val="21"/>
              </w:rPr>
            </w:pPr>
            <w:r>
              <w:rPr>
                <w:rFonts w:hint="eastAsia" w:ascii="宋体" w:hAnsi="宋体"/>
                <w:spacing w:val="-3"/>
                <w:szCs w:val="21"/>
              </w:rPr>
              <w:t>甲方</w:t>
            </w:r>
            <w:r>
              <w:rPr>
                <w:rFonts w:hint="eastAsia" w:ascii="宋体" w:hAnsi="宋体"/>
                <w:szCs w:val="21"/>
              </w:rPr>
              <w:t>：</w:t>
            </w:r>
            <w:r>
              <w:rPr>
                <w:rFonts w:hint="eastAsia" w:ascii="宋体" w:hAnsi="宋体"/>
                <w:spacing w:val="-3"/>
                <w:szCs w:val="21"/>
              </w:rPr>
              <w:t xml:space="preserve"> </w:t>
            </w:r>
            <w:r>
              <w:rPr>
                <w:rFonts w:hint="eastAsia" w:ascii="宋体" w:hAnsi="宋体"/>
                <w:szCs w:val="21"/>
              </w:rPr>
              <w:t>（盖章）</w:t>
            </w:r>
          </w:p>
        </w:tc>
        <w:tc>
          <w:tcPr>
            <w:tcW w:w="5184" w:type="dxa"/>
          </w:tcPr>
          <w:p>
            <w:pPr>
              <w:spacing w:line="400" w:lineRule="exact"/>
              <w:ind w:left="420" w:hanging="420" w:hangingChars="200"/>
              <w:rPr>
                <w:rFonts w:ascii="宋体" w:hAnsi="宋体"/>
                <w:szCs w:val="21"/>
              </w:rPr>
            </w:pPr>
            <w:r>
              <w:rPr>
                <w:rFonts w:hint="eastAsia" w:ascii="宋体" w:hAnsi="宋体"/>
                <w:szCs w:val="21"/>
              </w:rPr>
              <w:t>乙方：</w:t>
            </w:r>
            <w:r>
              <w:rPr>
                <w:rFonts w:hint="eastAsia" w:ascii="宋体" w:hAnsi="宋体"/>
                <w:spacing w:val="-3"/>
                <w:szCs w:val="21"/>
              </w:rPr>
              <w:t xml:space="preserve"> </w:t>
            </w:r>
            <w:r>
              <w:rPr>
                <w:rFonts w:hint="eastAsia" w:ascii="宋体" w:hAnsi="宋体"/>
                <w:szCs w:val="21"/>
              </w:rPr>
              <w:t>（盖章）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184" w:type="dxa"/>
          </w:tcPr>
          <w:p>
            <w:pPr>
              <w:spacing w:line="400" w:lineRule="exact"/>
              <w:rPr>
                <w:rFonts w:ascii="宋体" w:hAnsi="宋体"/>
                <w:szCs w:val="21"/>
              </w:rPr>
            </w:pPr>
            <w:r>
              <w:rPr>
                <w:rFonts w:hint="eastAsia" w:ascii="宋体" w:hAnsi="宋体"/>
                <w:szCs w:val="21"/>
              </w:rPr>
              <w:t>法定代表人（负责人）：</w:t>
            </w:r>
            <w:r>
              <w:rPr>
                <w:rFonts w:ascii="宋体" w:hAnsi="宋体"/>
                <w:szCs w:val="21"/>
                <w:u w:val="single"/>
              </w:rPr>
              <w:t xml:space="preserve">                </w:t>
            </w:r>
            <w:r>
              <w:rPr>
                <w:rFonts w:ascii="宋体" w:hAnsi="宋体"/>
                <w:szCs w:val="21"/>
              </w:rPr>
              <w:t xml:space="preserve"> </w:t>
            </w:r>
          </w:p>
        </w:tc>
        <w:tc>
          <w:tcPr>
            <w:tcW w:w="5184" w:type="dxa"/>
          </w:tcPr>
          <w:p>
            <w:pPr>
              <w:spacing w:line="400" w:lineRule="exact"/>
              <w:rPr>
                <w:rFonts w:ascii="宋体" w:hAnsi="宋体"/>
                <w:szCs w:val="21"/>
              </w:rPr>
            </w:pPr>
            <w:r>
              <w:rPr>
                <w:rFonts w:hint="eastAsia" w:ascii="宋体" w:hAnsi="宋体"/>
                <w:szCs w:val="21"/>
              </w:rPr>
              <w:t>法定代表人（负责人）：</w:t>
            </w:r>
            <w:r>
              <w:rPr>
                <w:rFonts w:ascii="宋体" w:hAnsi="宋体"/>
                <w:szCs w:val="21"/>
                <w:u w:val="single"/>
              </w:rPr>
              <w:t xml:space="preserve">                </w:t>
            </w:r>
            <w:r>
              <w:rPr>
                <w:rFonts w:ascii="宋体" w:hAnsi="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184" w:type="dxa"/>
          </w:tcPr>
          <w:p>
            <w:pPr>
              <w:spacing w:line="400" w:lineRule="exact"/>
              <w:rPr>
                <w:rFonts w:ascii="宋体" w:hAnsi="宋体"/>
                <w:szCs w:val="21"/>
              </w:rPr>
            </w:pPr>
            <w:r>
              <w:rPr>
                <w:rFonts w:hint="eastAsia" w:ascii="宋体" w:hAnsi="宋体"/>
                <w:szCs w:val="21"/>
              </w:rPr>
              <w:t>或委托代理人：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c>
          <w:tcPr>
            <w:tcW w:w="5184" w:type="dxa"/>
          </w:tcPr>
          <w:p>
            <w:pPr>
              <w:spacing w:line="400" w:lineRule="exact"/>
              <w:rPr>
                <w:rFonts w:ascii="宋体" w:hAnsi="宋体"/>
                <w:szCs w:val="21"/>
              </w:rPr>
            </w:pPr>
            <w:r>
              <w:rPr>
                <w:rFonts w:hint="eastAsia" w:ascii="宋体" w:hAnsi="宋体"/>
                <w:szCs w:val="21"/>
              </w:rPr>
              <w:t>或委托代理人：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184" w:type="dxa"/>
          </w:tcPr>
          <w:p>
            <w:pPr>
              <w:spacing w:line="400" w:lineRule="exact"/>
              <w:rPr>
                <w:rFonts w:ascii="宋体" w:hAnsi="宋体"/>
                <w:szCs w:val="21"/>
              </w:rPr>
            </w:pPr>
            <w:r>
              <w:rPr>
                <w:rFonts w:hint="eastAsia" w:ascii="宋体" w:hAnsi="宋体"/>
                <w:szCs w:val="21"/>
              </w:rPr>
              <w:t xml:space="preserve">地址： </w:t>
            </w:r>
          </w:p>
        </w:tc>
        <w:tc>
          <w:tcPr>
            <w:tcW w:w="5184" w:type="dxa"/>
          </w:tcPr>
          <w:p>
            <w:pPr>
              <w:tabs>
                <w:tab w:val="left" w:pos="1365"/>
              </w:tabs>
              <w:spacing w:line="400" w:lineRule="exact"/>
              <w:rPr>
                <w:rFonts w:ascii="宋体" w:hAnsi="宋体"/>
                <w:szCs w:val="21"/>
              </w:rPr>
            </w:pPr>
            <w:r>
              <w:rPr>
                <w:rFonts w:hint="eastAsia" w:ascii="宋体" w:hAnsi="宋体"/>
                <w:szCs w:val="21"/>
              </w:rPr>
              <w:t>地址：</w:t>
            </w:r>
            <w:r>
              <w:rPr>
                <w:rFonts w:ascii="宋体" w:hAnsi="宋体"/>
                <w:szCs w:val="21"/>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184" w:type="dxa"/>
          </w:tcPr>
          <w:p>
            <w:pPr>
              <w:spacing w:line="400" w:lineRule="exact"/>
              <w:rPr>
                <w:rFonts w:ascii="宋体" w:hAnsi="宋体"/>
                <w:szCs w:val="21"/>
              </w:rPr>
            </w:pPr>
            <w:r>
              <w:rPr>
                <w:rFonts w:hint="eastAsia" w:ascii="宋体" w:hAnsi="宋体"/>
                <w:szCs w:val="21"/>
              </w:rPr>
              <w:t xml:space="preserve">电话： </w:t>
            </w:r>
          </w:p>
        </w:tc>
        <w:tc>
          <w:tcPr>
            <w:tcW w:w="5184" w:type="dxa"/>
          </w:tcPr>
          <w:p>
            <w:pPr>
              <w:spacing w:line="400" w:lineRule="exact"/>
              <w:rPr>
                <w:rFonts w:ascii="宋体" w:hAnsi="宋体"/>
                <w:szCs w:val="21"/>
              </w:rPr>
            </w:pPr>
            <w:r>
              <w:rPr>
                <w:rFonts w:hint="eastAsia" w:ascii="宋体" w:hAnsi="宋体"/>
                <w:szCs w:val="21"/>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184" w:type="dxa"/>
          </w:tcPr>
          <w:p>
            <w:pPr>
              <w:spacing w:line="400" w:lineRule="exact"/>
              <w:rPr>
                <w:rFonts w:ascii="宋体" w:hAnsi="宋体"/>
                <w:szCs w:val="21"/>
              </w:rPr>
            </w:pPr>
            <w:r>
              <w:rPr>
                <w:rFonts w:hint="eastAsia" w:ascii="宋体" w:hAnsi="宋体"/>
                <w:szCs w:val="21"/>
              </w:rPr>
              <w:t xml:space="preserve">传真： </w:t>
            </w:r>
          </w:p>
        </w:tc>
        <w:tc>
          <w:tcPr>
            <w:tcW w:w="5184" w:type="dxa"/>
          </w:tcPr>
          <w:p>
            <w:pPr>
              <w:spacing w:line="400" w:lineRule="exact"/>
              <w:rPr>
                <w:rFonts w:ascii="宋体" w:hAnsi="宋体"/>
                <w:szCs w:val="21"/>
              </w:rPr>
            </w:pPr>
            <w:r>
              <w:rPr>
                <w:rFonts w:hint="eastAsia" w:ascii="宋体" w:hAnsi="宋体"/>
                <w:szCs w:val="21"/>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184" w:type="dxa"/>
          </w:tcPr>
          <w:p>
            <w:pPr>
              <w:spacing w:line="400" w:lineRule="exact"/>
              <w:rPr>
                <w:rFonts w:ascii="宋体" w:hAnsi="宋体"/>
                <w:szCs w:val="21"/>
              </w:rPr>
            </w:pPr>
            <w:r>
              <w:rPr>
                <w:rFonts w:hint="eastAsia" w:ascii="宋体" w:hAnsi="宋体"/>
                <w:szCs w:val="21"/>
              </w:rPr>
              <w:t xml:space="preserve">邮编： </w:t>
            </w:r>
          </w:p>
        </w:tc>
        <w:tc>
          <w:tcPr>
            <w:tcW w:w="5184" w:type="dxa"/>
          </w:tcPr>
          <w:p>
            <w:pPr>
              <w:spacing w:line="400" w:lineRule="exact"/>
              <w:rPr>
                <w:rFonts w:ascii="宋体" w:hAnsi="宋体"/>
                <w:szCs w:val="21"/>
              </w:rPr>
            </w:pPr>
            <w:r>
              <w:rPr>
                <w:rFonts w:hint="eastAsia" w:ascii="宋体" w:hAnsi="宋体"/>
                <w:szCs w:val="21"/>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184" w:type="dxa"/>
          </w:tcPr>
          <w:p>
            <w:pPr>
              <w:spacing w:line="400" w:lineRule="exact"/>
              <w:rPr>
                <w:rFonts w:ascii="宋体" w:hAnsi="宋体"/>
                <w:szCs w:val="21"/>
              </w:rPr>
            </w:pPr>
            <w:r>
              <w:rPr>
                <w:rFonts w:hint="eastAsia" w:ascii="宋体" w:hAnsi="宋体"/>
                <w:szCs w:val="21"/>
              </w:rPr>
              <w:t>开户行：</w:t>
            </w:r>
            <w:r>
              <w:rPr>
                <w:rFonts w:ascii="宋体" w:hAnsi="宋体"/>
                <w:szCs w:val="21"/>
              </w:rPr>
              <w:t xml:space="preserve"> </w:t>
            </w:r>
            <w:r>
              <w:rPr>
                <w:rFonts w:hint="eastAsia" w:ascii="宋体" w:hAnsi="宋体"/>
                <w:szCs w:val="21"/>
              </w:rPr>
              <w:t xml:space="preserve"> </w:t>
            </w:r>
          </w:p>
        </w:tc>
        <w:tc>
          <w:tcPr>
            <w:tcW w:w="5184" w:type="dxa"/>
          </w:tcPr>
          <w:p>
            <w:pPr>
              <w:spacing w:line="400" w:lineRule="exact"/>
              <w:rPr>
                <w:rFonts w:ascii="宋体" w:hAnsi="宋体"/>
                <w:szCs w:val="21"/>
              </w:rPr>
            </w:pPr>
            <w:r>
              <w:rPr>
                <w:rFonts w:hint="eastAsia" w:ascii="宋体" w:hAnsi="宋体"/>
                <w:szCs w:val="21"/>
              </w:rPr>
              <w:t>开户行：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184" w:type="dxa"/>
          </w:tcPr>
          <w:p>
            <w:pPr>
              <w:spacing w:line="400" w:lineRule="exact"/>
              <w:rPr>
                <w:rFonts w:ascii="宋体" w:hAnsi="宋体"/>
                <w:szCs w:val="21"/>
              </w:rPr>
            </w:pPr>
            <w:r>
              <w:rPr>
                <w:rFonts w:hint="eastAsia" w:ascii="宋体" w:hAnsi="宋体"/>
                <w:szCs w:val="21"/>
              </w:rPr>
              <w:t xml:space="preserve">帐号： </w:t>
            </w:r>
          </w:p>
        </w:tc>
        <w:tc>
          <w:tcPr>
            <w:tcW w:w="5184" w:type="dxa"/>
          </w:tcPr>
          <w:p>
            <w:pPr>
              <w:spacing w:line="400" w:lineRule="exact"/>
              <w:rPr>
                <w:rFonts w:ascii="宋体" w:hAnsi="宋体"/>
                <w:szCs w:val="21"/>
              </w:rPr>
            </w:pPr>
            <w:r>
              <w:rPr>
                <w:rFonts w:hint="eastAsia" w:ascii="宋体" w:hAnsi="宋体"/>
                <w:szCs w:val="21"/>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184" w:type="dxa"/>
          </w:tcPr>
          <w:p>
            <w:pPr>
              <w:spacing w:line="400" w:lineRule="exact"/>
              <w:rPr>
                <w:rFonts w:ascii="宋体" w:hAnsi="宋体"/>
                <w:szCs w:val="21"/>
              </w:rPr>
            </w:pPr>
            <w:r>
              <w:rPr>
                <w:rFonts w:hint="eastAsia" w:ascii="宋体" w:hAnsi="宋体"/>
                <w:szCs w:val="21"/>
              </w:rPr>
              <w:t>日期：    年  月   日</w:t>
            </w:r>
          </w:p>
        </w:tc>
        <w:tc>
          <w:tcPr>
            <w:tcW w:w="5184" w:type="dxa"/>
          </w:tcPr>
          <w:p>
            <w:pPr>
              <w:spacing w:line="400" w:lineRule="exact"/>
              <w:rPr>
                <w:rFonts w:ascii="宋体" w:hAnsi="宋体"/>
                <w:szCs w:val="21"/>
              </w:rPr>
            </w:pPr>
            <w:r>
              <w:rPr>
                <w:rFonts w:hint="eastAsia" w:ascii="宋体" w:hAnsi="宋体"/>
                <w:szCs w:val="21"/>
              </w:rPr>
              <w:t>日期：    年   月   日</w:t>
            </w:r>
          </w:p>
        </w:tc>
      </w:tr>
    </w:tbl>
    <w:p>
      <w:pPr>
        <w:snapToGrid w:val="0"/>
        <w:ind w:left="420" w:hanging="420" w:hangingChars="200"/>
        <w:rPr>
          <w:rFonts w:ascii="宋体" w:hAnsi="宋体"/>
          <w:szCs w:val="21"/>
        </w:rPr>
      </w:pPr>
    </w:p>
    <w:p>
      <w:pPr>
        <w:snapToGrid w:val="0"/>
        <w:spacing w:line="360" w:lineRule="auto"/>
        <w:jc w:val="center"/>
        <w:rPr>
          <w:rFonts w:ascii="宋体" w:hAnsi="宋体"/>
          <w:szCs w:val="21"/>
        </w:rPr>
      </w:pPr>
      <w:r>
        <w:rPr>
          <w:rFonts w:ascii="宋体" w:hAnsi="宋体"/>
          <w:b/>
          <w:szCs w:val="21"/>
        </w:rPr>
        <w:br w:type="page"/>
      </w:r>
      <w:r>
        <w:rPr>
          <w:rFonts w:hint="eastAsia" w:ascii="宋体" w:hAnsi="宋体"/>
          <w:b/>
          <w:szCs w:val="21"/>
        </w:rPr>
        <w:t>合 同 附 件</w:t>
      </w:r>
    </w:p>
    <w:tbl>
      <w:tblPr>
        <w:tblStyle w:val="15"/>
        <w:tblW w:w="0" w:type="auto"/>
        <w:jc w:val="center"/>
        <w:tblLayout w:type="fixed"/>
        <w:tblCellMar>
          <w:top w:w="0" w:type="dxa"/>
          <w:left w:w="108" w:type="dxa"/>
          <w:bottom w:w="0" w:type="dxa"/>
          <w:right w:w="108" w:type="dxa"/>
        </w:tblCellMar>
      </w:tblPr>
      <w:tblGrid>
        <w:gridCol w:w="4420"/>
        <w:gridCol w:w="4871"/>
      </w:tblGrid>
      <w:tr>
        <w:tblPrEx>
          <w:tblCellMar>
            <w:top w:w="0" w:type="dxa"/>
            <w:left w:w="108" w:type="dxa"/>
            <w:bottom w:w="0" w:type="dxa"/>
            <w:right w:w="108" w:type="dxa"/>
          </w:tblCellMar>
        </w:tblPrEx>
        <w:trPr>
          <w:trHeight w:val="2139" w:hRule="atLeast"/>
          <w:jc w:val="center"/>
        </w:trPr>
        <w:tc>
          <w:tcPr>
            <w:tcW w:w="9291" w:type="dxa"/>
            <w:gridSpan w:val="2"/>
            <w:tcBorders>
              <w:top w:val="single" w:color="auto" w:sz="4" w:space="0"/>
              <w:left w:val="single" w:color="auto" w:sz="4" w:space="0"/>
              <w:right w:val="single" w:color="auto" w:sz="4" w:space="0"/>
            </w:tcBorders>
          </w:tcPr>
          <w:p>
            <w:pPr>
              <w:snapToGrid w:val="0"/>
              <w:spacing w:line="400" w:lineRule="exact"/>
              <w:rPr>
                <w:rFonts w:ascii="宋体" w:hAnsi="宋体"/>
                <w:b/>
                <w:szCs w:val="21"/>
              </w:rPr>
            </w:pPr>
            <w:r>
              <w:rPr>
                <w:rFonts w:hint="eastAsia" w:ascii="宋体" w:hAnsi="宋体"/>
                <w:b/>
                <w:szCs w:val="21"/>
              </w:rPr>
              <w:t>1、供应商承诺具体事项：</w:t>
            </w:r>
          </w:p>
        </w:tc>
      </w:tr>
      <w:tr>
        <w:tblPrEx>
          <w:tblCellMar>
            <w:top w:w="0" w:type="dxa"/>
            <w:left w:w="108" w:type="dxa"/>
            <w:bottom w:w="0" w:type="dxa"/>
            <w:right w:w="108" w:type="dxa"/>
          </w:tblCellMar>
        </w:tblPrEx>
        <w:trPr>
          <w:trHeight w:val="2139" w:hRule="atLeast"/>
          <w:jc w:val="center"/>
        </w:trPr>
        <w:tc>
          <w:tcPr>
            <w:tcW w:w="9291" w:type="dxa"/>
            <w:gridSpan w:val="2"/>
            <w:tcBorders>
              <w:top w:val="single" w:color="auto" w:sz="4" w:space="0"/>
              <w:left w:val="single" w:color="auto" w:sz="4" w:space="0"/>
              <w:right w:val="single" w:color="auto" w:sz="4" w:space="0"/>
            </w:tcBorders>
          </w:tcPr>
          <w:p>
            <w:pPr>
              <w:snapToGrid w:val="0"/>
              <w:spacing w:line="400" w:lineRule="exact"/>
              <w:rPr>
                <w:rFonts w:ascii="宋体" w:hAnsi="宋体"/>
                <w:b/>
                <w:szCs w:val="21"/>
              </w:rPr>
            </w:pPr>
            <w:r>
              <w:rPr>
                <w:rFonts w:hint="eastAsia" w:ascii="宋体" w:hAnsi="宋体"/>
                <w:b/>
                <w:szCs w:val="21"/>
              </w:rPr>
              <w:t>2、售后服务具体事项：</w:t>
            </w:r>
          </w:p>
        </w:tc>
      </w:tr>
      <w:tr>
        <w:tblPrEx>
          <w:tblCellMar>
            <w:top w:w="0" w:type="dxa"/>
            <w:left w:w="108" w:type="dxa"/>
            <w:bottom w:w="0" w:type="dxa"/>
            <w:right w:w="108" w:type="dxa"/>
          </w:tblCellMar>
        </w:tblPrEx>
        <w:trPr>
          <w:trHeight w:val="2139" w:hRule="atLeast"/>
          <w:jc w:val="center"/>
        </w:trPr>
        <w:tc>
          <w:tcPr>
            <w:tcW w:w="9291" w:type="dxa"/>
            <w:gridSpan w:val="2"/>
            <w:tcBorders>
              <w:top w:val="single" w:color="auto" w:sz="4" w:space="0"/>
              <w:left w:val="single" w:color="auto" w:sz="4" w:space="0"/>
              <w:right w:val="single" w:color="auto" w:sz="4" w:space="0"/>
            </w:tcBorders>
          </w:tcPr>
          <w:p>
            <w:pPr>
              <w:snapToGrid w:val="0"/>
              <w:spacing w:line="400" w:lineRule="exact"/>
              <w:rPr>
                <w:rFonts w:ascii="宋体" w:hAnsi="宋体"/>
                <w:b/>
                <w:szCs w:val="21"/>
              </w:rPr>
            </w:pPr>
            <w:r>
              <w:rPr>
                <w:rFonts w:hint="eastAsia" w:ascii="宋体" w:hAnsi="宋体"/>
                <w:b/>
                <w:szCs w:val="21"/>
              </w:rPr>
              <w:t>3、保修期责任：</w:t>
            </w:r>
          </w:p>
        </w:tc>
      </w:tr>
      <w:tr>
        <w:tblPrEx>
          <w:tblCellMar>
            <w:top w:w="0" w:type="dxa"/>
            <w:left w:w="108" w:type="dxa"/>
            <w:bottom w:w="0" w:type="dxa"/>
            <w:right w:w="108" w:type="dxa"/>
          </w:tblCellMar>
        </w:tblPrEx>
        <w:trPr>
          <w:trHeight w:val="2139" w:hRule="atLeast"/>
          <w:jc w:val="center"/>
        </w:trPr>
        <w:tc>
          <w:tcPr>
            <w:tcW w:w="9291" w:type="dxa"/>
            <w:gridSpan w:val="2"/>
            <w:tcBorders>
              <w:top w:val="single" w:color="auto" w:sz="4" w:space="0"/>
              <w:left w:val="single" w:color="auto" w:sz="4" w:space="0"/>
              <w:right w:val="single" w:color="auto" w:sz="4" w:space="0"/>
            </w:tcBorders>
          </w:tcPr>
          <w:p>
            <w:pPr>
              <w:snapToGrid w:val="0"/>
              <w:spacing w:line="400" w:lineRule="exact"/>
              <w:rPr>
                <w:rFonts w:ascii="宋体" w:hAnsi="宋体"/>
                <w:b/>
                <w:szCs w:val="21"/>
              </w:rPr>
            </w:pPr>
            <w:r>
              <w:rPr>
                <w:rFonts w:hint="eastAsia" w:ascii="宋体" w:hAnsi="宋体"/>
                <w:b/>
                <w:szCs w:val="21"/>
              </w:rPr>
              <w:t>4、其他具体事项：</w:t>
            </w:r>
          </w:p>
        </w:tc>
      </w:tr>
      <w:tr>
        <w:tblPrEx>
          <w:tblCellMar>
            <w:top w:w="0" w:type="dxa"/>
            <w:left w:w="108" w:type="dxa"/>
            <w:bottom w:w="0" w:type="dxa"/>
            <w:right w:w="108" w:type="dxa"/>
          </w:tblCellMar>
        </w:tblPrEx>
        <w:trPr>
          <w:trHeight w:val="4513" w:hRule="atLeast"/>
          <w:jc w:val="center"/>
        </w:trPr>
        <w:tc>
          <w:tcPr>
            <w:tcW w:w="4420"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szCs w:val="21"/>
              </w:rPr>
            </w:pPr>
            <w:r>
              <w:rPr>
                <w:rFonts w:hint="eastAsia" w:ascii="宋体" w:hAnsi="宋体"/>
                <w:b/>
                <w:szCs w:val="21"/>
              </w:rPr>
              <w:t>甲方（章）</w:t>
            </w: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r>
              <w:rPr>
                <w:rFonts w:hint="eastAsia" w:ascii="宋体" w:hAnsi="宋体"/>
                <w:b/>
                <w:szCs w:val="21"/>
              </w:rPr>
              <w:t xml:space="preserve">                 年   月   日 </w:t>
            </w:r>
          </w:p>
        </w:tc>
        <w:tc>
          <w:tcPr>
            <w:tcW w:w="4871"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szCs w:val="21"/>
              </w:rPr>
            </w:pPr>
            <w:r>
              <w:rPr>
                <w:rFonts w:hint="eastAsia" w:ascii="宋体" w:hAnsi="宋体"/>
                <w:b/>
                <w:szCs w:val="21"/>
              </w:rPr>
              <w:t>乙方（章）</w:t>
            </w: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p>
          <w:p>
            <w:pPr>
              <w:snapToGrid w:val="0"/>
              <w:spacing w:line="400" w:lineRule="exact"/>
              <w:ind w:firstLine="422" w:firstLineChars="200"/>
              <w:rPr>
                <w:rFonts w:ascii="宋体" w:hAnsi="宋体"/>
                <w:b/>
                <w:szCs w:val="21"/>
              </w:rPr>
            </w:pPr>
            <w:r>
              <w:rPr>
                <w:rFonts w:hint="eastAsia" w:ascii="宋体" w:hAnsi="宋体"/>
                <w:b/>
                <w:szCs w:val="21"/>
              </w:rPr>
              <w:t xml:space="preserve">                年   月   日</w:t>
            </w:r>
          </w:p>
        </w:tc>
      </w:tr>
    </w:tbl>
    <w:p>
      <w:pPr>
        <w:spacing w:line="720" w:lineRule="auto"/>
        <w:jc w:val="left"/>
        <w:rPr>
          <w:rFonts w:hAnsi="宋体"/>
        </w:rPr>
      </w:pPr>
      <w:r>
        <w:rPr>
          <w:rFonts w:hint="eastAsia" w:ascii="宋体" w:hAnsi="宋体"/>
          <w:szCs w:val="21"/>
        </w:rPr>
        <w:t xml:space="preserve">   注：售后服务事项填不下时可另加附页</w:t>
      </w:r>
      <w:r>
        <w:br w:type="page"/>
      </w:r>
      <w:r>
        <w:rPr>
          <w:rFonts w:hint="eastAsia" w:ascii="宋体" w:hAnsi="宋体"/>
          <w:b/>
        </w:rPr>
        <w:t>附件I：</w:t>
      </w:r>
    </w:p>
    <w:p>
      <w:pPr>
        <w:widowControl/>
        <w:jc w:val="center"/>
        <w:rPr>
          <w:rFonts w:ascii="宋体" w:hAnsi="宋体" w:cs="@方正仿宋简体"/>
          <w:b/>
          <w:bCs/>
          <w:kern w:val="0"/>
          <w:sz w:val="32"/>
          <w:szCs w:val="32"/>
        </w:rPr>
      </w:pPr>
      <w:r>
        <w:rPr>
          <w:rFonts w:hint="eastAsia" w:ascii="宋体" w:hAnsi="宋体" w:cs="@方正仿宋简体"/>
          <w:b/>
          <w:bCs/>
          <w:kern w:val="0"/>
          <w:sz w:val="32"/>
          <w:szCs w:val="32"/>
        </w:rPr>
        <w:t>政府采购项目合同验收报告（格式）</w:t>
      </w:r>
    </w:p>
    <w:p>
      <w:pPr>
        <w:widowControl/>
        <w:spacing w:line="360" w:lineRule="auto"/>
        <w:jc w:val="center"/>
        <w:rPr>
          <w:rFonts w:ascii="宋体" w:hAnsi="宋体" w:cs="@方正仿宋简体"/>
          <w:b/>
          <w:bCs/>
          <w:kern w:val="0"/>
          <w:szCs w:val="21"/>
        </w:rPr>
      </w:pPr>
    </w:p>
    <w:p>
      <w:pPr>
        <w:widowControl/>
        <w:snapToGrid w:val="0"/>
        <w:spacing w:line="360" w:lineRule="auto"/>
        <w:jc w:val="left"/>
        <w:rPr>
          <w:rFonts w:ascii="宋体" w:hAnsi="宋体" w:cs="@方正仿宋简体"/>
          <w:kern w:val="0"/>
          <w:szCs w:val="21"/>
        </w:rPr>
      </w:pPr>
      <w:r>
        <w:rPr>
          <w:rFonts w:hint="eastAsia" w:ascii="宋体" w:hAnsi="宋体" w:cs="@方正仿宋简体"/>
          <w:kern w:val="0"/>
          <w:szCs w:val="21"/>
        </w:rPr>
        <w:t xml:space="preserve">    根据政府采购合同（采购合同编号：</w:t>
      </w:r>
      <w:r>
        <w:rPr>
          <w:rFonts w:hint="eastAsia" w:ascii="宋体" w:hAnsi="宋体" w:cs="@方正仿宋简体"/>
          <w:kern w:val="0"/>
          <w:szCs w:val="21"/>
          <w:u w:val="single"/>
        </w:rPr>
        <w:softHyphen/>
      </w:r>
      <w:r>
        <w:rPr>
          <w:rFonts w:hint="eastAsia" w:ascii="宋体" w:hAnsi="宋体" w:cs="@方正仿宋简体"/>
          <w:kern w:val="0"/>
          <w:szCs w:val="21"/>
          <w:u w:val="single"/>
        </w:rPr>
        <w:t xml:space="preserve">                </w:t>
      </w:r>
      <w:r>
        <w:rPr>
          <w:rFonts w:hint="eastAsia" w:ascii="宋体" w:hAnsi="宋体" w:cs="@方正仿宋简体"/>
          <w:kern w:val="0"/>
          <w:szCs w:val="21"/>
        </w:rPr>
        <w:t>）的约定，我单位对</w:t>
      </w:r>
      <w:r>
        <w:rPr>
          <w:rFonts w:hint="eastAsia" w:ascii="宋体" w:hAnsi="宋体" w:cs="@方正仿宋简体"/>
          <w:kern w:val="0"/>
          <w:szCs w:val="21"/>
          <w:u w:val="single"/>
        </w:rPr>
        <w:t xml:space="preserve">（采购项目名称）       </w:t>
      </w:r>
      <w:r>
        <w:rPr>
          <w:rFonts w:hint="eastAsia" w:ascii="宋体" w:hAnsi="宋体" w:cs="@方正仿宋简体"/>
          <w:kern w:val="0"/>
          <w:szCs w:val="21"/>
        </w:rPr>
        <w:t>政府采购项目</w:t>
      </w:r>
      <w:r>
        <w:rPr>
          <w:rFonts w:hint="eastAsia" w:ascii="宋体" w:hAnsi="宋体" w:cs="@方正仿宋简体"/>
          <w:kern w:val="0"/>
          <w:szCs w:val="21"/>
          <w:u w:val="single"/>
        </w:rPr>
        <w:t xml:space="preserve">     </w:t>
      </w:r>
      <w:r>
        <w:rPr>
          <w:rFonts w:hint="eastAsia" w:ascii="宋体" w:hAnsi="宋体" w:cs="@方正仿宋简体"/>
          <w:kern w:val="0"/>
          <w:szCs w:val="21"/>
        </w:rPr>
        <w:t>分标中标（或成交）供应商</w:t>
      </w:r>
      <w:r>
        <w:rPr>
          <w:rFonts w:hint="eastAsia" w:ascii="宋体" w:hAnsi="宋体" w:cs="@方正仿宋简体"/>
          <w:kern w:val="0"/>
          <w:szCs w:val="21"/>
          <w:u w:val="single"/>
        </w:rPr>
        <w:t xml:space="preserve">    （公司名称）    </w:t>
      </w:r>
      <w:r>
        <w:rPr>
          <w:rFonts w:hint="eastAsia" w:ascii="宋体" w:hAnsi="宋体" w:cs="@方正仿宋简体"/>
          <w:kern w:val="0"/>
          <w:szCs w:val="21"/>
        </w:rPr>
        <w:t>提供的货物（或服务）进行了验收，验收情况如下：</w:t>
      </w:r>
    </w:p>
    <w:tbl>
      <w:tblPr>
        <w:tblStyle w:val="1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89"/>
        <w:gridCol w:w="741"/>
        <w:gridCol w:w="1951"/>
        <w:gridCol w:w="1272"/>
        <w:gridCol w:w="1813"/>
        <w:gridCol w:w="13"/>
        <w:gridCol w:w="843"/>
        <w:gridCol w:w="889"/>
        <w:gridCol w:w="12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1" w:hRule="atLeast"/>
          <w:jc w:val="center"/>
        </w:trPr>
        <w:tc>
          <w:tcPr>
            <w:tcW w:w="589" w:type="dxa"/>
            <w:tcBorders>
              <w:top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序号</w:t>
            </w:r>
          </w:p>
        </w:tc>
        <w:tc>
          <w:tcPr>
            <w:tcW w:w="2692" w:type="dxa"/>
            <w:gridSpan w:val="2"/>
            <w:tcBorders>
              <w:top w:val="single" w:color="auto" w:sz="4" w:space="0"/>
              <w:left w:val="single" w:color="auto" w:sz="4" w:space="0"/>
            </w:tcBorders>
            <w:vAlign w:val="center"/>
          </w:tcPr>
          <w:p>
            <w:pPr>
              <w:jc w:val="center"/>
              <w:rPr>
                <w:rFonts w:ascii="宋体" w:hAnsi="宋体" w:cs="宋体"/>
                <w:szCs w:val="21"/>
              </w:rPr>
            </w:pPr>
            <w:r>
              <w:rPr>
                <w:rFonts w:hint="eastAsia" w:ascii="宋体" w:hAnsi="宋体" w:cs="宋体"/>
                <w:szCs w:val="21"/>
              </w:rPr>
              <w:t>名    称</w:t>
            </w:r>
          </w:p>
        </w:tc>
        <w:tc>
          <w:tcPr>
            <w:tcW w:w="3085" w:type="dxa"/>
            <w:gridSpan w:val="2"/>
            <w:vAlign w:val="center"/>
          </w:tcPr>
          <w:p>
            <w:pPr>
              <w:jc w:val="center"/>
              <w:rPr>
                <w:rFonts w:ascii="宋体" w:hAnsi="宋体" w:cs="宋体"/>
                <w:szCs w:val="21"/>
              </w:rPr>
            </w:pPr>
            <w:r>
              <w:rPr>
                <w:rFonts w:hint="eastAsia" w:ascii="宋体" w:hAnsi="宋体" w:cs="宋体"/>
                <w:szCs w:val="21"/>
              </w:rPr>
              <w:t>货物型号规格、标准及配置</w:t>
            </w:r>
          </w:p>
          <w:p>
            <w:pPr>
              <w:jc w:val="center"/>
              <w:rPr>
                <w:rFonts w:ascii="宋体" w:hAnsi="宋体" w:cs="宋体"/>
                <w:szCs w:val="21"/>
              </w:rPr>
            </w:pPr>
            <w:r>
              <w:rPr>
                <w:rFonts w:hint="eastAsia" w:ascii="宋体" w:hAnsi="宋体" w:cs="宋体"/>
                <w:szCs w:val="21"/>
              </w:rPr>
              <w:t>（或服务内容、标准）</w:t>
            </w:r>
          </w:p>
        </w:tc>
        <w:tc>
          <w:tcPr>
            <w:tcW w:w="856" w:type="dxa"/>
            <w:gridSpan w:val="2"/>
            <w:vAlign w:val="center"/>
          </w:tcPr>
          <w:p>
            <w:pPr>
              <w:jc w:val="center"/>
              <w:rPr>
                <w:rFonts w:ascii="宋体" w:hAnsi="宋体" w:cs="宋体"/>
                <w:szCs w:val="21"/>
              </w:rPr>
            </w:pPr>
            <w:r>
              <w:rPr>
                <w:rFonts w:hint="eastAsia" w:ascii="宋体" w:hAnsi="宋体" w:cs="宋体"/>
                <w:szCs w:val="21"/>
              </w:rPr>
              <w:t>数量</w:t>
            </w:r>
          </w:p>
        </w:tc>
        <w:tc>
          <w:tcPr>
            <w:tcW w:w="889"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金额</w:t>
            </w:r>
          </w:p>
        </w:tc>
        <w:tc>
          <w:tcPr>
            <w:tcW w:w="1290" w:type="dxa"/>
            <w:tcBorders>
              <w:left w:val="single" w:color="auto" w:sz="4" w:space="0"/>
            </w:tcBorders>
            <w:vAlign w:val="center"/>
          </w:tcPr>
          <w:p>
            <w:pPr>
              <w:jc w:val="center"/>
              <w:rPr>
                <w:rFonts w:ascii="宋体" w:hAnsi="宋体" w:cs="宋体"/>
                <w:szCs w:val="21"/>
              </w:rPr>
            </w:pPr>
            <w:r>
              <w:rPr>
                <w:rFonts w:hint="eastAsia" w:ascii="宋体" w:hAnsi="宋体" w:cs="宋体"/>
                <w:szCs w:val="21"/>
              </w:rPr>
              <w:t>与合同约定</w:t>
            </w:r>
          </w:p>
          <w:p>
            <w:pPr>
              <w:jc w:val="center"/>
              <w:rPr>
                <w:rFonts w:ascii="宋体" w:hAnsi="宋体" w:cs="宋体"/>
                <w:szCs w:val="21"/>
              </w:rPr>
            </w:pPr>
            <w:r>
              <w:rPr>
                <w:rFonts w:hint="eastAsia" w:ascii="宋体" w:hAnsi="宋体" w:cs="宋体"/>
                <w:szCs w:val="21"/>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589" w:type="dxa"/>
            <w:tcBorders>
              <w:right w:val="single" w:color="auto" w:sz="4" w:space="0"/>
            </w:tcBorders>
            <w:vAlign w:val="center"/>
          </w:tcPr>
          <w:p>
            <w:pPr>
              <w:rPr>
                <w:rFonts w:ascii="宋体" w:hAnsi="宋体" w:cs="宋体"/>
                <w:szCs w:val="21"/>
              </w:rPr>
            </w:pPr>
          </w:p>
        </w:tc>
        <w:tc>
          <w:tcPr>
            <w:tcW w:w="2692" w:type="dxa"/>
            <w:gridSpan w:val="2"/>
            <w:tcBorders>
              <w:left w:val="single" w:color="auto" w:sz="4" w:space="0"/>
            </w:tcBorders>
            <w:vAlign w:val="center"/>
          </w:tcPr>
          <w:p>
            <w:pPr>
              <w:rPr>
                <w:rFonts w:ascii="宋体" w:hAnsi="宋体" w:cs="宋体"/>
                <w:szCs w:val="21"/>
              </w:rPr>
            </w:pPr>
            <w:r>
              <w:rPr>
                <w:rFonts w:hint="eastAsia" w:ascii="宋体" w:hAnsi="宋体" w:cs="宋体"/>
                <w:szCs w:val="21"/>
              </w:rPr>
              <w:t> </w:t>
            </w:r>
          </w:p>
        </w:tc>
        <w:tc>
          <w:tcPr>
            <w:tcW w:w="3085" w:type="dxa"/>
            <w:gridSpan w:val="2"/>
            <w:vAlign w:val="center"/>
          </w:tcPr>
          <w:p>
            <w:pPr>
              <w:rPr>
                <w:rFonts w:ascii="宋体" w:hAnsi="宋体" w:cs="宋体"/>
                <w:szCs w:val="21"/>
              </w:rPr>
            </w:pPr>
            <w:r>
              <w:rPr>
                <w:rFonts w:hint="eastAsia" w:ascii="宋体" w:hAnsi="宋体" w:cs="宋体"/>
                <w:szCs w:val="21"/>
              </w:rPr>
              <w:t> </w:t>
            </w:r>
          </w:p>
        </w:tc>
        <w:tc>
          <w:tcPr>
            <w:tcW w:w="856" w:type="dxa"/>
            <w:gridSpan w:val="2"/>
            <w:vAlign w:val="center"/>
          </w:tcPr>
          <w:p>
            <w:pPr>
              <w:rPr>
                <w:rFonts w:ascii="宋体" w:hAnsi="宋体" w:cs="宋体"/>
                <w:szCs w:val="21"/>
              </w:rPr>
            </w:pPr>
            <w:r>
              <w:rPr>
                <w:rFonts w:hint="eastAsia" w:ascii="宋体" w:hAnsi="宋体" w:cs="宋体"/>
                <w:szCs w:val="21"/>
              </w:rPr>
              <w:t> </w:t>
            </w:r>
          </w:p>
        </w:tc>
        <w:tc>
          <w:tcPr>
            <w:tcW w:w="889" w:type="dxa"/>
            <w:tcBorders>
              <w:right w:val="single" w:color="auto" w:sz="4" w:space="0"/>
            </w:tcBorders>
            <w:vAlign w:val="center"/>
          </w:tcPr>
          <w:p>
            <w:pPr>
              <w:rPr>
                <w:rFonts w:ascii="宋体" w:hAnsi="宋体" w:cs="宋体"/>
                <w:szCs w:val="21"/>
              </w:rPr>
            </w:pPr>
            <w:r>
              <w:rPr>
                <w:rFonts w:hint="eastAsia" w:ascii="宋体" w:hAnsi="宋体" w:cs="宋体"/>
                <w:szCs w:val="21"/>
              </w:rPr>
              <w:t> </w:t>
            </w:r>
          </w:p>
        </w:tc>
        <w:tc>
          <w:tcPr>
            <w:tcW w:w="1290" w:type="dxa"/>
            <w:tcBorders>
              <w:left w:val="single" w:color="auto" w:sz="4" w:space="0"/>
            </w:tcBorders>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589" w:type="dxa"/>
            <w:tcBorders>
              <w:right w:val="single" w:color="auto" w:sz="4" w:space="0"/>
            </w:tcBorders>
            <w:vAlign w:val="center"/>
          </w:tcPr>
          <w:p>
            <w:pPr>
              <w:rPr>
                <w:rFonts w:ascii="宋体" w:hAnsi="宋体" w:cs="宋体"/>
                <w:szCs w:val="21"/>
              </w:rPr>
            </w:pPr>
          </w:p>
        </w:tc>
        <w:tc>
          <w:tcPr>
            <w:tcW w:w="2692" w:type="dxa"/>
            <w:gridSpan w:val="2"/>
            <w:tcBorders>
              <w:left w:val="single" w:color="auto" w:sz="4" w:space="0"/>
            </w:tcBorders>
            <w:vAlign w:val="center"/>
          </w:tcPr>
          <w:p>
            <w:pPr>
              <w:rPr>
                <w:rFonts w:ascii="宋体" w:hAnsi="宋体" w:cs="宋体"/>
                <w:szCs w:val="21"/>
              </w:rPr>
            </w:pPr>
            <w:r>
              <w:rPr>
                <w:rFonts w:hint="eastAsia" w:ascii="宋体" w:hAnsi="宋体" w:cs="宋体"/>
                <w:szCs w:val="21"/>
              </w:rPr>
              <w:t> </w:t>
            </w:r>
          </w:p>
        </w:tc>
        <w:tc>
          <w:tcPr>
            <w:tcW w:w="3085" w:type="dxa"/>
            <w:gridSpan w:val="2"/>
            <w:vAlign w:val="center"/>
          </w:tcPr>
          <w:p>
            <w:pPr>
              <w:rPr>
                <w:rFonts w:ascii="宋体" w:hAnsi="宋体" w:cs="宋体"/>
                <w:szCs w:val="21"/>
              </w:rPr>
            </w:pPr>
            <w:r>
              <w:rPr>
                <w:rFonts w:hint="eastAsia" w:ascii="宋体" w:hAnsi="宋体" w:cs="宋体"/>
                <w:szCs w:val="21"/>
              </w:rPr>
              <w:t> </w:t>
            </w:r>
          </w:p>
        </w:tc>
        <w:tc>
          <w:tcPr>
            <w:tcW w:w="856" w:type="dxa"/>
            <w:gridSpan w:val="2"/>
            <w:vAlign w:val="center"/>
          </w:tcPr>
          <w:p>
            <w:pPr>
              <w:rPr>
                <w:rFonts w:ascii="宋体" w:hAnsi="宋体" w:cs="宋体"/>
                <w:szCs w:val="21"/>
              </w:rPr>
            </w:pPr>
            <w:r>
              <w:rPr>
                <w:rFonts w:hint="eastAsia" w:ascii="宋体" w:hAnsi="宋体" w:cs="宋体"/>
                <w:szCs w:val="21"/>
              </w:rPr>
              <w:t> </w:t>
            </w:r>
          </w:p>
        </w:tc>
        <w:tc>
          <w:tcPr>
            <w:tcW w:w="889" w:type="dxa"/>
            <w:tcBorders>
              <w:right w:val="single" w:color="auto" w:sz="4" w:space="0"/>
            </w:tcBorders>
            <w:vAlign w:val="center"/>
          </w:tcPr>
          <w:p>
            <w:pPr>
              <w:rPr>
                <w:rFonts w:ascii="宋体" w:hAnsi="宋体" w:cs="宋体"/>
                <w:szCs w:val="21"/>
              </w:rPr>
            </w:pPr>
            <w:r>
              <w:rPr>
                <w:rFonts w:hint="eastAsia" w:ascii="宋体" w:hAnsi="宋体" w:cs="宋体"/>
                <w:szCs w:val="21"/>
              </w:rPr>
              <w:t> </w:t>
            </w:r>
          </w:p>
        </w:tc>
        <w:tc>
          <w:tcPr>
            <w:tcW w:w="1290" w:type="dxa"/>
            <w:tcBorders>
              <w:left w:val="single" w:color="auto" w:sz="4" w:space="0"/>
            </w:tcBorders>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589" w:type="dxa"/>
            <w:tcBorders>
              <w:right w:val="single" w:color="auto" w:sz="4" w:space="0"/>
            </w:tcBorders>
            <w:vAlign w:val="center"/>
          </w:tcPr>
          <w:p>
            <w:pPr>
              <w:rPr>
                <w:rFonts w:ascii="宋体" w:hAnsi="宋体" w:cs="宋体"/>
                <w:szCs w:val="21"/>
              </w:rPr>
            </w:pPr>
          </w:p>
        </w:tc>
        <w:tc>
          <w:tcPr>
            <w:tcW w:w="2692" w:type="dxa"/>
            <w:gridSpan w:val="2"/>
            <w:tcBorders>
              <w:left w:val="single" w:color="auto" w:sz="4" w:space="0"/>
            </w:tcBorders>
            <w:vAlign w:val="center"/>
          </w:tcPr>
          <w:p>
            <w:pPr>
              <w:rPr>
                <w:rFonts w:ascii="宋体" w:hAnsi="宋体" w:cs="宋体"/>
                <w:szCs w:val="21"/>
              </w:rPr>
            </w:pPr>
            <w:r>
              <w:rPr>
                <w:rFonts w:hint="eastAsia" w:ascii="宋体" w:hAnsi="宋体" w:cs="宋体"/>
                <w:szCs w:val="21"/>
              </w:rPr>
              <w:t> </w:t>
            </w:r>
          </w:p>
        </w:tc>
        <w:tc>
          <w:tcPr>
            <w:tcW w:w="3085" w:type="dxa"/>
            <w:gridSpan w:val="2"/>
            <w:vAlign w:val="center"/>
          </w:tcPr>
          <w:p>
            <w:pPr>
              <w:rPr>
                <w:rFonts w:ascii="宋体" w:hAnsi="宋体" w:cs="宋体"/>
                <w:szCs w:val="21"/>
              </w:rPr>
            </w:pPr>
            <w:r>
              <w:rPr>
                <w:rFonts w:hint="eastAsia" w:ascii="宋体" w:hAnsi="宋体" w:cs="宋体"/>
                <w:szCs w:val="21"/>
              </w:rPr>
              <w:t> </w:t>
            </w:r>
          </w:p>
        </w:tc>
        <w:tc>
          <w:tcPr>
            <w:tcW w:w="856" w:type="dxa"/>
            <w:gridSpan w:val="2"/>
            <w:vAlign w:val="center"/>
          </w:tcPr>
          <w:p>
            <w:pPr>
              <w:rPr>
                <w:rFonts w:ascii="宋体" w:hAnsi="宋体" w:cs="宋体"/>
                <w:szCs w:val="21"/>
              </w:rPr>
            </w:pPr>
            <w:r>
              <w:rPr>
                <w:rFonts w:hint="eastAsia" w:ascii="宋体" w:hAnsi="宋体" w:cs="宋体"/>
                <w:szCs w:val="21"/>
              </w:rPr>
              <w:t> </w:t>
            </w:r>
          </w:p>
        </w:tc>
        <w:tc>
          <w:tcPr>
            <w:tcW w:w="889" w:type="dxa"/>
            <w:tcBorders>
              <w:right w:val="single" w:color="auto" w:sz="4" w:space="0"/>
            </w:tcBorders>
            <w:vAlign w:val="center"/>
          </w:tcPr>
          <w:p>
            <w:pPr>
              <w:rPr>
                <w:rFonts w:ascii="宋体" w:hAnsi="宋体" w:cs="宋体"/>
                <w:szCs w:val="21"/>
              </w:rPr>
            </w:pPr>
            <w:r>
              <w:rPr>
                <w:rFonts w:hint="eastAsia" w:ascii="宋体" w:hAnsi="宋体" w:cs="宋体"/>
                <w:szCs w:val="21"/>
              </w:rPr>
              <w:t> </w:t>
            </w:r>
          </w:p>
        </w:tc>
        <w:tc>
          <w:tcPr>
            <w:tcW w:w="1290" w:type="dxa"/>
            <w:tcBorders>
              <w:left w:val="single" w:color="auto" w:sz="4" w:space="0"/>
            </w:tcBorders>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589" w:type="dxa"/>
            <w:tcBorders>
              <w:right w:val="single" w:color="auto" w:sz="4" w:space="0"/>
            </w:tcBorders>
            <w:vAlign w:val="center"/>
          </w:tcPr>
          <w:p>
            <w:pPr>
              <w:rPr>
                <w:rFonts w:ascii="宋体" w:hAnsi="宋体" w:cs="宋体"/>
                <w:szCs w:val="21"/>
              </w:rPr>
            </w:pPr>
          </w:p>
        </w:tc>
        <w:tc>
          <w:tcPr>
            <w:tcW w:w="2692" w:type="dxa"/>
            <w:gridSpan w:val="2"/>
            <w:tcBorders>
              <w:left w:val="single" w:color="auto" w:sz="4" w:space="0"/>
            </w:tcBorders>
            <w:vAlign w:val="center"/>
          </w:tcPr>
          <w:p>
            <w:pPr>
              <w:rPr>
                <w:rFonts w:ascii="宋体" w:hAnsi="宋体" w:cs="宋体"/>
                <w:szCs w:val="21"/>
              </w:rPr>
            </w:pPr>
            <w:r>
              <w:rPr>
                <w:rFonts w:hint="eastAsia" w:ascii="宋体" w:hAnsi="宋体" w:cs="宋体"/>
                <w:szCs w:val="21"/>
              </w:rPr>
              <w:t> </w:t>
            </w:r>
          </w:p>
        </w:tc>
        <w:tc>
          <w:tcPr>
            <w:tcW w:w="3085" w:type="dxa"/>
            <w:gridSpan w:val="2"/>
            <w:vAlign w:val="center"/>
          </w:tcPr>
          <w:p>
            <w:pPr>
              <w:rPr>
                <w:rFonts w:ascii="宋体" w:hAnsi="宋体" w:cs="宋体"/>
                <w:szCs w:val="21"/>
              </w:rPr>
            </w:pPr>
            <w:r>
              <w:rPr>
                <w:rFonts w:hint="eastAsia" w:ascii="宋体" w:hAnsi="宋体" w:cs="宋体"/>
                <w:szCs w:val="21"/>
              </w:rPr>
              <w:t> </w:t>
            </w:r>
          </w:p>
        </w:tc>
        <w:tc>
          <w:tcPr>
            <w:tcW w:w="856" w:type="dxa"/>
            <w:gridSpan w:val="2"/>
            <w:vAlign w:val="center"/>
          </w:tcPr>
          <w:p>
            <w:pPr>
              <w:rPr>
                <w:rFonts w:ascii="宋体" w:hAnsi="宋体" w:cs="宋体"/>
                <w:szCs w:val="21"/>
              </w:rPr>
            </w:pPr>
            <w:r>
              <w:rPr>
                <w:rFonts w:hint="eastAsia" w:ascii="宋体" w:hAnsi="宋体" w:cs="宋体"/>
                <w:szCs w:val="21"/>
              </w:rPr>
              <w:t> </w:t>
            </w:r>
          </w:p>
        </w:tc>
        <w:tc>
          <w:tcPr>
            <w:tcW w:w="889" w:type="dxa"/>
            <w:tcBorders>
              <w:right w:val="single" w:color="auto" w:sz="4" w:space="0"/>
            </w:tcBorders>
            <w:vAlign w:val="center"/>
          </w:tcPr>
          <w:p>
            <w:pPr>
              <w:rPr>
                <w:rFonts w:ascii="宋体" w:hAnsi="宋体" w:cs="宋体"/>
                <w:szCs w:val="21"/>
              </w:rPr>
            </w:pPr>
            <w:r>
              <w:rPr>
                <w:rFonts w:hint="eastAsia" w:ascii="宋体" w:hAnsi="宋体" w:cs="宋体"/>
                <w:szCs w:val="21"/>
              </w:rPr>
              <w:t> </w:t>
            </w:r>
          </w:p>
        </w:tc>
        <w:tc>
          <w:tcPr>
            <w:tcW w:w="1290" w:type="dxa"/>
            <w:tcBorders>
              <w:left w:val="single" w:color="auto" w:sz="4" w:space="0"/>
            </w:tcBorders>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589" w:type="dxa"/>
            <w:tcBorders>
              <w:right w:val="single" w:color="auto" w:sz="4" w:space="0"/>
            </w:tcBorders>
            <w:vAlign w:val="center"/>
          </w:tcPr>
          <w:p>
            <w:pPr>
              <w:rPr>
                <w:rFonts w:ascii="宋体" w:hAnsi="宋体" w:cs="宋体"/>
                <w:szCs w:val="21"/>
              </w:rPr>
            </w:pPr>
          </w:p>
        </w:tc>
        <w:tc>
          <w:tcPr>
            <w:tcW w:w="2692" w:type="dxa"/>
            <w:gridSpan w:val="2"/>
            <w:tcBorders>
              <w:left w:val="single" w:color="auto" w:sz="4" w:space="0"/>
            </w:tcBorders>
            <w:vAlign w:val="center"/>
          </w:tcPr>
          <w:p>
            <w:pPr>
              <w:rPr>
                <w:rFonts w:ascii="宋体" w:hAnsi="宋体" w:cs="宋体"/>
                <w:szCs w:val="21"/>
              </w:rPr>
            </w:pPr>
          </w:p>
        </w:tc>
        <w:tc>
          <w:tcPr>
            <w:tcW w:w="3085" w:type="dxa"/>
            <w:gridSpan w:val="2"/>
            <w:vAlign w:val="center"/>
          </w:tcPr>
          <w:p>
            <w:pPr>
              <w:rPr>
                <w:rFonts w:ascii="宋体" w:hAnsi="宋体" w:cs="宋体"/>
                <w:szCs w:val="21"/>
              </w:rPr>
            </w:pPr>
          </w:p>
        </w:tc>
        <w:tc>
          <w:tcPr>
            <w:tcW w:w="856" w:type="dxa"/>
            <w:gridSpan w:val="2"/>
            <w:vAlign w:val="center"/>
          </w:tcPr>
          <w:p>
            <w:pPr>
              <w:rPr>
                <w:rFonts w:ascii="宋体" w:hAnsi="宋体" w:cs="宋体"/>
                <w:szCs w:val="21"/>
              </w:rPr>
            </w:pPr>
          </w:p>
        </w:tc>
        <w:tc>
          <w:tcPr>
            <w:tcW w:w="889" w:type="dxa"/>
            <w:tcBorders>
              <w:right w:val="single" w:color="auto" w:sz="4" w:space="0"/>
            </w:tcBorders>
            <w:vAlign w:val="center"/>
          </w:tcPr>
          <w:p>
            <w:pPr>
              <w:rPr>
                <w:rFonts w:ascii="宋体" w:hAnsi="宋体" w:cs="宋体"/>
                <w:szCs w:val="21"/>
              </w:rPr>
            </w:pPr>
          </w:p>
        </w:tc>
        <w:tc>
          <w:tcPr>
            <w:tcW w:w="1290" w:type="dxa"/>
            <w:tcBorders>
              <w:left w:val="single" w:color="auto" w:sz="4" w:space="0"/>
            </w:tcBorders>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6366" w:type="dxa"/>
            <w:gridSpan w:val="5"/>
            <w:vAlign w:val="center"/>
          </w:tcPr>
          <w:p>
            <w:pPr>
              <w:rPr>
                <w:rFonts w:ascii="宋体" w:hAnsi="宋体" w:cs="宋体"/>
                <w:szCs w:val="21"/>
              </w:rPr>
            </w:pPr>
            <w:r>
              <w:rPr>
                <w:rFonts w:hint="eastAsia" w:ascii="宋体" w:hAnsi="宋体" w:cs="宋体"/>
                <w:szCs w:val="21"/>
              </w:rPr>
              <w:t>合     计</w:t>
            </w:r>
          </w:p>
        </w:tc>
        <w:tc>
          <w:tcPr>
            <w:tcW w:w="856" w:type="dxa"/>
            <w:gridSpan w:val="2"/>
            <w:vAlign w:val="center"/>
          </w:tcPr>
          <w:p>
            <w:pPr>
              <w:rPr>
                <w:rFonts w:ascii="宋体" w:hAnsi="宋体" w:cs="宋体"/>
                <w:szCs w:val="21"/>
              </w:rPr>
            </w:pPr>
          </w:p>
        </w:tc>
        <w:tc>
          <w:tcPr>
            <w:tcW w:w="889" w:type="dxa"/>
            <w:tcBorders>
              <w:right w:val="single" w:color="auto" w:sz="4" w:space="0"/>
            </w:tcBorders>
            <w:vAlign w:val="center"/>
          </w:tcPr>
          <w:p>
            <w:pPr>
              <w:rPr>
                <w:rFonts w:ascii="宋体" w:hAnsi="宋体" w:cs="宋体"/>
                <w:szCs w:val="21"/>
              </w:rPr>
            </w:pPr>
          </w:p>
        </w:tc>
        <w:tc>
          <w:tcPr>
            <w:tcW w:w="1290" w:type="dxa"/>
            <w:tcBorders>
              <w:left w:val="single" w:color="auto" w:sz="4" w:space="0"/>
            </w:tcBorders>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9401" w:type="dxa"/>
            <w:gridSpan w:val="9"/>
            <w:vAlign w:val="center"/>
          </w:tcPr>
          <w:p>
            <w:pPr>
              <w:rPr>
                <w:rFonts w:ascii="宋体" w:hAnsi="宋体" w:cs="宋体"/>
                <w:szCs w:val="21"/>
              </w:rPr>
            </w:pPr>
            <w:r>
              <w:rPr>
                <w:rFonts w:hint="eastAsia" w:ascii="宋体" w:hAnsi="宋体" w:cs="宋体"/>
                <w:szCs w:val="21"/>
              </w:rPr>
              <w:t>合 计 大 写 金 额 ：人民币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1330" w:type="dxa"/>
            <w:gridSpan w:val="2"/>
            <w:vAlign w:val="center"/>
          </w:tcPr>
          <w:p>
            <w:pPr>
              <w:rPr>
                <w:rFonts w:ascii="宋体" w:hAnsi="宋体" w:cs="宋体"/>
                <w:szCs w:val="21"/>
              </w:rPr>
            </w:pPr>
            <w:r>
              <w:rPr>
                <w:rFonts w:hint="eastAsia" w:ascii="宋体" w:hAnsi="宋体" w:cs="宋体"/>
                <w:szCs w:val="21"/>
              </w:rPr>
              <w:t>实际供货日期</w:t>
            </w:r>
          </w:p>
        </w:tc>
        <w:tc>
          <w:tcPr>
            <w:tcW w:w="3223" w:type="dxa"/>
            <w:gridSpan w:val="2"/>
            <w:vAlign w:val="center"/>
          </w:tcPr>
          <w:p>
            <w:pPr>
              <w:rPr>
                <w:rFonts w:ascii="宋体" w:hAnsi="宋体" w:cs="宋体"/>
                <w:szCs w:val="21"/>
              </w:rPr>
            </w:pPr>
          </w:p>
        </w:tc>
        <w:tc>
          <w:tcPr>
            <w:tcW w:w="1826" w:type="dxa"/>
            <w:gridSpan w:val="2"/>
            <w:vAlign w:val="center"/>
          </w:tcPr>
          <w:p>
            <w:pPr>
              <w:rPr>
                <w:rFonts w:ascii="宋体" w:hAnsi="宋体" w:cs="宋体"/>
                <w:szCs w:val="21"/>
              </w:rPr>
            </w:pPr>
            <w:r>
              <w:rPr>
                <w:rFonts w:hint="eastAsia" w:ascii="宋体" w:hAnsi="宋体" w:cs="宋体"/>
                <w:szCs w:val="21"/>
              </w:rPr>
              <w:t>合同交货验收日期</w:t>
            </w:r>
          </w:p>
        </w:tc>
        <w:tc>
          <w:tcPr>
            <w:tcW w:w="3022" w:type="dxa"/>
            <w:gridSpan w:val="3"/>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1330" w:type="dxa"/>
            <w:gridSpan w:val="2"/>
            <w:vAlign w:val="center"/>
          </w:tcPr>
          <w:p>
            <w:pPr>
              <w:rPr>
                <w:rFonts w:ascii="宋体" w:hAnsi="宋体" w:cs="宋体"/>
                <w:szCs w:val="21"/>
              </w:rPr>
            </w:pPr>
          </w:p>
        </w:tc>
        <w:tc>
          <w:tcPr>
            <w:tcW w:w="3223" w:type="dxa"/>
            <w:gridSpan w:val="2"/>
            <w:vAlign w:val="center"/>
          </w:tcPr>
          <w:p>
            <w:pPr>
              <w:rPr>
                <w:rFonts w:ascii="宋体" w:hAnsi="宋体" w:cs="宋体"/>
                <w:szCs w:val="21"/>
              </w:rPr>
            </w:pPr>
          </w:p>
        </w:tc>
        <w:tc>
          <w:tcPr>
            <w:tcW w:w="1826" w:type="dxa"/>
            <w:gridSpan w:val="2"/>
            <w:vAlign w:val="center"/>
          </w:tcPr>
          <w:p>
            <w:pPr>
              <w:rPr>
                <w:rFonts w:ascii="宋体" w:hAnsi="宋体" w:cs="宋体"/>
                <w:szCs w:val="21"/>
              </w:rPr>
            </w:pPr>
          </w:p>
        </w:tc>
        <w:tc>
          <w:tcPr>
            <w:tcW w:w="3022" w:type="dxa"/>
            <w:gridSpan w:val="3"/>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6" w:hRule="atLeast"/>
          <w:jc w:val="center"/>
        </w:trPr>
        <w:tc>
          <w:tcPr>
            <w:tcW w:w="1330" w:type="dxa"/>
            <w:gridSpan w:val="2"/>
            <w:tcMar>
              <w:top w:w="0" w:type="dxa"/>
              <w:left w:w="108" w:type="dxa"/>
              <w:bottom w:w="0" w:type="dxa"/>
              <w:right w:w="108" w:type="dxa"/>
            </w:tcMar>
            <w:vAlign w:val="center"/>
          </w:tcPr>
          <w:p>
            <w:pPr>
              <w:rPr>
                <w:rFonts w:ascii="宋体" w:hAnsi="宋体" w:cs="宋体"/>
                <w:szCs w:val="21"/>
              </w:rPr>
            </w:pPr>
            <w:r>
              <w:rPr>
                <w:rFonts w:hint="eastAsia" w:ascii="宋体" w:hAnsi="宋体" w:cs="宋体"/>
                <w:szCs w:val="21"/>
              </w:rPr>
              <w:t>验收具体内容</w:t>
            </w:r>
          </w:p>
        </w:tc>
        <w:tc>
          <w:tcPr>
            <w:tcW w:w="8071" w:type="dxa"/>
            <w:gridSpan w:val="7"/>
            <w:tcMar>
              <w:top w:w="0" w:type="dxa"/>
              <w:left w:w="108" w:type="dxa"/>
              <w:bottom w:w="0" w:type="dxa"/>
              <w:right w:w="108" w:type="dxa"/>
            </w:tcMar>
            <w:vAlign w:val="center"/>
          </w:tcPr>
          <w:p>
            <w:pPr>
              <w:rPr>
                <w:rFonts w:ascii="宋体" w:hAnsi="宋体" w:cs="宋体"/>
                <w:szCs w:val="21"/>
              </w:rPr>
            </w:pPr>
            <w:r>
              <w:rPr>
                <w:rFonts w:hint="eastAsia" w:ascii="宋体" w:hAnsi="宋体" w:cs="宋体"/>
                <w:szCs w:val="21"/>
              </w:rPr>
              <w:t> (应按采购合同、采购文件、竞标响应文件及验收方案等进行验收；并核对中标或成交供应商在安装调试等方面是否违反合同约定或服务规范要求、提供的质量保证证明材料是否齐全、应有的配件及附件是否达到合同约定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5" w:hRule="atLeast"/>
          <w:jc w:val="center"/>
        </w:trPr>
        <w:tc>
          <w:tcPr>
            <w:tcW w:w="1330" w:type="dxa"/>
            <w:gridSpan w:val="2"/>
            <w:vMerge w:val="restart"/>
            <w:tcMar>
              <w:top w:w="0" w:type="dxa"/>
              <w:left w:w="108" w:type="dxa"/>
              <w:bottom w:w="0" w:type="dxa"/>
              <w:right w:w="108" w:type="dxa"/>
            </w:tcMar>
            <w:vAlign w:val="center"/>
          </w:tcPr>
          <w:p>
            <w:pPr>
              <w:rPr>
                <w:rFonts w:ascii="宋体" w:hAnsi="宋体" w:cs="宋体"/>
                <w:szCs w:val="21"/>
              </w:rPr>
            </w:pPr>
            <w:r>
              <w:rPr>
                <w:rFonts w:hint="eastAsia" w:ascii="宋体" w:hAnsi="宋体" w:cs="宋体"/>
                <w:szCs w:val="21"/>
              </w:rPr>
              <w:t>验收小组意见</w:t>
            </w:r>
          </w:p>
        </w:tc>
        <w:tc>
          <w:tcPr>
            <w:tcW w:w="8071" w:type="dxa"/>
            <w:gridSpan w:val="7"/>
            <w:tcBorders>
              <w:bottom w:val="single" w:color="auto" w:sz="4" w:space="0"/>
            </w:tcBorders>
            <w:vAlign w:val="center"/>
          </w:tcPr>
          <w:p>
            <w:pPr>
              <w:rPr>
                <w:rFonts w:ascii="宋体" w:hAnsi="宋体" w:cs="宋体"/>
                <w:szCs w:val="21"/>
              </w:rPr>
            </w:pPr>
            <w:r>
              <w:rPr>
                <w:rFonts w:hint="eastAsia" w:ascii="宋体" w:hAnsi="宋体" w:cs="宋体"/>
                <w:szCs w:val="21"/>
              </w:rPr>
              <w:t>验收结论性意见：</w:t>
            </w:r>
          </w:p>
          <w:p>
            <w:pPr>
              <w:rPr>
                <w:rFonts w:ascii="宋体" w:hAnsi="宋体" w:cs="宋体"/>
                <w:szCs w:val="21"/>
              </w:rPr>
            </w:pPr>
          </w:p>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33" w:hRule="atLeast"/>
          <w:jc w:val="center"/>
        </w:trPr>
        <w:tc>
          <w:tcPr>
            <w:tcW w:w="1330" w:type="dxa"/>
            <w:gridSpan w:val="2"/>
            <w:vMerge w:val="continue"/>
            <w:tcMar>
              <w:top w:w="0" w:type="dxa"/>
              <w:left w:w="108" w:type="dxa"/>
              <w:bottom w:w="0" w:type="dxa"/>
              <w:right w:w="108" w:type="dxa"/>
            </w:tcMar>
            <w:vAlign w:val="center"/>
          </w:tcPr>
          <w:p>
            <w:pPr>
              <w:rPr>
                <w:rFonts w:ascii="宋体" w:hAnsi="宋体" w:cs="宋体"/>
                <w:szCs w:val="21"/>
              </w:rPr>
            </w:pPr>
          </w:p>
        </w:tc>
        <w:tc>
          <w:tcPr>
            <w:tcW w:w="8071" w:type="dxa"/>
            <w:gridSpan w:val="7"/>
            <w:tcBorders>
              <w:top w:val="single" w:color="auto" w:sz="4" w:space="0"/>
            </w:tcBorders>
            <w:vAlign w:val="center"/>
          </w:tcPr>
          <w:p>
            <w:pPr>
              <w:rPr>
                <w:rFonts w:ascii="宋体" w:hAnsi="宋体" w:cs="宋体"/>
                <w:szCs w:val="21"/>
              </w:rPr>
            </w:pPr>
            <w:r>
              <w:rPr>
                <w:rFonts w:hint="eastAsia" w:ascii="宋体" w:hAnsi="宋体" w:cs="宋体"/>
                <w:szCs w:val="21"/>
              </w:rPr>
              <w:t>有异议的意见和说明理由：</w:t>
            </w:r>
          </w:p>
          <w:p>
            <w:pPr>
              <w:rPr>
                <w:rFonts w:ascii="宋体" w:hAnsi="宋体" w:cs="宋体"/>
                <w:szCs w:val="21"/>
              </w:rPr>
            </w:pPr>
          </w:p>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0" w:hRule="atLeast"/>
          <w:jc w:val="center"/>
        </w:trPr>
        <w:tc>
          <w:tcPr>
            <w:tcW w:w="9401" w:type="dxa"/>
            <w:gridSpan w:val="9"/>
            <w:tcMar>
              <w:top w:w="0" w:type="dxa"/>
              <w:left w:w="108" w:type="dxa"/>
              <w:bottom w:w="0" w:type="dxa"/>
              <w:right w:w="108" w:type="dxa"/>
            </w:tcMar>
            <w:vAlign w:val="center"/>
          </w:tcPr>
          <w:p>
            <w:pPr>
              <w:rPr>
                <w:rFonts w:ascii="宋体" w:hAnsi="宋体" w:cs="宋体"/>
                <w:szCs w:val="21"/>
              </w:rPr>
            </w:pPr>
            <w:r>
              <w:rPr>
                <w:rFonts w:hint="eastAsia" w:ascii="宋体" w:hAnsi="宋体" w:cs="宋体"/>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1" w:hRule="atLeast"/>
          <w:jc w:val="center"/>
        </w:trPr>
        <w:tc>
          <w:tcPr>
            <w:tcW w:w="9401" w:type="dxa"/>
            <w:gridSpan w:val="9"/>
            <w:tcMar>
              <w:top w:w="0" w:type="dxa"/>
              <w:left w:w="108" w:type="dxa"/>
              <w:bottom w:w="0" w:type="dxa"/>
              <w:right w:w="108" w:type="dxa"/>
            </w:tcMar>
            <w:vAlign w:val="center"/>
          </w:tcPr>
          <w:p>
            <w:pPr>
              <w:rPr>
                <w:rFonts w:ascii="宋体" w:hAnsi="宋体" w:cs="宋体"/>
                <w:szCs w:val="21"/>
              </w:rPr>
            </w:pPr>
            <w:r>
              <w:rPr>
                <w:rFonts w:hint="eastAsia" w:ascii="宋体" w:hAnsi="宋体" w:cs="宋体"/>
                <w:szCs w:val="21"/>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50" w:hRule="atLeast"/>
          <w:jc w:val="center"/>
        </w:trPr>
        <w:tc>
          <w:tcPr>
            <w:tcW w:w="4553" w:type="dxa"/>
            <w:gridSpan w:val="4"/>
            <w:tcMar>
              <w:top w:w="0" w:type="dxa"/>
              <w:left w:w="108" w:type="dxa"/>
              <w:bottom w:w="0" w:type="dxa"/>
              <w:right w:w="108" w:type="dxa"/>
            </w:tcMar>
            <w:vAlign w:val="center"/>
          </w:tcPr>
          <w:p>
            <w:pPr>
              <w:rPr>
                <w:rFonts w:ascii="宋体" w:hAnsi="宋体" w:cs="宋体"/>
                <w:szCs w:val="21"/>
              </w:rPr>
            </w:pPr>
            <w:r>
              <w:rPr>
                <w:rFonts w:hint="eastAsia" w:ascii="宋体" w:hAnsi="宋体" w:cs="宋体"/>
                <w:szCs w:val="21"/>
              </w:rPr>
              <w:t>中标（或成交）供应商签字或盖章：</w:t>
            </w:r>
          </w:p>
          <w:p>
            <w:pPr>
              <w:rPr>
                <w:rFonts w:ascii="宋体" w:hAnsi="宋体" w:cs="宋体"/>
                <w:szCs w:val="21"/>
              </w:rPr>
            </w:pPr>
          </w:p>
          <w:p>
            <w:pPr>
              <w:rPr>
                <w:rFonts w:ascii="宋体" w:hAnsi="宋体" w:cs="宋体"/>
                <w:szCs w:val="21"/>
              </w:rPr>
            </w:pPr>
            <w:r>
              <w:rPr>
                <w:rFonts w:hint="eastAsia" w:ascii="宋体" w:hAnsi="宋体" w:cs="宋体"/>
                <w:szCs w:val="21"/>
              </w:rPr>
              <w:t>联系电话：</w:t>
            </w:r>
          </w:p>
          <w:p>
            <w:pPr>
              <w:rPr>
                <w:rFonts w:ascii="宋体" w:hAnsi="宋体" w:cs="宋体"/>
                <w:szCs w:val="21"/>
              </w:rPr>
            </w:pPr>
          </w:p>
          <w:p>
            <w:pPr>
              <w:rPr>
                <w:rFonts w:ascii="宋体" w:hAnsi="宋体" w:cs="宋体"/>
                <w:szCs w:val="21"/>
              </w:rPr>
            </w:pPr>
            <w:r>
              <w:rPr>
                <w:rFonts w:hint="eastAsia" w:ascii="宋体" w:hAnsi="宋体" w:cs="宋体"/>
                <w:szCs w:val="21"/>
              </w:rPr>
              <w:t>                            年  月   日</w:t>
            </w:r>
          </w:p>
        </w:tc>
        <w:tc>
          <w:tcPr>
            <w:tcW w:w="4848" w:type="dxa"/>
            <w:gridSpan w:val="5"/>
            <w:vAlign w:val="center"/>
          </w:tcPr>
          <w:p>
            <w:pPr>
              <w:rPr>
                <w:rFonts w:ascii="宋体" w:hAnsi="宋体" w:cs="宋体"/>
                <w:szCs w:val="21"/>
              </w:rPr>
            </w:pPr>
            <w:r>
              <w:rPr>
                <w:rFonts w:hint="eastAsia" w:ascii="宋体" w:hAnsi="宋体" w:cs="宋体"/>
                <w:szCs w:val="21"/>
              </w:rPr>
              <w:t>采购人的意见（盖章）：</w:t>
            </w:r>
          </w:p>
          <w:p>
            <w:pPr>
              <w:rPr>
                <w:rFonts w:ascii="宋体" w:hAnsi="宋体" w:cs="宋体"/>
                <w:szCs w:val="21"/>
              </w:rPr>
            </w:pPr>
          </w:p>
          <w:p>
            <w:pPr>
              <w:rPr>
                <w:rFonts w:ascii="宋体" w:hAnsi="宋体" w:cs="宋体"/>
                <w:szCs w:val="21"/>
              </w:rPr>
            </w:pPr>
            <w:r>
              <w:rPr>
                <w:rFonts w:hint="eastAsia" w:ascii="宋体" w:hAnsi="宋体" w:cs="宋体"/>
                <w:szCs w:val="21"/>
              </w:rPr>
              <w:t>联系电话：</w:t>
            </w:r>
          </w:p>
          <w:p>
            <w:pPr>
              <w:rPr>
                <w:rFonts w:ascii="宋体" w:hAnsi="宋体" w:cs="宋体"/>
                <w:szCs w:val="21"/>
              </w:rPr>
            </w:pPr>
          </w:p>
          <w:p>
            <w:pPr>
              <w:rPr>
                <w:rFonts w:ascii="宋体" w:hAnsi="宋体" w:cs="宋体"/>
                <w:szCs w:val="21"/>
              </w:rPr>
            </w:pPr>
            <w:r>
              <w:rPr>
                <w:rFonts w:hint="eastAsia" w:ascii="宋体" w:hAnsi="宋体" w:cs="宋体"/>
                <w:szCs w:val="21"/>
              </w:rPr>
              <w:t xml:space="preserve">   年  月   日</w:t>
            </w:r>
          </w:p>
        </w:tc>
      </w:tr>
    </w:tbl>
    <w:p>
      <w:pPr>
        <w:widowControl/>
        <w:ind w:firstLine="210" w:firstLineChars="100"/>
        <w:jc w:val="left"/>
        <w:rPr>
          <w:rFonts w:ascii="宋体" w:hAnsi="宋体" w:cs="@方正仿宋简体"/>
          <w:kern w:val="0"/>
          <w:szCs w:val="21"/>
        </w:rPr>
      </w:pPr>
      <w:r>
        <w:rPr>
          <w:rFonts w:hint="eastAsia" w:ascii="宋体" w:hAnsi="宋体" w:cs="@方正仿宋简体"/>
          <w:kern w:val="0"/>
          <w:szCs w:val="21"/>
        </w:rPr>
        <w:t>备注：本报告单一式三份（采购人1份、成交人1份、采购代理机构1份）。</w:t>
      </w:r>
    </w:p>
    <w:p>
      <w:pPr>
        <w:jc w:val="right"/>
        <w:rPr>
          <w:rFonts w:ascii="宋体" w:hAnsi="宋体" w:cs="宋体"/>
          <w:szCs w:val="21"/>
        </w:rPr>
        <w:sectPr>
          <w:footerReference r:id="rId13" w:type="default"/>
          <w:pgSz w:w="11910" w:h="16840"/>
          <w:pgMar w:top="1380" w:right="540" w:bottom="1180" w:left="800" w:header="846" w:footer="997" w:gutter="0"/>
          <w:cols w:space="720" w:num="1"/>
        </w:sectPr>
      </w:pPr>
    </w:p>
    <w:p>
      <w:pPr>
        <w:pStyle w:val="9"/>
        <w:spacing w:line="400" w:lineRule="exact"/>
        <w:jc w:val="center"/>
        <w:outlineLvl w:val="0"/>
        <w:rPr>
          <w:rFonts w:ascii="黑体" w:hAnsi="宋体" w:eastAsia="黑体"/>
          <w:b/>
          <w:sz w:val="32"/>
          <w:szCs w:val="32"/>
        </w:rPr>
      </w:pPr>
      <w:bookmarkStart w:id="82" w:name="_Toc14093"/>
      <w:r>
        <w:rPr>
          <w:rFonts w:hint="eastAsia" w:ascii="黑体" w:hAnsi="宋体" w:eastAsia="黑体"/>
          <w:b/>
          <w:sz w:val="32"/>
          <w:szCs w:val="32"/>
        </w:rPr>
        <w:t>第五章  响应文件（格式）</w:t>
      </w:r>
      <w:bookmarkEnd w:id="77"/>
      <w:bookmarkEnd w:id="82"/>
    </w:p>
    <w:p>
      <w:pPr>
        <w:pStyle w:val="9"/>
        <w:spacing w:line="400" w:lineRule="exact"/>
        <w:rPr>
          <w:rFonts w:ascii="黑体" w:hAnsi="宋体" w:eastAsia="黑体"/>
          <w:b/>
          <w:szCs w:val="21"/>
        </w:rPr>
      </w:pPr>
    </w:p>
    <w:p>
      <w:pPr>
        <w:spacing w:line="400" w:lineRule="exact"/>
        <w:rPr>
          <w:rFonts w:ascii="黑体" w:eastAsia="黑体"/>
          <w:b/>
          <w:sz w:val="28"/>
          <w:szCs w:val="28"/>
        </w:rPr>
      </w:pPr>
      <w:bookmarkStart w:id="83" w:name="_Toc305850729"/>
      <w:r>
        <w:rPr>
          <w:rFonts w:hint="eastAsia" w:ascii="黑体" w:eastAsia="黑体"/>
          <w:b/>
          <w:sz w:val="28"/>
          <w:szCs w:val="28"/>
        </w:rPr>
        <w:t>封面格式：</w:t>
      </w:r>
    </w:p>
    <w:p>
      <w:pPr>
        <w:spacing w:line="400" w:lineRule="exact"/>
        <w:rPr>
          <w:rFonts w:ascii="黑体" w:eastAsia="黑体"/>
          <w:b/>
          <w:sz w:val="32"/>
          <w:szCs w:val="32"/>
        </w:rPr>
      </w:pPr>
    </w:p>
    <w:p>
      <w:pPr>
        <w:rPr>
          <w:rFonts w:ascii="黑体" w:eastAsia="黑体"/>
          <w:sz w:val="32"/>
          <w:szCs w:val="32"/>
        </w:rPr>
      </w:pPr>
      <w:r>
        <w:rPr>
          <w:rFonts w:hint="eastAsia" w:ascii="黑体" w:eastAsia="黑体"/>
          <w:sz w:val="32"/>
          <w:szCs w:val="32"/>
          <w:u w:val="single"/>
        </w:rPr>
        <w:t xml:space="preserve">             </w:t>
      </w:r>
      <w:bookmarkStart w:id="84" w:name="_Toc18219_WPSOffice_Level2"/>
      <w:r>
        <w:rPr>
          <w:rFonts w:hint="eastAsia" w:ascii="黑体" w:eastAsia="黑体"/>
          <w:sz w:val="28"/>
          <w:szCs w:val="28"/>
        </w:rPr>
        <w:t>（项目名称）</w:t>
      </w:r>
      <w:bookmarkEnd w:id="84"/>
    </w:p>
    <w:p>
      <w:pPr>
        <w:spacing w:line="400" w:lineRule="exact"/>
        <w:rPr>
          <w:rFonts w:ascii="黑体" w:eastAsia="黑体"/>
        </w:rPr>
      </w:pPr>
    </w:p>
    <w:p>
      <w:pPr>
        <w:spacing w:line="400" w:lineRule="exact"/>
        <w:rPr>
          <w:rFonts w:ascii="黑体" w:eastAsia="黑体"/>
        </w:rPr>
      </w:pPr>
    </w:p>
    <w:p>
      <w:pPr>
        <w:spacing w:line="400" w:lineRule="exact"/>
        <w:rPr>
          <w:rFonts w:ascii="黑体" w:eastAsia="黑体"/>
        </w:rPr>
      </w:pPr>
    </w:p>
    <w:p>
      <w:pPr>
        <w:spacing w:line="400" w:lineRule="exact"/>
        <w:rPr>
          <w:rFonts w:ascii="黑体" w:eastAsia="黑体"/>
        </w:rPr>
      </w:pPr>
    </w:p>
    <w:p>
      <w:pPr>
        <w:spacing w:before="240" w:beforeLines="100"/>
        <w:jc w:val="center"/>
        <w:rPr>
          <w:rFonts w:ascii="黑体" w:eastAsia="黑体"/>
          <w:sz w:val="52"/>
          <w:szCs w:val="52"/>
        </w:rPr>
      </w:pPr>
      <w:r>
        <w:rPr>
          <w:rFonts w:hint="eastAsia" w:ascii="黑体" w:eastAsia="黑体"/>
          <w:sz w:val="52"/>
          <w:szCs w:val="52"/>
        </w:rPr>
        <w:t>响  应  文  件</w:t>
      </w:r>
    </w:p>
    <w:p>
      <w:pPr>
        <w:spacing w:line="400" w:lineRule="exact"/>
        <w:rPr>
          <w:rFonts w:ascii="黑体" w:eastAsia="黑体"/>
        </w:rPr>
      </w:pPr>
    </w:p>
    <w:p>
      <w:pPr>
        <w:spacing w:line="400" w:lineRule="exact"/>
        <w:rPr>
          <w:rFonts w:ascii="黑体" w:eastAsia="黑体"/>
        </w:rPr>
      </w:pPr>
    </w:p>
    <w:p>
      <w:pPr>
        <w:spacing w:line="400" w:lineRule="exact"/>
        <w:rPr>
          <w:rFonts w:ascii="黑体" w:eastAsia="黑体"/>
        </w:rPr>
      </w:pPr>
    </w:p>
    <w:p>
      <w:pPr>
        <w:spacing w:line="400" w:lineRule="exact"/>
        <w:rPr>
          <w:rFonts w:ascii="黑体" w:eastAsia="黑体"/>
        </w:rPr>
      </w:pPr>
    </w:p>
    <w:p>
      <w:pPr>
        <w:spacing w:line="360" w:lineRule="auto"/>
        <w:ind w:firstLine="2380" w:firstLineChars="850"/>
        <w:rPr>
          <w:rFonts w:ascii="黑体" w:eastAsia="黑体"/>
          <w:sz w:val="28"/>
          <w:szCs w:val="28"/>
          <w:u w:val="single"/>
        </w:rPr>
      </w:pPr>
      <w:bookmarkStart w:id="85" w:name="_Toc17957_WPSOffice_Level2"/>
      <w:r>
        <w:rPr>
          <w:rFonts w:hint="eastAsia" w:ascii="黑体" w:eastAsia="黑体"/>
          <w:sz w:val="28"/>
          <w:szCs w:val="28"/>
        </w:rPr>
        <w:t>项目编号：</w:t>
      </w:r>
      <w:bookmarkEnd w:id="85"/>
      <w:r>
        <w:rPr>
          <w:rFonts w:hint="eastAsia" w:ascii="黑体" w:eastAsia="黑体"/>
          <w:sz w:val="28"/>
          <w:szCs w:val="28"/>
          <w:u w:val="single"/>
        </w:rPr>
        <w:t xml:space="preserve">                   </w:t>
      </w:r>
    </w:p>
    <w:p>
      <w:pPr>
        <w:spacing w:line="400" w:lineRule="exact"/>
        <w:rPr>
          <w:rFonts w:ascii="黑体" w:eastAsia="黑体"/>
        </w:rPr>
      </w:pPr>
    </w:p>
    <w:p>
      <w:pPr>
        <w:spacing w:line="400" w:lineRule="exact"/>
        <w:rPr>
          <w:rFonts w:ascii="黑体" w:eastAsia="黑体"/>
        </w:rPr>
      </w:pPr>
    </w:p>
    <w:p>
      <w:pPr>
        <w:spacing w:line="400" w:lineRule="exact"/>
        <w:rPr>
          <w:rFonts w:ascii="黑体" w:eastAsia="黑体"/>
        </w:rPr>
      </w:pPr>
    </w:p>
    <w:p>
      <w:pPr>
        <w:spacing w:line="400" w:lineRule="exact"/>
        <w:rPr>
          <w:rFonts w:ascii="黑体" w:eastAsia="黑体"/>
        </w:rPr>
      </w:pPr>
    </w:p>
    <w:p>
      <w:pPr>
        <w:jc w:val="center"/>
        <w:rPr>
          <w:rFonts w:ascii="黑体" w:eastAsia="黑体"/>
          <w:sz w:val="32"/>
          <w:szCs w:val="32"/>
        </w:rPr>
      </w:pPr>
      <w:bookmarkStart w:id="86" w:name="_Toc28653_WPSOffice_Level1"/>
      <w:bookmarkStart w:id="87" w:name="_Toc8439_WPSOffice_Level2"/>
      <w:r>
        <w:rPr>
          <w:rFonts w:hint="eastAsia" w:ascii="黑体" w:eastAsia="黑体"/>
          <w:sz w:val="32"/>
          <w:szCs w:val="32"/>
        </w:rPr>
        <w:t>（正本/副本）</w:t>
      </w:r>
      <w:bookmarkEnd w:id="86"/>
      <w:bookmarkEnd w:id="87"/>
    </w:p>
    <w:p>
      <w:pPr>
        <w:spacing w:line="400" w:lineRule="exact"/>
        <w:rPr>
          <w:rFonts w:ascii="黑体" w:eastAsia="黑体"/>
        </w:rPr>
      </w:pPr>
    </w:p>
    <w:p>
      <w:pPr>
        <w:spacing w:line="400" w:lineRule="exact"/>
        <w:rPr>
          <w:rFonts w:ascii="黑体" w:eastAsia="黑体"/>
        </w:rPr>
      </w:pPr>
    </w:p>
    <w:p>
      <w:pPr>
        <w:spacing w:line="360" w:lineRule="auto"/>
        <w:rPr>
          <w:rFonts w:ascii="黑体" w:eastAsia="黑体"/>
          <w:sz w:val="28"/>
          <w:szCs w:val="28"/>
          <w:u w:val="single"/>
        </w:rPr>
      </w:pPr>
      <w:bookmarkStart w:id="88" w:name="_Toc5685_WPSOffice_Level2"/>
      <w:bookmarkStart w:id="89" w:name="_Toc26625_WPSOffice_Level1"/>
      <w:r>
        <w:rPr>
          <w:rFonts w:hint="eastAsia" w:ascii="黑体" w:eastAsia="黑体"/>
          <w:sz w:val="28"/>
          <w:szCs w:val="28"/>
        </w:rPr>
        <w:t>竞争性磋商供应商：</w:t>
      </w:r>
      <w:r>
        <w:rPr>
          <w:rFonts w:hint="eastAsia" w:ascii="黑体" w:eastAsia="黑体"/>
          <w:sz w:val="28"/>
          <w:szCs w:val="28"/>
          <w:u w:val="single"/>
        </w:rPr>
        <w:t xml:space="preserve">                               </w:t>
      </w:r>
      <w:r>
        <w:rPr>
          <w:rFonts w:hint="eastAsia" w:ascii="黑体" w:eastAsia="黑体"/>
          <w:sz w:val="28"/>
          <w:szCs w:val="28"/>
        </w:rPr>
        <w:t>（盖单位章）</w:t>
      </w:r>
      <w:bookmarkEnd w:id="88"/>
      <w:bookmarkEnd w:id="89"/>
    </w:p>
    <w:p>
      <w:pPr>
        <w:spacing w:line="360" w:lineRule="auto"/>
        <w:rPr>
          <w:rFonts w:ascii="黑体" w:eastAsia="黑体"/>
          <w:sz w:val="28"/>
          <w:szCs w:val="28"/>
        </w:rPr>
      </w:pPr>
      <w:bookmarkStart w:id="90" w:name="_Toc9706_WPSOffice_Level1"/>
      <w:bookmarkStart w:id="91" w:name="_Toc16011_WPSOffice_Level2"/>
      <w:r>
        <w:rPr>
          <w:rFonts w:hint="eastAsia" w:ascii="黑体" w:eastAsia="黑体"/>
          <w:sz w:val="28"/>
          <w:szCs w:val="28"/>
        </w:rPr>
        <w:t>法定代表人/负责人或其委托代理人：</w:t>
      </w:r>
      <w:r>
        <w:rPr>
          <w:rFonts w:hint="eastAsia" w:ascii="黑体" w:eastAsia="黑体"/>
          <w:sz w:val="28"/>
          <w:szCs w:val="28"/>
          <w:u w:val="single"/>
        </w:rPr>
        <w:t xml:space="preserve">                 </w:t>
      </w:r>
      <w:r>
        <w:rPr>
          <w:rFonts w:hint="eastAsia" w:ascii="黑体" w:eastAsia="黑体"/>
          <w:sz w:val="28"/>
          <w:szCs w:val="28"/>
        </w:rPr>
        <w:t>（签字或盖章）</w:t>
      </w:r>
      <w:bookmarkEnd w:id="90"/>
      <w:bookmarkEnd w:id="91"/>
    </w:p>
    <w:p>
      <w:pPr>
        <w:spacing w:line="400" w:lineRule="exact"/>
        <w:rPr>
          <w:rFonts w:ascii="黑体" w:eastAsia="黑体"/>
        </w:rPr>
      </w:pPr>
    </w:p>
    <w:p>
      <w:pPr>
        <w:spacing w:line="400" w:lineRule="exact"/>
        <w:rPr>
          <w:rFonts w:ascii="黑体" w:eastAsia="黑体"/>
        </w:rPr>
      </w:pPr>
    </w:p>
    <w:p>
      <w:pPr>
        <w:spacing w:line="400" w:lineRule="exact"/>
        <w:rPr>
          <w:rFonts w:ascii="黑体" w:eastAsia="黑体"/>
        </w:rPr>
      </w:pPr>
    </w:p>
    <w:p>
      <w:pPr>
        <w:spacing w:line="400" w:lineRule="exact"/>
        <w:rPr>
          <w:rFonts w:ascii="黑体" w:eastAsia="黑体"/>
        </w:rPr>
      </w:pPr>
    </w:p>
    <w:p>
      <w:pPr>
        <w:jc w:val="right"/>
        <w:rPr>
          <w:rFonts w:ascii="黑体" w:eastAsia="黑体"/>
          <w:sz w:val="28"/>
          <w:szCs w:val="28"/>
        </w:rPr>
      </w:pPr>
      <w:r>
        <w:rPr>
          <w:rFonts w:hint="eastAsia" w:ascii="黑体" w:eastAsia="黑体"/>
          <w:sz w:val="28"/>
          <w:szCs w:val="28"/>
          <w:u w:val="single"/>
        </w:rPr>
        <w:t xml:space="preserve">         </w:t>
      </w:r>
      <w:bookmarkStart w:id="92" w:name="_Toc19191_WPSOffice_Level1"/>
      <w:bookmarkStart w:id="93" w:name="_Toc8642_WPSOffice_Level2"/>
      <w:r>
        <w:rPr>
          <w:rFonts w:hint="eastAsia" w:ascii="黑体" w:eastAsia="黑体"/>
          <w:sz w:val="28"/>
          <w:szCs w:val="28"/>
        </w:rPr>
        <w:t>年</w:t>
      </w:r>
      <w:r>
        <w:rPr>
          <w:rFonts w:hint="eastAsia"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hint="eastAsia" w:ascii="黑体" w:eastAsia="黑体"/>
          <w:sz w:val="28"/>
          <w:szCs w:val="28"/>
        </w:rPr>
        <w:t>日</w:t>
      </w:r>
      <w:bookmarkEnd w:id="92"/>
      <w:bookmarkEnd w:id="93"/>
    </w:p>
    <w:p>
      <w:pPr>
        <w:pStyle w:val="9"/>
        <w:spacing w:line="400" w:lineRule="exact"/>
        <w:rPr>
          <w:rFonts w:hAnsi="宋体"/>
          <w:szCs w:val="21"/>
        </w:rPr>
      </w:pPr>
      <w:r>
        <w:br w:type="page"/>
      </w:r>
      <w:bookmarkEnd w:id="83"/>
    </w:p>
    <w:p>
      <w:pPr>
        <w:spacing w:line="400" w:lineRule="exact"/>
        <w:rPr>
          <w:rFonts w:ascii="黑体" w:hAnsi="宋体" w:eastAsia="黑体"/>
          <w:b/>
          <w:sz w:val="28"/>
          <w:szCs w:val="28"/>
        </w:rPr>
      </w:pPr>
      <w:r>
        <w:rPr>
          <w:rFonts w:hint="eastAsia" w:ascii="黑体" w:hAnsi="宋体" w:eastAsia="黑体"/>
          <w:b/>
          <w:sz w:val="28"/>
          <w:szCs w:val="28"/>
        </w:rPr>
        <w:t>目录（应附有页码）</w:t>
      </w:r>
    </w:p>
    <w:p>
      <w:pPr>
        <w:spacing w:line="400" w:lineRule="exact"/>
        <w:rPr>
          <w:rFonts w:ascii="黑体" w:hAnsi="宋体" w:eastAsia="黑体"/>
          <w:sz w:val="28"/>
          <w:szCs w:val="28"/>
        </w:rPr>
      </w:pPr>
    </w:p>
    <w:p>
      <w:pPr>
        <w:pStyle w:val="25"/>
        <w:tabs>
          <w:tab w:val="left" w:pos="956"/>
        </w:tabs>
        <w:spacing w:line="440" w:lineRule="exact"/>
        <w:jc w:val="left"/>
        <w:rPr>
          <w:szCs w:val="21"/>
        </w:rPr>
      </w:pPr>
      <w:bookmarkStart w:id="94" w:name="二、磋商报价表"/>
      <w:bookmarkEnd w:id="94"/>
      <w:bookmarkStart w:id="95" w:name="_Toc31667_WPSOffice_Level2"/>
      <w:r>
        <w:rPr>
          <w:rFonts w:hint="eastAsia"/>
          <w:szCs w:val="21"/>
        </w:rPr>
        <w:t>（1）磋商函；（必须提供）</w:t>
      </w:r>
    </w:p>
    <w:p>
      <w:pPr>
        <w:pStyle w:val="25"/>
        <w:tabs>
          <w:tab w:val="left" w:pos="956"/>
        </w:tabs>
        <w:spacing w:line="440" w:lineRule="exact"/>
        <w:jc w:val="left"/>
        <w:rPr>
          <w:szCs w:val="21"/>
        </w:rPr>
      </w:pPr>
      <w:r>
        <w:rPr>
          <w:rFonts w:hint="eastAsia"/>
          <w:szCs w:val="21"/>
        </w:rPr>
        <w:t>（2）磋商函附录；（必须提供）</w:t>
      </w:r>
    </w:p>
    <w:p>
      <w:pPr>
        <w:pStyle w:val="25"/>
        <w:tabs>
          <w:tab w:val="left" w:pos="960"/>
        </w:tabs>
        <w:spacing w:line="440" w:lineRule="exact"/>
        <w:ind w:right="96"/>
        <w:jc w:val="left"/>
        <w:rPr>
          <w:szCs w:val="21"/>
        </w:rPr>
      </w:pPr>
      <w:r>
        <w:rPr>
          <w:rFonts w:hint="eastAsia"/>
          <w:szCs w:val="21"/>
        </w:rPr>
        <w:t>（3）竞争性磋商供应商基本情况表；</w:t>
      </w:r>
    </w:p>
    <w:p>
      <w:pPr>
        <w:pStyle w:val="25"/>
        <w:tabs>
          <w:tab w:val="left" w:pos="960"/>
        </w:tabs>
        <w:spacing w:line="440" w:lineRule="exact"/>
        <w:ind w:right="691"/>
        <w:jc w:val="left"/>
        <w:rPr>
          <w:szCs w:val="21"/>
        </w:rPr>
      </w:pPr>
      <w:r>
        <w:rPr>
          <w:rFonts w:hint="eastAsia"/>
          <w:szCs w:val="21"/>
        </w:rPr>
        <w:t>（4）法定代表人/负责人身份证明及身份证复印件；（必须提供）</w:t>
      </w:r>
    </w:p>
    <w:p>
      <w:pPr>
        <w:pStyle w:val="25"/>
        <w:tabs>
          <w:tab w:val="left" w:pos="960"/>
        </w:tabs>
        <w:spacing w:line="440" w:lineRule="exact"/>
        <w:ind w:right="96"/>
        <w:jc w:val="left"/>
        <w:rPr>
          <w:szCs w:val="21"/>
        </w:rPr>
      </w:pPr>
      <w:r>
        <w:rPr>
          <w:rFonts w:hint="eastAsia"/>
          <w:szCs w:val="21"/>
        </w:rPr>
        <w:t>（5）法定代表人/负责人授权委托书和被授权人的身份证复印件；（如授权委托时，则必须提供）</w:t>
      </w:r>
    </w:p>
    <w:p>
      <w:pPr>
        <w:pStyle w:val="25"/>
        <w:tabs>
          <w:tab w:val="left" w:pos="960"/>
        </w:tabs>
        <w:spacing w:line="440" w:lineRule="exact"/>
        <w:ind w:right="96"/>
        <w:jc w:val="left"/>
        <w:rPr>
          <w:szCs w:val="21"/>
        </w:rPr>
      </w:pPr>
      <w:r>
        <w:rPr>
          <w:rFonts w:hint="eastAsia"/>
          <w:szCs w:val="21"/>
        </w:rPr>
        <w:t>（6）</w:t>
      </w:r>
      <w:r>
        <w:rPr>
          <w:rFonts w:hint="eastAsia" w:ascii="宋体" w:hAnsi="宋体"/>
          <w:szCs w:val="21"/>
        </w:rPr>
        <w:t>技术规格偏离表；</w:t>
      </w:r>
    </w:p>
    <w:p>
      <w:pPr>
        <w:pStyle w:val="25"/>
        <w:tabs>
          <w:tab w:val="left" w:pos="960"/>
        </w:tabs>
        <w:spacing w:line="440" w:lineRule="exact"/>
        <w:ind w:right="96"/>
        <w:jc w:val="left"/>
        <w:rPr>
          <w:rFonts w:ascii="宋体" w:hAnsi="宋体"/>
          <w:szCs w:val="21"/>
        </w:rPr>
      </w:pPr>
      <w:r>
        <w:rPr>
          <w:rFonts w:hint="eastAsia" w:ascii="宋体" w:hAnsi="宋体"/>
          <w:szCs w:val="21"/>
        </w:rPr>
        <w:t>（7）商务响应表；</w:t>
      </w:r>
    </w:p>
    <w:p>
      <w:pPr>
        <w:pStyle w:val="25"/>
        <w:tabs>
          <w:tab w:val="left" w:pos="956"/>
        </w:tabs>
        <w:spacing w:line="440" w:lineRule="exact"/>
        <w:jc w:val="left"/>
        <w:rPr>
          <w:szCs w:val="21"/>
        </w:rPr>
      </w:pPr>
      <w:r>
        <w:rPr>
          <w:rFonts w:hint="eastAsia"/>
          <w:szCs w:val="21"/>
        </w:rPr>
        <w:t>（8）磋商保证金递交证明材料；（必须提供）</w:t>
      </w:r>
    </w:p>
    <w:p>
      <w:pPr>
        <w:spacing w:line="400" w:lineRule="exact"/>
        <w:ind w:firstLine="420" w:firstLineChars="200"/>
        <w:jc w:val="left"/>
        <w:rPr>
          <w:szCs w:val="21"/>
        </w:rPr>
      </w:pPr>
      <w:r>
        <w:rPr>
          <w:rFonts w:hint="eastAsia" w:ascii="宋体" w:hAnsi="宋体"/>
          <w:szCs w:val="21"/>
        </w:rPr>
        <w:t>（9）</w:t>
      </w:r>
      <w:r>
        <w:rPr>
          <w:rFonts w:ascii="宋体" w:hAnsi="宋体"/>
          <w:szCs w:val="21"/>
        </w:rPr>
        <w:t>竞争性磋商供应商类似业绩证明材料</w:t>
      </w:r>
      <w:r>
        <w:rPr>
          <w:rFonts w:hint="eastAsia" w:ascii="宋体" w:hAnsi="宋体"/>
          <w:szCs w:val="21"/>
        </w:rPr>
        <w:t>；</w:t>
      </w:r>
    </w:p>
    <w:p>
      <w:pPr>
        <w:spacing w:line="400" w:lineRule="exact"/>
        <w:ind w:firstLine="420" w:firstLineChars="200"/>
        <w:jc w:val="left"/>
        <w:rPr>
          <w:szCs w:val="21"/>
        </w:rPr>
      </w:pPr>
      <w:r>
        <w:rPr>
          <w:rFonts w:hint="eastAsia" w:ascii="宋体" w:hAnsi="宋体"/>
          <w:szCs w:val="21"/>
        </w:rPr>
        <w:t>（10）竞争性磋商供应商认为可以证明其能力的其他材料；</w:t>
      </w:r>
    </w:p>
    <w:p>
      <w:pPr>
        <w:pStyle w:val="25"/>
        <w:tabs>
          <w:tab w:val="left" w:pos="1059"/>
          <w:tab w:val="left" w:pos="8400"/>
        </w:tabs>
        <w:spacing w:line="440" w:lineRule="exact"/>
        <w:ind w:right="96"/>
        <w:jc w:val="left"/>
        <w:rPr>
          <w:szCs w:val="21"/>
        </w:rPr>
      </w:pPr>
      <w:r>
        <w:rPr>
          <w:rFonts w:hint="eastAsia"/>
          <w:szCs w:val="21"/>
        </w:rPr>
        <w:t>（11）对本项目的理解、实施方案及售后服务承诺方案；</w:t>
      </w:r>
    </w:p>
    <w:p>
      <w:pPr>
        <w:spacing w:before="157"/>
        <w:ind w:firstLine="420" w:firstLineChars="200"/>
        <w:rPr>
          <w:szCs w:val="21"/>
        </w:rPr>
      </w:pPr>
      <w:r>
        <w:rPr>
          <w:rFonts w:hint="eastAsia"/>
          <w:szCs w:val="21"/>
        </w:rPr>
        <w:t>（12）磋商供应商认为有必要提供的其他资料（如有）。</w:t>
      </w:r>
    </w:p>
    <w:p>
      <w:pPr>
        <w:rPr>
          <w:szCs w:val="21"/>
        </w:rPr>
      </w:pPr>
      <w:r>
        <w:rPr>
          <w:rFonts w:hint="eastAsia"/>
          <w:szCs w:val="21"/>
        </w:rPr>
        <w:br w:type="page"/>
      </w:r>
    </w:p>
    <w:p>
      <w:pPr>
        <w:spacing w:before="157"/>
        <w:ind w:left="428"/>
        <w:jc w:val="left"/>
        <w:rPr>
          <w:b/>
          <w:sz w:val="28"/>
          <w:szCs w:val="28"/>
        </w:rPr>
      </w:pPr>
      <w:r>
        <w:rPr>
          <w:rFonts w:hint="eastAsia"/>
          <w:b/>
          <w:sz w:val="28"/>
          <w:szCs w:val="28"/>
        </w:rPr>
        <w:t>一、 磋商函</w:t>
      </w:r>
    </w:p>
    <w:p>
      <w:pPr>
        <w:pStyle w:val="9"/>
        <w:spacing w:line="400" w:lineRule="exact"/>
        <w:rPr>
          <w:rFonts w:hAnsi="宋体"/>
          <w:szCs w:val="21"/>
          <w:u w:val="single"/>
        </w:rPr>
      </w:pPr>
      <w:r>
        <w:rPr>
          <w:rFonts w:hint="eastAsia" w:hAnsi="宋体"/>
          <w:szCs w:val="21"/>
        </w:rPr>
        <w:t>致：</w:t>
      </w:r>
      <w:r>
        <w:rPr>
          <w:rFonts w:hint="eastAsia" w:hAnsi="宋体"/>
          <w:szCs w:val="21"/>
          <w:u w:val="single"/>
        </w:rPr>
        <w:t>（采购人全称）</w:t>
      </w:r>
      <w:r>
        <w:rPr>
          <w:rFonts w:hint="eastAsia" w:hAnsi="宋体"/>
          <w:szCs w:val="21"/>
        </w:rPr>
        <w:t>：</w:t>
      </w:r>
    </w:p>
    <w:p>
      <w:pPr>
        <w:pStyle w:val="9"/>
        <w:spacing w:line="400" w:lineRule="exact"/>
        <w:ind w:firstLine="420" w:firstLineChars="200"/>
        <w:rPr>
          <w:rFonts w:hAnsi="宋体"/>
          <w:szCs w:val="21"/>
        </w:rPr>
      </w:pPr>
      <w:r>
        <w:rPr>
          <w:rFonts w:hint="eastAsia" w:hAnsi="宋体"/>
          <w:szCs w:val="21"/>
        </w:rPr>
        <w:t>根据贵方</w:t>
      </w:r>
      <w:r>
        <w:rPr>
          <w:rFonts w:hint="eastAsia" w:hAnsi="宋体"/>
          <w:szCs w:val="21"/>
          <w:u w:val="single"/>
        </w:rPr>
        <w:t>（项目名称及项目编号）</w:t>
      </w:r>
      <w:r>
        <w:rPr>
          <w:rFonts w:hint="eastAsia" w:hAnsi="宋体"/>
          <w:szCs w:val="21"/>
        </w:rPr>
        <w:t>竞争性磋商文件，正式授权下述签字人</w:t>
      </w:r>
      <w:r>
        <w:rPr>
          <w:rFonts w:hint="eastAsia" w:hAnsi="宋体"/>
          <w:szCs w:val="21"/>
          <w:u w:val="single"/>
        </w:rPr>
        <w:t xml:space="preserve">       </w:t>
      </w:r>
      <w:r>
        <w:rPr>
          <w:rFonts w:hint="eastAsia" w:hAnsi="宋体"/>
          <w:szCs w:val="21"/>
        </w:rPr>
        <w:t xml:space="preserve">（姓名和职务）代表竞争性磋商供应商名称 </w:t>
      </w:r>
      <w:r>
        <w:rPr>
          <w:rFonts w:hint="eastAsia" w:hAnsi="宋体"/>
          <w:szCs w:val="21"/>
          <w:u w:val="single"/>
        </w:rPr>
        <w:t xml:space="preserve">                             </w:t>
      </w:r>
      <w:r>
        <w:rPr>
          <w:rFonts w:hint="eastAsia" w:hAnsi="宋体"/>
          <w:szCs w:val="21"/>
        </w:rPr>
        <w:t>（竞争性磋商供应商名称），提交响应文件正本</w:t>
      </w:r>
      <w:r>
        <w:rPr>
          <w:rFonts w:hint="eastAsia" w:hAnsi="宋体"/>
          <w:szCs w:val="21"/>
          <w:u w:val="single"/>
        </w:rPr>
        <w:t xml:space="preserve">    </w:t>
      </w:r>
      <w:r>
        <w:rPr>
          <w:rFonts w:hint="eastAsia" w:hAnsi="宋体"/>
          <w:szCs w:val="21"/>
        </w:rPr>
        <w:t>份，副本</w:t>
      </w:r>
      <w:r>
        <w:rPr>
          <w:rFonts w:hint="eastAsia" w:hAnsi="宋体"/>
          <w:szCs w:val="21"/>
          <w:u w:val="single"/>
        </w:rPr>
        <w:t xml:space="preserve">    </w:t>
      </w:r>
      <w:r>
        <w:rPr>
          <w:rFonts w:hint="eastAsia" w:hAnsi="宋体"/>
          <w:szCs w:val="21"/>
        </w:rPr>
        <w:t>份。</w:t>
      </w:r>
    </w:p>
    <w:p>
      <w:pPr>
        <w:pStyle w:val="9"/>
        <w:spacing w:line="400" w:lineRule="exact"/>
        <w:ind w:firstLine="420"/>
        <w:rPr>
          <w:rFonts w:hAnsi="宋体"/>
          <w:szCs w:val="21"/>
        </w:rPr>
      </w:pPr>
      <w:r>
        <w:rPr>
          <w:rFonts w:hint="eastAsia" w:hAnsi="宋体"/>
          <w:szCs w:val="21"/>
        </w:rPr>
        <w:t>据此函，签字人兹宣布同意按《竞争性磋商文件》、载列所有项目需求完成本项目采购任务。</w:t>
      </w:r>
    </w:p>
    <w:p>
      <w:pPr>
        <w:pStyle w:val="9"/>
        <w:spacing w:line="400" w:lineRule="exact"/>
        <w:ind w:firstLine="420"/>
        <w:rPr>
          <w:rFonts w:hAnsi="宋体"/>
          <w:szCs w:val="21"/>
        </w:rPr>
      </w:pPr>
      <w:r>
        <w:rPr>
          <w:rFonts w:hint="eastAsia" w:hAnsi="宋体"/>
          <w:szCs w:val="21"/>
        </w:rPr>
        <w:t>1.我方同意在竞争性磋商供应商名称须知规定的开标日期起遵循本响应文件，并在竞争性磋商供应商名称须知第19条规定的竞标有效期满之前均具有约束力。</w:t>
      </w:r>
    </w:p>
    <w:p>
      <w:pPr>
        <w:pStyle w:val="9"/>
        <w:spacing w:line="400" w:lineRule="exact"/>
        <w:ind w:firstLine="420"/>
        <w:rPr>
          <w:rFonts w:hAnsi="宋体"/>
          <w:szCs w:val="21"/>
        </w:rPr>
      </w:pPr>
      <w:r>
        <w:rPr>
          <w:rFonts w:hint="eastAsia" w:hAnsi="宋体"/>
          <w:szCs w:val="21"/>
        </w:rPr>
        <w:t>2.我方承诺已经具备《中华人民共和国政府采购法》第二十二条中规定的参加政府采购活动的供应商应当具备的条件。</w:t>
      </w:r>
    </w:p>
    <w:p>
      <w:pPr>
        <w:pStyle w:val="9"/>
        <w:spacing w:line="400" w:lineRule="exact"/>
        <w:ind w:firstLine="420"/>
        <w:rPr>
          <w:rFonts w:hAnsi="宋体"/>
          <w:szCs w:val="21"/>
        </w:rPr>
      </w:pPr>
      <w:r>
        <w:rPr>
          <w:rFonts w:hint="eastAsia" w:hAnsi="宋体"/>
          <w:szCs w:val="21"/>
        </w:rPr>
        <w:t>3.我方根据竞争性磋商文件的规定，承担完成合同的责任和义务。</w:t>
      </w:r>
    </w:p>
    <w:p>
      <w:pPr>
        <w:pStyle w:val="9"/>
        <w:spacing w:line="400" w:lineRule="exact"/>
        <w:ind w:firstLine="420"/>
        <w:rPr>
          <w:rFonts w:hAnsi="宋体"/>
          <w:szCs w:val="21"/>
        </w:rPr>
      </w:pPr>
      <w:r>
        <w:rPr>
          <w:rFonts w:hint="eastAsia" w:hAnsi="宋体"/>
          <w:szCs w:val="21"/>
        </w:rPr>
        <w:t>4.我方已详细审核竞争性磋商文件，我方知道必须放弃提出含糊不清或误解问题的权利。</w:t>
      </w:r>
    </w:p>
    <w:p>
      <w:pPr>
        <w:pStyle w:val="9"/>
        <w:spacing w:line="400" w:lineRule="exact"/>
        <w:ind w:firstLine="420"/>
        <w:rPr>
          <w:rFonts w:hAnsi="宋体"/>
          <w:szCs w:val="21"/>
        </w:rPr>
      </w:pPr>
      <w:r>
        <w:rPr>
          <w:rFonts w:hint="eastAsia" w:hAnsi="宋体"/>
          <w:szCs w:val="21"/>
        </w:rPr>
        <w:t>5.如果在磋商截止时间后的竞标有效期内撤回竞标或者有其他违约行为，贵方可不退还我方的磋商保证金。</w:t>
      </w:r>
    </w:p>
    <w:p>
      <w:pPr>
        <w:pStyle w:val="9"/>
        <w:spacing w:line="400" w:lineRule="exact"/>
        <w:ind w:firstLine="420"/>
        <w:rPr>
          <w:rFonts w:hAnsi="宋体"/>
          <w:szCs w:val="21"/>
        </w:rPr>
      </w:pPr>
      <w:r>
        <w:rPr>
          <w:rFonts w:hint="eastAsia" w:hAnsi="宋体"/>
          <w:szCs w:val="21"/>
        </w:rPr>
        <w:t>6.同意向贵方提供贵方可能要求的与本竞标有关的任何数据或资料。</w:t>
      </w:r>
    </w:p>
    <w:p>
      <w:pPr>
        <w:pStyle w:val="9"/>
        <w:spacing w:line="400" w:lineRule="exact"/>
        <w:ind w:firstLine="420"/>
        <w:rPr>
          <w:rFonts w:hAnsi="宋体"/>
          <w:szCs w:val="21"/>
        </w:rPr>
      </w:pPr>
      <w:r>
        <w:rPr>
          <w:rFonts w:hint="eastAsia" w:hAnsi="宋体"/>
          <w:szCs w:val="21"/>
        </w:rPr>
        <w:t>7.我方完全理解贵方不一定要接受最低报价的竞争性磋商供应商名称为成交供应商。</w:t>
      </w:r>
    </w:p>
    <w:p>
      <w:pPr>
        <w:pStyle w:val="9"/>
        <w:spacing w:line="400" w:lineRule="exact"/>
        <w:ind w:firstLine="420"/>
        <w:rPr>
          <w:rFonts w:hAnsi="宋体"/>
          <w:szCs w:val="21"/>
        </w:rPr>
      </w:pPr>
      <w:r>
        <w:rPr>
          <w:rFonts w:hint="eastAsia" w:hAnsi="宋体"/>
          <w:szCs w:val="21"/>
        </w:rPr>
        <w:t>8.若贵方需要，我方愿意提供我方作出的一切承诺的证明材料。</w:t>
      </w:r>
    </w:p>
    <w:p>
      <w:pPr>
        <w:pStyle w:val="9"/>
        <w:spacing w:line="400" w:lineRule="exact"/>
        <w:ind w:firstLine="420"/>
        <w:rPr>
          <w:rFonts w:hAnsi="宋体"/>
          <w:szCs w:val="21"/>
        </w:rPr>
      </w:pPr>
    </w:p>
    <w:p>
      <w:pPr>
        <w:pStyle w:val="9"/>
        <w:spacing w:line="400" w:lineRule="exact"/>
        <w:ind w:firstLine="420"/>
        <w:rPr>
          <w:rFonts w:hAnsi="宋体"/>
          <w:szCs w:val="21"/>
        </w:rPr>
      </w:pPr>
      <w:r>
        <w:rPr>
          <w:rFonts w:hint="eastAsia" w:hAnsi="宋体"/>
          <w:szCs w:val="21"/>
        </w:rPr>
        <w:t>与本项目竞标有关的正式通讯地址为：</w:t>
      </w:r>
    </w:p>
    <w:p>
      <w:pPr>
        <w:pStyle w:val="9"/>
        <w:spacing w:line="400" w:lineRule="exact"/>
        <w:ind w:firstLine="420"/>
        <w:rPr>
          <w:rFonts w:hAnsi="宋体"/>
          <w:szCs w:val="21"/>
        </w:rPr>
      </w:pPr>
      <w:r>
        <w:rPr>
          <w:rFonts w:hint="eastAsia" w:hAnsi="宋体"/>
          <w:szCs w:val="21"/>
        </w:rPr>
        <w:t>竞争性磋商供应商名称：</w:t>
      </w:r>
      <w:r>
        <w:rPr>
          <w:rFonts w:hint="eastAsia" w:hAnsi="宋体"/>
          <w:szCs w:val="21"/>
          <w:u w:val="single"/>
        </w:rPr>
        <w:t xml:space="preserve">                               </w:t>
      </w:r>
    </w:p>
    <w:p>
      <w:pPr>
        <w:pStyle w:val="9"/>
        <w:spacing w:line="400" w:lineRule="exact"/>
        <w:ind w:firstLine="420"/>
        <w:rPr>
          <w:rFonts w:hAnsi="宋体"/>
          <w:szCs w:val="21"/>
        </w:rPr>
      </w:pPr>
      <w:r>
        <w:rPr>
          <w:rFonts w:hint="eastAsia" w:hAnsi="宋体"/>
          <w:szCs w:val="21"/>
        </w:rPr>
        <w:t>地址：</w:t>
      </w:r>
      <w:r>
        <w:rPr>
          <w:rFonts w:hint="eastAsia" w:hAnsi="宋体"/>
          <w:szCs w:val="21"/>
          <w:u w:val="single"/>
        </w:rPr>
        <w:t xml:space="preserve">                                </w:t>
      </w:r>
      <w:r>
        <w:rPr>
          <w:rFonts w:hint="eastAsia" w:hAnsi="宋体"/>
          <w:szCs w:val="21"/>
        </w:rPr>
        <w:t xml:space="preserve"> </w:t>
      </w:r>
    </w:p>
    <w:p>
      <w:pPr>
        <w:pStyle w:val="9"/>
        <w:spacing w:line="400" w:lineRule="exact"/>
        <w:ind w:firstLine="420"/>
        <w:rPr>
          <w:rFonts w:hAnsi="宋体"/>
          <w:szCs w:val="21"/>
        </w:rPr>
      </w:pPr>
      <w:r>
        <w:rPr>
          <w:rFonts w:hint="eastAsia" w:hAnsi="宋体"/>
          <w:szCs w:val="21"/>
        </w:rPr>
        <w:t>邮政编码：</w:t>
      </w:r>
      <w:r>
        <w:rPr>
          <w:rFonts w:hint="eastAsia" w:hAnsi="宋体"/>
          <w:szCs w:val="21"/>
          <w:u w:val="single"/>
        </w:rPr>
        <w:t xml:space="preserve">             </w:t>
      </w:r>
    </w:p>
    <w:p>
      <w:pPr>
        <w:pStyle w:val="9"/>
        <w:spacing w:line="400" w:lineRule="exact"/>
        <w:ind w:firstLine="420"/>
        <w:rPr>
          <w:rFonts w:hAnsi="宋体"/>
          <w:szCs w:val="21"/>
          <w:u w:val="single"/>
        </w:rPr>
      </w:pPr>
      <w:r>
        <w:rPr>
          <w:rFonts w:hint="eastAsia" w:hAnsi="宋体"/>
          <w:szCs w:val="21"/>
        </w:rPr>
        <w:t>电话、电报、传真或电传：</w:t>
      </w:r>
      <w:r>
        <w:rPr>
          <w:rFonts w:hint="eastAsia" w:hAnsi="宋体"/>
          <w:szCs w:val="21"/>
          <w:u w:val="single"/>
        </w:rPr>
        <w:t xml:space="preserve">                                      </w:t>
      </w:r>
    </w:p>
    <w:p>
      <w:pPr>
        <w:pStyle w:val="9"/>
        <w:spacing w:line="400" w:lineRule="exact"/>
        <w:ind w:firstLine="420"/>
        <w:rPr>
          <w:rFonts w:hAnsi="宋体"/>
          <w:szCs w:val="21"/>
        </w:rPr>
      </w:pPr>
      <w:r>
        <w:rPr>
          <w:rFonts w:hint="eastAsia" w:hAnsi="宋体"/>
          <w:szCs w:val="21"/>
        </w:rPr>
        <w:t>开户名称：</w:t>
      </w:r>
      <w:r>
        <w:rPr>
          <w:rFonts w:hint="eastAsia" w:hAnsi="宋体"/>
          <w:szCs w:val="21"/>
          <w:u w:val="single"/>
        </w:rPr>
        <w:t xml:space="preserve">                                                    </w:t>
      </w:r>
      <w:r>
        <w:rPr>
          <w:rFonts w:hint="eastAsia" w:hAnsi="宋体"/>
          <w:szCs w:val="21"/>
        </w:rPr>
        <w:t xml:space="preserve"> </w:t>
      </w:r>
    </w:p>
    <w:p>
      <w:pPr>
        <w:pStyle w:val="9"/>
        <w:spacing w:line="400" w:lineRule="exact"/>
        <w:ind w:firstLine="420"/>
        <w:rPr>
          <w:rFonts w:hAnsi="宋体"/>
          <w:szCs w:val="21"/>
        </w:rPr>
      </w:pPr>
      <w:r>
        <w:rPr>
          <w:rFonts w:hint="eastAsia" w:hAnsi="宋体"/>
          <w:szCs w:val="21"/>
        </w:rPr>
        <w:t>开户银行：</w:t>
      </w:r>
      <w:r>
        <w:rPr>
          <w:rFonts w:hint="eastAsia" w:hAnsi="宋体"/>
          <w:szCs w:val="21"/>
          <w:u w:val="single"/>
        </w:rPr>
        <w:t xml:space="preserve">                                                    </w:t>
      </w:r>
    </w:p>
    <w:p>
      <w:pPr>
        <w:pStyle w:val="9"/>
        <w:spacing w:line="400" w:lineRule="exact"/>
        <w:ind w:firstLine="420"/>
        <w:rPr>
          <w:rFonts w:hAnsi="宋体"/>
          <w:szCs w:val="21"/>
        </w:rPr>
      </w:pPr>
      <w:r>
        <w:rPr>
          <w:rFonts w:hint="eastAsia" w:hAnsi="宋体"/>
          <w:szCs w:val="21"/>
        </w:rPr>
        <w:t>帐号：</w:t>
      </w:r>
      <w:r>
        <w:rPr>
          <w:rFonts w:hint="eastAsia" w:hAnsi="宋体"/>
          <w:szCs w:val="21"/>
          <w:u w:val="single"/>
        </w:rPr>
        <w:t xml:space="preserve">                                                        </w:t>
      </w:r>
    </w:p>
    <w:p>
      <w:pPr>
        <w:pStyle w:val="9"/>
        <w:spacing w:line="400" w:lineRule="exact"/>
        <w:ind w:firstLine="420"/>
        <w:rPr>
          <w:rFonts w:hAnsi="宋体"/>
          <w:szCs w:val="21"/>
        </w:rPr>
      </w:pPr>
      <w:r>
        <w:rPr>
          <w:rFonts w:hint="eastAsia" w:hAnsi="宋体"/>
          <w:szCs w:val="21"/>
        </w:rPr>
        <w:t>法定代表人/负责人或委托代理人签名：</w:t>
      </w:r>
      <w:r>
        <w:rPr>
          <w:rFonts w:hint="eastAsia" w:hAnsi="宋体"/>
          <w:szCs w:val="21"/>
          <w:u w:val="single"/>
        </w:rPr>
        <w:t xml:space="preserve">                           </w:t>
      </w:r>
    </w:p>
    <w:p>
      <w:pPr>
        <w:pStyle w:val="9"/>
        <w:spacing w:line="400" w:lineRule="exact"/>
        <w:ind w:firstLine="420"/>
        <w:rPr>
          <w:rFonts w:hAnsi="宋体"/>
          <w:szCs w:val="21"/>
        </w:rPr>
      </w:pPr>
      <w:r>
        <w:rPr>
          <w:rFonts w:hint="eastAsia" w:hAnsi="宋体"/>
          <w:szCs w:val="21"/>
        </w:rPr>
        <w:t>竞争性磋商供应商盖公章：</w:t>
      </w:r>
      <w:r>
        <w:rPr>
          <w:rFonts w:hint="eastAsia" w:hAnsi="宋体"/>
          <w:szCs w:val="21"/>
          <w:u w:val="single"/>
        </w:rPr>
        <w:t xml:space="preserve">                                      </w:t>
      </w:r>
    </w:p>
    <w:p>
      <w:pPr>
        <w:pStyle w:val="9"/>
        <w:spacing w:line="400" w:lineRule="exact"/>
        <w:ind w:firstLine="420" w:firstLineChars="200"/>
        <w:rPr>
          <w:rFonts w:hAnsi="宋体"/>
          <w:szCs w:val="21"/>
          <w:u w:val="single"/>
        </w:rPr>
      </w:pPr>
      <w:r>
        <w:rPr>
          <w:rFonts w:hint="eastAsia" w:hAnsi="宋体"/>
          <w:szCs w:val="21"/>
        </w:rPr>
        <w:t>竞标日期：</w:t>
      </w:r>
      <w:r>
        <w:rPr>
          <w:rFonts w:hint="eastAsia" w:hAnsi="宋体"/>
          <w:szCs w:val="21"/>
          <w:u w:val="single"/>
        </w:rPr>
        <w:t xml:space="preserve">                                                    </w:t>
      </w:r>
    </w:p>
    <w:p>
      <w:pPr>
        <w:pStyle w:val="8"/>
        <w:rPr>
          <w:sz w:val="20"/>
        </w:rPr>
      </w:pPr>
    </w:p>
    <w:p>
      <w:pPr>
        <w:pStyle w:val="8"/>
        <w:spacing w:before="2"/>
        <w:rPr>
          <w:sz w:val="17"/>
        </w:rPr>
      </w:pPr>
    </w:p>
    <w:p>
      <w:pPr>
        <w:rPr>
          <w:b/>
          <w:sz w:val="28"/>
        </w:rPr>
      </w:pPr>
      <w:r>
        <w:rPr>
          <w:b/>
          <w:sz w:val="28"/>
        </w:rPr>
        <w:br w:type="page"/>
      </w:r>
    </w:p>
    <w:p>
      <w:pPr>
        <w:spacing w:before="157"/>
        <w:ind w:left="428"/>
        <w:jc w:val="left"/>
        <w:rPr>
          <w:b/>
          <w:sz w:val="28"/>
          <w:szCs w:val="28"/>
        </w:rPr>
      </w:pPr>
      <w:r>
        <w:rPr>
          <w:rFonts w:hint="eastAsia"/>
          <w:b/>
          <w:sz w:val="28"/>
          <w:szCs w:val="28"/>
        </w:rPr>
        <w:t>二、 磋商函附录</w:t>
      </w:r>
    </w:p>
    <w:p>
      <w:pPr>
        <w:pStyle w:val="8"/>
        <w:rPr>
          <w:sz w:val="20"/>
        </w:rPr>
      </w:pPr>
    </w:p>
    <w:p>
      <w:pPr>
        <w:pStyle w:val="8"/>
        <w:spacing w:before="9"/>
        <w:rPr>
          <w:sz w:val="14"/>
        </w:rPr>
      </w:pPr>
    </w:p>
    <w:p>
      <w:pPr>
        <w:pStyle w:val="8"/>
        <w:tabs>
          <w:tab w:val="left" w:pos="3316"/>
        </w:tabs>
        <w:spacing w:before="165" w:line="348" w:lineRule="auto"/>
        <w:ind w:left="428" w:right="7248"/>
        <w:rPr>
          <w:rFonts w:ascii="宋体" w:hAnsi="宋体" w:eastAsia="宋体" w:cs="宋体"/>
          <w:sz w:val="21"/>
          <w:szCs w:val="24"/>
          <w:lang w:val="zh-CN" w:bidi="zh-CN"/>
        </w:rPr>
      </w:pPr>
    </w:p>
    <w:p>
      <w:pPr>
        <w:pStyle w:val="8"/>
        <w:tabs>
          <w:tab w:val="left" w:pos="3316"/>
        </w:tabs>
        <w:spacing w:before="165" w:line="348" w:lineRule="auto"/>
        <w:ind w:left="428" w:right="7248"/>
        <w:rPr>
          <w:rFonts w:ascii="宋体" w:hAnsi="宋体" w:eastAsia="宋体" w:cs="宋体"/>
          <w:sz w:val="21"/>
          <w:szCs w:val="24"/>
          <w:lang w:val="zh-CN" w:bidi="zh-CN"/>
        </w:rPr>
      </w:pPr>
      <w:r>
        <w:rPr>
          <w:rFonts w:hint="eastAsia" w:ascii="宋体" w:hAnsi="宋体" w:eastAsia="宋体" w:cs="宋体"/>
          <w:sz w:val="21"/>
          <w:szCs w:val="24"/>
          <w:lang w:val="zh-CN" w:bidi="zh-CN"/>
        </w:rPr>
        <w:t>项目</w:t>
      </w:r>
      <w:r>
        <w:rPr>
          <w:rFonts w:ascii="宋体" w:hAnsi="宋体" w:eastAsia="宋体" w:cs="宋体"/>
          <w:sz w:val="21"/>
          <w:szCs w:val="24"/>
          <w:lang w:val="zh-CN" w:bidi="zh-CN"/>
        </w:rPr>
        <w:t>编号：</w:t>
      </w:r>
      <w:r>
        <w:rPr>
          <w:rFonts w:ascii="宋体" w:hAnsi="宋体" w:eastAsia="宋体" w:cs="宋体"/>
          <w:sz w:val="21"/>
          <w:szCs w:val="24"/>
          <w:lang w:val="zh-CN" w:bidi="zh-CN"/>
        </w:rPr>
        <w:tab/>
      </w:r>
      <w:r>
        <w:rPr>
          <w:rFonts w:ascii="宋体" w:hAnsi="宋体" w:eastAsia="宋体" w:cs="宋体"/>
          <w:sz w:val="21"/>
          <w:szCs w:val="24"/>
          <w:lang w:val="zh-CN" w:bidi="zh-CN"/>
        </w:rPr>
        <w:t xml:space="preserve">                 项目名称：</w:t>
      </w:r>
    </w:p>
    <w:tbl>
      <w:tblPr>
        <w:tblStyle w:val="15"/>
        <w:tblW w:w="96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3595"/>
        <w:gridCol w:w="1559"/>
        <w:gridCol w:w="1276"/>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805" w:type="dxa"/>
          </w:tcPr>
          <w:p>
            <w:pPr>
              <w:pStyle w:val="26"/>
              <w:spacing w:before="83"/>
              <w:ind w:left="171" w:right="163"/>
              <w:jc w:val="center"/>
            </w:pPr>
            <w:r>
              <w:t>序号</w:t>
            </w:r>
          </w:p>
        </w:tc>
        <w:tc>
          <w:tcPr>
            <w:tcW w:w="3595" w:type="dxa"/>
          </w:tcPr>
          <w:p>
            <w:pPr>
              <w:pStyle w:val="26"/>
              <w:spacing w:before="83"/>
              <w:ind w:left="599"/>
            </w:pPr>
            <w:r>
              <w:t>服务名称</w:t>
            </w:r>
          </w:p>
        </w:tc>
        <w:tc>
          <w:tcPr>
            <w:tcW w:w="1559" w:type="dxa"/>
            <w:vAlign w:val="center"/>
          </w:tcPr>
          <w:p>
            <w:pPr>
              <w:pStyle w:val="26"/>
              <w:spacing w:before="83"/>
              <w:ind w:left="268"/>
              <w:jc w:val="center"/>
            </w:pPr>
            <w:r>
              <w:t>数量/单位</w:t>
            </w:r>
          </w:p>
          <w:p>
            <w:pPr>
              <w:pStyle w:val="26"/>
              <w:spacing w:before="83"/>
              <w:ind w:left="268"/>
              <w:jc w:val="center"/>
            </w:pPr>
            <w:r>
              <w:rPr>
                <w:rFonts w:hint="eastAsia" w:asciiTheme="minorEastAsia" w:hAnsiTheme="minorEastAsia" w:eastAsiaTheme="minorEastAsia"/>
                <w:kern w:val="0"/>
                <w:sz w:val="22"/>
                <w:szCs w:val="22"/>
              </w:rPr>
              <w:t>①</w:t>
            </w:r>
          </w:p>
        </w:tc>
        <w:tc>
          <w:tcPr>
            <w:tcW w:w="1276" w:type="dxa"/>
            <w:vAlign w:val="center"/>
          </w:tcPr>
          <w:p>
            <w:pPr>
              <w:pStyle w:val="26"/>
              <w:spacing w:before="83"/>
              <w:ind w:left="165"/>
              <w:jc w:val="center"/>
            </w:pPr>
            <w:r>
              <w:t>单价（元）</w:t>
            </w:r>
            <w:r>
              <w:rPr>
                <w:rFonts w:hint="eastAsia" w:asciiTheme="minorEastAsia" w:hAnsiTheme="minorEastAsia" w:eastAsiaTheme="minorEastAsia"/>
                <w:kern w:val="0"/>
                <w:sz w:val="22"/>
                <w:szCs w:val="22"/>
              </w:rPr>
              <w:t>②</w:t>
            </w:r>
          </w:p>
        </w:tc>
        <w:tc>
          <w:tcPr>
            <w:tcW w:w="2409" w:type="dxa"/>
            <w:vAlign w:val="center"/>
          </w:tcPr>
          <w:p>
            <w:pPr>
              <w:pStyle w:val="26"/>
              <w:spacing w:before="83"/>
              <w:ind w:left="316"/>
              <w:jc w:val="center"/>
            </w:pPr>
            <w:r>
              <w:t>总价（元）</w:t>
            </w:r>
          </w:p>
          <w:p>
            <w:pPr>
              <w:pStyle w:val="26"/>
              <w:spacing w:before="83"/>
              <w:ind w:left="316"/>
              <w:jc w:val="center"/>
            </w:pPr>
            <w:r>
              <w:rPr>
                <w:rFonts w:hint="eastAsia" w:asciiTheme="minorEastAsia" w:hAnsiTheme="minorEastAsia" w:eastAsiaTheme="minorEastAsia"/>
                <w:kern w:val="0"/>
                <w:sz w:val="22"/>
                <w:szCs w:val="22"/>
              </w:rPr>
              <w:t>③=①×②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805" w:type="dxa"/>
          </w:tcPr>
          <w:p>
            <w:pPr>
              <w:pStyle w:val="26"/>
              <w:spacing w:before="82"/>
              <w:ind w:left="7"/>
              <w:jc w:val="center"/>
            </w:pPr>
            <w:r>
              <w:rPr>
                <w:w w:val="99"/>
              </w:rPr>
              <w:t>1</w:t>
            </w:r>
          </w:p>
        </w:tc>
        <w:tc>
          <w:tcPr>
            <w:tcW w:w="3595" w:type="dxa"/>
          </w:tcPr>
          <w:p>
            <w:pPr>
              <w:pStyle w:val="26"/>
              <w:rPr>
                <w:rFonts w:ascii="Times New Roman"/>
                <w:sz w:val="20"/>
              </w:rPr>
            </w:pPr>
          </w:p>
        </w:tc>
        <w:tc>
          <w:tcPr>
            <w:tcW w:w="1559" w:type="dxa"/>
          </w:tcPr>
          <w:p>
            <w:pPr>
              <w:pStyle w:val="26"/>
              <w:rPr>
                <w:rFonts w:ascii="Times New Roman"/>
                <w:sz w:val="20"/>
              </w:rPr>
            </w:pPr>
          </w:p>
        </w:tc>
        <w:tc>
          <w:tcPr>
            <w:tcW w:w="1276" w:type="dxa"/>
          </w:tcPr>
          <w:p>
            <w:pPr>
              <w:pStyle w:val="26"/>
              <w:rPr>
                <w:rFonts w:ascii="Times New Roman"/>
                <w:sz w:val="20"/>
              </w:rPr>
            </w:pPr>
          </w:p>
        </w:tc>
        <w:tc>
          <w:tcPr>
            <w:tcW w:w="2409"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805" w:type="dxa"/>
          </w:tcPr>
          <w:p>
            <w:pPr>
              <w:pStyle w:val="26"/>
              <w:spacing w:before="83"/>
              <w:ind w:left="7"/>
              <w:jc w:val="center"/>
            </w:pPr>
            <w:r>
              <w:rPr>
                <w:w w:val="99"/>
              </w:rPr>
              <w:t>2</w:t>
            </w:r>
          </w:p>
        </w:tc>
        <w:tc>
          <w:tcPr>
            <w:tcW w:w="3595" w:type="dxa"/>
          </w:tcPr>
          <w:p>
            <w:pPr>
              <w:pStyle w:val="26"/>
              <w:rPr>
                <w:rFonts w:ascii="Times New Roman"/>
                <w:sz w:val="20"/>
              </w:rPr>
            </w:pPr>
          </w:p>
        </w:tc>
        <w:tc>
          <w:tcPr>
            <w:tcW w:w="1559" w:type="dxa"/>
          </w:tcPr>
          <w:p>
            <w:pPr>
              <w:pStyle w:val="26"/>
              <w:rPr>
                <w:rFonts w:ascii="Times New Roman"/>
                <w:sz w:val="20"/>
              </w:rPr>
            </w:pPr>
          </w:p>
        </w:tc>
        <w:tc>
          <w:tcPr>
            <w:tcW w:w="1276" w:type="dxa"/>
          </w:tcPr>
          <w:p>
            <w:pPr>
              <w:pStyle w:val="26"/>
              <w:rPr>
                <w:rFonts w:ascii="Times New Roman"/>
                <w:sz w:val="20"/>
              </w:rPr>
            </w:pPr>
          </w:p>
        </w:tc>
        <w:tc>
          <w:tcPr>
            <w:tcW w:w="2409"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805" w:type="dxa"/>
          </w:tcPr>
          <w:p>
            <w:pPr>
              <w:pStyle w:val="26"/>
              <w:spacing w:before="82"/>
              <w:ind w:left="171" w:right="163"/>
              <w:jc w:val="center"/>
            </w:pPr>
            <w:r>
              <w:t>……</w:t>
            </w:r>
          </w:p>
        </w:tc>
        <w:tc>
          <w:tcPr>
            <w:tcW w:w="3595" w:type="dxa"/>
          </w:tcPr>
          <w:p>
            <w:pPr>
              <w:pStyle w:val="26"/>
              <w:rPr>
                <w:rFonts w:ascii="Times New Roman"/>
                <w:sz w:val="20"/>
              </w:rPr>
            </w:pPr>
          </w:p>
        </w:tc>
        <w:tc>
          <w:tcPr>
            <w:tcW w:w="1559" w:type="dxa"/>
          </w:tcPr>
          <w:p>
            <w:pPr>
              <w:pStyle w:val="26"/>
              <w:rPr>
                <w:rFonts w:ascii="Times New Roman"/>
                <w:sz w:val="20"/>
              </w:rPr>
            </w:pPr>
          </w:p>
        </w:tc>
        <w:tc>
          <w:tcPr>
            <w:tcW w:w="1276" w:type="dxa"/>
          </w:tcPr>
          <w:p>
            <w:pPr>
              <w:pStyle w:val="26"/>
              <w:rPr>
                <w:rFonts w:ascii="Times New Roman"/>
                <w:sz w:val="20"/>
              </w:rPr>
            </w:pPr>
          </w:p>
        </w:tc>
        <w:tc>
          <w:tcPr>
            <w:tcW w:w="2409"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805" w:type="dxa"/>
          </w:tcPr>
          <w:p>
            <w:pPr>
              <w:pStyle w:val="26"/>
              <w:spacing w:before="81"/>
              <w:ind w:left="7"/>
              <w:jc w:val="center"/>
            </w:pPr>
            <w:r>
              <w:rPr>
                <w:w w:val="99"/>
              </w:rPr>
              <w:t>N</w:t>
            </w:r>
          </w:p>
        </w:tc>
        <w:tc>
          <w:tcPr>
            <w:tcW w:w="3595" w:type="dxa"/>
          </w:tcPr>
          <w:p>
            <w:pPr>
              <w:pStyle w:val="26"/>
              <w:rPr>
                <w:rFonts w:ascii="Times New Roman"/>
                <w:sz w:val="20"/>
              </w:rPr>
            </w:pPr>
          </w:p>
        </w:tc>
        <w:tc>
          <w:tcPr>
            <w:tcW w:w="1559" w:type="dxa"/>
          </w:tcPr>
          <w:p>
            <w:pPr>
              <w:pStyle w:val="26"/>
              <w:rPr>
                <w:rFonts w:ascii="Times New Roman"/>
                <w:sz w:val="20"/>
              </w:rPr>
            </w:pPr>
          </w:p>
        </w:tc>
        <w:tc>
          <w:tcPr>
            <w:tcW w:w="1276" w:type="dxa"/>
          </w:tcPr>
          <w:p>
            <w:pPr>
              <w:pStyle w:val="26"/>
              <w:rPr>
                <w:rFonts w:ascii="Times New Roman"/>
                <w:sz w:val="20"/>
              </w:rPr>
            </w:pPr>
          </w:p>
        </w:tc>
        <w:tc>
          <w:tcPr>
            <w:tcW w:w="2409" w:type="dxa"/>
          </w:tcPr>
          <w:p>
            <w:pPr>
              <w:pStyle w:val="2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9644" w:type="dxa"/>
            <w:gridSpan w:val="5"/>
          </w:tcPr>
          <w:p>
            <w:pPr>
              <w:pStyle w:val="26"/>
              <w:rPr>
                <w:rFonts w:ascii="Times New Roman"/>
                <w:sz w:val="20"/>
              </w:rPr>
            </w:pPr>
            <w:r>
              <w:t>总报价（含其他优惠条件）：人民币</w:t>
            </w:r>
            <w:r>
              <w:rPr>
                <w:u w:val="single"/>
              </w:rPr>
              <w:t xml:space="preserve"> </w:t>
            </w:r>
            <w:r>
              <w:rPr>
                <w:u w:val="single"/>
              </w:rPr>
              <w:tab/>
            </w:r>
            <w:r>
              <w:rPr>
                <w:b/>
                <w:u w:val="single"/>
              </w:rPr>
              <w:t>（</w:t>
            </w:r>
            <w:r>
              <w:rPr>
                <w:rFonts w:hint="eastAsia"/>
                <w:b/>
                <w:u w:val="single"/>
              </w:rPr>
              <w:t>¥</w:t>
            </w:r>
            <w:r>
              <w:rPr>
                <w:b/>
                <w:u w:val="single"/>
              </w:rPr>
              <w:tab/>
            </w:r>
            <w:r>
              <w:rPr>
                <w:b/>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9644" w:type="dxa"/>
            <w:gridSpan w:val="5"/>
          </w:tcPr>
          <w:p>
            <w:pPr>
              <w:pStyle w:val="26"/>
              <w:rPr>
                <w:rFonts w:ascii="Times New Roman"/>
                <w:sz w:val="20"/>
              </w:rPr>
            </w:pPr>
            <w:r>
              <w:rPr>
                <w:rFonts w:hint="eastAsia"/>
                <w:spacing w:val="-2"/>
              </w:rPr>
              <w:t>服务交付时间：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9644" w:type="dxa"/>
            <w:gridSpan w:val="5"/>
          </w:tcPr>
          <w:p>
            <w:pPr>
              <w:pStyle w:val="26"/>
              <w:rPr>
                <w:rFonts w:ascii="Times New Roman"/>
                <w:sz w:val="20"/>
              </w:rPr>
            </w:pPr>
            <w:r>
              <w:rPr>
                <w:rFonts w:hint="eastAsia"/>
                <w:spacing w:val="-2"/>
              </w:rPr>
              <w:t>服务期限：</w:t>
            </w:r>
          </w:p>
        </w:tc>
      </w:tr>
    </w:tbl>
    <w:p>
      <w:pPr>
        <w:pStyle w:val="8"/>
        <w:tabs>
          <w:tab w:val="left" w:pos="3316"/>
        </w:tabs>
        <w:spacing w:before="165" w:line="348" w:lineRule="auto"/>
        <w:ind w:left="428" w:right="7248"/>
        <w:rPr>
          <w:rFonts w:ascii="宋体" w:hAnsi="宋体" w:eastAsia="宋体" w:cs="宋体"/>
          <w:sz w:val="21"/>
          <w:szCs w:val="24"/>
          <w:lang w:val="zh-CN" w:bidi="zh-CN"/>
        </w:rPr>
      </w:pPr>
    </w:p>
    <w:p>
      <w:pPr>
        <w:pStyle w:val="8"/>
        <w:tabs>
          <w:tab w:val="left" w:pos="3316"/>
        </w:tabs>
        <w:spacing w:before="165" w:line="348" w:lineRule="auto"/>
        <w:ind w:left="428" w:right="7248"/>
        <w:rPr>
          <w:rFonts w:ascii="宋体" w:hAnsi="宋体" w:eastAsia="宋体" w:cs="宋体"/>
          <w:sz w:val="21"/>
          <w:szCs w:val="24"/>
          <w:lang w:val="zh-CN" w:bidi="zh-CN"/>
        </w:rPr>
      </w:pPr>
    </w:p>
    <w:p>
      <w:pPr>
        <w:pStyle w:val="8"/>
        <w:rPr>
          <w:rFonts w:ascii="宋体" w:hAnsi="宋体" w:eastAsia="宋体" w:cs="宋体"/>
          <w:sz w:val="21"/>
          <w:szCs w:val="24"/>
          <w:lang w:val="zh-CN" w:bidi="zh-CN"/>
        </w:rPr>
      </w:pPr>
    </w:p>
    <w:p>
      <w:pPr>
        <w:pStyle w:val="8"/>
        <w:rPr>
          <w:rFonts w:ascii="宋体" w:hAnsi="宋体" w:eastAsia="宋体" w:cs="宋体"/>
          <w:sz w:val="21"/>
          <w:szCs w:val="24"/>
          <w:lang w:val="zh-CN" w:bidi="zh-CN"/>
        </w:rPr>
      </w:pPr>
    </w:p>
    <w:p>
      <w:pPr>
        <w:pStyle w:val="8"/>
        <w:spacing w:before="1"/>
        <w:rPr>
          <w:rFonts w:ascii="宋体" w:hAnsi="宋体" w:eastAsia="宋体" w:cs="宋体"/>
          <w:sz w:val="21"/>
          <w:szCs w:val="24"/>
          <w:lang w:val="zh-CN" w:bidi="zh-CN"/>
        </w:rPr>
      </w:pPr>
    </w:p>
    <w:p>
      <w:pPr>
        <w:pStyle w:val="8"/>
        <w:spacing w:before="1"/>
        <w:ind w:left="428"/>
        <w:rPr>
          <w:rFonts w:ascii="宋体" w:hAnsi="宋体" w:eastAsia="宋体" w:cs="宋体"/>
          <w:sz w:val="21"/>
          <w:szCs w:val="24"/>
          <w:lang w:val="zh-CN" w:bidi="zh-CN"/>
        </w:rPr>
      </w:pPr>
    </w:p>
    <w:p>
      <w:pPr>
        <w:pStyle w:val="8"/>
        <w:spacing w:before="1"/>
        <w:ind w:left="428"/>
        <w:rPr>
          <w:rFonts w:ascii="宋体" w:hAnsi="宋体" w:eastAsia="宋体" w:cs="宋体"/>
          <w:sz w:val="21"/>
          <w:szCs w:val="24"/>
          <w:lang w:val="zh-CN" w:bidi="zh-CN"/>
        </w:rPr>
      </w:pPr>
    </w:p>
    <w:p>
      <w:pPr>
        <w:pStyle w:val="8"/>
        <w:spacing w:before="1"/>
        <w:ind w:left="428"/>
        <w:rPr>
          <w:rFonts w:ascii="宋体" w:hAnsi="宋体" w:eastAsia="宋体" w:cs="宋体"/>
          <w:sz w:val="21"/>
          <w:szCs w:val="24"/>
          <w:lang w:val="zh-CN" w:bidi="zh-CN"/>
        </w:rPr>
      </w:pPr>
    </w:p>
    <w:p>
      <w:pPr>
        <w:pStyle w:val="8"/>
        <w:spacing w:before="1"/>
        <w:ind w:left="428"/>
        <w:rPr>
          <w:rFonts w:ascii="宋体" w:hAnsi="宋体" w:eastAsia="宋体" w:cs="宋体"/>
          <w:sz w:val="21"/>
          <w:szCs w:val="24"/>
          <w:lang w:val="zh-CN" w:bidi="zh-CN"/>
        </w:rPr>
      </w:pPr>
      <w:r>
        <w:rPr>
          <w:rFonts w:ascii="宋体" w:hAnsi="宋体" w:eastAsia="宋体" w:cs="宋体"/>
          <w:sz w:val="21"/>
          <w:szCs w:val="24"/>
          <w:lang w:val="zh-CN" w:bidi="zh-CN"/>
        </w:rPr>
        <w:t>注：所有价格均用人民币表示，单位为元。</w:t>
      </w:r>
    </w:p>
    <w:p>
      <w:pPr>
        <w:pStyle w:val="8"/>
        <w:rPr>
          <w:rFonts w:ascii="宋体" w:hAnsi="宋体" w:eastAsia="宋体" w:cs="宋体"/>
          <w:sz w:val="21"/>
          <w:szCs w:val="24"/>
          <w:lang w:val="zh-CN" w:bidi="zh-CN"/>
        </w:rPr>
      </w:pPr>
    </w:p>
    <w:p>
      <w:pPr>
        <w:pStyle w:val="8"/>
        <w:rPr>
          <w:rFonts w:ascii="宋体" w:hAnsi="宋体" w:eastAsia="宋体" w:cs="宋体"/>
          <w:sz w:val="21"/>
          <w:szCs w:val="24"/>
          <w:lang w:val="zh-CN" w:bidi="zh-CN"/>
        </w:rPr>
      </w:pPr>
    </w:p>
    <w:p>
      <w:pPr>
        <w:pStyle w:val="9"/>
        <w:spacing w:line="400" w:lineRule="exact"/>
        <w:ind w:firstLine="420" w:firstLineChars="200"/>
        <w:rPr>
          <w:rFonts w:hAnsi="宋体"/>
          <w:szCs w:val="21"/>
          <w:u w:val="single"/>
        </w:rPr>
      </w:pPr>
      <w:r>
        <w:rPr>
          <w:rFonts w:hint="eastAsia" w:hAnsi="宋体"/>
          <w:szCs w:val="21"/>
        </w:rPr>
        <w:t>竞争性磋商供应商名称（加盖公章）：</w:t>
      </w:r>
      <w:r>
        <w:rPr>
          <w:rFonts w:hint="eastAsia" w:hAnsi="宋体"/>
          <w:szCs w:val="21"/>
          <w:u w:val="single"/>
        </w:rPr>
        <w:t xml:space="preserve">                                </w:t>
      </w:r>
    </w:p>
    <w:p>
      <w:pPr>
        <w:pStyle w:val="8"/>
        <w:spacing w:before="7"/>
        <w:rPr>
          <w:sz w:val="29"/>
        </w:rPr>
      </w:pPr>
    </w:p>
    <w:p>
      <w:pPr>
        <w:pStyle w:val="8"/>
        <w:tabs>
          <w:tab w:val="left" w:pos="6151"/>
        </w:tabs>
        <w:ind w:left="428"/>
        <w:rPr>
          <w:rFonts w:ascii="Times New Roman" w:hAnsi="Times New Roman" w:eastAsia="宋体"/>
          <w:b w:val="0"/>
          <w:spacing w:val="0"/>
          <w:sz w:val="21"/>
          <w:szCs w:val="24"/>
        </w:rPr>
      </w:pPr>
      <w:r>
        <w:rPr>
          <w:rFonts w:ascii="Times New Roman" w:hAnsi="Times New Roman" w:eastAsia="宋体"/>
          <w:b w:val="0"/>
          <w:spacing w:val="0"/>
          <w:sz w:val="21"/>
          <w:szCs w:val="24"/>
        </w:rPr>
        <w:t xml:space="preserve">法定代表人/负责人或授权代表（签字）： </w:t>
      </w:r>
      <w:r>
        <w:rPr>
          <w:rFonts w:ascii="Times New Roman" w:hAnsi="Times New Roman" w:eastAsia="宋体"/>
          <w:b w:val="0"/>
          <w:spacing w:val="0"/>
          <w:sz w:val="21"/>
          <w:szCs w:val="24"/>
        </w:rPr>
        <w:tab/>
      </w:r>
    </w:p>
    <w:p>
      <w:pPr>
        <w:pStyle w:val="8"/>
        <w:tabs>
          <w:tab w:val="left" w:pos="4051"/>
        </w:tabs>
        <w:spacing w:before="77"/>
        <w:rPr>
          <w:rFonts w:ascii="Times New Roman" w:hAnsi="Times New Roman" w:eastAsia="宋体"/>
          <w:b w:val="0"/>
          <w:spacing w:val="0"/>
          <w:sz w:val="21"/>
          <w:szCs w:val="24"/>
        </w:rPr>
      </w:pPr>
      <w:r>
        <w:rPr>
          <w:rFonts w:ascii="Times New Roman" w:hAnsi="Times New Roman" w:eastAsia="宋体"/>
          <w:b w:val="0"/>
          <w:spacing w:val="0"/>
          <w:sz w:val="21"/>
          <w:szCs w:val="24"/>
        </w:rPr>
        <w:tab/>
      </w:r>
    </w:p>
    <w:p>
      <w:pPr>
        <w:pStyle w:val="8"/>
        <w:spacing w:before="2"/>
        <w:rPr>
          <w:rFonts w:ascii="Times New Roman" w:hAnsi="Times New Roman" w:eastAsia="宋体"/>
          <w:b w:val="0"/>
          <w:spacing w:val="0"/>
          <w:sz w:val="21"/>
          <w:szCs w:val="24"/>
        </w:rPr>
      </w:pPr>
    </w:p>
    <w:p>
      <w:pPr>
        <w:pStyle w:val="8"/>
        <w:tabs>
          <w:tab w:val="left" w:pos="2005"/>
          <w:tab w:val="left" w:pos="2739"/>
          <w:tab w:val="left" w:pos="3368"/>
        </w:tabs>
        <w:spacing w:before="70"/>
        <w:ind w:left="428"/>
        <w:rPr>
          <w:rFonts w:ascii="Times New Roman" w:hAnsi="Times New Roman" w:eastAsia="宋体"/>
          <w:b w:val="0"/>
          <w:spacing w:val="0"/>
          <w:sz w:val="21"/>
          <w:szCs w:val="24"/>
        </w:rPr>
        <w:sectPr>
          <w:pgSz w:w="11910" w:h="16840"/>
          <w:pgMar w:top="1380" w:right="540" w:bottom="1180" w:left="800" w:header="846" w:footer="997" w:gutter="0"/>
          <w:cols w:space="720" w:num="1"/>
        </w:sectPr>
      </w:pPr>
      <w:r>
        <w:rPr>
          <w:rFonts w:hint="eastAsia" w:ascii="Times New Roman" w:hAnsi="Times New Roman" w:eastAsia="宋体"/>
          <w:b w:val="0"/>
          <w:spacing w:val="0"/>
          <w:sz w:val="21"/>
          <w:szCs w:val="24"/>
        </w:rPr>
        <w:t>日期</w:t>
      </w:r>
      <w:r>
        <w:rPr>
          <w:rFonts w:ascii="Times New Roman" w:hAnsi="Times New Roman" w:eastAsia="宋体"/>
          <w:b w:val="0"/>
          <w:spacing w:val="0"/>
          <w:sz w:val="21"/>
          <w:szCs w:val="24"/>
        </w:rPr>
        <w:t xml:space="preserve">： </w:t>
      </w:r>
      <w:r>
        <w:rPr>
          <w:rFonts w:ascii="Times New Roman" w:hAnsi="Times New Roman" w:eastAsia="宋体"/>
          <w:b w:val="0"/>
          <w:spacing w:val="0"/>
          <w:sz w:val="21"/>
          <w:szCs w:val="24"/>
        </w:rPr>
        <w:tab/>
      </w:r>
      <w:r>
        <w:rPr>
          <w:rFonts w:ascii="Times New Roman" w:hAnsi="Times New Roman" w:eastAsia="宋体"/>
          <w:b w:val="0"/>
          <w:spacing w:val="0"/>
          <w:sz w:val="21"/>
          <w:szCs w:val="24"/>
        </w:rPr>
        <w:t xml:space="preserve">年 </w:t>
      </w:r>
      <w:r>
        <w:rPr>
          <w:rFonts w:ascii="Times New Roman" w:hAnsi="Times New Roman" w:eastAsia="宋体"/>
          <w:b w:val="0"/>
          <w:spacing w:val="0"/>
          <w:sz w:val="21"/>
          <w:szCs w:val="24"/>
        </w:rPr>
        <w:tab/>
      </w:r>
      <w:r>
        <w:rPr>
          <w:rFonts w:ascii="Times New Roman" w:hAnsi="Times New Roman" w:eastAsia="宋体"/>
          <w:b w:val="0"/>
          <w:spacing w:val="0"/>
          <w:sz w:val="21"/>
          <w:szCs w:val="24"/>
        </w:rPr>
        <w:t xml:space="preserve">月 </w:t>
      </w:r>
      <w:r>
        <w:rPr>
          <w:rFonts w:ascii="Times New Roman" w:hAnsi="Times New Roman" w:eastAsia="宋体"/>
          <w:b w:val="0"/>
          <w:spacing w:val="0"/>
          <w:sz w:val="21"/>
          <w:szCs w:val="24"/>
        </w:rPr>
        <w:tab/>
      </w:r>
      <w:r>
        <w:rPr>
          <w:rFonts w:ascii="Times New Roman" w:hAnsi="Times New Roman" w:eastAsia="宋体"/>
          <w:b w:val="0"/>
          <w:spacing w:val="0"/>
          <w:sz w:val="21"/>
          <w:szCs w:val="24"/>
        </w:rPr>
        <w:t>日</w:t>
      </w:r>
    </w:p>
    <w:p>
      <w:pPr>
        <w:spacing w:before="157"/>
        <w:jc w:val="left"/>
        <w:rPr>
          <w:b/>
          <w:sz w:val="28"/>
          <w:szCs w:val="28"/>
        </w:rPr>
      </w:pPr>
      <w:r>
        <w:rPr>
          <w:rFonts w:hint="eastAsia"/>
          <w:b/>
          <w:sz w:val="28"/>
          <w:szCs w:val="28"/>
        </w:rPr>
        <w:t>三、竞争性磋商供应商基本情况表</w:t>
      </w:r>
      <w:bookmarkStart w:id="96" w:name="四、开户许可证复印件；（必须提供）"/>
      <w:bookmarkEnd w:id="96"/>
    </w:p>
    <w:p>
      <w:pPr>
        <w:pStyle w:val="11"/>
        <w:rPr>
          <w:b/>
          <w:sz w:val="28"/>
          <w:szCs w:val="28"/>
        </w:rPr>
      </w:pPr>
    </w:p>
    <w:p>
      <w:pPr>
        <w:pStyle w:val="11"/>
        <w:rPr>
          <w:b/>
          <w:sz w:val="28"/>
          <w:szCs w:val="28"/>
        </w:rPr>
      </w:pPr>
    </w:p>
    <w:p>
      <w:pPr>
        <w:pStyle w:val="4"/>
        <w:spacing w:before="62" w:line="417" w:lineRule="auto"/>
        <w:ind w:left="63" w:leftChars="30" w:right="736"/>
        <w:jc w:val="center"/>
        <w:rPr>
          <w:rFonts w:ascii="Times New Roman" w:hAnsi="Times New Roman" w:eastAsia="宋体"/>
          <w:sz w:val="21"/>
        </w:rPr>
      </w:pPr>
      <w:r>
        <w:rPr>
          <w:rFonts w:hint="eastAsia" w:ascii="Times New Roman" w:hAnsi="Times New Roman" w:eastAsia="宋体"/>
          <w:sz w:val="21"/>
        </w:rPr>
        <w:t>基本情况登记表</w:t>
      </w:r>
    </w:p>
    <w:tbl>
      <w:tblPr>
        <w:tblStyle w:val="15"/>
        <w:tblW w:w="10265" w:type="dxa"/>
        <w:tblInd w:w="-5" w:type="dxa"/>
        <w:tblLayout w:type="fixed"/>
        <w:tblCellMar>
          <w:top w:w="0" w:type="dxa"/>
          <w:left w:w="0" w:type="dxa"/>
          <w:bottom w:w="0" w:type="dxa"/>
          <w:right w:w="0" w:type="dxa"/>
        </w:tblCellMar>
      </w:tblPr>
      <w:tblGrid>
        <w:gridCol w:w="2271"/>
        <w:gridCol w:w="672"/>
        <w:gridCol w:w="1027"/>
        <w:gridCol w:w="1287"/>
        <w:gridCol w:w="1287"/>
        <w:gridCol w:w="1113"/>
        <w:gridCol w:w="2608"/>
      </w:tblGrid>
      <w:tr>
        <w:tblPrEx>
          <w:tblCellMar>
            <w:top w:w="0" w:type="dxa"/>
            <w:left w:w="0" w:type="dxa"/>
            <w:bottom w:w="0" w:type="dxa"/>
            <w:right w:w="0" w:type="dxa"/>
          </w:tblCellMar>
        </w:tblPrEx>
        <w:trPr>
          <w:trHeight w:val="340" w:hRule="atLeast"/>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竞争性磋商供应商名称</w:t>
            </w:r>
          </w:p>
        </w:tc>
        <w:tc>
          <w:tcPr>
            <w:tcW w:w="7994"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r>
      <w:tr>
        <w:tblPrEx>
          <w:tblCellMar>
            <w:top w:w="0" w:type="dxa"/>
            <w:left w:w="0" w:type="dxa"/>
            <w:bottom w:w="0" w:type="dxa"/>
            <w:right w:w="0" w:type="dxa"/>
          </w:tblCellMar>
        </w:tblPrEx>
        <w:trPr>
          <w:trHeight w:val="340" w:hRule="atLeast"/>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注册地址</w:t>
            </w:r>
          </w:p>
        </w:tc>
        <w:tc>
          <w:tcPr>
            <w:tcW w:w="2986"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6"/>
              <w:kinsoku w:val="0"/>
              <w:overflowPunct w:val="0"/>
              <w:spacing w:line="300" w:lineRule="exact"/>
              <w:jc w:val="center"/>
              <w:rPr>
                <w:szCs w:val="21"/>
              </w:rPr>
            </w:pPr>
            <w:r>
              <w:rPr>
                <w:rFonts w:hint="eastAsia"/>
                <w:szCs w:val="21"/>
              </w:rPr>
              <w:t>邮政编码</w:t>
            </w:r>
          </w:p>
        </w:tc>
        <w:tc>
          <w:tcPr>
            <w:tcW w:w="372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r>
      <w:tr>
        <w:tblPrEx>
          <w:tblCellMar>
            <w:top w:w="0" w:type="dxa"/>
            <w:left w:w="0" w:type="dxa"/>
            <w:bottom w:w="0" w:type="dxa"/>
            <w:right w:w="0" w:type="dxa"/>
          </w:tblCellMar>
        </w:tblPrEx>
        <w:trPr>
          <w:trHeight w:val="340" w:hRule="atLeast"/>
        </w:trPr>
        <w:tc>
          <w:tcPr>
            <w:tcW w:w="2271"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联系方式</w:t>
            </w:r>
          </w:p>
        </w:tc>
        <w:tc>
          <w:tcPr>
            <w:tcW w:w="67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联系人</w:t>
            </w:r>
          </w:p>
        </w:tc>
        <w:tc>
          <w:tcPr>
            <w:tcW w:w="2314"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电话</w:t>
            </w:r>
          </w:p>
        </w:tc>
        <w:tc>
          <w:tcPr>
            <w:tcW w:w="372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r>
      <w:tr>
        <w:tblPrEx>
          <w:tblCellMar>
            <w:top w:w="0" w:type="dxa"/>
            <w:left w:w="0" w:type="dxa"/>
            <w:bottom w:w="0" w:type="dxa"/>
            <w:right w:w="0" w:type="dxa"/>
          </w:tblCellMar>
        </w:tblPrEx>
        <w:trPr>
          <w:trHeight w:val="340" w:hRule="atLeast"/>
        </w:trPr>
        <w:tc>
          <w:tcPr>
            <w:tcW w:w="227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67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传真</w:t>
            </w:r>
          </w:p>
        </w:tc>
        <w:tc>
          <w:tcPr>
            <w:tcW w:w="2314"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网址</w:t>
            </w:r>
          </w:p>
        </w:tc>
        <w:tc>
          <w:tcPr>
            <w:tcW w:w="372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r>
      <w:tr>
        <w:tblPrEx>
          <w:tblCellMar>
            <w:top w:w="0" w:type="dxa"/>
            <w:left w:w="0" w:type="dxa"/>
            <w:bottom w:w="0" w:type="dxa"/>
            <w:right w:w="0" w:type="dxa"/>
          </w:tblCellMar>
        </w:tblPrEx>
        <w:trPr>
          <w:trHeight w:val="340" w:hRule="atLeast"/>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法定代表人/负责人</w:t>
            </w:r>
          </w:p>
        </w:tc>
        <w:tc>
          <w:tcPr>
            <w:tcW w:w="67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姓名</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技术职称</w:t>
            </w:r>
          </w:p>
        </w:tc>
        <w:tc>
          <w:tcPr>
            <w:tcW w:w="128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电话</w:t>
            </w:r>
          </w:p>
        </w:tc>
        <w:tc>
          <w:tcPr>
            <w:tcW w:w="260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r>
      <w:tr>
        <w:tblPrEx>
          <w:tblCellMar>
            <w:top w:w="0" w:type="dxa"/>
            <w:left w:w="0" w:type="dxa"/>
            <w:bottom w:w="0" w:type="dxa"/>
            <w:right w:w="0" w:type="dxa"/>
          </w:tblCellMar>
        </w:tblPrEx>
        <w:trPr>
          <w:trHeight w:val="340" w:hRule="atLeast"/>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统一社会信用代码</w:t>
            </w:r>
          </w:p>
        </w:tc>
        <w:tc>
          <w:tcPr>
            <w:tcW w:w="7994"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r>
      <w:tr>
        <w:tblPrEx>
          <w:tblCellMar>
            <w:top w:w="0" w:type="dxa"/>
            <w:left w:w="0" w:type="dxa"/>
            <w:bottom w:w="0" w:type="dxa"/>
            <w:right w:w="0" w:type="dxa"/>
          </w:tblCellMar>
        </w:tblPrEx>
        <w:trPr>
          <w:trHeight w:val="340" w:hRule="atLeast"/>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基本账户信息</w:t>
            </w:r>
          </w:p>
        </w:tc>
        <w:tc>
          <w:tcPr>
            <w:tcW w:w="7994"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szCs w:val="21"/>
              </w:rPr>
            </w:pPr>
            <w:r>
              <w:rPr>
                <w:rFonts w:hint="eastAsia" w:ascii="宋体" w:hAnsi="宋体"/>
                <w:szCs w:val="21"/>
              </w:rPr>
              <w:t>开户银行：                        基本账户银行账号：</w:t>
            </w:r>
          </w:p>
        </w:tc>
      </w:tr>
      <w:tr>
        <w:tblPrEx>
          <w:tblCellMar>
            <w:top w:w="0" w:type="dxa"/>
            <w:left w:w="0" w:type="dxa"/>
            <w:bottom w:w="0" w:type="dxa"/>
            <w:right w:w="0" w:type="dxa"/>
          </w:tblCellMar>
        </w:tblPrEx>
        <w:trPr>
          <w:trHeight w:val="340" w:hRule="atLeast"/>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经营范围</w:t>
            </w:r>
          </w:p>
        </w:tc>
        <w:tc>
          <w:tcPr>
            <w:tcW w:w="7994"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r>
      <w:tr>
        <w:tblPrEx>
          <w:tblCellMar>
            <w:top w:w="0" w:type="dxa"/>
            <w:left w:w="0" w:type="dxa"/>
            <w:bottom w:w="0" w:type="dxa"/>
            <w:right w:w="0" w:type="dxa"/>
          </w:tblCellMar>
        </w:tblPrEx>
        <w:trPr>
          <w:trHeight w:val="340" w:hRule="atLeast"/>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竞争性磋商供应商</w:t>
            </w:r>
          </w:p>
          <w:p>
            <w:pPr>
              <w:spacing w:line="300" w:lineRule="exact"/>
              <w:jc w:val="center"/>
              <w:rPr>
                <w:rFonts w:ascii="宋体" w:hAnsi="宋体"/>
                <w:szCs w:val="21"/>
              </w:rPr>
            </w:pPr>
            <w:r>
              <w:rPr>
                <w:rFonts w:hint="eastAsia" w:ascii="宋体" w:hAnsi="宋体"/>
                <w:szCs w:val="21"/>
              </w:rPr>
              <w:t>关联企业情况</w:t>
            </w:r>
          </w:p>
          <w:p>
            <w:pPr>
              <w:spacing w:line="300" w:lineRule="exact"/>
              <w:jc w:val="center"/>
              <w:rPr>
                <w:rFonts w:ascii="宋体" w:hAnsi="宋体"/>
                <w:szCs w:val="21"/>
              </w:rPr>
            </w:pPr>
            <w:r>
              <w:rPr>
                <w:rFonts w:hint="eastAsia" w:ascii="宋体" w:hAnsi="宋体"/>
                <w:szCs w:val="21"/>
              </w:rPr>
              <w:t>（如有）</w:t>
            </w:r>
          </w:p>
        </w:tc>
        <w:tc>
          <w:tcPr>
            <w:tcW w:w="7994"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szCs w:val="21"/>
              </w:rPr>
            </w:pPr>
            <w:r>
              <w:rPr>
                <w:rFonts w:hint="eastAsia" w:ascii="宋体" w:hAnsi="宋体"/>
                <w:szCs w:val="21"/>
              </w:rPr>
              <w:t>竞争性磋商供应商应提供关联企业情况，包括：</w:t>
            </w:r>
          </w:p>
          <w:p>
            <w:pPr>
              <w:spacing w:line="300" w:lineRule="exact"/>
              <w:rPr>
                <w:rFonts w:ascii="宋体" w:hAnsi="宋体"/>
                <w:szCs w:val="21"/>
              </w:rPr>
            </w:pPr>
            <w:r>
              <w:rPr>
                <w:rFonts w:hint="eastAsia" w:ascii="宋体" w:hAnsi="宋体"/>
                <w:szCs w:val="21"/>
              </w:rPr>
              <w:t>（1）竞争性磋商供应商的所有股东名称及相应股权（出资额）比例；如竞争性磋商供应商为上市公司，竞争性磋商供应商应提供股权占公司股份总数</w:t>
            </w:r>
            <w:r>
              <w:rPr>
                <w:rFonts w:hint="eastAsia" w:ascii="宋体" w:hAnsi="宋体"/>
                <w:szCs w:val="21"/>
                <w:u w:val="single"/>
              </w:rPr>
              <w:t xml:space="preserve">    </w:t>
            </w:r>
            <w:r>
              <w:rPr>
                <w:rFonts w:hint="eastAsia" w:ascii="宋体" w:hAnsi="宋体"/>
                <w:szCs w:val="21"/>
              </w:rPr>
              <w:t>%以上的所有股东名称及相应股权比例；</w:t>
            </w:r>
          </w:p>
          <w:p>
            <w:pPr>
              <w:spacing w:line="300" w:lineRule="exact"/>
              <w:rPr>
                <w:rFonts w:ascii="宋体" w:hAnsi="宋体"/>
                <w:szCs w:val="21"/>
              </w:rPr>
            </w:pPr>
          </w:p>
        </w:tc>
      </w:tr>
      <w:tr>
        <w:tblPrEx>
          <w:tblCellMar>
            <w:top w:w="0" w:type="dxa"/>
            <w:left w:w="0" w:type="dxa"/>
            <w:bottom w:w="0" w:type="dxa"/>
            <w:right w:w="0" w:type="dxa"/>
          </w:tblCellMar>
        </w:tblPrEx>
        <w:trPr>
          <w:trHeight w:val="340" w:hRule="atLeast"/>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r>
              <w:rPr>
                <w:rFonts w:hint="eastAsia" w:ascii="宋体" w:hAnsi="宋体"/>
                <w:szCs w:val="21"/>
              </w:rPr>
              <w:t>竞争性磋商供应商</w:t>
            </w:r>
          </w:p>
          <w:p>
            <w:pPr>
              <w:spacing w:line="300" w:lineRule="exact"/>
              <w:jc w:val="center"/>
              <w:rPr>
                <w:rFonts w:ascii="宋体" w:hAnsi="宋体"/>
                <w:szCs w:val="21"/>
              </w:rPr>
            </w:pPr>
            <w:r>
              <w:rPr>
                <w:rFonts w:hint="eastAsia" w:ascii="宋体" w:hAnsi="宋体"/>
                <w:szCs w:val="21"/>
              </w:rPr>
              <w:t>诉讼情况</w:t>
            </w:r>
          </w:p>
          <w:p>
            <w:pPr>
              <w:spacing w:line="300" w:lineRule="exact"/>
              <w:jc w:val="center"/>
              <w:rPr>
                <w:rFonts w:ascii="宋体" w:hAnsi="宋体"/>
                <w:szCs w:val="21"/>
              </w:rPr>
            </w:pPr>
            <w:r>
              <w:rPr>
                <w:rFonts w:hint="eastAsia" w:ascii="宋体" w:hAnsi="宋体"/>
                <w:szCs w:val="21"/>
              </w:rPr>
              <w:t>（如有）</w:t>
            </w:r>
          </w:p>
        </w:tc>
        <w:tc>
          <w:tcPr>
            <w:tcW w:w="7994"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szCs w:val="21"/>
              </w:rPr>
            </w:pPr>
            <w:r>
              <w:rPr>
                <w:rFonts w:hint="eastAsia" w:ascii="宋体" w:hAnsi="宋体"/>
              </w:rPr>
              <w:t>填写内容为考核期内发生的诉讼和仲裁情况仅限于竞争性磋商供应商败诉的，且与履行合同有关的案件，不包括调解结案以及未终审判决的诉讼。附裁决书、裁定书、仲裁裁决书及有关文件的复印件。</w:t>
            </w:r>
          </w:p>
        </w:tc>
      </w:tr>
    </w:tbl>
    <w:p>
      <w:pPr>
        <w:spacing w:line="400" w:lineRule="exact"/>
      </w:pPr>
      <w:r>
        <w:rPr>
          <w:rFonts w:hint="eastAsia" w:ascii="宋体" w:hAnsi="宋体"/>
          <w:szCs w:val="21"/>
        </w:rPr>
        <w:t>备注：</w:t>
      </w:r>
      <w:r>
        <w:rPr>
          <w:rFonts w:hint="eastAsia"/>
        </w:rPr>
        <w:t>本表后须附加盖竞争性磋商供应商单位公章的有效的以下材料复印件：</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1.①“三（或五）证合一”的《企业营业执照》，或②《事业单位法人证书》（①、②两样至少提供一样）；</w:t>
      </w:r>
    </w:p>
    <w:p>
      <w:pPr>
        <w:spacing w:line="400" w:lineRule="exact"/>
        <w:ind w:firstLine="420" w:firstLineChars="200"/>
      </w:pPr>
      <w:r>
        <w:rPr>
          <w:rFonts w:hint="eastAsia" w:asciiTheme="minorEastAsia" w:hAnsiTheme="minorEastAsia" w:eastAsiaTheme="minorEastAsia" w:cstheme="minorEastAsia"/>
        </w:rPr>
        <w:t>2.竞争性磋商供应商已依法履行“缴税”义务的证明材料（说明：</w:t>
      </w:r>
      <w:r>
        <w:rPr>
          <w:rFonts w:hint="eastAsia"/>
        </w:rPr>
        <w:t>缴税</w:t>
      </w:r>
      <w:r>
        <w:rPr>
          <w:rFonts w:hint="eastAsia" w:asciiTheme="minorEastAsia" w:hAnsiTheme="minorEastAsia" w:eastAsiaTheme="minorEastAsia" w:cstheme="minorEastAsia"/>
        </w:rPr>
        <w:t>查询内容显示时间为2020年0</w:t>
      </w:r>
      <w:r>
        <w:rPr>
          <w:rFonts w:asciiTheme="minorEastAsia" w:hAnsiTheme="minorEastAsia" w:eastAsiaTheme="minorEastAsia" w:cstheme="minorEastAsia"/>
        </w:rPr>
        <w:t>5</w:t>
      </w:r>
      <w:r>
        <w:rPr>
          <w:rFonts w:hint="eastAsia" w:asciiTheme="minorEastAsia" w:hAnsiTheme="minorEastAsia" w:eastAsiaTheme="minorEastAsia" w:cstheme="minorEastAsia"/>
        </w:rPr>
        <w:t>月至2020年0</w:t>
      </w:r>
      <w:r>
        <w:rPr>
          <w:rFonts w:asciiTheme="minorEastAsia" w:hAnsiTheme="minorEastAsia" w:eastAsiaTheme="minorEastAsia" w:cstheme="minorEastAsia"/>
        </w:rPr>
        <w:t>7</w:t>
      </w:r>
      <w:r>
        <w:rPr>
          <w:rFonts w:hint="eastAsia" w:asciiTheme="minorEastAsia" w:hAnsiTheme="minorEastAsia" w:eastAsiaTheme="minorEastAsia" w:cstheme="minorEastAsia"/>
        </w:rPr>
        <w:t>月，属于有特殊政策扶持情形的地区，亦须出具①国家税务部门或其授权设立的第三方机构出具的证明函件，或②该政策文件在网查询的页面截图（须能情形反映查询网址以供核验），取得营业执照时间起到磋商截止时间为止不足半年的竞争性磋商供应商，此项材料不需提交）</w:t>
      </w:r>
      <w:r>
        <w:rPr>
          <w:rFonts w:hint="eastAsia" w:asciiTheme="minorEastAsia" w:hAnsiTheme="minorEastAsia" w:eastAsiaTheme="minorEastAsia" w:cstheme="minorEastAsia"/>
          <w:szCs w:val="21"/>
        </w:rPr>
        <w:t>。</w:t>
      </w:r>
    </w:p>
    <w:p>
      <w:pPr>
        <w:spacing w:line="400" w:lineRule="exact"/>
        <w:ind w:firstLine="420" w:firstLineChars="200"/>
        <w:rPr>
          <w:rFonts w:ascii="宋体" w:hAnsi="宋体"/>
        </w:rPr>
      </w:pPr>
      <w:r>
        <w:rPr>
          <w:rFonts w:hint="eastAsia" w:ascii="宋体" w:hAnsi="宋体"/>
        </w:rPr>
        <w:t>3.竞争性磋商供应商在“信用中国”网站（www.creditchina.gov.cn）或中国政府采购网（www.ccgp.gov.cn）查询相关竞争性磋商供应商主体信用记录，将查询结果截图加盖公章提交。</w:t>
      </w:r>
    </w:p>
    <w:p>
      <w:pPr>
        <w:spacing w:line="400" w:lineRule="exact"/>
        <w:ind w:firstLine="420" w:firstLineChars="200"/>
        <w:rPr>
          <w:rFonts w:asciiTheme="minorEastAsia" w:hAnsiTheme="minorEastAsia" w:eastAsiaTheme="minorEastAsia" w:cstheme="minorEastAsia"/>
        </w:rPr>
      </w:pPr>
      <w:r>
        <w:rPr>
          <w:rFonts w:hint="eastAsia" w:ascii="宋体" w:hAnsi="宋体"/>
        </w:rPr>
        <w:t>“信用中国”网站须提供竞争性磋商供应商在“失信被执行人、重大税收违法案件当事人名单、政府采购严重违法失信行为记录名单”3个页面下的截图，</w:t>
      </w:r>
      <w:r>
        <w:rPr>
          <w:rFonts w:hint="eastAsia" w:asciiTheme="minorEastAsia" w:hAnsiTheme="minorEastAsia" w:eastAsiaTheme="minorEastAsia" w:cstheme="minorEastAsia"/>
        </w:rPr>
        <w:t>截图上须显示竞争性磋商供应商信用查询记录、查询网址、查询时间（查询时间须在竞争性磋商文件发售之后）。</w:t>
      </w:r>
    </w:p>
    <w:p>
      <w:pPr>
        <w:spacing w:line="400" w:lineRule="exact"/>
        <w:ind w:firstLine="420" w:firstLineChars="200"/>
        <w:rPr>
          <w:rFonts w:asciiTheme="minorEastAsia" w:hAnsiTheme="minorEastAsia" w:eastAsiaTheme="minorEastAsia" w:cstheme="minorEastAsia"/>
        </w:rPr>
      </w:pPr>
      <w:r>
        <w:rPr>
          <w:rFonts w:hint="eastAsia" w:ascii="宋体" w:hAnsi="宋体"/>
        </w:rPr>
        <w:t>“中国政府采购网”须提供竞争性磋商供应商在“政府采购严重违法失信行为信息记录”页面下的截图，网页截图须显示竞争性磋商供应商名称以及查询结果，</w:t>
      </w:r>
      <w:r>
        <w:rPr>
          <w:rFonts w:hint="eastAsia" w:asciiTheme="minorEastAsia" w:hAnsiTheme="minorEastAsia" w:eastAsiaTheme="minorEastAsia" w:cstheme="minorEastAsia"/>
        </w:rPr>
        <w:t>截图上须显示竞争性磋商供应商信用查询记录、查询网址、查询时间（查询时间须在竞争性磋商文件发售之后）。</w:t>
      </w:r>
    </w:p>
    <w:p>
      <w:pPr>
        <w:spacing w:line="400" w:lineRule="exact"/>
        <w:ind w:firstLine="420" w:firstLineChars="200"/>
        <w:rPr>
          <w:rFonts w:ascii="宋体" w:hAnsi="宋体"/>
          <w:szCs w:val="21"/>
        </w:rPr>
      </w:pPr>
      <w:r>
        <w:br w:type="page"/>
      </w:r>
    </w:p>
    <w:p>
      <w:pPr>
        <w:pStyle w:val="8"/>
        <w:rPr>
          <w:rFonts w:ascii="Times New Roman" w:hAnsi="Times New Roman" w:eastAsia="宋体"/>
          <w:b w:val="0"/>
          <w:sz w:val="21"/>
          <w:szCs w:val="24"/>
        </w:rPr>
      </w:pPr>
    </w:p>
    <w:p>
      <w:pPr>
        <w:pStyle w:val="8"/>
        <w:spacing w:before="4"/>
        <w:rPr>
          <w:rFonts w:ascii="Times New Roman" w:hAnsi="Times New Roman" w:eastAsia="宋体"/>
          <w:spacing w:val="0"/>
          <w:sz w:val="28"/>
          <w:szCs w:val="28"/>
        </w:rPr>
      </w:pPr>
    </w:p>
    <w:p>
      <w:pPr>
        <w:spacing w:before="1"/>
        <w:ind w:left="428"/>
        <w:rPr>
          <w:b/>
          <w:sz w:val="28"/>
          <w:szCs w:val="28"/>
        </w:rPr>
      </w:pPr>
      <w:bookmarkStart w:id="97" w:name="五、法定代表人资格证明及身份证（复印件）；"/>
      <w:bookmarkEnd w:id="97"/>
      <w:r>
        <w:rPr>
          <w:rFonts w:hint="eastAsia"/>
          <w:b/>
          <w:sz w:val="28"/>
          <w:szCs w:val="28"/>
        </w:rPr>
        <w:t xml:space="preserve">四、法定代表人/负责人资格证明及身份证（ 复印件） </w:t>
      </w:r>
    </w:p>
    <w:p>
      <w:pPr>
        <w:pStyle w:val="11"/>
      </w:pPr>
    </w:p>
    <w:p>
      <w:pPr>
        <w:pStyle w:val="9"/>
        <w:spacing w:line="400" w:lineRule="exact"/>
        <w:jc w:val="center"/>
        <w:rPr>
          <w:rFonts w:hAnsi="宋体"/>
          <w:b/>
          <w:szCs w:val="21"/>
        </w:rPr>
      </w:pPr>
      <w:bookmarkStart w:id="98" w:name="_Toc3046_WPSOffice_Level1"/>
      <w:r>
        <w:rPr>
          <w:rFonts w:hint="eastAsia" w:hAnsi="宋体"/>
          <w:b/>
          <w:szCs w:val="21"/>
        </w:rPr>
        <w:t>法定代表人/负责人身份证明书</w:t>
      </w:r>
      <w:bookmarkEnd w:id="98"/>
    </w:p>
    <w:p>
      <w:pPr>
        <w:pStyle w:val="9"/>
        <w:spacing w:line="400" w:lineRule="exact"/>
        <w:jc w:val="center"/>
        <w:rPr>
          <w:rFonts w:hAnsi="宋体"/>
          <w:b/>
          <w:szCs w:val="21"/>
        </w:rPr>
      </w:pPr>
    </w:p>
    <w:p>
      <w:pPr>
        <w:pStyle w:val="9"/>
        <w:spacing w:line="400" w:lineRule="exact"/>
        <w:rPr>
          <w:rFonts w:hAnsi="宋体"/>
          <w:szCs w:val="21"/>
        </w:rPr>
      </w:pPr>
      <w:r>
        <w:rPr>
          <w:rFonts w:hint="eastAsia" w:hAnsi="宋体"/>
          <w:szCs w:val="21"/>
        </w:rPr>
        <w:t>单位名称：</w:t>
      </w:r>
    </w:p>
    <w:p>
      <w:pPr>
        <w:pStyle w:val="9"/>
        <w:spacing w:line="400" w:lineRule="exact"/>
        <w:rPr>
          <w:rFonts w:hAnsi="宋体"/>
          <w:szCs w:val="21"/>
        </w:rPr>
      </w:pPr>
    </w:p>
    <w:p>
      <w:pPr>
        <w:pStyle w:val="9"/>
        <w:spacing w:line="400" w:lineRule="exact"/>
        <w:rPr>
          <w:rFonts w:hAnsi="宋体"/>
          <w:szCs w:val="21"/>
        </w:rPr>
      </w:pPr>
      <w:r>
        <w:rPr>
          <w:rFonts w:hint="eastAsia" w:hAnsi="宋体"/>
          <w:szCs w:val="21"/>
        </w:rPr>
        <w:t>单位性质：</w:t>
      </w:r>
    </w:p>
    <w:p>
      <w:pPr>
        <w:pStyle w:val="9"/>
        <w:spacing w:line="400" w:lineRule="exact"/>
        <w:rPr>
          <w:rFonts w:hAnsi="宋体"/>
          <w:szCs w:val="21"/>
        </w:rPr>
      </w:pPr>
    </w:p>
    <w:p>
      <w:pPr>
        <w:pStyle w:val="9"/>
        <w:spacing w:line="400" w:lineRule="exact"/>
        <w:rPr>
          <w:rFonts w:hAnsi="宋体"/>
          <w:szCs w:val="21"/>
        </w:rPr>
      </w:pPr>
      <w:r>
        <w:rPr>
          <w:rFonts w:hint="eastAsia" w:hAnsi="宋体"/>
          <w:szCs w:val="21"/>
        </w:rPr>
        <w:t>地址：</w:t>
      </w:r>
    </w:p>
    <w:p>
      <w:pPr>
        <w:pStyle w:val="9"/>
        <w:spacing w:line="400" w:lineRule="exact"/>
        <w:rPr>
          <w:rFonts w:hAnsi="宋体"/>
          <w:szCs w:val="21"/>
        </w:rPr>
      </w:pPr>
    </w:p>
    <w:p>
      <w:pPr>
        <w:pStyle w:val="9"/>
        <w:spacing w:line="400" w:lineRule="exact"/>
        <w:rPr>
          <w:rFonts w:hAnsi="宋体"/>
          <w:szCs w:val="21"/>
        </w:rPr>
      </w:pPr>
      <w:r>
        <w:rPr>
          <w:rFonts w:hint="eastAsia" w:hAnsi="宋体"/>
          <w:szCs w:val="21"/>
        </w:rPr>
        <w:t>成立时间：</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 xml:space="preserve">月 </w:t>
      </w:r>
      <w:r>
        <w:rPr>
          <w:rFonts w:hint="eastAsia" w:hAnsi="宋体"/>
          <w:szCs w:val="21"/>
          <w:u w:val="single"/>
        </w:rPr>
        <w:t xml:space="preserve">     </w:t>
      </w:r>
      <w:r>
        <w:rPr>
          <w:rFonts w:hint="eastAsia" w:hAnsi="宋体"/>
          <w:szCs w:val="21"/>
        </w:rPr>
        <w:t>日</w:t>
      </w:r>
    </w:p>
    <w:p>
      <w:pPr>
        <w:pStyle w:val="9"/>
        <w:spacing w:line="400" w:lineRule="exact"/>
        <w:rPr>
          <w:rFonts w:hAnsi="宋体"/>
          <w:szCs w:val="21"/>
        </w:rPr>
      </w:pPr>
    </w:p>
    <w:p>
      <w:pPr>
        <w:pStyle w:val="9"/>
        <w:spacing w:line="400" w:lineRule="exact"/>
        <w:rPr>
          <w:rFonts w:hAnsi="宋体"/>
          <w:szCs w:val="21"/>
        </w:rPr>
      </w:pPr>
      <w:r>
        <w:rPr>
          <w:rFonts w:hint="eastAsia" w:hAnsi="宋体"/>
          <w:szCs w:val="21"/>
        </w:rPr>
        <w:t>经营期限：</w:t>
      </w:r>
    </w:p>
    <w:p>
      <w:pPr>
        <w:pStyle w:val="9"/>
        <w:spacing w:line="400" w:lineRule="exact"/>
        <w:rPr>
          <w:rFonts w:hAnsi="宋体"/>
          <w:szCs w:val="21"/>
        </w:rPr>
      </w:pPr>
    </w:p>
    <w:p>
      <w:pPr>
        <w:pStyle w:val="9"/>
        <w:spacing w:line="400" w:lineRule="exact"/>
        <w:rPr>
          <w:rFonts w:hAnsi="宋体"/>
          <w:szCs w:val="21"/>
        </w:rPr>
      </w:pPr>
      <w:r>
        <w:rPr>
          <w:rFonts w:hint="eastAsia" w:hAnsi="宋体"/>
          <w:szCs w:val="21"/>
        </w:rPr>
        <w:t>姓名：              性别：           年龄：         职务：</w:t>
      </w:r>
    </w:p>
    <w:p>
      <w:pPr>
        <w:pStyle w:val="9"/>
        <w:spacing w:line="400" w:lineRule="exact"/>
        <w:rPr>
          <w:rFonts w:hAnsi="宋体"/>
          <w:szCs w:val="21"/>
        </w:rPr>
      </w:pPr>
    </w:p>
    <w:p>
      <w:pPr>
        <w:pStyle w:val="9"/>
        <w:spacing w:line="400" w:lineRule="exact"/>
        <w:rPr>
          <w:rFonts w:hAnsi="宋体"/>
          <w:szCs w:val="21"/>
        </w:rPr>
      </w:pPr>
      <w:r>
        <w:rPr>
          <w:rFonts w:hint="eastAsia" w:hAnsi="宋体"/>
          <w:szCs w:val="21"/>
        </w:rPr>
        <w:t>系</w:t>
      </w:r>
      <w:r>
        <w:rPr>
          <w:rFonts w:hint="eastAsia" w:hAnsi="宋体"/>
          <w:szCs w:val="21"/>
          <w:u w:val="single"/>
        </w:rPr>
        <w:t xml:space="preserve">     （竞争性磋商供应商名称）     </w:t>
      </w:r>
      <w:r>
        <w:rPr>
          <w:rFonts w:hint="eastAsia" w:hAnsi="宋体"/>
          <w:szCs w:val="21"/>
        </w:rPr>
        <w:t>的法定代表人/负责人。</w:t>
      </w:r>
    </w:p>
    <w:p>
      <w:pPr>
        <w:pStyle w:val="9"/>
        <w:spacing w:line="400" w:lineRule="exact"/>
        <w:rPr>
          <w:rFonts w:hAnsi="宋体"/>
          <w:szCs w:val="21"/>
        </w:rPr>
      </w:pPr>
    </w:p>
    <w:p>
      <w:pPr>
        <w:pStyle w:val="9"/>
        <w:spacing w:line="400" w:lineRule="exact"/>
        <w:rPr>
          <w:rFonts w:hAnsi="宋体"/>
          <w:szCs w:val="21"/>
        </w:rPr>
      </w:pPr>
    </w:p>
    <w:p>
      <w:pPr>
        <w:pStyle w:val="9"/>
        <w:spacing w:line="400" w:lineRule="exact"/>
        <w:rPr>
          <w:rFonts w:hAnsi="宋体"/>
          <w:szCs w:val="21"/>
        </w:rPr>
      </w:pPr>
      <w:r>
        <w:rPr>
          <w:rFonts w:hint="eastAsia" w:hAnsi="宋体"/>
          <w:szCs w:val="21"/>
        </w:rPr>
        <w:t>特此证明。</w:t>
      </w:r>
    </w:p>
    <w:p>
      <w:pPr>
        <w:pStyle w:val="9"/>
        <w:spacing w:line="400" w:lineRule="exact"/>
        <w:rPr>
          <w:rFonts w:hAnsi="宋体"/>
          <w:szCs w:val="21"/>
        </w:rPr>
      </w:pPr>
      <w:r>
        <w:rPr>
          <w:rFonts w:hint="eastAsia" w:hAnsi="宋体"/>
          <w:szCs w:val="21"/>
        </w:rPr>
        <w:t>后附：法定代表人/负责人居民二代身份证复印件。</w:t>
      </w:r>
    </w:p>
    <w:p>
      <w:pPr>
        <w:pStyle w:val="9"/>
        <w:spacing w:line="400" w:lineRule="exact"/>
        <w:jc w:val="center"/>
        <w:rPr>
          <w:rFonts w:hAnsi="宋体"/>
          <w:szCs w:val="21"/>
        </w:rPr>
      </w:pPr>
    </w:p>
    <w:p>
      <w:pPr>
        <w:pStyle w:val="9"/>
        <w:spacing w:line="400" w:lineRule="exact"/>
        <w:jc w:val="center"/>
        <w:rPr>
          <w:rFonts w:hAnsi="宋体"/>
          <w:szCs w:val="21"/>
        </w:rPr>
      </w:pPr>
    </w:p>
    <w:p>
      <w:pPr>
        <w:pStyle w:val="9"/>
        <w:spacing w:line="400" w:lineRule="exact"/>
        <w:rPr>
          <w:rFonts w:hAnsi="宋体"/>
          <w:szCs w:val="21"/>
          <w:u w:val="single"/>
        </w:rPr>
      </w:pPr>
      <w:r>
        <w:rPr>
          <w:rFonts w:hint="eastAsia" w:hAnsi="宋体"/>
          <w:szCs w:val="21"/>
        </w:rPr>
        <w:t>法定代表人/负责人身份证号码：</w:t>
      </w:r>
      <w:r>
        <w:rPr>
          <w:rFonts w:hint="eastAsia" w:hAnsi="宋体"/>
          <w:szCs w:val="21"/>
          <w:u w:val="single"/>
        </w:rPr>
        <w:t xml:space="preserve">                                 </w:t>
      </w:r>
    </w:p>
    <w:p>
      <w:pPr>
        <w:pStyle w:val="9"/>
        <w:spacing w:line="400" w:lineRule="exact"/>
        <w:rPr>
          <w:rFonts w:hAnsi="宋体"/>
          <w:szCs w:val="21"/>
        </w:rPr>
      </w:pPr>
      <w:r>
        <w:rPr>
          <w:rFonts w:hint="eastAsia" w:hAnsi="宋体"/>
          <w:szCs w:val="21"/>
        </w:rPr>
        <w:t>联系电话：</w:t>
      </w:r>
      <w:r>
        <w:rPr>
          <w:rFonts w:hint="eastAsia" w:hAnsi="宋体"/>
          <w:szCs w:val="21"/>
          <w:u w:val="single"/>
        </w:rPr>
        <w:t xml:space="preserve">                                             </w:t>
      </w:r>
    </w:p>
    <w:p>
      <w:pPr>
        <w:pStyle w:val="9"/>
        <w:spacing w:line="400" w:lineRule="exact"/>
        <w:jc w:val="center"/>
        <w:rPr>
          <w:rFonts w:hAnsi="宋体"/>
          <w:szCs w:val="21"/>
        </w:rPr>
      </w:pPr>
    </w:p>
    <w:p>
      <w:pPr>
        <w:pStyle w:val="9"/>
        <w:spacing w:line="400" w:lineRule="exact"/>
        <w:rPr>
          <w:rFonts w:hAnsi="宋体"/>
          <w:szCs w:val="21"/>
          <w:u w:val="single"/>
        </w:rPr>
      </w:pPr>
      <w:r>
        <w:rPr>
          <w:rFonts w:hint="eastAsia" w:hAnsi="宋体"/>
          <w:szCs w:val="21"/>
        </w:rPr>
        <w:t>竞争性磋商供应商名称（加盖公章）：</w:t>
      </w:r>
      <w:r>
        <w:rPr>
          <w:rFonts w:hint="eastAsia" w:hAnsi="宋体"/>
          <w:szCs w:val="21"/>
          <w:u w:val="single"/>
        </w:rPr>
        <w:t xml:space="preserve">                                </w:t>
      </w:r>
    </w:p>
    <w:p>
      <w:pPr>
        <w:pStyle w:val="9"/>
        <w:spacing w:line="400" w:lineRule="exact"/>
        <w:rPr>
          <w:rFonts w:hAnsi="宋体"/>
          <w:szCs w:val="21"/>
        </w:rPr>
      </w:pPr>
      <w:r>
        <w:rPr>
          <w:rFonts w:hint="eastAsia" w:hAnsi="宋体"/>
          <w:szCs w:val="21"/>
        </w:rPr>
        <w:t>日期：</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w:t>
      </w:r>
    </w:p>
    <w:p>
      <w:pPr>
        <w:pStyle w:val="9"/>
        <w:spacing w:line="400" w:lineRule="exact"/>
        <w:ind w:firstLine="2415" w:firstLineChars="1150"/>
        <w:rPr>
          <w:rFonts w:hAnsi="宋体"/>
          <w:szCs w:val="21"/>
        </w:rPr>
      </w:pPr>
    </w:p>
    <w:p>
      <w:pPr>
        <w:pStyle w:val="8"/>
        <w:tabs>
          <w:tab w:val="left" w:pos="5468"/>
          <w:tab w:val="left" w:pos="6519"/>
          <w:tab w:val="left" w:pos="7254"/>
          <w:tab w:val="left" w:pos="7465"/>
          <w:tab w:val="left" w:pos="7988"/>
        </w:tabs>
        <w:spacing w:before="70" w:line="348" w:lineRule="auto"/>
        <w:ind w:left="4840" w:right="2049"/>
        <w:rPr>
          <w:rFonts w:ascii="Times New Roman" w:hAnsi="Times New Roman" w:eastAsia="宋体"/>
          <w:b w:val="0"/>
          <w:spacing w:val="0"/>
          <w:sz w:val="21"/>
          <w:szCs w:val="24"/>
        </w:rPr>
      </w:pPr>
    </w:p>
    <w:p>
      <w:pPr>
        <w:spacing w:line="348" w:lineRule="auto"/>
        <w:sectPr>
          <w:pgSz w:w="11910" w:h="16840"/>
          <w:pgMar w:top="1380" w:right="540" w:bottom="1180" w:left="1220" w:header="846" w:footer="997" w:gutter="0"/>
          <w:cols w:space="720" w:num="1"/>
        </w:sectPr>
      </w:pPr>
    </w:p>
    <w:p>
      <w:pPr>
        <w:pStyle w:val="8"/>
        <w:rPr>
          <w:sz w:val="20"/>
        </w:rPr>
      </w:pPr>
    </w:p>
    <w:p>
      <w:pPr>
        <w:pStyle w:val="8"/>
        <w:spacing w:before="2"/>
        <w:rPr>
          <w:rFonts w:ascii="Times New Roman" w:hAnsi="Times New Roman" w:eastAsia="宋体"/>
          <w:spacing w:val="0"/>
          <w:sz w:val="21"/>
          <w:szCs w:val="24"/>
        </w:rPr>
      </w:pPr>
    </w:p>
    <w:p>
      <w:pPr>
        <w:pStyle w:val="4"/>
        <w:spacing w:before="61"/>
        <w:rPr>
          <w:rFonts w:ascii="Times New Roman" w:hAnsi="Times New Roman" w:eastAsia="宋体"/>
          <w:sz w:val="28"/>
          <w:szCs w:val="28"/>
        </w:rPr>
      </w:pPr>
      <w:r>
        <w:rPr>
          <w:rFonts w:hint="eastAsia" w:ascii="Times New Roman" w:hAnsi="Times New Roman" w:eastAsia="宋体"/>
          <w:sz w:val="28"/>
          <w:szCs w:val="28"/>
        </w:rPr>
        <w:t>五、法定代表人/负责人授权书</w:t>
      </w:r>
    </w:p>
    <w:p>
      <w:pPr>
        <w:pStyle w:val="8"/>
        <w:spacing w:before="6"/>
        <w:rPr>
          <w:sz w:val="26"/>
        </w:rPr>
      </w:pPr>
    </w:p>
    <w:p>
      <w:pPr>
        <w:pStyle w:val="9"/>
        <w:spacing w:line="400" w:lineRule="exact"/>
        <w:jc w:val="center"/>
        <w:rPr>
          <w:rFonts w:hAnsi="宋体"/>
          <w:b/>
          <w:szCs w:val="21"/>
        </w:rPr>
      </w:pPr>
      <w:bookmarkStart w:id="99" w:name="_Toc4997_WPSOffice_Level1"/>
      <w:r>
        <w:rPr>
          <w:rFonts w:hint="eastAsia" w:hAnsi="宋体"/>
          <w:b/>
          <w:szCs w:val="21"/>
        </w:rPr>
        <w:t>法定代表人/负责人授权委托书</w:t>
      </w:r>
      <w:bookmarkEnd w:id="99"/>
    </w:p>
    <w:p>
      <w:pPr>
        <w:pStyle w:val="9"/>
        <w:spacing w:line="400" w:lineRule="exact"/>
        <w:jc w:val="center"/>
        <w:rPr>
          <w:rFonts w:hAnsi="宋体"/>
          <w:b/>
          <w:szCs w:val="21"/>
        </w:rPr>
      </w:pPr>
    </w:p>
    <w:p>
      <w:pPr>
        <w:pStyle w:val="9"/>
        <w:spacing w:line="400" w:lineRule="exact"/>
        <w:ind w:firstLine="525" w:firstLineChars="250"/>
        <w:rPr>
          <w:rFonts w:hAnsi="宋体"/>
          <w:szCs w:val="21"/>
        </w:rPr>
      </w:pPr>
      <w:r>
        <w:rPr>
          <w:rFonts w:hint="eastAsia" w:hAnsi="宋体"/>
          <w:szCs w:val="21"/>
        </w:rPr>
        <w:t>本授权书声明：我</w:t>
      </w:r>
      <w:r>
        <w:rPr>
          <w:rFonts w:hint="eastAsia" w:hAnsi="宋体"/>
          <w:szCs w:val="21"/>
          <w:u w:val="single"/>
        </w:rPr>
        <w:t xml:space="preserve">             </w:t>
      </w:r>
      <w:r>
        <w:rPr>
          <w:rFonts w:hint="eastAsia" w:hAnsi="宋体"/>
          <w:szCs w:val="21"/>
        </w:rPr>
        <w:t>（名字）系</w:t>
      </w:r>
      <w:r>
        <w:rPr>
          <w:rFonts w:hint="eastAsia" w:hAnsi="宋体"/>
          <w:szCs w:val="21"/>
          <w:u w:val="single"/>
        </w:rPr>
        <w:t xml:space="preserve">        （竞争性磋商供应商名称名称）       </w:t>
      </w:r>
      <w:r>
        <w:rPr>
          <w:rFonts w:hint="eastAsia" w:hAnsi="宋体"/>
          <w:szCs w:val="21"/>
        </w:rPr>
        <w:t>的法定代表人/负责人，现授权</w:t>
      </w:r>
      <w:r>
        <w:rPr>
          <w:rFonts w:hint="eastAsia" w:hAnsi="宋体"/>
          <w:szCs w:val="21"/>
          <w:u w:val="single"/>
        </w:rPr>
        <w:t xml:space="preserve">      （单位名称）       </w:t>
      </w:r>
      <w:r>
        <w:rPr>
          <w:rFonts w:hint="eastAsia" w:hAnsi="宋体"/>
          <w:szCs w:val="21"/>
        </w:rPr>
        <w:t>的</w:t>
      </w:r>
      <w:r>
        <w:rPr>
          <w:rFonts w:hint="eastAsia" w:hAnsi="宋体"/>
          <w:szCs w:val="21"/>
          <w:u w:val="single"/>
        </w:rPr>
        <w:t xml:space="preserve">       （姓名）     </w:t>
      </w:r>
      <w:r>
        <w:rPr>
          <w:rFonts w:hint="eastAsia" w:hAnsi="宋体"/>
          <w:szCs w:val="21"/>
        </w:rPr>
        <w:t>为我公司授权代理人，以本公司名义参加</w:t>
      </w:r>
      <w:r>
        <w:rPr>
          <w:rFonts w:hint="eastAsia" w:hAnsi="宋体"/>
          <w:szCs w:val="21"/>
          <w:u w:val="single"/>
        </w:rPr>
        <w:t xml:space="preserve">         （采购人名称）         </w:t>
      </w:r>
      <w:r>
        <w:rPr>
          <w:rFonts w:hint="eastAsia" w:hAnsi="宋体"/>
          <w:szCs w:val="21"/>
        </w:rPr>
        <w:t>的</w:t>
      </w:r>
      <w:r>
        <w:rPr>
          <w:rFonts w:hint="eastAsia" w:hAnsi="宋体"/>
          <w:szCs w:val="21"/>
          <w:u w:val="single"/>
        </w:rPr>
        <w:t xml:space="preserve">         （项目名称）       </w:t>
      </w:r>
      <w:r>
        <w:rPr>
          <w:rFonts w:hint="eastAsia" w:hAnsi="宋体"/>
          <w:szCs w:val="21"/>
        </w:rPr>
        <w:t>的竞标活动。授权代理人在竞标和采购过程中所签署的一切文件和处理与之有关的一切事务，我均以承认。</w:t>
      </w:r>
    </w:p>
    <w:p>
      <w:pPr>
        <w:pStyle w:val="9"/>
        <w:spacing w:line="400" w:lineRule="exact"/>
        <w:rPr>
          <w:rFonts w:hAnsi="宋体"/>
          <w:szCs w:val="21"/>
        </w:rPr>
      </w:pPr>
    </w:p>
    <w:p>
      <w:pPr>
        <w:pStyle w:val="9"/>
        <w:spacing w:line="400" w:lineRule="exact"/>
        <w:rPr>
          <w:rFonts w:hAnsi="宋体"/>
          <w:szCs w:val="21"/>
        </w:rPr>
      </w:pPr>
    </w:p>
    <w:p>
      <w:pPr>
        <w:pStyle w:val="9"/>
        <w:spacing w:line="400" w:lineRule="exact"/>
        <w:rPr>
          <w:rFonts w:hAnsi="宋体"/>
          <w:szCs w:val="21"/>
        </w:rPr>
      </w:pPr>
      <w:r>
        <w:rPr>
          <w:rFonts w:hint="eastAsia" w:hAnsi="宋体"/>
          <w:szCs w:val="21"/>
        </w:rPr>
        <w:t>授权代理人无转授权，特此授权。</w:t>
      </w:r>
    </w:p>
    <w:p>
      <w:pPr>
        <w:pStyle w:val="9"/>
        <w:spacing w:line="400" w:lineRule="exact"/>
        <w:rPr>
          <w:rFonts w:hAnsi="宋体"/>
          <w:szCs w:val="21"/>
        </w:rPr>
      </w:pPr>
      <w:r>
        <w:rPr>
          <w:rFonts w:hint="eastAsia" w:hAnsi="宋体"/>
          <w:szCs w:val="21"/>
        </w:rPr>
        <w:t>后附：委托代理人居民二代身份证复印件</w:t>
      </w:r>
    </w:p>
    <w:p>
      <w:pPr>
        <w:pStyle w:val="9"/>
        <w:spacing w:line="400" w:lineRule="exact"/>
        <w:rPr>
          <w:rFonts w:hAnsi="宋体"/>
          <w:szCs w:val="21"/>
        </w:rPr>
      </w:pPr>
    </w:p>
    <w:p>
      <w:pPr>
        <w:pStyle w:val="9"/>
        <w:spacing w:line="400" w:lineRule="exact"/>
        <w:rPr>
          <w:rFonts w:hAnsi="宋体"/>
          <w:szCs w:val="21"/>
        </w:rPr>
      </w:pPr>
    </w:p>
    <w:p>
      <w:pPr>
        <w:pStyle w:val="9"/>
        <w:spacing w:line="400" w:lineRule="exact"/>
        <w:rPr>
          <w:rFonts w:hAnsi="宋体"/>
          <w:szCs w:val="21"/>
          <w:u w:val="single"/>
        </w:rPr>
      </w:pPr>
      <w:r>
        <w:rPr>
          <w:rFonts w:hint="eastAsia" w:hAnsi="宋体"/>
          <w:szCs w:val="21"/>
        </w:rPr>
        <w:t>代理人：</w:t>
      </w:r>
      <w:r>
        <w:rPr>
          <w:rFonts w:hint="eastAsia" w:hAnsi="宋体"/>
          <w:szCs w:val="21"/>
          <w:u w:val="single"/>
        </w:rPr>
        <w:t xml:space="preserve">   （签字）    </w:t>
      </w:r>
      <w:r>
        <w:rPr>
          <w:rFonts w:hint="eastAsia" w:hAnsi="宋体"/>
          <w:szCs w:val="21"/>
        </w:rPr>
        <w:t>性别：</w:t>
      </w:r>
      <w:r>
        <w:rPr>
          <w:rFonts w:hint="eastAsia" w:hAnsi="宋体"/>
          <w:szCs w:val="21"/>
          <w:u w:val="single"/>
        </w:rPr>
        <w:t xml:space="preserve">           </w:t>
      </w:r>
      <w:r>
        <w:rPr>
          <w:rFonts w:hint="eastAsia" w:hAnsi="宋体"/>
          <w:szCs w:val="21"/>
        </w:rPr>
        <w:t xml:space="preserve"> 年龄：</w:t>
      </w:r>
      <w:r>
        <w:rPr>
          <w:rFonts w:hint="eastAsia" w:hAnsi="宋体"/>
          <w:szCs w:val="21"/>
          <w:u w:val="single"/>
        </w:rPr>
        <w:t xml:space="preserve">          </w:t>
      </w:r>
    </w:p>
    <w:p>
      <w:pPr>
        <w:pStyle w:val="9"/>
        <w:spacing w:line="400" w:lineRule="exact"/>
        <w:rPr>
          <w:rFonts w:hAnsi="宋体"/>
          <w:szCs w:val="21"/>
        </w:rPr>
      </w:pPr>
      <w:r>
        <w:rPr>
          <w:rFonts w:hint="eastAsia" w:hAnsi="宋体"/>
          <w:szCs w:val="21"/>
        </w:rPr>
        <w:t>身份证号码：</w:t>
      </w:r>
      <w:r>
        <w:rPr>
          <w:rFonts w:hint="eastAsia" w:hAnsi="宋体"/>
          <w:szCs w:val="21"/>
          <w:u w:val="single"/>
        </w:rPr>
        <w:t xml:space="preserve">                                             </w:t>
      </w:r>
    </w:p>
    <w:p>
      <w:pPr>
        <w:pStyle w:val="9"/>
        <w:spacing w:line="400" w:lineRule="exact"/>
        <w:rPr>
          <w:rFonts w:hAnsi="宋体"/>
          <w:szCs w:val="21"/>
        </w:rPr>
      </w:pPr>
      <w:r>
        <w:rPr>
          <w:rFonts w:hint="eastAsia" w:hAnsi="宋体"/>
          <w:szCs w:val="21"/>
        </w:rPr>
        <w:t>职务：</w:t>
      </w:r>
      <w:r>
        <w:rPr>
          <w:rFonts w:hint="eastAsia" w:hAnsi="宋体"/>
          <w:szCs w:val="21"/>
          <w:u w:val="single"/>
        </w:rPr>
        <w:t xml:space="preserve">                                                   </w:t>
      </w:r>
    </w:p>
    <w:p>
      <w:pPr>
        <w:pStyle w:val="9"/>
        <w:spacing w:line="400" w:lineRule="exact"/>
        <w:rPr>
          <w:rFonts w:hAnsi="宋体"/>
          <w:szCs w:val="21"/>
        </w:rPr>
      </w:pPr>
      <w:r>
        <w:rPr>
          <w:rFonts w:hint="eastAsia" w:hAnsi="宋体"/>
          <w:spacing w:val="-6"/>
          <w:szCs w:val="21"/>
        </w:rPr>
        <w:t>竞争性磋商供应商名称</w:t>
      </w:r>
      <w:r>
        <w:rPr>
          <w:rFonts w:hint="eastAsia" w:hAnsi="宋体"/>
          <w:szCs w:val="21"/>
        </w:rPr>
        <w:t>：</w:t>
      </w:r>
      <w:r>
        <w:rPr>
          <w:rFonts w:hint="eastAsia" w:hAnsi="宋体"/>
          <w:szCs w:val="21"/>
          <w:u w:val="single"/>
        </w:rPr>
        <w:t xml:space="preserve">                   （盖章）         </w:t>
      </w:r>
    </w:p>
    <w:p>
      <w:pPr>
        <w:pStyle w:val="9"/>
        <w:spacing w:line="400" w:lineRule="exact"/>
        <w:rPr>
          <w:rFonts w:hAnsi="宋体"/>
          <w:szCs w:val="21"/>
        </w:rPr>
      </w:pPr>
      <w:r>
        <w:rPr>
          <w:rFonts w:hint="eastAsia" w:hAnsi="宋体"/>
          <w:szCs w:val="21"/>
        </w:rPr>
        <w:t>法定代表人/负责人：</w:t>
      </w:r>
      <w:r>
        <w:rPr>
          <w:rFonts w:hint="eastAsia" w:hAnsi="宋体"/>
          <w:szCs w:val="21"/>
          <w:u w:val="single"/>
        </w:rPr>
        <w:t xml:space="preserve">               （签字或盖章）         </w:t>
      </w:r>
    </w:p>
    <w:p>
      <w:pPr>
        <w:pStyle w:val="9"/>
        <w:spacing w:line="400" w:lineRule="exact"/>
        <w:rPr>
          <w:rFonts w:hAnsi="宋体"/>
          <w:szCs w:val="21"/>
        </w:rPr>
      </w:pPr>
      <w:r>
        <w:rPr>
          <w:rFonts w:hint="eastAsia" w:hAnsi="宋体"/>
          <w:szCs w:val="21"/>
        </w:rPr>
        <w:t xml:space="preserve">授权日期： </w:t>
      </w:r>
      <w:r>
        <w:rPr>
          <w:rFonts w:hint="eastAsia" w:hAnsi="宋体"/>
          <w:szCs w:val="21"/>
          <w:u w:val="single"/>
        </w:rPr>
        <w:t xml:space="preserve">          </w:t>
      </w:r>
      <w:r>
        <w:rPr>
          <w:rFonts w:hint="eastAsia" w:hAnsi="宋体"/>
          <w:szCs w:val="21"/>
        </w:rPr>
        <w:t xml:space="preserve">年 </w:t>
      </w:r>
      <w:r>
        <w:rPr>
          <w:rFonts w:hint="eastAsia" w:hAnsi="宋体"/>
          <w:szCs w:val="21"/>
          <w:u w:val="single"/>
        </w:rPr>
        <w:t xml:space="preserve">       </w:t>
      </w:r>
      <w:r>
        <w:rPr>
          <w:rFonts w:hint="eastAsia" w:hAnsi="宋体"/>
          <w:szCs w:val="21"/>
        </w:rPr>
        <w:t xml:space="preserve">月 </w:t>
      </w:r>
      <w:r>
        <w:rPr>
          <w:rFonts w:hint="eastAsia" w:hAnsi="宋体"/>
          <w:szCs w:val="21"/>
          <w:u w:val="single"/>
        </w:rPr>
        <w:t xml:space="preserve">     </w:t>
      </w:r>
      <w:r>
        <w:rPr>
          <w:rFonts w:hint="eastAsia" w:hAnsi="宋体"/>
          <w:szCs w:val="21"/>
        </w:rPr>
        <w:t>日</w:t>
      </w:r>
    </w:p>
    <w:p>
      <w:pPr>
        <w:pStyle w:val="9"/>
        <w:spacing w:line="400" w:lineRule="exact"/>
        <w:rPr>
          <w:rFonts w:ascii="黑体" w:hAnsi="宋体" w:eastAsia="黑体"/>
          <w:b/>
          <w:sz w:val="28"/>
          <w:szCs w:val="28"/>
        </w:rPr>
      </w:pPr>
    </w:p>
    <w:p>
      <w:r>
        <w:br w:type="page"/>
      </w:r>
    </w:p>
    <w:p>
      <w:pPr>
        <w:snapToGrid w:val="0"/>
        <w:spacing w:before="50" w:after="165" w:afterLines="50"/>
        <w:jc w:val="left"/>
        <w:rPr>
          <w:rFonts w:ascii="宋体" w:hAnsi="宋体"/>
          <w:b/>
          <w:sz w:val="28"/>
          <w:szCs w:val="28"/>
        </w:rPr>
      </w:pPr>
      <w:r>
        <w:rPr>
          <w:rFonts w:hint="eastAsia" w:ascii="宋体" w:hAnsi="宋体"/>
          <w:b/>
          <w:sz w:val="28"/>
          <w:szCs w:val="28"/>
        </w:rPr>
        <w:t>六、技术规格偏离表</w:t>
      </w:r>
    </w:p>
    <w:p>
      <w:pPr>
        <w:pStyle w:val="9"/>
        <w:spacing w:line="400" w:lineRule="exact"/>
        <w:ind w:firstLine="425"/>
        <w:jc w:val="center"/>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技术规格偏离表</w:t>
      </w:r>
    </w:p>
    <w:p>
      <w:pPr>
        <w:pStyle w:val="9"/>
        <w:spacing w:line="400" w:lineRule="exact"/>
        <w:ind w:firstLine="425"/>
        <w:rPr>
          <w:rFonts w:asciiTheme="minorEastAsia" w:hAnsiTheme="minorEastAsia" w:eastAsiaTheme="minorEastAsia" w:cstheme="minorEastAsia"/>
          <w:b/>
          <w:szCs w:val="21"/>
        </w:rPr>
      </w:pPr>
    </w:p>
    <w:p>
      <w:pPr>
        <w:pStyle w:val="9"/>
        <w:spacing w:line="400" w:lineRule="exact"/>
        <w:ind w:firstLine="425"/>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请按所竞标产品的实际品牌型号及其技术参数性能（配置），逐条对应竞争性磋商文件《项目需求和说明》中的要求认真填写本表（本表适用于竞争性磋商文件《项目需求和说明》中货物技术参数不明确或有误以及竞争性磋商供应商选用其他品牌型号替代等情形。若竞标产品与采购要求无偏离时，请在偏离表中填写“无偏离”； 若竞标产品优于采购要求无偏离时，请在偏离表中填写“正偏离”， 若竞标产品低于采购要求无偏离时，请在偏离表中填写“负偏离”）。</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3544"/>
        <w:gridCol w:w="283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pStyle w:val="9"/>
              <w:widowControl/>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709" w:type="dxa"/>
            <w:vAlign w:val="center"/>
          </w:tcPr>
          <w:p>
            <w:pPr>
              <w:pStyle w:val="9"/>
              <w:widowControl/>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服务内容</w:t>
            </w:r>
          </w:p>
        </w:tc>
        <w:tc>
          <w:tcPr>
            <w:tcW w:w="3544" w:type="dxa"/>
            <w:vAlign w:val="center"/>
          </w:tcPr>
          <w:p>
            <w:pPr>
              <w:pStyle w:val="9"/>
              <w:widowControl/>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采购参数</w:t>
            </w:r>
          </w:p>
          <w:p>
            <w:pPr>
              <w:pStyle w:val="9"/>
              <w:widowControl/>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（服务内容及性能要求）</w:t>
            </w:r>
          </w:p>
        </w:tc>
        <w:tc>
          <w:tcPr>
            <w:tcW w:w="2835" w:type="dxa"/>
            <w:vAlign w:val="center"/>
          </w:tcPr>
          <w:p>
            <w:pPr>
              <w:pStyle w:val="9"/>
              <w:widowControl/>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磋商</w:t>
            </w:r>
            <w:r>
              <w:rPr>
                <w:rFonts w:hint="eastAsia" w:asciiTheme="minorEastAsia" w:hAnsiTheme="minorEastAsia" w:eastAsiaTheme="minorEastAsia" w:cstheme="minorEastAsia"/>
                <w:szCs w:val="21"/>
              </w:rPr>
              <w:t>参数</w:t>
            </w:r>
          </w:p>
          <w:p>
            <w:pPr>
              <w:pStyle w:val="9"/>
              <w:widowControl/>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（服务内容及性能要求）</w:t>
            </w:r>
          </w:p>
        </w:tc>
        <w:tc>
          <w:tcPr>
            <w:tcW w:w="1984" w:type="dxa"/>
            <w:vAlign w:val="center"/>
          </w:tcPr>
          <w:p>
            <w:pPr>
              <w:pStyle w:val="9"/>
              <w:widowControl/>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pStyle w:val="9"/>
              <w:widowControl/>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709" w:type="dxa"/>
            <w:vAlign w:val="center"/>
          </w:tcPr>
          <w:p>
            <w:pPr>
              <w:pStyle w:val="9"/>
              <w:widowControl/>
              <w:spacing w:line="300" w:lineRule="exact"/>
              <w:jc w:val="center"/>
              <w:rPr>
                <w:rFonts w:asciiTheme="minorEastAsia" w:hAnsiTheme="minorEastAsia" w:eastAsiaTheme="minorEastAsia" w:cstheme="minorEastAsia"/>
                <w:szCs w:val="21"/>
              </w:rPr>
            </w:pPr>
          </w:p>
        </w:tc>
        <w:tc>
          <w:tcPr>
            <w:tcW w:w="3544" w:type="dxa"/>
            <w:vAlign w:val="center"/>
          </w:tcPr>
          <w:p>
            <w:pPr>
              <w:pStyle w:val="9"/>
              <w:widowControl/>
              <w:spacing w:line="300" w:lineRule="exact"/>
              <w:jc w:val="center"/>
              <w:rPr>
                <w:rFonts w:asciiTheme="minorEastAsia" w:hAnsiTheme="minorEastAsia" w:eastAsiaTheme="minorEastAsia" w:cstheme="minorEastAsia"/>
                <w:szCs w:val="21"/>
              </w:rPr>
            </w:pPr>
          </w:p>
        </w:tc>
        <w:tc>
          <w:tcPr>
            <w:tcW w:w="2835" w:type="dxa"/>
            <w:vAlign w:val="center"/>
          </w:tcPr>
          <w:p>
            <w:pPr>
              <w:pStyle w:val="9"/>
              <w:widowControl/>
              <w:spacing w:line="300" w:lineRule="exact"/>
              <w:jc w:val="center"/>
              <w:rPr>
                <w:rFonts w:asciiTheme="minorEastAsia" w:hAnsiTheme="minorEastAsia" w:eastAsiaTheme="minorEastAsia" w:cstheme="minorEastAsia"/>
                <w:szCs w:val="21"/>
              </w:rPr>
            </w:pPr>
          </w:p>
        </w:tc>
        <w:tc>
          <w:tcPr>
            <w:tcW w:w="1984" w:type="dxa"/>
            <w:vAlign w:val="center"/>
          </w:tcPr>
          <w:p>
            <w:pPr>
              <w:pStyle w:val="9"/>
              <w:widowControl/>
              <w:spacing w:line="30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pStyle w:val="9"/>
              <w:widowControl/>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N</w:t>
            </w:r>
          </w:p>
        </w:tc>
        <w:tc>
          <w:tcPr>
            <w:tcW w:w="709" w:type="dxa"/>
            <w:vAlign w:val="center"/>
          </w:tcPr>
          <w:p>
            <w:pPr>
              <w:pStyle w:val="9"/>
              <w:widowControl/>
              <w:spacing w:line="300" w:lineRule="exact"/>
              <w:jc w:val="center"/>
              <w:rPr>
                <w:rFonts w:asciiTheme="minorEastAsia" w:hAnsiTheme="minorEastAsia" w:eastAsiaTheme="minorEastAsia" w:cstheme="minorEastAsia"/>
                <w:szCs w:val="21"/>
              </w:rPr>
            </w:pPr>
          </w:p>
        </w:tc>
        <w:tc>
          <w:tcPr>
            <w:tcW w:w="3544" w:type="dxa"/>
            <w:vAlign w:val="center"/>
          </w:tcPr>
          <w:p>
            <w:pPr>
              <w:pStyle w:val="9"/>
              <w:widowControl/>
              <w:spacing w:line="300" w:lineRule="exact"/>
              <w:jc w:val="center"/>
              <w:rPr>
                <w:rFonts w:asciiTheme="minorEastAsia" w:hAnsiTheme="minorEastAsia" w:eastAsiaTheme="minorEastAsia" w:cstheme="minorEastAsia"/>
                <w:szCs w:val="21"/>
              </w:rPr>
            </w:pPr>
          </w:p>
        </w:tc>
        <w:tc>
          <w:tcPr>
            <w:tcW w:w="2835" w:type="dxa"/>
            <w:vAlign w:val="center"/>
          </w:tcPr>
          <w:p>
            <w:pPr>
              <w:pStyle w:val="9"/>
              <w:widowControl/>
              <w:spacing w:line="300" w:lineRule="exact"/>
              <w:jc w:val="center"/>
              <w:rPr>
                <w:rFonts w:asciiTheme="minorEastAsia" w:hAnsiTheme="minorEastAsia" w:eastAsiaTheme="minorEastAsia" w:cstheme="minorEastAsia"/>
                <w:szCs w:val="21"/>
              </w:rPr>
            </w:pPr>
          </w:p>
        </w:tc>
        <w:tc>
          <w:tcPr>
            <w:tcW w:w="1984" w:type="dxa"/>
            <w:vAlign w:val="center"/>
          </w:tcPr>
          <w:p>
            <w:pPr>
              <w:pStyle w:val="9"/>
              <w:widowControl/>
              <w:spacing w:line="300" w:lineRule="exact"/>
              <w:jc w:val="center"/>
              <w:rPr>
                <w:rFonts w:asciiTheme="minorEastAsia" w:hAnsiTheme="minorEastAsia" w:eastAsiaTheme="minorEastAsia" w:cstheme="minorEastAsia"/>
                <w:szCs w:val="21"/>
              </w:rPr>
            </w:pPr>
          </w:p>
        </w:tc>
      </w:tr>
    </w:tbl>
    <w:p>
      <w:pPr>
        <w:pStyle w:val="9"/>
        <w:spacing w:line="400" w:lineRule="exact"/>
        <w:rPr>
          <w:rFonts w:asciiTheme="minorEastAsia" w:hAnsiTheme="minorEastAsia" w:eastAsiaTheme="minorEastAsia" w:cstheme="minorEastAsia"/>
          <w:szCs w:val="21"/>
          <w:u w:val="single"/>
        </w:rPr>
      </w:pPr>
    </w:p>
    <w:p>
      <w:pPr>
        <w:pStyle w:val="9"/>
        <w:spacing w:line="400" w:lineRule="exact"/>
        <w:rPr>
          <w:rFonts w:asciiTheme="minorEastAsia" w:hAnsiTheme="minorEastAsia" w:eastAsiaTheme="minorEastAsia" w:cstheme="minorEastAsia"/>
          <w:szCs w:val="21"/>
          <w:u w:val="single"/>
        </w:rPr>
      </w:pPr>
    </w:p>
    <w:p>
      <w:pPr>
        <w:pStyle w:val="9"/>
        <w:spacing w:line="400" w:lineRule="exact"/>
        <w:rPr>
          <w:rFonts w:asciiTheme="minorEastAsia" w:hAnsiTheme="minorEastAsia" w:eastAsiaTheme="minorEastAsia" w:cstheme="minorEastAsia"/>
          <w:szCs w:val="21"/>
        </w:rPr>
      </w:pPr>
    </w:p>
    <w:p>
      <w:pPr>
        <w:pStyle w:val="9"/>
        <w:spacing w:line="400" w:lineRule="exac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竞争性磋商供应商名称（加盖公章）：</w:t>
      </w:r>
      <w:r>
        <w:rPr>
          <w:rFonts w:hint="eastAsia" w:asciiTheme="minorEastAsia" w:hAnsiTheme="minorEastAsia" w:eastAsiaTheme="minorEastAsia" w:cstheme="minorEastAsia"/>
          <w:szCs w:val="21"/>
          <w:u w:val="single"/>
        </w:rPr>
        <w:t xml:space="preserve">                              </w:t>
      </w:r>
    </w:p>
    <w:p>
      <w:pPr>
        <w:pStyle w:val="9"/>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法定代表人/负责人或授权委托代理人签字：</w:t>
      </w:r>
      <w:r>
        <w:rPr>
          <w:rFonts w:hint="eastAsia" w:asciiTheme="minorEastAsia" w:hAnsiTheme="minorEastAsia" w:eastAsiaTheme="minorEastAsia" w:cstheme="minorEastAsia"/>
          <w:szCs w:val="21"/>
          <w:u w:val="single"/>
        </w:rPr>
        <w:t xml:space="preserve">                       </w:t>
      </w:r>
    </w:p>
    <w:p>
      <w:pPr>
        <w:pStyle w:val="9"/>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pStyle w:val="7"/>
        <w:rPr>
          <w:rFonts w:ascii="宋体" w:hAnsi="宋体"/>
          <w:sz w:val="24"/>
          <w:szCs w:val="24"/>
        </w:rPr>
      </w:pPr>
    </w:p>
    <w:p>
      <w:pPr>
        <w:pStyle w:val="8"/>
        <w:rPr>
          <w:rFonts w:ascii="Times New Roman" w:hAnsi="Times New Roman" w:eastAsia="宋体"/>
          <w:sz w:val="21"/>
          <w:szCs w:val="24"/>
        </w:rPr>
      </w:pPr>
    </w:p>
    <w:p>
      <w:pPr>
        <w:snapToGrid w:val="0"/>
        <w:spacing w:before="165" w:beforeLines="50" w:after="50" w:line="440" w:lineRule="exact"/>
        <w:rPr>
          <w:rFonts w:ascii="宋体" w:hAnsi="宋体"/>
          <w:b/>
          <w:sz w:val="28"/>
          <w:szCs w:val="28"/>
        </w:rPr>
      </w:pPr>
      <w:r>
        <w:rPr>
          <w:rFonts w:hint="eastAsia"/>
        </w:rPr>
        <w:br w:type="page"/>
      </w:r>
      <w:r>
        <w:rPr>
          <w:rFonts w:hint="eastAsia" w:ascii="宋体" w:hAnsi="宋体"/>
          <w:b/>
          <w:sz w:val="28"/>
          <w:szCs w:val="28"/>
        </w:rPr>
        <w:t>七、商务响应表格式</w:t>
      </w:r>
    </w:p>
    <w:p>
      <w:pPr>
        <w:pStyle w:val="21"/>
        <w:rPr>
          <w:color w:val="auto"/>
        </w:rPr>
      </w:pP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4"/>
        <w:gridCol w:w="3166"/>
        <w:gridCol w:w="2834"/>
        <w:gridCol w:w="17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914" w:type="dxa"/>
            <w:tcBorders>
              <w:top w:val="single" w:color="auto" w:sz="4" w:space="0"/>
              <w:left w:val="single" w:color="auto" w:sz="4" w:space="0"/>
              <w:bottom w:val="single" w:color="auto" w:sz="4" w:space="0"/>
              <w:right w:val="single" w:color="auto" w:sz="4" w:space="0"/>
            </w:tcBorders>
          </w:tcPr>
          <w:p>
            <w:pPr>
              <w:widowControl/>
              <w:snapToGrid w:val="0"/>
              <w:spacing w:before="165" w:beforeLines="50"/>
              <w:jc w:val="center"/>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项目</w:t>
            </w:r>
          </w:p>
        </w:tc>
        <w:tc>
          <w:tcPr>
            <w:tcW w:w="3166" w:type="dxa"/>
            <w:tcBorders>
              <w:top w:val="single" w:color="auto" w:sz="4" w:space="0"/>
              <w:left w:val="single" w:color="auto" w:sz="4" w:space="0"/>
              <w:bottom w:val="single" w:color="auto" w:sz="4" w:space="0"/>
              <w:right w:val="single" w:color="auto" w:sz="4" w:space="0"/>
            </w:tcBorders>
          </w:tcPr>
          <w:p>
            <w:pPr>
              <w:widowControl/>
              <w:snapToGrid w:val="0"/>
              <w:spacing w:before="165" w:beforeLines="50"/>
              <w:jc w:val="center"/>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竞争性磋商文件要求</w:t>
            </w:r>
          </w:p>
        </w:tc>
        <w:tc>
          <w:tcPr>
            <w:tcW w:w="2834" w:type="dxa"/>
            <w:tcBorders>
              <w:top w:val="single" w:color="auto" w:sz="4" w:space="0"/>
              <w:left w:val="single" w:color="auto" w:sz="4" w:space="0"/>
              <w:bottom w:val="single" w:color="auto" w:sz="4" w:space="0"/>
              <w:right w:val="single" w:color="auto" w:sz="4" w:space="0"/>
            </w:tcBorders>
          </w:tcPr>
          <w:p>
            <w:pPr>
              <w:widowControl/>
              <w:snapToGrid w:val="0"/>
              <w:spacing w:before="165" w:beforeLines="50"/>
              <w:jc w:val="center"/>
              <w:rPr>
                <w:rFonts w:asciiTheme="minorEastAsia" w:hAnsiTheme="minorEastAsia" w:eastAsiaTheme="minorEastAsia" w:cstheme="minorEastAsia"/>
                <w:sz w:val="24"/>
                <w:szCs w:val="22"/>
              </w:rPr>
            </w:pPr>
            <w:r>
              <w:rPr>
                <w:rFonts w:hint="eastAsia"/>
              </w:rPr>
              <w:t>竞争性磋商供应商的承诺或说明</w:t>
            </w:r>
          </w:p>
        </w:tc>
        <w:tc>
          <w:tcPr>
            <w:tcW w:w="1750" w:type="dxa"/>
            <w:tcBorders>
              <w:top w:val="single" w:color="auto" w:sz="4" w:space="0"/>
              <w:left w:val="single" w:color="auto" w:sz="4" w:space="0"/>
              <w:bottom w:val="single" w:color="auto" w:sz="4" w:space="0"/>
              <w:right w:val="single" w:color="auto" w:sz="4" w:space="0"/>
            </w:tcBorders>
          </w:tcPr>
          <w:p>
            <w:pPr>
              <w:widowControl/>
              <w:snapToGrid w:val="0"/>
              <w:spacing w:before="165" w:beforeLines="50"/>
              <w:jc w:val="center"/>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是否响应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914" w:type="dxa"/>
            <w:tcBorders>
              <w:top w:val="single" w:color="auto" w:sz="4" w:space="0"/>
              <w:left w:val="single" w:color="auto" w:sz="4" w:space="0"/>
              <w:bottom w:val="single" w:color="auto" w:sz="4" w:space="0"/>
              <w:right w:val="single" w:color="auto" w:sz="4" w:space="0"/>
            </w:tcBorders>
          </w:tcPr>
          <w:p>
            <w:pPr>
              <w:widowControl/>
              <w:snapToGrid w:val="0"/>
              <w:spacing w:before="165" w:beforeLines="50"/>
              <w:rPr>
                <w:rFonts w:asciiTheme="minorEastAsia" w:hAnsiTheme="minorEastAsia" w:eastAsiaTheme="minorEastAsia" w:cstheme="minorEastAsia"/>
                <w:sz w:val="20"/>
                <w:szCs w:val="18"/>
              </w:rPr>
            </w:pPr>
            <w:r>
              <w:rPr>
                <w:rFonts w:hint="eastAsia" w:asciiTheme="minorEastAsia" w:hAnsiTheme="minorEastAsia" w:eastAsiaTheme="minorEastAsia" w:cstheme="minorEastAsia"/>
                <w:sz w:val="20"/>
                <w:szCs w:val="18"/>
              </w:rPr>
              <w:t xml:space="preserve"> </w:t>
            </w:r>
          </w:p>
        </w:tc>
        <w:tc>
          <w:tcPr>
            <w:tcW w:w="3166" w:type="dxa"/>
            <w:tcBorders>
              <w:top w:val="single" w:color="auto" w:sz="4" w:space="0"/>
              <w:left w:val="single" w:color="auto" w:sz="4" w:space="0"/>
              <w:bottom w:val="single" w:color="auto" w:sz="4" w:space="0"/>
              <w:right w:val="single" w:color="auto" w:sz="4" w:space="0"/>
            </w:tcBorders>
          </w:tcPr>
          <w:p>
            <w:pPr>
              <w:widowControl/>
              <w:snapToGrid w:val="0"/>
              <w:spacing w:before="165" w:beforeLines="50"/>
              <w:rPr>
                <w:rFonts w:asciiTheme="minorEastAsia" w:hAnsiTheme="minorEastAsia" w:eastAsiaTheme="minorEastAsia" w:cstheme="minorEastAsia"/>
                <w:sz w:val="24"/>
                <w:szCs w:val="22"/>
              </w:rPr>
            </w:pPr>
          </w:p>
        </w:tc>
        <w:tc>
          <w:tcPr>
            <w:tcW w:w="2834" w:type="dxa"/>
            <w:tcBorders>
              <w:top w:val="single" w:color="auto" w:sz="4" w:space="0"/>
              <w:left w:val="single" w:color="auto" w:sz="4" w:space="0"/>
              <w:bottom w:val="single" w:color="auto" w:sz="4" w:space="0"/>
              <w:right w:val="single" w:color="auto" w:sz="4" w:space="0"/>
            </w:tcBorders>
          </w:tcPr>
          <w:p>
            <w:pPr>
              <w:widowControl/>
              <w:snapToGrid w:val="0"/>
              <w:spacing w:before="165" w:beforeLines="50"/>
              <w:rPr>
                <w:rFonts w:asciiTheme="minorEastAsia" w:hAnsiTheme="minorEastAsia" w:eastAsiaTheme="minorEastAsia" w:cstheme="minorEastAsia"/>
                <w:sz w:val="24"/>
                <w:szCs w:val="22"/>
              </w:rPr>
            </w:pPr>
          </w:p>
        </w:tc>
        <w:tc>
          <w:tcPr>
            <w:tcW w:w="1750" w:type="dxa"/>
            <w:tcBorders>
              <w:top w:val="single" w:color="auto" w:sz="4" w:space="0"/>
              <w:left w:val="single" w:color="auto" w:sz="4" w:space="0"/>
              <w:bottom w:val="single" w:color="auto" w:sz="4" w:space="0"/>
              <w:right w:val="single" w:color="auto" w:sz="4" w:space="0"/>
            </w:tcBorders>
          </w:tcPr>
          <w:p>
            <w:pPr>
              <w:widowControl/>
              <w:snapToGrid w:val="0"/>
              <w:spacing w:before="165" w:beforeLines="50"/>
              <w:rPr>
                <w:rFonts w:asciiTheme="minorEastAsia" w:hAnsiTheme="minorEastAsia" w:eastAsiaTheme="minorEastAsia" w:cstheme="minorEastAsia"/>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14" w:type="dxa"/>
            <w:tcBorders>
              <w:top w:val="single" w:color="auto" w:sz="4" w:space="0"/>
              <w:left w:val="single" w:color="auto" w:sz="4" w:space="0"/>
              <w:bottom w:val="single" w:color="auto" w:sz="4" w:space="0"/>
              <w:right w:val="single" w:color="auto" w:sz="4" w:space="0"/>
            </w:tcBorders>
          </w:tcPr>
          <w:p>
            <w:pPr>
              <w:widowControl/>
              <w:snapToGrid w:val="0"/>
              <w:spacing w:before="165" w:beforeLines="5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w:t>
            </w:r>
          </w:p>
        </w:tc>
        <w:tc>
          <w:tcPr>
            <w:tcW w:w="3166" w:type="dxa"/>
            <w:tcBorders>
              <w:top w:val="single" w:color="auto" w:sz="4" w:space="0"/>
              <w:left w:val="single" w:color="auto" w:sz="4" w:space="0"/>
              <w:bottom w:val="single" w:color="auto" w:sz="4" w:space="0"/>
              <w:right w:val="single" w:color="auto" w:sz="4" w:space="0"/>
            </w:tcBorders>
          </w:tcPr>
          <w:p>
            <w:pPr>
              <w:widowControl/>
              <w:snapToGrid w:val="0"/>
              <w:spacing w:before="165" w:beforeLines="50"/>
              <w:rPr>
                <w:rFonts w:asciiTheme="minorEastAsia" w:hAnsiTheme="minorEastAsia" w:eastAsiaTheme="minorEastAsia" w:cstheme="minorEastAsia"/>
                <w:sz w:val="24"/>
                <w:szCs w:val="22"/>
              </w:rPr>
            </w:pPr>
          </w:p>
        </w:tc>
        <w:tc>
          <w:tcPr>
            <w:tcW w:w="2834" w:type="dxa"/>
            <w:tcBorders>
              <w:top w:val="single" w:color="auto" w:sz="4" w:space="0"/>
              <w:left w:val="single" w:color="auto" w:sz="4" w:space="0"/>
              <w:bottom w:val="single" w:color="auto" w:sz="4" w:space="0"/>
              <w:right w:val="single" w:color="auto" w:sz="4" w:space="0"/>
            </w:tcBorders>
          </w:tcPr>
          <w:p>
            <w:pPr>
              <w:widowControl/>
              <w:snapToGrid w:val="0"/>
              <w:spacing w:before="165" w:beforeLines="50"/>
              <w:rPr>
                <w:rFonts w:asciiTheme="minorEastAsia" w:hAnsiTheme="minorEastAsia" w:eastAsiaTheme="minorEastAsia" w:cstheme="minorEastAsia"/>
                <w:sz w:val="24"/>
                <w:szCs w:val="22"/>
              </w:rPr>
            </w:pPr>
          </w:p>
        </w:tc>
        <w:tc>
          <w:tcPr>
            <w:tcW w:w="1750" w:type="dxa"/>
            <w:tcBorders>
              <w:top w:val="single" w:color="auto" w:sz="4" w:space="0"/>
              <w:left w:val="single" w:color="auto" w:sz="4" w:space="0"/>
              <w:bottom w:val="single" w:color="auto" w:sz="4" w:space="0"/>
              <w:right w:val="single" w:color="auto" w:sz="4" w:space="0"/>
            </w:tcBorders>
          </w:tcPr>
          <w:p>
            <w:pPr>
              <w:widowControl/>
              <w:snapToGrid w:val="0"/>
              <w:spacing w:before="165" w:beforeLines="50"/>
              <w:rPr>
                <w:rFonts w:asciiTheme="minorEastAsia" w:hAnsiTheme="minorEastAsia" w:eastAsiaTheme="minorEastAsia" w:cstheme="minorEastAsia"/>
                <w:sz w:val="24"/>
                <w:szCs w:val="22"/>
              </w:rPr>
            </w:pPr>
          </w:p>
        </w:tc>
      </w:tr>
    </w:tbl>
    <w:p>
      <w:pPr>
        <w:snapToGrid w:val="0"/>
        <w:spacing w:before="165" w:beforeLines="50" w:after="50"/>
        <w:jc w:val="center"/>
        <w:rPr>
          <w:rFonts w:asciiTheme="minorEastAsia" w:hAnsiTheme="minorEastAsia" w:eastAsiaTheme="minorEastAsia" w:cstheme="minorEastAsia"/>
          <w:b/>
          <w:sz w:val="24"/>
        </w:rPr>
      </w:pPr>
    </w:p>
    <w:p>
      <w:pPr>
        <w:snapToGrid w:val="0"/>
        <w:spacing w:before="165" w:beforeLines="50" w:after="50"/>
        <w:jc w:val="center"/>
        <w:rPr>
          <w:rFonts w:asciiTheme="minorEastAsia" w:hAnsiTheme="minorEastAsia" w:eastAsiaTheme="minorEastAsia" w:cstheme="minorEastAsia"/>
          <w:b/>
          <w:sz w:val="24"/>
        </w:rPr>
      </w:pPr>
    </w:p>
    <w:p>
      <w:pPr>
        <w:snapToGrid w:val="0"/>
        <w:spacing w:before="165" w:beforeLines="50" w:after="50"/>
        <w:jc w:val="center"/>
        <w:rPr>
          <w:rFonts w:asciiTheme="minorEastAsia" w:hAnsiTheme="minorEastAsia" w:eastAsiaTheme="minorEastAsia" w:cstheme="minorEastAsia"/>
          <w:b/>
          <w:sz w:val="24"/>
        </w:rPr>
      </w:pPr>
    </w:p>
    <w:p>
      <w:pPr>
        <w:pStyle w:val="9"/>
        <w:spacing w:line="400" w:lineRule="exac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竞争性磋商供应商名称（加盖公章）：</w:t>
      </w:r>
      <w:r>
        <w:rPr>
          <w:rFonts w:hint="eastAsia" w:asciiTheme="minorEastAsia" w:hAnsiTheme="minorEastAsia" w:eastAsiaTheme="minorEastAsia" w:cstheme="minorEastAsia"/>
          <w:szCs w:val="21"/>
          <w:u w:val="single"/>
        </w:rPr>
        <w:t xml:space="preserve">                                                 </w:t>
      </w:r>
    </w:p>
    <w:p>
      <w:pPr>
        <w:pStyle w:val="9"/>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法定代表人/负责人或授权委托代理人签字：</w:t>
      </w:r>
      <w:r>
        <w:rPr>
          <w:rFonts w:hint="eastAsia" w:asciiTheme="minorEastAsia" w:hAnsiTheme="minorEastAsia" w:eastAsiaTheme="minorEastAsia" w:cstheme="minorEastAsia"/>
          <w:szCs w:val="21"/>
          <w:u w:val="single"/>
        </w:rPr>
        <w:t xml:space="preserve">                       </w:t>
      </w:r>
    </w:p>
    <w:p>
      <w:pPr>
        <w:pStyle w:val="9"/>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br w:type="page"/>
      </w:r>
    </w:p>
    <w:p/>
    <w:p/>
    <w:p>
      <w:pPr>
        <w:pStyle w:val="4"/>
        <w:spacing w:before="62" w:line="417" w:lineRule="auto"/>
        <w:ind w:left="4494" w:right="736" w:hanging="4064"/>
        <w:jc w:val="left"/>
        <w:rPr>
          <w:rFonts w:ascii="宋体" w:hAnsi="宋体" w:eastAsia="宋体"/>
          <w:sz w:val="28"/>
          <w:szCs w:val="28"/>
        </w:rPr>
      </w:pPr>
      <w:r>
        <w:rPr>
          <w:rFonts w:hint="eastAsia" w:ascii="宋体" w:hAnsi="宋体" w:eastAsia="宋体"/>
          <w:sz w:val="28"/>
          <w:szCs w:val="28"/>
        </w:rPr>
        <w:t>八、磋商保证金递交证明材料</w:t>
      </w:r>
    </w:p>
    <w:p>
      <w:pPr>
        <w:pStyle w:val="9"/>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备注：附加盖竞争性磋商供应商单位公章的以下证明材料（①、②两样视竞争性磋商供应商磋商保证金递交方式确定，基本账户转账或电汇方式的提供①项材料，其余情况提供②项材料）：</w:t>
      </w:r>
    </w:p>
    <w:p>
      <w:pPr>
        <w:pStyle w:val="9"/>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①银行转账（电汇）底单复印件；</w:t>
      </w:r>
    </w:p>
    <w:p>
      <w:pPr>
        <w:pStyle w:val="9"/>
        <w:spacing w:line="400" w:lineRule="exact"/>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②无条件银行保函或担保或保证保险复印件。</w:t>
      </w:r>
    </w:p>
    <w:p>
      <w:pPr>
        <w:pStyle w:val="8"/>
        <w:rPr>
          <w:rFonts w:ascii="Times New Roman" w:hAnsi="Times New Roman" w:eastAsia="宋体"/>
          <w:sz w:val="21"/>
          <w:szCs w:val="24"/>
        </w:rPr>
      </w:pPr>
    </w:p>
    <w:p>
      <w:pPr>
        <w:pStyle w:val="8"/>
        <w:rPr>
          <w:rFonts w:ascii="Times New Roman" w:hAnsi="Times New Roman" w:eastAsia="宋体"/>
          <w:sz w:val="21"/>
          <w:szCs w:val="24"/>
        </w:rPr>
      </w:pPr>
    </w:p>
    <w:p>
      <w:pPr>
        <w:autoSpaceDE w:val="0"/>
        <w:autoSpaceDN w:val="0"/>
        <w:adjustRightInd w:val="0"/>
        <w:spacing w:line="400" w:lineRule="exact"/>
        <w:rPr>
          <w:rFonts w:ascii="宋体" w:hAnsi="宋体"/>
          <w:kern w:val="0"/>
        </w:rPr>
      </w:pPr>
      <w:bookmarkStart w:id="100" w:name="九、磋商供应商2018年8月至10月依法缴纳社保费的缴费凭证复印件；(新成立的单"/>
      <w:bookmarkEnd w:id="100"/>
      <w:bookmarkStart w:id="101" w:name="八、磋商供应商2018年8月至10月份依法纳税的完税凭证复印件或依法免缴税费的证"/>
      <w:bookmarkEnd w:id="101"/>
    </w:p>
    <w:p>
      <w:pPr>
        <w:pStyle w:val="9"/>
        <w:spacing w:line="400" w:lineRule="exact"/>
        <w:jc w:val="left"/>
        <w:outlineLvl w:val="1"/>
        <w:rPr>
          <w:rFonts w:hAnsi="宋体"/>
          <w:b/>
          <w:sz w:val="28"/>
          <w:szCs w:val="28"/>
        </w:rPr>
      </w:pPr>
      <w:r>
        <w:rPr>
          <w:rFonts w:hint="eastAsia" w:hAnsi="宋体"/>
          <w:b/>
          <w:sz w:val="28"/>
          <w:szCs w:val="28"/>
        </w:rPr>
        <w:t>九、竞争性磋商供应商类似业绩证明材料</w:t>
      </w:r>
    </w:p>
    <w:p>
      <w:pPr>
        <w:pStyle w:val="9"/>
        <w:spacing w:line="400" w:lineRule="exact"/>
        <w:rPr>
          <w:rFonts w:ascii="Times New Roman" w:hAnsi="Times New Roman"/>
          <w:bCs/>
          <w:szCs w:val="24"/>
        </w:rPr>
      </w:pPr>
    </w:p>
    <w:p>
      <w:pPr>
        <w:pStyle w:val="9"/>
        <w:spacing w:line="400" w:lineRule="exact"/>
        <w:jc w:val="center"/>
        <w:rPr>
          <w:rFonts w:ascii="Times New Roman" w:hAnsi="Times New Roman"/>
          <w:bCs/>
          <w:szCs w:val="24"/>
        </w:rPr>
      </w:pPr>
      <w:r>
        <w:rPr>
          <w:rFonts w:hint="eastAsia" w:ascii="Times New Roman" w:hAnsi="Times New Roman"/>
          <w:bCs/>
          <w:szCs w:val="24"/>
        </w:rPr>
        <w:t>类似项目业绩一览表</w:t>
      </w:r>
    </w:p>
    <w:tbl>
      <w:tblPr>
        <w:tblStyle w:val="15"/>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305"/>
        <w:gridCol w:w="1305"/>
        <w:gridCol w:w="5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4" w:type="dxa"/>
            <w:vAlign w:val="center"/>
          </w:tcPr>
          <w:p>
            <w:pPr>
              <w:autoSpaceDE w:val="0"/>
              <w:autoSpaceDN w:val="0"/>
              <w:adjustRightInd w:val="0"/>
              <w:spacing w:line="300" w:lineRule="exact"/>
              <w:jc w:val="center"/>
              <w:rPr>
                <w:bCs/>
              </w:rPr>
            </w:pPr>
            <w:r>
              <w:rPr>
                <w:rFonts w:hint="eastAsia"/>
                <w:bCs/>
              </w:rPr>
              <w:t>序号</w:t>
            </w:r>
          </w:p>
        </w:tc>
        <w:tc>
          <w:tcPr>
            <w:tcW w:w="1305" w:type="dxa"/>
            <w:vAlign w:val="center"/>
          </w:tcPr>
          <w:p>
            <w:pPr>
              <w:autoSpaceDE w:val="0"/>
              <w:autoSpaceDN w:val="0"/>
              <w:adjustRightInd w:val="0"/>
              <w:spacing w:line="300" w:lineRule="exact"/>
              <w:jc w:val="center"/>
              <w:rPr>
                <w:bCs/>
              </w:rPr>
            </w:pPr>
            <w:r>
              <w:rPr>
                <w:rFonts w:hint="eastAsia"/>
                <w:bCs/>
              </w:rPr>
              <w:t>委托单位</w:t>
            </w:r>
          </w:p>
        </w:tc>
        <w:tc>
          <w:tcPr>
            <w:tcW w:w="1305" w:type="dxa"/>
            <w:vAlign w:val="center"/>
          </w:tcPr>
          <w:p>
            <w:pPr>
              <w:autoSpaceDE w:val="0"/>
              <w:autoSpaceDN w:val="0"/>
              <w:adjustRightInd w:val="0"/>
              <w:spacing w:line="300" w:lineRule="exact"/>
              <w:jc w:val="center"/>
              <w:rPr>
                <w:bCs/>
              </w:rPr>
            </w:pPr>
            <w:r>
              <w:rPr>
                <w:rFonts w:hint="eastAsia"/>
                <w:bCs/>
              </w:rPr>
              <w:t>项目名称</w:t>
            </w:r>
          </w:p>
        </w:tc>
        <w:tc>
          <w:tcPr>
            <w:tcW w:w="5363" w:type="dxa"/>
            <w:vAlign w:val="center"/>
          </w:tcPr>
          <w:p>
            <w:pPr>
              <w:autoSpaceDE w:val="0"/>
              <w:autoSpaceDN w:val="0"/>
              <w:adjustRightInd w:val="0"/>
              <w:spacing w:line="300" w:lineRule="exact"/>
              <w:jc w:val="center"/>
              <w:rPr>
                <w:bCs/>
              </w:rPr>
            </w:pPr>
            <w:r>
              <w:rPr>
                <w:rFonts w:hint="eastAsia"/>
                <w:bCs/>
              </w:rPr>
              <w:t>项目对应评审因素所须的指标要素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4" w:type="dxa"/>
            <w:vAlign w:val="center"/>
          </w:tcPr>
          <w:p>
            <w:pPr>
              <w:autoSpaceDE w:val="0"/>
              <w:autoSpaceDN w:val="0"/>
              <w:adjustRightInd w:val="0"/>
              <w:spacing w:line="300" w:lineRule="exact"/>
              <w:jc w:val="center"/>
              <w:rPr>
                <w:bCs/>
              </w:rPr>
            </w:pPr>
            <w:r>
              <w:rPr>
                <w:rFonts w:hint="eastAsia"/>
                <w:bCs/>
              </w:rPr>
              <w:t>……</w:t>
            </w:r>
          </w:p>
        </w:tc>
        <w:tc>
          <w:tcPr>
            <w:tcW w:w="1305" w:type="dxa"/>
            <w:vAlign w:val="center"/>
          </w:tcPr>
          <w:p>
            <w:pPr>
              <w:autoSpaceDE w:val="0"/>
              <w:autoSpaceDN w:val="0"/>
              <w:adjustRightInd w:val="0"/>
              <w:spacing w:line="300" w:lineRule="exact"/>
              <w:jc w:val="center"/>
              <w:rPr>
                <w:bCs/>
              </w:rPr>
            </w:pPr>
          </w:p>
        </w:tc>
        <w:tc>
          <w:tcPr>
            <w:tcW w:w="1305" w:type="dxa"/>
            <w:vAlign w:val="center"/>
          </w:tcPr>
          <w:p>
            <w:pPr>
              <w:autoSpaceDE w:val="0"/>
              <w:autoSpaceDN w:val="0"/>
              <w:adjustRightInd w:val="0"/>
              <w:spacing w:line="300" w:lineRule="exact"/>
              <w:jc w:val="center"/>
              <w:rPr>
                <w:bCs/>
              </w:rPr>
            </w:pPr>
          </w:p>
        </w:tc>
        <w:tc>
          <w:tcPr>
            <w:tcW w:w="5363" w:type="dxa"/>
            <w:vAlign w:val="center"/>
          </w:tcPr>
          <w:p>
            <w:pPr>
              <w:autoSpaceDE w:val="0"/>
              <w:autoSpaceDN w:val="0"/>
              <w:adjustRightInd w:val="0"/>
              <w:spacing w:line="300" w:lineRule="exact"/>
              <w:rPr>
                <w:bCs/>
              </w:rPr>
            </w:pPr>
            <w:r>
              <w:rPr>
                <w:rFonts w:hint="eastAsia"/>
                <w:bCs/>
              </w:rPr>
              <w:t>◆合同时限（考核期）：</w:t>
            </w:r>
          </w:p>
          <w:p>
            <w:pPr>
              <w:pStyle w:val="21"/>
              <w:rPr>
                <w:color w:val="auto"/>
              </w:rPr>
            </w:pPr>
            <w:r>
              <w:rPr>
                <w:rFonts w:hint="eastAsia"/>
                <w:color w:val="auto"/>
              </w:rPr>
              <w:t>◆</w:t>
            </w:r>
            <w:r>
              <w:rPr>
                <w:rFonts w:hint="eastAsia" w:ascii="Times New Roman" w:hAnsi="Times New Roman" w:eastAsia="宋体" w:cs="Times New Roman"/>
                <w:bCs/>
                <w:color w:val="auto"/>
                <w:kern w:val="2"/>
                <w:sz w:val="21"/>
              </w:rPr>
              <w:t>合同内容（标的物）：</w:t>
            </w:r>
          </w:p>
          <w:p>
            <w:pPr>
              <w:autoSpaceDE w:val="0"/>
              <w:autoSpaceDN w:val="0"/>
              <w:adjustRightInd w:val="0"/>
              <w:spacing w:line="300" w:lineRule="exact"/>
              <w:rPr>
                <w:bCs/>
              </w:rPr>
            </w:pPr>
            <w:r>
              <w:rPr>
                <w:rFonts w:hint="eastAsia"/>
                <w:bCs/>
              </w:rPr>
              <w:t>◆合同金额（指标要素——合同金额）：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4" w:type="dxa"/>
            <w:vAlign w:val="center"/>
          </w:tcPr>
          <w:p>
            <w:pPr>
              <w:autoSpaceDE w:val="0"/>
              <w:autoSpaceDN w:val="0"/>
              <w:adjustRightInd w:val="0"/>
              <w:spacing w:line="300" w:lineRule="exact"/>
              <w:jc w:val="center"/>
              <w:rPr>
                <w:bCs/>
              </w:rPr>
            </w:pPr>
            <w:r>
              <w:rPr>
                <w:rFonts w:hint="eastAsia"/>
                <w:bCs/>
              </w:rPr>
              <w:t>N</w:t>
            </w:r>
          </w:p>
        </w:tc>
        <w:tc>
          <w:tcPr>
            <w:tcW w:w="1305" w:type="dxa"/>
            <w:vAlign w:val="center"/>
          </w:tcPr>
          <w:p>
            <w:pPr>
              <w:autoSpaceDE w:val="0"/>
              <w:autoSpaceDN w:val="0"/>
              <w:adjustRightInd w:val="0"/>
              <w:spacing w:line="300" w:lineRule="exact"/>
              <w:jc w:val="center"/>
              <w:rPr>
                <w:bCs/>
              </w:rPr>
            </w:pPr>
          </w:p>
        </w:tc>
        <w:tc>
          <w:tcPr>
            <w:tcW w:w="1305" w:type="dxa"/>
            <w:vAlign w:val="center"/>
          </w:tcPr>
          <w:p>
            <w:pPr>
              <w:autoSpaceDE w:val="0"/>
              <w:autoSpaceDN w:val="0"/>
              <w:adjustRightInd w:val="0"/>
              <w:spacing w:line="300" w:lineRule="exact"/>
              <w:jc w:val="center"/>
              <w:rPr>
                <w:bCs/>
              </w:rPr>
            </w:pPr>
          </w:p>
        </w:tc>
        <w:tc>
          <w:tcPr>
            <w:tcW w:w="5363" w:type="dxa"/>
            <w:vAlign w:val="center"/>
          </w:tcPr>
          <w:p>
            <w:pPr>
              <w:autoSpaceDE w:val="0"/>
              <w:autoSpaceDN w:val="0"/>
              <w:adjustRightInd w:val="0"/>
              <w:spacing w:line="300" w:lineRule="exact"/>
              <w:jc w:val="center"/>
              <w:rPr>
                <w:bCs/>
              </w:rPr>
            </w:pPr>
          </w:p>
        </w:tc>
      </w:tr>
    </w:tbl>
    <w:p>
      <w:pPr>
        <w:autoSpaceDE w:val="0"/>
        <w:autoSpaceDN w:val="0"/>
        <w:adjustRightInd w:val="0"/>
        <w:spacing w:line="400" w:lineRule="exact"/>
        <w:ind w:firstLine="420" w:firstLineChars="200"/>
        <w:rPr>
          <w:bCs/>
        </w:rPr>
      </w:pPr>
      <w:r>
        <w:rPr>
          <w:rFonts w:hint="eastAsia"/>
          <w:bCs/>
        </w:rPr>
        <w:t>备注：以上表格“类似项目业绩”对应解析为《竞争性磋商文件》第二章“竞争性磋商供应商须知——竞争性磋商供应商须知前附表——响应文件编制注意事项——3.类似业绩说明”中所指载明的要求标准；竞争性磋商供应商若无“类似项目业绩”的，请在以上表格内填写“无”；竞争性磋商供应商如在以上表格中填写有项目的，应针对每个填写项目按上述解析标准中载明的“证明材料”提供相应加盖竞争性磋商供应商单位公章的证明材料。</w:t>
      </w:r>
    </w:p>
    <w:p>
      <w:pPr>
        <w:autoSpaceDE w:val="0"/>
        <w:autoSpaceDN w:val="0"/>
        <w:adjustRightInd w:val="0"/>
        <w:spacing w:line="400" w:lineRule="exact"/>
        <w:rPr>
          <w:rFonts w:ascii="黑体" w:hAnsi="宋体" w:eastAsia="黑体"/>
          <w:sz w:val="28"/>
          <w:szCs w:val="28"/>
        </w:rPr>
      </w:pPr>
      <w:r>
        <w:rPr>
          <w:kern w:val="0"/>
        </w:rPr>
        <w:br w:type="page"/>
      </w:r>
    </w:p>
    <w:p>
      <w:pPr>
        <w:pStyle w:val="9"/>
        <w:spacing w:line="400" w:lineRule="exact"/>
        <w:jc w:val="left"/>
        <w:outlineLvl w:val="1"/>
        <w:rPr>
          <w:rFonts w:hAnsi="宋体"/>
          <w:b/>
          <w:sz w:val="28"/>
          <w:szCs w:val="28"/>
        </w:rPr>
      </w:pPr>
      <w:bookmarkStart w:id="102" w:name="_Toc8742652"/>
      <w:bookmarkStart w:id="103" w:name="_Toc487707813"/>
      <w:r>
        <w:rPr>
          <w:rFonts w:hint="eastAsia" w:hAnsi="宋体"/>
          <w:b/>
          <w:sz w:val="28"/>
          <w:szCs w:val="28"/>
        </w:rPr>
        <w:t>十、竞争性磋商供应商</w:t>
      </w:r>
      <w:bookmarkEnd w:id="102"/>
      <w:bookmarkEnd w:id="103"/>
      <w:r>
        <w:rPr>
          <w:rFonts w:hint="eastAsia" w:hAnsi="宋体"/>
          <w:b/>
          <w:sz w:val="28"/>
          <w:szCs w:val="28"/>
        </w:rPr>
        <w:t>认为可以证明其能力的其他材料</w:t>
      </w:r>
    </w:p>
    <w:p>
      <w:pPr>
        <w:rPr>
          <w:b/>
        </w:rPr>
      </w:pPr>
    </w:p>
    <w:p>
      <w:pPr>
        <w:rPr>
          <w:b/>
        </w:rPr>
      </w:pPr>
    </w:p>
    <w:p>
      <w:pPr>
        <w:rPr>
          <w:b/>
        </w:rPr>
      </w:pPr>
    </w:p>
    <w:p>
      <w:pPr>
        <w:jc w:val="left"/>
        <w:rPr>
          <w:rFonts w:ascii="宋体" w:hAnsi="宋体"/>
          <w:b/>
          <w:sz w:val="28"/>
          <w:szCs w:val="28"/>
        </w:rPr>
      </w:pPr>
      <w:r>
        <w:rPr>
          <w:rFonts w:hint="eastAsia" w:ascii="宋体" w:hAnsi="宋体"/>
          <w:b/>
          <w:sz w:val="28"/>
          <w:szCs w:val="28"/>
        </w:rPr>
        <w:t>十一、对本项目的理解、实施方案及售后服务承诺方案</w:t>
      </w:r>
    </w:p>
    <w:p>
      <w:pPr>
        <w:spacing w:line="400" w:lineRule="exact"/>
        <w:ind w:firstLine="420" w:firstLineChars="200"/>
        <w:rPr>
          <w:rFonts w:ascii="宋体" w:hAnsi="宋体"/>
          <w:szCs w:val="21"/>
        </w:rPr>
      </w:pPr>
      <w:r>
        <w:rPr>
          <w:rFonts w:hint="eastAsia" w:ascii="宋体" w:hAnsi="宋体"/>
          <w:szCs w:val="21"/>
        </w:rPr>
        <w:t>备注：由竞争性磋商供应商自身情况结合项目需求自行编制，编制内容须含有竞争性磋商文件第三章“项目需求和说明”中所有项目承包人应承担的义务，有可能用到的表格形式如下：</w:t>
      </w:r>
    </w:p>
    <w:p>
      <w:pPr>
        <w:spacing w:line="400" w:lineRule="exact"/>
        <w:jc w:val="center"/>
        <w:rPr>
          <w:rFonts w:ascii="宋体" w:hAnsi="宋体"/>
          <w:b/>
          <w:kern w:val="0"/>
          <w:szCs w:val="21"/>
        </w:rPr>
      </w:pPr>
      <w:r>
        <w:rPr>
          <w:rFonts w:hint="eastAsia" w:ascii="宋体" w:hAnsi="宋体"/>
          <w:b/>
          <w:kern w:val="0"/>
          <w:szCs w:val="21"/>
        </w:rPr>
        <w:t>（1）</w:t>
      </w:r>
      <w:r>
        <w:rPr>
          <w:rFonts w:ascii="宋体" w:hAnsi="宋体"/>
          <w:b/>
          <w:szCs w:val="21"/>
        </w:rPr>
        <w:t>拟委任本项目人员配备表</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6"/>
        <w:gridCol w:w="824"/>
        <w:gridCol w:w="1535"/>
        <w:gridCol w:w="1985"/>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26" w:type="dxa"/>
            <w:vAlign w:val="center"/>
          </w:tcPr>
          <w:p>
            <w:pPr>
              <w:autoSpaceDE w:val="0"/>
              <w:autoSpaceDN w:val="0"/>
              <w:spacing w:line="300" w:lineRule="exact"/>
              <w:jc w:val="center"/>
              <w:rPr>
                <w:rFonts w:ascii="宋体" w:hAnsi="宋体"/>
                <w:kern w:val="0"/>
                <w:szCs w:val="21"/>
              </w:rPr>
            </w:pPr>
            <w:r>
              <w:rPr>
                <w:rFonts w:hint="eastAsia" w:ascii="宋体" w:hAnsi="宋体"/>
                <w:kern w:val="0"/>
                <w:szCs w:val="21"/>
              </w:rPr>
              <w:t>序号</w:t>
            </w:r>
          </w:p>
        </w:tc>
        <w:tc>
          <w:tcPr>
            <w:tcW w:w="824" w:type="dxa"/>
            <w:tcBorders>
              <w:right w:val="single" w:color="auto" w:sz="4" w:space="0"/>
            </w:tcBorders>
            <w:vAlign w:val="center"/>
          </w:tcPr>
          <w:p>
            <w:pPr>
              <w:autoSpaceDE w:val="0"/>
              <w:autoSpaceDN w:val="0"/>
              <w:spacing w:line="300" w:lineRule="exact"/>
              <w:jc w:val="center"/>
              <w:rPr>
                <w:rFonts w:ascii="宋体" w:hAnsi="宋体"/>
                <w:kern w:val="0"/>
                <w:szCs w:val="21"/>
              </w:rPr>
            </w:pPr>
            <w:r>
              <w:rPr>
                <w:rFonts w:hint="eastAsia" w:ascii="宋体" w:hAnsi="宋体"/>
                <w:kern w:val="0"/>
                <w:szCs w:val="21"/>
              </w:rPr>
              <w:t>姓名</w:t>
            </w:r>
          </w:p>
        </w:tc>
        <w:tc>
          <w:tcPr>
            <w:tcW w:w="1535" w:type="dxa"/>
            <w:tcBorders>
              <w:left w:val="single" w:color="auto" w:sz="4" w:space="0"/>
            </w:tcBorders>
            <w:vAlign w:val="center"/>
          </w:tcPr>
          <w:p>
            <w:pPr>
              <w:autoSpaceDE w:val="0"/>
              <w:autoSpaceDN w:val="0"/>
              <w:spacing w:line="300" w:lineRule="exact"/>
              <w:jc w:val="center"/>
              <w:rPr>
                <w:rFonts w:ascii="宋体" w:hAnsi="宋体"/>
                <w:kern w:val="0"/>
                <w:szCs w:val="21"/>
              </w:rPr>
            </w:pPr>
            <w:r>
              <w:rPr>
                <w:rFonts w:hint="eastAsia" w:ascii="宋体" w:hAnsi="宋体"/>
                <w:szCs w:val="21"/>
              </w:rPr>
              <w:t>拟任职务</w:t>
            </w:r>
          </w:p>
        </w:tc>
        <w:tc>
          <w:tcPr>
            <w:tcW w:w="1985" w:type="dxa"/>
            <w:tcBorders>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职称证书（如有）</w:t>
            </w:r>
          </w:p>
        </w:tc>
        <w:tc>
          <w:tcPr>
            <w:tcW w:w="3827" w:type="dxa"/>
            <w:tcBorders>
              <w:left w:val="single" w:color="auto" w:sz="4" w:space="0"/>
              <w:right w:val="single" w:color="auto" w:sz="4" w:space="0"/>
            </w:tcBorders>
            <w:vAlign w:val="center"/>
          </w:tcPr>
          <w:p>
            <w:pPr>
              <w:autoSpaceDE w:val="0"/>
              <w:autoSpaceDN w:val="0"/>
              <w:spacing w:line="300" w:lineRule="exact"/>
              <w:jc w:val="center"/>
              <w:rPr>
                <w:rFonts w:ascii="宋体" w:hAnsi="宋体"/>
                <w:szCs w:val="21"/>
              </w:rPr>
            </w:pPr>
            <w:r>
              <w:rPr>
                <w:rFonts w:hint="eastAsia" w:ascii="宋体" w:hAnsi="宋体"/>
                <w:szCs w:val="21"/>
              </w:rPr>
              <w:t>执业（或职业或岗位或培训）证书</w:t>
            </w:r>
            <w:r>
              <w:rPr>
                <w:rFonts w:hint="eastAsia" w:hAnsi="宋体"/>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26" w:type="dxa"/>
            <w:vAlign w:val="center"/>
          </w:tcPr>
          <w:p>
            <w:pPr>
              <w:autoSpaceDE w:val="0"/>
              <w:autoSpaceDN w:val="0"/>
              <w:spacing w:line="300" w:lineRule="exact"/>
              <w:jc w:val="center"/>
              <w:rPr>
                <w:rFonts w:ascii="宋体" w:hAnsi="宋体"/>
                <w:kern w:val="0"/>
                <w:szCs w:val="21"/>
              </w:rPr>
            </w:pPr>
            <w:r>
              <w:rPr>
                <w:rFonts w:hint="eastAsia" w:ascii="宋体" w:hAnsi="宋体"/>
                <w:kern w:val="0"/>
                <w:szCs w:val="21"/>
              </w:rPr>
              <w:t>……</w:t>
            </w:r>
          </w:p>
        </w:tc>
        <w:tc>
          <w:tcPr>
            <w:tcW w:w="824" w:type="dxa"/>
            <w:tcBorders>
              <w:right w:val="single" w:color="auto" w:sz="4" w:space="0"/>
            </w:tcBorders>
            <w:vAlign w:val="center"/>
          </w:tcPr>
          <w:p>
            <w:pPr>
              <w:autoSpaceDE w:val="0"/>
              <w:autoSpaceDN w:val="0"/>
              <w:spacing w:line="300" w:lineRule="exact"/>
              <w:jc w:val="center"/>
              <w:rPr>
                <w:rFonts w:ascii="宋体" w:hAnsi="宋体"/>
                <w:kern w:val="0"/>
                <w:szCs w:val="21"/>
              </w:rPr>
            </w:pPr>
          </w:p>
        </w:tc>
        <w:tc>
          <w:tcPr>
            <w:tcW w:w="1535" w:type="dxa"/>
            <w:tcBorders>
              <w:left w:val="single" w:color="auto" w:sz="4" w:space="0"/>
            </w:tcBorders>
            <w:vAlign w:val="center"/>
          </w:tcPr>
          <w:p>
            <w:pPr>
              <w:autoSpaceDE w:val="0"/>
              <w:autoSpaceDN w:val="0"/>
              <w:spacing w:line="300" w:lineRule="exact"/>
              <w:jc w:val="center"/>
              <w:rPr>
                <w:rFonts w:ascii="宋体" w:hAnsi="宋体"/>
                <w:kern w:val="0"/>
                <w:szCs w:val="21"/>
              </w:rPr>
            </w:pPr>
          </w:p>
        </w:tc>
        <w:tc>
          <w:tcPr>
            <w:tcW w:w="1985" w:type="dxa"/>
            <w:tcBorders>
              <w:right w:val="single" w:color="auto" w:sz="4" w:space="0"/>
            </w:tcBorders>
            <w:vAlign w:val="center"/>
          </w:tcPr>
          <w:p>
            <w:pPr>
              <w:autoSpaceDE w:val="0"/>
              <w:autoSpaceDN w:val="0"/>
              <w:spacing w:line="300" w:lineRule="exact"/>
              <w:rPr>
                <w:rFonts w:ascii="宋体" w:hAnsi="宋体"/>
                <w:kern w:val="0"/>
                <w:szCs w:val="21"/>
              </w:rPr>
            </w:pPr>
          </w:p>
        </w:tc>
        <w:tc>
          <w:tcPr>
            <w:tcW w:w="3827" w:type="dxa"/>
            <w:tcBorders>
              <w:left w:val="single" w:color="auto" w:sz="4" w:space="0"/>
              <w:right w:val="single" w:color="auto" w:sz="4" w:space="0"/>
            </w:tcBorders>
            <w:vAlign w:val="center"/>
          </w:tcPr>
          <w:p>
            <w:pPr>
              <w:autoSpaceDE w:val="0"/>
              <w:autoSpaceDN w:val="0"/>
              <w:spacing w:line="300" w:lineRule="exact"/>
              <w:rPr>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26" w:type="dxa"/>
            <w:vAlign w:val="center"/>
          </w:tcPr>
          <w:p>
            <w:pPr>
              <w:autoSpaceDE w:val="0"/>
              <w:autoSpaceDN w:val="0"/>
              <w:spacing w:line="300" w:lineRule="exact"/>
              <w:jc w:val="center"/>
              <w:rPr>
                <w:rFonts w:ascii="宋体" w:hAnsi="宋体"/>
                <w:kern w:val="0"/>
                <w:szCs w:val="21"/>
              </w:rPr>
            </w:pPr>
            <w:r>
              <w:rPr>
                <w:rFonts w:hint="eastAsia" w:ascii="宋体" w:hAnsi="宋体"/>
                <w:kern w:val="0"/>
                <w:szCs w:val="21"/>
              </w:rPr>
              <w:t>N</w:t>
            </w:r>
          </w:p>
        </w:tc>
        <w:tc>
          <w:tcPr>
            <w:tcW w:w="824" w:type="dxa"/>
            <w:tcBorders>
              <w:right w:val="single" w:color="auto" w:sz="4" w:space="0"/>
            </w:tcBorders>
            <w:vAlign w:val="center"/>
          </w:tcPr>
          <w:p>
            <w:pPr>
              <w:autoSpaceDE w:val="0"/>
              <w:autoSpaceDN w:val="0"/>
              <w:spacing w:line="300" w:lineRule="exact"/>
              <w:jc w:val="center"/>
              <w:rPr>
                <w:rFonts w:ascii="宋体" w:hAnsi="宋体"/>
                <w:kern w:val="0"/>
                <w:szCs w:val="21"/>
              </w:rPr>
            </w:pPr>
          </w:p>
        </w:tc>
        <w:tc>
          <w:tcPr>
            <w:tcW w:w="1535" w:type="dxa"/>
            <w:tcBorders>
              <w:left w:val="single" w:color="auto" w:sz="4" w:space="0"/>
            </w:tcBorders>
            <w:vAlign w:val="center"/>
          </w:tcPr>
          <w:p>
            <w:pPr>
              <w:autoSpaceDE w:val="0"/>
              <w:autoSpaceDN w:val="0"/>
              <w:spacing w:line="300" w:lineRule="exact"/>
              <w:jc w:val="center"/>
              <w:rPr>
                <w:rFonts w:ascii="宋体" w:hAnsi="宋体"/>
                <w:kern w:val="0"/>
                <w:szCs w:val="21"/>
              </w:rPr>
            </w:pPr>
          </w:p>
        </w:tc>
        <w:tc>
          <w:tcPr>
            <w:tcW w:w="1985" w:type="dxa"/>
            <w:tcBorders>
              <w:right w:val="single" w:color="auto" w:sz="4" w:space="0"/>
            </w:tcBorders>
            <w:vAlign w:val="center"/>
          </w:tcPr>
          <w:p>
            <w:pPr>
              <w:autoSpaceDE w:val="0"/>
              <w:autoSpaceDN w:val="0"/>
              <w:spacing w:line="300" w:lineRule="exact"/>
              <w:jc w:val="center"/>
              <w:rPr>
                <w:rFonts w:ascii="宋体" w:hAnsi="宋体"/>
                <w:kern w:val="0"/>
                <w:szCs w:val="21"/>
              </w:rPr>
            </w:pPr>
          </w:p>
        </w:tc>
        <w:tc>
          <w:tcPr>
            <w:tcW w:w="3827" w:type="dxa"/>
            <w:tcBorders>
              <w:left w:val="single" w:color="auto" w:sz="4" w:space="0"/>
              <w:right w:val="single" w:color="auto" w:sz="4" w:space="0"/>
            </w:tcBorders>
            <w:vAlign w:val="center"/>
          </w:tcPr>
          <w:p>
            <w:pPr>
              <w:autoSpaceDE w:val="0"/>
              <w:autoSpaceDN w:val="0"/>
              <w:spacing w:line="300" w:lineRule="exact"/>
              <w:jc w:val="center"/>
              <w:rPr>
                <w:rFonts w:ascii="宋体" w:hAnsi="宋体"/>
                <w:kern w:val="0"/>
                <w:szCs w:val="21"/>
              </w:rPr>
            </w:pPr>
          </w:p>
        </w:tc>
      </w:tr>
    </w:tbl>
    <w:p>
      <w:pPr>
        <w:autoSpaceDE w:val="0"/>
        <w:autoSpaceDN w:val="0"/>
        <w:adjustRightInd w:val="0"/>
        <w:spacing w:line="400" w:lineRule="exact"/>
        <w:rPr>
          <w:rFonts w:ascii="宋体" w:hAnsi="宋体"/>
          <w:szCs w:val="21"/>
        </w:rPr>
      </w:pPr>
      <w:r>
        <w:rPr>
          <w:rFonts w:hint="eastAsia" w:ascii="宋体" w:hAnsi="宋体"/>
          <w:szCs w:val="21"/>
        </w:rPr>
        <w:t>备注：本表后附加盖竞争性磋商供应商单位公章以下证明材料：拟委任本项目人员的执业（或职业或岗位或培训）证书（如有）、职称证（如有）、学历证（如有）及其近3个月在竞争性磋商供应商单位的社会保险证明缴纳证明材料（说明：查询内容显示时间为2020年0</w:t>
      </w:r>
      <w:r>
        <w:rPr>
          <w:rFonts w:ascii="宋体" w:hAnsi="宋体"/>
          <w:szCs w:val="21"/>
        </w:rPr>
        <w:t>5</w:t>
      </w:r>
      <w:r>
        <w:rPr>
          <w:rFonts w:hint="eastAsia" w:ascii="宋体" w:hAnsi="宋体"/>
          <w:szCs w:val="21"/>
        </w:rPr>
        <w:t>月至2020年0</w:t>
      </w:r>
      <w:r>
        <w:rPr>
          <w:rFonts w:ascii="宋体" w:hAnsi="宋体"/>
          <w:szCs w:val="21"/>
        </w:rPr>
        <w:t>7</w:t>
      </w:r>
      <w:r>
        <w:rPr>
          <w:rFonts w:hint="eastAsia" w:ascii="宋体" w:hAnsi="宋体"/>
          <w:szCs w:val="21"/>
        </w:rPr>
        <w:t>月，视其单位性质提供（事业单位附事业编制证明文件，其余情况附社会保险缴费机构出具的缴费单，缴费单位须为竞争性磋商供应商单位名称一致，如为返聘人员的，仅须提供有效的返聘合同），属于有特殊政策扶持情形的地区，亦须出具①国家社会保险部门或其授权设立的第三方机构出具的证明函件，或②该政策文件在网查询的页面截图（须能清晰反映查询网址以供核验），竞争性磋商供应商成立时间至磋商截止时间不足半年的不须提供）。</w:t>
      </w:r>
    </w:p>
    <w:p>
      <w:pPr>
        <w:spacing w:line="400" w:lineRule="exact"/>
        <w:rPr>
          <w:rFonts w:ascii="宋体" w:hAnsi="宋体"/>
          <w:b/>
          <w:szCs w:val="21"/>
        </w:rPr>
      </w:pPr>
      <w:r>
        <w:rPr>
          <w:rFonts w:hint="eastAsia" w:ascii="宋体" w:hAnsi="宋体"/>
          <w:b/>
          <w:szCs w:val="21"/>
        </w:rPr>
        <w:t xml:space="preserve">  </w:t>
      </w:r>
    </w:p>
    <w:p>
      <w:pPr>
        <w:pStyle w:val="8"/>
        <w:rPr>
          <w:sz w:val="28"/>
        </w:rPr>
      </w:pPr>
    </w:p>
    <w:p>
      <w:pPr>
        <w:pStyle w:val="8"/>
        <w:rPr>
          <w:sz w:val="28"/>
        </w:rPr>
      </w:pPr>
    </w:p>
    <w:p>
      <w:pPr>
        <w:rPr>
          <w:sz w:val="24"/>
        </w:rPr>
      </w:pPr>
      <w:r>
        <w:rPr>
          <w:sz w:val="28"/>
        </w:rPr>
        <w:br w:type="page"/>
      </w:r>
      <w:bookmarkStart w:id="104" w:name="十二、售后服务承诺方案（格式）"/>
      <w:bookmarkEnd w:id="104"/>
    </w:p>
    <w:p>
      <w:pPr>
        <w:snapToGrid w:val="0"/>
        <w:spacing w:before="165" w:beforeLines="50" w:after="50" w:line="440" w:lineRule="exact"/>
        <w:rPr>
          <w:rFonts w:ascii="宋体" w:hAnsi="宋体"/>
          <w:b/>
          <w:sz w:val="28"/>
          <w:szCs w:val="28"/>
        </w:rPr>
      </w:pPr>
      <w:bookmarkStart w:id="105" w:name="十三、磋商供应商认为有必要提供的其他资料（如有）。第五章_合同文件"/>
      <w:bookmarkEnd w:id="105"/>
      <w:r>
        <w:rPr>
          <w:rFonts w:hint="eastAsia" w:ascii="宋体" w:hAnsi="宋体"/>
          <w:b/>
          <w:sz w:val="28"/>
          <w:szCs w:val="28"/>
        </w:rPr>
        <w:t xml:space="preserve">十二、磋商供应商认为有必要提供的其他资料（ 如有） </w:t>
      </w:r>
    </w:p>
    <w:p>
      <w:pPr>
        <w:pStyle w:val="8"/>
      </w:pPr>
    </w:p>
    <w:p>
      <w:pPr>
        <w:snapToGrid w:val="0"/>
        <w:spacing w:before="50" w:after="165" w:afterLines="50" w:line="400" w:lineRule="exact"/>
        <w:jc w:val="left"/>
        <w:rPr>
          <w:rFonts w:ascii="宋体" w:hAnsi="宋体"/>
          <w:b/>
          <w:sz w:val="24"/>
        </w:rPr>
      </w:pPr>
      <w:bookmarkStart w:id="106" w:name="_Toc19798_WPSOffice_Level1"/>
      <w:r>
        <w:rPr>
          <w:rFonts w:hint="eastAsia" w:ascii="宋体" w:hAnsi="宋体"/>
          <w:b/>
          <w:sz w:val="24"/>
        </w:rPr>
        <w:t>1.中小企业声明函（格式）：</w:t>
      </w:r>
      <w:bookmarkEnd w:id="95"/>
      <w:bookmarkEnd w:id="106"/>
    </w:p>
    <w:p>
      <w:pPr>
        <w:autoSpaceDE w:val="0"/>
        <w:autoSpaceDN w:val="0"/>
        <w:snapToGrid w:val="0"/>
        <w:spacing w:before="50" w:after="165" w:afterLines="50"/>
        <w:jc w:val="left"/>
        <w:textAlignment w:val="bottom"/>
        <w:rPr>
          <w:rFonts w:ascii="宋体" w:hAnsi="宋体"/>
          <w:sz w:val="24"/>
        </w:rPr>
      </w:pPr>
    </w:p>
    <w:p>
      <w:pPr>
        <w:spacing w:after="240" w:line="360" w:lineRule="atLeast"/>
        <w:ind w:firstLine="480"/>
        <w:jc w:val="center"/>
        <w:rPr>
          <w:rFonts w:ascii="宋体" w:hAnsi="宋体" w:cs="宋体"/>
          <w:kern w:val="0"/>
          <w:sz w:val="24"/>
        </w:rPr>
      </w:pPr>
      <w:r>
        <w:rPr>
          <w:rFonts w:hint="eastAsia" w:ascii="宋体" w:hAnsi="宋体" w:cs="宋体"/>
          <w:kern w:val="0"/>
          <w:sz w:val="24"/>
        </w:rPr>
        <w:t>中小企业声明函 </w:t>
      </w:r>
    </w:p>
    <w:p>
      <w:pPr>
        <w:widowControl/>
        <w:spacing w:after="240" w:line="360" w:lineRule="atLeast"/>
        <w:ind w:firstLine="480"/>
        <w:jc w:val="left"/>
        <w:rPr>
          <w:rFonts w:ascii="宋体" w:hAnsi="宋体" w:cs="宋体"/>
          <w:kern w:val="0"/>
          <w:sz w:val="24"/>
        </w:rPr>
      </w:pPr>
      <w:r>
        <w:rPr>
          <w:rFonts w:hint="eastAsia" w:ascii="宋体" w:hAnsi="宋体" w:cs="宋体"/>
          <w:kern w:val="0"/>
          <w:sz w:val="24"/>
        </w:rPr>
        <w:t>本公司郑重声明，根据《政府采购促进中小企业发展暂行办法》（财库[2011]181号）的规定，本公司为______（请填写：中型、小型、微型）企业。即，本公司同时满足以下条件：</w:t>
      </w:r>
    </w:p>
    <w:p>
      <w:pPr>
        <w:widowControl/>
        <w:spacing w:after="240" w:line="360" w:lineRule="atLeast"/>
        <w:ind w:firstLine="480"/>
        <w:jc w:val="left"/>
        <w:rPr>
          <w:rFonts w:ascii="宋体" w:hAnsi="宋体" w:cs="宋体"/>
          <w:kern w:val="0"/>
          <w:sz w:val="24"/>
        </w:rPr>
      </w:pPr>
      <w:r>
        <w:rPr>
          <w:rFonts w:hint="eastAsia" w:ascii="宋体" w:hAnsi="宋体" w:cs="宋体"/>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pacing w:after="240" w:line="360" w:lineRule="atLeast"/>
        <w:ind w:firstLine="480"/>
        <w:jc w:val="left"/>
        <w:rPr>
          <w:rFonts w:ascii="宋体" w:hAnsi="宋体" w:cs="宋体"/>
          <w:kern w:val="0"/>
          <w:sz w:val="24"/>
        </w:rPr>
      </w:pPr>
      <w:r>
        <w:rPr>
          <w:rFonts w:hint="eastAsia" w:ascii="宋体" w:hAnsi="宋体" w:cs="宋体"/>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after="240" w:line="360" w:lineRule="atLeast"/>
        <w:ind w:firstLine="480"/>
        <w:jc w:val="left"/>
        <w:rPr>
          <w:rFonts w:ascii="宋体" w:hAnsi="宋体" w:cs="宋体"/>
          <w:kern w:val="0"/>
          <w:sz w:val="24"/>
        </w:rPr>
      </w:pPr>
      <w:r>
        <w:rPr>
          <w:rFonts w:hint="eastAsia" w:ascii="宋体" w:hAnsi="宋体" w:cs="宋体"/>
          <w:kern w:val="0"/>
          <w:sz w:val="24"/>
        </w:rPr>
        <w:t>本公司对上述声明的真实性负责。如有虚假，将依法承担相应责任。</w:t>
      </w:r>
    </w:p>
    <w:p>
      <w:pPr>
        <w:pStyle w:val="9"/>
        <w:spacing w:line="400" w:lineRule="exact"/>
        <w:rPr>
          <w:rFonts w:hAnsi="宋体"/>
          <w:szCs w:val="21"/>
          <w:u w:val="single"/>
        </w:rPr>
      </w:pPr>
      <w:r>
        <w:rPr>
          <w:rFonts w:hint="eastAsia" w:hAnsi="宋体" w:cs="宋体"/>
          <w:kern w:val="0"/>
          <w:sz w:val="24"/>
        </w:rPr>
        <w:t> 　　　　　　　　　　　　　　　　　　</w:t>
      </w:r>
      <w:r>
        <w:rPr>
          <w:rFonts w:hint="eastAsia" w:hAnsi="宋体"/>
          <w:szCs w:val="21"/>
        </w:rPr>
        <w:t>竞争性磋商供应商名称（加盖公章）：</w:t>
      </w:r>
      <w:r>
        <w:rPr>
          <w:rFonts w:hint="eastAsia" w:hAnsi="宋体"/>
          <w:szCs w:val="21"/>
          <w:u w:val="single"/>
        </w:rPr>
        <w:t xml:space="preserve">                   </w:t>
      </w:r>
    </w:p>
    <w:p>
      <w:pPr>
        <w:pStyle w:val="9"/>
        <w:spacing w:line="400" w:lineRule="exact"/>
        <w:ind w:firstLine="1470" w:firstLineChars="700"/>
        <w:jc w:val="center"/>
        <w:rPr>
          <w:rFonts w:hAnsi="宋体"/>
          <w:szCs w:val="21"/>
        </w:rPr>
      </w:pPr>
      <w:r>
        <w:rPr>
          <w:rFonts w:hint="eastAsia" w:hAnsi="宋体"/>
          <w:szCs w:val="21"/>
        </w:rPr>
        <w:t>法定代表人/负责人或授权委托代理人签字：</w:t>
      </w:r>
    </w:p>
    <w:p>
      <w:pPr>
        <w:pStyle w:val="9"/>
        <w:spacing w:line="400" w:lineRule="exact"/>
        <w:jc w:val="right"/>
        <w:rPr>
          <w:rFonts w:hAnsi="宋体"/>
          <w:szCs w:val="21"/>
        </w:rPr>
      </w:pPr>
      <w:r>
        <w:rPr>
          <w:rFonts w:hint="eastAsia" w:hAnsi="宋体"/>
          <w:szCs w:val="21"/>
        </w:rPr>
        <w:t>日期：</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w:t>
      </w:r>
    </w:p>
    <w:p>
      <w:pPr>
        <w:widowControl/>
        <w:spacing w:after="240" w:line="360" w:lineRule="atLeast"/>
        <w:ind w:firstLine="480"/>
        <w:jc w:val="left"/>
        <w:rPr>
          <w:rFonts w:ascii="宋体" w:hAnsi="宋体" w:cs="宋体"/>
          <w:kern w:val="0"/>
          <w:sz w:val="24"/>
        </w:rPr>
      </w:pPr>
    </w:p>
    <w:p>
      <w:pPr>
        <w:pStyle w:val="9"/>
        <w:spacing w:line="400" w:lineRule="exact"/>
        <w:ind w:firstLine="422" w:firstLineChars="200"/>
        <w:rPr>
          <w:b/>
          <w:szCs w:val="21"/>
        </w:rPr>
      </w:pPr>
      <w:r>
        <w:rPr>
          <w:rFonts w:hint="eastAsia"/>
          <w:b/>
          <w:szCs w:val="21"/>
        </w:rPr>
        <w:t>备注：本声明后须附加盖磋商供应商单位公章的以下有效证明材料，未能提供或所提供材料不齐全的将不能获得“小型、微型企业”生产产品相应部分的评标价格折算。</w:t>
      </w:r>
    </w:p>
    <w:p>
      <w:pPr>
        <w:pStyle w:val="9"/>
        <w:spacing w:line="400" w:lineRule="exact"/>
        <w:ind w:firstLine="420" w:firstLineChars="200"/>
        <w:rPr>
          <w:szCs w:val="21"/>
        </w:rPr>
      </w:pPr>
      <w:r>
        <w:rPr>
          <w:rFonts w:hint="eastAsia"/>
          <w:szCs w:val="21"/>
        </w:rPr>
        <w:t>1.相关部门（工信部门或工商部门或磋商供应商所属行业协会）授予的磋商产品制造商（生产厂家）为“小型、微型企业”的证明材料；</w:t>
      </w:r>
    </w:p>
    <w:p>
      <w:pPr>
        <w:pStyle w:val="9"/>
        <w:spacing w:line="400" w:lineRule="exact"/>
        <w:ind w:firstLine="420" w:firstLineChars="200"/>
        <w:rPr>
          <w:szCs w:val="21"/>
        </w:rPr>
      </w:pPr>
      <w:r>
        <w:rPr>
          <w:rFonts w:hint="eastAsia"/>
          <w:szCs w:val="21"/>
        </w:rPr>
        <w:t>2.磋商产品制造商在小微企业信用信息共享平台（</w:t>
      </w:r>
      <w:r>
        <w:rPr>
          <w:szCs w:val="21"/>
        </w:rPr>
        <w:t>http://xwqy.gsxt.gov.cn</w:t>
      </w:r>
      <w:r>
        <w:rPr>
          <w:rFonts w:hint="eastAsia"/>
          <w:szCs w:val="21"/>
        </w:rPr>
        <w:t>）的所属“小型、微型企业”登记信息网页打印页面（须含有查询网址信息和打印时间且须在本项目竞争性磋商文件发售时间之后）。</w:t>
      </w:r>
    </w:p>
    <w:p>
      <w:pPr>
        <w:spacing w:line="460" w:lineRule="exact"/>
        <w:ind w:firstLine="482" w:firstLineChars="200"/>
        <w:rPr>
          <w:rFonts w:ascii="宋体" w:hAnsi="宋体"/>
          <w:b/>
          <w:sz w:val="24"/>
        </w:rPr>
      </w:pPr>
    </w:p>
    <w:p>
      <w:pPr>
        <w:pStyle w:val="8"/>
        <w:rPr>
          <w:rFonts w:ascii="宋体" w:hAnsi="宋体"/>
          <w:sz w:val="24"/>
        </w:rPr>
      </w:pPr>
    </w:p>
    <w:p>
      <w:pPr>
        <w:pStyle w:val="8"/>
        <w:rPr>
          <w:rFonts w:ascii="宋体" w:hAnsi="宋体"/>
          <w:sz w:val="24"/>
        </w:rPr>
      </w:pPr>
    </w:p>
    <w:p>
      <w:pPr>
        <w:pStyle w:val="8"/>
        <w:rPr>
          <w:rFonts w:ascii="宋体" w:hAnsi="宋体"/>
          <w:sz w:val="24"/>
        </w:rPr>
      </w:pPr>
    </w:p>
    <w:p>
      <w:pPr>
        <w:pStyle w:val="8"/>
        <w:rPr>
          <w:rFonts w:ascii="宋体" w:hAnsi="宋体"/>
          <w:sz w:val="24"/>
        </w:rPr>
      </w:pPr>
    </w:p>
    <w:p>
      <w:pPr>
        <w:snapToGrid w:val="0"/>
        <w:spacing w:before="50" w:after="165" w:afterLines="50" w:line="400" w:lineRule="exact"/>
        <w:jc w:val="left"/>
        <w:rPr>
          <w:rFonts w:ascii="宋体" w:hAnsi="宋体"/>
          <w:b/>
          <w:sz w:val="24"/>
        </w:rPr>
      </w:pPr>
    </w:p>
    <w:p>
      <w:pPr>
        <w:pStyle w:val="8"/>
      </w:pPr>
    </w:p>
    <w:p>
      <w:pPr>
        <w:spacing w:line="400" w:lineRule="exact"/>
        <w:jc w:val="center"/>
        <w:rPr>
          <w:rFonts w:ascii="黑体" w:hAnsi="宋体" w:eastAsia="黑体"/>
          <w:b/>
          <w:sz w:val="28"/>
          <w:szCs w:val="28"/>
        </w:rPr>
      </w:pPr>
      <w:bookmarkStart w:id="107" w:name="_Toc24070_WPSOffice_Level1"/>
      <w:bookmarkStart w:id="108" w:name="_Toc14389_WPSOffice_Level2"/>
      <w:r>
        <w:rPr>
          <w:rFonts w:hint="eastAsia" w:ascii="宋体" w:hAnsi="宋体"/>
          <w:b/>
          <w:sz w:val="24"/>
        </w:rPr>
        <w:t>2.磋商供应商完成本项目成本报价分析表</w:t>
      </w:r>
      <w:bookmarkEnd w:id="107"/>
    </w:p>
    <w:tbl>
      <w:tblPr>
        <w:tblStyle w:val="15"/>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3699"/>
        <w:gridCol w:w="2210"/>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19" w:type="dxa"/>
            <w:vAlign w:val="center"/>
          </w:tcPr>
          <w:p>
            <w:pPr>
              <w:spacing w:line="300" w:lineRule="exact"/>
              <w:jc w:val="center"/>
              <w:rPr>
                <w:rFonts w:ascii="宋体"/>
                <w:szCs w:val="21"/>
              </w:rPr>
            </w:pPr>
            <w:r>
              <w:rPr>
                <w:rFonts w:hint="eastAsia" w:ascii="宋体" w:hAnsi="宋体"/>
                <w:szCs w:val="21"/>
              </w:rPr>
              <w:t>序号</w:t>
            </w:r>
          </w:p>
        </w:tc>
        <w:tc>
          <w:tcPr>
            <w:tcW w:w="3699" w:type="dxa"/>
            <w:vAlign w:val="center"/>
          </w:tcPr>
          <w:p>
            <w:pPr>
              <w:spacing w:line="300" w:lineRule="exact"/>
              <w:jc w:val="center"/>
              <w:rPr>
                <w:rFonts w:ascii="宋体"/>
                <w:szCs w:val="21"/>
              </w:rPr>
            </w:pPr>
            <w:r>
              <w:rPr>
                <w:rFonts w:hint="eastAsia" w:ascii="宋体" w:hAnsi="宋体"/>
                <w:szCs w:val="21"/>
              </w:rPr>
              <w:t>名称</w:t>
            </w:r>
          </w:p>
        </w:tc>
        <w:tc>
          <w:tcPr>
            <w:tcW w:w="2210" w:type="dxa"/>
            <w:vAlign w:val="center"/>
          </w:tcPr>
          <w:p>
            <w:pPr>
              <w:spacing w:line="300" w:lineRule="exact"/>
              <w:jc w:val="center"/>
              <w:rPr>
                <w:rFonts w:ascii="宋体"/>
                <w:szCs w:val="21"/>
              </w:rPr>
            </w:pPr>
            <w:r>
              <w:rPr>
                <w:rFonts w:hint="eastAsia" w:ascii="宋体" w:hAnsi="宋体"/>
                <w:szCs w:val="21"/>
              </w:rPr>
              <w:t>费用</w:t>
            </w:r>
          </w:p>
        </w:tc>
        <w:tc>
          <w:tcPr>
            <w:tcW w:w="2212" w:type="dxa"/>
            <w:vAlign w:val="center"/>
          </w:tcPr>
          <w:p>
            <w:pPr>
              <w:spacing w:line="300" w:lineRule="exact"/>
              <w:jc w:val="center"/>
              <w:rPr>
                <w:rFonts w:ascii="宋体"/>
                <w:szCs w:val="21"/>
              </w:rPr>
            </w:pPr>
            <w:r>
              <w:rPr>
                <w:rFonts w:hint="eastAsia" w:ascii="宋体" w:hAnsi="宋体"/>
                <w:szCs w:val="21"/>
              </w:rPr>
              <w:t>占总费用比例（</w:t>
            </w:r>
            <w:r>
              <w:rPr>
                <w:rFonts w:ascii="宋体" w:hAnsi="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19" w:type="dxa"/>
            <w:vAlign w:val="center"/>
          </w:tcPr>
          <w:p>
            <w:pPr>
              <w:spacing w:line="300" w:lineRule="exact"/>
              <w:jc w:val="center"/>
              <w:rPr>
                <w:rFonts w:ascii="宋体"/>
                <w:szCs w:val="21"/>
              </w:rPr>
            </w:pPr>
            <w:r>
              <w:rPr>
                <w:rFonts w:hint="eastAsia" w:ascii="宋体"/>
                <w:szCs w:val="21"/>
              </w:rPr>
              <w:t>……</w:t>
            </w:r>
          </w:p>
        </w:tc>
        <w:tc>
          <w:tcPr>
            <w:tcW w:w="3699" w:type="dxa"/>
            <w:vAlign w:val="center"/>
          </w:tcPr>
          <w:p>
            <w:pPr>
              <w:spacing w:line="300" w:lineRule="exact"/>
              <w:rPr>
                <w:rFonts w:ascii="宋体"/>
                <w:szCs w:val="21"/>
              </w:rPr>
            </w:pPr>
          </w:p>
        </w:tc>
        <w:tc>
          <w:tcPr>
            <w:tcW w:w="2210" w:type="dxa"/>
            <w:vAlign w:val="center"/>
          </w:tcPr>
          <w:p>
            <w:pPr>
              <w:spacing w:line="300" w:lineRule="exact"/>
              <w:rPr>
                <w:rFonts w:ascii="宋体"/>
                <w:szCs w:val="21"/>
              </w:rPr>
            </w:pPr>
          </w:p>
        </w:tc>
        <w:tc>
          <w:tcPr>
            <w:tcW w:w="2212" w:type="dxa"/>
            <w:vAlign w:val="center"/>
          </w:tcPr>
          <w:p>
            <w:pPr>
              <w:spacing w:line="3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19" w:type="dxa"/>
            <w:vAlign w:val="center"/>
          </w:tcPr>
          <w:p>
            <w:pPr>
              <w:spacing w:line="300" w:lineRule="exact"/>
              <w:jc w:val="center"/>
              <w:rPr>
                <w:rFonts w:ascii="宋体"/>
                <w:szCs w:val="21"/>
              </w:rPr>
            </w:pPr>
            <w:r>
              <w:rPr>
                <w:rFonts w:hint="eastAsia" w:ascii="宋体"/>
                <w:szCs w:val="21"/>
              </w:rPr>
              <w:t>N</w:t>
            </w:r>
          </w:p>
        </w:tc>
        <w:tc>
          <w:tcPr>
            <w:tcW w:w="3699" w:type="dxa"/>
            <w:vAlign w:val="center"/>
          </w:tcPr>
          <w:p>
            <w:pPr>
              <w:spacing w:line="300" w:lineRule="exact"/>
              <w:rPr>
                <w:rFonts w:ascii="宋体"/>
                <w:szCs w:val="21"/>
              </w:rPr>
            </w:pPr>
          </w:p>
        </w:tc>
        <w:tc>
          <w:tcPr>
            <w:tcW w:w="2210" w:type="dxa"/>
            <w:vAlign w:val="center"/>
          </w:tcPr>
          <w:p>
            <w:pPr>
              <w:spacing w:line="300" w:lineRule="exact"/>
              <w:rPr>
                <w:rFonts w:ascii="宋体"/>
                <w:szCs w:val="21"/>
              </w:rPr>
            </w:pPr>
          </w:p>
        </w:tc>
        <w:tc>
          <w:tcPr>
            <w:tcW w:w="2212" w:type="dxa"/>
            <w:vAlign w:val="center"/>
          </w:tcPr>
          <w:p>
            <w:pPr>
              <w:spacing w:line="3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8740" w:type="dxa"/>
            <w:gridSpan w:val="4"/>
            <w:vAlign w:val="center"/>
          </w:tcPr>
          <w:p>
            <w:pPr>
              <w:spacing w:line="300" w:lineRule="exact"/>
              <w:rPr>
                <w:rFonts w:ascii="宋体"/>
                <w:szCs w:val="21"/>
              </w:rPr>
            </w:pPr>
            <w:r>
              <w:rPr>
                <w:rFonts w:hint="eastAsia" w:ascii="宋体" w:hAnsi="宋体"/>
                <w:szCs w:val="21"/>
              </w:rPr>
              <w:t>备注：以上费用包括了实施和完成本项目的货物（采购货物、随配附件、备品备件、工具、运抵指定交货地点的费用）和服务（后续服务（检测、项目跟踪、培训等）和所有工作量及其相关配套内容的全套文件（检测文件、项目跟踪文件、项目设备使用解析文件和服务项目成果资料汇编文件等）编制）以及税金等其它所有成本的全部费用。</w:t>
            </w:r>
          </w:p>
        </w:tc>
      </w:tr>
    </w:tbl>
    <w:p>
      <w:pPr>
        <w:spacing w:line="400" w:lineRule="exact"/>
        <w:rPr>
          <w:rFonts w:ascii="宋体" w:hAnsi="宋体" w:cs="宋体"/>
          <w:szCs w:val="21"/>
        </w:rPr>
      </w:pPr>
      <w:r>
        <w:rPr>
          <w:rFonts w:hint="eastAsia" w:ascii="宋体" w:hAnsi="宋体" w:cs="宋体"/>
          <w:szCs w:val="21"/>
        </w:rPr>
        <w:t>备注：本表后附加盖竞争性磋商供应商公章的以下有效材料复印件（（1）、（2）两项均须提供）：</w:t>
      </w:r>
    </w:p>
    <w:p>
      <w:pPr>
        <w:spacing w:line="400" w:lineRule="exact"/>
        <w:ind w:firstLine="420" w:firstLineChars="200"/>
        <w:rPr>
          <w:rFonts w:ascii="宋体" w:hAnsi="宋体" w:cs="宋体"/>
          <w:szCs w:val="21"/>
        </w:rPr>
      </w:pPr>
      <w:r>
        <w:rPr>
          <w:rFonts w:hint="eastAsia" w:ascii="宋体" w:hAnsi="宋体" w:cs="宋体"/>
          <w:szCs w:val="21"/>
        </w:rPr>
        <w:t>（1）竞争性磋商供应商2017年度—2019年度经具备审计资质的第三方机构出具的财务审计情况：竞争性磋商供应商2017年度—2019年度经具备审计资质的第三方机构出具的审计报告（内容至少须含有其固定资产成本及折旧、管理成本、人工费成本（如人员工资、奖金、福利及差旅等费用，必须根据竞争性磋商供应商所在省（自治区、直辖市）政府部门或者人力资源社会保障部门公布的关于2019年竞争性磋商供应商所在地（以其《营业执照》上载明的注册地为准）最低工资标准相关文件要求编制，且附政府机构税务部门为其拟派本项目人员开具的连续近3个月（说明：时间为2020年0</w:t>
      </w:r>
      <w:r>
        <w:rPr>
          <w:rFonts w:ascii="宋体" w:hAnsi="宋体" w:cs="宋体"/>
          <w:szCs w:val="21"/>
        </w:rPr>
        <w:t>5</w:t>
      </w:r>
      <w:r>
        <w:rPr>
          <w:rFonts w:hint="eastAsia" w:ascii="宋体" w:hAnsi="宋体" w:cs="宋体"/>
          <w:szCs w:val="21"/>
        </w:rPr>
        <w:t>月至2020年0</w:t>
      </w:r>
      <w:r>
        <w:rPr>
          <w:rFonts w:ascii="宋体" w:hAnsi="宋体" w:cs="宋体"/>
          <w:szCs w:val="21"/>
        </w:rPr>
        <w:t>7</w:t>
      </w:r>
      <w:r>
        <w:rPr>
          <w:rFonts w:hint="eastAsia" w:ascii="宋体" w:hAnsi="宋体" w:cs="宋体"/>
          <w:szCs w:val="21"/>
        </w:rPr>
        <w:t>月,属于有特殊政策扶持情形的地区，亦须出具①国家税务部门或其授权设立的第三方机构出具的证明函件，或②该政策文件在网查询的页面截图（须能清晰反映查询网址以供核验））依法缴纳个人所得税或依法免缴个人所得税的凭证作为参考依据）、税收（必须提供近一年度（2019年度）不少于3个项目企业年度税务缴纳凭证作为参考依据）复印件或扫描件或传真件。</w:t>
      </w:r>
    </w:p>
    <w:p>
      <w:pPr>
        <w:spacing w:line="400" w:lineRule="exact"/>
        <w:ind w:firstLine="420" w:firstLineChars="200"/>
        <w:rPr>
          <w:rFonts w:ascii="宋体" w:hAnsi="宋体" w:cs="宋体"/>
          <w:szCs w:val="21"/>
        </w:rPr>
      </w:pPr>
      <w:r>
        <w:rPr>
          <w:rFonts w:hint="eastAsia" w:ascii="宋体" w:hAnsi="宋体" w:cs="宋体"/>
          <w:szCs w:val="21"/>
        </w:rPr>
        <w:t>（2）成功案例：</w:t>
      </w:r>
    </w:p>
    <w:p>
      <w:pPr>
        <w:spacing w:line="400" w:lineRule="exact"/>
        <w:ind w:firstLine="420" w:firstLineChars="200"/>
        <w:rPr>
          <w:rFonts w:ascii="宋体" w:hAnsi="宋体" w:cs="宋体"/>
          <w:szCs w:val="21"/>
        </w:rPr>
      </w:pPr>
      <w:r>
        <w:rPr>
          <w:rFonts w:hint="eastAsia" w:ascii="宋体" w:hAnsi="宋体" w:cs="宋体"/>
          <w:szCs w:val="21"/>
        </w:rPr>
        <w:t>①竞争性磋商供应商以此让利幅度完成过质量合格的类似项目：竞争性磋商供应商有3个及以上且让利幅度（让利幅度=项目合同价÷项目最高投标限价（招标控制价））不低于其对本项目报价的让利幅度的类似项目业绩（对应本对应本《竞争性磋商文件》第二章“竞争性磋商供应商须知——竞争性磋商供应商知前附表——《响应文件》编制注意事项——3.类似项目业绩说明”）已证明其以等量及以上让利幅度完成过质量合格的类似项目（有成功案例），否则视为其报价存在服务风险，未能有足够类似经验承载项目运行，</w:t>
      </w:r>
      <w:r>
        <w:rPr>
          <w:rFonts w:hint="eastAsia" w:ascii="宋体" w:hAnsi="宋体" w:cs="宋体"/>
          <w:b/>
          <w:szCs w:val="21"/>
        </w:rPr>
        <w:t>其《响应文件》（竞标）作否决（废标）处理</w:t>
      </w:r>
      <w:r>
        <w:rPr>
          <w:rFonts w:hint="eastAsia" w:ascii="宋体" w:hAnsi="宋体" w:cs="宋体"/>
          <w:szCs w:val="21"/>
        </w:rPr>
        <w:t>。</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pStyle w:val="9"/>
        <w:spacing w:line="400" w:lineRule="exact"/>
        <w:rPr>
          <w:rFonts w:hAnsi="宋体"/>
          <w:szCs w:val="21"/>
          <w:u w:val="single"/>
        </w:rPr>
      </w:pPr>
      <w:r>
        <w:rPr>
          <w:rFonts w:hint="eastAsia" w:hAnsi="宋体"/>
          <w:szCs w:val="21"/>
        </w:rPr>
        <w:t>竞争性磋商供应商名称：</w:t>
      </w:r>
      <w:r>
        <w:rPr>
          <w:rFonts w:hint="eastAsia" w:hAnsi="宋体"/>
          <w:szCs w:val="21"/>
          <w:u w:val="single"/>
        </w:rPr>
        <w:t xml:space="preserve">                             </w:t>
      </w:r>
      <w:r>
        <w:rPr>
          <w:rFonts w:hint="eastAsia" w:hAnsi="宋体"/>
          <w:szCs w:val="21"/>
        </w:rPr>
        <w:t>（加盖单位公章）</w:t>
      </w:r>
    </w:p>
    <w:p>
      <w:pPr>
        <w:pStyle w:val="9"/>
        <w:spacing w:line="400" w:lineRule="exact"/>
        <w:rPr>
          <w:rFonts w:hAnsi="宋体"/>
          <w:szCs w:val="21"/>
        </w:rPr>
      </w:pPr>
      <w:r>
        <w:rPr>
          <w:rFonts w:hint="eastAsia" w:hAnsi="宋体"/>
          <w:szCs w:val="21"/>
        </w:rPr>
        <w:t>法定代表人/负责人或授权委托代理人签字：</w:t>
      </w:r>
      <w:r>
        <w:rPr>
          <w:rFonts w:hint="eastAsia" w:hAnsi="宋体"/>
          <w:szCs w:val="21"/>
          <w:u w:val="single"/>
        </w:rPr>
        <w:t xml:space="preserve">                           </w:t>
      </w:r>
    </w:p>
    <w:p>
      <w:pPr>
        <w:pStyle w:val="9"/>
        <w:spacing w:line="400" w:lineRule="exact"/>
        <w:rPr>
          <w:szCs w:val="21"/>
        </w:rPr>
      </w:pPr>
      <w:r>
        <w:rPr>
          <w:rFonts w:hint="eastAsia"/>
          <w:szCs w:val="21"/>
        </w:rPr>
        <w:t>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pStyle w:val="9"/>
        <w:spacing w:line="400" w:lineRule="exact"/>
        <w:rPr>
          <w:rFonts w:hAnsi="宋体"/>
        </w:rPr>
      </w:pPr>
      <w:r>
        <w:br w:type="page"/>
      </w:r>
    </w:p>
    <w:p>
      <w:pPr>
        <w:snapToGrid w:val="0"/>
        <w:spacing w:before="50" w:after="165" w:afterLines="50" w:line="400" w:lineRule="exact"/>
        <w:jc w:val="left"/>
        <w:rPr>
          <w:rFonts w:ascii="宋体" w:hAnsi="宋体"/>
          <w:b/>
          <w:sz w:val="24"/>
        </w:rPr>
      </w:pPr>
      <w:bookmarkStart w:id="109" w:name="_Toc8439_WPSOffice_Level1"/>
      <w:r>
        <w:rPr>
          <w:rFonts w:hint="eastAsia" w:ascii="宋体" w:hAnsi="宋体"/>
          <w:b/>
          <w:sz w:val="24"/>
        </w:rPr>
        <w:t>3.监狱企业的证明文件</w:t>
      </w:r>
      <w:bookmarkEnd w:id="108"/>
      <w:bookmarkEnd w:id="109"/>
    </w:p>
    <w:p>
      <w:pPr>
        <w:snapToGrid w:val="0"/>
        <w:spacing w:before="50" w:after="165" w:afterLines="50" w:line="400" w:lineRule="exact"/>
        <w:jc w:val="left"/>
        <w:rPr>
          <w:rFonts w:ascii="宋体" w:hAnsi="宋体"/>
          <w:b/>
          <w:sz w:val="24"/>
        </w:rPr>
      </w:pPr>
    </w:p>
    <w:p>
      <w:pPr>
        <w:pStyle w:val="8"/>
        <w:rPr>
          <w:rFonts w:ascii="宋体" w:hAnsi="宋体"/>
          <w:sz w:val="24"/>
        </w:rPr>
      </w:pPr>
    </w:p>
    <w:p>
      <w:pPr>
        <w:pStyle w:val="8"/>
        <w:rPr>
          <w:rFonts w:ascii="宋体" w:hAnsi="宋体"/>
          <w:sz w:val="24"/>
        </w:rPr>
      </w:pPr>
    </w:p>
    <w:p>
      <w:pPr>
        <w:snapToGrid w:val="0"/>
        <w:spacing w:before="50" w:after="165" w:afterLines="50" w:line="400" w:lineRule="exact"/>
        <w:jc w:val="left"/>
        <w:rPr>
          <w:rFonts w:ascii="宋体" w:hAnsi="宋体"/>
          <w:b/>
          <w:sz w:val="24"/>
        </w:rPr>
      </w:pPr>
      <w:bookmarkStart w:id="110" w:name="_Toc10963_WPSOffice_Level1"/>
      <w:bookmarkStart w:id="111" w:name="_Toc10610_WPSOffice_Level2"/>
      <w:bookmarkStart w:id="112" w:name="OLE_LINK14"/>
      <w:bookmarkStart w:id="113" w:name="OLE_LINK13"/>
      <w:r>
        <w:rPr>
          <w:rFonts w:hint="eastAsia" w:ascii="宋体" w:hAnsi="宋体"/>
          <w:b/>
          <w:sz w:val="24"/>
        </w:rPr>
        <w:t>4.残疾人福利性单位声明函（格式）：</w:t>
      </w:r>
      <w:bookmarkEnd w:id="110"/>
      <w:bookmarkEnd w:id="111"/>
    </w:p>
    <w:p>
      <w:pPr>
        <w:snapToGrid w:val="0"/>
        <w:spacing w:before="50" w:after="165" w:afterLines="50" w:line="400" w:lineRule="exact"/>
        <w:jc w:val="left"/>
        <w:rPr>
          <w:rFonts w:ascii="宋体" w:hAnsi="宋体"/>
          <w:b/>
          <w:sz w:val="24"/>
        </w:rPr>
      </w:pPr>
    </w:p>
    <w:p>
      <w:pPr>
        <w:spacing w:line="588" w:lineRule="exact"/>
        <w:jc w:val="center"/>
        <w:rPr>
          <w:rFonts w:ascii="宋体" w:hAnsi="宋体"/>
          <w:szCs w:val="21"/>
        </w:rPr>
      </w:pPr>
      <w:r>
        <w:rPr>
          <w:rFonts w:hint="eastAsia" w:ascii="宋体" w:hAnsi="宋体"/>
          <w:szCs w:val="21"/>
        </w:rPr>
        <w:t>残疾人福利性单位声明函</w:t>
      </w:r>
    </w:p>
    <w:bookmarkEnd w:id="112"/>
    <w:bookmarkEnd w:id="113"/>
    <w:p>
      <w:pPr>
        <w:spacing w:line="588" w:lineRule="exact"/>
        <w:rPr>
          <w:rFonts w:ascii="宋体" w:hAnsi="宋体"/>
          <w:spacing w:val="6"/>
          <w:szCs w:val="21"/>
        </w:rPr>
      </w:pPr>
    </w:p>
    <w:p>
      <w:pPr>
        <w:spacing w:line="588" w:lineRule="exact"/>
        <w:ind w:firstLine="444" w:firstLineChars="200"/>
        <w:rPr>
          <w:rFonts w:ascii="宋体" w:hAnsi="宋体"/>
          <w:spacing w:val="6"/>
          <w:szCs w:val="21"/>
        </w:rPr>
      </w:pPr>
      <w:r>
        <w:rPr>
          <w:rFonts w:hint="eastAsia" w:ascii="宋体" w:hAnsi="宋体"/>
          <w:spacing w:val="6"/>
          <w:szCs w:val="21"/>
        </w:rPr>
        <w:t>本单位郑重声明，根据《财政部民政部中国残疾人联合会关于促进残疾人就业政府采购政策的通知》（财库</w:t>
      </w:r>
      <w:r>
        <w:rPr>
          <w:rFonts w:hint="eastAsia" w:ascii="宋体" w:hAnsi="宋体"/>
          <w:szCs w:val="21"/>
        </w:rPr>
        <w:t>〔</w:t>
      </w:r>
      <w:r>
        <w:rPr>
          <w:rFonts w:ascii="宋体" w:hAnsi="宋体"/>
          <w:szCs w:val="21"/>
        </w:rPr>
        <w:t>2017</w:t>
      </w:r>
      <w:r>
        <w:rPr>
          <w:rFonts w:hint="eastAsia" w:ascii="宋体" w:hAnsi="宋体"/>
          <w:szCs w:val="21"/>
        </w:rPr>
        <w:t>〕</w:t>
      </w:r>
      <w:r>
        <w:rPr>
          <w:rFonts w:ascii="宋体" w:hAnsi="宋体"/>
          <w:szCs w:val="21"/>
        </w:rPr>
        <w:t xml:space="preserve"> 141</w:t>
      </w:r>
      <w:r>
        <w:rPr>
          <w:rFonts w:hint="eastAsia" w:ascii="宋体" w:hAnsi="宋体"/>
          <w:spacing w:val="6"/>
          <w:szCs w:val="21"/>
        </w:rPr>
        <w:t>号）的规定，本单位为符合条件的残疾人福利性单位，且本单位参加</w:t>
      </w:r>
      <w:r>
        <w:rPr>
          <w:rFonts w:ascii="宋体" w:hAnsi="宋体"/>
          <w:spacing w:val="6"/>
          <w:szCs w:val="21"/>
        </w:rPr>
        <w:t>______</w:t>
      </w:r>
      <w:r>
        <w:rPr>
          <w:rFonts w:hint="eastAsia" w:ascii="宋体" w:hAnsi="宋体"/>
          <w:spacing w:val="6"/>
          <w:szCs w:val="21"/>
        </w:rPr>
        <w:t>单位的</w:t>
      </w:r>
      <w:r>
        <w:rPr>
          <w:rFonts w:ascii="宋体" w:hAnsi="宋体"/>
          <w:spacing w:val="6"/>
          <w:szCs w:val="21"/>
        </w:rPr>
        <w:t>______</w:t>
      </w:r>
      <w:r>
        <w:rPr>
          <w:rFonts w:hint="eastAsia" w:ascii="宋体" w:hAnsi="宋体"/>
          <w:spacing w:val="6"/>
          <w:szCs w:val="21"/>
        </w:rPr>
        <w:t>项目采购活动提供本单位制造的货物（由本单位承担工程</w:t>
      </w:r>
      <w:r>
        <w:rPr>
          <w:rFonts w:ascii="宋体" w:hAnsi="宋体"/>
          <w:spacing w:val="6"/>
          <w:szCs w:val="21"/>
        </w:rPr>
        <w:t>/</w:t>
      </w:r>
      <w:r>
        <w:rPr>
          <w:rFonts w:hint="eastAsia" w:ascii="宋体" w:hAnsi="宋体"/>
          <w:spacing w:val="6"/>
          <w:szCs w:val="21"/>
        </w:rPr>
        <w:t>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pStyle w:val="9"/>
        <w:spacing w:line="400" w:lineRule="exact"/>
        <w:rPr>
          <w:rFonts w:hAnsi="宋体"/>
          <w:szCs w:val="21"/>
          <w:u w:val="single"/>
        </w:rPr>
      </w:pPr>
      <w:r>
        <w:rPr>
          <w:rFonts w:hint="eastAsia" w:hAnsi="宋体"/>
          <w:szCs w:val="21"/>
        </w:rPr>
        <w:t>竞争性磋商供应商名称（加盖公章）：</w:t>
      </w:r>
      <w:r>
        <w:rPr>
          <w:rFonts w:hint="eastAsia" w:hAnsi="宋体"/>
          <w:szCs w:val="21"/>
          <w:u w:val="single"/>
        </w:rPr>
        <w:t xml:space="preserve">                   </w:t>
      </w:r>
    </w:p>
    <w:p>
      <w:pPr>
        <w:pStyle w:val="9"/>
        <w:spacing w:line="400" w:lineRule="exact"/>
        <w:rPr>
          <w:rFonts w:hAnsi="宋体"/>
          <w:szCs w:val="21"/>
        </w:rPr>
      </w:pPr>
      <w:r>
        <w:rPr>
          <w:rFonts w:hint="eastAsia" w:hAnsi="宋体"/>
          <w:szCs w:val="21"/>
        </w:rPr>
        <w:t>法定代表人/负责人或授权委托代理人签字：</w:t>
      </w:r>
      <w:r>
        <w:rPr>
          <w:rFonts w:hint="eastAsia" w:hAnsi="宋体"/>
          <w:szCs w:val="21"/>
          <w:u w:val="single"/>
        </w:rPr>
        <w:t xml:space="preserve">                       </w:t>
      </w:r>
    </w:p>
    <w:p>
      <w:pPr>
        <w:pStyle w:val="9"/>
        <w:spacing w:line="400" w:lineRule="exact"/>
        <w:rPr>
          <w:rFonts w:hAnsi="宋体"/>
          <w:szCs w:val="21"/>
        </w:rPr>
      </w:pPr>
      <w:r>
        <w:rPr>
          <w:rFonts w:hint="eastAsia" w:hAnsi="宋体"/>
          <w:szCs w:val="21"/>
        </w:rPr>
        <w:t>日期：</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w:t>
      </w:r>
    </w:p>
    <w:p>
      <w:pPr>
        <w:tabs>
          <w:tab w:val="left" w:pos="4860"/>
        </w:tabs>
        <w:spacing w:line="588" w:lineRule="exact"/>
        <w:ind w:right="1560" w:firstLine="504" w:firstLineChars="200"/>
        <w:jc w:val="center"/>
        <w:rPr>
          <w:rFonts w:ascii="宋体" w:hAnsi="宋体"/>
          <w:spacing w:val="6"/>
          <w:sz w:val="24"/>
        </w:rPr>
      </w:pPr>
    </w:p>
    <w:p>
      <w:pPr>
        <w:snapToGrid w:val="0"/>
        <w:spacing w:before="50"/>
        <w:jc w:val="left"/>
        <w:rPr>
          <w:rFonts w:ascii="宋体" w:hAnsi="宋体"/>
          <w:b/>
          <w:sz w:val="24"/>
        </w:rPr>
      </w:pPr>
    </w:p>
    <w:p>
      <w:pPr>
        <w:snapToGrid w:val="0"/>
        <w:spacing w:before="50"/>
        <w:jc w:val="left"/>
        <w:rPr>
          <w:rFonts w:ascii="宋体" w:hAnsi="宋体"/>
          <w:b/>
          <w:sz w:val="24"/>
        </w:rPr>
      </w:pPr>
    </w:p>
    <w:p>
      <w:pPr>
        <w:rPr>
          <w:rFonts w:ascii="宋体" w:hAnsi="宋体"/>
          <w:b/>
        </w:rPr>
      </w:pPr>
      <w:r>
        <w:rPr>
          <w:rFonts w:hint="eastAsia" w:ascii="宋体" w:hAnsi="宋体"/>
          <w:b/>
        </w:rPr>
        <w:br w:type="page"/>
      </w:r>
    </w:p>
    <w:p>
      <w:pPr>
        <w:snapToGrid w:val="0"/>
        <w:spacing w:before="50" w:after="165" w:afterLines="50" w:line="400" w:lineRule="exact"/>
        <w:jc w:val="left"/>
        <w:rPr>
          <w:rFonts w:ascii="宋体" w:hAnsi="宋体"/>
          <w:b/>
          <w:sz w:val="24"/>
        </w:rPr>
      </w:pPr>
      <w:bookmarkStart w:id="114" w:name="_Toc16420_WPSOffice_Level1"/>
      <w:bookmarkStart w:id="115" w:name="_Toc14305_WPSOffice_Level2"/>
      <w:r>
        <w:rPr>
          <w:rFonts w:hint="eastAsia" w:ascii="宋体" w:hAnsi="宋体"/>
          <w:b/>
          <w:sz w:val="24"/>
        </w:rPr>
        <w:t>5.广西工业产品声明函</w:t>
      </w:r>
      <w:bookmarkEnd w:id="114"/>
      <w:bookmarkEnd w:id="115"/>
    </w:p>
    <w:p>
      <w:pPr>
        <w:spacing w:line="400" w:lineRule="exact"/>
        <w:rPr>
          <w:rFonts w:ascii="宋体"/>
          <w:szCs w:val="21"/>
        </w:rPr>
      </w:pPr>
    </w:p>
    <w:p>
      <w:pPr>
        <w:spacing w:line="400" w:lineRule="exact"/>
        <w:ind w:firstLine="420" w:firstLineChars="200"/>
        <w:rPr>
          <w:rFonts w:ascii="宋体"/>
          <w:szCs w:val="21"/>
        </w:rPr>
      </w:pPr>
      <w:r>
        <w:rPr>
          <w:rFonts w:hint="eastAsia" w:ascii="宋体"/>
          <w:szCs w:val="21"/>
        </w:rPr>
        <w:t>本公司郑重声明，根据《磋商采购促进广西工业产品产销对接实施细则》的规定，本公司在本次中提供的下述产品为广西工业产品，详情如下：</w:t>
      </w:r>
    </w:p>
    <w:p>
      <w:pPr>
        <w:spacing w:line="400" w:lineRule="exact"/>
        <w:rPr>
          <w:rFonts w:ascii="宋体"/>
          <w:szCs w:val="21"/>
        </w:rPr>
      </w:pPr>
      <w:r>
        <w:rPr>
          <w:rFonts w:hint="eastAsia" w:ascii="宋体"/>
          <w:szCs w:val="21"/>
        </w:rPr>
        <w:t>项目名称：</w:t>
      </w:r>
    </w:p>
    <w:p>
      <w:pPr>
        <w:spacing w:line="400" w:lineRule="exact"/>
        <w:rPr>
          <w:rFonts w:ascii="宋体"/>
          <w:szCs w:val="21"/>
        </w:rPr>
      </w:pPr>
      <w:r>
        <w:rPr>
          <w:rFonts w:hint="eastAsia" w:ascii="宋体"/>
          <w:szCs w:val="21"/>
        </w:rPr>
        <w:t>项目编号：</w:t>
      </w:r>
    </w:p>
    <w:tbl>
      <w:tblPr>
        <w:tblStyle w:val="15"/>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794"/>
        <w:gridCol w:w="1440"/>
        <w:gridCol w:w="720"/>
        <w:gridCol w:w="3420"/>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r>
              <w:rPr>
                <w:rFonts w:hint="eastAsia" w:hAnsi="宋体"/>
                <w:szCs w:val="21"/>
              </w:rPr>
              <w:t>序号</w:t>
            </w:r>
          </w:p>
        </w:tc>
        <w:tc>
          <w:tcPr>
            <w:tcW w:w="1794"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r>
              <w:rPr>
                <w:rFonts w:hint="eastAsia" w:hAnsi="宋体"/>
                <w:szCs w:val="21"/>
              </w:rPr>
              <w:t>产品名称</w:t>
            </w:r>
          </w:p>
        </w:tc>
        <w:tc>
          <w:tcPr>
            <w:tcW w:w="144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r>
              <w:rPr>
                <w:rFonts w:hint="eastAsia" w:hAnsi="宋体"/>
                <w:szCs w:val="21"/>
              </w:rPr>
              <w:t>型号和规格</w:t>
            </w:r>
          </w:p>
        </w:tc>
        <w:tc>
          <w:tcPr>
            <w:tcW w:w="72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r>
              <w:rPr>
                <w:rFonts w:hint="eastAsia" w:hAnsi="宋体"/>
                <w:szCs w:val="21"/>
              </w:rPr>
              <w:t>数量</w:t>
            </w:r>
          </w:p>
        </w:tc>
        <w:tc>
          <w:tcPr>
            <w:tcW w:w="342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r>
              <w:rPr>
                <w:rFonts w:hint="eastAsia" w:hAnsi="宋体"/>
                <w:szCs w:val="21"/>
              </w:rPr>
              <w:t>产品制造商（生产厂家）及原产地</w:t>
            </w:r>
          </w:p>
        </w:tc>
        <w:tc>
          <w:tcPr>
            <w:tcW w:w="90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r>
              <w:rPr>
                <w:rFonts w:hint="eastAsia" w:hAnsi="宋体"/>
                <w:szCs w:val="21"/>
              </w:rPr>
              <w:t>磋商价</w:t>
            </w:r>
          </w:p>
        </w:tc>
        <w:tc>
          <w:tcPr>
            <w:tcW w:w="144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r>
              <w:rPr>
                <w:rFonts w:hint="eastAsia"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4"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r>
              <w:rPr>
                <w:rFonts w:hAnsi="宋体"/>
                <w:szCs w:val="21"/>
              </w:rPr>
              <w:t>1</w:t>
            </w:r>
          </w:p>
        </w:tc>
        <w:tc>
          <w:tcPr>
            <w:tcW w:w="1794"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342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4"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r>
              <w:rPr>
                <w:rFonts w:hAnsi="宋体"/>
                <w:szCs w:val="21"/>
              </w:rPr>
              <w:t>2</w:t>
            </w:r>
          </w:p>
        </w:tc>
        <w:tc>
          <w:tcPr>
            <w:tcW w:w="1794"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342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4"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r>
              <w:rPr>
                <w:rFonts w:hint="eastAsia" w:hAnsi="宋体"/>
                <w:szCs w:val="21"/>
              </w:rPr>
              <w:t>……</w:t>
            </w:r>
          </w:p>
        </w:tc>
        <w:tc>
          <w:tcPr>
            <w:tcW w:w="1794"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342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48" w:type="dxa"/>
            <w:gridSpan w:val="2"/>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r>
              <w:rPr>
                <w:rFonts w:hint="eastAsia" w:hAnsi="宋体"/>
                <w:szCs w:val="21"/>
              </w:rPr>
              <w:t>广西工业产品合计价格：</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c>
          <w:tcPr>
            <w:tcW w:w="3420" w:type="dxa"/>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r>
              <w:rPr>
                <w:rFonts w:hint="eastAsia" w:hAnsi="宋体"/>
                <w:szCs w:val="21"/>
              </w:rPr>
              <w:t>占磋商总价比例：</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pStyle w:val="9"/>
              <w:spacing w:line="300" w:lineRule="exact"/>
              <w:jc w:val="center"/>
              <w:rPr>
                <w:rFonts w:hAnsi="宋体"/>
                <w:szCs w:val="21"/>
              </w:rPr>
            </w:pPr>
          </w:p>
        </w:tc>
      </w:tr>
    </w:tbl>
    <w:p>
      <w:pPr>
        <w:spacing w:line="400" w:lineRule="exact"/>
        <w:ind w:firstLine="420" w:firstLineChars="200"/>
        <w:rPr>
          <w:rFonts w:ascii="宋体"/>
          <w:szCs w:val="21"/>
        </w:rPr>
      </w:pPr>
      <w:r>
        <w:rPr>
          <w:rFonts w:hint="eastAsia" w:ascii="宋体"/>
          <w:szCs w:val="21"/>
        </w:rPr>
        <w:t>本公司对上述声明的真实性负责。如有虚假，将依法承担相应责任。</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kern w:val="0"/>
          <w:szCs w:val="21"/>
        </w:rPr>
      </w:pPr>
      <w:r>
        <w:rPr>
          <w:rFonts w:hint="eastAsia" w:hAnsi="宋体"/>
          <w:szCs w:val="21"/>
        </w:rPr>
        <w:t>竞争性磋商供应商名称：</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w:t>
      </w:r>
      <w:r>
        <w:rPr>
          <w:rFonts w:hint="eastAsia" w:ascii="宋体" w:hAnsi="宋体"/>
          <w:kern w:val="0"/>
          <w:szCs w:val="21"/>
        </w:rPr>
        <w:t>加盖单位公章）</w:t>
      </w:r>
    </w:p>
    <w:p>
      <w:pPr>
        <w:spacing w:line="400" w:lineRule="exact"/>
        <w:rPr>
          <w:rFonts w:ascii="宋体"/>
          <w:kern w:val="0"/>
          <w:szCs w:val="21"/>
        </w:rPr>
      </w:pPr>
      <w:r>
        <w:rPr>
          <w:rFonts w:hint="eastAsia" w:ascii="宋体" w:hAnsi="宋体"/>
          <w:kern w:val="0"/>
          <w:szCs w:val="21"/>
        </w:rPr>
        <w:t>法定代表人/负责人或授权代理人：</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w:t>
      </w:r>
      <w:r>
        <w:rPr>
          <w:rFonts w:hint="eastAsia" w:ascii="宋体" w:hAnsi="宋体"/>
          <w:kern w:val="0"/>
          <w:szCs w:val="21"/>
        </w:rPr>
        <w:t>签字）</w:t>
      </w:r>
    </w:p>
    <w:p>
      <w:pPr>
        <w:pStyle w:val="9"/>
        <w:spacing w:line="400" w:lineRule="exact"/>
        <w:rPr>
          <w:szCs w:val="21"/>
        </w:rPr>
      </w:pPr>
      <w:r>
        <w:rPr>
          <w:rFonts w:hint="eastAsia" w:hAnsi="宋体"/>
          <w:kern w:val="0"/>
          <w:szCs w:val="21"/>
        </w:rPr>
        <w:t>日期：</w:t>
      </w:r>
      <w:r>
        <w:rPr>
          <w:rFonts w:hAnsi="宋体"/>
          <w:kern w:val="0"/>
          <w:szCs w:val="21"/>
          <w:u w:val="single"/>
        </w:rPr>
        <w:t xml:space="preserve">    </w:t>
      </w:r>
      <w:r>
        <w:rPr>
          <w:rFonts w:hint="eastAsia" w:hAnsi="宋体"/>
          <w:kern w:val="0"/>
          <w:szCs w:val="21"/>
        </w:rPr>
        <w:t>年</w:t>
      </w:r>
      <w:r>
        <w:rPr>
          <w:rFonts w:hAnsi="宋体"/>
          <w:kern w:val="0"/>
          <w:szCs w:val="21"/>
          <w:u w:val="single"/>
        </w:rPr>
        <w:t xml:space="preserve">    </w:t>
      </w:r>
      <w:r>
        <w:rPr>
          <w:rFonts w:hint="eastAsia" w:hAnsi="宋体"/>
          <w:kern w:val="0"/>
          <w:szCs w:val="21"/>
        </w:rPr>
        <w:t>月</w:t>
      </w:r>
      <w:r>
        <w:rPr>
          <w:rFonts w:hAnsi="宋体"/>
          <w:kern w:val="0"/>
          <w:szCs w:val="21"/>
          <w:u w:val="single"/>
        </w:rPr>
        <w:t xml:space="preserve">    </w:t>
      </w:r>
      <w:r>
        <w:rPr>
          <w:rFonts w:hint="eastAsia" w:hAnsi="宋体"/>
          <w:kern w:val="0"/>
          <w:szCs w:val="21"/>
        </w:rPr>
        <w:t>日</w:t>
      </w:r>
    </w:p>
    <w:p>
      <w:pPr>
        <w:pStyle w:val="9"/>
        <w:spacing w:line="400" w:lineRule="exact"/>
        <w:rPr>
          <w:rFonts w:hAnsi="宋体"/>
          <w:szCs w:val="21"/>
        </w:rPr>
      </w:pPr>
    </w:p>
    <w:p>
      <w:pPr>
        <w:pStyle w:val="9"/>
        <w:spacing w:line="400" w:lineRule="exact"/>
        <w:rPr>
          <w:szCs w:val="21"/>
        </w:rPr>
      </w:pPr>
      <w:r>
        <w:rPr>
          <w:rFonts w:hint="eastAsia"/>
          <w:szCs w:val="21"/>
        </w:rPr>
        <w:t>说明：</w:t>
      </w:r>
    </w:p>
    <w:p>
      <w:pPr>
        <w:pStyle w:val="9"/>
        <w:spacing w:line="400" w:lineRule="exact"/>
        <w:ind w:firstLine="420" w:firstLineChars="200"/>
        <w:rPr>
          <w:szCs w:val="21"/>
        </w:rPr>
      </w:pPr>
      <w:r>
        <w:rPr>
          <w:rFonts w:hint="eastAsia"/>
          <w:szCs w:val="21"/>
        </w:rPr>
        <w:t>1.本文件所指广西工业产品，是指广西境内生产的工业产品，具体以生产企业的工商营业执照注册所在地为准。</w:t>
      </w:r>
    </w:p>
    <w:p>
      <w:pPr>
        <w:pStyle w:val="9"/>
        <w:spacing w:line="400" w:lineRule="exact"/>
        <w:ind w:firstLine="420" w:firstLineChars="200"/>
        <w:rPr>
          <w:szCs w:val="21"/>
        </w:rPr>
      </w:pPr>
      <w:r>
        <w:rPr>
          <w:rFonts w:hint="eastAsia"/>
          <w:szCs w:val="21"/>
        </w:rPr>
        <w:t>2.本细则所指使用广西工业产品80%以上，是指参加政府采购项目时供货范围中采用广西工业产品的金额占本次磋商或磋商总金额的80%及以上。</w:t>
      </w:r>
    </w:p>
    <w:p>
      <w:pPr>
        <w:pStyle w:val="9"/>
        <w:spacing w:line="400" w:lineRule="exact"/>
        <w:ind w:firstLine="420" w:firstLineChars="200"/>
        <w:rPr>
          <w:szCs w:val="21"/>
        </w:rPr>
      </w:pPr>
      <w:r>
        <w:rPr>
          <w:rFonts w:hint="eastAsia"/>
          <w:szCs w:val="21"/>
        </w:rPr>
        <w:t>3.发现磋商供应商提供虚假材料、履约过程中成交供应商未按《响应文件》《广西工业产品声明函》中使用广西工业产品或者使用广西工业产品未达80%以上的，按照有关法律法规追究其相关责任。</w:t>
      </w:r>
    </w:p>
    <w:p>
      <w:pPr>
        <w:pStyle w:val="9"/>
        <w:ind w:firstLine="210" w:firstLineChars="100"/>
        <w:jc w:val="center"/>
        <w:rPr>
          <w:rFonts w:hAnsi="宋体"/>
          <w:b/>
          <w:sz w:val="36"/>
          <w:szCs w:val="36"/>
        </w:rPr>
      </w:pPr>
      <w:r>
        <w:rPr>
          <w:szCs w:val="21"/>
        </w:rPr>
        <w:br w:type="page"/>
      </w:r>
    </w:p>
    <w:p>
      <w:pPr>
        <w:pStyle w:val="9"/>
        <w:spacing w:line="400" w:lineRule="exact"/>
        <w:jc w:val="center"/>
        <w:outlineLvl w:val="0"/>
        <w:rPr>
          <w:rFonts w:hAnsi="宋体"/>
          <w:szCs w:val="21"/>
        </w:rPr>
      </w:pPr>
      <w:bookmarkStart w:id="116" w:name="_Toc18028"/>
      <w:r>
        <w:rPr>
          <w:rFonts w:hint="eastAsia" w:ascii="黑体" w:hAnsi="宋体" w:eastAsia="黑体"/>
          <w:b/>
          <w:sz w:val="32"/>
          <w:szCs w:val="32"/>
        </w:rPr>
        <w:t>第六章  评标办法和评标标准</w:t>
      </w:r>
      <w:bookmarkEnd w:id="116"/>
    </w:p>
    <w:p>
      <w:pPr>
        <w:pStyle w:val="9"/>
        <w:spacing w:line="400" w:lineRule="exact"/>
        <w:rPr>
          <w:b/>
          <w:szCs w:val="21"/>
        </w:rPr>
      </w:pPr>
    </w:p>
    <w:p>
      <w:pPr>
        <w:pStyle w:val="9"/>
        <w:spacing w:line="480" w:lineRule="exact"/>
        <w:ind w:firstLine="472" w:firstLineChars="196"/>
        <w:jc w:val="left"/>
        <w:outlineLvl w:val="0"/>
        <w:rPr>
          <w:rFonts w:hAnsi="宋体" w:cs="宋体"/>
          <w:b/>
          <w:bCs/>
          <w:sz w:val="24"/>
          <w:szCs w:val="24"/>
        </w:rPr>
      </w:pPr>
      <w:bookmarkStart w:id="117" w:name="_Toc913"/>
      <w:bookmarkStart w:id="118" w:name="_Toc15992"/>
      <w:r>
        <w:rPr>
          <w:rFonts w:hint="eastAsia" w:hAnsi="宋体" w:cs="宋体"/>
          <w:b/>
          <w:bCs/>
          <w:sz w:val="24"/>
          <w:szCs w:val="24"/>
        </w:rPr>
        <w:t>评分办法前附表</w:t>
      </w:r>
      <w:bookmarkEnd w:id="117"/>
      <w:bookmarkEnd w:id="118"/>
    </w:p>
    <w:p>
      <w:pPr>
        <w:pStyle w:val="9"/>
        <w:snapToGrid w:val="0"/>
        <w:spacing w:line="440" w:lineRule="atLeast"/>
        <w:jc w:val="left"/>
        <w:rPr>
          <w:rFonts w:hAnsi="宋体" w:cs="宋体"/>
          <w:sz w:val="24"/>
          <w:szCs w:val="24"/>
        </w:rPr>
      </w:pPr>
    </w:p>
    <w:tbl>
      <w:tblPr>
        <w:tblStyle w:val="15"/>
        <w:tblW w:w="9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145"/>
        <w:gridCol w:w="390"/>
        <w:gridCol w:w="6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87" w:type="dxa"/>
            <w:gridSpan w:val="4"/>
            <w:vAlign w:val="center"/>
          </w:tcPr>
          <w:p>
            <w:pPr>
              <w:widowControl/>
              <w:spacing w:line="3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形式、符合性评审标准：</w:t>
            </w:r>
          </w:p>
          <w:p>
            <w:pPr>
              <w:autoSpaceDE w:val="0"/>
              <w:autoSpaceDN w:val="0"/>
              <w:adjustRightInd w:val="0"/>
              <w:spacing w:line="320" w:lineRule="exact"/>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b/>
                <w:szCs w:val="21"/>
              </w:rPr>
              <w:t xml:space="preserve">   </w:t>
            </w:r>
            <w:r>
              <w:rPr>
                <w:rFonts w:hint="eastAsia" w:asciiTheme="minorEastAsia" w:hAnsiTheme="minorEastAsia" w:eastAsiaTheme="minorEastAsia" w:cstheme="minorEastAsia"/>
                <w:bCs/>
                <w:szCs w:val="21"/>
              </w:rPr>
              <w:t xml:space="preserve"> （以下评审项中缺少任何一项或有任何一项不合格者，其响应文件（竞标）作否决（废标）处理 ，不再进入响应性评审）。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2" w:type="dxa"/>
            <w:gridSpan w:val="2"/>
            <w:shd w:val="clear" w:color="auto" w:fill="BEBEBE" w:themeFill="background1" w:themeFillShade="BF"/>
            <w:vAlign w:val="center"/>
          </w:tcPr>
          <w:p>
            <w:pPr>
              <w:autoSpaceDE w:val="0"/>
              <w:autoSpaceDN w:val="0"/>
              <w:adjustRightInd w:val="0"/>
              <w:spacing w:line="320" w:lineRule="exact"/>
              <w:jc w:val="center"/>
              <w:rPr>
                <w:rFonts w:asciiTheme="majorEastAsia" w:hAnsiTheme="majorEastAsia" w:eastAsiaTheme="majorEastAsia" w:cstheme="majorEastAsia"/>
                <w:b/>
                <w:kern w:val="0"/>
                <w:sz w:val="22"/>
                <w:szCs w:val="22"/>
              </w:rPr>
            </w:pPr>
            <w:r>
              <w:rPr>
                <w:rFonts w:hint="eastAsia" w:asciiTheme="majorEastAsia" w:hAnsiTheme="majorEastAsia" w:eastAsiaTheme="majorEastAsia" w:cstheme="majorEastAsia"/>
                <w:b/>
                <w:kern w:val="0"/>
                <w:sz w:val="22"/>
                <w:szCs w:val="22"/>
              </w:rPr>
              <w:t>评审因素</w:t>
            </w:r>
          </w:p>
        </w:tc>
        <w:tc>
          <w:tcPr>
            <w:tcW w:w="7105" w:type="dxa"/>
            <w:gridSpan w:val="2"/>
            <w:shd w:val="clear" w:color="auto" w:fill="BEBEBE" w:themeFill="background1" w:themeFillShade="BF"/>
            <w:vAlign w:val="center"/>
          </w:tcPr>
          <w:p>
            <w:pPr>
              <w:autoSpaceDE w:val="0"/>
              <w:autoSpaceDN w:val="0"/>
              <w:adjustRightInd w:val="0"/>
              <w:spacing w:line="320" w:lineRule="exact"/>
              <w:jc w:val="center"/>
              <w:rPr>
                <w:rFonts w:asciiTheme="majorEastAsia" w:hAnsiTheme="majorEastAsia" w:eastAsiaTheme="majorEastAsia" w:cstheme="majorEastAsia"/>
                <w:b/>
                <w:kern w:val="0"/>
                <w:sz w:val="22"/>
                <w:szCs w:val="22"/>
              </w:rPr>
            </w:pPr>
            <w:r>
              <w:rPr>
                <w:rFonts w:hint="eastAsia" w:asciiTheme="majorEastAsia" w:hAnsiTheme="majorEastAsia" w:eastAsiaTheme="majorEastAsia" w:cstheme="majorEastAsia"/>
                <w:b/>
                <w:kern w:val="0"/>
                <w:sz w:val="22"/>
                <w:szCs w:val="2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2" w:type="dxa"/>
            <w:gridSpan w:val="2"/>
            <w:vAlign w:val="center"/>
          </w:tcPr>
          <w:p>
            <w:pPr>
              <w:widowControl/>
              <w:autoSpaceDE w:val="0"/>
              <w:autoSpaceDN w:val="0"/>
              <w:adjustRightInd w:val="0"/>
              <w:spacing w:line="300" w:lineRule="exact"/>
              <w:jc w:val="center"/>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b/>
                <w:kern w:val="0"/>
                <w:szCs w:val="21"/>
              </w:rPr>
              <w:t>评审因素</w:t>
            </w:r>
          </w:p>
        </w:tc>
        <w:tc>
          <w:tcPr>
            <w:tcW w:w="7105" w:type="dxa"/>
            <w:gridSpan w:val="2"/>
            <w:vAlign w:val="center"/>
          </w:tcPr>
          <w:p>
            <w:pPr>
              <w:widowControl/>
              <w:autoSpaceDE w:val="0"/>
              <w:autoSpaceDN w:val="0"/>
              <w:adjustRightInd w:val="0"/>
              <w:spacing w:line="300" w:lineRule="exact"/>
              <w:jc w:val="center"/>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b/>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2" w:type="dxa"/>
            <w:gridSpan w:val="2"/>
            <w:vAlign w:val="center"/>
          </w:tcPr>
          <w:p>
            <w:pPr>
              <w:widowControl/>
              <w:autoSpaceDE w:val="0"/>
              <w:autoSpaceDN w:val="0"/>
              <w:adjustRightInd w:val="0"/>
              <w:spacing w:line="300" w:lineRule="exact"/>
              <w:jc w:val="center"/>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kern w:val="0"/>
                <w:szCs w:val="21"/>
              </w:rPr>
              <w:t>竞争性磋商供应商名称</w:t>
            </w:r>
          </w:p>
        </w:tc>
        <w:tc>
          <w:tcPr>
            <w:tcW w:w="7105" w:type="dxa"/>
            <w:gridSpan w:val="2"/>
            <w:vAlign w:val="center"/>
          </w:tcPr>
          <w:p>
            <w:pPr>
              <w:widowControl/>
              <w:autoSpaceDE w:val="0"/>
              <w:autoSpaceDN w:val="0"/>
              <w:adjustRightInd w:val="0"/>
              <w:spacing w:line="300" w:lineRule="exact"/>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kern w:val="0"/>
                <w:szCs w:val="21"/>
              </w:rPr>
              <w:t>与</w:t>
            </w:r>
            <w:r>
              <w:rPr>
                <w:rFonts w:hint="eastAsia" w:asciiTheme="minorEastAsia" w:hAnsiTheme="minorEastAsia" w:eastAsiaTheme="minorEastAsia" w:cstheme="minorEastAsia"/>
                <w:szCs w:val="21"/>
              </w:rPr>
              <w:t>《企业营业执照》或《事业单位法人证书》</w:t>
            </w:r>
            <w:r>
              <w:rPr>
                <w:rFonts w:hint="eastAsia" w:asciiTheme="minorEastAsia" w:hAnsiTheme="minorEastAsia" w:eastAsiaTheme="minorEastAsia" w:cstheme="minorEastAsia"/>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2" w:type="dxa"/>
            <w:gridSpan w:val="2"/>
            <w:vAlign w:val="center"/>
          </w:tcPr>
          <w:p>
            <w:pPr>
              <w:widowControl/>
              <w:autoSpaceDE w:val="0"/>
              <w:autoSpaceDN w:val="0"/>
              <w:adjustRightInd w:val="0"/>
              <w:spacing w:line="300" w:lineRule="exact"/>
              <w:jc w:val="center"/>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kern w:val="0"/>
                <w:szCs w:val="21"/>
              </w:rPr>
              <w:t>响应文件签字盖章</w:t>
            </w:r>
          </w:p>
        </w:tc>
        <w:tc>
          <w:tcPr>
            <w:tcW w:w="7105" w:type="dxa"/>
            <w:gridSpan w:val="2"/>
            <w:vMerge w:val="restart"/>
            <w:vAlign w:val="center"/>
          </w:tcPr>
          <w:p>
            <w:pPr>
              <w:widowControl/>
              <w:autoSpaceDE w:val="0"/>
              <w:autoSpaceDN w:val="0"/>
              <w:adjustRightInd w:val="0"/>
              <w:spacing w:line="300" w:lineRule="exact"/>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kern w:val="0"/>
                <w:szCs w:val="21"/>
              </w:rPr>
              <w:t>符合第二章“竞争性磋商供应商</w:t>
            </w:r>
            <w:r>
              <w:rPr>
                <w:rFonts w:hint="eastAsia" w:asciiTheme="minorEastAsia" w:hAnsiTheme="minorEastAsia" w:eastAsiaTheme="minorEastAsia" w:cstheme="minorEastAsia"/>
                <w:szCs w:val="21"/>
              </w:rPr>
              <w:t>须知</w:t>
            </w:r>
            <w:r>
              <w:rPr>
                <w:rFonts w:hint="eastAsia" w:asciiTheme="minorEastAsia" w:hAnsiTheme="minorEastAsia" w:eastAsiaTheme="minorEastAsia" w:cstheme="minorEastAsia"/>
                <w:kern w:val="0"/>
                <w:szCs w:val="21"/>
              </w:rPr>
              <w:t>”和第五章“响应文件（格式）”相关规定。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482" w:type="dxa"/>
            <w:gridSpan w:val="2"/>
            <w:vAlign w:val="center"/>
          </w:tcPr>
          <w:p>
            <w:pPr>
              <w:widowControl/>
              <w:autoSpaceDE w:val="0"/>
              <w:autoSpaceDN w:val="0"/>
              <w:adjustRightInd w:val="0"/>
              <w:spacing w:line="300" w:lineRule="exact"/>
              <w:jc w:val="center"/>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kern w:val="0"/>
                <w:szCs w:val="21"/>
              </w:rPr>
              <w:t>响应文件装订及格式</w:t>
            </w:r>
          </w:p>
        </w:tc>
        <w:tc>
          <w:tcPr>
            <w:tcW w:w="7105" w:type="dxa"/>
            <w:gridSpan w:val="2"/>
            <w:vMerge w:val="continue"/>
            <w:vAlign w:val="center"/>
          </w:tcPr>
          <w:p>
            <w:pPr>
              <w:widowControl/>
              <w:autoSpaceDE w:val="0"/>
              <w:autoSpaceDN w:val="0"/>
              <w:adjustRightInd w:val="0"/>
              <w:spacing w:line="300" w:lineRule="exact"/>
              <w:rPr>
                <w:rFonts w:asciiTheme="majorEastAsia" w:hAnsiTheme="majorEastAsia" w:eastAsiaTheme="majorEastAsia" w:cstheme="maj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482" w:type="dxa"/>
            <w:gridSpan w:val="2"/>
            <w:vAlign w:val="center"/>
          </w:tcPr>
          <w:p>
            <w:pPr>
              <w:widowControl/>
              <w:autoSpaceDE w:val="0"/>
              <w:autoSpaceDN w:val="0"/>
              <w:adjustRightInd w:val="0"/>
              <w:spacing w:line="300" w:lineRule="exact"/>
              <w:jc w:val="center"/>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kern w:val="0"/>
                <w:szCs w:val="21"/>
              </w:rPr>
              <w:t>竞争性磋商供应商资格</w:t>
            </w:r>
          </w:p>
        </w:tc>
        <w:tc>
          <w:tcPr>
            <w:tcW w:w="7105" w:type="dxa"/>
            <w:gridSpan w:val="2"/>
            <w:vMerge w:val="restart"/>
            <w:vAlign w:val="center"/>
          </w:tcPr>
          <w:p>
            <w:pPr>
              <w:widowControl/>
              <w:autoSpaceDE w:val="0"/>
              <w:autoSpaceDN w:val="0"/>
              <w:adjustRightInd w:val="0"/>
              <w:spacing w:line="300" w:lineRule="exact"/>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kern w:val="0"/>
                <w:szCs w:val="21"/>
              </w:rPr>
              <w:t>符合第二章“竞争性磋商供应商</w:t>
            </w:r>
            <w:r>
              <w:rPr>
                <w:rFonts w:hint="eastAsia" w:asciiTheme="minorEastAsia" w:hAnsiTheme="minorEastAsia" w:eastAsiaTheme="minorEastAsia" w:cstheme="minorEastAsia"/>
                <w:szCs w:val="21"/>
              </w:rPr>
              <w:t>须知</w:t>
            </w:r>
            <w:r>
              <w:rPr>
                <w:rFonts w:hint="eastAsia" w:asciiTheme="minorEastAsia" w:hAnsiTheme="minorEastAsia" w:eastAsiaTheme="minorEastAsia" w:cstheme="minorEastAsia"/>
                <w:kern w:val="0"/>
                <w:szCs w:val="21"/>
              </w:rPr>
              <w:t>”相关规定。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2" w:type="dxa"/>
            <w:gridSpan w:val="2"/>
            <w:vAlign w:val="center"/>
          </w:tcPr>
          <w:p>
            <w:pPr>
              <w:widowControl/>
              <w:autoSpaceDE w:val="0"/>
              <w:autoSpaceDN w:val="0"/>
              <w:adjustRightInd w:val="0"/>
              <w:spacing w:line="300" w:lineRule="exact"/>
              <w:jc w:val="center"/>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kern w:val="0"/>
                <w:szCs w:val="21"/>
              </w:rPr>
              <w:t>竞标内容</w:t>
            </w:r>
          </w:p>
        </w:tc>
        <w:tc>
          <w:tcPr>
            <w:tcW w:w="7105" w:type="dxa"/>
            <w:gridSpan w:val="2"/>
            <w:vMerge w:val="continue"/>
            <w:vAlign w:val="center"/>
          </w:tcPr>
          <w:p>
            <w:pPr>
              <w:widowControl/>
              <w:autoSpaceDE w:val="0"/>
              <w:autoSpaceDN w:val="0"/>
              <w:adjustRightInd w:val="0"/>
              <w:spacing w:line="300" w:lineRule="exact"/>
              <w:rPr>
                <w:rFonts w:asciiTheme="majorEastAsia" w:hAnsiTheme="majorEastAsia" w:eastAsiaTheme="majorEastAsia" w:cstheme="maj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2" w:type="dxa"/>
            <w:gridSpan w:val="2"/>
            <w:vAlign w:val="center"/>
          </w:tcPr>
          <w:p>
            <w:pPr>
              <w:widowControl/>
              <w:autoSpaceDE w:val="0"/>
              <w:autoSpaceDN w:val="0"/>
              <w:adjustRightInd w:val="0"/>
              <w:spacing w:line="300" w:lineRule="exact"/>
              <w:jc w:val="center"/>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kern w:val="0"/>
                <w:szCs w:val="21"/>
              </w:rPr>
              <w:t>磋商保证金</w:t>
            </w:r>
          </w:p>
        </w:tc>
        <w:tc>
          <w:tcPr>
            <w:tcW w:w="7105" w:type="dxa"/>
            <w:gridSpan w:val="2"/>
            <w:vMerge w:val="continue"/>
            <w:vAlign w:val="center"/>
          </w:tcPr>
          <w:p>
            <w:pPr>
              <w:widowControl/>
              <w:autoSpaceDE w:val="0"/>
              <w:autoSpaceDN w:val="0"/>
              <w:adjustRightInd w:val="0"/>
              <w:spacing w:line="300" w:lineRule="exact"/>
              <w:rPr>
                <w:rFonts w:asciiTheme="majorEastAsia" w:hAnsiTheme="majorEastAsia" w:eastAsiaTheme="majorEastAsia" w:cstheme="majorEastAsia"/>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2" w:type="dxa"/>
            <w:gridSpan w:val="2"/>
            <w:vAlign w:val="center"/>
          </w:tcPr>
          <w:p>
            <w:pPr>
              <w:widowControl/>
              <w:spacing w:line="300" w:lineRule="exact"/>
              <w:jc w:val="center"/>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szCs w:val="21"/>
              </w:rPr>
              <w:t>“缴税”情况</w:t>
            </w:r>
          </w:p>
        </w:tc>
        <w:tc>
          <w:tcPr>
            <w:tcW w:w="7105" w:type="dxa"/>
            <w:gridSpan w:val="2"/>
            <w:vAlign w:val="center"/>
          </w:tcPr>
          <w:p>
            <w:pPr>
              <w:widowControl/>
              <w:spacing w:line="300" w:lineRule="exact"/>
              <w:rPr>
                <w:rFonts w:asciiTheme="majorEastAsia" w:hAnsiTheme="majorEastAsia" w:eastAsiaTheme="majorEastAsia" w:cstheme="majorEastAsia"/>
                <w:sz w:val="22"/>
                <w:szCs w:val="22"/>
              </w:rPr>
            </w:pPr>
            <w:r>
              <w:rPr>
                <w:rFonts w:hint="eastAsia" w:asciiTheme="minorEastAsia" w:hAnsiTheme="minorEastAsia" w:eastAsiaTheme="minorEastAsia" w:cstheme="minorEastAsia"/>
                <w:szCs w:val="21"/>
              </w:rPr>
              <w:t>提供合法有效的 “缴税”证明材料。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2" w:type="dxa"/>
            <w:gridSpan w:val="2"/>
            <w:vAlign w:val="center"/>
          </w:tcPr>
          <w:p>
            <w:pPr>
              <w:widowControl/>
              <w:spacing w:line="300" w:lineRule="exact"/>
              <w:jc w:val="center"/>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szCs w:val="21"/>
              </w:rPr>
              <w:t>其他</w:t>
            </w:r>
          </w:p>
        </w:tc>
        <w:tc>
          <w:tcPr>
            <w:tcW w:w="7105" w:type="dxa"/>
            <w:gridSpan w:val="2"/>
            <w:vAlign w:val="center"/>
          </w:tcPr>
          <w:p>
            <w:pPr>
              <w:widowControl/>
              <w:spacing w:line="300" w:lineRule="exact"/>
              <w:rPr>
                <w:rFonts w:asciiTheme="majorEastAsia" w:hAnsiTheme="majorEastAsia" w:eastAsiaTheme="majorEastAsia" w:cstheme="majorEastAsia"/>
                <w:sz w:val="22"/>
                <w:szCs w:val="22"/>
              </w:rPr>
            </w:pPr>
            <w:r>
              <w:rPr>
                <w:rFonts w:hint="eastAsia" w:asciiTheme="minorEastAsia" w:hAnsiTheme="minorEastAsia" w:eastAsiaTheme="minorEastAsia" w:cstheme="minorEastAsia"/>
                <w:szCs w:val="21"/>
              </w:rPr>
              <w:t>不存在第二章“竞争性磋商供应商须知”中任意一项否决（废标）或无效标情形。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87" w:type="dxa"/>
            <w:gridSpan w:val="4"/>
            <w:vAlign w:val="center"/>
          </w:tcPr>
          <w:p>
            <w:pPr>
              <w:widowControl/>
              <w:spacing w:line="3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响应性评审标准：</w:t>
            </w:r>
          </w:p>
          <w:p>
            <w:pPr>
              <w:widowControl/>
              <w:spacing w:line="300" w:lineRule="exact"/>
              <w:rPr>
                <w:rFonts w:asciiTheme="majorEastAsia" w:hAnsiTheme="majorEastAsia" w:eastAsiaTheme="majorEastAsia" w:cstheme="majorEastAsia"/>
                <w:sz w:val="22"/>
                <w:szCs w:val="22"/>
              </w:rPr>
            </w:pPr>
            <w:r>
              <w:rPr>
                <w:rFonts w:hint="eastAsia" w:asciiTheme="minorEastAsia" w:hAnsiTheme="minorEastAsia" w:eastAsiaTheme="minorEastAsia" w:cstheme="minorEastAsia"/>
                <w:b/>
                <w:szCs w:val="21"/>
              </w:rPr>
              <w:t xml:space="preserve">    （以下评审项中缺少任何一项或有任何一项不合格者，其响应文件（竞标）作否决（废标）处理，不再进入详细评审）。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2" w:type="dxa"/>
            <w:gridSpan w:val="2"/>
            <w:shd w:val="clear" w:color="auto" w:fill="BEBEBE" w:themeFill="background1" w:themeFillShade="BF"/>
            <w:vAlign w:val="center"/>
          </w:tcPr>
          <w:p>
            <w:pPr>
              <w:widowControl/>
              <w:autoSpaceDE w:val="0"/>
              <w:autoSpaceDN w:val="0"/>
              <w:adjustRightInd w:val="0"/>
              <w:spacing w:line="300" w:lineRule="exact"/>
              <w:jc w:val="center"/>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b/>
                <w:kern w:val="0"/>
                <w:szCs w:val="21"/>
              </w:rPr>
              <w:t>评审因素</w:t>
            </w:r>
          </w:p>
        </w:tc>
        <w:tc>
          <w:tcPr>
            <w:tcW w:w="7105" w:type="dxa"/>
            <w:gridSpan w:val="2"/>
            <w:shd w:val="clear" w:color="auto" w:fill="BEBEBE" w:themeFill="background1" w:themeFillShade="BF"/>
            <w:vAlign w:val="center"/>
          </w:tcPr>
          <w:p>
            <w:pPr>
              <w:widowControl/>
              <w:autoSpaceDE w:val="0"/>
              <w:autoSpaceDN w:val="0"/>
              <w:adjustRightInd w:val="0"/>
              <w:spacing w:line="300" w:lineRule="exact"/>
              <w:jc w:val="center"/>
              <w:rPr>
                <w:rFonts w:asciiTheme="majorEastAsia" w:hAnsiTheme="majorEastAsia" w:eastAsiaTheme="majorEastAsia" w:cstheme="majorEastAsia"/>
                <w:sz w:val="22"/>
                <w:szCs w:val="22"/>
              </w:rPr>
            </w:pPr>
            <w:r>
              <w:rPr>
                <w:rFonts w:hint="eastAsia" w:asciiTheme="minorEastAsia" w:hAnsiTheme="minorEastAsia" w:eastAsiaTheme="minorEastAsia" w:cstheme="minorEastAsia"/>
                <w:b/>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2" w:type="dxa"/>
            <w:gridSpan w:val="2"/>
            <w:vAlign w:val="center"/>
          </w:tcPr>
          <w:p>
            <w:pPr>
              <w:widowControl/>
              <w:spacing w:line="300" w:lineRule="exact"/>
              <w:jc w:val="center"/>
              <w:rPr>
                <w:rFonts w:asciiTheme="majorEastAsia" w:hAnsiTheme="majorEastAsia" w:eastAsiaTheme="majorEastAsia" w:cstheme="majorEastAsia"/>
                <w:kern w:val="0"/>
                <w:sz w:val="22"/>
                <w:szCs w:val="22"/>
              </w:rPr>
            </w:pPr>
            <w:r>
              <w:rPr>
                <w:rFonts w:hint="eastAsia"/>
              </w:rPr>
              <w:t>服务交付时间</w:t>
            </w:r>
          </w:p>
        </w:tc>
        <w:tc>
          <w:tcPr>
            <w:tcW w:w="7105" w:type="dxa"/>
            <w:gridSpan w:val="2"/>
            <w:vAlign w:val="center"/>
          </w:tcPr>
          <w:p>
            <w:pPr>
              <w:widowControl/>
              <w:spacing w:line="300" w:lineRule="exact"/>
              <w:rPr>
                <w:rFonts w:asciiTheme="majorEastAsia" w:hAnsiTheme="majorEastAsia" w:eastAsiaTheme="majorEastAsia" w:cstheme="majorEastAsia"/>
                <w:sz w:val="22"/>
                <w:szCs w:val="22"/>
              </w:rPr>
            </w:pPr>
            <w:r>
              <w:rPr>
                <w:rFonts w:hint="eastAsia" w:asciiTheme="minorEastAsia" w:hAnsiTheme="minorEastAsia" w:eastAsiaTheme="minorEastAsia" w:cstheme="minorEastAsia"/>
                <w:kern w:val="0"/>
                <w:szCs w:val="21"/>
              </w:rPr>
              <w:t>符合第二章“竞争性磋商供应商</w:t>
            </w:r>
            <w:r>
              <w:rPr>
                <w:rFonts w:hint="eastAsia" w:asciiTheme="minorEastAsia" w:hAnsiTheme="minorEastAsia" w:eastAsiaTheme="minorEastAsia" w:cstheme="minorEastAsia"/>
                <w:szCs w:val="21"/>
              </w:rPr>
              <w:t>须知</w:t>
            </w:r>
            <w:r>
              <w:rPr>
                <w:rFonts w:hint="eastAsia" w:asciiTheme="minorEastAsia" w:hAnsiTheme="minorEastAsia" w:eastAsiaTheme="minorEastAsia" w:cstheme="minorEastAsia"/>
                <w:kern w:val="0"/>
                <w:szCs w:val="21"/>
              </w:rPr>
              <w:t>”相关规定。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2" w:type="dxa"/>
            <w:gridSpan w:val="2"/>
            <w:vAlign w:val="center"/>
          </w:tcPr>
          <w:p>
            <w:pPr>
              <w:widowControl/>
              <w:spacing w:line="300" w:lineRule="exact"/>
              <w:jc w:val="center"/>
              <w:rPr>
                <w:rFonts w:asciiTheme="majorEastAsia" w:hAnsiTheme="majorEastAsia" w:eastAsiaTheme="majorEastAsia" w:cstheme="majorEastAsia"/>
                <w:kern w:val="0"/>
                <w:sz w:val="22"/>
                <w:szCs w:val="22"/>
              </w:rPr>
            </w:pPr>
            <w:r>
              <w:rPr>
                <w:rFonts w:hint="eastAsia" w:asciiTheme="minorEastAsia" w:hAnsiTheme="minorEastAsia" w:eastAsiaTheme="minorEastAsia" w:cstheme="minorEastAsia"/>
                <w:kern w:val="0"/>
                <w:szCs w:val="21"/>
              </w:rPr>
              <w:t>服务方案</w:t>
            </w:r>
          </w:p>
        </w:tc>
        <w:tc>
          <w:tcPr>
            <w:tcW w:w="7105" w:type="dxa"/>
            <w:gridSpan w:val="2"/>
            <w:vAlign w:val="center"/>
          </w:tcPr>
          <w:p>
            <w:pPr>
              <w:widowControl/>
              <w:spacing w:line="300" w:lineRule="exact"/>
              <w:rPr>
                <w:rFonts w:asciiTheme="majorEastAsia" w:hAnsiTheme="majorEastAsia" w:eastAsiaTheme="majorEastAsia" w:cstheme="majorEastAsia"/>
                <w:sz w:val="22"/>
                <w:szCs w:val="22"/>
              </w:rPr>
            </w:pPr>
            <w:r>
              <w:rPr>
                <w:rFonts w:hint="eastAsia" w:asciiTheme="minorEastAsia" w:hAnsiTheme="minorEastAsia" w:eastAsiaTheme="minorEastAsia" w:cstheme="minorEastAsia"/>
                <w:kern w:val="0"/>
                <w:szCs w:val="21"/>
              </w:rPr>
              <w:t>包含且响应第三章“项目需求和说明”载列的所有内容。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82" w:type="dxa"/>
            <w:gridSpan w:val="2"/>
            <w:vAlign w:val="center"/>
          </w:tcPr>
          <w:p>
            <w:pPr>
              <w:widowControl/>
              <w:autoSpaceDE w:val="0"/>
              <w:autoSpaceDN w:val="0"/>
              <w:adjustRightInd w:val="0"/>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7105" w:type="dxa"/>
            <w:gridSpan w:val="2"/>
            <w:vAlign w:val="center"/>
          </w:tcPr>
          <w:p>
            <w:pPr>
              <w:widowControl/>
              <w:autoSpaceDE w:val="0"/>
              <w:autoSpaceDN w:val="0"/>
              <w:adjustRightInd w:val="0"/>
              <w:spacing w:line="300" w:lineRule="exact"/>
              <w:ind w:leftChars="-2" w:hanging="4" w:hangingChars="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1.磋商报价唯一；</w:t>
            </w:r>
          </w:p>
          <w:p>
            <w:pPr>
              <w:widowControl/>
              <w:autoSpaceDE w:val="0"/>
              <w:autoSpaceDN w:val="0"/>
              <w:adjustRightInd w:val="0"/>
              <w:spacing w:line="300" w:lineRule="exact"/>
              <w:ind w:leftChars="-2" w:hanging="4" w:hangingChars="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2.磋商报价</w:t>
            </w:r>
            <w:r>
              <w:rPr>
                <w:rFonts w:hint="eastAsia" w:asciiTheme="minorEastAsia" w:hAnsiTheme="minorEastAsia" w:eastAsiaTheme="minorEastAsia" w:cstheme="minorEastAsia"/>
                <w:szCs w:val="22"/>
              </w:rPr>
              <w:t>不得高于上限控制价（采购预算价）</w:t>
            </w:r>
            <w:r>
              <w:rPr>
                <w:rFonts w:hint="eastAsia" w:asciiTheme="minorEastAsia" w:hAnsiTheme="minorEastAsia" w:eastAsiaTheme="minorEastAsia" w:cstheme="minorEastAsia"/>
                <w:kern w:val="0"/>
                <w:szCs w:val="21"/>
              </w:rPr>
              <w:t>；</w:t>
            </w:r>
          </w:p>
          <w:p>
            <w:pPr>
              <w:widowControl/>
              <w:autoSpaceDE w:val="0"/>
              <w:autoSpaceDN w:val="0"/>
              <w:adjustRightInd w:val="0"/>
              <w:spacing w:line="300" w:lineRule="exac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3.磋商报价不得低于其自身成本。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87" w:type="dxa"/>
            <w:gridSpan w:val="4"/>
            <w:shd w:val="clear" w:color="auto" w:fill="BEBEBE" w:themeFill="background1" w:themeFillShade="BF"/>
            <w:vAlign w:val="center"/>
          </w:tcPr>
          <w:p>
            <w:pPr>
              <w:autoSpaceDE w:val="0"/>
              <w:autoSpaceDN w:val="0"/>
              <w:adjustRightInd w:val="0"/>
              <w:spacing w:line="320" w:lineRule="exact"/>
              <w:jc w:val="center"/>
              <w:rPr>
                <w:rFonts w:asciiTheme="majorEastAsia" w:hAnsiTheme="majorEastAsia" w:eastAsiaTheme="majorEastAsia" w:cstheme="majorEastAsia"/>
                <w:b/>
                <w:kern w:val="0"/>
                <w:sz w:val="22"/>
                <w:szCs w:val="22"/>
              </w:rPr>
            </w:pPr>
            <w:r>
              <w:rPr>
                <w:rFonts w:hint="eastAsia" w:asciiTheme="majorEastAsia" w:hAnsiTheme="majorEastAsia" w:eastAsiaTheme="majorEastAsia" w:cstheme="majorEastAsia"/>
                <w:b/>
                <w:kern w:val="0"/>
                <w:sz w:val="22"/>
                <w:szCs w:val="22"/>
              </w:rPr>
              <w:t>详细评审标准如下表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7" w:type="dxa"/>
            <w:shd w:val="clear" w:color="auto" w:fill="BEBEBE" w:themeFill="background1" w:themeFillShade="BF"/>
            <w:vAlign w:val="center"/>
          </w:tcPr>
          <w:p>
            <w:pPr>
              <w:spacing w:line="320" w:lineRule="exact"/>
              <w:jc w:val="left"/>
              <w:rPr>
                <w:rFonts w:asciiTheme="majorEastAsia" w:hAnsiTheme="majorEastAsia" w:eastAsiaTheme="majorEastAsia" w:cstheme="majorEastAsia"/>
                <w:b/>
                <w:sz w:val="22"/>
                <w:szCs w:val="22"/>
              </w:rPr>
            </w:pPr>
            <w:r>
              <w:rPr>
                <w:rFonts w:hint="eastAsia" w:asciiTheme="majorEastAsia" w:hAnsiTheme="majorEastAsia" w:eastAsiaTheme="majorEastAsia" w:cstheme="majorEastAsia"/>
                <w:b/>
                <w:bCs/>
                <w:kern w:val="0"/>
                <w:sz w:val="22"/>
                <w:szCs w:val="22"/>
              </w:rPr>
              <w:t>评审因素</w:t>
            </w:r>
          </w:p>
        </w:tc>
        <w:tc>
          <w:tcPr>
            <w:tcW w:w="1535" w:type="dxa"/>
            <w:gridSpan w:val="2"/>
            <w:shd w:val="clear" w:color="auto" w:fill="BEBEBE" w:themeFill="background1" w:themeFillShade="BF"/>
            <w:vAlign w:val="center"/>
          </w:tcPr>
          <w:p>
            <w:pPr>
              <w:widowControl/>
              <w:jc w:val="center"/>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kern w:val="0"/>
                <w:sz w:val="22"/>
                <w:szCs w:val="22"/>
              </w:rPr>
              <w:t>分值</w:t>
            </w:r>
          </w:p>
        </w:tc>
        <w:tc>
          <w:tcPr>
            <w:tcW w:w="6715" w:type="dxa"/>
            <w:shd w:val="clear" w:color="auto" w:fill="BEBEBE" w:themeFill="background1" w:themeFillShade="BF"/>
            <w:vAlign w:val="center"/>
          </w:tcPr>
          <w:p>
            <w:pPr>
              <w:widowControl/>
              <w:jc w:val="center"/>
              <w:rPr>
                <w:rFonts w:asciiTheme="majorEastAsia" w:hAnsiTheme="majorEastAsia" w:eastAsiaTheme="majorEastAsia" w:cstheme="majorEastAsia"/>
                <w:b/>
                <w:bCs/>
                <w:kern w:val="0"/>
                <w:sz w:val="22"/>
                <w:szCs w:val="22"/>
              </w:rPr>
            </w:pPr>
            <w:r>
              <w:rPr>
                <w:rFonts w:hint="eastAsia" w:asciiTheme="majorEastAsia" w:hAnsiTheme="majorEastAsia" w:eastAsiaTheme="majorEastAsia" w:cstheme="majorEastAsia"/>
                <w:b/>
                <w:bCs/>
                <w:kern w:val="0"/>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37" w:type="dxa"/>
            <w:vMerge w:val="restart"/>
            <w:vAlign w:val="center"/>
          </w:tcPr>
          <w:p>
            <w:pPr>
              <w:spacing w:line="360" w:lineRule="auto"/>
              <w:jc w:val="center"/>
              <w:rPr>
                <w:rFonts w:asciiTheme="majorEastAsia" w:hAnsiTheme="majorEastAsia" w:eastAsiaTheme="majorEastAsia" w:cstheme="majorEastAsia"/>
                <w:b/>
                <w:kern w:val="0"/>
                <w:sz w:val="22"/>
                <w:szCs w:val="22"/>
              </w:rPr>
            </w:pPr>
            <w:r>
              <w:rPr>
                <w:rFonts w:hint="eastAsia" w:asciiTheme="majorEastAsia" w:hAnsiTheme="majorEastAsia" w:eastAsiaTheme="majorEastAsia" w:cstheme="majorEastAsia"/>
                <w:b/>
                <w:kern w:val="0"/>
                <w:sz w:val="22"/>
                <w:szCs w:val="22"/>
              </w:rPr>
              <w:t>商务标</w:t>
            </w:r>
          </w:p>
          <w:p>
            <w:pPr>
              <w:autoSpaceDE w:val="0"/>
              <w:autoSpaceDN w:val="0"/>
              <w:adjustRightInd w:val="0"/>
              <w:spacing w:line="360" w:lineRule="auto"/>
              <w:jc w:val="center"/>
              <w:rPr>
                <w:rFonts w:asciiTheme="majorEastAsia" w:hAnsiTheme="majorEastAsia" w:eastAsiaTheme="majorEastAsia" w:cstheme="majorEastAsia"/>
                <w:b/>
                <w:kern w:val="0"/>
                <w:sz w:val="22"/>
                <w:szCs w:val="22"/>
              </w:rPr>
            </w:pPr>
            <w:r>
              <w:rPr>
                <w:rFonts w:hint="eastAsia" w:asciiTheme="majorEastAsia" w:hAnsiTheme="majorEastAsia" w:eastAsiaTheme="majorEastAsia" w:cstheme="majorEastAsia"/>
                <w:b/>
                <w:kern w:val="0"/>
                <w:sz w:val="22"/>
                <w:szCs w:val="22"/>
              </w:rPr>
              <w:t>评审标准（25分）</w:t>
            </w:r>
          </w:p>
          <w:p>
            <w:pPr>
              <w:spacing w:line="320" w:lineRule="exact"/>
              <w:jc w:val="center"/>
              <w:rPr>
                <w:rFonts w:asciiTheme="majorEastAsia" w:hAnsiTheme="majorEastAsia" w:eastAsiaTheme="majorEastAsia" w:cstheme="majorEastAsia"/>
                <w:b/>
                <w:sz w:val="22"/>
                <w:szCs w:val="22"/>
              </w:rPr>
            </w:pPr>
          </w:p>
          <w:p>
            <w:pPr>
              <w:spacing w:line="320" w:lineRule="exact"/>
              <w:jc w:val="left"/>
              <w:rPr>
                <w:rFonts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【由评标委员会（磋商小组成员）</w:t>
            </w:r>
          </w:p>
          <w:p>
            <w:pPr>
              <w:spacing w:line="320" w:lineRule="exact"/>
              <w:jc w:val="left"/>
              <w:rPr>
                <w:rFonts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进行评审</w:t>
            </w:r>
            <w:r>
              <w:rPr>
                <w:rFonts w:hint="eastAsia" w:asciiTheme="majorEastAsia" w:hAnsiTheme="majorEastAsia" w:eastAsiaTheme="majorEastAsia" w:cstheme="majorEastAsia"/>
                <w:b/>
                <w:kern w:val="0"/>
                <w:sz w:val="22"/>
                <w:szCs w:val="22"/>
              </w:rPr>
              <w:t>。</w:t>
            </w:r>
            <w:r>
              <w:rPr>
                <w:rFonts w:hint="eastAsia" w:asciiTheme="majorEastAsia" w:hAnsiTheme="majorEastAsia" w:eastAsiaTheme="majorEastAsia" w:cstheme="majorEastAsia"/>
                <w:b/>
                <w:sz w:val="22"/>
                <w:szCs w:val="22"/>
              </w:rPr>
              <w:t>】</w:t>
            </w:r>
          </w:p>
        </w:tc>
        <w:tc>
          <w:tcPr>
            <w:tcW w:w="1535" w:type="dxa"/>
            <w:gridSpan w:val="2"/>
            <w:vAlign w:val="center"/>
          </w:tcPr>
          <w:p>
            <w:pPr>
              <w:spacing w:line="320" w:lineRule="exact"/>
              <w:jc w:val="center"/>
              <w:rPr>
                <w:rFonts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报价分</w:t>
            </w:r>
          </w:p>
          <w:p>
            <w:pPr>
              <w:spacing w:line="320" w:lineRule="exact"/>
              <w:jc w:val="center"/>
              <w:rPr>
                <w:rFonts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（10分）</w:t>
            </w:r>
          </w:p>
          <w:p>
            <w:pPr>
              <w:spacing w:line="320" w:lineRule="exact"/>
              <w:jc w:val="left"/>
              <w:rPr>
                <w:rFonts w:asciiTheme="majorEastAsia" w:hAnsiTheme="majorEastAsia" w:eastAsiaTheme="majorEastAsia" w:cstheme="majorEastAsia"/>
                <w:kern w:val="0"/>
                <w:sz w:val="22"/>
                <w:szCs w:val="22"/>
              </w:rPr>
            </w:pPr>
          </w:p>
        </w:tc>
        <w:tc>
          <w:tcPr>
            <w:tcW w:w="6715" w:type="dxa"/>
            <w:vAlign w:val="center"/>
          </w:tcPr>
          <w:p>
            <w:pPr>
              <w:autoSpaceDE w:val="0"/>
              <w:autoSpaceDN w:val="0"/>
              <w:adjustRightInd w:val="0"/>
              <w:spacing w:line="360" w:lineRule="exact"/>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w:t>
            </w:r>
            <w:r>
              <w:rPr>
                <w:rFonts w:asciiTheme="majorEastAsia" w:hAnsiTheme="majorEastAsia" w:eastAsiaTheme="majorEastAsia" w:cstheme="majorEastAsia"/>
                <w:sz w:val="22"/>
                <w:szCs w:val="22"/>
              </w:rPr>
              <w:t>1</w:t>
            </w:r>
            <w:r>
              <w:rPr>
                <w:rFonts w:hint="eastAsia" w:asciiTheme="majorEastAsia" w:hAnsiTheme="majorEastAsia" w:eastAsiaTheme="majorEastAsia" w:cstheme="majorEastAsia"/>
                <w:sz w:val="22"/>
                <w:szCs w:val="22"/>
              </w:rPr>
              <w:t>）评标价为磋商供应商的磋商报价进行政策性扣除后的价格，评标价只是作为评标时使用。</w:t>
            </w:r>
          </w:p>
          <w:p>
            <w:pPr>
              <w:spacing w:line="360" w:lineRule="exact"/>
            </w:pPr>
            <w:r>
              <w:rPr>
                <w:rFonts w:hint="eastAsia"/>
              </w:rPr>
              <w:t>最终成交人的成交金额＝磋商报价。</w:t>
            </w:r>
          </w:p>
          <w:p>
            <w:pPr>
              <w:autoSpaceDE w:val="0"/>
              <w:autoSpaceDN w:val="0"/>
              <w:adjustRightInd w:val="0"/>
              <w:spacing w:line="360" w:lineRule="exact"/>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（2）政策性扣除计算方法。</w:t>
            </w:r>
          </w:p>
          <w:p>
            <w:pP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磋商供应商所投标产品被认定为监狱企业或残疾人福利性单位或小型和微型企业产品的，该产品磋商报价给予</w:t>
            </w:r>
            <w:r>
              <w:rPr>
                <w:rFonts w:hint="eastAsia" w:asciiTheme="majorEastAsia" w:hAnsiTheme="majorEastAsia" w:eastAsiaTheme="majorEastAsia" w:cstheme="majorEastAsia"/>
                <w:sz w:val="22"/>
                <w:szCs w:val="22"/>
                <w:lang w:val="en-US" w:eastAsia="zh-CN"/>
              </w:rPr>
              <w:t>8</w:t>
            </w:r>
            <w:r>
              <w:rPr>
                <w:rFonts w:hint="eastAsia" w:asciiTheme="majorEastAsia" w:hAnsiTheme="majorEastAsia" w:eastAsiaTheme="majorEastAsia" w:cstheme="majorEastAsia"/>
                <w:sz w:val="22"/>
                <w:szCs w:val="22"/>
              </w:rPr>
              <w:t>%的扣除，扣除后的价格为评标报价，即该产品的评标报价=该产品的磋商报价×（1-</w:t>
            </w:r>
            <w:r>
              <w:rPr>
                <w:rFonts w:hint="eastAsia" w:asciiTheme="majorEastAsia" w:hAnsiTheme="majorEastAsia" w:eastAsiaTheme="majorEastAsia" w:cstheme="majorEastAsia"/>
                <w:sz w:val="22"/>
                <w:szCs w:val="22"/>
                <w:lang w:val="en-US" w:eastAsia="zh-CN"/>
              </w:rPr>
              <w:t>8</w:t>
            </w:r>
            <w:bookmarkStart w:id="121" w:name="_GoBack"/>
            <w:bookmarkEnd w:id="121"/>
            <w:r>
              <w:rPr>
                <w:rFonts w:hint="eastAsia" w:asciiTheme="majorEastAsia" w:hAnsiTheme="majorEastAsia" w:eastAsiaTheme="majorEastAsia" w:cstheme="majorEastAsia"/>
                <w:sz w:val="22"/>
                <w:szCs w:val="22"/>
              </w:rPr>
              <w:t>%）；</w:t>
            </w:r>
          </w:p>
          <w:p>
            <w:pP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除上述情况外，评标报价=磋商报价。</w:t>
            </w:r>
          </w:p>
          <w:p>
            <w:pPr>
              <w:autoSpaceDE w:val="0"/>
              <w:autoSpaceDN w:val="0"/>
              <w:adjustRightInd w:val="0"/>
              <w:spacing w:line="360" w:lineRule="exact"/>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（3）以进入综合评分环节的最低的评标报价为基准价，基准价报价得分为 10 分。</w:t>
            </w:r>
          </w:p>
          <w:p>
            <w:pPr>
              <w:autoSpaceDE w:val="0"/>
              <w:autoSpaceDN w:val="0"/>
              <w:adjustRightInd w:val="0"/>
              <w:spacing w:line="360" w:lineRule="exact"/>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（4）价格分计算公式：</w:t>
            </w:r>
          </w:p>
          <w:p>
            <w:pPr>
              <w:autoSpaceDE w:val="0"/>
              <w:autoSpaceDN w:val="0"/>
              <w:adjustRightInd w:val="0"/>
              <w:spacing w:line="360" w:lineRule="exact"/>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某磋商供应商价格分=基准价/某磋商供应商评标报价金额× 10 分</w:t>
            </w:r>
          </w:p>
          <w:p>
            <w:pPr>
              <w:spacing w:line="320" w:lineRule="exact"/>
              <w:ind w:firstLine="440" w:firstLineChars="200"/>
              <w:rPr>
                <w:rFonts w:asciiTheme="majorEastAsia" w:hAnsiTheme="majorEastAsia" w:eastAsiaTheme="majorEastAsia" w:cstheme="majorEastAsia"/>
                <w:kern w:val="0"/>
                <w:sz w:val="22"/>
                <w:szCs w:val="22"/>
              </w:rPr>
            </w:pPr>
            <w:r>
              <w:rPr>
                <w:rFonts w:hint="eastAsia" w:asciiTheme="majorEastAsia" w:hAnsiTheme="majorEastAsia" w:eastAsiaTheme="majorEastAsia" w:cstheme="majorEastAsia"/>
                <w:sz w:val="22"/>
                <w:szCs w:val="22"/>
              </w:rPr>
              <w:t>磋商供应商声明为中、小、微型企业或监狱企业的，应按竞争性磋商文件规定提供真实的、充分的证明材料供评标委员会审定。否则竞标价格不予扣除。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7" w:type="dxa"/>
            <w:vMerge w:val="continue"/>
            <w:vAlign w:val="center"/>
          </w:tcPr>
          <w:p>
            <w:pPr>
              <w:spacing w:line="320" w:lineRule="exact"/>
              <w:jc w:val="left"/>
              <w:rPr>
                <w:rFonts w:asciiTheme="majorEastAsia" w:hAnsiTheme="majorEastAsia" w:eastAsiaTheme="majorEastAsia" w:cstheme="majorEastAsia"/>
                <w:b/>
                <w:sz w:val="22"/>
                <w:szCs w:val="22"/>
              </w:rPr>
            </w:pPr>
          </w:p>
        </w:tc>
        <w:tc>
          <w:tcPr>
            <w:tcW w:w="1535" w:type="dxa"/>
            <w:gridSpan w:val="2"/>
            <w:vAlign w:val="center"/>
          </w:tcPr>
          <w:p>
            <w:pPr>
              <w:spacing w:line="320" w:lineRule="exact"/>
              <w:jc w:val="center"/>
              <w:rPr>
                <w:rFonts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综合实力分</w:t>
            </w:r>
          </w:p>
          <w:p>
            <w:pPr>
              <w:spacing w:line="320" w:lineRule="exact"/>
              <w:jc w:val="center"/>
              <w:rPr>
                <w:rFonts w:asciiTheme="majorEastAsia" w:hAnsiTheme="majorEastAsia" w:eastAsiaTheme="majorEastAsia" w:cstheme="majorEastAsia"/>
                <w:kern w:val="0"/>
                <w:sz w:val="22"/>
                <w:szCs w:val="22"/>
              </w:rPr>
            </w:pPr>
            <w:r>
              <w:rPr>
                <w:rFonts w:hint="eastAsia" w:asciiTheme="majorEastAsia" w:hAnsiTheme="majorEastAsia" w:eastAsiaTheme="majorEastAsia" w:cstheme="majorEastAsia"/>
                <w:b/>
                <w:sz w:val="22"/>
                <w:szCs w:val="22"/>
              </w:rPr>
              <w:t>（15分）</w:t>
            </w:r>
          </w:p>
        </w:tc>
        <w:tc>
          <w:tcPr>
            <w:tcW w:w="6715" w:type="dxa"/>
            <w:vAlign w:val="center"/>
          </w:tcPr>
          <w:p>
            <w:pPr>
              <w:autoSpaceDE w:val="0"/>
              <w:autoSpaceDN w:val="0"/>
              <w:adjustRightInd w:val="0"/>
              <w:spacing w:line="360" w:lineRule="exact"/>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（1）磋商供应商获得五星级别及以上售后服务认证证书的，提供证书复印件加盖磋商供应商公章，得</w:t>
            </w:r>
            <w:r>
              <w:rPr>
                <w:rFonts w:asciiTheme="majorEastAsia" w:hAnsiTheme="majorEastAsia" w:eastAsiaTheme="majorEastAsia" w:cstheme="majorEastAsia"/>
                <w:sz w:val="22"/>
                <w:szCs w:val="22"/>
              </w:rPr>
              <w:t>3</w:t>
            </w:r>
            <w:r>
              <w:rPr>
                <w:rFonts w:hint="eastAsia" w:asciiTheme="majorEastAsia" w:hAnsiTheme="majorEastAsia" w:eastAsiaTheme="majorEastAsia" w:cstheme="majorEastAsia"/>
                <w:sz w:val="22"/>
                <w:szCs w:val="22"/>
              </w:rPr>
              <w:t>分。</w:t>
            </w:r>
          </w:p>
          <w:p>
            <w:pPr>
              <w:pStyle w:val="8"/>
              <w:spacing w:line="360" w:lineRule="exact"/>
              <w:ind w:firstLine="420"/>
              <w:rPr>
                <w:szCs w:val="21"/>
              </w:rPr>
            </w:pPr>
          </w:p>
          <w:p>
            <w:pPr>
              <w:autoSpaceDE w:val="0"/>
              <w:autoSpaceDN w:val="0"/>
              <w:adjustRightInd w:val="0"/>
              <w:spacing w:line="360" w:lineRule="exact"/>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（2）磋商供应商具备强大的企业管理能力，全部通过</w:t>
            </w:r>
            <w:r>
              <w:rPr>
                <w:rFonts w:asciiTheme="majorEastAsia" w:hAnsiTheme="majorEastAsia" w:eastAsiaTheme="majorEastAsia" w:cstheme="majorEastAsia"/>
                <w:sz w:val="22"/>
                <w:szCs w:val="22"/>
              </w:rPr>
              <w:t xml:space="preserve"> ISO9001 质量管理体系认证</w:t>
            </w:r>
            <w:r>
              <w:rPr>
                <w:rFonts w:hint="eastAsia" w:asciiTheme="majorEastAsia" w:hAnsiTheme="majorEastAsia" w:eastAsiaTheme="majorEastAsia" w:cstheme="majorEastAsia"/>
                <w:sz w:val="22"/>
                <w:szCs w:val="22"/>
              </w:rPr>
              <w:t>、IS014001 环境管理体系认证、 IS027001 管理体系认证、</w:t>
            </w:r>
            <w:r>
              <w:rPr>
                <w:rFonts w:asciiTheme="majorEastAsia" w:hAnsiTheme="majorEastAsia" w:eastAsiaTheme="majorEastAsia" w:cstheme="majorEastAsia"/>
                <w:sz w:val="22"/>
                <w:szCs w:val="22"/>
              </w:rPr>
              <w:t xml:space="preserve">CCRC </w:t>
            </w:r>
            <w:r>
              <w:rPr>
                <w:rFonts w:hint="eastAsia" w:asciiTheme="majorEastAsia" w:hAnsiTheme="majorEastAsia" w:eastAsiaTheme="majorEastAsia" w:cstheme="majorEastAsia"/>
                <w:sz w:val="22"/>
                <w:szCs w:val="22"/>
              </w:rPr>
              <w:t>信息技术服务管理体系认证、</w:t>
            </w:r>
            <w:r>
              <w:rPr>
                <w:rFonts w:asciiTheme="majorEastAsia" w:hAnsiTheme="majorEastAsia" w:eastAsiaTheme="majorEastAsia" w:cstheme="majorEastAsia"/>
                <w:sz w:val="22"/>
                <w:szCs w:val="22"/>
              </w:rPr>
              <w:t xml:space="preserve"> ISO45001 </w:t>
            </w:r>
            <w:r>
              <w:rPr>
                <w:rFonts w:hint="eastAsia" w:asciiTheme="majorEastAsia" w:hAnsiTheme="majorEastAsia" w:eastAsiaTheme="majorEastAsia" w:cstheme="majorEastAsia"/>
                <w:sz w:val="22"/>
                <w:szCs w:val="22"/>
              </w:rPr>
              <w:t>职业健康安全管理体系认证的，提供证书复印件加盖磋商供应商公章，得 1 分。</w:t>
            </w:r>
          </w:p>
          <w:p>
            <w:pPr>
              <w:autoSpaceDE w:val="0"/>
              <w:autoSpaceDN w:val="0"/>
              <w:adjustRightInd w:val="0"/>
              <w:spacing w:line="360" w:lineRule="exact"/>
              <w:rPr>
                <w:rFonts w:asciiTheme="majorEastAsia" w:hAnsiTheme="majorEastAsia" w:eastAsiaTheme="majorEastAsia" w:cstheme="majorEastAsia"/>
                <w:sz w:val="22"/>
                <w:szCs w:val="22"/>
              </w:rPr>
            </w:pPr>
          </w:p>
          <w:p>
            <w:pPr>
              <w:autoSpaceDE w:val="0"/>
              <w:autoSpaceDN w:val="0"/>
              <w:adjustRightInd w:val="0"/>
              <w:spacing w:line="360" w:lineRule="exact"/>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 xml:space="preserve">（3）磋商供应商具有国家保密局颁发的涉密信息系统集成甲级资质（业务种类全部包含：系统集成/软件开发/运行维护/软件开发）的，提供证书复印件加盖磋商供应商公章，得 </w:t>
            </w:r>
            <w:r>
              <w:rPr>
                <w:rFonts w:asciiTheme="majorEastAsia" w:hAnsiTheme="majorEastAsia" w:eastAsiaTheme="majorEastAsia" w:cstheme="majorEastAsia"/>
                <w:sz w:val="22"/>
                <w:szCs w:val="22"/>
              </w:rPr>
              <w:t>2</w:t>
            </w:r>
            <w:r>
              <w:rPr>
                <w:rFonts w:hint="eastAsia" w:asciiTheme="majorEastAsia" w:hAnsiTheme="majorEastAsia" w:eastAsiaTheme="majorEastAsia" w:cstheme="majorEastAsia"/>
                <w:sz w:val="22"/>
                <w:szCs w:val="22"/>
              </w:rPr>
              <w:t xml:space="preserve"> 分</w:t>
            </w:r>
          </w:p>
          <w:p>
            <w:pPr>
              <w:pStyle w:val="8"/>
              <w:spacing w:line="360" w:lineRule="exact"/>
              <w:ind w:firstLine="420"/>
            </w:pPr>
          </w:p>
          <w:p>
            <w:pPr>
              <w:autoSpaceDE w:val="0"/>
              <w:autoSpaceDN w:val="0"/>
              <w:adjustRightInd w:val="0"/>
              <w:spacing w:line="360" w:lineRule="exact"/>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w:t>
            </w:r>
            <w:r>
              <w:rPr>
                <w:rFonts w:asciiTheme="majorEastAsia" w:hAnsiTheme="majorEastAsia" w:eastAsiaTheme="majorEastAsia" w:cstheme="majorEastAsia"/>
                <w:sz w:val="22"/>
                <w:szCs w:val="22"/>
              </w:rPr>
              <w:t>4</w:t>
            </w:r>
            <w:r>
              <w:rPr>
                <w:rFonts w:hint="eastAsia" w:asciiTheme="majorEastAsia" w:hAnsiTheme="majorEastAsia" w:eastAsiaTheme="majorEastAsia" w:cstheme="majorEastAsia"/>
                <w:sz w:val="22"/>
                <w:szCs w:val="22"/>
              </w:rPr>
              <w:t>）磋商供应商获得电子与智能化工程专业承包壹级资质，提供证书复印件加盖磋商供应商公章，得 3 分。</w:t>
            </w:r>
          </w:p>
          <w:p>
            <w:pPr>
              <w:pStyle w:val="8"/>
              <w:spacing w:line="360" w:lineRule="exact"/>
              <w:ind w:firstLine="420"/>
              <w:rPr>
                <w:szCs w:val="21"/>
              </w:rPr>
            </w:pPr>
          </w:p>
          <w:p>
            <w:pPr>
              <w:autoSpaceDE w:val="0"/>
              <w:autoSpaceDN w:val="0"/>
              <w:adjustRightInd w:val="0"/>
              <w:spacing w:line="360" w:lineRule="exact"/>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w:t>
            </w:r>
            <w:r>
              <w:rPr>
                <w:rFonts w:asciiTheme="majorEastAsia" w:hAnsiTheme="majorEastAsia" w:eastAsiaTheme="majorEastAsia" w:cstheme="majorEastAsia"/>
                <w:sz w:val="22"/>
                <w:szCs w:val="22"/>
              </w:rPr>
              <w:t>5</w:t>
            </w:r>
            <w:r>
              <w:rPr>
                <w:rFonts w:hint="eastAsia" w:asciiTheme="majorEastAsia" w:hAnsiTheme="majorEastAsia" w:eastAsiaTheme="majorEastAsia" w:cstheme="majorEastAsia"/>
                <w:sz w:val="22"/>
                <w:szCs w:val="22"/>
              </w:rPr>
              <w:t xml:space="preserve">）磋商供应商获得 ITSS 信息技术服务运行维护标准符合性证书（业务范围：信息技术服务运行维护）贰级及以上并且为 2020年国家信息技术服务标准工作组全权成员单位的，提供证书复印件加盖磋商供应商公章，得 </w:t>
            </w:r>
            <w:r>
              <w:rPr>
                <w:rFonts w:asciiTheme="majorEastAsia" w:hAnsiTheme="majorEastAsia" w:eastAsiaTheme="majorEastAsia" w:cstheme="majorEastAsia"/>
                <w:sz w:val="22"/>
                <w:szCs w:val="22"/>
              </w:rPr>
              <w:t xml:space="preserve">2 </w:t>
            </w:r>
            <w:r>
              <w:rPr>
                <w:rFonts w:hint="eastAsia" w:asciiTheme="majorEastAsia" w:hAnsiTheme="majorEastAsia" w:eastAsiaTheme="majorEastAsia" w:cstheme="majorEastAsia"/>
                <w:sz w:val="22"/>
                <w:szCs w:val="22"/>
              </w:rPr>
              <w:t>分。</w:t>
            </w:r>
          </w:p>
          <w:p>
            <w:pPr>
              <w:pStyle w:val="8"/>
              <w:spacing w:line="360" w:lineRule="exact"/>
              <w:ind w:firstLine="442"/>
              <w:rPr>
                <w:rFonts w:asciiTheme="majorEastAsia" w:hAnsiTheme="majorEastAsia" w:eastAsiaTheme="majorEastAsia" w:cstheme="majorEastAsia"/>
                <w:sz w:val="22"/>
                <w:szCs w:val="22"/>
              </w:rPr>
            </w:pPr>
          </w:p>
          <w:p>
            <w:pPr>
              <w:pStyle w:val="8"/>
              <w:spacing w:line="360" w:lineRule="exact"/>
              <w:rPr>
                <w:rFonts w:asciiTheme="majorEastAsia" w:hAnsiTheme="majorEastAsia" w:eastAsiaTheme="majorEastAsia" w:cstheme="majorEastAsia"/>
                <w:b w:val="0"/>
                <w:bCs/>
                <w:sz w:val="22"/>
                <w:szCs w:val="22"/>
              </w:rPr>
            </w:pPr>
            <w:r>
              <w:rPr>
                <w:rFonts w:hint="eastAsia" w:asciiTheme="majorEastAsia" w:hAnsiTheme="majorEastAsia" w:eastAsiaTheme="majorEastAsia" w:cstheme="majorEastAsia"/>
                <w:b w:val="0"/>
                <w:bCs/>
                <w:sz w:val="22"/>
                <w:szCs w:val="22"/>
              </w:rPr>
              <w:t>（6）磋商供应商获得中国网络安全审查技术与认证中心颁发的信息系统安全运维服务二级或一级资质的，提供证书复印件加盖磋商供应商章，得3分。</w:t>
            </w:r>
          </w:p>
          <w:p>
            <w:pPr>
              <w:pStyle w:val="8"/>
              <w:spacing w:line="360" w:lineRule="exact"/>
              <w:ind w:firstLine="442"/>
              <w:rPr>
                <w:rFonts w:asciiTheme="majorEastAsia" w:hAnsiTheme="majorEastAsia" w:eastAsiaTheme="majorEastAsia" w:cstheme="majorEastAsia"/>
                <w:sz w:val="22"/>
                <w:szCs w:val="22"/>
              </w:rPr>
            </w:pPr>
          </w:p>
          <w:p>
            <w:pPr>
              <w:autoSpaceDE w:val="0"/>
              <w:autoSpaceDN w:val="0"/>
              <w:adjustRightInd w:val="0"/>
              <w:spacing w:line="360" w:lineRule="exact"/>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w:t>
            </w:r>
            <w:r>
              <w:rPr>
                <w:rFonts w:asciiTheme="majorEastAsia" w:hAnsiTheme="majorEastAsia" w:eastAsiaTheme="majorEastAsia" w:cstheme="majorEastAsia"/>
                <w:sz w:val="22"/>
                <w:szCs w:val="22"/>
              </w:rPr>
              <w:t>7</w:t>
            </w:r>
            <w:r>
              <w:rPr>
                <w:rFonts w:hint="eastAsia" w:asciiTheme="majorEastAsia" w:hAnsiTheme="majorEastAsia" w:eastAsiaTheme="majorEastAsia" w:cstheme="majorEastAsia"/>
                <w:sz w:val="22"/>
                <w:szCs w:val="22"/>
              </w:rPr>
              <w:t xml:space="preserve">）磋商供应商具有同类项目成功案例（以有效合同或采购协议或成交（中标）通知书复印件为准，原件核查）的，每有一份得 </w:t>
            </w:r>
            <w:r>
              <w:rPr>
                <w:rFonts w:asciiTheme="majorEastAsia" w:hAnsiTheme="majorEastAsia" w:eastAsiaTheme="majorEastAsia" w:cstheme="majorEastAsia"/>
                <w:sz w:val="22"/>
                <w:szCs w:val="22"/>
              </w:rPr>
              <w:t>1</w:t>
            </w:r>
            <w:r>
              <w:rPr>
                <w:rFonts w:hint="eastAsia" w:asciiTheme="majorEastAsia" w:hAnsiTheme="majorEastAsia" w:eastAsiaTheme="majorEastAsia" w:cstheme="majorEastAsia"/>
                <w:sz w:val="22"/>
                <w:szCs w:val="22"/>
              </w:rPr>
              <w:t xml:space="preserve"> 分，满分 </w:t>
            </w:r>
            <w:r>
              <w:rPr>
                <w:rFonts w:asciiTheme="majorEastAsia" w:hAnsiTheme="majorEastAsia" w:eastAsiaTheme="majorEastAsia" w:cstheme="majorEastAsia"/>
                <w:sz w:val="22"/>
                <w:szCs w:val="22"/>
              </w:rPr>
              <w:t>1</w:t>
            </w:r>
            <w:r>
              <w:rPr>
                <w:rFonts w:hint="eastAsia" w:asciiTheme="majorEastAsia" w:hAnsiTheme="majorEastAsia" w:eastAsiaTheme="majorEastAsia" w:cstheme="majorEastAsia"/>
                <w:sz w:val="22"/>
                <w:szCs w:val="22"/>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337" w:type="dxa"/>
            <w:vMerge w:val="restart"/>
            <w:vAlign w:val="center"/>
          </w:tcPr>
          <w:p>
            <w:pPr>
              <w:spacing w:line="360" w:lineRule="auto"/>
              <w:jc w:val="center"/>
              <w:rPr>
                <w:rFonts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技术标</w:t>
            </w:r>
          </w:p>
          <w:p>
            <w:pPr>
              <w:spacing w:line="320" w:lineRule="exact"/>
              <w:jc w:val="left"/>
              <w:rPr>
                <w:rFonts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评审标准（73分）</w:t>
            </w:r>
          </w:p>
          <w:p>
            <w:pPr>
              <w:spacing w:line="320" w:lineRule="exact"/>
              <w:jc w:val="left"/>
              <w:rPr>
                <w:rFonts w:asciiTheme="majorEastAsia" w:hAnsiTheme="majorEastAsia" w:eastAsiaTheme="majorEastAsia" w:cstheme="majorEastAsia"/>
                <w:b/>
                <w:sz w:val="22"/>
                <w:szCs w:val="22"/>
              </w:rPr>
            </w:pPr>
          </w:p>
          <w:p>
            <w:pPr>
              <w:spacing w:line="320" w:lineRule="exact"/>
              <w:jc w:val="left"/>
              <w:rPr>
                <w:rFonts w:asciiTheme="majorEastAsia" w:hAnsiTheme="majorEastAsia" w:eastAsiaTheme="majorEastAsia" w:cstheme="majorEastAsia"/>
                <w:b/>
                <w:sz w:val="22"/>
                <w:szCs w:val="22"/>
              </w:rPr>
            </w:pPr>
            <w:r>
              <w:rPr>
                <w:rFonts w:hint="eastAsia" w:asciiTheme="majorEastAsia" w:hAnsiTheme="majorEastAsia" w:eastAsiaTheme="majorEastAsia" w:cstheme="majorEastAsia"/>
                <w:b/>
                <w:sz w:val="22"/>
                <w:szCs w:val="22"/>
              </w:rPr>
              <w:t>【</w:t>
            </w:r>
            <w:r>
              <w:rPr>
                <w:rFonts w:hint="eastAsia" w:asciiTheme="majorEastAsia" w:hAnsiTheme="majorEastAsia" w:eastAsiaTheme="majorEastAsia" w:cstheme="majorEastAsia"/>
                <w:b/>
                <w:bCs/>
                <w:sz w:val="22"/>
                <w:szCs w:val="22"/>
              </w:rPr>
              <w:t>由评标委员会（磋商小组成员）进行评审。</w:t>
            </w:r>
            <w:r>
              <w:rPr>
                <w:rFonts w:hint="eastAsia" w:asciiTheme="majorEastAsia" w:hAnsiTheme="majorEastAsia" w:eastAsiaTheme="majorEastAsia" w:cstheme="majorEastAsia"/>
                <w:b/>
                <w:sz w:val="22"/>
                <w:szCs w:val="22"/>
              </w:rPr>
              <w:t>】</w:t>
            </w:r>
          </w:p>
        </w:tc>
        <w:tc>
          <w:tcPr>
            <w:tcW w:w="1535" w:type="dxa"/>
            <w:gridSpan w:val="2"/>
            <w:vAlign w:val="center"/>
          </w:tcPr>
          <w:p>
            <w:pPr>
              <w:widowControl/>
              <w:jc w:val="center"/>
              <w:rPr>
                <w:rFonts w:asciiTheme="majorEastAsia" w:hAnsiTheme="majorEastAsia" w:eastAsiaTheme="majorEastAsia" w:cstheme="majorEastAsia"/>
                <w:b/>
                <w:bCs/>
                <w:kern w:val="0"/>
                <w:sz w:val="22"/>
                <w:szCs w:val="22"/>
              </w:rPr>
            </w:pPr>
            <w:r>
              <w:rPr>
                <w:rFonts w:hint="eastAsia" w:asciiTheme="majorEastAsia" w:hAnsiTheme="majorEastAsia" w:eastAsiaTheme="majorEastAsia" w:cstheme="majorEastAsia"/>
                <w:b/>
                <w:bCs/>
                <w:kern w:val="0"/>
                <w:sz w:val="22"/>
                <w:szCs w:val="22"/>
                <w:lang w:val="zh-CN"/>
              </w:rPr>
              <w:t>配套软硬件技术指标</w:t>
            </w:r>
            <w:r>
              <w:rPr>
                <w:rFonts w:hint="eastAsia" w:asciiTheme="majorEastAsia" w:hAnsiTheme="majorEastAsia" w:eastAsiaTheme="majorEastAsia" w:cstheme="majorEastAsia"/>
                <w:b/>
                <w:bCs/>
                <w:kern w:val="0"/>
                <w:sz w:val="22"/>
                <w:szCs w:val="22"/>
              </w:rPr>
              <w:t>分（满分27 分）</w:t>
            </w:r>
          </w:p>
          <w:p>
            <w:pPr>
              <w:widowControl/>
              <w:jc w:val="center"/>
              <w:rPr>
                <w:rFonts w:asciiTheme="majorEastAsia" w:hAnsiTheme="majorEastAsia" w:eastAsiaTheme="majorEastAsia" w:cstheme="majorEastAsia"/>
                <w:kern w:val="0"/>
                <w:sz w:val="22"/>
                <w:szCs w:val="22"/>
              </w:rPr>
            </w:pPr>
          </w:p>
        </w:tc>
        <w:tc>
          <w:tcPr>
            <w:tcW w:w="6715" w:type="dxa"/>
            <w:vAlign w:val="center"/>
          </w:tcPr>
          <w:p>
            <w:pPr>
              <w:spacing w:line="360" w:lineRule="exact"/>
              <w:rPr>
                <w:rFonts w:asciiTheme="majorEastAsia" w:hAnsiTheme="majorEastAsia" w:eastAsiaTheme="majorEastAsia" w:cstheme="majorEastAsia"/>
                <w:sz w:val="22"/>
                <w:szCs w:val="22"/>
              </w:rPr>
            </w:pPr>
            <w:r>
              <w:rPr>
                <w:rFonts w:asciiTheme="majorEastAsia" w:hAnsiTheme="majorEastAsia" w:eastAsiaTheme="majorEastAsia" w:cstheme="majorEastAsia"/>
                <w:sz w:val="22"/>
                <w:szCs w:val="22"/>
              </w:rPr>
              <w:t>（1）设备性能基础分1</w:t>
            </w:r>
            <w:r>
              <w:rPr>
                <w:rFonts w:hint="eastAsia" w:asciiTheme="majorEastAsia" w:hAnsiTheme="majorEastAsia" w:eastAsiaTheme="majorEastAsia" w:cstheme="majorEastAsia"/>
                <w:sz w:val="22"/>
                <w:szCs w:val="22"/>
              </w:rPr>
              <w:t>5</w:t>
            </w:r>
            <w:r>
              <w:rPr>
                <w:rFonts w:asciiTheme="majorEastAsia" w:hAnsiTheme="majorEastAsia" w:eastAsiaTheme="majorEastAsia" w:cstheme="majorEastAsia"/>
                <w:sz w:val="22"/>
                <w:szCs w:val="22"/>
              </w:rPr>
              <w:t>分，投标产品不带“▲”</w:t>
            </w:r>
            <w:r>
              <w:rPr>
                <w:rFonts w:hint="eastAsia" w:asciiTheme="majorEastAsia" w:hAnsiTheme="majorEastAsia" w:eastAsiaTheme="majorEastAsia" w:cstheme="majorEastAsia"/>
                <w:sz w:val="22"/>
                <w:szCs w:val="22"/>
              </w:rPr>
              <w:t>和“★”</w:t>
            </w:r>
            <w:r>
              <w:rPr>
                <w:rFonts w:asciiTheme="majorEastAsia" w:hAnsiTheme="majorEastAsia" w:eastAsiaTheme="majorEastAsia" w:cstheme="majorEastAsia"/>
                <w:sz w:val="22"/>
                <w:szCs w:val="22"/>
              </w:rPr>
              <w:t>的性能参数有一项负偏离扣1分，直到基础分扣完。</w:t>
            </w:r>
          </w:p>
          <w:p>
            <w:pPr>
              <w:spacing w:line="360" w:lineRule="exact"/>
              <w:rPr>
                <w:rFonts w:asciiTheme="majorEastAsia" w:hAnsiTheme="majorEastAsia" w:eastAsiaTheme="majorEastAsia" w:cstheme="majorEastAsia"/>
                <w:sz w:val="22"/>
                <w:szCs w:val="22"/>
              </w:rPr>
            </w:pPr>
            <w:r>
              <w:rPr>
                <w:rFonts w:asciiTheme="majorEastAsia" w:hAnsiTheme="majorEastAsia" w:eastAsiaTheme="majorEastAsia" w:cstheme="majorEastAsia"/>
                <w:sz w:val="22"/>
                <w:szCs w:val="22"/>
              </w:rPr>
              <w:t>（2）“ ▲ ”技术条款系指本项目中与产品性能相关紧密的技术指标、功能项目条款，</w:t>
            </w:r>
            <w:r>
              <w:rPr>
                <w:rFonts w:hint="eastAsia" w:asciiTheme="majorEastAsia" w:hAnsiTheme="majorEastAsia" w:eastAsiaTheme="majorEastAsia" w:cstheme="majorEastAsia"/>
                <w:sz w:val="22"/>
                <w:szCs w:val="22"/>
              </w:rPr>
              <w:t>磋商供应商</w:t>
            </w:r>
            <w:r>
              <w:rPr>
                <w:rFonts w:asciiTheme="majorEastAsia" w:hAnsiTheme="majorEastAsia" w:eastAsiaTheme="majorEastAsia" w:cstheme="majorEastAsia"/>
                <w:sz w:val="22"/>
                <w:szCs w:val="22"/>
              </w:rPr>
              <w:t>所提供的产品均能满足</w:t>
            </w:r>
            <w:r>
              <w:rPr>
                <w:rFonts w:hint="eastAsia" w:asciiTheme="majorEastAsia" w:hAnsiTheme="majorEastAsia" w:eastAsiaTheme="majorEastAsia" w:cstheme="majorEastAsia"/>
                <w:sz w:val="22"/>
                <w:szCs w:val="22"/>
              </w:rPr>
              <w:t>竞争性磋商文件</w:t>
            </w:r>
            <w:r>
              <w:rPr>
                <w:rFonts w:asciiTheme="majorEastAsia" w:hAnsiTheme="majorEastAsia" w:eastAsiaTheme="majorEastAsia" w:cstheme="majorEastAsia"/>
                <w:sz w:val="22"/>
                <w:szCs w:val="22"/>
              </w:rPr>
              <w:t>中的技术参数要求，且标“▲”的技术指标均能提供公安部权威检验机构出具的检验报告复印件并加盖单位公章的，得1</w:t>
            </w:r>
            <w:r>
              <w:rPr>
                <w:rFonts w:hint="eastAsia" w:asciiTheme="majorEastAsia" w:hAnsiTheme="majorEastAsia" w:eastAsiaTheme="majorEastAsia" w:cstheme="majorEastAsia"/>
                <w:sz w:val="22"/>
                <w:szCs w:val="22"/>
              </w:rPr>
              <w:t>2</w:t>
            </w:r>
            <w:r>
              <w:rPr>
                <w:rFonts w:asciiTheme="majorEastAsia" w:hAnsiTheme="majorEastAsia" w:eastAsiaTheme="majorEastAsia" w:cstheme="majorEastAsia"/>
                <w:sz w:val="22"/>
                <w:szCs w:val="22"/>
              </w:rPr>
              <w:t>分，满分1</w:t>
            </w:r>
            <w:r>
              <w:rPr>
                <w:rFonts w:hint="eastAsia" w:asciiTheme="majorEastAsia" w:hAnsiTheme="majorEastAsia" w:eastAsiaTheme="majorEastAsia" w:cstheme="majorEastAsia"/>
                <w:sz w:val="22"/>
                <w:szCs w:val="22"/>
              </w:rPr>
              <w:t>2</w:t>
            </w:r>
            <w:r>
              <w:rPr>
                <w:rFonts w:asciiTheme="majorEastAsia" w:hAnsiTheme="majorEastAsia" w:eastAsiaTheme="majorEastAsia" w:cstheme="majorEastAsia"/>
                <w:sz w:val="22"/>
                <w:szCs w:val="22"/>
              </w:rPr>
              <w:t>分；每有一项标“▲”技术指标不能提供检验报告或检验报告中无体现的扣</w:t>
            </w:r>
            <w:r>
              <w:rPr>
                <w:rFonts w:hint="eastAsia" w:asciiTheme="majorEastAsia" w:hAnsiTheme="majorEastAsia" w:eastAsiaTheme="majorEastAsia" w:cstheme="majorEastAsia"/>
                <w:sz w:val="22"/>
                <w:szCs w:val="22"/>
              </w:rPr>
              <w:t>4</w:t>
            </w:r>
            <w:r>
              <w:rPr>
                <w:rFonts w:asciiTheme="majorEastAsia" w:hAnsiTheme="majorEastAsia" w:eastAsiaTheme="majorEastAsia" w:cstheme="majorEastAsia"/>
                <w:sz w:val="22"/>
                <w:szCs w:val="22"/>
              </w:rPr>
              <w:t>分，扣完为止，不计负分。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37" w:type="dxa"/>
            <w:vMerge w:val="continue"/>
            <w:vAlign w:val="center"/>
          </w:tcPr>
          <w:p>
            <w:pPr>
              <w:spacing w:line="320" w:lineRule="exact"/>
              <w:jc w:val="left"/>
              <w:rPr>
                <w:rFonts w:asciiTheme="majorEastAsia" w:hAnsiTheme="majorEastAsia" w:eastAsiaTheme="majorEastAsia" w:cstheme="majorEastAsia"/>
                <w:b/>
                <w:sz w:val="22"/>
                <w:szCs w:val="22"/>
              </w:rPr>
            </w:pPr>
          </w:p>
        </w:tc>
        <w:tc>
          <w:tcPr>
            <w:tcW w:w="1535" w:type="dxa"/>
            <w:gridSpan w:val="2"/>
            <w:vAlign w:val="center"/>
          </w:tcPr>
          <w:p>
            <w:pPr>
              <w:widowControl/>
              <w:jc w:val="center"/>
              <w:rPr>
                <w:rFonts w:asciiTheme="majorEastAsia" w:hAnsiTheme="majorEastAsia" w:eastAsiaTheme="majorEastAsia" w:cstheme="majorEastAsia"/>
                <w:kern w:val="0"/>
                <w:sz w:val="22"/>
                <w:szCs w:val="22"/>
              </w:rPr>
            </w:pPr>
            <w:r>
              <w:rPr>
                <w:rFonts w:hint="eastAsia" w:asciiTheme="majorEastAsia" w:hAnsiTheme="majorEastAsia" w:eastAsiaTheme="majorEastAsia" w:cstheme="majorEastAsia"/>
                <w:b/>
                <w:bCs/>
                <w:kern w:val="0"/>
                <w:sz w:val="22"/>
                <w:szCs w:val="22"/>
              </w:rPr>
              <w:t xml:space="preserve">技术方案分（满分 </w:t>
            </w:r>
            <w:r>
              <w:rPr>
                <w:rFonts w:asciiTheme="majorEastAsia" w:hAnsiTheme="majorEastAsia" w:eastAsiaTheme="majorEastAsia" w:cstheme="majorEastAsia"/>
                <w:b/>
                <w:bCs/>
                <w:kern w:val="0"/>
                <w:sz w:val="22"/>
                <w:szCs w:val="22"/>
              </w:rPr>
              <w:t>18</w:t>
            </w:r>
            <w:r>
              <w:rPr>
                <w:rFonts w:hint="eastAsia" w:asciiTheme="majorEastAsia" w:hAnsiTheme="majorEastAsia" w:eastAsiaTheme="majorEastAsia" w:cstheme="majorEastAsia"/>
                <w:b/>
                <w:bCs/>
                <w:kern w:val="0"/>
                <w:sz w:val="22"/>
                <w:szCs w:val="22"/>
              </w:rPr>
              <w:t>分）</w:t>
            </w:r>
          </w:p>
        </w:tc>
        <w:tc>
          <w:tcPr>
            <w:tcW w:w="6715" w:type="dxa"/>
            <w:vAlign w:val="center"/>
          </w:tcPr>
          <w:p>
            <w:pPr>
              <w:pStyle w:val="8"/>
              <w:spacing w:line="360" w:lineRule="exact"/>
              <w:ind w:right="109" w:firstLine="440"/>
              <w:jc w:val="left"/>
              <w:rPr>
                <w:rFonts w:asciiTheme="majorEastAsia" w:hAnsiTheme="majorEastAsia" w:eastAsiaTheme="majorEastAsia" w:cstheme="majorEastAsia"/>
                <w:b w:val="0"/>
                <w:bCs/>
                <w:sz w:val="22"/>
                <w:szCs w:val="22"/>
              </w:rPr>
            </w:pPr>
            <w:r>
              <w:rPr>
                <w:rFonts w:hint="eastAsia" w:asciiTheme="majorEastAsia" w:hAnsiTheme="majorEastAsia" w:eastAsiaTheme="majorEastAsia" w:cstheme="majorEastAsia"/>
                <w:b w:val="0"/>
                <w:bCs/>
                <w:sz w:val="22"/>
                <w:szCs w:val="22"/>
              </w:rPr>
              <w:t>一档（0.1～</w:t>
            </w:r>
            <w:r>
              <w:rPr>
                <w:rFonts w:asciiTheme="majorEastAsia" w:hAnsiTheme="majorEastAsia" w:eastAsiaTheme="majorEastAsia" w:cstheme="majorEastAsia"/>
                <w:b w:val="0"/>
                <w:bCs/>
                <w:sz w:val="22"/>
                <w:szCs w:val="22"/>
              </w:rPr>
              <w:t>6</w:t>
            </w:r>
            <w:r>
              <w:rPr>
                <w:rFonts w:hint="eastAsia" w:asciiTheme="majorEastAsia" w:hAnsiTheme="majorEastAsia" w:eastAsiaTheme="majorEastAsia" w:cstheme="majorEastAsia"/>
                <w:b w:val="0"/>
                <w:bCs/>
                <w:sz w:val="22"/>
                <w:szCs w:val="22"/>
              </w:rPr>
              <w:t xml:space="preserve"> 分）:评定范围：</w:t>
            </w:r>
            <w:r>
              <w:rPr>
                <w:rFonts w:asciiTheme="majorEastAsia" w:hAnsiTheme="majorEastAsia" w:eastAsiaTheme="majorEastAsia" w:cstheme="majorEastAsia"/>
                <w:b w:val="0"/>
                <w:bCs/>
                <w:sz w:val="22"/>
                <w:szCs w:val="22"/>
              </w:rPr>
              <w:t>技术方案有一定的可行性，没有明显技术错误，系统功能配置基本达到要求</w:t>
            </w:r>
            <w:r>
              <w:rPr>
                <w:rFonts w:hint="eastAsia" w:asciiTheme="majorEastAsia" w:hAnsiTheme="majorEastAsia" w:eastAsiaTheme="majorEastAsia" w:cstheme="majorEastAsia"/>
                <w:b w:val="0"/>
                <w:bCs/>
                <w:sz w:val="22"/>
                <w:szCs w:val="22"/>
              </w:rPr>
              <w:t>，档次定为一档。</w:t>
            </w:r>
          </w:p>
          <w:p>
            <w:pPr>
              <w:pStyle w:val="8"/>
              <w:spacing w:line="360" w:lineRule="exact"/>
              <w:ind w:right="109" w:firstLine="440"/>
              <w:jc w:val="left"/>
              <w:rPr>
                <w:rFonts w:asciiTheme="majorEastAsia" w:hAnsiTheme="majorEastAsia" w:eastAsiaTheme="majorEastAsia" w:cstheme="majorEastAsia"/>
                <w:b w:val="0"/>
                <w:bCs/>
                <w:sz w:val="22"/>
                <w:szCs w:val="22"/>
              </w:rPr>
            </w:pPr>
            <w:r>
              <w:rPr>
                <w:rFonts w:hint="eastAsia" w:asciiTheme="majorEastAsia" w:hAnsiTheme="majorEastAsia" w:eastAsiaTheme="majorEastAsia" w:cstheme="majorEastAsia"/>
                <w:b w:val="0"/>
                <w:bCs/>
                <w:sz w:val="22"/>
                <w:szCs w:val="22"/>
              </w:rPr>
              <w:t>二档（（</w:t>
            </w:r>
            <w:r>
              <w:rPr>
                <w:rFonts w:asciiTheme="majorEastAsia" w:hAnsiTheme="majorEastAsia" w:eastAsiaTheme="majorEastAsia" w:cstheme="majorEastAsia"/>
                <w:b w:val="0"/>
                <w:bCs/>
                <w:sz w:val="22"/>
                <w:szCs w:val="22"/>
              </w:rPr>
              <w:t>6</w:t>
            </w:r>
            <w:r>
              <w:rPr>
                <w:rFonts w:hint="eastAsia" w:asciiTheme="majorEastAsia" w:hAnsiTheme="majorEastAsia" w:eastAsiaTheme="majorEastAsia" w:cstheme="majorEastAsia"/>
                <w:b w:val="0"/>
                <w:bCs/>
                <w:sz w:val="22"/>
                <w:szCs w:val="22"/>
              </w:rPr>
              <w:t>.1～1</w:t>
            </w:r>
            <w:r>
              <w:rPr>
                <w:rFonts w:asciiTheme="majorEastAsia" w:hAnsiTheme="majorEastAsia" w:eastAsiaTheme="majorEastAsia" w:cstheme="majorEastAsia"/>
                <w:b w:val="0"/>
                <w:bCs/>
                <w:sz w:val="22"/>
                <w:szCs w:val="22"/>
              </w:rPr>
              <w:t>2</w:t>
            </w:r>
            <w:r>
              <w:rPr>
                <w:rFonts w:hint="eastAsia" w:asciiTheme="majorEastAsia" w:hAnsiTheme="majorEastAsia" w:eastAsiaTheme="majorEastAsia" w:cstheme="majorEastAsia"/>
                <w:b w:val="0"/>
                <w:bCs/>
                <w:sz w:val="22"/>
                <w:szCs w:val="22"/>
              </w:rPr>
              <w:t xml:space="preserve"> 分）:评定范围：</w:t>
            </w:r>
            <w:r>
              <w:rPr>
                <w:rFonts w:asciiTheme="majorEastAsia" w:hAnsiTheme="majorEastAsia" w:eastAsiaTheme="majorEastAsia" w:cstheme="majorEastAsia"/>
                <w:b w:val="0"/>
                <w:bCs/>
                <w:sz w:val="22"/>
                <w:szCs w:val="22"/>
              </w:rPr>
              <w:t>技术方案较为详细，对系统有较全面的描述，技术方案基本描述了技术实现的功能以及实现方式，方案所采用的技术较简单粗浅，详细描述了各模块的功能，完全满足项目要求。</w:t>
            </w:r>
            <w:r>
              <w:rPr>
                <w:rFonts w:hint="eastAsia" w:asciiTheme="majorEastAsia" w:hAnsiTheme="majorEastAsia" w:eastAsiaTheme="majorEastAsia" w:cstheme="majorEastAsia"/>
                <w:b w:val="0"/>
                <w:bCs/>
                <w:sz w:val="22"/>
                <w:szCs w:val="22"/>
              </w:rPr>
              <w:t>档次定为二档。</w:t>
            </w:r>
          </w:p>
          <w:p>
            <w:pPr>
              <w:pStyle w:val="8"/>
              <w:spacing w:line="276" w:lineRule="auto"/>
              <w:ind w:right="109" w:firstLine="408" w:firstLineChars="200"/>
              <w:jc w:val="left"/>
              <w:rPr>
                <w:rFonts w:asciiTheme="majorEastAsia" w:hAnsiTheme="majorEastAsia" w:eastAsiaTheme="majorEastAsia" w:cstheme="majorEastAsia"/>
                <w:b w:val="0"/>
                <w:bCs/>
                <w:kern w:val="0"/>
                <w:sz w:val="22"/>
                <w:szCs w:val="22"/>
              </w:rPr>
            </w:pPr>
            <w:r>
              <w:rPr>
                <w:rFonts w:hint="eastAsia" w:asciiTheme="majorEastAsia" w:hAnsiTheme="majorEastAsia" w:eastAsiaTheme="majorEastAsia" w:cstheme="majorEastAsia"/>
                <w:b w:val="0"/>
                <w:bCs/>
                <w:sz w:val="22"/>
                <w:szCs w:val="22"/>
              </w:rPr>
              <w:t>三档（1</w:t>
            </w:r>
            <w:r>
              <w:rPr>
                <w:rFonts w:asciiTheme="majorEastAsia" w:hAnsiTheme="majorEastAsia" w:eastAsiaTheme="majorEastAsia" w:cstheme="majorEastAsia"/>
                <w:b w:val="0"/>
                <w:bCs/>
                <w:sz w:val="22"/>
                <w:szCs w:val="22"/>
              </w:rPr>
              <w:t>2</w:t>
            </w:r>
            <w:r>
              <w:rPr>
                <w:rFonts w:hint="eastAsia" w:asciiTheme="majorEastAsia" w:hAnsiTheme="majorEastAsia" w:eastAsiaTheme="majorEastAsia" w:cstheme="majorEastAsia"/>
                <w:b w:val="0"/>
                <w:bCs/>
                <w:sz w:val="22"/>
                <w:szCs w:val="22"/>
              </w:rPr>
              <w:t>.1～</w:t>
            </w:r>
            <w:r>
              <w:rPr>
                <w:rFonts w:asciiTheme="majorEastAsia" w:hAnsiTheme="majorEastAsia" w:eastAsiaTheme="majorEastAsia" w:cstheme="majorEastAsia"/>
                <w:b w:val="0"/>
                <w:bCs/>
                <w:sz w:val="22"/>
                <w:szCs w:val="22"/>
              </w:rPr>
              <w:t>18</w:t>
            </w:r>
            <w:r>
              <w:rPr>
                <w:rFonts w:hint="eastAsia" w:asciiTheme="majorEastAsia" w:hAnsiTheme="majorEastAsia" w:eastAsiaTheme="majorEastAsia" w:cstheme="majorEastAsia"/>
                <w:b w:val="0"/>
                <w:bCs/>
                <w:sz w:val="22"/>
                <w:szCs w:val="22"/>
              </w:rPr>
              <w:t>分）:评定范围：</w:t>
            </w:r>
            <w:r>
              <w:rPr>
                <w:rFonts w:asciiTheme="majorEastAsia" w:hAnsiTheme="majorEastAsia" w:eastAsiaTheme="majorEastAsia" w:cstheme="majorEastAsia"/>
                <w:b w:val="0"/>
                <w:bCs/>
                <w:sz w:val="22"/>
                <w:szCs w:val="22"/>
              </w:rPr>
              <w:t>技术方案详细可行，了解用户实际情况，并针对用户的实际情况，提供项目详细技术方案，结构清晰、观点及主题明确，对系统有全面的理解，方案针对性强。详细描述各模块的功能及实现技术方案，对项目建设总体框架的设计和描述先进、合理、完整。</w:t>
            </w:r>
            <w:r>
              <w:rPr>
                <w:rFonts w:hint="eastAsia" w:asciiTheme="majorEastAsia" w:hAnsiTheme="majorEastAsia" w:eastAsiaTheme="majorEastAsia" w:cstheme="majorEastAsia"/>
                <w:b w:val="0"/>
                <w:bCs/>
                <w:sz w:val="22"/>
                <w:szCs w:val="22"/>
              </w:rPr>
              <w:t>档次定为三档。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7" w:type="dxa"/>
            <w:vMerge w:val="continue"/>
            <w:vAlign w:val="center"/>
          </w:tcPr>
          <w:p>
            <w:pPr>
              <w:spacing w:line="320" w:lineRule="exact"/>
              <w:jc w:val="left"/>
              <w:rPr>
                <w:rFonts w:asciiTheme="majorEastAsia" w:hAnsiTheme="majorEastAsia" w:eastAsiaTheme="majorEastAsia" w:cstheme="majorEastAsia"/>
                <w:b/>
                <w:sz w:val="22"/>
                <w:szCs w:val="22"/>
              </w:rPr>
            </w:pPr>
          </w:p>
        </w:tc>
        <w:tc>
          <w:tcPr>
            <w:tcW w:w="1535" w:type="dxa"/>
            <w:gridSpan w:val="2"/>
            <w:vAlign w:val="center"/>
          </w:tcPr>
          <w:p>
            <w:pPr>
              <w:widowControl/>
              <w:jc w:val="center"/>
              <w:rPr>
                <w:rFonts w:asciiTheme="majorEastAsia" w:hAnsiTheme="majorEastAsia" w:eastAsiaTheme="majorEastAsia" w:cstheme="majorEastAsia"/>
                <w:kern w:val="0"/>
                <w:sz w:val="22"/>
                <w:szCs w:val="22"/>
              </w:rPr>
            </w:pPr>
            <w:r>
              <w:rPr>
                <w:rFonts w:hint="eastAsia" w:asciiTheme="majorEastAsia" w:hAnsiTheme="majorEastAsia" w:eastAsiaTheme="majorEastAsia" w:cstheme="majorEastAsia"/>
                <w:b/>
                <w:bCs/>
                <w:kern w:val="0"/>
                <w:sz w:val="22"/>
                <w:szCs w:val="22"/>
              </w:rPr>
              <w:t>实施方案分</w:t>
            </w:r>
            <w:r>
              <w:rPr>
                <w:rFonts w:hint="eastAsia" w:ascii="宋体" w:hAnsi="宋体" w:cs="宋体"/>
                <w:b/>
                <w:bCs/>
                <w:kern w:val="0"/>
                <w:sz w:val="22"/>
                <w:szCs w:val="22"/>
              </w:rPr>
              <w:t xml:space="preserve">（满分 </w:t>
            </w:r>
            <w:r>
              <w:rPr>
                <w:rFonts w:ascii="宋体" w:hAnsi="宋体" w:cs="宋体"/>
                <w:b/>
                <w:bCs/>
                <w:kern w:val="0"/>
                <w:sz w:val="22"/>
                <w:szCs w:val="22"/>
              </w:rPr>
              <w:t>18</w:t>
            </w:r>
            <w:r>
              <w:rPr>
                <w:rFonts w:hint="eastAsia" w:ascii="宋体" w:hAnsi="宋体" w:cs="宋体"/>
                <w:b/>
                <w:bCs/>
                <w:kern w:val="0"/>
                <w:sz w:val="22"/>
                <w:szCs w:val="22"/>
              </w:rPr>
              <w:t>分）</w:t>
            </w:r>
          </w:p>
        </w:tc>
        <w:tc>
          <w:tcPr>
            <w:tcW w:w="6715" w:type="dxa"/>
            <w:vAlign w:val="center"/>
          </w:tcPr>
          <w:p>
            <w:pPr>
              <w:pStyle w:val="9"/>
              <w:spacing w:line="380" w:lineRule="exact"/>
              <w:ind w:firstLine="330" w:firstLineChars="150"/>
              <w:rPr>
                <w:rFonts w:hAnsi="宋体"/>
                <w:bCs/>
                <w:sz w:val="22"/>
                <w:szCs w:val="22"/>
              </w:rPr>
            </w:pPr>
            <w:r>
              <w:rPr>
                <w:rFonts w:hint="eastAsia" w:hAnsi="宋体"/>
                <w:bCs/>
                <w:sz w:val="22"/>
                <w:szCs w:val="22"/>
              </w:rPr>
              <w:t>一档（</w:t>
            </w:r>
            <w:r>
              <w:rPr>
                <w:rFonts w:hAnsi="宋体"/>
                <w:bCs/>
                <w:sz w:val="22"/>
                <w:szCs w:val="22"/>
              </w:rPr>
              <w:t>0.1</w:t>
            </w:r>
            <w:r>
              <w:rPr>
                <w:rFonts w:hint="eastAsia" w:hAnsi="宋体"/>
                <w:bCs/>
                <w:sz w:val="22"/>
                <w:szCs w:val="22"/>
              </w:rPr>
              <w:t>～</w:t>
            </w:r>
            <w:r>
              <w:rPr>
                <w:rFonts w:hAnsi="宋体"/>
                <w:bCs/>
                <w:sz w:val="22"/>
                <w:szCs w:val="22"/>
              </w:rPr>
              <w:t xml:space="preserve">6.0 </w:t>
            </w:r>
            <w:r>
              <w:rPr>
                <w:rFonts w:hint="eastAsia" w:hAnsi="宋体"/>
                <w:bCs/>
                <w:sz w:val="22"/>
                <w:szCs w:val="22"/>
              </w:rPr>
              <w:t>分）评定范围：有基本的进度计划和工期保证措施；有基本的安全控制措施及安装质量控制保证方案；</w:t>
            </w:r>
          </w:p>
          <w:p>
            <w:pPr>
              <w:pStyle w:val="9"/>
              <w:spacing w:line="380" w:lineRule="exact"/>
              <w:ind w:firstLine="330" w:firstLineChars="150"/>
              <w:rPr>
                <w:rFonts w:hAnsi="宋体"/>
                <w:bCs/>
                <w:sz w:val="22"/>
                <w:szCs w:val="22"/>
              </w:rPr>
            </w:pPr>
            <w:r>
              <w:rPr>
                <w:rFonts w:hint="eastAsia" w:hAnsi="宋体"/>
                <w:bCs/>
                <w:sz w:val="22"/>
                <w:szCs w:val="22"/>
              </w:rPr>
              <w:t>二档（</w:t>
            </w:r>
            <w:r>
              <w:rPr>
                <w:rFonts w:hAnsi="宋体"/>
                <w:bCs/>
                <w:sz w:val="22"/>
                <w:szCs w:val="22"/>
              </w:rPr>
              <w:t>6.1</w:t>
            </w:r>
            <w:r>
              <w:rPr>
                <w:rFonts w:hint="eastAsia" w:hAnsi="宋体"/>
                <w:bCs/>
                <w:sz w:val="22"/>
                <w:szCs w:val="22"/>
              </w:rPr>
              <w:t>～</w:t>
            </w:r>
            <w:r>
              <w:rPr>
                <w:rFonts w:hAnsi="宋体"/>
                <w:bCs/>
                <w:sz w:val="22"/>
                <w:szCs w:val="22"/>
              </w:rPr>
              <w:t xml:space="preserve">12 </w:t>
            </w:r>
            <w:r>
              <w:rPr>
                <w:rFonts w:hint="eastAsia" w:hAnsi="宋体"/>
                <w:bCs/>
                <w:sz w:val="22"/>
                <w:szCs w:val="22"/>
              </w:rPr>
              <w:t>分）评定范围：实施方案基本具备各项施工技术措施，安装进度计划合理，安装调试方案和验收措施合理，项目实施方案切实可行，其余各方面良好。拟投入本项目的项目负责人需同时具有高级信息系统项目管理师认证证书、信息系统监理师资格证书，实施人员中至少具备高级数据咨询师1人及以上、高级工程师2人及以上（至少1人为教授级高级工程师）、工程师4人及以上（以上人员请提供资质证书复印件及磋商供应商为其缴纳的磋商截止日期之前近三个月社保局出具的社保证明）。</w:t>
            </w:r>
          </w:p>
          <w:p>
            <w:pPr>
              <w:pStyle w:val="9"/>
              <w:spacing w:line="380" w:lineRule="exact"/>
              <w:ind w:firstLine="330" w:firstLineChars="150"/>
              <w:rPr>
                <w:rFonts w:hAnsi="宋体" w:cs="宋体"/>
              </w:rPr>
            </w:pPr>
            <w:r>
              <w:rPr>
                <w:rFonts w:hint="eastAsia" w:hAnsi="宋体"/>
                <w:bCs/>
                <w:sz w:val="22"/>
                <w:szCs w:val="22"/>
              </w:rPr>
              <w:t>三档（</w:t>
            </w:r>
            <w:r>
              <w:rPr>
                <w:rFonts w:hAnsi="宋体"/>
                <w:bCs/>
                <w:sz w:val="22"/>
                <w:szCs w:val="22"/>
              </w:rPr>
              <w:t>12.1</w:t>
            </w:r>
            <w:r>
              <w:rPr>
                <w:rFonts w:hint="eastAsia" w:hAnsi="宋体"/>
                <w:bCs/>
                <w:sz w:val="22"/>
                <w:szCs w:val="22"/>
              </w:rPr>
              <w:t>～</w:t>
            </w:r>
            <w:r>
              <w:rPr>
                <w:rFonts w:hAnsi="宋体"/>
                <w:bCs/>
                <w:sz w:val="22"/>
                <w:szCs w:val="22"/>
              </w:rPr>
              <w:t xml:space="preserve">18.0 </w:t>
            </w:r>
            <w:r>
              <w:rPr>
                <w:rFonts w:hint="eastAsia" w:hAnsi="宋体"/>
                <w:bCs/>
                <w:sz w:val="22"/>
                <w:szCs w:val="22"/>
              </w:rPr>
              <w:t>分）评定范围：</w:t>
            </w:r>
            <w:r>
              <w:rPr>
                <w:rFonts w:hint="eastAsia" w:hAnsi="宋体" w:cs="宋体"/>
              </w:rPr>
              <w:t>实施方案条理清晰、方案明确，很好地满足项目的需要，实施方案科学合理；有明确合理的工程进度计划和管理措施；有明确的项目实施保障措施，针对性强；对质量有详细的保证措施，质量保证到位；验收措施合理、到位。拟投入本项目的项目负责人需同时具有高级信息系统项目管理师认证证书、信息系统监理师资格证书，实施人员中至少具备高级数据咨询师1人及以上高级工程师3人及以上（至少1人为教授级高级工程师）、工程师6人及以上（以上人员请提供资质证书复印件及</w:t>
            </w:r>
            <w:r>
              <w:rPr>
                <w:rFonts w:hint="eastAsia" w:hAnsi="宋体"/>
                <w:bCs/>
                <w:sz w:val="22"/>
                <w:szCs w:val="22"/>
              </w:rPr>
              <w:t>磋商供应商</w:t>
            </w:r>
            <w:r>
              <w:rPr>
                <w:rFonts w:hint="eastAsia" w:hAnsi="宋体" w:cs="宋体"/>
              </w:rPr>
              <w:t>为其缴纳的磋商截止日期之前近三个月社保局出具的社保证明）。</w:t>
            </w:r>
          </w:p>
          <w:p>
            <w:pPr>
              <w:pStyle w:val="9"/>
              <w:spacing w:line="380" w:lineRule="exact"/>
              <w:ind w:firstLine="315" w:firstLineChars="150"/>
              <w:rPr>
                <w:rFonts w:hAnsi="宋体" w:cs="宋体"/>
              </w:rPr>
            </w:pPr>
            <w:r>
              <w:rPr>
                <w:rFonts w:hint="eastAsia" w:hAnsi="宋体"/>
                <w:szCs w:val="21"/>
              </w:rPr>
              <w:t>注：社保缴纳查询内容显示时间为2020年0</w:t>
            </w:r>
            <w:r>
              <w:rPr>
                <w:rFonts w:hAnsi="宋体"/>
                <w:szCs w:val="21"/>
              </w:rPr>
              <w:t>5</w:t>
            </w:r>
            <w:r>
              <w:rPr>
                <w:rFonts w:hint="eastAsia" w:hAnsi="宋体"/>
                <w:szCs w:val="21"/>
              </w:rPr>
              <w:t>月至2020年0</w:t>
            </w:r>
            <w:r>
              <w:rPr>
                <w:rFonts w:hAnsi="宋体"/>
                <w:szCs w:val="21"/>
              </w:rPr>
              <w:t>7</w:t>
            </w:r>
            <w:r>
              <w:rPr>
                <w:rFonts w:hint="eastAsia" w:hAnsi="宋体"/>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7" w:type="dxa"/>
            <w:vMerge w:val="continue"/>
            <w:vAlign w:val="center"/>
          </w:tcPr>
          <w:p>
            <w:pPr>
              <w:spacing w:line="320" w:lineRule="exact"/>
              <w:jc w:val="left"/>
              <w:rPr>
                <w:rFonts w:asciiTheme="majorEastAsia" w:hAnsiTheme="majorEastAsia" w:eastAsiaTheme="majorEastAsia" w:cstheme="majorEastAsia"/>
                <w:b/>
                <w:sz w:val="22"/>
                <w:szCs w:val="22"/>
              </w:rPr>
            </w:pPr>
          </w:p>
        </w:tc>
        <w:tc>
          <w:tcPr>
            <w:tcW w:w="1535" w:type="dxa"/>
            <w:gridSpan w:val="2"/>
            <w:vAlign w:val="center"/>
          </w:tcPr>
          <w:p>
            <w:pPr>
              <w:widowControl/>
              <w:jc w:val="center"/>
              <w:rPr>
                <w:rFonts w:asciiTheme="majorEastAsia" w:hAnsiTheme="majorEastAsia" w:eastAsiaTheme="majorEastAsia" w:cstheme="majorEastAsia"/>
                <w:kern w:val="0"/>
                <w:sz w:val="22"/>
                <w:szCs w:val="22"/>
              </w:rPr>
            </w:pPr>
            <w:r>
              <w:rPr>
                <w:rFonts w:hint="eastAsia" w:asciiTheme="majorEastAsia" w:hAnsiTheme="majorEastAsia" w:eastAsiaTheme="majorEastAsia" w:cstheme="majorEastAsia"/>
                <w:b/>
                <w:bCs/>
                <w:kern w:val="0"/>
                <w:sz w:val="22"/>
                <w:szCs w:val="22"/>
              </w:rPr>
              <w:t>售后服务（</w:t>
            </w:r>
            <w:r>
              <w:rPr>
                <w:rFonts w:asciiTheme="majorEastAsia" w:hAnsiTheme="majorEastAsia" w:eastAsiaTheme="majorEastAsia" w:cstheme="majorEastAsia"/>
                <w:b/>
                <w:bCs/>
                <w:kern w:val="0"/>
                <w:sz w:val="22"/>
                <w:szCs w:val="22"/>
              </w:rPr>
              <w:t>10</w:t>
            </w:r>
            <w:r>
              <w:rPr>
                <w:rFonts w:hint="eastAsia" w:asciiTheme="majorEastAsia" w:hAnsiTheme="majorEastAsia" w:eastAsiaTheme="majorEastAsia" w:cstheme="majorEastAsia"/>
                <w:b/>
                <w:bCs/>
                <w:kern w:val="0"/>
                <w:sz w:val="22"/>
                <w:szCs w:val="22"/>
              </w:rPr>
              <w:t>分）</w:t>
            </w:r>
          </w:p>
        </w:tc>
        <w:tc>
          <w:tcPr>
            <w:tcW w:w="6715" w:type="dxa"/>
            <w:vAlign w:val="center"/>
          </w:tcPr>
          <w:p>
            <w:pPr>
              <w:pStyle w:val="9"/>
              <w:spacing w:line="380" w:lineRule="exact"/>
              <w:ind w:firstLine="420"/>
              <w:jc w:val="left"/>
              <w:rPr>
                <w:rFonts w:hAnsi="宋体" w:cs="仿宋"/>
                <w:spacing w:val="-4"/>
              </w:rPr>
            </w:pPr>
            <w:r>
              <w:rPr>
                <w:rFonts w:hint="eastAsia" w:hAnsi="宋体" w:cs="仿宋"/>
                <w:spacing w:val="-4"/>
              </w:rPr>
              <w:t>一档（0.1～</w:t>
            </w:r>
            <w:r>
              <w:rPr>
                <w:rFonts w:hAnsi="宋体" w:cs="仿宋"/>
                <w:spacing w:val="-4"/>
              </w:rPr>
              <w:t>3</w:t>
            </w:r>
            <w:r>
              <w:rPr>
                <w:rFonts w:hint="eastAsia" w:hAnsi="宋体" w:cs="仿宋"/>
                <w:spacing w:val="-4"/>
              </w:rPr>
              <w:t xml:space="preserve">分）：提供售后服务方案简单，到达故障现场时间等满足招标文件要求； </w:t>
            </w:r>
          </w:p>
          <w:p>
            <w:pPr>
              <w:pStyle w:val="9"/>
              <w:spacing w:line="380" w:lineRule="exact"/>
              <w:ind w:firstLine="420"/>
              <w:jc w:val="left"/>
              <w:rPr>
                <w:rFonts w:hAnsi="宋体" w:cs="仿宋"/>
                <w:spacing w:val="-4"/>
              </w:rPr>
            </w:pPr>
            <w:r>
              <w:rPr>
                <w:rFonts w:hint="eastAsia" w:hAnsi="宋体" w:cs="仿宋"/>
                <w:spacing w:val="-4"/>
              </w:rPr>
              <w:t>二档（</w:t>
            </w:r>
            <w:r>
              <w:rPr>
                <w:rFonts w:hAnsi="宋体" w:cs="仿宋"/>
                <w:spacing w:val="-4"/>
              </w:rPr>
              <w:t>3</w:t>
            </w:r>
            <w:r>
              <w:rPr>
                <w:rFonts w:hint="eastAsia" w:hAnsi="宋体" w:cs="仿宋"/>
                <w:spacing w:val="-4"/>
              </w:rPr>
              <w:t>.1～</w:t>
            </w:r>
            <w:r>
              <w:rPr>
                <w:rFonts w:hAnsi="宋体" w:cs="仿宋"/>
                <w:spacing w:val="-4"/>
              </w:rPr>
              <w:t>6</w:t>
            </w:r>
            <w:r>
              <w:rPr>
                <w:rFonts w:hint="eastAsia" w:hAnsi="宋体" w:cs="仿宋"/>
                <w:spacing w:val="-4"/>
              </w:rPr>
              <w:t>分）：售后服务方案比较细致、合理、可行，保障响应措施较有力，服务经验较丰富，满足招标文件的要求。磋商供应商为本项目提供的售后服务人员至少具备高级工程师1人及助理工程师5人及以上资格的工程师证书（以上人员请提供资质证书复印件及磋商供应为其缴纳的磋商截止日期之前近三个月社保局出具的社保证明复印件）。</w:t>
            </w:r>
          </w:p>
          <w:p>
            <w:pPr>
              <w:pStyle w:val="9"/>
              <w:spacing w:line="380" w:lineRule="exact"/>
              <w:ind w:firstLine="420"/>
              <w:jc w:val="left"/>
              <w:rPr>
                <w:rFonts w:hAnsi="宋体" w:cs="仿宋"/>
                <w:spacing w:val="-4"/>
              </w:rPr>
            </w:pPr>
            <w:r>
              <w:rPr>
                <w:rFonts w:hint="eastAsia" w:hAnsi="宋体" w:cs="仿宋"/>
                <w:spacing w:val="-4"/>
              </w:rPr>
              <w:t>三档（</w:t>
            </w:r>
            <w:r>
              <w:rPr>
                <w:rFonts w:hAnsi="宋体" w:cs="仿宋"/>
                <w:spacing w:val="-4"/>
              </w:rPr>
              <w:t>6</w:t>
            </w:r>
            <w:r>
              <w:rPr>
                <w:rFonts w:hint="eastAsia" w:hAnsi="宋体" w:cs="仿宋"/>
                <w:spacing w:val="-4"/>
              </w:rPr>
              <w:t>.1～1</w:t>
            </w:r>
            <w:r>
              <w:rPr>
                <w:rFonts w:hAnsi="宋体" w:cs="仿宋"/>
                <w:spacing w:val="-4"/>
              </w:rPr>
              <w:t>0</w:t>
            </w:r>
            <w:r>
              <w:rPr>
                <w:rFonts w:hint="eastAsia" w:hAnsi="宋体" w:cs="仿宋"/>
                <w:spacing w:val="-4"/>
              </w:rPr>
              <w:t>分）：售后服务方案比较细致、合理、可行，保障响应措施较有力，服务经验丰富，并承诺提供 7×24 售后服务热线，响应时间短，快捷、迅速，有该项目详细的系统建设的售后服务方案、售后服务流程、应急预案、质量保障方案。磋商供应为本项目提供的售后服务人员至少具备高级工程师1人及助理工程师</w:t>
            </w:r>
            <w:r>
              <w:rPr>
                <w:rFonts w:hAnsi="宋体" w:cs="仿宋"/>
                <w:spacing w:val="-4"/>
              </w:rPr>
              <w:t>8</w:t>
            </w:r>
            <w:r>
              <w:rPr>
                <w:rFonts w:hint="eastAsia" w:hAnsi="宋体" w:cs="仿宋"/>
                <w:spacing w:val="-4"/>
              </w:rPr>
              <w:t>人及以上资格的工程师证书（以上人员请提供资质证书复印件及磋商供应为其缴纳的磋商截止日期之前近三个月社保局出具的社保证明复印件）。竞争性磋商供应商在贺州市有本地化服务机构（以工商注册信息为准，提供营业执照副本复印件及办公场地的租赁证明或房产证复印件并加盖竞争性磋商供应商公章）。</w:t>
            </w:r>
          </w:p>
          <w:p>
            <w:pPr>
              <w:pStyle w:val="9"/>
              <w:spacing w:line="380" w:lineRule="exact"/>
              <w:ind w:firstLine="420"/>
              <w:jc w:val="left"/>
              <w:rPr>
                <w:rFonts w:hAnsi="宋体" w:cs="仿宋"/>
                <w:spacing w:val="-4"/>
              </w:rPr>
            </w:pPr>
            <w:r>
              <w:rPr>
                <w:rFonts w:hint="eastAsia" w:hAnsi="宋体"/>
                <w:szCs w:val="21"/>
              </w:rPr>
              <w:t>注：社保缴纳查询内容显示时间为2020年0</w:t>
            </w:r>
            <w:r>
              <w:rPr>
                <w:rFonts w:hAnsi="宋体"/>
                <w:szCs w:val="21"/>
              </w:rPr>
              <w:t>5</w:t>
            </w:r>
            <w:r>
              <w:rPr>
                <w:rFonts w:hint="eastAsia" w:hAnsi="宋体"/>
                <w:szCs w:val="21"/>
              </w:rPr>
              <w:t>月至2020年0</w:t>
            </w:r>
            <w:r>
              <w:rPr>
                <w:rFonts w:hAnsi="宋体"/>
                <w:szCs w:val="21"/>
              </w:rPr>
              <w:t>7</w:t>
            </w:r>
            <w:r>
              <w:rPr>
                <w:rFonts w:hint="eastAsia" w:hAnsi="宋体"/>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7" w:type="dxa"/>
            <w:vAlign w:val="center"/>
          </w:tcPr>
          <w:p>
            <w:pPr>
              <w:spacing w:line="320" w:lineRule="exact"/>
              <w:jc w:val="left"/>
              <w:rPr>
                <w:rFonts w:asciiTheme="majorEastAsia" w:hAnsiTheme="majorEastAsia" w:eastAsiaTheme="majorEastAsia" w:cstheme="majorEastAsia"/>
                <w:b/>
                <w:sz w:val="22"/>
                <w:szCs w:val="22"/>
              </w:rPr>
            </w:pPr>
            <w:r>
              <w:rPr>
                <w:rFonts w:hint="eastAsia" w:ascii="宋体" w:hAnsi="宋体"/>
                <w:b/>
                <w:bCs/>
              </w:rPr>
              <w:t>政策功能分（节能、环保等）（2分）</w:t>
            </w:r>
            <w:r>
              <w:rPr>
                <w:rFonts w:hint="eastAsia" w:asciiTheme="majorEastAsia" w:hAnsiTheme="majorEastAsia" w:eastAsiaTheme="majorEastAsia" w:cstheme="majorEastAsia"/>
                <w:b/>
                <w:sz w:val="22"/>
                <w:szCs w:val="22"/>
              </w:rPr>
              <w:t>【</w:t>
            </w:r>
            <w:r>
              <w:rPr>
                <w:rFonts w:hint="eastAsia" w:asciiTheme="majorEastAsia" w:hAnsiTheme="majorEastAsia" w:eastAsiaTheme="majorEastAsia" w:cstheme="majorEastAsia"/>
                <w:b/>
                <w:bCs/>
                <w:sz w:val="22"/>
                <w:szCs w:val="22"/>
              </w:rPr>
              <w:t>由评标委员会（磋商小组成员）进行评审。</w:t>
            </w:r>
            <w:r>
              <w:rPr>
                <w:rFonts w:hint="eastAsia" w:asciiTheme="majorEastAsia" w:hAnsiTheme="majorEastAsia" w:eastAsiaTheme="majorEastAsia" w:cstheme="majorEastAsia"/>
                <w:b/>
                <w:sz w:val="22"/>
                <w:szCs w:val="22"/>
              </w:rPr>
              <w:t>】</w:t>
            </w:r>
          </w:p>
        </w:tc>
        <w:tc>
          <w:tcPr>
            <w:tcW w:w="1535" w:type="dxa"/>
            <w:gridSpan w:val="2"/>
            <w:vAlign w:val="center"/>
          </w:tcPr>
          <w:p>
            <w:pPr>
              <w:widowControl/>
              <w:jc w:val="center"/>
              <w:rPr>
                <w:rFonts w:asciiTheme="majorEastAsia" w:hAnsiTheme="majorEastAsia" w:eastAsiaTheme="majorEastAsia" w:cstheme="majorEastAsia"/>
                <w:b/>
                <w:bCs/>
                <w:kern w:val="0"/>
                <w:sz w:val="22"/>
                <w:szCs w:val="22"/>
              </w:rPr>
            </w:pPr>
            <w:r>
              <w:rPr>
                <w:rFonts w:hint="eastAsia" w:ascii="宋体" w:hAnsi="宋体"/>
                <w:b/>
                <w:bCs/>
              </w:rPr>
              <w:t>政策功能分（节能、环保等）（2分）</w:t>
            </w:r>
          </w:p>
        </w:tc>
        <w:tc>
          <w:tcPr>
            <w:tcW w:w="6715" w:type="dxa"/>
            <w:vAlign w:val="center"/>
          </w:tcPr>
          <w:p>
            <w:pPr>
              <w:pStyle w:val="9"/>
              <w:spacing w:line="380" w:lineRule="exact"/>
              <w:ind w:firstLine="420" w:firstLineChars="200"/>
              <w:rPr>
                <w:rFonts w:hAnsi="宋体"/>
                <w:szCs w:val="24"/>
              </w:rPr>
            </w:pPr>
            <w:r>
              <w:rPr>
                <w:rFonts w:hint="eastAsia" w:hAnsi="宋体"/>
                <w:szCs w:val="24"/>
              </w:rPr>
              <w:t>（1）磋商主要产品列入最新节能产品政府采购清单的（适用于非强制采购节能产品，项号数占三分之一及以上，提供磋商产品所投产品型号在中国政府采购网（http://www.ccgp.gov.cn） 上属于节能产品的查询结果打印材料或国家认可的节能产品认证机构颁发的节能产品认证证书复印件，并加盖磋商供应商公章），得1分。</w:t>
            </w:r>
          </w:p>
          <w:p>
            <w:pPr>
              <w:pStyle w:val="9"/>
              <w:spacing w:line="380" w:lineRule="exact"/>
              <w:ind w:firstLine="420" w:firstLineChars="200"/>
              <w:rPr>
                <w:rFonts w:hAnsi="宋体"/>
                <w:bCs/>
                <w:sz w:val="22"/>
                <w:szCs w:val="22"/>
              </w:rPr>
            </w:pPr>
            <w:r>
              <w:rPr>
                <w:rFonts w:hint="eastAsia" w:hAnsi="宋体"/>
                <w:szCs w:val="24"/>
              </w:rPr>
              <w:t>（2）磋商主要产品列入最新环保标志产品政府采购清单（适用于非强制采购节能产品，项号数占三分之一及以上，提供磋商产品所投产品型号在中国政府采购网（http://www.ccgp.gov.cn） 上属于节能产品的查询结果打印材料或国家认可的节能产品认证机构颁发的节能产品认证证书复印件，并加盖磋商供应商公章），得1分。</w:t>
            </w:r>
          </w:p>
        </w:tc>
      </w:tr>
    </w:tbl>
    <w:p>
      <w:pPr>
        <w:rPr>
          <w:rFonts w:ascii="黑体" w:hAnsi="宋体" w:eastAsia="黑体"/>
          <w:b/>
          <w:sz w:val="28"/>
          <w:szCs w:val="28"/>
        </w:rPr>
      </w:pPr>
      <w:r>
        <w:rPr>
          <w:rFonts w:ascii="黑体" w:hAnsi="宋体" w:eastAsia="黑体"/>
          <w:b/>
          <w:sz w:val="28"/>
          <w:szCs w:val="28"/>
        </w:rPr>
        <w:br w:type="page"/>
      </w:r>
    </w:p>
    <w:p>
      <w:pPr>
        <w:spacing w:line="400" w:lineRule="exact"/>
        <w:jc w:val="center"/>
        <w:rPr>
          <w:rFonts w:ascii="黑体" w:hAnsi="宋体" w:eastAsia="黑体"/>
          <w:b/>
          <w:sz w:val="28"/>
          <w:szCs w:val="28"/>
        </w:rPr>
      </w:pPr>
      <w:r>
        <w:rPr>
          <w:rFonts w:hint="eastAsia" w:ascii="黑体" w:hAnsi="宋体" w:eastAsia="黑体"/>
          <w:b/>
          <w:sz w:val="28"/>
          <w:szCs w:val="28"/>
        </w:rPr>
        <w:t>评标办法正本部分</w:t>
      </w:r>
    </w:p>
    <w:p>
      <w:pPr>
        <w:spacing w:line="400" w:lineRule="exact"/>
        <w:ind w:left="210" w:leftChars="100" w:firstLine="164" w:firstLineChars="78"/>
        <w:rPr>
          <w:rFonts w:ascii="宋体" w:hAnsi="宋体"/>
          <w:b/>
          <w:bCs/>
          <w:szCs w:val="21"/>
        </w:rPr>
      </w:pPr>
      <w:r>
        <w:rPr>
          <w:rFonts w:hint="eastAsia" w:ascii="宋体" w:hAnsi="宋体"/>
          <w:b/>
          <w:bCs/>
          <w:szCs w:val="21"/>
        </w:rPr>
        <w:t>1.评标原则</w:t>
      </w:r>
    </w:p>
    <w:p>
      <w:pPr>
        <w:spacing w:line="400" w:lineRule="exact"/>
        <w:ind w:left="210" w:leftChars="100" w:firstLine="163" w:firstLineChars="78"/>
        <w:outlineLvl w:val="0"/>
        <w:rPr>
          <w:rFonts w:ascii="宋体" w:hAnsi="Courier New" w:cs="宋体"/>
          <w:bCs/>
          <w:szCs w:val="21"/>
          <w:lang w:val="zh-CN" w:bidi="zh-CN"/>
        </w:rPr>
      </w:pPr>
      <w:bookmarkStart w:id="119" w:name="_Toc6069"/>
      <w:bookmarkStart w:id="120" w:name="_Toc14405"/>
      <w:r>
        <w:rPr>
          <w:rFonts w:hint="eastAsia" w:ascii="宋体" w:hAnsi="Courier New" w:cs="宋体"/>
          <w:bCs/>
          <w:szCs w:val="21"/>
          <w:lang w:val="zh-CN" w:bidi="zh-CN"/>
        </w:rPr>
        <w:t>1.1评标活动遵循公平、公正、科学和择优的原则。</w:t>
      </w:r>
      <w:bookmarkEnd w:id="119"/>
      <w:bookmarkEnd w:id="120"/>
    </w:p>
    <w:p>
      <w:pPr>
        <w:spacing w:line="400" w:lineRule="exact"/>
        <w:ind w:left="210" w:leftChars="100" w:firstLine="164" w:firstLineChars="78"/>
        <w:rPr>
          <w:rFonts w:ascii="宋体" w:hAnsi="宋体"/>
          <w:b/>
          <w:bCs/>
          <w:szCs w:val="21"/>
        </w:rPr>
      </w:pPr>
      <w:r>
        <w:rPr>
          <w:rFonts w:hint="eastAsia" w:ascii="宋体" w:hAnsi="宋体"/>
          <w:b/>
          <w:bCs/>
          <w:szCs w:val="21"/>
        </w:rPr>
        <w:t>2.评标保密</w:t>
      </w:r>
    </w:p>
    <w:p>
      <w:pPr>
        <w:spacing w:line="400" w:lineRule="exact"/>
        <w:ind w:left="210" w:leftChars="100" w:firstLine="163" w:firstLineChars="78"/>
        <w:rPr>
          <w:rFonts w:ascii="宋体" w:hAnsi="Courier New" w:cs="宋体"/>
          <w:bCs/>
          <w:szCs w:val="21"/>
          <w:lang w:val="zh-CN" w:bidi="zh-CN"/>
        </w:rPr>
      </w:pPr>
      <w:r>
        <w:rPr>
          <w:rFonts w:hint="eastAsia" w:ascii="宋体" w:hAnsi="Courier New" w:cs="宋体"/>
          <w:bCs/>
          <w:szCs w:val="21"/>
          <w:lang w:val="zh-CN" w:bidi="zh-CN"/>
        </w:rPr>
        <w:t>2.1</w:t>
      </w:r>
      <w:r>
        <w:rPr>
          <w:rFonts w:hint="eastAsia" w:hAnsi="Courier New" w:cs="宋体"/>
          <w:bCs/>
          <w:szCs w:val="21"/>
          <w:lang w:val="zh-CN" w:bidi="zh-CN"/>
        </w:rPr>
        <w:t>采购代理机构</w:t>
      </w:r>
      <w:r>
        <w:rPr>
          <w:rFonts w:hint="eastAsia" w:ascii="宋体" w:hAnsi="Courier New" w:cs="宋体"/>
          <w:bCs/>
          <w:szCs w:val="21"/>
          <w:lang w:val="zh-CN" w:bidi="zh-CN"/>
        </w:rPr>
        <w:t>项目负责人宣读评标现场纪律要求，集中管理通讯工具，询问在场人员是否申请回避。</w:t>
      </w:r>
    </w:p>
    <w:p>
      <w:pPr>
        <w:spacing w:line="400" w:lineRule="exact"/>
        <w:ind w:left="210" w:leftChars="100" w:firstLine="163" w:firstLineChars="78"/>
        <w:rPr>
          <w:rFonts w:ascii="宋体" w:hAnsi="Courier New" w:cs="宋体"/>
          <w:bCs/>
          <w:szCs w:val="21"/>
          <w:lang w:val="zh-CN" w:bidi="zh-CN"/>
        </w:rPr>
      </w:pPr>
      <w:r>
        <w:rPr>
          <w:rFonts w:hint="eastAsia" w:ascii="宋体" w:hAnsi="Courier New" w:cs="宋体"/>
          <w:bCs/>
          <w:szCs w:val="21"/>
          <w:lang w:val="zh-CN" w:bidi="zh-CN"/>
        </w:rPr>
        <w:t>2.2评标在严格保密的情况下进行，任何单位和个人不得非法干预、影响评标办法和评标标准的确定，以及评标过程和结果。</w:t>
      </w:r>
      <w:r>
        <w:rPr>
          <w:rFonts w:hint="eastAsia" w:hAnsi="Courier New" w:cs="宋体"/>
          <w:bCs/>
          <w:szCs w:val="21"/>
          <w:lang w:val="zh-CN" w:bidi="zh-CN"/>
        </w:rPr>
        <w:t>磋商小组（评标委员会）</w:t>
      </w:r>
      <w:r>
        <w:rPr>
          <w:rFonts w:hint="eastAsia" w:ascii="宋体" w:hAnsi="Courier New" w:cs="宋体"/>
          <w:bCs/>
          <w:szCs w:val="21"/>
          <w:lang w:val="zh-CN" w:bidi="zh-CN"/>
        </w:rPr>
        <w:t>成员和参与评标的有关工作人员不得透露对</w:t>
      </w:r>
      <w:r>
        <w:rPr>
          <w:rFonts w:hint="eastAsia" w:hAnsi="Courier New" w:cs="宋体"/>
          <w:bCs/>
          <w:szCs w:val="21"/>
          <w:lang w:val="zh-CN" w:bidi="zh-CN"/>
        </w:rPr>
        <w:t>响应文件</w:t>
      </w:r>
      <w:r>
        <w:rPr>
          <w:rFonts w:hint="eastAsia" w:ascii="宋体" w:hAnsi="Courier New" w:cs="宋体"/>
          <w:bCs/>
          <w:szCs w:val="21"/>
          <w:lang w:val="zh-CN" w:bidi="zh-CN"/>
        </w:rPr>
        <w:t>的评审和比较、</w:t>
      </w:r>
      <w:r>
        <w:rPr>
          <w:rFonts w:hint="eastAsia" w:hAnsi="Courier New" w:cs="宋体"/>
          <w:bCs/>
          <w:szCs w:val="21"/>
          <w:lang w:val="zh-CN" w:bidi="zh-CN"/>
        </w:rPr>
        <w:t>成交候选人</w:t>
      </w:r>
      <w:r>
        <w:rPr>
          <w:rFonts w:hint="eastAsia" w:ascii="宋体" w:hAnsi="Courier New" w:cs="宋体"/>
          <w:bCs/>
          <w:szCs w:val="21"/>
          <w:lang w:val="zh-CN" w:bidi="zh-CN"/>
        </w:rPr>
        <w:t>的推荐情况以及与评标有关的其他情况。</w:t>
      </w:r>
    </w:p>
    <w:p>
      <w:pPr>
        <w:spacing w:line="400" w:lineRule="exact"/>
        <w:ind w:left="210" w:leftChars="100" w:firstLine="164" w:firstLineChars="78"/>
        <w:rPr>
          <w:rFonts w:ascii="宋体" w:hAnsi="宋体"/>
          <w:b/>
          <w:bCs/>
          <w:szCs w:val="21"/>
        </w:rPr>
      </w:pPr>
      <w:r>
        <w:rPr>
          <w:rFonts w:hint="eastAsia" w:ascii="宋体" w:hAnsi="宋体"/>
          <w:b/>
          <w:bCs/>
          <w:szCs w:val="21"/>
        </w:rPr>
        <w:t>3.评标办法和评标标准</w:t>
      </w:r>
    </w:p>
    <w:p>
      <w:pPr>
        <w:spacing w:line="400" w:lineRule="exact"/>
        <w:ind w:left="210" w:leftChars="100" w:firstLine="163" w:firstLineChars="78"/>
        <w:rPr>
          <w:rFonts w:ascii="宋体" w:hAnsi="Courier New" w:cs="宋体"/>
          <w:bCs/>
          <w:szCs w:val="21"/>
          <w:lang w:val="zh-CN" w:bidi="zh-CN"/>
        </w:rPr>
      </w:pPr>
      <w:r>
        <w:rPr>
          <w:rFonts w:hint="eastAsia" w:ascii="宋体" w:hAnsi="Courier New" w:cs="宋体"/>
          <w:bCs/>
          <w:szCs w:val="21"/>
          <w:lang w:val="zh-CN" w:bidi="zh-CN"/>
        </w:rPr>
        <w:t>3.1</w:t>
      </w:r>
      <w:r>
        <w:rPr>
          <w:rFonts w:hint="eastAsia" w:hAnsi="Courier New" w:cs="宋体"/>
          <w:bCs/>
          <w:szCs w:val="21"/>
          <w:lang w:val="zh-CN" w:bidi="zh-CN"/>
        </w:rPr>
        <w:t>磋商小组</w:t>
      </w:r>
      <w:r>
        <w:rPr>
          <w:rFonts w:hint="eastAsia" w:ascii="宋体" w:hAnsi="Courier New" w:cs="宋体"/>
          <w:bCs/>
          <w:szCs w:val="21"/>
          <w:lang w:val="zh-CN" w:bidi="zh-CN"/>
        </w:rPr>
        <w:t>的组成：在监督管理部门的监督下，由</w:t>
      </w:r>
      <w:r>
        <w:rPr>
          <w:rFonts w:hint="eastAsia" w:hAnsi="Courier New" w:cs="宋体"/>
          <w:bCs/>
          <w:szCs w:val="21"/>
          <w:lang w:val="zh-CN" w:bidi="zh-CN"/>
        </w:rPr>
        <w:t>采购人</w:t>
      </w:r>
      <w:r>
        <w:rPr>
          <w:rFonts w:hint="eastAsia" w:ascii="宋体" w:hAnsi="Courier New" w:cs="宋体"/>
          <w:bCs/>
          <w:szCs w:val="21"/>
          <w:lang w:val="zh-CN" w:bidi="zh-CN"/>
        </w:rPr>
        <w:t>代表在评标专家库中随机抽取的评标专家组成。</w:t>
      </w:r>
      <w:r>
        <w:rPr>
          <w:rFonts w:hint="eastAsia" w:hAnsi="Courier New" w:cs="宋体"/>
          <w:bCs/>
          <w:szCs w:val="21"/>
          <w:lang w:val="zh-CN" w:bidi="zh-CN"/>
        </w:rPr>
        <w:t>磋商小组</w:t>
      </w:r>
      <w:r>
        <w:rPr>
          <w:rFonts w:hint="eastAsia" w:ascii="宋体" w:hAnsi="Courier New" w:cs="宋体"/>
          <w:bCs/>
          <w:szCs w:val="21"/>
          <w:lang w:val="zh-CN" w:bidi="zh-CN"/>
        </w:rPr>
        <w:t>为</w:t>
      </w:r>
      <w:r>
        <w:rPr>
          <w:rFonts w:hint="eastAsia" w:hAnsi="Courier New" w:cs="宋体"/>
          <w:bCs/>
          <w:szCs w:val="21"/>
          <w:lang w:bidi="zh-CN"/>
        </w:rPr>
        <w:t>3</w:t>
      </w:r>
      <w:r>
        <w:rPr>
          <w:rFonts w:hint="eastAsia" w:ascii="宋体" w:hAnsi="Courier New" w:cs="宋体"/>
          <w:bCs/>
          <w:szCs w:val="21"/>
          <w:lang w:val="zh-CN" w:bidi="zh-CN"/>
        </w:rPr>
        <w:t>人，其中：</w:t>
      </w:r>
      <w:r>
        <w:rPr>
          <w:rFonts w:hint="eastAsia" w:hAnsi="Courier New" w:cs="宋体"/>
          <w:bCs/>
          <w:szCs w:val="21"/>
          <w:lang w:val="zh-CN" w:bidi="zh-CN"/>
        </w:rPr>
        <w:t>采购人</w:t>
      </w:r>
      <w:r>
        <w:rPr>
          <w:rFonts w:hint="eastAsia" w:ascii="宋体" w:hAnsi="Courier New" w:cs="宋体"/>
          <w:bCs/>
          <w:szCs w:val="21"/>
          <w:lang w:val="zh-CN" w:bidi="zh-CN"/>
        </w:rPr>
        <w:t>代表1人，专家库中随机抽取</w:t>
      </w:r>
      <w:r>
        <w:rPr>
          <w:rFonts w:hint="eastAsia" w:hAnsi="Courier New" w:cs="宋体"/>
          <w:bCs/>
          <w:szCs w:val="21"/>
          <w:lang w:bidi="zh-CN"/>
        </w:rPr>
        <w:t>2</w:t>
      </w:r>
      <w:r>
        <w:rPr>
          <w:rFonts w:hint="eastAsia" w:ascii="宋体" w:hAnsi="Courier New" w:cs="宋体"/>
          <w:bCs/>
          <w:szCs w:val="21"/>
          <w:lang w:val="zh-CN" w:bidi="zh-CN"/>
        </w:rPr>
        <w:t xml:space="preserve">人。                                      </w:t>
      </w:r>
    </w:p>
    <w:p>
      <w:pPr>
        <w:spacing w:line="400" w:lineRule="exact"/>
        <w:ind w:left="210" w:leftChars="100" w:firstLine="163" w:firstLineChars="78"/>
        <w:rPr>
          <w:rFonts w:ascii="宋体" w:hAnsi="Courier New" w:cs="宋体"/>
          <w:bCs/>
          <w:szCs w:val="21"/>
          <w:lang w:val="zh-CN" w:bidi="zh-CN"/>
        </w:rPr>
      </w:pPr>
      <w:r>
        <w:rPr>
          <w:rFonts w:hint="eastAsia" w:ascii="宋体" w:hAnsi="Courier New" w:cs="宋体"/>
          <w:bCs/>
          <w:szCs w:val="21"/>
          <w:lang w:val="zh-CN" w:bidi="zh-CN"/>
        </w:rPr>
        <w:t>3.2</w:t>
      </w:r>
      <w:r>
        <w:rPr>
          <w:rFonts w:hint="eastAsia" w:hAnsi="Courier New" w:cs="宋体"/>
          <w:bCs/>
          <w:szCs w:val="21"/>
          <w:lang w:val="zh-CN" w:bidi="zh-CN"/>
        </w:rPr>
        <w:t>采购</w:t>
      </w:r>
      <w:r>
        <w:rPr>
          <w:rFonts w:hint="eastAsia" w:ascii="宋体" w:hAnsi="Courier New" w:cs="宋体"/>
          <w:bCs/>
          <w:szCs w:val="21"/>
          <w:lang w:val="zh-CN" w:bidi="zh-CN"/>
        </w:rPr>
        <w:t>控制价的确定：见第二章 “</w:t>
      </w:r>
      <w:r>
        <w:rPr>
          <w:rFonts w:hint="eastAsia" w:hAnsi="Courier New" w:cs="宋体"/>
          <w:bCs/>
          <w:szCs w:val="21"/>
          <w:lang w:val="zh-CN" w:bidi="zh-CN"/>
        </w:rPr>
        <w:t>竞争性磋商供应商</w:t>
      </w:r>
      <w:r>
        <w:rPr>
          <w:rFonts w:hint="eastAsia" w:ascii="宋体" w:hAnsi="Courier New" w:cs="宋体"/>
          <w:bCs/>
          <w:szCs w:val="21"/>
          <w:lang w:val="zh-CN" w:bidi="zh-CN"/>
        </w:rPr>
        <w:t>须知前附表”。</w:t>
      </w:r>
    </w:p>
    <w:p>
      <w:pPr>
        <w:pStyle w:val="9"/>
        <w:spacing w:line="400" w:lineRule="exact"/>
        <w:ind w:left="210" w:leftChars="100" w:firstLine="163" w:firstLineChars="78"/>
        <w:rPr>
          <w:bCs/>
          <w:szCs w:val="21"/>
        </w:rPr>
      </w:pPr>
      <w:r>
        <w:rPr>
          <w:rFonts w:hint="eastAsia"/>
          <w:bCs/>
          <w:szCs w:val="21"/>
        </w:rPr>
        <w:t>3.3本次评标采用综合评分法。</w:t>
      </w:r>
    </w:p>
    <w:p>
      <w:pPr>
        <w:pStyle w:val="9"/>
        <w:spacing w:line="400" w:lineRule="exact"/>
        <w:ind w:left="210" w:leftChars="100" w:firstLine="163" w:firstLineChars="78"/>
        <w:rPr>
          <w:bCs/>
          <w:szCs w:val="21"/>
        </w:rPr>
      </w:pPr>
      <w:r>
        <w:rPr>
          <w:rFonts w:hint="eastAsia"/>
          <w:bCs/>
          <w:szCs w:val="21"/>
        </w:rPr>
        <w:t>（1）磋商小组（评标委员会）按照本章“评标方法和评标标准”规定的方法、评审因素和标准对响应文件进行评审。在评标中，不得改变第六章“评标方法和评标标准”规定的方法、评审因素和标准；第六章“评标方法和评标标准”没有规定的方法、评审因素和标准，不作为评标依据。</w:t>
      </w:r>
    </w:p>
    <w:p>
      <w:pPr>
        <w:pStyle w:val="9"/>
        <w:spacing w:line="400" w:lineRule="exact"/>
        <w:ind w:left="210" w:leftChars="100" w:firstLine="163" w:firstLineChars="78"/>
        <w:rPr>
          <w:bCs/>
          <w:szCs w:val="21"/>
        </w:rPr>
      </w:pPr>
      <w:r>
        <w:rPr>
          <w:rFonts w:hint="eastAsia"/>
          <w:bCs/>
          <w:szCs w:val="21"/>
        </w:rPr>
        <w:t>（2）磋商小组（评标委员会）依据本章“评标方法和评标标准”对竞争性磋商供应商响应文件进行评审。磋商小组（评标委员会）对满足竞争性磋商文件实质性要求的响应文件，按照本章详细评审标准规定的评分标准进行打分，并按综合得分由高到低顺序推荐成交候选人。经评审的得分分值相等时，磋商报价低的优先，磋商报价也相等的，由采购人自行确定。</w:t>
      </w:r>
    </w:p>
    <w:p>
      <w:pPr>
        <w:pStyle w:val="9"/>
        <w:spacing w:line="400" w:lineRule="exact"/>
        <w:ind w:left="210" w:leftChars="100" w:firstLine="164" w:firstLineChars="78"/>
        <w:rPr>
          <w:b/>
          <w:bCs/>
          <w:szCs w:val="21"/>
        </w:rPr>
      </w:pPr>
      <w:r>
        <w:rPr>
          <w:rFonts w:hint="eastAsia"/>
          <w:b/>
          <w:bCs/>
          <w:szCs w:val="21"/>
        </w:rPr>
        <w:t>4.评标程序：</w:t>
      </w:r>
    </w:p>
    <w:p>
      <w:pPr>
        <w:pStyle w:val="9"/>
        <w:spacing w:line="400" w:lineRule="exact"/>
        <w:ind w:left="210" w:leftChars="100" w:firstLine="163" w:firstLineChars="78"/>
        <w:rPr>
          <w:bCs/>
          <w:szCs w:val="21"/>
        </w:rPr>
      </w:pPr>
      <w:r>
        <w:rPr>
          <w:rFonts w:hint="eastAsia"/>
          <w:bCs/>
          <w:szCs w:val="21"/>
        </w:rPr>
        <w:t>4.1采购代理机构项目负责人介绍项目概况及磋商小组（评标委员会）组成情况，推选评标组长。</w:t>
      </w:r>
    </w:p>
    <w:p>
      <w:pPr>
        <w:pStyle w:val="9"/>
        <w:spacing w:line="400" w:lineRule="exact"/>
        <w:ind w:left="210" w:leftChars="100" w:firstLine="163" w:firstLineChars="78"/>
        <w:rPr>
          <w:bCs/>
          <w:szCs w:val="21"/>
        </w:rPr>
      </w:pPr>
      <w:r>
        <w:rPr>
          <w:rFonts w:hint="eastAsia"/>
          <w:bCs/>
          <w:szCs w:val="21"/>
        </w:rPr>
        <w:t>4.2响应文件初审：依据法律法规和竞争性磋商文件的规定，以确定磋商供应商是否具备磋商资格和确定其是否对竞争性磋商文件的实质性要求和条件作出响应。</w:t>
      </w:r>
    </w:p>
    <w:p>
      <w:pPr>
        <w:pStyle w:val="9"/>
        <w:spacing w:line="400" w:lineRule="exact"/>
        <w:ind w:left="210" w:leftChars="100" w:firstLine="163" w:firstLineChars="78"/>
        <w:rPr>
          <w:bCs/>
          <w:szCs w:val="21"/>
        </w:rPr>
      </w:pPr>
      <w:r>
        <w:rPr>
          <w:rFonts w:hint="eastAsia"/>
          <w:bCs/>
          <w:szCs w:val="21"/>
        </w:rPr>
        <w:t>4.3澄清有关问题：对响应文件中含义不明确、同类问题表述不一致或者有明显文字和计算错误的内容，磋商小组（评标委员会）可以书面形式（应当由磋商小组（评标委员会）专家签字）要求竞争性磋商供应商作出必要的澄清、说明或者纠正。竞争性磋商供应商的澄清、说明或者纠正应当采用书面形式，由法定代表人（负责人）或其委托代理人签字或盖章确认，且不得超出响应文件的范围或者改变响应文件的实质性内容。该澄清、说明或者纠正是响应文件的组成部分。</w:t>
      </w:r>
    </w:p>
    <w:p>
      <w:pPr>
        <w:pStyle w:val="9"/>
        <w:spacing w:line="400" w:lineRule="exact"/>
        <w:ind w:left="210" w:leftChars="100" w:firstLine="163" w:firstLineChars="78"/>
        <w:rPr>
          <w:bCs/>
          <w:szCs w:val="21"/>
        </w:rPr>
      </w:pPr>
      <w:r>
        <w:rPr>
          <w:rFonts w:hint="eastAsia"/>
          <w:bCs/>
          <w:szCs w:val="21"/>
        </w:rPr>
        <w:t>4.4详细评审：磋商小组（评标委员会）按竞争性磋商文件中规定的评标方法和标准，对通过初步评审的响应文件进行详细评审。</w:t>
      </w:r>
    </w:p>
    <w:p>
      <w:pPr>
        <w:pStyle w:val="9"/>
        <w:spacing w:line="400" w:lineRule="exact"/>
        <w:ind w:left="210" w:leftChars="100" w:firstLine="163" w:firstLineChars="78"/>
        <w:rPr>
          <w:bCs/>
          <w:szCs w:val="21"/>
        </w:rPr>
      </w:pPr>
      <w:r>
        <w:rPr>
          <w:rFonts w:hint="eastAsia"/>
          <w:bCs/>
          <w:szCs w:val="21"/>
        </w:rPr>
        <w:t>4.5推荐成交候选人。</w:t>
      </w:r>
    </w:p>
    <w:p>
      <w:pPr>
        <w:pStyle w:val="9"/>
        <w:spacing w:line="400" w:lineRule="exact"/>
        <w:ind w:left="210" w:leftChars="100" w:firstLine="163" w:firstLineChars="78"/>
        <w:rPr>
          <w:bCs/>
          <w:szCs w:val="21"/>
        </w:rPr>
      </w:pPr>
      <w:r>
        <w:rPr>
          <w:rFonts w:hint="eastAsia"/>
          <w:bCs/>
          <w:szCs w:val="21"/>
        </w:rPr>
        <w:t>4.6编写评标报告。</w:t>
      </w:r>
    </w:p>
    <w:p>
      <w:pPr>
        <w:pStyle w:val="9"/>
        <w:spacing w:line="400" w:lineRule="exact"/>
        <w:ind w:left="210" w:leftChars="100" w:firstLine="163" w:firstLineChars="78"/>
        <w:rPr>
          <w:bCs/>
          <w:szCs w:val="21"/>
        </w:rPr>
      </w:pPr>
      <w:r>
        <w:rPr>
          <w:rFonts w:hint="eastAsia"/>
          <w:bCs/>
          <w:szCs w:val="21"/>
        </w:rPr>
        <w:t>4.7磋商小组组长对评标过程和评分、评标结论进行核对和复核，如有错漏，请当事评委进行校正，按校正后的结果推荐成交候选人。</w:t>
      </w:r>
    </w:p>
    <w:p>
      <w:pPr>
        <w:pStyle w:val="9"/>
        <w:spacing w:line="400" w:lineRule="exact"/>
        <w:ind w:left="210" w:leftChars="100" w:firstLine="164" w:firstLineChars="78"/>
        <w:rPr>
          <w:b/>
          <w:bCs/>
          <w:szCs w:val="21"/>
        </w:rPr>
      </w:pPr>
      <w:r>
        <w:rPr>
          <w:rFonts w:hint="eastAsia"/>
          <w:b/>
          <w:bCs/>
          <w:szCs w:val="21"/>
        </w:rPr>
        <w:t>5.竞争性磋商供应商对采购人和磋商小组（评标委员会）施加影响的任何行为，都将被取消磋商资格。</w:t>
      </w:r>
    </w:p>
    <w:p/>
    <w:p/>
    <w:p/>
    <w:p/>
    <w:sectPr>
      <w:headerReference r:id="rId15" w:type="first"/>
      <w:footerReference r:id="rId17" w:type="first"/>
      <w:headerReference r:id="rId14" w:type="default"/>
      <w:footerReference r:id="rId16" w:type="default"/>
      <w:pgSz w:w="11906" w:h="16838"/>
      <w:pgMar w:top="1354" w:right="1175" w:bottom="1134" w:left="1071" w:header="567" w:footer="567" w:gutter="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金山简黑体">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
    <w:altName w:val="宋体"/>
    <w:panose1 w:val="00000000000000000000"/>
    <w:charset w:val="86"/>
    <w:family w:val="swiss"/>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06F" w:usb1="1200FBEF" w:usb2="0064C000" w:usb3="00000002" w:csb0="00000001" w:csb1="40000000"/>
  </w:font>
  <w:font w:name="方正仿宋简体">
    <w:altName w:val="宋体"/>
    <w:panose1 w:val="00000000000000000000"/>
    <w:charset w:val="86"/>
    <w:family w:val="auto"/>
    <w:pitch w:val="default"/>
    <w:sig w:usb0="00000000" w:usb1="00000000" w:usb2="00000010" w:usb3="00000000" w:csb0="00040000" w:csb1="00000000"/>
  </w:font>
  <w:font w:name="@方正仿宋简体">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ascii="黑体" w:eastAsia="黑体"/>
        <w:szCs w:val="18"/>
      </w:rPr>
      <w:t>华春建设工程项目管理有限责任公司编制</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ascii="黑体" w:eastAsia="黑体"/>
        <w:szCs w:val="18"/>
      </w:rPr>
      <w:t>华春建设工程项目管理有限责任公司编制</w: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950"/>
        <w:tab w:val="clear" w:pos="4153"/>
      </w:tabs>
      <w:ind w:right="7"/>
      <w:jc w:val="right"/>
      <w:rPr>
        <w:rFonts w:ascii="黑体" w:eastAsia="黑体"/>
        <w:szCs w:val="18"/>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19</w:t>
                    </w:r>
                    <w:r>
                      <w:rPr>
                        <w:rFonts w:hint="eastAsia"/>
                      </w:rPr>
                      <w:fldChar w:fldCharType="end"/>
                    </w:r>
                  </w:p>
                </w:txbxContent>
              </v:textbox>
            </v:shape>
          </w:pict>
        </mc:Fallback>
      </mc:AlternateContent>
    </w:r>
    <w:r>
      <w:rPr>
        <w:rFonts w:hint="eastAsia" w:ascii="黑体" w:eastAsia="黑体"/>
        <w:szCs w:val="18"/>
      </w:rPr>
      <w:t>华春建设工程项目管理有限责任公司编制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18</w:t>
                    </w:r>
                    <w:r>
                      <w:rPr>
                        <w:rFonts w:hint="eastAsia"/>
                      </w:rPr>
                      <w:fldChar w:fldCharType="end"/>
                    </w:r>
                  </w:p>
                </w:txbxContent>
              </v:textbox>
            </v:shape>
          </w:pict>
        </mc:Fallback>
      </mc:AlternateContent>
    </w:r>
    <w:r>
      <w:rPr>
        <w:rFonts w:hint="eastAsia" w:ascii="黑体" w:eastAsia="黑体"/>
        <w:szCs w:val="18"/>
      </w:rPr>
      <w:t>华春建设工程项目管理有限责任公司编制</w:t>
    </w: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40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40</w:t>
                    </w:r>
                    <w:r>
                      <w:rPr>
                        <w:rFonts w:hint="eastAsia"/>
                      </w:rPr>
                      <w:fldChar w:fldCharType="end"/>
                    </w:r>
                  </w:p>
                </w:txbxContent>
              </v:textbox>
            </v:shape>
          </w:pict>
        </mc:Fallback>
      </mc:AlternateContent>
    </w:r>
    <w:r>
      <mc:AlternateContent>
        <mc:Choice Requires="wps">
          <w:drawing>
            <wp:anchor distT="0" distB="0" distL="114300" distR="114300" simplePos="0" relativeHeight="251654144" behindDoc="1" locked="0" layoutInCell="1" allowOverlap="1">
              <wp:simplePos x="0" y="0"/>
              <wp:positionH relativeFrom="page">
                <wp:posOffset>4598670</wp:posOffset>
              </wp:positionH>
              <wp:positionV relativeFrom="page">
                <wp:posOffset>9918700</wp:posOffset>
              </wp:positionV>
              <wp:extent cx="2081530" cy="1504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2081530" cy="150495"/>
                      </a:xfrm>
                      <a:prstGeom prst="rect">
                        <a:avLst/>
                      </a:prstGeom>
                      <a:noFill/>
                      <a:ln>
                        <a:noFill/>
                      </a:ln>
                    </wps:spPr>
                    <wps:txbx>
                      <w:txbxContent>
                        <w:p>
                          <w:pPr>
                            <w:pStyle w:val="11"/>
                            <w:jc w:val="right"/>
                          </w:pPr>
                          <w:r>
                            <w:rPr>
                              <w:rFonts w:hint="eastAsia" w:ascii="黑体" w:eastAsia="黑体"/>
                              <w:szCs w:val="18"/>
                            </w:rPr>
                            <w:t>华春建设工程项目管理有限责任公司编制</w:t>
                          </w:r>
                        </w:p>
                        <w:p>
                          <w:pPr>
                            <w:pStyle w:val="11"/>
                          </w:pPr>
                        </w:p>
                        <w:p/>
                      </w:txbxContent>
                    </wps:txbx>
                    <wps:bodyPr lIns="0" tIns="0" rIns="0" bIns="0" upright="1"/>
                  </wps:wsp>
                </a:graphicData>
              </a:graphic>
            </wp:anchor>
          </w:drawing>
        </mc:Choice>
        <mc:Fallback>
          <w:pict>
            <v:shape id="_x0000_s1026" o:spid="_x0000_s1026" o:spt="202" type="#_x0000_t202" style="position:absolute;left:0pt;margin-left:362.1pt;margin-top:781pt;height:11.85pt;width:163.9pt;mso-position-horizontal-relative:page;mso-position-vertical-relative:page;z-index:-251662336;mso-width-relative:page;mso-height-relative:page;" filled="f" stroked="f" coordsize="21600,21600" o:gfxdata="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CST6QdoAAAAOAQAADwAAAAAA&#10;AAABACAAAAAiAAAAZHJzL2Rvd25yZXYueG1sUEsBAhQAFAAAAAgAh07iQJrP+BOfAQAAJAMAAA4A&#10;AAAAAAAAAQAgAAAAKQEAAGRycy9lMm9Eb2MueG1sUEsFBgAAAAAGAAYAWQEAADoFAAAAAA==&#10;">
              <v:fill on="f" focussize="0,0"/>
              <v:stroke on="f"/>
              <v:imagedata o:title=""/>
              <o:lock v:ext="edit" aspectratio="f"/>
              <v:textbox inset="0mm,0mm,0mm,0mm">
                <w:txbxContent>
                  <w:p>
                    <w:pPr>
                      <w:pStyle w:val="11"/>
                      <w:jc w:val="right"/>
                    </w:pPr>
                    <w:r>
                      <w:rPr>
                        <w:rFonts w:hint="eastAsia" w:ascii="黑体" w:eastAsia="黑体"/>
                        <w:szCs w:val="18"/>
                      </w:rPr>
                      <w:t>华春建设工程项目管理有限责任公司编制</w:t>
                    </w:r>
                  </w:p>
                  <w:p>
                    <w:pPr>
                      <w:pStyle w:val="11"/>
                    </w:pPr>
                  </w:p>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950"/>
        <w:tab w:val="clear" w:pos="4153"/>
      </w:tabs>
      <w:ind w:right="7"/>
      <w:jc w:val="right"/>
      <w:rPr>
        <w:rFonts w:ascii="黑体" w:eastAsia="黑体"/>
        <w:szCs w:val="18"/>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55</w:t>
                    </w:r>
                    <w:r>
                      <w:rPr>
                        <w:rFonts w:hint="eastAsia"/>
                      </w:rPr>
                      <w:fldChar w:fldCharType="end"/>
                    </w:r>
                  </w:p>
                </w:txbxContent>
              </v:textbox>
            </v:shape>
          </w:pict>
        </mc:Fallback>
      </mc:AlternateContent>
    </w:r>
    <w:r>
      <w:rPr>
        <w:rFonts w:hint="eastAsia" w:ascii="黑体" w:eastAsia="黑体"/>
        <w:szCs w:val="18"/>
      </w:rPr>
      <w:t>华春建设工程项目管理有限责任公司编制</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54</w:t>
                    </w:r>
                    <w:r>
                      <w:rPr>
                        <w:rFonts w:hint="eastAsia"/>
                      </w:rPr>
                      <w:fldChar w:fldCharType="end"/>
                    </w:r>
                  </w:p>
                </w:txbxContent>
              </v:textbox>
            </v:shape>
          </w:pict>
        </mc:Fallback>
      </mc:AlternateContent>
    </w:r>
    <w:r>
      <w:rPr>
        <w:rFonts w:hint="eastAsia" w:ascii="黑体" w:eastAsia="黑体"/>
        <w:szCs w:val="18"/>
      </w:rPr>
      <w:t>华春建设工程项目管理有限责任公司编制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9" w:rightChars="-290"/>
      <w:rPr>
        <w:rFonts w:ascii="黑体" w:hAnsi="宋体" w:eastAsia="黑体"/>
        <w:color w:val="000000"/>
        <w:szCs w:val="21"/>
      </w:rPr>
    </w:pPr>
    <w:r>
      <w:rPr>
        <w:rFonts w:hint="eastAsia" w:ascii="黑体" w:hAnsi="宋体" w:eastAsia="黑体"/>
        <w:color w:val="000000"/>
        <w:sz w:val="18"/>
        <w:szCs w:val="18"/>
      </w:rPr>
      <w:t>项目名称：富川瑶族自治县司法局智慧司法项目                                               项目编号：</w:t>
    </w:r>
  </w:p>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9" w:rightChars="-290"/>
      <w:rPr>
        <w:rFonts w:ascii="黑体" w:hAnsi="宋体" w:eastAsia="黑体"/>
        <w:color w:val="000000"/>
        <w:szCs w:val="21"/>
      </w:rPr>
    </w:pPr>
    <w:r>
      <w:rPr>
        <w:rFonts w:hint="eastAsia" w:ascii="黑体" w:hAnsi="宋体" w:eastAsia="黑体"/>
        <w:color w:val="000000"/>
        <w:sz w:val="18"/>
        <w:szCs w:val="18"/>
      </w:rPr>
      <w:t>项目名称：富川瑶族自治县司法局智慧司法项目                项目编号：FCZC2020-C3-230103-HCJS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9" w:rightChars="-290"/>
      <w:rPr>
        <w:rFonts w:ascii="黑体" w:hAnsi="宋体" w:eastAsia="黑体"/>
        <w:color w:val="000000"/>
        <w:szCs w:val="21"/>
      </w:rPr>
    </w:pPr>
    <w:r>
      <w:rPr>
        <w:rFonts w:hint="eastAsia" w:ascii="黑体" w:hAnsi="宋体" w:eastAsia="黑体"/>
        <w:color w:val="000000"/>
        <w:sz w:val="18"/>
        <w:szCs w:val="18"/>
      </w:rPr>
      <w:t>项目名称：富川瑶族自治县司法局智慧司法项目                              项目编号：FCZC2020-C3-230103-HCJS</w:t>
    </w:r>
  </w:p>
  <w:p>
    <w:pPr>
      <w:pStyle w:val="12"/>
      <w:pBdr>
        <w:bottom w:val="none" w:color="auto" w:sz="0" w:space="0"/>
      </w:pBdr>
      <w:ind w:firstLine="1980"/>
      <w:jc w:val="right"/>
      <w:rPr>
        <w:rFonts w:ascii="方正仿宋简体" w:eastAsia="方正仿宋简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9" w:rightChars="-290"/>
      <w:rPr>
        <w:rFonts w:ascii="黑体" w:hAnsi="宋体" w:eastAsia="黑体"/>
        <w:sz w:val="18"/>
        <w:szCs w:val="18"/>
      </w:rPr>
    </w:pPr>
    <w:r>
      <w:rPr>
        <w:rFonts w:hint="eastAsia" w:ascii="黑体" w:hAnsi="宋体" w:eastAsia="黑体"/>
        <w:color w:val="000000"/>
        <w:sz w:val="18"/>
        <w:szCs w:val="18"/>
      </w:rPr>
      <w:t>项目名称：富川瑶族自治县司法局智慧司法项目              项目编号：</w:t>
    </w:r>
    <w:r>
      <w:rPr>
        <w:rFonts w:hint="eastAsia" w:ascii="黑体" w:hAnsi="宋体" w:eastAsia="黑体"/>
        <w:sz w:val="18"/>
        <w:szCs w:val="18"/>
      </w:rPr>
      <w:t xml:space="preserve">  　　　　</w:t>
    </w:r>
  </w:p>
  <w:p>
    <w:pPr>
      <w:jc w:val="center"/>
      <w:rPr>
        <w:rFonts w:ascii="黑体" w:hAnsi="宋体" w:eastAsia="黑体"/>
        <w:sz w:val="18"/>
        <w:szCs w:val="18"/>
      </w:rPr>
    </w:pPr>
    <w:r>
      <w:rPr>
        <w:rFonts w:hint="eastAsia" w:ascii="黑体" w:hAnsi="宋体" w:eastAsia="黑体"/>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2C9BD0"/>
    <w:multiLevelType w:val="singleLevel"/>
    <w:tmpl w:val="8F2C9BD0"/>
    <w:lvl w:ilvl="0" w:tentative="0">
      <w:start w:val="1"/>
      <w:numFmt w:val="decimal"/>
      <w:suff w:val="nothing"/>
      <w:lvlText w:val="%1、"/>
      <w:lvlJc w:val="left"/>
    </w:lvl>
  </w:abstractNum>
  <w:abstractNum w:abstractNumId="1">
    <w:nsid w:val="2E1465B9"/>
    <w:multiLevelType w:val="multilevel"/>
    <w:tmpl w:val="2E1465B9"/>
    <w:lvl w:ilvl="0" w:tentative="0">
      <w:start w:val="1"/>
      <w:numFmt w:val="decimal"/>
      <w:lvlText w:val="%1、"/>
      <w:lvlJc w:val="left"/>
      <w:pPr>
        <w:ind w:left="795" w:hanging="36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2">
    <w:nsid w:val="6E2E3B0B"/>
    <w:multiLevelType w:val="multilevel"/>
    <w:tmpl w:val="6E2E3B0B"/>
    <w:lvl w:ilvl="0" w:tentative="0">
      <w:start w:val="1"/>
      <w:numFmt w:val="decimalEnclosedCircle"/>
      <w:lvlText w:val="%1"/>
      <w:lvlJc w:val="left"/>
      <w:pPr>
        <w:ind w:left="786"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3517FB"/>
    <w:rsid w:val="00014BDE"/>
    <w:rsid w:val="000C6C6D"/>
    <w:rsid w:val="000D51E6"/>
    <w:rsid w:val="000E04EF"/>
    <w:rsid w:val="000E1CFC"/>
    <w:rsid w:val="000F014A"/>
    <w:rsid w:val="00175712"/>
    <w:rsid w:val="001A639B"/>
    <w:rsid w:val="001D2F04"/>
    <w:rsid w:val="001E44D8"/>
    <w:rsid w:val="00205D76"/>
    <w:rsid w:val="0024300D"/>
    <w:rsid w:val="002A6F66"/>
    <w:rsid w:val="002D6376"/>
    <w:rsid w:val="002E1E0F"/>
    <w:rsid w:val="002F2CCE"/>
    <w:rsid w:val="002F5541"/>
    <w:rsid w:val="003568A1"/>
    <w:rsid w:val="00356A51"/>
    <w:rsid w:val="00360FFD"/>
    <w:rsid w:val="003941A5"/>
    <w:rsid w:val="003A5072"/>
    <w:rsid w:val="003A71EC"/>
    <w:rsid w:val="003E3459"/>
    <w:rsid w:val="00424947"/>
    <w:rsid w:val="00430BFC"/>
    <w:rsid w:val="00434CC5"/>
    <w:rsid w:val="00466CF1"/>
    <w:rsid w:val="004B7461"/>
    <w:rsid w:val="00534DC1"/>
    <w:rsid w:val="0055503A"/>
    <w:rsid w:val="00567402"/>
    <w:rsid w:val="0057188A"/>
    <w:rsid w:val="00572EFD"/>
    <w:rsid w:val="00581096"/>
    <w:rsid w:val="00605AA3"/>
    <w:rsid w:val="006756E7"/>
    <w:rsid w:val="00680AAB"/>
    <w:rsid w:val="006B13E2"/>
    <w:rsid w:val="006F4570"/>
    <w:rsid w:val="00727BE3"/>
    <w:rsid w:val="00765C9C"/>
    <w:rsid w:val="00772BE9"/>
    <w:rsid w:val="007864EE"/>
    <w:rsid w:val="00797F68"/>
    <w:rsid w:val="00806352"/>
    <w:rsid w:val="00817B92"/>
    <w:rsid w:val="008844C1"/>
    <w:rsid w:val="008A3A43"/>
    <w:rsid w:val="008C3B06"/>
    <w:rsid w:val="008C7D30"/>
    <w:rsid w:val="008D6125"/>
    <w:rsid w:val="008F391C"/>
    <w:rsid w:val="00986907"/>
    <w:rsid w:val="00995F6F"/>
    <w:rsid w:val="009D7B33"/>
    <w:rsid w:val="00A10AAE"/>
    <w:rsid w:val="00A22D51"/>
    <w:rsid w:val="00A251D0"/>
    <w:rsid w:val="00A64BB4"/>
    <w:rsid w:val="00A97B0C"/>
    <w:rsid w:val="00AB2FA6"/>
    <w:rsid w:val="00B15F79"/>
    <w:rsid w:val="00B26444"/>
    <w:rsid w:val="00B32A99"/>
    <w:rsid w:val="00B404F6"/>
    <w:rsid w:val="00B821B6"/>
    <w:rsid w:val="00BE0ED0"/>
    <w:rsid w:val="00BF1DC6"/>
    <w:rsid w:val="00C27AB5"/>
    <w:rsid w:val="00C44C45"/>
    <w:rsid w:val="00CC5597"/>
    <w:rsid w:val="00CE7D90"/>
    <w:rsid w:val="00CF1292"/>
    <w:rsid w:val="00D37819"/>
    <w:rsid w:val="00D45A87"/>
    <w:rsid w:val="00D61A09"/>
    <w:rsid w:val="00DA5234"/>
    <w:rsid w:val="00DC59A1"/>
    <w:rsid w:val="00DD436F"/>
    <w:rsid w:val="00DE0477"/>
    <w:rsid w:val="00E019DC"/>
    <w:rsid w:val="00E054FD"/>
    <w:rsid w:val="00E766F4"/>
    <w:rsid w:val="00E76FEB"/>
    <w:rsid w:val="00EB415D"/>
    <w:rsid w:val="00EE3337"/>
    <w:rsid w:val="00F02246"/>
    <w:rsid w:val="00F4129D"/>
    <w:rsid w:val="00F62381"/>
    <w:rsid w:val="00F62DAD"/>
    <w:rsid w:val="00F77FFA"/>
    <w:rsid w:val="00F94F61"/>
    <w:rsid w:val="00F9605F"/>
    <w:rsid w:val="00F96228"/>
    <w:rsid w:val="00FA751A"/>
    <w:rsid w:val="00FB28CF"/>
    <w:rsid w:val="00FB2D71"/>
    <w:rsid w:val="00FD11CE"/>
    <w:rsid w:val="00FF3DC2"/>
    <w:rsid w:val="01856DB8"/>
    <w:rsid w:val="04FE1F06"/>
    <w:rsid w:val="05267CD6"/>
    <w:rsid w:val="056B2F5E"/>
    <w:rsid w:val="06723AD1"/>
    <w:rsid w:val="073F1904"/>
    <w:rsid w:val="076D4FC7"/>
    <w:rsid w:val="089041DB"/>
    <w:rsid w:val="0904702C"/>
    <w:rsid w:val="09826D8A"/>
    <w:rsid w:val="0AA0673D"/>
    <w:rsid w:val="0BB65191"/>
    <w:rsid w:val="0BF60E22"/>
    <w:rsid w:val="0CB66050"/>
    <w:rsid w:val="0CD55F6A"/>
    <w:rsid w:val="0D565CF1"/>
    <w:rsid w:val="0D844922"/>
    <w:rsid w:val="0E5872E5"/>
    <w:rsid w:val="0E995215"/>
    <w:rsid w:val="10541FD3"/>
    <w:rsid w:val="10A75340"/>
    <w:rsid w:val="11DD63A4"/>
    <w:rsid w:val="11E90BF5"/>
    <w:rsid w:val="13343B65"/>
    <w:rsid w:val="13AE73E5"/>
    <w:rsid w:val="14184856"/>
    <w:rsid w:val="144A15F0"/>
    <w:rsid w:val="14DB4F2A"/>
    <w:rsid w:val="15AB2298"/>
    <w:rsid w:val="17ED07F3"/>
    <w:rsid w:val="19777E24"/>
    <w:rsid w:val="1A981526"/>
    <w:rsid w:val="1BB66D65"/>
    <w:rsid w:val="1BEC090D"/>
    <w:rsid w:val="1C0A6BB5"/>
    <w:rsid w:val="1C7A1F13"/>
    <w:rsid w:val="1CE83CD7"/>
    <w:rsid w:val="1DA34A89"/>
    <w:rsid w:val="1DF25EE6"/>
    <w:rsid w:val="1E626D9B"/>
    <w:rsid w:val="1F0703BC"/>
    <w:rsid w:val="1F865635"/>
    <w:rsid w:val="211B600E"/>
    <w:rsid w:val="220B188B"/>
    <w:rsid w:val="229D4850"/>
    <w:rsid w:val="25320A68"/>
    <w:rsid w:val="268F6465"/>
    <w:rsid w:val="27093547"/>
    <w:rsid w:val="27B0644D"/>
    <w:rsid w:val="27B6200C"/>
    <w:rsid w:val="27CC64DF"/>
    <w:rsid w:val="286C5B80"/>
    <w:rsid w:val="2A2E3D9A"/>
    <w:rsid w:val="2A33433E"/>
    <w:rsid w:val="2B5534AE"/>
    <w:rsid w:val="2B6839C7"/>
    <w:rsid w:val="2BB91A11"/>
    <w:rsid w:val="2D923C6C"/>
    <w:rsid w:val="2E7B722D"/>
    <w:rsid w:val="2E9B2C37"/>
    <w:rsid w:val="3070187C"/>
    <w:rsid w:val="30C86D8F"/>
    <w:rsid w:val="30F900AF"/>
    <w:rsid w:val="31094116"/>
    <w:rsid w:val="319C70C4"/>
    <w:rsid w:val="32985B1B"/>
    <w:rsid w:val="331A1ACF"/>
    <w:rsid w:val="33A26C65"/>
    <w:rsid w:val="349218A9"/>
    <w:rsid w:val="36B72523"/>
    <w:rsid w:val="37157505"/>
    <w:rsid w:val="38E7170B"/>
    <w:rsid w:val="39D87EEA"/>
    <w:rsid w:val="3AED4270"/>
    <w:rsid w:val="3B4F4FEB"/>
    <w:rsid w:val="3BF10ABC"/>
    <w:rsid w:val="3C1F6E9B"/>
    <w:rsid w:val="3C23411E"/>
    <w:rsid w:val="3D440B7D"/>
    <w:rsid w:val="3E7B4E70"/>
    <w:rsid w:val="3F3959AA"/>
    <w:rsid w:val="3F953CAA"/>
    <w:rsid w:val="405552C9"/>
    <w:rsid w:val="410B3D25"/>
    <w:rsid w:val="416C62DE"/>
    <w:rsid w:val="421A0E52"/>
    <w:rsid w:val="42CC1347"/>
    <w:rsid w:val="436953D8"/>
    <w:rsid w:val="444938B0"/>
    <w:rsid w:val="448748DE"/>
    <w:rsid w:val="4496031E"/>
    <w:rsid w:val="44F42A33"/>
    <w:rsid w:val="456220D3"/>
    <w:rsid w:val="481A5830"/>
    <w:rsid w:val="48201344"/>
    <w:rsid w:val="48586CF6"/>
    <w:rsid w:val="48D97A59"/>
    <w:rsid w:val="492C603C"/>
    <w:rsid w:val="49474D47"/>
    <w:rsid w:val="49AE4BF3"/>
    <w:rsid w:val="4A47091E"/>
    <w:rsid w:val="4A8B246D"/>
    <w:rsid w:val="4AAC152E"/>
    <w:rsid w:val="4ADE510A"/>
    <w:rsid w:val="4B052452"/>
    <w:rsid w:val="4B6444DB"/>
    <w:rsid w:val="4B98004F"/>
    <w:rsid w:val="4BDC3C26"/>
    <w:rsid w:val="4CBC6EC7"/>
    <w:rsid w:val="4CF46E52"/>
    <w:rsid w:val="4E4E7CEE"/>
    <w:rsid w:val="4F0C7B6D"/>
    <w:rsid w:val="4F527C7D"/>
    <w:rsid w:val="4F9D75E4"/>
    <w:rsid w:val="4FAA266D"/>
    <w:rsid w:val="4FD92353"/>
    <w:rsid w:val="4FFF376B"/>
    <w:rsid w:val="520534A1"/>
    <w:rsid w:val="5264434A"/>
    <w:rsid w:val="529D0408"/>
    <w:rsid w:val="53041160"/>
    <w:rsid w:val="53E9195F"/>
    <w:rsid w:val="53F150A6"/>
    <w:rsid w:val="54774DAA"/>
    <w:rsid w:val="55534732"/>
    <w:rsid w:val="5603442E"/>
    <w:rsid w:val="57352950"/>
    <w:rsid w:val="57A05F25"/>
    <w:rsid w:val="57C01432"/>
    <w:rsid w:val="57D112FF"/>
    <w:rsid w:val="588D269A"/>
    <w:rsid w:val="5A2D5BDE"/>
    <w:rsid w:val="5A865DA5"/>
    <w:rsid w:val="5C3517FB"/>
    <w:rsid w:val="5CA421C5"/>
    <w:rsid w:val="5E7C3C7C"/>
    <w:rsid w:val="5FDE0E18"/>
    <w:rsid w:val="613C4542"/>
    <w:rsid w:val="61533946"/>
    <w:rsid w:val="62543928"/>
    <w:rsid w:val="628F1FCA"/>
    <w:rsid w:val="62CA1245"/>
    <w:rsid w:val="63393C9D"/>
    <w:rsid w:val="639177B7"/>
    <w:rsid w:val="63A502E2"/>
    <w:rsid w:val="64696FD7"/>
    <w:rsid w:val="649161E2"/>
    <w:rsid w:val="66DB68E2"/>
    <w:rsid w:val="67223044"/>
    <w:rsid w:val="688E28D1"/>
    <w:rsid w:val="689C434D"/>
    <w:rsid w:val="69B734C0"/>
    <w:rsid w:val="69FF537E"/>
    <w:rsid w:val="6A1E5B31"/>
    <w:rsid w:val="6A834772"/>
    <w:rsid w:val="6AF0685E"/>
    <w:rsid w:val="6B200CC5"/>
    <w:rsid w:val="6C560E48"/>
    <w:rsid w:val="6E3C1D73"/>
    <w:rsid w:val="6F16063C"/>
    <w:rsid w:val="6F172EBD"/>
    <w:rsid w:val="6F291B08"/>
    <w:rsid w:val="6FA47CB0"/>
    <w:rsid w:val="712A45EA"/>
    <w:rsid w:val="71347A0F"/>
    <w:rsid w:val="728E6F51"/>
    <w:rsid w:val="73697131"/>
    <w:rsid w:val="73735592"/>
    <w:rsid w:val="73A60927"/>
    <w:rsid w:val="73EE5E3A"/>
    <w:rsid w:val="749439FD"/>
    <w:rsid w:val="74990827"/>
    <w:rsid w:val="751A0B2A"/>
    <w:rsid w:val="75E51A39"/>
    <w:rsid w:val="75FF5BF2"/>
    <w:rsid w:val="783A6BA4"/>
    <w:rsid w:val="78B9627B"/>
    <w:rsid w:val="796E0290"/>
    <w:rsid w:val="79B80D67"/>
    <w:rsid w:val="79E27170"/>
    <w:rsid w:val="7B1E5E93"/>
    <w:rsid w:val="7B4A568C"/>
    <w:rsid w:val="7DC756D2"/>
    <w:rsid w:val="7E5A7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style>
  <w:style w:type="paragraph" w:styleId="5">
    <w:name w:val="Normal Indent"/>
    <w:basedOn w:val="1"/>
    <w:semiHidden/>
    <w:qFormat/>
    <w:uiPriority w:val="0"/>
    <w:pPr>
      <w:ind w:firstLine="420"/>
    </w:pPr>
    <w:rPr>
      <w:rFonts w:ascii="Arial" w:hAnsi="Arial" w:cs="Arial"/>
      <w:sz w:val="24"/>
    </w:rPr>
  </w:style>
  <w:style w:type="paragraph" w:styleId="6">
    <w:name w:val="annotation text"/>
    <w:basedOn w:val="1"/>
    <w:link w:val="28"/>
    <w:qFormat/>
    <w:uiPriority w:val="0"/>
    <w:pPr>
      <w:jc w:val="left"/>
    </w:pPr>
  </w:style>
  <w:style w:type="paragraph" w:styleId="7">
    <w:name w:val="Body Text 3"/>
    <w:basedOn w:val="1"/>
    <w:qFormat/>
    <w:uiPriority w:val="0"/>
    <w:pPr>
      <w:spacing w:after="120"/>
    </w:pPr>
    <w:rPr>
      <w:sz w:val="16"/>
      <w:szCs w:val="16"/>
    </w:rPr>
  </w:style>
  <w:style w:type="paragraph" w:styleId="8">
    <w:name w:val="Body Text"/>
    <w:basedOn w:val="1"/>
    <w:qFormat/>
    <w:uiPriority w:val="0"/>
    <w:rPr>
      <w:rFonts w:ascii="金山简黑体" w:hAnsi="Courier New" w:eastAsia="金山简黑体"/>
      <w:b/>
      <w:spacing w:val="-8"/>
      <w:sz w:val="44"/>
      <w:szCs w:val="20"/>
    </w:rPr>
  </w:style>
  <w:style w:type="paragraph" w:styleId="9">
    <w:name w:val="Plain Text"/>
    <w:basedOn w:val="1"/>
    <w:link w:val="30"/>
    <w:qFormat/>
    <w:uiPriority w:val="0"/>
    <w:rPr>
      <w:rFonts w:ascii="宋体" w:hAnsi="Courier New"/>
      <w:szCs w:val="20"/>
    </w:rPr>
  </w:style>
  <w:style w:type="paragraph" w:styleId="10">
    <w:name w:val="Balloon Text"/>
    <w:basedOn w:val="1"/>
    <w:link w:val="27"/>
    <w:qFormat/>
    <w:uiPriority w:val="0"/>
    <w:rPr>
      <w:sz w:val="18"/>
      <w:szCs w:val="18"/>
    </w:rPr>
  </w:style>
  <w:style w:type="paragraph" w:styleId="11">
    <w:name w:val="footer"/>
    <w:basedOn w:val="1"/>
    <w:qFormat/>
    <w:uiPriority w:val="0"/>
    <w:pPr>
      <w:tabs>
        <w:tab w:val="center" w:pos="4153"/>
        <w:tab w:val="right" w:pos="8306"/>
      </w:tabs>
      <w:snapToGrid w:val="0"/>
      <w:jc w:val="left"/>
    </w:pPr>
    <w:rPr>
      <w:rFonts w:ascii="宋体" w:hAnsi="Courier New"/>
      <w:sz w:val="18"/>
      <w:szCs w:val="20"/>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3">
    <w:name w:val="Normal (Web)"/>
    <w:basedOn w:val="1"/>
    <w:qFormat/>
    <w:uiPriority w:val="0"/>
    <w:pPr>
      <w:spacing w:beforeAutospacing="1" w:afterAutospacing="1"/>
      <w:jc w:val="left"/>
    </w:pPr>
    <w:rPr>
      <w:kern w:val="0"/>
      <w:sz w:val="24"/>
    </w:rPr>
  </w:style>
  <w:style w:type="paragraph" w:styleId="14">
    <w:name w:val="annotation subject"/>
    <w:basedOn w:val="6"/>
    <w:next w:val="6"/>
    <w:link w:val="29"/>
    <w:qFormat/>
    <w:uiPriority w:val="0"/>
    <w:rPr>
      <w:b/>
      <w:bCs/>
    </w:rPr>
  </w:style>
  <w:style w:type="character" w:styleId="17">
    <w:name w:val="page number"/>
    <w:basedOn w:val="16"/>
    <w:qFormat/>
    <w:uiPriority w:val="0"/>
  </w:style>
  <w:style w:type="character" w:styleId="18">
    <w:name w:val="Emphasis"/>
    <w:basedOn w:val="16"/>
    <w:qFormat/>
    <w:uiPriority w:val="0"/>
    <w:rPr>
      <w:i/>
    </w:rPr>
  </w:style>
  <w:style w:type="character" w:styleId="19">
    <w:name w:val="Hyperlink"/>
    <w:qFormat/>
    <w:uiPriority w:val="99"/>
    <w:rPr>
      <w:color w:val="0000FF"/>
      <w:u w:val="single"/>
    </w:rPr>
  </w:style>
  <w:style w:type="character" w:styleId="20">
    <w:name w:val="annotation reference"/>
    <w:basedOn w:val="16"/>
    <w:qFormat/>
    <w:uiPriority w:val="0"/>
    <w:rPr>
      <w:sz w:val="21"/>
      <w:szCs w:val="21"/>
    </w:rPr>
  </w:style>
  <w:style w:type="paragraph" w:customStyle="1" w:styleId="21">
    <w:name w:val="Default"/>
    <w:next w:val="22"/>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22">
    <w:name w:val="正文文字 6"/>
    <w:next w:val="1"/>
    <w:qFormat/>
    <w:uiPriority w:val="99"/>
    <w:pPr>
      <w:widowControl w:val="0"/>
      <w:ind w:left="240"/>
      <w:jc w:val="both"/>
    </w:pPr>
    <w:rPr>
      <w:rFonts w:ascii="宋体" w:hAnsi="Times New Roman" w:eastAsia="宋体" w:cs="Times New Roman"/>
      <w:b/>
      <w:bCs/>
      <w:kern w:val="2"/>
      <w:sz w:val="32"/>
      <w:szCs w:val="32"/>
      <w:lang w:val="en-US" w:eastAsia="zh-CN" w:bidi="ar-SA"/>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1"/>
    <w:basedOn w:val="1"/>
    <w:next w:val="9"/>
    <w:qFormat/>
    <w:uiPriority w:val="0"/>
    <w:rPr>
      <w:rFonts w:ascii="宋体" w:hAnsi="Courier New"/>
      <w:szCs w:val="20"/>
    </w:rPr>
  </w:style>
  <w:style w:type="paragraph" w:styleId="25">
    <w:name w:val="List Paragraph"/>
    <w:basedOn w:val="1"/>
    <w:qFormat/>
    <w:uiPriority w:val="1"/>
    <w:pPr>
      <w:ind w:firstLine="420" w:firstLineChars="200"/>
    </w:pPr>
  </w:style>
  <w:style w:type="paragraph" w:customStyle="1" w:styleId="26">
    <w:name w:val="Table Paragraph"/>
    <w:basedOn w:val="1"/>
    <w:qFormat/>
    <w:uiPriority w:val="1"/>
    <w:rPr>
      <w:rFonts w:ascii="宋体" w:hAnsi="宋体" w:cs="宋体"/>
      <w:lang w:val="zh-CN" w:bidi="zh-CN"/>
    </w:rPr>
  </w:style>
  <w:style w:type="character" w:customStyle="1" w:styleId="27">
    <w:name w:val="批注框文本 字符"/>
    <w:basedOn w:val="16"/>
    <w:link w:val="10"/>
    <w:qFormat/>
    <w:uiPriority w:val="0"/>
    <w:rPr>
      <w:rFonts w:ascii="Times New Roman" w:hAnsi="Times New Roman" w:eastAsia="宋体" w:cs="Times New Roman"/>
      <w:kern w:val="2"/>
      <w:sz w:val="18"/>
      <w:szCs w:val="18"/>
    </w:rPr>
  </w:style>
  <w:style w:type="character" w:customStyle="1" w:styleId="28">
    <w:name w:val="批注文字 字符"/>
    <w:link w:val="6"/>
    <w:qFormat/>
    <w:uiPriority w:val="0"/>
    <w:rPr>
      <w:kern w:val="2"/>
      <w:sz w:val="21"/>
      <w:szCs w:val="24"/>
    </w:rPr>
  </w:style>
  <w:style w:type="character" w:customStyle="1" w:styleId="29">
    <w:name w:val="批注主题 字符"/>
    <w:basedOn w:val="28"/>
    <w:link w:val="14"/>
    <w:qFormat/>
    <w:uiPriority w:val="0"/>
    <w:rPr>
      <w:b/>
      <w:bCs/>
      <w:kern w:val="2"/>
      <w:sz w:val="21"/>
      <w:szCs w:val="24"/>
    </w:rPr>
  </w:style>
  <w:style w:type="character" w:customStyle="1" w:styleId="30">
    <w:name w:val="纯文本 字符"/>
    <w:link w:val="9"/>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D0AA3-9F66-4600-A374-6DB3E23C0BE2}">
  <ds:schemaRefs/>
</ds:datastoreItem>
</file>

<file path=docProps/app.xml><?xml version="1.0" encoding="utf-8"?>
<Properties xmlns="http://schemas.openxmlformats.org/officeDocument/2006/extended-properties" xmlns:vt="http://schemas.openxmlformats.org/officeDocument/2006/docPropsVTypes">
  <Template>Normal.dotm</Template>
  <Pages>70</Pages>
  <Words>8330</Words>
  <Characters>47485</Characters>
  <Lines>395</Lines>
  <Paragraphs>111</Paragraphs>
  <TotalTime>168</TotalTime>
  <ScaleCrop>false</ScaleCrop>
  <LinksUpToDate>false</LinksUpToDate>
  <CharactersWithSpaces>55704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2020-07-20T01:23:00Z</dcterms:created>
  <dc:creator>古堡</dc:creator>
  <cp:lastModifiedBy>Administrator</cp:lastModifiedBy>
  <dcterms:modified xsi:type="dcterms:W3CDTF">2020-08-18T08:31:30Z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