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color w:val="auto"/>
          <w:highlight w:val="none"/>
        </w:rPr>
      </w:pPr>
    </w:p>
    <w:p>
      <w:pPr>
        <w:jc w:val="center"/>
        <w:rPr>
          <w:rFonts w:hint="eastAsia" w:ascii="宋体" w:hAnsi="宋体" w:eastAsia="宋体" w:cs="宋体"/>
          <w:b/>
          <w:bCs/>
          <w:color w:val="auto"/>
          <w:sz w:val="36"/>
          <w:szCs w:val="36"/>
          <w:highlight w:val="none"/>
          <w:lang w:eastAsia="zh-CN"/>
        </w:rPr>
      </w:pPr>
      <w:r>
        <w:rPr>
          <w:rFonts w:hint="eastAsia" w:ascii="宋体" w:hAnsi="宋体" w:cs="宋体"/>
          <w:b/>
          <w:bCs/>
          <w:color w:val="auto"/>
          <w:sz w:val="44"/>
          <w:szCs w:val="44"/>
          <w:highlight w:val="none"/>
          <w:lang w:eastAsia="zh-CN"/>
        </w:rPr>
        <w:t>上虞区文化广电旅游局2024年-2026年农村电影放映服务项目</w:t>
      </w:r>
    </w:p>
    <w:p>
      <w:pPr>
        <w:pStyle w:val="3"/>
        <w:rPr>
          <w:rFonts w:hint="eastAsia" w:ascii="宋体" w:hAnsi="宋体" w:eastAsia="宋体" w:cs="宋体"/>
          <w:b/>
          <w:bCs/>
          <w:color w:val="auto"/>
          <w:sz w:val="44"/>
          <w:szCs w:val="44"/>
          <w:highlight w:val="none"/>
        </w:rPr>
      </w:pPr>
    </w:p>
    <w:p>
      <w:pPr>
        <w:pStyle w:val="3"/>
        <w:rPr>
          <w:rFonts w:hint="eastAsia" w:ascii="宋体" w:hAnsi="宋体" w:eastAsia="宋体" w:cs="宋体"/>
          <w:b/>
          <w:bCs/>
          <w:color w:val="auto"/>
          <w:sz w:val="44"/>
          <w:szCs w:val="44"/>
          <w:highlight w:val="none"/>
        </w:rPr>
      </w:pPr>
    </w:p>
    <w:p>
      <w:pPr>
        <w:pStyle w:val="12"/>
        <w:rPr>
          <w:rFonts w:hint="eastAsia"/>
          <w:color w:val="auto"/>
          <w:highlight w:val="none"/>
        </w:rPr>
      </w:pPr>
    </w:p>
    <w:p>
      <w:pPr>
        <w:pStyle w:val="13"/>
        <w:rPr>
          <w:rFonts w:hint="eastAsia"/>
          <w:color w:val="auto"/>
          <w:highlight w:val="none"/>
        </w:rPr>
      </w:pPr>
    </w:p>
    <w:p>
      <w:pPr>
        <w:pStyle w:val="3"/>
        <w:rPr>
          <w:rFonts w:hint="eastAsia" w:ascii="宋体" w:hAnsi="宋体" w:eastAsia="宋体" w:cs="宋体"/>
          <w:b/>
          <w:bCs/>
          <w:color w:val="auto"/>
          <w:sz w:val="44"/>
          <w:szCs w:val="44"/>
          <w:highlight w:val="none"/>
        </w:rPr>
      </w:pPr>
    </w:p>
    <w:p>
      <w:pPr>
        <w:pStyle w:val="3"/>
        <w:rPr>
          <w:rFonts w:hint="eastAsia" w:ascii="宋体" w:hAnsi="宋体" w:eastAsia="宋体" w:cs="宋体"/>
          <w:b/>
          <w:bCs/>
          <w:color w:val="auto"/>
          <w:sz w:val="44"/>
          <w:szCs w:val="44"/>
          <w:highlight w:val="none"/>
        </w:rPr>
      </w:pPr>
    </w:p>
    <w:p>
      <w:pPr>
        <w:pStyle w:val="3"/>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72"/>
          <w:szCs w:val="72"/>
          <w:highlight w:val="none"/>
        </w:rPr>
        <w:t>竞争性磋商文件</w:t>
      </w:r>
    </w:p>
    <w:p>
      <w:pPr>
        <w:spacing w:line="360" w:lineRule="auto"/>
        <w:jc w:val="center"/>
        <w:rPr>
          <w:rFonts w:hint="eastAsia" w:ascii="宋体" w:hAnsi="宋体" w:eastAsia="宋体" w:cs="宋体"/>
          <w:b/>
          <w:bCs/>
          <w:color w:val="auto"/>
          <w:sz w:val="24"/>
          <w:szCs w:val="24"/>
          <w:highlight w:val="none"/>
        </w:rPr>
      </w:pPr>
    </w:p>
    <w:p>
      <w:pPr>
        <w:snapToGrid w:val="0"/>
        <w:spacing w:line="360" w:lineRule="auto"/>
        <w:ind w:firstLine="2301" w:firstLineChars="767"/>
        <w:jc w:val="left"/>
        <w:rPr>
          <w:rFonts w:hint="eastAsia" w:ascii="宋体" w:hAnsi="宋体" w:eastAsia="宋体" w:cs="宋体"/>
          <w:color w:val="auto"/>
          <w:sz w:val="30"/>
          <w:szCs w:val="30"/>
          <w:highlight w:val="none"/>
          <w:u w:val="single"/>
          <w:lang w:val="en-US" w:eastAsia="zh-CN"/>
        </w:rPr>
      </w:pPr>
      <w:r>
        <w:rPr>
          <w:rFonts w:hint="eastAsia" w:ascii="宋体" w:hAnsi="宋体" w:eastAsia="宋体" w:cs="宋体"/>
          <w:color w:val="auto"/>
          <w:sz w:val="30"/>
          <w:szCs w:val="30"/>
          <w:highlight w:val="none"/>
        </w:rPr>
        <w:t>项目编号：</w:t>
      </w:r>
      <w:r>
        <w:rPr>
          <w:rFonts w:hint="eastAsia" w:ascii="宋体" w:hAnsi="宋体" w:cs="宋体"/>
          <w:color w:val="auto"/>
          <w:sz w:val="30"/>
          <w:szCs w:val="30"/>
          <w:highlight w:val="none"/>
          <w:lang w:val="en-US" w:eastAsia="zh-CN"/>
        </w:rPr>
        <w:t>FSJZCS2024012</w:t>
      </w:r>
      <w:r>
        <w:rPr>
          <w:rFonts w:hint="eastAsia" w:ascii="宋体" w:hAnsi="宋体" w:cs="宋体"/>
          <w:color w:val="auto"/>
          <w:sz w:val="30"/>
          <w:szCs w:val="30"/>
          <w:highlight w:val="none"/>
          <w:lang w:val="en-US" w:eastAsia="zh-CN"/>
        </w:rPr>
        <w:t xml:space="preserve"> </w:t>
      </w:r>
    </w:p>
    <w:p>
      <w:pPr>
        <w:snapToGrid w:val="0"/>
        <w:spacing w:line="360" w:lineRule="auto"/>
        <w:ind w:firstLine="2301" w:firstLineChars="767"/>
        <w:jc w:val="left"/>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28"/>
          <w:szCs w:val="28"/>
          <w:highlight w:val="none"/>
        </w:rPr>
      </w:pPr>
    </w:p>
    <w:p>
      <w:pPr>
        <w:spacing w:line="360" w:lineRule="auto"/>
        <w:jc w:val="center"/>
        <w:rPr>
          <w:rFonts w:hint="eastAsia" w:ascii="宋体" w:hAnsi="宋体" w:eastAsia="宋体" w:cs="宋体"/>
          <w:color w:val="auto"/>
          <w:sz w:val="24"/>
          <w:szCs w:val="24"/>
          <w:highlight w:val="none"/>
        </w:rPr>
      </w:pPr>
    </w:p>
    <w:p>
      <w:pPr>
        <w:pStyle w:val="2"/>
        <w:rPr>
          <w:rFonts w:hint="eastAsia"/>
          <w:color w:val="auto"/>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pacing w:line="360" w:lineRule="auto"/>
        <w:jc w:val="center"/>
        <w:rPr>
          <w:rFonts w:hint="eastAsia" w:ascii="宋体" w:hAnsi="宋体" w:eastAsia="宋体" w:cs="宋体"/>
          <w:color w:val="auto"/>
          <w:sz w:val="24"/>
          <w:szCs w:val="24"/>
          <w:highlight w:val="none"/>
        </w:rPr>
      </w:pPr>
    </w:p>
    <w:p>
      <w:pPr>
        <w:snapToGrid w:val="0"/>
        <w:spacing w:line="360" w:lineRule="auto"/>
        <w:ind w:firstLine="1500" w:firstLineChars="500"/>
        <w:rPr>
          <w:rFonts w:hint="eastAsia" w:ascii="宋体" w:hAnsi="宋体" w:eastAsia="宋体" w:cs="宋体"/>
          <w:color w:val="auto"/>
          <w:highlight w:val="none"/>
          <w:u w:val="single"/>
          <w:lang w:eastAsia="zh-CN"/>
        </w:rPr>
      </w:pPr>
      <w:r>
        <w:rPr>
          <w:rFonts w:hint="eastAsia" w:ascii="宋体" w:hAnsi="宋体" w:eastAsia="宋体" w:cs="宋体"/>
          <w:color w:val="auto"/>
          <w:sz w:val="30"/>
          <w:szCs w:val="30"/>
          <w:highlight w:val="none"/>
        </w:rPr>
        <w:t>采 购 人：</w:t>
      </w:r>
      <w:r>
        <w:rPr>
          <w:rFonts w:hint="eastAsia" w:ascii="宋体" w:hAnsi="宋体" w:cs="宋体"/>
          <w:color w:val="auto"/>
          <w:sz w:val="30"/>
          <w:szCs w:val="30"/>
          <w:highlight w:val="none"/>
          <w:lang w:eastAsia="zh-CN"/>
        </w:rPr>
        <w:t>绍兴市上虞区文化广电旅游局</w:t>
      </w:r>
    </w:p>
    <w:p>
      <w:pPr>
        <w:snapToGrid w:val="0"/>
        <w:spacing w:line="360" w:lineRule="auto"/>
        <w:ind w:firstLine="1500" w:firstLineChars="500"/>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采购代理机构：</w:t>
      </w:r>
      <w:r>
        <w:rPr>
          <w:rFonts w:hint="eastAsia" w:ascii="宋体" w:hAnsi="宋体" w:cs="宋体"/>
          <w:color w:val="auto"/>
          <w:sz w:val="30"/>
          <w:szCs w:val="30"/>
          <w:highlight w:val="none"/>
          <w:lang w:eastAsia="zh-CN"/>
        </w:rPr>
        <w:t>浙江省成套工程有限公司</w:t>
      </w:r>
    </w:p>
    <w:p>
      <w:pPr>
        <w:jc w:val="center"/>
        <w:rPr>
          <w:rFonts w:hint="eastAsia" w:ascii="宋体" w:hAnsi="宋体" w:eastAsia="宋体" w:cs="宋体"/>
          <w:color w:val="auto"/>
          <w:sz w:val="30"/>
          <w:szCs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auto"/>
          <w:sz w:val="30"/>
          <w:szCs w:val="30"/>
          <w:highlight w:val="none"/>
        </w:rPr>
        <w:t>二</w:t>
      </w:r>
      <w:r>
        <w:rPr>
          <w:rFonts w:hint="eastAsia" w:ascii="宋体" w:hAnsi="宋体" w:cs="宋体"/>
          <w:color w:val="auto"/>
          <w:sz w:val="30"/>
          <w:szCs w:val="30"/>
          <w:highlight w:val="none"/>
          <w:lang w:val="en-US" w:eastAsia="zh-CN"/>
        </w:rPr>
        <w:t>〇二四</w:t>
      </w:r>
      <w:r>
        <w:rPr>
          <w:rFonts w:hint="eastAsia" w:ascii="宋体" w:hAnsi="宋体" w:eastAsia="宋体" w:cs="宋体"/>
          <w:color w:val="auto"/>
          <w:sz w:val="30"/>
          <w:szCs w:val="30"/>
          <w:highlight w:val="none"/>
        </w:rPr>
        <w:t>年</w:t>
      </w:r>
      <w:r>
        <w:rPr>
          <w:rFonts w:hint="eastAsia" w:ascii="宋体" w:hAnsi="宋体" w:cs="宋体"/>
          <w:color w:val="auto"/>
          <w:sz w:val="30"/>
          <w:szCs w:val="30"/>
          <w:highlight w:val="none"/>
          <w:lang w:val="en-US" w:eastAsia="zh-CN"/>
        </w:rPr>
        <w:t>四</w:t>
      </w:r>
      <w:r>
        <w:rPr>
          <w:rFonts w:hint="eastAsia" w:ascii="宋体" w:hAnsi="宋体" w:eastAsia="宋体" w:cs="宋体"/>
          <w:color w:val="auto"/>
          <w:sz w:val="30"/>
          <w:szCs w:val="30"/>
          <w:highlight w:val="none"/>
        </w:rPr>
        <w:t>月</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目</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录</w:t>
      </w:r>
    </w:p>
    <w:p>
      <w:pPr>
        <w:pStyle w:val="21"/>
        <w:tabs>
          <w:tab w:val="right" w:leader="dot" w:pos="8306"/>
        </w:tabs>
        <w:spacing w:line="360" w:lineRule="auto"/>
        <w:rPr>
          <w:rFonts w:hint="eastAsia" w:ascii="宋体" w:hAnsi="宋体" w:eastAsia="宋体" w:cs="宋体"/>
          <w:color w:val="auto"/>
          <w:sz w:val="28"/>
          <w:szCs w:val="28"/>
          <w:highlight w:val="none"/>
        </w:rPr>
      </w:pP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 w:val="32"/>
          <w:szCs w:val="32"/>
          <w:highlight w:val="none"/>
        </w:rPr>
        <w:fldChar w:fldCharType="begin"/>
      </w:r>
      <w:r>
        <w:rPr>
          <w:rFonts w:hint="eastAsia" w:ascii="宋体" w:hAnsi="宋体" w:eastAsia="宋体" w:cs="宋体"/>
          <w:color w:val="auto"/>
          <w:sz w:val="32"/>
          <w:szCs w:val="32"/>
          <w:highlight w:val="none"/>
        </w:rPr>
        <w:instrText xml:space="preserve">TOC \o "1-3" \h \u </w:instrText>
      </w:r>
      <w:r>
        <w:rPr>
          <w:rFonts w:hint="eastAsia" w:ascii="宋体" w:hAnsi="宋体" w:eastAsia="宋体" w:cs="宋体"/>
          <w:color w:val="auto"/>
          <w:sz w:val="32"/>
          <w:szCs w:val="32"/>
          <w:highlight w:val="none"/>
        </w:rPr>
        <w:fldChar w:fldCharType="separate"/>
      </w: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_Toc30433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第一部分 磋商公告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_Toc30433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_Toc5238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第二部分 供应商须知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_Toc5238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5</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_Toc7992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一、 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_Toc7992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_Toc6940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二、 竞争性磋商文件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_Toc6940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9</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_Toc16098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三、 竞争性磋商响应文件的编写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_Toc16098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10</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_Toc2412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四、 响应文件的递交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_Toc2412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_Toc21419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五、 磋商无效的情形</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_Toc21419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_Toc21771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六、 采购中止的情形</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_Toc21771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_Toc22404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七、 确定成交供应商与签订合同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_Toc22404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16</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_Toc1917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第三部分 采购内容及要求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_Toc1917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_Toc12245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第一章 采购内容及要求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_Toc12245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_Toc12984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lang w:val="en-US" w:eastAsia="zh-CN"/>
        </w:rPr>
        <w:t>第二章 付款方式及要求</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_Toc12984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_Toc2107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第四部分 磋商原则及磋商方法</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_Toc2107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_Toc14171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一、 磋商原则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_Toc14171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21</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_Toc31855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二、 磋商程序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_Toc31855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22</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_Toc20874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三、 注意事项</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_Toc20874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2"/>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_Toc21029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highlight w:val="none"/>
        </w:rPr>
        <w:t>四、 评分细则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_Toc21029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26</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_Toc18878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第五部分 采购合同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_Toc18878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30</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1"/>
        <w:tabs>
          <w:tab w:val="right" w:leader="dot" w:pos="8306"/>
        </w:tabs>
        <w:rPr>
          <w:rFonts w:hint="eastAsia" w:ascii="宋体" w:hAnsi="宋体" w:eastAsia="宋体" w:cs="宋体"/>
          <w:color w:val="auto"/>
          <w:highlight w:val="none"/>
        </w:rPr>
      </w:pPr>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HYPERLINK \l _Toc19237 </w:instrText>
      </w:r>
      <w:r>
        <w:rPr>
          <w:rFonts w:hint="eastAsia" w:ascii="宋体" w:hAnsi="宋体" w:eastAsia="宋体" w:cs="宋体"/>
          <w:color w:val="auto"/>
          <w:szCs w:val="32"/>
          <w:highlight w:val="none"/>
        </w:rPr>
        <w:fldChar w:fldCharType="separate"/>
      </w:r>
      <w:r>
        <w:rPr>
          <w:rFonts w:hint="eastAsia" w:ascii="宋体" w:hAnsi="宋体" w:eastAsia="宋体" w:cs="宋体"/>
          <w:color w:val="auto"/>
          <w:szCs w:val="36"/>
          <w:highlight w:val="none"/>
        </w:rPr>
        <w:t>第六部分 应提交的有关格式范例</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_Toc19237 \h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35</w:t>
      </w:r>
      <w:r>
        <w:rPr>
          <w:rFonts w:hint="eastAsia" w:ascii="宋体" w:hAnsi="宋体" w:eastAsia="宋体" w:cs="宋体"/>
          <w:color w:val="auto"/>
          <w:highlight w:val="none"/>
        </w:rPr>
        <w:fldChar w:fldCharType="end"/>
      </w:r>
      <w:r>
        <w:rPr>
          <w:rFonts w:hint="eastAsia" w:ascii="宋体" w:hAnsi="宋体" w:eastAsia="宋体" w:cs="宋体"/>
          <w:color w:val="auto"/>
          <w:szCs w:val="32"/>
          <w:highlight w:val="none"/>
        </w:rPr>
        <w:fldChar w:fldCharType="end"/>
      </w:r>
    </w:p>
    <w:p>
      <w:pPr>
        <w:pStyle w:val="2"/>
        <w:spacing w:line="360" w:lineRule="auto"/>
        <w:rPr>
          <w:rFonts w:hint="eastAsia" w:ascii="宋体" w:hAnsi="宋体" w:eastAsia="宋体" w:cs="宋体"/>
          <w:color w:val="auto"/>
          <w:sz w:val="32"/>
          <w:szCs w:val="32"/>
          <w:highlight w:val="none"/>
        </w:rPr>
      </w:pPr>
      <w:r>
        <w:rPr>
          <w:rFonts w:hint="eastAsia" w:ascii="宋体" w:hAnsi="宋体" w:eastAsia="宋体" w:cs="宋体"/>
          <w:color w:val="auto"/>
          <w:szCs w:val="32"/>
          <w:highlight w:val="none"/>
        </w:rPr>
        <w:fldChar w:fldCharType="end"/>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tabs>
          <w:tab w:val="left" w:pos="3148"/>
        </w:tabs>
        <w:jc w:val="left"/>
        <w:rPr>
          <w:rFonts w:hint="eastAsia" w:ascii="宋体" w:hAnsi="宋体" w:eastAsia="宋体" w:cs="宋体"/>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color w:val="auto"/>
          <w:highlight w:val="none"/>
        </w:rPr>
        <w:tab/>
      </w:r>
    </w:p>
    <w:p>
      <w:pPr>
        <w:pStyle w:val="5"/>
        <w:jc w:val="center"/>
        <w:rPr>
          <w:rFonts w:hint="eastAsia" w:ascii="宋体" w:hAnsi="宋体" w:eastAsia="宋体" w:cs="宋体"/>
          <w:color w:val="auto"/>
          <w:highlight w:val="none"/>
        </w:rPr>
      </w:pPr>
      <w:bookmarkStart w:id="0" w:name="_Toc32199"/>
      <w:bookmarkStart w:id="1" w:name="_Toc30433"/>
      <w:bookmarkStart w:id="2" w:name="_Toc31034"/>
      <w:bookmarkStart w:id="3" w:name="第二部分"/>
      <w:bookmarkStart w:id="4" w:name="_Toc91899870"/>
      <w:r>
        <w:rPr>
          <w:rFonts w:hint="eastAsia" w:ascii="宋体" w:hAnsi="宋体" w:eastAsia="宋体" w:cs="宋体"/>
          <w:color w:val="auto"/>
          <w:sz w:val="36"/>
          <w:szCs w:val="36"/>
          <w:highlight w:val="none"/>
        </w:rPr>
        <w:t>第一部分 磋商公告</w:t>
      </w:r>
      <w:bookmarkEnd w:id="0"/>
      <w:bookmarkEnd w:id="1"/>
      <w:bookmarkEnd w:id="2"/>
    </w:p>
    <w:p>
      <w:pPr>
        <w:adjustRightInd w:val="0"/>
        <w:spacing w:line="360" w:lineRule="auto"/>
        <w:ind w:right="-313" w:rightChars="-149"/>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浙江省成套工程有限公司</w:t>
      </w:r>
      <w:r>
        <w:rPr>
          <w:rFonts w:hint="eastAsia" w:ascii="宋体" w:hAnsi="宋体" w:eastAsia="宋体" w:cs="宋体"/>
          <w:color w:val="auto"/>
          <w:sz w:val="28"/>
          <w:szCs w:val="28"/>
          <w:highlight w:val="none"/>
        </w:rPr>
        <w:t>关于</w:t>
      </w:r>
      <w:r>
        <w:rPr>
          <w:rFonts w:hint="eastAsia" w:ascii="宋体" w:hAnsi="宋体" w:cs="宋体"/>
          <w:color w:val="auto"/>
          <w:sz w:val="28"/>
          <w:szCs w:val="28"/>
          <w:highlight w:val="none"/>
          <w:lang w:eastAsia="zh-CN"/>
        </w:rPr>
        <w:t>绍兴市上虞区文化广电旅游局上虞区文化广电旅游局2024年-2026年农村电影放映服务项目</w:t>
      </w:r>
      <w:r>
        <w:rPr>
          <w:rFonts w:hint="eastAsia" w:ascii="宋体" w:hAnsi="宋体" w:eastAsia="宋体" w:cs="宋体"/>
          <w:color w:val="auto"/>
          <w:sz w:val="28"/>
          <w:szCs w:val="28"/>
          <w:highlight w:val="none"/>
        </w:rPr>
        <w:t>的竞争性磋商公告</w:t>
      </w:r>
    </w:p>
    <w:p>
      <w:pPr>
        <w:adjustRightInd w:val="0"/>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公告日期：202</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4</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19</w:t>
      </w:r>
      <w:r>
        <w:rPr>
          <w:rFonts w:hint="eastAsia" w:ascii="宋体" w:hAnsi="宋体" w:eastAsia="宋体" w:cs="宋体"/>
          <w:color w:val="auto"/>
          <w:sz w:val="28"/>
          <w:szCs w:val="28"/>
          <w:highlight w:val="none"/>
        </w:rPr>
        <w:t>日</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lang w:eastAsia="zh-CN"/>
        </w:rPr>
        <w:t>浙江省成套工程有限公司</w:t>
      </w:r>
      <w:r>
        <w:rPr>
          <w:rFonts w:hint="eastAsia" w:ascii="宋体" w:hAnsi="宋体" w:eastAsia="宋体" w:cs="宋体"/>
          <w:color w:val="auto"/>
          <w:sz w:val="24"/>
          <w:szCs w:val="24"/>
          <w:highlight w:val="none"/>
        </w:rPr>
        <w:t>受</w:t>
      </w:r>
      <w:r>
        <w:rPr>
          <w:rFonts w:hint="eastAsia" w:ascii="宋体" w:hAnsi="宋体" w:cs="宋体"/>
          <w:color w:val="auto"/>
          <w:sz w:val="24"/>
          <w:szCs w:val="24"/>
          <w:highlight w:val="none"/>
          <w:u w:val="single"/>
          <w:lang w:eastAsia="zh-CN"/>
        </w:rPr>
        <w:t>绍兴市上虞区文化广电旅游局</w:t>
      </w:r>
      <w:r>
        <w:rPr>
          <w:rFonts w:hint="eastAsia" w:ascii="宋体" w:hAnsi="宋体" w:eastAsia="宋体" w:cs="宋体"/>
          <w:color w:val="auto"/>
          <w:sz w:val="24"/>
          <w:szCs w:val="24"/>
          <w:highlight w:val="none"/>
        </w:rPr>
        <w:t>委托，现就</w:t>
      </w:r>
      <w:r>
        <w:rPr>
          <w:rFonts w:hint="eastAsia" w:ascii="宋体" w:hAnsi="宋体" w:cs="宋体"/>
          <w:color w:val="auto"/>
          <w:sz w:val="24"/>
          <w:szCs w:val="24"/>
          <w:highlight w:val="none"/>
          <w:u w:val="single"/>
          <w:lang w:eastAsia="zh-CN"/>
        </w:rPr>
        <w:t>上虞区文化广电旅游局2024年-2026年农村电影放映服务项目</w:t>
      </w:r>
      <w:r>
        <w:rPr>
          <w:rFonts w:hint="eastAsia" w:ascii="宋体" w:hAnsi="宋体" w:eastAsia="宋体" w:cs="宋体"/>
          <w:color w:val="auto"/>
          <w:sz w:val="24"/>
          <w:szCs w:val="24"/>
          <w:highlight w:val="none"/>
          <w:u w:val="single"/>
        </w:rPr>
        <w:t>的</w:t>
      </w:r>
      <w:r>
        <w:rPr>
          <w:rFonts w:hint="eastAsia" w:ascii="宋体" w:hAnsi="宋体" w:eastAsia="宋体" w:cs="宋体"/>
          <w:color w:val="auto"/>
          <w:sz w:val="24"/>
          <w:szCs w:val="24"/>
          <w:highlight w:val="none"/>
        </w:rPr>
        <w:t>竞争性磋商采购进行</w:t>
      </w:r>
      <w:r>
        <w:rPr>
          <w:rFonts w:hint="eastAsia" w:ascii="宋体" w:hAnsi="宋体" w:eastAsia="宋体" w:cs="宋体"/>
          <w:color w:val="auto"/>
          <w:sz w:val="24"/>
          <w:szCs w:val="24"/>
          <w:highlight w:val="none"/>
          <w:u w:val="single"/>
        </w:rPr>
        <w:t>竞争性磋商公告</w:t>
      </w:r>
      <w:r>
        <w:rPr>
          <w:rFonts w:hint="eastAsia" w:ascii="宋体" w:hAnsi="宋体" w:eastAsia="宋体" w:cs="宋体"/>
          <w:color w:val="auto"/>
          <w:sz w:val="24"/>
          <w:szCs w:val="24"/>
          <w:highlight w:val="none"/>
        </w:rPr>
        <w:t>，欢迎国内合格的供应商参加本次采购活动。</w:t>
      </w:r>
    </w:p>
    <w:p>
      <w:pPr>
        <w:adjustRightInd w:val="0"/>
        <w:spacing w:line="360"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一． 磋商项目编号：</w:t>
      </w:r>
      <w:r>
        <w:rPr>
          <w:rFonts w:hint="eastAsia" w:ascii="宋体" w:hAnsi="宋体" w:cs="宋体"/>
          <w:color w:val="auto"/>
          <w:sz w:val="24"/>
          <w:szCs w:val="24"/>
          <w:highlight w:val="none"/>
          <w:lang w:val="en-US" w:eastAsia="zh-CN"/>
        </w:rPr>
        <w:t xml:space="preserve">FSJZS2024012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 采购组织类型：</w:t>
      </w:r>
      <w:r>
        <w:rPr>
          <w:rFonts w:hint="eastAsia" w:ascii="宋体" w:hAnsi="宋体" w:eastAsia="宋体" w:cs="宋体"/>
          <w:color w:val="auto"/>
          <w:sz w:val="24"/>
          <w:szCs w:val="24"/>
          <w:highlight w:val="none"/>
          <w:u w:val="single"/>
        </w:rPr>
        <w:t xml:space="preserve"> 分散采购（中介代理）</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 磋商项目概况:</w:t>
      </w:r>
    </w:p>
    <w:tbl>
      <w:tblPr>
        <w:tblStyle w:val="25"/>
        <w:tblW w:w="8973"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469"/>
        <w:gridCol w:w="1807"/>
        <w:gridCol w:w="645"/>
        <w:gridCol w:w="675"/>
        <w:gridCol w:w="1007"/>
        <w:gridCol w:w="2781"/>
        <w:gridCol w:w="941"/>
        <w:gridCol w:w="648"/>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469"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07"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64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67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007"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预算金额(万元)</w:t>
            </w:r>
          </w:p>
        </w:tc>
        <w:tc>
          <w:tcPr>
            <w:tcW w:w="2781"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简要规格描述或标项基本概况介绍</w:t>
            </w:r>
          </w:p>
        </w:tc>
        <w:tc>
          <w:tcPr>
            <w:tcW w:w="941"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最高限价(万元)</w:t>
            </w:r>
          </w:p>
        </w:tc>
        <w:tc>
          <w:tcPr>
            <w:tcW w:w="648"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469" w:type="dxa"/>
            <w:tcBorders>
              <w:bottom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07" w:type="dxa"/>
            <w:tcBorders>
              <w:bottom w:val="single" w:color="000000" w:sz="4" w:space="0"/>
            </w:tcBorders>
            <w:vAlign w:val="center"/>
          </w:tcPr>
          <w:p>
            <w:pPr>
              <w:pStyle w:val="16"/>
              <w:snapToGrid w:val="0"/>
              <w:spacing w:before="120" w:after="120"/>
              <w:jc w:val="center"/>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val="en-US" w:eastAsia="zh-CN"/>
              </w:rPr>
              <w:t>上虞区文化广电旅游局2024年-2026年农村电影放映服务项目</w:t>
            </w:r>
          </w:p>
        </w:tc>
        <w:tc>
          <w:tcPr>
            <w:tcW w:w="645" w:type="dxa"/>
            <w:tcBorders>
              <w:bottom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c>
          <w:tcPr>
            <w:tcW w:w="675" w:type="dxa"/>
            <w:tcBorders>
              <w:bottom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年</w:t>
            </w:r>
          </w:p>
        </w:tc>
        <w:tc>
          <w:tcPr>
            <w:tcW w:w="1007" w:type="dxa"/>
            <w:tcBorders>
              <w:bottom w:val="single" w:color="000000" w:sz="4" w:space="0"/>
            </w:tcBorders>
            <w:vAlign w:val="center"/>
          </w:tcPr>
          <w:p>
            <w:pPr>
              <w:widowControl/>
              <w:spacing w:before="100" w:after="100" w:line="312"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rPr>
              <w:t>297</w:t>
            </w:r>
          </w:p>
        </w:tc>
        <w:tc>
          <w:tcPr>
            <w:tcW w:w="2781" w:type="dxa"/>
            <w:tcBorders>
              <w:bottom w:val="single" w:color="000000" w:sz="4" w:space="0"/>
            </w:tcBorders>
            <w:vAlign w:val="center"/>
          </w:tcPr>
          <w:p>
            <w:pPr>
              <w:pStyle w:val="16"/>
              <w:snapToGrid w:val="0"/>
              <w:spacing w:before="120" w:after="12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SA"/>
              </w:rPr>
              <w:t>主要服务内容为在上虞区全区乡镇街道所有社区及自然村放映公益电影，年放映任务数为4500场.</w:t>
            </w:r>
          </w:p>
        </w:tc>
        <w:tc>
          <w:tcPr>
            <w:tcW w:w="941" w:type="dxa"/>
            <w:tcBorders>
              <w:bottom w:val="single" w:color="000000" w:sz="4" w:space="0"/>
            </w:tcBorders>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297</w:t>
            </w:r>
          </w:p>
        </w:tc>
        <w:tc>
          <w:tcPr>
            <w:tcW w:w="648" w:type="dxa"/>
            <w:tcBorders>
              <w:bottom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w:t>
            </w:r>
          </w:p>
        </w:tc>
      </w:tr>
    </w:tbl>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 合格供应商资格要求:</w:t>
      </w:r>
    </w:p>
    <w:p>
      <w:pPr>
        <w:numPr>
          <w:ilvl w:val="0"/>
          <w:numId w:val="2"/>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符合政府采购法第二十二条，且未被“信用中国”（www.creditchina.gov.cn）、中国政府采购网（www.ccgp.gov.cn）列入失信被执行人、重大税收违法案件当事人名单、政府采购严重违法失信行为记录名单。</w:t>
      </w:r>
    </w:p>
    <w:p>
      <w:pPr>
        <w:numPr>
          <w:ilvl w:val="0"/>
          <w:numId w:val="2"/>
        </w:numPr>
        <w:wordWrap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rPr>
        <w:t>落实政府采购政策需满足的资格要求：</w:t>
      </w:r>
      <w:r>
        <w:rPr>
          <w:rFonts w:hint="eastAsia" w:ascii="宋体" w:hAnsi="宋体" w:cs="宋体"/>
          <w:color w:val="auto"/>
          <w:sz w:val="24"/>
          <w:highlight w:val="none"/>
        </w:rPr>
        <w:t>供应商为中小企业/小微企业</w:t>
      </w:r>
      <w:r>
        <w:rPr>
          <w:rFonts w:hint="eastAsia" w:ascii="宋体" w:hAnsi="宋体" w:cs="宋体"/>
          <w:color w:val="auto"/>
          <w:sz w:val="24"/>
          <w:szCs w:val="24"/>
          <w:highlight w:val="none"/>
        </w:rPr>
        <w:t>。</w:t>
      </w:r>
    </w:p>
    <w:p>
      <w:pPr>
        <w:numPr>
          <w:ilvl w:val="0"/>
          <w:numId w:val="0"/>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kern w:val="2"/>
          <w:sz w:val="24"/>
          <w:szCs w:val="24"/>
          <w:lang w:val="en-US" w:eastAsia="zh-CN" w:bidi="ar-SA"/>
        </w:rPr>
        <w:t>3.</w:t>
      </w:r>
      <w:r>
        <w:rPr>
          <w:rFonts w:hint="eastAsia" w:ascii="宋体" w:hAnsi="宋体" w:eastAsia="宋体" w:cs="宋体"/>
          <w:color w:val="auto"/>
          <w:sz w:val="24"/>
          <w:szCs w:val="24"/>
          <w:highlight w:val="none"/>
        </w:rPr>
        <w:t>本项目</w:t>
      </w:r>
      <w:r>
        <w:rPr>
          <w:rFonts w:hint="eastAsia" w:ascii="宋体" w:hAnsi="宋体" w:eastAsia="宋体" w:cs="宋体"/>
          <w:color w:val="auto"/>
          <w:sz w:val="24"/>
          <w:szCs w:val="24"/>
          <w:highlight w:val="none"/>
          <w:u w:val="single"/>
        </w:rPr>
        <w:t xml:space="preserve">不接受 </w:t>
      </w:r>
      <w:r>
        <w:rPr>
          <w:rFonts w:hint="eastAsia" w:ascii="宋体" w:hAnsi="宋体" w:eastAsia="宋体" w:cs="宋体"/>
          <w:color w:val="auto"/>
          <w:sz w:val="24"/>
          <w:szCs w:val="24"/>
          <w:highlight w:val="none"/>
        </w:rPr>
        <w:t>联合体参加磋商。</w:t>
      </w:r>
    </w:p>
    <w:p>
      <w:pPr>
        <w:numPr>
          <w:ilvl w:val="0"/>
          <w:numId w:val="0"/>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kern w:val="2"/>
          <w:sz w:val="24"/>
          <w:szCs w:val="24"/>
          <w:lang w:val="en-US" w:eastAsia="zh-CN" w:bidi="ar-SA"/>
        </w:rPr>
        <w:t>4.</w:t>
      </w:r>
      <w:r>
        <w:rPr>
          <w:rFonts w:hint="eastAsia" w:ascii="宋体" w:hAnsi="宋体" w:eastAsia="宋体" w:cs="宋体"/>
          <w:color w:val="auto"/>
          <w:sz w:val="24"/>
          <w:szCs w:val="24"/>
          <w:highlight w:val="none"/>
        </w:rPr>
        <w:t>本项目采用资格后审的审查方式，由磋商小组负责审查。</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五．获取磋商文件</w:t>
      </w:r>
    </w:p>
    <w:p>
      <w:pPr>
        <w:numPr>
          <w:ilvl w:val="0"/>
          <w:numId w:val="3"/>
        </w:numPr>
        <w:adjustRightInd w:val="0"/>
        <w:spacing w:line="360" w:lineRule="auto"/>
        <w:ind w:firstLine="480" w:firstLineChars="200"/>
        <w:rPr>
          <w:rFonts w:hint="eastAsia" w:ascii="宋体" w:hAnsi="宋体" w:eastAsia="宋体" w:cs="宋体"/>
          <w:color w:val="auto"/>
          <w:sz w:val="24"/>
          <w:szCs w:val="24"/>
          <w:highlight w:val="none"/>
        </w:rPr>
      </w:pPr>
      <w:bookmarkStart w:id="5" w:name="报名开始时间1"/>
      <w:r>
        <w:rPr>
          <w:rFonts w:hint="eastAsia" w:ascii="宋体" w:hAnsi="宋体" w:eastAsia="宋体" w:cs="宋体"/>
          <w:color w:val="auto"/>
          <w:sz w:val="24"/>
          <w:szCs w:val="24"/>
          <w:highlight w:val="none"/>
        </w:rPr>
        <w:t>获取磋商文件时间:</w:t>
      </w:r>
      <w:bookmarkEnd w:id="5"/>
      <w:r>
        <w:rPr>
          <w:rFonts w:hint="eastAsia" w:ascii="宋体" w:hAnsi="宋体" w:eastAsia="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30</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none"/>
        </w:rPr>
        <w:t>日</w:t>
      </w:r>
      <w:r>
        <w:rPr>
          <w:rFonts w:hint="eastAsia" w:ascii="宋体" w:hAnsi="宋体" w:eastAsia="宋体" w:cs="宋体"/>
          <w:color w:val="auto"/>
          <w:sz w:val="24"/>
          <w:szCs w:val="24"/>
          <w:highlight w:val="none"/>
          <w:u w:val="single"/>
        </w:rPr>
        <w:t>09:30</w:t>
      </w:r>
      <w:r>
        <w:rPr>
          <w:rFonts w:hint="eastAsia" w:ascii="宋体" w:hAnsi="宋体" w:eastAsia="宋体" w:cs="宋体"/>
          <w:color w:val="auto"/>
          <w:sz w:val="24"/>
          <w:szCs w:val="24"/>
          <w:highlight w:val="none"/>
        </w:rPr>
        <w:t>之前获取。</w:t>
      </w:r>
    </w:p>
    <w:p>
      <w:pPr>
        <w:numPr>
          <w:ilvl w:val="0"/>
          <w:numId w:val="3"/>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获取磋商文件方式：供应商登陆政采云平台http://www.zcygov.cn/，在线申请获取磋商文件（进入“项目采购”应用，在获取采购文件菜单中选择项目，申请获取采购文件）。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提示：</w:t>
      </w:r>
    </w:p>
    <w:p>
      <w:pPr>
        <w:numPr>
          <w:ilvl w:val="0"/>
          <w:numId w:val="4"/>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六．投标与开标注意事项：</w:t>
      </w:r>
    </w:p>
    <w:p>
      <w:pPr>
        <w:numPr>
          <w:ilvl w:val="0"/>
          <w:numId w:val="5"/>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本项目实行</w:t>
      </w:r>
      <w:r>
        <w:rPr>
          <w:rFonts w:hint="eastAsia" w:ascii="宋体" w:hAnsi="宋体" w:eastAsia="宋体" w:cs="宋体"/>
          <w:b/>
          <w:bCs/>
          <w:color w:val="auto"/>
          <w:sz w:val="24"/>
          <w:szCs w:val="24"/>
          <w:highlight w:val="none"/>
        </w:rPr>
        <w:t>网上投标</w:t>
      </w:r>
      <w:r>
        <w:rPr>
          <w:rFonts w:hint="eastAsia" w:ascii="宋体" w:hAnsi="宋体" w:eastAsia="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《CA管理学习专题》：</w:t>
      </w:r>
    </w:p>
    <w:p>
      <w:pPr>
        <w:adjustRightInd w:val="0"/>
        <w:spacing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https://edu.zcygov.cn/luban/ca?utm=web-government-front.380aac0a.0.0.fc2b6aa0b6e211ebbdb0dd007730dd44</w:t>
      </w:r>
    </w:p>
    <w:p>
      <w:pPr>
        <w:adjustRightInd w:val="0"/>
        <w:spacing w:line="360" w:lineRule="auto"/>
        <w:ind w:left="420" w:left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《CA驱动和申领流程》:</w:t>
      </w:r>
    </w:p>
    <w:p>
      <w:pPr>
        <w:adjustRightInd w:val="0"/>
        <w:spacing w:line="360" w:lineRule="auto"/>
        <w:ind w:left="420" w:leftChars="2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http://zfcg.czt.zj.gov.cn/bidClientTemplate/2019-05-27/12945.html</w:t>
      </w:r>
    </w:p>
    <w:p>
      <w:pPr>
        <w:numPr>
          <w:ilvl w:val="0"/>
          <w:numId w:val="5"/>
        </w:num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投标文件制作：</w:t>
      </w:r>
    </w:p>
    <w:p>
      <w:pPr>
        <w:keepNext w:val="0"/>
        <w:keepLines w:val="0"/>
        <w:pageBreakBefore w:val="0"/>
        <w:widowControl w:val="0"/>
        <w:numPr>
          <w:ilvl w:val="0"/>
          <w:numId w:val="6"/>
        </w:numPr>
        <w:kinsoku/>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宋体" w:hAnsi="宋体" w:eastAsia="宋体" w:cs="宋体"/>
          <w:color w:val="auto"/>
          <w:sz w:val="24"/>
          <w:szCs w:val="24"/>
          <w:highlight w:val="none"/>
          <w:lang w:val="en-US" w:eastAsia="zh-CN"/>
        </w:rPr>
        <w:t>95763</w:t>
      </w:r>
      <w:r>
        <w:rPr>
          <w:rFonts w:hint="eastAsia" w:ascii="宋体" w:hAnsi="宋体" w:eastAsia="宋体" w:cs="宋体"/>
          <w:color w:val="auto"/>
          <w:sz w:val="24"/>
          <w:szCs w:val="24"/>
          <w:highlight w:val="none"/>
        </w:rPr>
        <w:t>。</w:t>
      </w:r>
    </w:p>
    <w:p>
      <w:pPr>
        <w:keepNext w:val="0"/>
        <w:keepLines w:val="0"/>
        <w:pageBreakBefore w:val="0"/>
        <w:widowControl w:val="0"/>
        <w:numPr>
          <w:ilvl w:val="0"/>
          <w:numId w:val="6"/>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投标人通过“政采云”平台电子投标工具制作投标文件。</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《电子投标工具》：</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http://zfcg.czt.zj.gov.cn/bidClientTemplate/2019-09-24/12975.html</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《供应商-政府采购项目电子交易操作指南》：(需登录账号后查看)</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https://service.zcygov.cn/#/knowledges/tree?tag=AG1DtGwBFdiHxlNdhY0r</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4.供应商在法定质疑期内应一次性提出针对同一采购程序环节的质疑。</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5.投标人可指派授权代表递交备份文件，授权代表递交备份文件需携带法定代表人授权书原件，于投标截止时间前到达开标地点递交。</w:t>
      </w:r>
    </w:p>
    <w:p>
      <w:pPr>
        <w:keepNext w:val="0"/>
        <w:keepLines w:val="0"/>
        <w:pageBreakBefore w:val="0"/>
        <w:widowControl w:val="0"/>
        <w:kinsoku/>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6.特别提醒</w:t>
      </w:r>
    </w:p>
    <w:p>
      <w:pPr>
        <w:keepNext w:val="0"/>
        <w:keepLines w:val="0"/>
        <w:pageBreakBefore w:val="0"/>
        <w:widowControl w:val="0"/>
        <w:numPr>
          <w:ilvl w:val="0"/>
          <w:numId w:val="7"/>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单位负责人为同一人或者存在直接控股、管理关系的不同供应商，不得参加同一合同项下的政府采购活动。</w:t>
      </w:r>
    </w:p>
    <w:p>
      <w:pPr>
        <w:keepNext w:val="0"/>
        <w:keepLines w:val="0"/>
        <w:pageBreakBefore w:val="0"/>
        <w:widowControl w:val="0"/>
        <w:numPr>
          <w:ilvl w:val="0"/>
          <w:numId w:val="7"/>
        </w:numPr>
        <w:kinsoku/>
        <w:wordWrap w:val="0"/>
        <w:overflowPunct/>
        <w:topLinePunct w:val="0"/>
        <w:autoSpaceDE/>
        <w:autoSpaceDN/>
        <w:bidi w:val="0"/>
        <w:adjustRightInd w:val="0"/>
        <w:snapToGrid/>
        <w:spacing w:line="360" w:lineRule="auto"/>
        <w:ind w:left="0" w:leftChars="0"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除单一来源采购项目外，为采购项目提</w:t>
      </w:r>
      <w:bookmarkStart w:id="112" w:name="_GoBack"/>
      <w:bookmarkEnd w:id="112"/>
      <w:r>
        <w:rPr>
          <w:rFonts w:hint="eastAsia" w:ascii="宋体" w:hAnsi="宋体" w:eastAsia="宋体" w:cs="宋体"/>
          <w:color w:val="auto"/>
          <w:sz w:val="24"/>
          <w:szCs w:val="24"/>
          <w:highlight w:val="none"/>
        </w:rPr>
        <w:t>供整体设计、规范编制或者项目管理、监理、检测等服务的供应商，不得再参加该采购项目的其他采购活动</w:t>
      </w:r>
      <w:r>
        <w:rPr>
          <w:rFonts w:hint="eastAsia" w:ascii="宋体" w:hAnsi="宋体" w:eastAsia="宋体" w:cs="宋体"/>
          <w:color w:val="auto"/>
          <w:sz w:val="24"/>
          <w:szCs w:val="24"/>
          <w:highlight w:val="none"/>
          <w:lang w:eastAsia="zh-CN"/>
        </w:rPr>
        <w:t>。</w:t>
      </w:r>
    </w:p>
    <w:p>
      <w:pPr>
        <w:adjustRightInd w:val="0"/>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七．磋商响应截止时间及</w:t>
      </w:r>
      <w:r>
        <w:rPr>
          <w:rFonts w:hint="eastAsia" w:ascii="宋体" w:hAnsi="宋体" w:eastAsia="宋体" w:cs="宋体"/>
          <w:b/>
          <w:bCs/>
          <w:color w:val="auto"/>
          <w:sz w:val="24"/>
          <w:szCs w:val="24"/>
          <w:highlight w:val="none"/>
        </w:rPr>
        <w:t>要求：</w:t>
      </w:r>
      <w:r>
        <w:rPr>
          <w:rFonts w:hint="eastAsia" w:ascii="宋体" w:hAnsi="宋体" w:eastAsia="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30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09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30 </w:t>
      </w:r>
      <w:r>
        <w:rPr>
          <w:rFonts w:hint="eastAsia" w:ascii="宋体" w:hAnsi="宋体" w:eastAsia="宋体" w:cs="宋体"/>
          <w:color w:val="auto"/>
          <w:sz w:val="24"/>
          <w:szCs w:val="24"/>
          <w:highlight w:val="none"/>
        </w:rPr>
        <w:t>分整</w:t>
      </w:r>
      <w:r>
        <w:rPr>
          <w:rFonts w:hint="eastAsia" w:ascii="宋体" w:hAnsi="宋体" w:eastAsia="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八．递交首次响应文件时间及地点：</w:t>
      </w:r>
      <w:bookmarkStart w:id="6" w:name="B30_开标地点"/>
      <w:r>
        <w:rPr>
          <w:rFonts w:hint="eastAsia" w:ascii="宋体" w:hAnsi="宋体" w:eastAsia="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4</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30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09 </w:t>
      </w:r>
      <w:r>
        <w:rPr>
          <w:rFonts w:hint="eastAsia" w:ascii="宋体" w:hAnsi="宋体" w:eastAsia="宋体" w:cs="宋体"/>
          <w:color w:val="auto"/>
          <w:sz w:val="24"/>
          <w:szCs w:val="24"/>
          <w:highlight w:val="none"/>
        </w:rPr>
        <w:t>时</w:t>
      </w:r>
      <w:r>
        <w:rPr>
          <w:rFonts w:hint="eastAsia" w:ascii="宋体" w:hAnsi="宋体" w:eastAsia="宋体" w:cs="宋体"/>
          <w:color w:val="auto"/>
          <w:sz w:val="24"/>
          <w:szCs w:val="24"/>
          <w:highlight w:val="none"/>
          <w:u w:val="single"/>
        </w:rPr>
        <w:t xml:space="preserve"> 30 </w:t>
      </w:r>
      <w:r>
        <w:rPr>
          <w:rFonts w:hint="eastAsia" w:ascii="宋体" w:hAnsi="宋体" w:eastAsia="宋体" w:cs="宋体"/>
          <w:color w:val="auto"/>
          <w:sz w:val="24"/>
          <w:szCs w:val="24"/>
          <w:highlight w:val="none"/>
        </w:rPr>
        <w:t>分整在上虞区公共资源交易中心</w:t>
      </w:r>
      <w:r>
        <w:rPr>
          <w:rFonts w:hint="eastAsia" w:ascii="宋体" w:hAnsi="宋体" w:cs="宋体"/>
          <w:color w:val="auto"/>
          <w:sz w:val="24"/>
          <w:szCs w:val="24"/>
          <w:highlight w:val="none"/>
          <w:lang w:val="en-US" w:eastAsia="zh-CN"/>
        </w:rPr>
        <w:t>三</w:t>
      </w:r>
      <w:r>
        <w:rPr>
          <w:rFonts w:hint="eastAsia" w:ascii="宋体" w:hAnsi="宋体" w:eastAsia="宋体" w:cs="宋体"/>
          <w:color w:val="auto"/>
          <w:sz w:val="24"/>
          <w:szCs w:val="24"/>
          <w:highlight w:val="none"/>
        </w:rPr>
        <w:t>楼</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363</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开标室开标。</w:t>
      </w:r>
      <w:bookmarkEnd w:id="6"/>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开标时间后30分钟内（</w:t>
      </w:r>
      <w:r>
        <w:rPr>
          <w:rFonts w:hint="eastAsia" w:ascii="宋体" w:hAnsi="宋体" w:eastAsia="宋体" w:cs="宋体"/>
          <w:color w:val="auto"/>
          <w:sz w:val="24"/>
          <w:szCs w:val="24"/>
          <w:highlight w:val="none"/>
          <w:lang w:eastAsia="zh-CN"/>
        </w:rPr>
        <w:t>当日</w:t>
      </w:r>
      <w:r>
        <w:rPr>
          <w:rFonts w:hint="eastAsia" w:ascii="宋体" w:hAnsi="宋体" w:eastAsia="宋体" w:cs="宋体"/>
          <w:color w:val="auto"/>
          <w:sz w:val="24"/>
          <w:szCs w:val="24"/>
          <w:highlight w:val="none"/>
        </w:rPr>
        <w:t>10 : 00 前）供应商可以登录“政采云”平台，用“项目采购-开标评标”功能进行解密响应文件。若供应商在规定时间内（</w:t>
      </w:r>
      <w:r>
        <w:rPr>
          <w:rFonts w:hint="eastAsia" w:ascii="宋体" w:hAnsi="宋体" w:eastAsia="宋体" w:cs="宋体"/>
          <w:color w:val="auto"/>
          <w:sz w:val="24"/>
          <w:szCs w:val="24"/>
          <w:highlight w:val="none"/>
          <w:lang w:eastAsia="zh-CN"/>
        </w:rPr>
        <w:t>当日</w:t>
      </w:r>
      <w:r>
        <w:rPr>
          <w:rFonts w:hint="eastAsia" w:ascii="宋体" w:hAnsi="宋体" w:eastAsia="宋体" w:cs="宋体"/>
          <w:color w:val="auto"/>
          <w:sz w:val="24"/>
          <w:szCs w:val="24"/>
          <w:highlight w:val="none"/>
        </w:rPr>
        <w:t>10 : 00 前）解密失败，则由采购代理机构工作人员上传供应商提供的备份文件。备份文件（后缀名为.bfbs）须存储在U盘中，与上传的电子磋商响应文件一致，用信封进行密封并盖章</w:t>
      </w:r>
      <w:r>
        <w:rPr>
          <w:rFonts w:hint="eastAsia" w:ascii="宋体" w:hAnsi="宋体" w:eastAsia="宋体" w:cs="宋体"/>
          <w:b/>
          <w:bCs/>
          <w:color w:val="auto"/>
          <w:sz w:val="24"/>
          <w:szCs w:val="24"/>
          <w:highlight w:val="none"/>
        </w:rPr>
        <w:t>（信封内仅需放入存储备份文件的U盘）</w:t>
      </w:r>
      <w:r>
        <w:rPr>
          <w:rFonts w:hint="eastAsia" w:ascii="宋体" w:hAnsi="宋体" w:eastAsia="宋体" w:cs="宋体"/>
          <w:color w:val="auto"/>
          <w:sz w:val="24"/>
          <w:szCs w:val="24"/>
          <w:highlight w:val="none"/>
        </w:rPr>
        <w:t>，由授权代表在磋商响应截止时间前递交至开标地点。若电子磋商响应文件正常解锁，则U盘退还给供应商；若解锁失败，则由采购代理机构将U盘中的备份文件上传，该U盘将由采购代理机构保存。</w:t>
      </w:r>
    </w:p>
    <w:p>
      <w:pPr>
        <w:adjustRightInd w:val="0"/>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本次开标不提供现场视频。</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九．磋商保证金：无</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十．公告期限：3个工作日</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十一．联系方式：</w:t>
      </w:r>
    </w:p>
    <w:p>
      <w:pPr>
        <w:adjustRightIn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1．采购代理机构名称：</w:t>
      </w:r>
      <w:r>
        <w:rPr>
          <w:rFonts w:hint="eastAsia" w:ascii="宋体" w:hAnsi="宋体" w:cs="宋体"/>
          <w:color w:val="auto"/>
          <w:sz w:val="24"/>
          <w:szCs w:val="24"/>
          <w:highlight w:val="none"/>
          <w:lang w:eastAsia="zh-CN"/>
        </w:rPr>
        <w:t>浙江省成套工程有限公司</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项目联系人（询问）：</w:t>
      </w:r>
      <w:r>
        <w:rPr>
          <w:rFonts w:hint="eastAsia" w:ascii="宋体" w:hAnsi="宋体" w:cs="宋体"/>
          <w:color w:val="auto"/>
          <w:sz w:val="24"/>
          <w:szCs w:val="24"/>
          <w:highlight w:val="none"/>
          <w:lang w:eastAsia="zh-CN"/>
        </w:rPr>
        <w:t>项建海</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项目联系方式（询问）：</w:t>
      </w:r>
      <w:r>
        <w:rPr>
          <w:rFonts w:hint="eastAsia" w:ascii="宋体" w:hAnsi="宋体" w:cs="宋体"/>
          <w:color w:val="auto"/>
          <w:sz w:val="24"/>
          <w:szCs w:val="24"/>
          <w:highlight w:val="none"/>
          <w:lang w:val="en-US" w:eastAsia="zh-CN"/>
        </w:rPr>
        <w:t>13819570604</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质疑联系人：</w:t>
      </w:r>
      <w:r>
        <w:rPr>
          <w:rFonts w:hint="eastAsia" w:ascii="宋体" w:hAnsi="宋体" w:cs="宋体"/>
          <w:color w:val="auto"/>
          <w:sz w:val="24"/>
          <w:szCs w:val="24"/>
          <w:highlight w:val="none"/>
          <w:lang w:eastAsia="zh-CN"/>
        </w:rPr>
        <w:t>章建锋</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质疑联系方式：13372401551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地址：绍兴市上虞区</w:t>
      </w:r>
      <w:r>
        <w:rPr>
          <w:rFonts w:hint="eastAsia" w:ascii="宋体" w:hAnsi="宋体" w:cs="宋体"/>
          <w:color w:val="auto"/>
          <w:sz w:val="24"/>
          <w:szCs w:val="24"/>
          <w:highlight w:val="none"/>
          <w:lang w:val="en-US" w:eastAsia="zh-CN"/>
        </w:rPr>
        <w:t>财富广场6号楼902</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2．采购人名称：</w:t>
      </w:r>
      <w:r>
        <w:rPr>
          <w:rFonts w:hint="eastAsia" w:ascii="宋体" w:hAnsi="宋体" w:cs="宋体"/>
          <w:color w:val="auto"/>
          <w:sz w:val="24"/>
          <w:szCs w:val="24"/>
          <w:highlight w:val="none"/>
          <w:lang w:eastAsia="zh-CN"/>
        </w:rPr>
        <w:t>绍兴市上虞区文化广电旅游局</w:t>
      </w:r>
      <w:r>
        <w:rPr>
          <w:rFonts w:hint="eastAsia" w:ascii="宋体" w:hAnsi="宋体" w:eastAsia="宋体" w:cs="宋体"/>
          <w:color w:val="auto"/>
          <w:sz w:val="24"/>
          <w:szCs w:val="24"/>
          <w:highlight w:val="none"/>
        </w:rPr>
        <w:t xml:space="preserve">  </w:t>
      </w:r>
    </w:p>
    <w:p>
      <w:pPr>
        <w:adjustRightIn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项目联系人（询问）：</w:t>
      </w:r>
      <w:r>
        <w:rPr>
          <w:rFonts w:hint="eastAsia" w:ascii="宋体" w:hAnsi="宋体" w:cs="宋体"/>
          <w:color w:val="auto"/>
          <w:sz w:val="24"/>
          <w:szCs w:val="24"/>
          <w:highlight w:val="none"/>
          <w:lang w:val="en-US" w:eastAsia="zh-CN"/>
        </w:rPr>
        <w:t>徐建龙</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项目联系方式（询问）：</w:t>
      </w:r>
      <w:r>
        <w:rPr>
          <w:rFonts w:hint="eastAsia" w:ascii="宋体" w:hAnsi="宋体" w:cs="宋体"/>
          <w:color w:val="auto"/>
          <w:sz w:val="24"/>
          <w:szCs w:val="24"/>
          <w:highlight w:val="none"/>
          <w:lang w:val="en-US" w:eastAsia="zh-CN"/>
        </w:rPr>
        <w:t>0575-82116661</w:t>
      </w:r>
    </w:p>
    <w:p>
      <w:pPr>
        <w:adjustRightIn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质疑联系人：</w:t>
      </w:r>
      <w:r>
        <w:rPr>
          <w:rFonts w:hint="eastAsia" w:ascii="宋体" w:hAnsi="宋体" w:cs="宋体"/>
          <w:color w:val="auto"/>
          <w:sz w:val="24"/>
          <w:szCs w:val="24"/>
          <w:highlight w:val="none"/>
          <w:lang w:val="en-US" w:eastAsia="zh-CN"/>
        </w:rPr>
        <w:t xml:space="preserve"> 朱新娣</w:t>
      </w:r>
    </w:p>
    <w:p>
      <w:pPr>
        <w:adjustRightInd w:val="0"/>
        <w:spacing w:line="360" w:lineRule="auto"/>
        <w:ind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质疑联系方式：</w:t>
      </w:r>
      <w:r>
        <w:rPr>
          <w:rFonts w:hint="eastAsia" w:ascii="宋体" w:hAnsi="宋体" w:cs="宋体"/>
          <w:color w:val="auto"/>
          <w:sz w:val="24"/>
          <w:szCs w:val="24"/>
          <w:highlight w:val="none"/>
          <w:lang w:val="en-US" w:eastAsia="zh-CN"/>
        </w:rPr>
        <w:t xml:space="preserve"> 0575-82138072</w:t>
      </w:r>
    </w:p>
    <w:p>
      <w:pPr>
        <w:adjustRightInd w:val="0"/>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default" w:ascii="宋体" w:hAnsi="宋体" w:eastAsia="宋体" w:cs="宋体"/>
          <w:color w:val="auto"/>
          <w:sz w:val="24"/>
          <w:szCs w:val="24"/>
          <w:highlight w:val="none"/>
        </w:rPr>
        <w:t>浙江省绍兴市上虞区百官街道市民中心二路1号</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3．同级政府采购监督管理部门名称：上虞区财政局政府采购监管科</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联系人：谷先生</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监督投诉电话：0575-82130212</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传真：0575-821</w:t>
      </w:r>
      <w:r>
        <w:rPr>
          <w:rFonts w:hint="eastAsia" w:ascii="宋体" w:hAnsi="宋体" w:eastAsia="宋体" w:cs="宋体"/>
          <w:color w:val="auto"/>
          <w:sz w:val="24"/>
          <w:szCs w:val="24"/>
          <w:highlight w:val="none"/>
          <w:lang w:val="en-US" w:eastAsia="zh-CN"/>
        </w:rPr>
        <w:t>54859</w:t>
      </w:r>
    </w:p>
    <w:p>
      <w:pPr>
        <w:adjustRightIn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地址：绍兴市上虞区体育场路18号</w:t>
      </w:r>
    </w:p>
    <w:p>
      <w:pPr>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bookmarkStart w:id="7" w:name="_Toc5238"/>
      <w:bookmarkStart w:id="8" w:name="_Toc546"/>
      <w:bookmarkStart w:id="9" w:name="_Toc29834"/>
      <w:r>
        <w:rPr>
          <w:rStyle w:val="39"/>
          <w:rFonts w:hint="eastAsia" w:ascii="宋体" w:hAnsi="宋体" w:eastAsia="宋体" w:cs="宋体"/>
          <w:color w:val="auto"/>
          <w:sz w:val="36"/>
          <w:szCs w:val="36"/>
          <w:highlight w:val="none"/>
        </w:rPr>
        <w:t>第二部分</w:t>
      </w:r>
      <w:bookmarkEnd w:id="3"/>
      <w:r>
        <w:rPr>
          <w:rStyle w:val="39"/>
          <w:rFonts w:hint="eastAsia" w:ascii="宋体" w:hAnsi="宋体" w:eastAsia="宋体" w:cs="宋体"/>
          <w:color w:val="auto"/>
          <w:sz w:val="36"/>
          <w:szCs w:val="36"/>
          <w:highlight w:val="none"/>
        </w:rPr>
        <w:t xml:space="preserve"> </w:t>
      </w:r>
      <w:bookmarkEnd w:id="4"/>
      <w:r>
        <w:rPr>
          <w:rStyle w:val="39"/>
          <w:rFonts w:hint="eastAsia" w:ascii="宋体" w:hAnsi="宋体" w:eastAsia="宋体" w:cs="宋体"/>
          <w:color w:val="auto"/>
          <w:sz w:val="36"/>
          <w:szCs w:val="36"/>
          <w:highlight w:val="none"/>
        </w:rPr>
        <w:t>供应商须知</w:t>
      </w:r>
      <w:bookmarkEnd w:id="7"/>
      <w:bookmarkEnd w:id="8"/>
      <w:bookmarkEnd w:id="9"/>
    </w:p>
    <w:p>
      <w:pPr>
        <w:widowControl/>
        <w:adjustRightInd w:val="0"/>
        <w:snapToGrid w:val="0"/>
        <w:spacing w:line="360" w:lineRule="auto"/>
        <w:jc w:val="center"/>
        <w:rPr>
          <w:rFonts w:hint="eastAsia" w:ascii="宋体" w:hAnsi="宋体" w:eastAsia="宋体" w:cs="宋体"/>
          <w:b/>
          <w:bCs/>
          <w:snapToGrid w:val="0"/>
          <w:color w:val="auto"/>
          <w:kern w:val="0"/>
          <w:sz w:val="32"/>
          <w:szCs w:val="32"/>
          <w:highlight w:val="none"/>
        </w:rPr>
      </w:pPr>
      <w:r>
        <w:rPr>
          <w:rFonts w:hint="eastAsia" w:ascii="宋体" w:hAnsi="宋体" w:eastAsia="宋体" w:cs="宋体"/>
          <w:b/>
          <w:bCs/>
          <w:snapToGrid w:val="0"/>
          <w:color w:val="auto"/>
          <w:kern w:val="0"/>
          <w:sz w:val="30"/>
          <w:szCs w:val="30"/>
          <w:highlight w:val="none"/>
        </w:rPr>
        <w:t>供应商须知前附表</w:t>
      </w:r>
    </w:p>
    <w:tbl>
      <w:tblPr>
        <w:tblStyle w:val="25"/>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tcBorders>
              <w:top w:val="double" w:color="auto" w:sz="4" w:space="0"/>
            </w:tcBorders>
            <w:vAlign w:val="center"/>
          </w:tcPr>
          <w:p>
            <w:pPr>
              <w:snapToGrid w:val="0"/>
              <w:jc w:val="center"/>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项目名称</w:t>
            </w:r>
          </w:p>
        </w:tc>
        <w:tc>
          <w:tcPr>
            <w:tcW w:w="6682" w:type="dxa"/>
            <w:vAlign w:val="center"/>
          </w:tcPr>
          <w:p>
            <w:pPr>
              <w:snapToGrid w:val="0"/>
              <w:ind w:firstLine="420" w:firstLineChars="200"/>
              <w:rPr>
                <w:rFonts w:hint="eastAsia" w:ascii="宋体" w:hAnsi="宋体" w:eastAsia="宋体" w:cs="宋体"/>
                <w:snapToGrid w:val="0"/>
                <w:color w:val="auto"/>
                <w:kern w:val="0"/>
                <w:highlight w:val="none"/>
                <w:lang w:eastAsia="zh-CN"/>
              </w:rPr>
            </w:pPr>
            <w:r>
              <w:rPr>
                <w:rFonts w:hint="eastAsia" w:ascii="宋体" w:hAnsi="宋体" w:cs="宋体"/>
                <w:snapToGrid w:val="0"/>
                <w:color w:val="auto"/>
                <w:kern w:val="0"/>
                <w:highlight w:val="none"/>
                <w:lang w:eastAsia="zh-CN"/>
              </w:rPr>
              <w:t>上虞区文化广电旅游局2024年-2026年农村电影放映服务项目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服务周期</w:t>
            </w:r>
          </w:p>
        </w:tc>
        <w:tc>
          <w:tcPr>
            <w:tcW w:w="6682" w:type="dxa"/>
            <w:vAlign w:val="center"/>
          </w:tcPr>
          <w:p>
            <w:pPr>
              <w:ind w:firstLine="422" w:firstLineChars="200"/>
              <w:rPr>
                <w:rFonts w:hint="eastAsia" w:ascii="宋体" w:hAnsi="宋体" w:eastAsia="宋体" w:cs="宋体"/>
                <w:color w:val="auto"/>
                <w:highlight w:val="none"/>
              </w:rPr>
            </w:pPr>
            <w:r>
              <w:rPr>
                <w:rFonts w:hint="eastAsia" w:ascii="宋体" w:hAnsi="宋体" w:eastAsia="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3</w:t>
            </w:r>
          </w:p>
        </w:tc>
        <w:tc>
          <w:tcPr>
            <w:tcW w:w="1800" w:type="dxa"/>
            <w:vAlign w:val="center"/>
          </w:tcPr>
          <w:p>
            <w:pPr>
              <w:snapToGrid w:val="0"/>
              <w:jc w:val="center"/>
              <w:rPr>
                <w:rFonts w:hint="eastAsia" w:ascii="宋体" w:hAnsi="宋体" w:eastAsia="宋体" w:cs="宋体"/>
                <w:b/>
                <w:bCs/>
                <w:snapToGrid w:val="0"/>
                <w:color w:val="auto"/>
                <w:kern w:val="0"/>
                <w:highlight w:val="none"/>
              </w:rPr>
            </w:pPr>
            <w:r>
              <w:rPr>
                <w:rFonts w:hint="eastAsia" w:ascii="宋体" w:hAnsi="宋体" w:eastAsia="宋体" w:cs="宋体"/>
                <w:b/>
                <w:bCs/>
                <w:snapToGrid w:val="0"/>
                <w:color w:val="auto"/>
                <w:kern w:val="0"/>
                <w:highlight w:val="none"/>
              </w:rPr>
              <w:t>最高限价</w:t>
            </w:r>
          </w:p>
        </w:tc>
        <w:tc>
          <w:tcPr>
            <w:tcW w:w="6682" w:type="dxa"/>
            <w:vAlign w:val="center"/>
          </w:tcPr>
          <w:p>
            <w:pPr>
              <w:snapToGrid w:val="0"/>
              <w:ind w:firstLine="420" w:firstLineChars="200"/>
              <w:rPr>
                <w:rFonts w:hint="eastAsia" w:ascii="宋体" w:hAnsi="宋体" w:eastAsia="宋体" w:cs="宋体"/>
                <w:b/>
                <w:bCs/>
                <w:snapToGrid w:val="0"/>
                <w:color w:val="auto"/>
                <w:kern w:val="0"/>
                <w:highlight w:val="none"/>
              </w:rPr>
            </w:pPr>
            <w:r>
              <w:rPr>
                <w:rFonts w:hint="eastAsia" w:ascii="宋体" w:hAnsi="宋体" w:eastAsia="宋体" w:cs="宋体"/>
                <w:color w:val="auto"/>
                <w:highlight w:val="none"/>
              </w:rPr>
              <w:t>本项目最高限价人民币</w:t>
            </w:r>
            <w:r>
              <w:rPr>
                <w:rFonts w:hint="eastAsia" w:ascii="宋体" w:hAnsi="宋体" w:eastAsia="宋体" w:cs="宋体"/>
                <w:color w:val="auto"/>
                <w:highlight w:val="none"/>
                <w:u w:val="single"/>
              </w:rPr>
              <w:t xml:space="preserve"> </w:t>
            </w:r>
            <w:r>
              <w:rPr>
                <w:rFonts w:hint="eastAsia" w:ascii="宋体" w:hAnsi="宋体" w:cs="宋体"/>
                <w:color w:val="auto"/>
                <w:highlight w:val="none"/>
                <w:u w:val="single"/>
                <w:lang w:val="en-US" w:eastAsia="zh-CN"/>
              </w:rPr>
              <w:t>297</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 xml:space="preserve">                                                                                                   4</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资格审查方式</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5</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踏勘现场</w:t>
            </w:r>
          </w:p>
        </w:tc>
        <w:tc>
          <w:tcPr>
            <w:tcW w:w="6682" w:type="dxa"/>
            <w:vAlign w:val="center"/>
          </w:tcPr>
          <w:p>
            <w:pPr>
              <w:snapToGrid w:val="0"/>
              <w:ind w:firstLine="422" w:firstLineChars="200"/>
              <w:rPr>
                <w:rFonts w:hint="eastAsia" w:ascii="宋体" w:hAnsi="宋体" w:eastAsia="宋体" w:cs="宋体"/>
                <w:snapToGrid w:val="0"/>
                <w:color w:val="auto"/>
                <w:kern w:val="0"/>
                <w:highlight w:val="none"/>
              </w:rPr>
            </w:pPr>
            <w:r>
              <w:rPr>
                <w:rFonts w:hint="eastAsia" w:ascii="宋体" w:hAnsi="宋体" w:eastAsia="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6</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询问</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供应商对政府采购活动事项有疑问的，可以向采购机构提出询问，采购人或者招标代理机构应当在3个工作日内对供应商依法提出的询问作出答复，但答复的内容不得涉及商业秘密。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7</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磋商文件的澄清与修改</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采购单位可以对已发出的磋商文件进行必要澄清或者修改，澄清或者修改的内容可能影响响应文件编制的，应当在提交首次响应文件截</w:t>
            </w:r>
            <w:r>
              <w:rPr>
                <w:rFonts w:hint="eastAsia" w:ascii="宋体" w:hAnsi="宋体" w:eastAsia="宋体" w:cs="宋体"/>
                <w:snapToGrid w:val="0"/>
                <w:color w:val="auto"/>
                <w:kern w:val="0"/>
                <w:highlight w:val="none"/>
                <w:lang w:val="en-US" w:eastAsia="zh-CN"/>
              </w:rPr>
              <w:t>止</w:t>
            </w:r>
            <w:r>
              <w:rPr>
                <w:rFonts w:hint="eastAsia" w:ascii="宋体" w:hAnsi="宋体" w:eastAsia="宋体" w:cs="宋体"/>
                <w:snapToGrid w:val="0"/>
                <w:color w:val="auto"/>
                <w:kern w:val="0"/>
                <w:highlight w:val="none"/>
              </w:rPr>
              <w:t>时间至少5日前，在磋商公告发布的媒体上发布更正公告。本项目磋商文件和补充（答疑、澄清）、修改文件等请自行登录浙江政府采购网或绍兴市上虞区公共资源交易中心网站查看。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8</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磋商响应文件组成</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9</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评标办法</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10</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hint="eastAsia" w:ascii="宋体" w:hAnsi="宋体" w:eastAsia="宋体" w:cs="宋体"/>
                <w:color w:val="auto"/>
                <w:kern w:val="0"/>
                <w:highlight w:val="none"/>
              </w:rPr>
            </w:pPr>
            <w:r>
              <w:rPr>
                <w:rFonts w:hint="eastAsia" w:ascii="宋体" w:hAnsi="宋体" w:eastAsia="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11</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开标时间、地点</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开标时间：</w:t>
            </w:r>
            <w:r>
              <w:rPr>
                <w:rFonts w:hint="eastAsia" w:ascii="宋体" w:hAnsi="宋体" w:eastAsia="宋体" w:cs="宋体"/>
                <w:color w:val="auto"/>
                <w:kern w:val="0"/>
                <w:highlight w:val="none"/>
              </w:rPr>
              <w:t>详见磋商公告</w:t>
            </w:r>
          </w:p>
          <w:p>
            <w:pPr>
              <w:snapToGrid w:val="0"/>
              <w:ind w:firstLine="420" w:firstLineChars="200"/>
              <w:rPr>
                <w:rFonts w:hint="eastAsia" w:ascii="宋体" w:hAnsi="宋体" w:eastAsia="宋体" w:cs="宋体"/>
                <w:color w:val="auto"/>
                <w:kern w:val="0"/>
                <w:highlight w:val="none"/>
              </w:rPr>
            </w:pPr>
            <w:r>
              <w:rPr>
                <w:rFonts w:hint="eastAsia" w:ascii="宋体" w:hAnsi="宋体" w:eastAsia="宋体" w:cs="宋体"/>
                <w:snapToGrid w:val="0"/>
                <w:color w:val="auto"/>
                <w:kern w:val="0"/>
                <w:highlight w:val="none"/>
              </w:rPr>
              <w:t>开标地点：</w:t>
            </w:r>
            <w:r>
              <w:rPr>
                <w:rFonts w:hint="eastAsia" w:ascii="宋体" w:hAnsi="宋体" w:eastAsia="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12</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磋商响应文件有效期</w:t>
            </w:r>
          </w:p>
        </w:tc>
        <w:tc>
          <w:tcPr>
            <w:tcW w:w="6682" w:type="dxa"/>
            <w:vAlign w:val="center"/>
          </w:tcPr>
          <w:p>
            <w:pPr>
              <w:snapToGrid w:val="0"/>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响应文件有效期为从提交响应文件的截止之日起90天。供应商的响应文件中承诺的响应文件有效期少于磋商文件中载明的响应文件有效期的，磋商无效。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7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13</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履约保证金</w:t>
            </w:r>
          </w:p>
        </w:tc>
        <w:tc>
          <w:tcPr>
            <w:tcW w:w="6682" w:type="dxa"/>
            <w:vAlign w:val="center"/>
          </w:tcPr>
          <w:p>
            <w:pPr>
              <w:widowControl/>
              <w:ind w:firstLine="420" w:firstLineChars="200"/>
              <w:jc w:val="left"/>
              <w:rPr>
                <w:rFonts w:hint="eastAsia" w:ascii="宋体" w:hAnsi="宋体" w:eastAsia="宋体" w:cs="宋体"/>
                <w:color w:val="auto"/>
                <w:kern w:val="0"/>
                <w:highlight w:val="none"/>
                <w:lang w:val="en-US" w:eastAsia="zh-CN"/>
              </w:rPr>
            </w:pPr>
            <w:r>
              <w:rPr>
                <w:rFonts w:hint="eastAsia" w:ascii="宋体" w:hAnsi="宋体" w:cs="宋体"/>
                <w:color w:val="auto"/>
                <w:szCs w:val="21"/>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14</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磋商公告及成交结果公告发布媒体</w:t>
            </w:r>
          </w:p>
        </w:tc>
        <w:tc>
          <w:tcPr>
            <w:tcW w:w="6682" w:type="dxa"/>
            <w:vAlign w:val="center"/>
          </w:tcPr>
          <w:p>
            <w:pPr>
              <w:pStyle w:val="16"/>
              <w:snapToGri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浙江省政府采购网、 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质疑</w:t>
            </w:r>
          </w:p>
        </w:tc>
        <w:tc>
          <w:tcPr>
            <w:tcW w:w="6682" w:type="dxa"/>
            <w:vAlign w:val="center"/>
          </w:tcPr>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供应商认为磋商文件使自己的权益受到损害的，可以在磋商文件公告期限届满之日起7个工作日内，以书面形式向采购人和采购代理机构提出质疑。供应商在法定质疑期内应一次性提出针对同一采购程序环节的质疑。</w:t>
            </w:r>
          </w:p>
          <w:p>
            <w:pPr>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hint="eastAsia" w:ascii="宋体" w:hAnsi="宋体" w:eastAsia="宋体" w:cs="宋体"/>
                <w:snapToGrid w:val="0"/>
                <w:color w:val="auto"/>
                <w:kern w:val="0"/>
                <w:highlight w:val="none"/>
              </w:rPr>
            </w:pPr>
            <w:r>
              <w:rPr>
                <w:rFonts w:hint="eastAsia" w:ascii="宋体" w:hAnsi="宋体" w:eastAsia="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eastAsia="宋体" w:cs="宋体"/>
                <w:snapToGrid w:val="0"/>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16</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投诉</w:t>
            </w:r>
          </w:p>
        </w:tc>
        <w:tc>
          <w:tcPr>
            <w:tcW w:w="6682" w:type="dxa"/>
            <w:vAlign w:val="center"/>
          </w:tcPr>
          <w:p>
            <w:pPr>
              <w:snapToGrid w:val="0"/>
              <w:ind w:firstLine="420" w:firstLineChars="200"/>
              <w:jc w:val="lef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17</w:t>
            </w:r>
          </w:p>
        </w:tc>
        <w:tc>
          <w:tcPr>
            <w:tcW w:w="1800"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特别说明</w:t>
            </w:r>
          </w:p>
        </w:tc>
        <w:tc>
          <w:tcPr>
            <w:tcW w:w="6682" w:type="dxa"/>
            <w:vAlign w:val="center"/>
          </w:tcPr>
          <w:p>
            <w:pPr>
              <w:pStyle w:val="16"/>
              <w:snapToGri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6"/>
              <w:snapToGri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6"/>
              <w:snapToGrid w:val="0"/>
              <w:ind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质疑、投诉人未按前列进行质疑、投诉（申诉），均属于扰乱政府采购市场不良行为。</w:t>
            </w:r>
          </w:p>
          <w:p>
            <w:pPr>
              <w:pStyle w:val="16"/>
              <w:snapToGrid w:val="0"/>
              <w:ind w:firstLine="420" w:firstLineChars="200"/>
              <w:jc w:val="left"/>
              <w:rPr>
                <w:rFonts w:hint="eastAsia" w:ascii="宋体" w:hAnsi="宋体" w:eastAsia="宋体" w:cs="宋体"/>
                <w:b/>
                <w:bCs/>
                <w:color w:val="auto"/>
                <w:kern w:val="0"/>
                <w:highlight w:val="none"/>
              </w:rPr>
            </w:pPr>
            <w:r>
              <w:rPr>
                <w:rFonts w:hint="eastAsia" w:ascii="宋体" w:hAnsi="宋体" w:eastAsia="宋体" w:cs="宋体"/>
                <w:color w:val="auto"/>
                <w:kern w:val="0"/>
                <w:highlight w:val="none"/>
              </w:rPr>
              <w:t>磋商文件中凡标注“</w:t>
            </w:r>
            <w:r>
              <w:rPr>
                <w:rFonts w:hint="eastAsia" w:ascii="宋体" w:hAnsi="宋体" w:eastAsia="宋体" w:cs="宋体"/>
                <w:color w:val="auto"/>
                <w:highlight w:val="none"/>
              </w:rPr>
              <w:t>★</w:t>
            </w:r>
            <w:r>
              <w:rPr>
                <w:rFonts w:hint="eastAsia" w:ascii="宋体" w:hAnsi="宋体" w:eastAsia="宋体" w:cs="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18</w:t>
            </w:r>
          </w:p>
        </w:tc>
        <w:tc>
          <w:tcPr>
            <w:tcW w:w="1800"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支</w:t>
            </w:r>
          </w:p>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持</w:t>
            </w:r>
          </w:p>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中</w:t>
            </w:r>
          </w:p>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小</w:t>
            </w:r>
          </w:p>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企</w:t>
            </w:r>
          </w:p>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业</w:t>
            </w:r>
          </w:p>
          <w:p>
            <w:pPr>
              <w:snapToGrid w:val="0"/>
              <w:jc w:val="center"/>
              <w:rPr>
                <w:rFonts w:hint="eastAsia" w:ascii="宋体" w:hAnsi="宋体" w:eastAsia="宋体" w:cs="宋体"/>
                <w:color w:val="auto"/>
                <w:highlight w:val="none"/>
              </w:rPr>
            </w:pPr>
          </w:p>
        </w:tc>
        <w:tc>
          <w:tcPr>
            <w:tcW w:w="6682" w:type="dxa"/>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符合中小企业划分标准的个体工商户，在政府采购活动中视同中小企业。</w:t>
            </w:r>
          </w:p>
          <w:p>
            <w:pPr>
              <w:bidi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bidi w:val="0"/>
              <w:spacing w:line="24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在服务采购项目中，服务由小微企业承接，即提供服务的人员为小微企业依照《中华人民共和国劳动合同法》订立劳动合同的从业人员。</w:t>
            </w:r>
          </w:p>
          <w:p>
            <w:pPr>
              <w:bidi w:val="0"/>
              <w:ind w:firstLine="420" w:firstLineChars="200"/>
              <w:rPr>
                <w:rFonts w:hint="eastAsia" w:ascii="宋体" w:hAnsi="宋体" w:eastAsia="宋体" w:cs="宋体"/>
                <w:color w:val="auto"/>
                <w:highlight w:val="none"/>
              </w:rPr>
            </w:pPr>
            <w:bookmarkStart w:id="10" w:name="_Toc16526"/>
            <w:r>
              <w:rPr>
                <w:rFonts w:hint="eastAsia" w:ascii="宋体" w:hAnsi="宋体" w:eastAsia="宋体" w:cs="宋体"/>
                <w:color w:val="auto"/>
                <w:highlight w:val="none"/>
              </w:rPr>
              <w:t>联合体各方均为小型、微型企业的，联合体视同为小型、微型企业。</w:t>
            </w:r>
            <w:bookmarkEnd w:id="10"/>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val="en-US" w:eastAsia="zh-CN"/>
              </w:rPr>
              <w:t>财政部</w:t>
            </w:r>
            <w:r>
              <w:rPr>
                <w:rFonts w:hint="eastAsia" w:ascii="宋体" w:hAnsi="宋体" w:eastAsia="宋体" w:cs="宋体"/>
                <w:color w:val="auto"/>
                <w:sz w:val="21"/>
                <w:szCs w:val="21"/>
                <w:highlight w:val="none"/>
              </w:rPr>
              <w:t>的《关于进一步加大政府采购支持中小企业力度的通知》（</w:t>
            </w:r>
            <w:r>
              <w:rPr>
                <w:rFonts w:hint="eastAsia" w:ascii="宋体" w:hAnsi="宋体" w:eastAsia="宋体" w:cs="宋体"/>
                <w:color w:val="auto"/>
                <w:sz w:val="21"/>
                <w:szCs w:val="21"/>
                <w:highlight w:val="none"/>
                <w:lang w:val="en-US" w:eastAsia="zh-CN"/>
              </w:rPr>
              <w:t>财库</w:t>
            </w:r>
            <w:r>
              <w:rPr>
                <w:rFonts w:hint="eastAsia" w:ascii="宋体" w:hAnsi="宋体" w:eastAsia="宋体" w:cs="宋体"/>
                <w:color w:val="auto"/>
                <w:sz w:val="21"/>
                <w:szCs w:val="21"/>
                <w:highlight w:val="none"/>
              </w:rPr>
              <w:t>〔2022〕</w:t>
            </w:r>
            <w:r>
              <w:rPr>
                <w:rFonts w:hint="eastAsia" w:ascii="宋体" w:hAnsi="宋体" w:eastAsia="宋体" w:cs="宋体"/>
                <w:color w:val="auto"/>
                <w:sz w:val="21"/>
                <w:szCs w:val="21"/>
                <w:highlight w:val="none"/>
                <w:lang w:val="en-US" w:eastAsia="zh-CN"/>
              </w:rPr>
              <w:t>19</w:t>
            </w:r>
            <w:r>
              <w:rPr>
                <w:rFonts w:hint="eastAsia" w:ascii="宋体" w:hAnsi="宋体" w:eastAsia="宋体" w:cs="宋体"/>
                <w:color w:val="auto"/>
                <w:sz w:val="21"/>
                <w:szCs w:val="21"/>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给予扣除，用扣除后的价格参加评审。</w:t>
            </w:r>
          </w:p>
          <w:p>
            <w:pPr>
              <w:ind w:firstLine="420" w:firstLineChars="200"/>
              <w:rPr>
                <w:rFonts w:hint="eastAsia" w:ascii="宋体" w:hAnsi="宋体" w:eastAsia="宋体" w:cs="宋体"/>
                <w:color w:val="auto"/>
                <w:highlight w:val="none"/>
              </w:rPr>
            </w:pPr>
            <w:r>
              <w:rPr>
                <w:rFonts w:hint="eastAsia" w:ascii="宋体" w:hAnsi="宋体" w:eastAsia="宋体" w:cs="宋体"/>
                <w:color w:val="auto"/>
                <w:sz w:val="21"/>
                <w:szCs w:val="21"/>
                <w:highlight w:val="none"/>
              </w:rPr>
              <w:t>组成联合体或者接受分包的小微企业与联合体内其他企业、分包企业之间存在直接控股、管理关系的，不享受价格扣除优惠政策。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19</w:t>
            </w:r>
          </w:p>
        </w:tc>
        <w:tc>
          <w:tcPr>
            <w:tcW w:w="1800"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招标代理服务费</w:t>
            </w:r>
          </w:p>
        </w:tc>
        <w:tc>
          <w:tcPr>
            <w:tcW w:w="6682" w:type="dxa"/>
            <w:vAlign w:val="center"/>
          </w:tcPr>
          <w:p>
            <w:pPr>
              <w:autoSpaceDN w:val="0"/>
              <w:spacing w:line="340" w:lineRule="exact"/>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招标代理服务费由成交供应商支付，按下列服务招标计算方式</w:t>
            </w:r>
            <w:r>
              <w:rPr>
                <w:rFonts w:hint="eastAsia" w:ascii="宋体" w:hAnsi="宋体" w:cs="宋体"/>
                <w:snapToGrid w:val="0"/>
                <w:color w:val="auto"/>
                <w:kern w:val="0"/>
                <w:highlight w:val="none"/>
                <w:lang w:eastAsia="zh-CN"/>
              </w:rPr>
              <w:t>按累进制</w:t>
            </w:r>
            <w:r>
              <w:rPr>
                <w:rFonts w:hint="eastAsia" w:ascii="宋体" w:hAnsi="宋体" w:eastAsia="宋体" w:cs="宋体"/>
                <w:snapToGrid w:val="0"/>
                <w:color w:val="auto"/>
                <w:kern w:val="0"/>
                <w:highlight w:val="none"/>
              </w:rPr>
              <w:t>计取。</w:t>
            </w:r>
          </w:p>
          <w:tbl>
            <w:tblPr>
              <w:tblStyle w:val="25"/>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2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0.01％</w:t>
                  </w:r>
                </w:p>
              </w:tc>
            </w:tr>
          </w:tbl>
          <w:p>
            <w:pPr>
              <w:spacing w:line="340" w:lineRule="exact"/>
              <w:ind w:firstLine="420" w:firstLineChars="20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20</w:t>
            </w:r>
          </w:p>
        </w:tc>
        <w:tc>
          <w:tcPr>
            <w:tcW w:w="1800"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是否允许分包</w:t>
            </w:r>
          </w:p>
        </w:tc>
        <w:tc>
          <w:tcPr>
            <w:tcW w:w="6682" w:type="dxa"/>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w:t>
            </w:r>
            <w:r>
              <w:rPr>
                <w:rFonts w:hint="eastAsia" w:ascii="宋体" w:hAnsi="宋体" w:eastAsia="宋体" w:cs="宋体"/>
                <w:color w:val="auto"/>
                <w:highlight w:val="none"/>
                <w:u w:val="single"/>
              </w:rPr>
              <w:t>不允许</w:t>
            </w:r>
            <w:r>
              <w:rPr>
                <w:rFonts w:hint="eastAsia" w:ascii="宋体" w:hAnsi="宋体" w:eastAsia="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jc w:val="center"/>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21</w:t>
            </w:r>
          </w:p>
        </w:tc>
        <w:tc>
          <w:tcPr>
            <w:tcW w:w="1800" w:type="dxa"/>
            <w:tcBorders>
              <w:top w:val="single" w:color="auto" w:sz="4" w:space="0"/>
            </w:tcBorders>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是否提供演示</w:t>
            </w:r>
          </w:p>
        </w:tc>
        <w:tc>
          <w:tcPr>
            <w:tcW w:w="6682" w:type="dxa"/>
            <w:tcBorders>
              <w:top w:val="single" w:color="auto" w:sz="4" w:space="0"/>
            </w:tcBorders>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w:t>
            </w:r>
            <w:r>
              <w:rPr>
                <w:rFonts w:hint="eastAsia" w:ascii="宋体" w:hAnsi="宋体" w:eastAsia="宋体" w:cs="宋体"/>
                <w:color w:val="auto"/>
                <w:highlight w:val="none"/>
                <w:u w:val="single"/>
              </w:rPr>
              <w:t>不需要</w:t>
            </w:r>
            <w:r>
              <w:rPr>
                <w:rFonts w:hint="eastAsia" w:ascii="宋体" w:hAnsi="宋体" w:eastAsia="宋体" w:cs="宋体"/>
                <w:color w:val="auto"/>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restart"/>
            <w:vAlign w:val="center"/>
          </w:tcPr>
          <w:p>
            <w:pPr>
              <w:snapToGrid w:val="0"/>
              <w:jc w:val="center"/>
              <w:rPr>
                <w:rFonts w:hint="eastAsia" w:ascii="宋体" w:hAnsi="宋体" w:eastAsia="宋体" w:cs="宋体"/>
                <w:snapToGrid w:val="0"/>
                <w:color w:val="auto"/>
                <w:kern w:val="0"/>
                <w:highlight w:val="none"/>
                <w:lang w:val="en-US" w:eastAsia="zh-CN"/>
              </w:rPr>
            </w:pPr>
            <w:r>
              <w:rPr>
                <w:rFonts w:hint="eastAsia" w:ascii="宋体" w:hAnsi="宋体" w:eastAsia="宋体" w:cs="宋体"/>
                <w:snapToGrid w:val="0"/>
                <w:color w:val="auto"/>
                <w:kern w:val="0"/>
                <w:highlight w:val="none"/>
                <w:lang w:val="en-US" w:eastAsia="zh-CN"/>
              </w:rPr>
              <w:t>22</w:t>
            </w:r>
          </w:p>
        </w:tc>
        <w:tc>
          <w:tcPr>
            <w:tcW w:w="1800" w:type="dxa"/>
            <w:vMerge w:val="restart"/>
            <w:tcBorders>
              <w:top w:val="single" w:color="auto" w:sz="4" w:space="0"/>
            </w:tcBorders>
            <w:vAlign w:val="center"/>
          </w:tcPr>
          <w:p>
            <w:pPr>
              <w:snapToGrid w:val="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预付款</w:t>
            </w:r>
          </w:p>
          <w:p>
            <w:pPr>
              <w:snapToGrid w:val="0"/>
              <w:jc w:val="center"/>
              <w:rPr>
                <w:rFonts w:hint="eastAsia" w:ascii="宋体" w:hAnsi="宋体" w:eastAsia="宋体" w:cs="宋体"/>
                <w:color w:val="auto"/>
                <w:highlight w:val="none"/>
              </w:rPr>
            </w:pPr>
          </w:p>
        </w:tc>
        <w:tc>
          <w:tcPr>
            <w:tcW w:w="6682" w:type="dxa"/>
            <w:tcBorders>
              <w:top w:val="single" w:color="auto" w:sz="4" w:space="0"/>
            </w:tcBorders>
            <w:vAlign w:val="center"/>
          </w:tcPr>
          <w:p>
            <w:pPr>
              <w:tabs>
                <w:tab w:val="left" w:pos="256"/>
              </w:tabs>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highlight w:val="none"/>
                <w:lang w:val="en-US" w:eastAsia="zh-CN"/>
              </w:rPr>
              <w:t>本项目涉及预付款，预付款比例为</w:t>
            </w:r>
            <w:r>
              <w:rPr>
                <w:rFonts w:hint="eastAsia" w:ascii="宋体" w:hAnsi="宋体" w:eastAsia="宋体" w:cs="宋体"/>
                <w:color w:val="auto"/>
                <w:highlight w:val="none"/>
                <w:u w:val="single"/>
                <w:lang w:val="en-US" w:eastAsia="zh-CN"/>
              </w:rPr>
              <w:t xml:space="preserve"> </w:t>
            </w:r>
            <w:r>
              <w:rPr>
                <w:rFonts w:hint="eastAsia" w:ascii="宋体" w:hAnsi="宋体" w:cs="宋体"/>
                <w:color w:val="auto"/>
                <w:highlight w:val="none"/>
                <w:u w:val="single"/>
                <w:lang w:val="en-US" w:eastAsia="zh-CN"/>
              </w:rPr>
              <w:t>60</w:t>
            </w:r>
            <w:r>
              <w:rPr>
                <w:rFonts w:hint="eastAsia" w:ascii="宋体" w:hAnsi="宋体" w:eastAsia="宋体" w:cs="宋体"/>
                <w:color w:val="auto"/>
                <w:highlight w:val="none"/>
                <w:u w:val="singl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Merge w:val="continue"/>
            <w:vAlign w:val="center"/>
          </w:tcPr>
          <w:p>
            <w:pPr>
              <w:snapToGrid w:val="0"/>
              <w:jc w:val="center"/>
              <w:rPr>
                <w:rFonts w:hint="eastAsia" w:ascii="宋体" w:hAnsi="宋体" w:eastAsia="宋体" w:cs="宋体"/>
                <w:snapToGrid w:val="0"/>
                <w:color w:val="auto"/>
                <w:kern w:val="0"/>
                <w:highlight w:val="none"/>
              </w:rPr>
            </w:pPr>
          </w:p>
        </w:tc>
        <w:tc>
          <w:tcPr>
            <w:tcW w:w="1800" w:type="dxa"/>
            <w:vMerge w:val="continue"/>
            <w:vAlign w:val="center"/>
          </w:tcPr>
          <w:p>
            <w:pPr>
              <w:snapToGrid w:val="0"/>
              <w:jc w:val="center"/>
              <w:rPr>
                <w:rFonts w:hint="eastAsia" w:ascii="宋体" w:hAnsi="宋体" w:eastAsia="宋体" w:cs="宋体"/>
                <w:color w:val="auto"/>
                <w:highlight w:val="none"/>
              </w:rPr>
            </w:pPr>
          </w:p>
        </w:tc>
        <w:tc>
          <w:tcPr>
            <w:tcW w:w="6682" w:type="dxa"/>
            <w:tcBorders>
              <w:top w:val="single" w:color="auto" w:sz="4" w:space="0"/>
            </w:tcBorders>
            <w:vAlign w:val="center"/>
          </w:tcPr>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根据《浙江省财政厅关于进一步发挥政府采购政策功能全力推动经济稳进提质的通知》[浙财采监〔2022）3号]文件第二条第五点关于“进一步提高政府采购预付款比例”的规定：</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1、采购单位应当在政府采购合同中约定预付款；</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项目涉及中小企业合同预付款的，合同签订后，采购人可以根据项目特点、供应商诚信等因素要求中标人提交银行、保险公司等金融机构出具的预付款保函或其他担保措施，采购人在合同生效以及具备实施条件后7个工作日内向中标人支付40%-70%的合同款作为预付款（项目为分年安排预算的，预付款按年度计划支付资金额的上述比例执行）；项目如以人工投入为主，采购人在合同生效以及具备实施条件后7个工作日内向中标人支付20%-70%的合同款作为预付款。</w:t>
            </w:r>
          </w:p>
          <w:p>
            <w:pPr>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3、本项目涉及投标人为大型企业，或者以人工投入为主且实行按月定期结算支付款项的，预付款可低于上述比例或者不约定预付款（相应字样应在合同中体现）。</w:t>
            </w:r>
          </w:p>
          <w:p>
            <w:pPr>
              <w:ind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4、在签订合同时，中标人明确表示无需预付款或者主动要求降低预付款比例的，应提交相应申请函经采购人确认后，可不适用前述规定。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lang w:eastAsia="zh-CN"/>
              </w:rPr>
            </w:pPr>
            <w:r>
              <w:rPr>
                <w:rFonts w:hint="eastAsia" w:ascii="宋体" w:hAnsi="宋体" w:eastAsia="宋体" w:cs="宋体"/>
                <w:snapToGrid w:val="0"/>
                <w:color w:val="auto"/>
                <w:kern w:val="0"/>
                <w:highlight w:val="none"/>
              </w:rPr>
              <w:t>2</w:t>
            </w:r>
            <w:r>
              <w:rPr>
                <w:rFonts w:hint="eastAsia" w:ascii="宋体" w:hAnsi="宋体" w:eastAsia="宋体" w:cs="宋体"/>
                <w:snapToGrid w:val="0"/>
                <w:color w:val="auto"/>
                <w:kern w:val="0"/>
                <w:highlight w:val="none"/>
                <w:lang w:val="en-US" w:eastAsia="zh-CN"/>
              </w:rPr>
              <w:t>3</w:t>
            </w:r>
          </w:p>
        </w:tc>
        <w:tc>
          <w:tcPr>
            <w:tcW w:w="1800"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1、查询渠道：信用中国（网址：http://www.creditchina.gov.cn）、中国政府采购网(网址：http://www.ccgp.gov.cn）。</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2、截止时点：开标后评标前。</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hint="eastAsia" w:ascii="宋体" w:hAnsi="宋体" w:eastAsia="宋体" w:cs="宋体"/>
                <w:snapToGrid w:val="0"/>
                <w:color w:val="auto"/>
                <w:kern w:val="0"/>
                <w:highlight w:val="none"/>
                <w:lang w:eastAsia="zh-CN"/>
              </w:rPr>
            </w:pPr>
            <w:r>
              <w:rPr>
                <w:rFonts w:hint="eastAsia" w:ascii="宋体" w:hAnsi="宋体" w:eastAsia="宋体" w:cs="宋体"/>
                <w:snapToGrid w:val="0"/>
                <w:color w:val="auto"/>
                <w:kern w:val="0"/>
                <w:highlight w:val="none"/>
              </w:rPr>
              <w:t>2</w:t>
            </w:r>
            <w:r>
              <w:rPr>
                <w:rFonts w:hint="eastAsia" w:ascii="宋体" w:hAnsi="宋体" w:eastAsia="宋体" w:cs="宋体"/>
                <w:snapToGrid w:val="0"/>
                <w:color w:val="auto"/>
                <w:kern w:val="0"/>
                <w:highlight w:val="none"/>
                <w:lang w:val="en-US" w:eastAsia="zh-CN"/>
              </w:rPr>
              <w:t>4</w:t>
            </w:r>
          </w:p>
        </w:tc>
        <w:tc>
          <w:tcPr>
            <w:tcW w:w="1800" w:type="dxa"/>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金融支持</w:t>
            </w:r>
          </w:p>
        </w:tc>
        <w:tc>
          <w:tcPr>
            <w:tcW w:w="6682" w:type="dxa"/>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jc w:val="center"/>
              <w:rPr>
                <w:rFonts w:hint="eastAsia" w:ascii="宋体" w:hAnsi="宋体" w:eastAsia="宋体" w:cs="宋体"/>
                <w:snapToGrid w:val="0"/>
                <w:color w:val="auto"/>
                <w:kern w:val="0"/>
                <w:highlight w:val="none"/>
                <w:lang w:eastAsia="zh-CN"/>
              </w:rPr>
            </w:pPr>
            <w:r>
              <w:rPr>
                <w:rFonts w:hint="eastAsia" w:ascii="宋体" w:hAnsi="宋体" w:eastAsia="宋体" w:cs="宋体"/>
                <w:snapToGrid w:val="0"/>
                <w:color w:val="auto"/>
                <w:kern w:val="0"/>
                <w:highlight w:val="none"/>
              </w:rPr>
              <w:t>2</w:t>
            </w:r>
            <w:r>
              <w:rPr>
                <w:rFonts w:hint="eastAsia" w:ascii="宋体" w:hAnsi="宋体" w:eastAsia="宋体" w:cs="宋体"/>
                <w:snapToGrid w:val="0"/>
                <w:color w:val="auto"/>
                <w:kern w:val="0"/>
                <w:highlight w:val="none"/>
                <w:lang w:val="en-US" w:eastAsia="zh-CN"/>
              </w:rPr>
              <w:t>5</w:t>
            </w:r>
          </w:p>
        </w:tc>
        <w:tc>
          <w:tcPr>
            <w:tcW w:w="1800" w:type="dxa"/>
            <w:tcBorders>
              <w:bottom w:val="double" w:color="auto" w:sz="4" w:space="0"/>
            </w:tcBorders>
            <w:vAlign w:val="center"/>
          </w:tcPr>
          <w:p>
            <w:pPr>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6682" w:type="dxa"/>
            <w:tcBorders>
              <w:bottom w:val="double" w:color="auto" w:sz="4" w:space="0"/>
            </w:tcBorders>
            <w:vAlign w:val="center"/>
          </w:tcPr>
          <w:p>
            <w:pPr>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本磋商文件要求提供的身份证复印件皆需提供正反面，否则按不提供处理。</w:t>
            </w:r>
          </w:p>
          <w:p>
            <w:pPr>
              <w:ind w:firstLine="420" w:firstLineChars="200"/>
              <w:rPr>
                <w:rFonts w:hint="eastAsia" w:ascii="宋体" w:hAnsi="宋体" w:eastAsia="宋体" w:cs="宋体"/>
                <w:b/>
                <w:bCs/>
                <w:color w:val="auto"/>
                <w:highlight w:val="none"/>
              </w:rPr>
            </w:pPr>
            <w:r>
              <w:rPr>
                <w:rFonts w:hint="eastAsia" w:ascii="宋体" w:hAnsi="宋体" w:eastAsia="宋体" w:cs="宋体"/>
                <w:color w:val="auto"/>
                <w:highlight w:val="none"/>
                <w:lang w:val="en-US" w:eastAsia="zh-CN"/>
              </w:rPr>
              <w:t>2、本项目货物如涉及柴油动力移动源，柴油动力移动源应当符合低排放要求。</w:t>
            </w:r>
          </w:p>
        </w:tc>
      </w:tr>
    </w:tbl>
    <w:p>
      <w:pPr>
        <w:pStyle w:val="3"/>
        <w:spacing w:line="360" w:lineRule="auto"/>
        <w:rPr>
          <w:rFonts w:hint="eastAsia" w:ascii="宋体" w:hAnsi="宋体" w:eastAsia="宋体" w:cs="宋体"/>
          <w:color w:val="auto"/>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eastAsia="宋体" w:cs="宋体"/>
          <w:color w:val="auto"/>
          <w:sz w:val="24"/>
          <w:szCs w:val="24"/>
          <w:highlight w:val="none"/>
        </w:rPr>
        <w:t>注：以上内容如有变化将另行通知。如通知其中某一内容发生变化，其余未提及的将不作变动。</w:t>
      </w:r>
    </w:p>
    <w:p>
      <w:pPr>
        <w:pStyle w:val="2"/>
        <w:numPr>
          <w:ilvl w:val="0"/>
          <w:numId w:val="8"/>
        </w:numPr>
        <w:spacing w:line="33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11" w:name="_Toc7992"/>
      <w:bookmarkStart w:id="12" w:name="_Toc25187"/>
      <w:r>
        <w:rPr>
          <w:rFonts w:hint="eastAsia" w:ascii="宋体" w:hAnsi="宋体" w:eastAsia="宋体" w:cs="宋体"/>
          <w:color w:val="auto"/>
          <w:highlight w:val="none"/>
        </w:rPr>
        <w:t>总则</w:t>
      </w:r>
      <w:bookmarkEnd w:id="11"/>
      <w:bookmarkEnd w:id="12"/>
    </w:p>
    <w:p>
      <w:pPr>
        <w:spacing w:line="336"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1、适用范围</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1.1本次磋商工作仅适用于</w:t>
      </w:r>
      <w:r>
        <w:rPr>
          <w:rFonts w:hint="eastAsia" w:ascii="宋体" w:hAnsi="宋体" w:cs="宋体"/>
          <w:color w:val="auto"/>
          <w:sz w:val="24"/>
          <w:szCs w:val="24"/>
          <w:highlight w:val="none"/>
          <w:u w:val="single"/>
          <w:lang w:eastAsia="zh-CN"/>
        </w:rPr>
        <w:t>上虞区文化广电旅游局2024年-2026年农村电影放映服务项目</w:t>
      </w:r>
      <w:r>
        <w:rPr>
          <w:rFonts w:hint="eastAsia" w:ascii="宋体" w:hAnsi="宋体" w:eastAsia="宋体" w:cs="宋体"/>
          <w:color w:val="auto"/>
          <w:sz w:val="24"/>
          <w:szCs w:val="24"/>
          <w:highlight w:val="none"/>
        </w:rPr>
        <w:t>。</w:t>
      </w:r>
    </w:p>
    <w:p>
      <w:pPr>
        <w:pStyle w:val="10"/>
        <w:spacing w:line="336"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rPr>
        <w:t>1.2本项目采购方式采用竞争性磋商方式。</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2、定义</w:t>
      </w:r>
    </w:p>
    <w:p>
      <w:pPr>
        <w:spacing w:line="336"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zh-CN"/>
        </w:rPr>
        <w:t>采购人”系指</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绍兴市上虞区文化广电旅游局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。采购人委托</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浙江省成套工程有限公司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为本项目采购代理机构。</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2.2“磋商供应商”系指响应本次采购，参加本次竞争性磋商的供应商。</w:t>
      </w:r>
    </w:p>
    <w:p>
      <w:pPr>
        <w:spacing w:line="336"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2.3</w:t>
      </w:r>
      <w:r>
        <w:rPr>
          <w:rFonts w:hint="eastAsia" w:ascii="宋体" w:hAnsi="宋体" w:eastAsia="宋体" w:cs="宋体"/>
          <w:color w:val="auto"/>
          <w:sz w:val="24"/>
          <w:szCs w:val="24"/>
          <w:highlight w:val="none"/>
          <w:lang w:val="zh-CN"/>
        </w:rPr>
        <w:t>“服务”系指</w:t>
      </w:r>
      <w:r>
        <w:rPr>
          <w:rFonts w:hint="eastAsia" w:ascii="宋体" w:hAnsi="宋体" w:eastAsia="宋体" w:cs="宋体"/>
          <w:color w:val="auto"/>
          <w:sz w:val="24"/>
          <w:szCs w:val="24"/>
          <w:highlight w:val="none"/>
        </w:rPr>
        <w:t>磋商供应商按合同规定，须承担的服务的义务</w:t>
      </w:r>
      <w:r>
        <w:rPr>
          <w:rFonts w:hint="eastAsia" w:ascii="宋体" w:hAnsi="宋体" w:eastAsia="宋体" w:cs="宋体"/>
          <w:color w:val="auto"/>
          <w:sz w:val="24"/>
          <w:szCs w:val="24"/>
          <w:highlight w:val="none"/>
          <w:lang w:val="zh-CN"/>
        </w:rPr>
        <w:t>。</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3、采购项目概况</w:t>
      </w:r>
      <w:r>
        <w:rPr>
          <w:rFonts w:hint="eastAsia" w:ascii="宋体" w:hAnsi="宋体" w:eastAsia="宋体" w:cs="宋体"/>
          <w:b/>
          <w:bCs/>
          <w:color w:val="auto"/>
          <w:sz w:val="24"/>
          <w:szCs w:val="24"/>
          <w:highlight w:val="none"/>
        </w:rPr>
        <w:tab/>
      </w:r>
      <w:r>
        <w:rPr>
          <w:rFonts w:hint="eastAsia" w:ascii="宋体" w:hAnsi="宋体" w:eastAsia="宋体" w:cs="宋体"/>
          <w:b/>
          <w:bCs/>
          <w:color w:val="auto"/>
          <w:sz w:val="24"/>
          <w:szCs w:val="24"/>
          <w:highlight w:val="none"/>
        </w:rPr>
        <w:tab/>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详见竞争性磋商公告相关内容，主要要求参见本文件第</w:t>
      </w:r>
      <w:r>
        <w:rPr>
          <w:rFonts w:hint="eastAsia" w:ascii="宋体" w:hAnsi="宋体" w:eastAsia="宋体" w:cs="宋体"/>
          <w:color w:val="auto"/>
          <w:sz w:val="24"/>
          <w:szCs w:val="24"/>
          <w:highlight w:val="none"/>
          <w:u w:val="single"/>
        </w:rPr>
        <w:t xml:space="preserve"> 三 </w:t>
      </w:r>
      <w:r>
        <w:rPr>
          <w:rFonts w:hint="eastAsia" w:ascii="宋体" w:hAnsi="宋体" w:eastAsia="宋体" w:cs="宋体"/>
          <w:color w:val="auto"/>
          <w:sz w:val="24"/>
          <w:szCs w:val="24"/>
          <w:highlight w:val="none"/>
        </w:rPr>
        <w:t>部分。</w:t>
      </w:r>
    </w:p>
    <w:p>
      <w:pPr>
        <w:adjustRightIn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4、合格的磋商供应商</w:t>
      </w:r>
    </w:p>
    <w:p>
      <w:pPr>
        <w:spacing w:line="336" w:lineRule="auto"/>
        <w:ind w:firstLine="480" w:firstLineChars="200"/>
        <w:rPr>
          <w:rFonts w:hint="eastAsia" w:ascii="宋体" w:hAnsi="宋体" w:eastAsia="宋体" w:cs="宋体"/>
          <w:color w:val="auto"/>
          <w:sz w:val="24"/>
          <w:szCs w:val="24"/>
          <w:highlight w:val="none"/>
        </w:rPr>
      </w:pPr>
      <w:bookmarkStart w:id="13" w:name="_Toc211412066"/>
      <w:bookmarkStart w:id="14" w:name="_Toc208913145"/>
      <w:bookmarkStart w:id="15" w:name="_Toc208287611"/>
      <w:bookmarkStart w:id="16" w:name="_Toc193523219"/>
      <w:bookmarkStart w:id="17" w:name="_Toc209520993"/>
      <w:bookmarkStart w:id="18" w:name="_Toc204683265"/>
      <w:bookmarkStart w:id="19" w:name="_Toc207946571"/>
      <w:bookmarkStart w:id="20" w:name="_Toc197163261"/>
      <w:bookmarkStart w:id="21" w:name="_Toc197156227"/>
      <w:bookmarkStart w:id="22" w:name="_Toc197053926"/>
      <w:bookmarkStart w:id="23" w:name="_Toc209504018"/>
      <w:bookmarkStart w:id="24" w:name="_Toc209435242"/>
      <w:bookmarkStart w:id="25" w:name="_Toc193538208"/>
      <w:bookmarkStart w:id="26" w:name="_Toc197657950"/>
      <w:r>
        <w:rPr>
          <w:rFonts w:hint="eastAsia" w:ascii="宋体" w:hAnsi="宋体" w:eastAsia="宋体" w:cs="宋体"/>
          <w:color w:val="auto"/>
          <w:sz w:val="24"/>
          <w:szCs w:val="24"/>
          <w:highlight w:val="none"/>
        </w:rPr>
        <w:t>详见竞争性磋商采购公告磋商供应商的资格要求规定。</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5、磋商费用</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磋商供应商应承担其参加磋商所涉及的一切费用，不管结果如何，采购人对上述费用不负任何责任。</w:t>
      </w:r>
    </w:p>
    <w:p>
      <w:pPr>
        <w:pStyle w:val="2"/>
        <w:numPr>
          <w:ilvl w:val="0"/>
          <w:numId w:val="8"/>
        </w:numPr>
        <w:spacing w:line="336" w:lineRule="auto"/>
        <w:jc w:val="center"/>
        <w:rPr>
          <w:rFonts w:hint="eastAsia" w:ascii="宋体" w:hAnsi="宋体" w:eastAsia="宋体" w:cs="宋体"/>
          <w:color w:val="auto"/>
          <w:highlight w:val="none"/>
        </w:rPr>
      </w:pPr>
      <w:bookmarkStart w:id="27" w:name="_Toc32689"/>
      <w:bookmarkStart w:id="28" w:name="_Toc416992151"/>
      <w:bookmarkStart w:id="29" w:name="_Toc25923"/>
      <w:r>
        <w:rPr>
          <w:rFonts w:hint="eastAsia" w:ascii="宋体" w:hAnsi="宋体" w:eastAsia="宋体" w:cs="宋体"/>
          <w:color w:val="auto"/>
          <w:highlight w:val="none"/>
        </w:rPr>
        <w:t xml:space="preserve"> </w:t>
      </w:r>
      <w:bookmarkStart w:id="30" w:name="_Toc11814"/>
      <w:bookmarkStart w:id="31" w:name="_Toc6940"/>
      <w:r>
        <w:rPr>
          <w:rFonts w:hint="eastAsia" w:ascii="宋体" w:hAnsi="宋体" w:eastAsia="宋体" w:cs="宋体"/>
          <w:color w:val="auto"/>
          <w:highlight w:val="none"/>
        </w:rPr>
        <w:t>竞争性磋商文件</w:t>
      </w:r>
      <w:bookmarkEnd w:id="27"/>
      <w:bookmarkEnd w:id="28"/>
      <w:bookmarkEnd w:id="29"/>
      <w:bookmarkEnd w:id="30"/>
      <w:bookmarkEnd w:id="31"/>
    </w:p>
    <w:p>
      <w:pPr>
        <w:adjustRightIn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6、磋商文件的组成</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6.1本磋商文件包括目录所示内容及所有按本须知发出的补充资料（如果有）。</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7、磋商文件的澄清与修改</w:t>
      </w:r>
    </w:p>
    <w:p>
      <w:pPr>
        <w:pStyle w:val="12"/>
        <w:keepNext w:val="0"/>
        <w:keepLines w:val="0"/>
        <w:pageBreakBefore w:val="0"/>
        <w:widowControl w:val="0"/>
        <w:kinsoku/>
        <w:wordWrap/>
        <w:overflowPunct/>
        <w:topLinePunct w:val="0"/>
        <w:autoSpaceDE/>
        <w:autoSpaceDN/>
        <w:bidi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7.1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keepNext w:val="0"/>
        <w:keepLines w:val="0"/>
        <w:pageBreakBefore w:val="0"/>
        <w:widowControl w:val="0"/>
        <w:kinsoku/>
        <w:wordWrap/>
        <w:overflowPunct/>
        <w:topLinePunct w:val="0"/>
        <w:autoSpaceDE/>
        <w:autoSpaceDN/>
        <w:bidi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7.2磋商供应商要求解释或澄清的问题应以书面形式，并加盖公章、写明日期。</w:t>
      </w:r>
    </w:p>
    <w:p>
      <w:pPr>
        <w:keepNext w:val="0"/>
        <w:keepLines w:val="0"/>
        <w:pageBreakBefore w:val="0"/>
        <w:widowControl w:val="0"/>
        <w:kinsoku/>
        <w:wordWrap/>
        <w:overflowPunct/>
        <w:topLinePunct w:val="0"/>
        <w:autoSpaceDE/>
        <w:autoSpaceDN/>
        <w:bidi w:val="0"/>
        <w:adjustRightInd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7.3提交响应文件截止之日前，采购人、采购代理机构或者磋商小组可以对已发出的磋商文件进行必要的澄清或者修改，澄清或者修改的内容作为磋商文件的组成部分。</w:t>
      </w:r>
    </w:p>
    <w:p>
      <w:pPr>
        <w:keepNext w:val="0"/>
        <w:keepLines w:val="0"/>
        <w:pageBreakBefore w:val="0"/>
        <w:widowControl w:val="0"/>
        <w:kinsoku/>
        <w:wordWrap/>
        <w:overflowPunct/>
        <w:topLinePunct w:val="0"/>
        <w:autoSpaceDE/>
        <w:autoSpaceDN/>
        <w:bidi w:val="0"/>
        <w:adjustRightInd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7.4竞争性磋商文件的澄清修改文件及更正补充公告，请自行登录浙江政府采购网或绍兴市上虞区公共资源交易中心网站，在采购公告页面中下载。</w:t>
      </w:r>
    </w:p>
    <w:p>
      <w:pPr>
        <w:keepNext w:val="0"/>
        <w:keepLines w:val="0"/>
        <w:pageBreakBefore w:val="0"/>
        <w:widowControl w:val="0"/>
        <w:kinsoku/>
        <w:wordWrap/>
        <w:overflowPunct/>
        <w:topLinePunct w:val="0"/>
        <w:autoSpaceDE/>
        <w:autoSpaceDN/>
        <w:bidi w:val="0"/>
        <w:adjustRightInd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7.5澄清或者修改的内容可能影响响应文件编制的，采购人、采购代理机构将在提交响应文件截止时间至少5日前，以公告形式通知所有获取磋商文件的供应商；不足5日的，采购人、采购代理机构可能会顺延提交首次响应文件截止时间。澄清或者修改的内容未对原磋商文件作出重大修改或不会影响响应文件编制的，递交首次响应文件截止时间不变。</w:t>
      </w:r>
    </w:p>
    <w:p>
      <w:pPr>
        <w:keepNext w:val="0"/>
        <w:keepLines w:val="0"/>
        <w:pageBreakBefore w:val="0"/>
        <w:widowControl w:val="0"/>
        <w:kinsoku/>
        <w:wordWrap/>
        <w:overflowPunct/>
        <w:topLinePunct w:val="0"/>
        <w:autoSpaceDE/>
        <w:autoSpaceDN/>
        <w:bidi w:val="0"/>
        <w:adjustRightInd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7.6竞争性磋商文件澄清、答复、修改、补充的内容为竞争性磋商文件的组成部分。</w:t>
      </w:r>
    </w:p>
    <w:p>
      <w:pPr>
        <w:pStyle w:val="3"/>
        <w:keepNext w:val="0"/>
        <w:keepLines w:val="0"/>
        <w:pageBreakBefore w:val="0"/>
        <w:widowControl w:val="0"/>
        <w:kinsoku/>
        <w:wordWrap/>
        <w:overflowPunct/>
        <w:topLinePunct w:val="0"/>
        <w:autoSpaceDE/>
        <w:autoSpaceDN/>
        <w:bidi w:val="0"/>
        <w:snapToGrid/>
        <w:spacing w:line="336" w:lineRule="auto"/>
        <w:ind w:right="0" w:righ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7.7磋商文件发售截止日后，经采购人同意后购买磋商文件的磋商供应商不得对磋商文件和补充文件提出答疑或质疑。</w:t>
      </w:r>
    </w:p>
    <w:p>
      <w:pPr>
        <w:pStyle w:val="2"/>
        <w:numPr>
          <w:ilvl w:val="0"/>
          <w:numId w:val="8"/>
        </w:numPr>
        <w:spacing w:line="336" w:lineRule="auto"/>
        <w:jc w:val="center"/>
        <w:rPr>
          <w:rFonts w:hint="eastAsia" w:ascii="宋体" w:hAnsi="宋体" w:eastAsia="宋体" w:cs="宋体"/>
          <w:color w:val="auto"/>
          <w:highlight w:val="none"/>
        </w:rPr>
      </w:pPr>
      <w:bookmarkStart w:id="32" w:name="_Toc8860"/>
      <w:bookmarkStart w:id="33" w:name="_Toc391298957"/>
      <w:bookmarkStart w:id="34" w:name="_Toc6273"/>
      <w:bookmarkStart w:id="35" w:name="_Toc11692"/>
      <w:bookmarkStart w:id="36" w:name="_Toc1729"/>
      <w:bookmarkStart w:id="37" w:name="_Toc7126"/>
      <w:bookmarkStart w:id="38" w:name="_Toc26603"/>
      <w:bookmarkStart w:id="39" w:name="_Toc10669"/>
      <w:bookmarkStart w:id="40" w:name="_Toc1828"/>
      <w:bookmarkStart w:id="41" w:name="_Toc24622"/>
      <w:bookmarkStart w:id="42" w:name="_Toc10810"/>
      <w:bookmarkStart w:id="43" w:name="_Toc1202"/>
      <w:bookmarkStart w:id="44" w:name="_Toc26027"/>
      <w:bookmarkStart w:id="45" w:name="_Toc11093"/>
      <w:bookmarkStart w:id="46" w:name="_Toc23135"/>
      <w:bookmarkStart w:id="47" w:name="_Toc11669"/>
      <w:bookmarkStart w:id="48" w:name="_Toc23975"/>
      <w:bookmarkStart w:id="49" w:name="_Toc6457"/>
      <w:bookmarkStart w:id="50" w:name="_Toc6079"/>
      <w:bookmarkStart w:id="51" w:name="_Toc14650"/>
      <w:bookmarkStart w:id="52" w:name="_Toc31748"/>
      <w:bookmarkStart w:id="53" w:name="_Toc18702"/>
      <w:r>
        <w:rPr>
          <w:rFonts w:hint="eastAsia" w:ascii="宋体" w:hAnsi="宋体" w:eastAsia="宋体" w:cs="宋体"/>
          <w:color w:val="auto"/>
          <w:highlight w:val="none"/>
        </w:rPr>
        <w:t xml:space="preserve"> </w:t>
      </w:r>
      <w:bookmarkStart w:id="54" w:name="_Toc16098"/>
      <w:bookmarkStart w:id="55" w:name="_Toc11515"/>
      <w:r>
        <w:rPr>
          <w:rFonts w:hint="eastAsia" w:ascii="宋体" w:hAnsi="宋体" w:eastAsia="宋体" w:cs="宋体"/>
          <w:color w:val="auto"/>
          <w:highlight w:val="none"/>
        </w:rPr>
        <w:t>竞争性磋商响应文件的编写</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8、要求</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8.2报价</w:t>
      </w:r>
    </w:p>
    <w:p>
      <w:pPr>
        <w:spacing w:line="336" w:lineRule="auto"/>
        <w:ind w:firstLine="480" w:firstLineChars="200"/>
        <w:rPr>
          <w:rFonts w:hint="eastAsia" w:ascii="宋体" w:hAnsi="宋体" w:eastAsia="宋体" w:cs="宋体"/>
          <w:b/>
          <w:bCs/>
          <w:color w:val="auto"/>
          <w:sz w:val="24"/>
          <w:szCs w:val="24"/>
          <w:highlight w:val="none"/>
          <w:shd w:val="clear" w:color="FFFFFF" w:fill="D9D9D9"/>
        </w:rPr>
      </w:pPr>
      <w:r>
        <w:rPr>
          <w:rFonts w:hint="eastAsia" w:ascii="宋体" w:hAnsi="宋体" w:eastAsia="宋体" w:cs="宋体"/>
          <w:color w:val="auto"/>
          <w:sz w:val="24"/>
          <w:szCs w:val="24"/>
          <w:highlight w:val="none"/>
        </w:rPr>
        <w:t>8.2.1本次报价非一次性报价，报价币种为人民币。在磋商后根据磋商情况（包括细化采购方案和要求，增补部分采购内容等），供应商须二次报价（最终报价），</w:t>
      </w:r>
      <w:r>
        <w:rPr>
          <w:rFonts w:hint="eastAsia" w:ascii="宋体" w:hAnsi="宋体" w:eastAsia="宋体" w:cs="宋体"/>
          <w:b/>
          <w:bCs/>
          <w:color w:val="auto"/>
          <w:sz w:val="24"/>
          <w:szCs w:val="24"/>
          <w:highlight w:val="none"/>
        </w:rPr>
        <w:t>如果供应商在规定时间30分钟内未提交第二次报价，视该供应商放弃本次投标，作无效标处理</w:t>
      </w:r>
      <w:r>
        <w:rPr>
          <w:rFonts w:hint="eastAsia" w:ascii="宋体" w:hAnsi="宋体" w:eastAsia="宋体" w:cs="宋体"/>
          <w:color w:val="auto"/>
          <w:sz w:val="24"/>
          <w:szCs w:val="24"/>
          <w:highlight w:val="none"/>
        </w:rPr>
        <w:t>。</w:t>
      </w:r>
    </w:p>
    <w:p>
      <w:pPr>
        <w:pStyle w:val="55"/>
        <w:tabs>
          <w:tab w:val="left" w:pos="0"/>
        </w:tabs>
        <w:spacing w:line="336"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8.2.2投标报价应包含项目所需全部服务，不得缺漏，是履行合同的最终价格，包括</w:t>
      </w:r>
      <w:r>
        <w:rPr>
          <w:rFonts w:hint="eastAsia" w:ascii="宋体" w:hAnsi="宋体" w:cs="宋体"/>
          <w:color w:val="auto"/>
          <w:highlight w:val="none"/>
          <w:u w:val="single"/>
          <w:lang w:eastAsia="zh-CN"/>
        </w:rPr>
        <w:t>服务内容</w:t>
      </w:r>
      <w:r>
        <w:rPr>
          <w:rFonts w:hint="eastAsia" w:ascii="宋体" w:hAnsi="宋体" w:eastAsia="宋体" w:cs="宋体"/>
          <w:color w:val="auto"/>
          <w:highlight w:val="none"/>
          <w:u w:val="single"/>
        </w:rPr>
        <w:t>、税金、代理服务费及不可预见费用等一切费用。</w:t>
      </w:r>
      <w:r>
        <w:rPr>
          <w:rFonts w:hint="eastAsia" w:ascii="宋体" w:hAnsi="宋体" w:eastAsia="宋体" w:cs="宋体"/>
          <w:color w:val="auto"/>
          <w:highlight w:val="none"/>
        </w:rPr>
        <w:t>投标报价为供应商所能承受的最低、最终报价，供应商不得再要求追加任何费用。</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rPr>
        <w:t>8.2.3供应商的报价作为供应商计算单价或总价的依据，应是完成技术文件中的所有要求，不得以任何理由予以重复，供应商对报价若有说明应在报价一览表备注处注明。任何有选择的报价方案及价格将不予接受。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6"/>
        <w:spacing w:line="336" w:lineRule="auto"/>
        <w:ind w:firstLine="482" w:firstLineChars="200"/>
        <w:rPr>
          <w:rFonts w:hint="eastAsia" w:ascii="宋体" w:hAnsi="宋体" w:eastAsia="宋体" w:cs="宋体"/>
          <w:b/>
          <w:bCs/>
          <w:color w:val="auto"/>
          <w:sz w:val="24"/>
          <w:szCs w:val="24"/>
          <w:highlight w:val="none"/>
          <w:u w:val="single"/>
        </w:rPr>
      </w:pPr>
      <w:r>
        <w:rPr>
          <w:rFonts w:hint="eastAsia" w:ascii="宋体" w:hAnsi="宋体" w:eastAsia="宋体" w:cs="宋体"/>
          <w:b/>
          <w:bCs/>
          <w:color w:val="auto"/>
          <w:sz w:val="24"/>
          <w:szCs w:val="24"/>
          <w:highlight w:val="none"/>
        </w:rPr>
        <w:t>9、响应文件的组成</w:t>
      </w:r>
      <w:r>
        <w:rPr>
          <w:rFonts w:hint="eastAsia" w:ascii="宋体" w:hAnsi="宋体" w:eastAsia="宋体" w:cs="宋体"/>
          <w:b/>
          <w:bCs/>
          <w:color w:val="auto"/>
          <w:sz w:val="24"/>
          <w:szCs w:val="24"/>
          <w:highlight w:val="none"/>
          <w:u w:val="single"/>
        </w:rPr>
        <w:t>（供应商应根据采购文件的要求提供相应的内容且设置关联定位，供应商可查看《供应商-政府采购项目电子交易操作指南》进行操作：https://help.zcygov.cn/web/site_2/2018/12-28/2573.html）</w:t>
      </w:r>
    </w:p>
    <w:p>
      <w:pPr>
        <w:pStyle w:val="55"/>
        <w:tabs>
          <w:tab w:val="left" w:pos="0"/>
        </w:tabs>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响应文件应当包括以下主要内容：资格文件、商务技术文件、报价文件。</w:t>
      </w:r>
    </w:p>
    <w:p>
      <w:pPr>
        <w:pStyle w:val="55"/>
        <w:numPr>
          <w:ilvl w:val="0"/>
          <w:numId w:val="9"/>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资格文件包括以下内容：</w:t>
      </w:r>
    </w:p>
    <w:p>
      <w:pPr>
        <w:pStyle w:val="55"/>
        <w:numPr>
          <w:ilvl w:val="0"/>
          <w:numId w:val="10"/>
        </w:numPr>
        <w:spacing w:before="0" w:line="336" w:lineRule="auto"/>
        <w:ind w:firstLine="480"/>
        <w:rPr>
          <w:rFonts w:hint="eastAsia" w:cs="宋体" w:asciiTheme="minorEastAsia" w:hAnsiTheme="minorEastAsia" w:eastAsiaTheme="minorEastAsia"/>
          <w:color w:val="auto"/>
          <w:lang w:val="en-US" w:eastAsia="zh-CN" w:bidi="ar-SA"/>
        </w:rPr>
      </w:pPr>
      <w:r>
        <w:rPr>
          <w:rFonts w:hint="eastAsia" w:cs="宋体" w:asciiTheme="minorEastAsia" w:hAnsiTheme="minorEastAsia" w:eastAsiaTheme="minorEastAsia"/>
          <w:color w:val="auto"/>
          <w:lang w:val="en-US" w:eastAsia="zh-CN" w:bidi="ar-SA"/>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55"/>
        <w:numPr>
          <w:ilvl w:val="0"/>
          <w:numId w:val="10"/>
        </w:numPr>
        <w:spacing w:before="0" w:line="336" w:lineRule="auto"/>
        <w:ind w:firstLine="480"/>
        <w:rPr>
          <w:rFonts w:hint="eastAsia" w:cs="宋体" w:asciiTheme="minorEastAsia" w:hAnsiTheme="minorEastAsia" w:eastAsiaTheme="minorEastAsia"/>
          <w:color w:val="auto"/>
          <w:lang w:val="en-US" w:eastAsia="zh-CN" w:bidi="ar-SA"/>
        </w:rPr>
      </w:pPr>
      <w:r>
        <w:rPr>
          <w:rFonts w:hint="eastAsia" w:cs="宋体" w:asciiTheme="minorEastAsia" w:hAnsiTheme="minorEastAsia" w:eastAsiaTheme="minorEastAsia"/>
          <w:color w:val="auto"/>
          <w:lang w:val="en-US" w:eastAsia="zh-CN" w:bidi="ar-SA"/>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55"/>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55"/>
        <w:numPr>
          <w:ilvl w:val="0"/>
          <w:numId w:val="10"/>
        </w:numPr>
        <w:spacing w:before="0" w:line="336" w:lineRule="auto"/>
        <w:ind w:firstLine="480"/>
        <w:rPr>
          <w:rFonts w:hint="eastAsia" w:cs="宋体" w:asciiTheme="minorEastAsia" w:hAnsiTheme="minorEastAsia" w:eastAsiaTheme="minorEastAsia"/>
          <w:color w:val="auto"/>
          <w:lang w:val="en-US" w:eastAsia="zh-CN" w:bidi="ar-SA"/>
        </w:rPr>
      </w:pPr>
      <w:r>
        <w:rPr>
          <w:rFonts w:hint="eastAsia" w:cs="宋体" w:asciiTheme="minorEastAsia" w:hAnsiTheme="minorEastAsia" w:eastAsiaTheme="minorEastAsia"/>
          <w:color w:val="auto"/>
          <w:lang w:val="en-US" w:eastAsia="zh-CN" w:bidi="ar-SA"/>
        </w:rPr>
        <w:t>具有履行合同所必需的产品和专业技术能力的承诺函；</w:t>
      </w:r>
    </w:p>
    <w:p>
      <w:pPr>
        <w:pStyle w:val="55"/>
        <w:numPr>
          <w:ilvl w:val="0"/>
          <w:numId w:val="10"/>
        </w:numPr>
        <w:spacing w:before="0" w:line="336" w:lineRule="auto"/>
        <w:ind w:firstLine="480"/>
        <w:rPr>
          <w:rFonts w:hint="eastAsia" w:ascii="宋体" w:hAnsi="宋体" w:eastAsia="宋体" w:cs="宋体"/>
          <w:color w:val="auto"/>
          <w:kern w:val="2"/>
          <w:sz w:val="24"/>
          <w:szCs w:val="24"/>
          <w:highlight w:val="none"/>
          <w:lang w:val="en-US" w:eastAsia="zh-CN" w:bidi="ar-SA"/>
        </w:rPr>
      </w:pPr>
      <w:r>
        <w:rPr>
          <w:rFonts w:hint="eastAsia" w:cs="宋体" w:asciiTheme="minorEastAsia" w:hAnsiTheme="minorEastAsia" w:eastAsiaTheme="minorEastAsia"/>
          <w:color w:val="auto"/>
          <w:lang w:val="en-US" w:eastAsia="zh-CN" w:bidi="ar-SA"/>
        </w:rPr>
        <w:t>投标人承诺函（格式见附件）。</w:t>
      </w:r>
    </w:p>
    <w:p>
      <w:pPr>
        <w:pStyle w:val="55"/>
        <w:numPr>
          <w:ilvl w:val="0"/>
          <w:numId w:val="10"/>
        </w:numPr>
        <w:spacing w:before="0" w:line="336" w:lineRule="auto"/>
        <w:ind w:firstLine="48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中小企业声明函（格式见附件）； </w:t>
      </w:r>
    </w:p>
    <w:p>
      <w:pPr>
        <w:pStyle w:val="55"/>
        <w:numPr>
          <w:ilvl w:val="0"/>
          <w:numId w:val="10"/>
        </w:numPr>
        <w:spacing w:before="0" w:line="336" w:lineRule="auto"/>
        <w:ind w:firstLine="48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残疾人福利性单位声明函(如有)（格式见附件）；</w:t>
      </w:r>
    </w:p>
    <w:p>
      <w:pPr>
        <w:pStyle w:val="55"/>
        <w:numPr>
          <w:ilvl w:val="0"/>
          <w:numId w:val="10"/>
        </w:numPr>
        <w:spacing w:before="0" w:line="336" w:lineRule="auto"/>
        <w:ind w:firstLine="480"/>
        <w:rPr>
          <w:rFonts w:hint="eastAsia" w:ascii="宋体" w:hAnsi="宋体" w:cs="宋体"/>
          <w:color w:val="auto"/>
          <w:highlight w:val="none"/>
          <w:lang w:eastAsia="zh-CN"/>
        </w:rPr>
      </w:pPr>
      <w:r>
        <w:rPr>
          <w:rFonts w:hint="eastAsia" w:ascii="宋体" w:hAnsi="宋体" w:eastAsia="宋体" w:cs="宋体"/>
          <w:color w:val="auto"/>
          <w:kern w:val="2"/>
          <w:sz w:val="24"/>
          <w:szCs w:val="24"/>
          <w:highlight w:val="none"/>
          <w:lang w:val="en-US" w:eastAsia="zh-CN" w:bidi="ar-SA"/>
        </w:rPr>
        <w:t>监狱企业证明文件(如有)（格式见附件）。</w:t>
      </w:r>
    </w:p>
    <w:p>
      <w:pPr>
        <w:pStyle w:val="55"/>
        <w:numPr>
          <w:ilvl w:val="0"/>
          <w:numId w:val="9"/>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商务技术文件，本次磋商需要供应商提供以下项所列的技术文件：</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评分对应表（格式见附件，主要用于评委对应评分内容）</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供应商商务技术文件中资信分自评表（格式见附件）；</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磋商项目明细清单（格式见附件）；</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技术响应及建议表（格式见附件）；</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商务响应表（格式见附件）；</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sz w:val="24"/>
          <w:szCs w:val="24"/>
        </w:rPr>
        <w:t>项目分析</w:t>
      </w:r>
      <w:r>
        <w:rPr>
          <w:rFonts w:hint="eastAsia"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sz w:val="24"/>
          <w:szCs w:val="24"/>
        </w:rPr>
        <w:t>重难点分析</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rPr>
        <w:t>内部管理方案</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rPr>
        <w:t>人员投入方案</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lang w:val="en-US" w:eastAsia="zh-CN"/>
        </w:rPr>
        <w:t>投入设备</w:t>
      </w:r>
      <w:r>
        <w:rPr>
          <w:rFonts w:hint="eastAsia" w:ascii="宋体" w:hAnsi="宋体" w:cs="宋体"/>
          <w:color w:val="auto"/>
          <w:kern w:val="2"/>
          <w:sz w:val="24"/>
          <w:szCs w:val="21"/>
        </w:rPr>
        <w:t>方案</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eastAsia="宋体" w:cs="宋体"/>
          <w:color w:val="auto"/>
          <w:sz w:val="24"/>
          <w:szCs w:val="24"/>
        </w:rPr>
        <w:t>放映方案</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eastAsia="宋体" w:cs="宋体"/>
          <w:color w:val="auto"/>
          <w:sz w:val="24"/>
          <w:szCs w:val="24"/>
        </w:rPr>
        <w:t>服务方案</w:t>
      </w:r>
      <w:r>
        <w:rPr>
          <w:rFonts w:hint="eastAsia" w:ascii="宋体" w:hAnsi="宋体" w:cs="宋体"/>
          <w:color w:val="auto"/>
          <w:sz w:val="24"/>
          <w:szCs w:val="24"/>
          <w:lang w:eastAsia="zh-CN"/>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rPr>
        <w:t>工作量及计划安排</w:t>
      </w:r>
      <w:r>
        <w:rPr>
          <w:rFonts w:hint="eastAsia" w:ascii="宋体" w:hAnsi="宋体" w:cs="宋体"/>
          <w:color w:val="auto"/>
          <w:kern w:val="2"/>
          <w:sz w:val="24"/>
          <w:szCs w:val="21"/>
          <w:lang w:eastAsia="zh-CN"/>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进度保证措施；</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rPr>
        <w:t>质量保证措施</w:t>
      </w:r>
      <w:r>
        <w:rPr>
          <w:rFonts w:hint="eastAsia" w:cs="宋体" w:asciiTheme="minorEastAsia" w:hAnsiTheme="minorEastAsia" w:eastAsiaTheme="minorEastAsia"/>
          <w:color w:val="auto"/>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rPr>
        <w:t>安全保障措施</w:t>
      </w:r>
      <w:r>
        <w:rPr>
          <w:rFonts w:hint="eastAsia" w:ascii="宋体" w:hAnsi="宋体" w:cs="宋体"/>
          <w:color w:val="auto"/>
          <w:kern w:val="2"/>
          <w:sz w:val="24"/>
          <w:szCs w:val="21"/>
          <w:lang w:eastAsia="zh-CN"/>
        </w:rPr>
        <w:t>；</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突发事件应急预案；</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ascii="宋体" w:hAnsi="宋体" w:cs="宋体"/>
          <w:color w:val="auto"/>
          <w:kern w:val="2"/>
          <w:sz w:val="24"/>
          <w:szCs w:val="21"/>
          <w:lang w:val="en-US" w:eastAsia="zh-CN"/>
        </w:rPr>
        <w:t>合理化建议；</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业绩；</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lang w:eastAsia="zh-CN"/>
        </w:rPr>
        <w:t>荣誉；</w:t>
      </w:r>
    </w:p>
    <w:p>
      <w:pPr>
        <w:pStyle w:val="55"/>
        <w:numPr>
          <w:ilvl w:val="0"/>
          <w:numId w:val="11"/>
        </w:numPr>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供应商认为需要的其他文件资料。</w:t>
      </w:r>
    </w:p>
    <w:p>
      <w:pPr>
        <w:pStyle w:val="55"/>
        <w:tabs>
          <w:tab w:val="left" w:pos="0"/>
        </w:tabs>
        <w:spacing w:before="0" w:line="336" w:lineRule="auto"/>
        <w:ind w:firstLine="480"/>
        <w:rPr>
          <w:rFonts w:asciiTheme="minorEastAsia" w:hAnsiTheme="minorEastAsia" w:eastAsiaTheme="minorEastAsia"/>
          <w:color w:val="auto"/>
        </w:rPr>
      </w:pPr>
      <w:r>
        <w:rPr>
          <w:rFonts w:hint="eastAsia" w:cs="宋体" w:asciiTheme="minorEastAsia" w:hAnsiTheme="minorEastAsia" w:eastAsiaTheme="minorEastAsia"/>
          <w:color w:val="auto"/>
        </w:rPr>
        <w:t>注：以上内容应与评标办法中内容具有一致性。</w:t>
      </w:r>
    </w:p>
    <w:p>
      <w:pPr>
        <w:pStyle w:val="55"/>
        <w:tabs>
          <w:tab w:val="left" w:pos="0"/>
        </w:tabs>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5"/>
        <w:tabs>
          <w:tab w:val="left" w:pos="0"/>
        </w:tabs>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eastAsia="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5"/>
        <w:numPr>
          <w:ilvl w:val="0"/>
          <w:numId w:val="9"/>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报价文件包括以下内容：</w:t>
      </w:r>
    </w:p>
    <w:p>
      <w:pPr>
        <w:pStyle w:val="55"/>
        <w:numPr>
          <w:ilvl w:val="0"/>
          <w:numId w:val="12"/>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磋商函（格式见附件）；</w:t>
      </w:r>
    </w:p>
    <w:p>
      <w:pPr>
        <w:pStyle w:val="55"/>
        <w:numPr>
          <w:ilvl w:val="0"/>
          <w:numId w:val="12"/>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报价一览表（格式见附件）；</w:t>
      </w:r>
    </w:p>
    <w:p>
      <w:pPr>
        <w:pStyle w:val="55"/>
        <w:numPr>
          <w:ilvl w:val="0"/>
          <w:numId w:val="12"/>
        </w:numPr>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磋商报价明细表（格式见附件）</w:t>
      </w:r>
      <w:r>
        <w:rPr>
          <w:rFonts w:hint="eastAsia" w:ascii="宋体" w:hAnsi="宋体" w:cs="宋体"/>
          <w:color w:val="auto"/>
          <w:highlight w:val="none"/>
          <w:lang w:eastAsia="zh-CN"/>
        </w:rPr>
        <w:t>；</w:t>
      </w:r>
    </w:p>
    <w:p>
      <w:pPr>
        <w:pStyle w:val="55"/>
        <w:spacing w:before="0" w:line="336" w:lineRule="auto"/>
        <w:ind w:firstLine="241" w:firstLineChars="100"/>
        <w:rPr>
          <w:rFonts w:hint="eastAsia" w:ascii="宋体" w:hAnsi="宋体" w:eastAsia="宋体" w:cs="宋体"/>
          <w:b/>
          <w:bCs/>
          <w:color w:val="auto"/>
          <w:highlight w:val="none"/>
          <w:u w:val="single"/>
        </w:rPr>
      </w:pPr>
      <w:r>
        <w:rPr>
          <w:rFonts w:hint="eastAsia" w:ascii="宋体" w:hAnsi="宋体" w:eastAsia="宋体" w:cs="宋体"/>
          <w:b/>
          <w:bCs/>
          <w:color w:val="auto"/>
          <w:highlight w:val="none"/>
          <w:u w:val="single"/>
        </w:rPr>
        <w:t>注：“资格文件”、“商务技术文件”、“报价文件”须分3个PDF格式分别导入。</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10、响应文件有效期</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10.1 响应文件未在磋商响应截止时间前完成传输的或者未按时解密的，视为放弃磋商；响应文件解密失败后未提供备份文件或者备份文件也出现异常情况无法进行评审的，亦视为放弃磋商。</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10.2 响应文件上传后，自磋商响应截止日期起，在前附表所列的磋商响应文件有效期内有效。</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10.3 在原定有效期满之前，如果出现特殊情况，采购代理机构可以以书面形式向磋商供应商提出延长磋商有效期的要求，磋商供应商对此须以书面形式予以答复。</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11、供应商如有下列情况之一者列入不良行为记录：</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11.1 供应商在磋商响应文件有效期内撤回投标的；</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11.2 供应商或中标候选人放弃中标或中标候选人资格的；</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11.3 擅自修改或拒绝接受已经确认的条款；</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11.4 成交供应商未按规定与采购人签订合同；</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11.5 供应商采取提供虚假资料等不正当手段的；</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11.6 供应商在投标过程中串通投标的。</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12、响应文件的编制和签署</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12.1 按磋商文件9.1条、9.2条、9.3条要求提供的各种文件，响应文件分为资格文件、商务技术文件和报价文件三部分。</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12.2 响应文件须按附件格式要求进行电子签章，供应商应写全称。（电子磋商响应文件中所须加盖公章部分均应采用电子签章）</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12.3 全套响应文件应无涂改和行间插字，除非这些删改是根据采购代理机构要求进行，或者是供应商造成的必须修改的错误。所修改处应由法定代表人或其授权代表签字盖章予以确认。</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12.4 由于字迹模糊或表达不清引起的后果由供应商负责。</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2" w:firstLineChars="200"/>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13、响应文件的形式</w:t>
      </w:r>
    </w:p>
    <w:p>
      <w:pPr>
        <w:pStyle w:val="55"/>
        <w:keepNext w:val="0"/>
        <w:keepLines w:val="0"/>
        <w:pageBreakBefore w:val="0"/>
        <w:widowControl w:val="0"/>
        <w:kinsoku/>
        <w:wordWrap/>
        <w:overflowPunct/>
        <w:topLinePunct w:val="0"/>
        <w:autoSpaceDE/>
        <w:autoSpaceDN/>
        <w:bidi w:val="0"/>
        <w:adjustRightInd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响应文件为电子磋商响应文件，电子磋商响应文件按“政采云供应商项目采购-电子招投标操作指南”及本磋商文件要求制作、加密传输。</w:t>
      </w:r>
    </w:p>
    <w:p>
      <w:pPr>
        <w:pStyle w:val="2"/>
        <w:numPr>
          <w:ilvl w:val="0"/>
          <w:numId w:val="8"/>
        </w:numPr>
        <w:spacing w:line="336" w:lineRule="auto"/>
        <w:jc w:val="center"/>
        <w:rPr>
          <w:rFonts w:hint="eastAsia" w:ascii="宋体" w:hAnsi="宋体" w:eastAsia="宋体" w:cs="宋体"/>
          <w:color w:val="auto"/>
          <w:highlight w:val="none"/>
        </w:rPr>
      </w:pPr>
      <w:bookmarkStart w:id="56" w:name="_Toc1420"/>
      <w:r>
        <w:rPr>
          <w:rFonts w:hint="eastAsia" w:ascii="宋体" w:hAnsi="宋体" w:eastAsia="宋体" w:cs="宋体"/>
          <w:color w:val="auto"/>
          <w:highlight w:val="none"/>
        </w:rPr>
        <w:t xml:space="preserve"> </w:t>
      </w:r>
      <w:bookmarkStart w:id="57" w:name="_Toc2412"/>
      <w:bookmarkStart w:id="58" w:name="_Toc21266"/>
      <w:r>
        <w:rPr>
          <w:rFonts w:hint="eastAsia" w:ascii="宋体" w:hAnsi="宋体" w:eastAsia="宋体" w:cs="宋体"/>
          <w:color w:val="auto"/>
          <w:highlight w:val="none"/>
        </w:rPr>
        <w:t>响应文件的递交</w:t>
      </w:r>
      <w:bookmarkEnd w:id="56"/>
      <w:bookmarkEnd w:id="57"/>
      <w:bookmarkEnd w:id="58"/>
    </w:p>
    <w:p>
      <w:pPr>
        <w:pStyle w:val="16"/>
        <w:spacing w:line="336" w:lineRule="auto"/>
        <w:ind w:left="420" w:left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14、磋商响应截止期</w:t>
      </w:r>
    </w:p>
    <w:p>
      <w:pPr>
        <w:pStyle w:val="55"/>
        <w:keepNext w:val="0"/>
        <w:keepLines w:val="0"/>
        <w:pageBreakBefore w:val="0"/>
        <w:widowControl w:val="0"/>
        <w:numPr>
          <w:ilvl w:val="0"/>
          <w:numId w:val="0"/>
        </w:numPr>
        <w:tabs>
          <w:tab w:val="left" w:pos="0"/>
        </w:tabs>
        <w:kinsoku/>
        <w:wordWrap/>
        <w:overflowPunct/>
        <w:topLinePunct w:val="0"/>
        <w:autoSpaceDE/>
        <w:autoSpaceDN/>
        <w:bidi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kern w:val="2"/>
          <w:sz w:val="24"/>
          <w:szCs w:val="24"/>
          <w:highlight w:val="none"/>
          <w:lang w:val="en-US" w:eastAsia="zh-CN" w:bidi="ar-SA"/>
        </w:rPr>
        <w:t xml:space="preserve">14.1 </w:t>
      </w:r>
      <w:r>
        <w:rPr>
          <w:rFonts w:hint="eastAsia" w:ascii="宋体" w:hAnsi="宋体" w:eastAsia="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5"/>
        <w:keepNext w:val="0"/>
        <w:keepLines w:val="0"/>
        <w:pageBreakBefore w:val="0"/>
        <w:widowControl w:val="0"/>
        <w:numPr>
          <w:ilvl w:val="0"/>
          <w:numId w:val="0"/>
        </w:numPr>
        <w:tabs>
          <w:tab w:val="left" w:pos="0"/>
        </w:tabs>
        <w:kinsoku/>
        <w:wordWrap/>
        <w:overflowPunct/>
        <w:topLinePunct w:val="0"/>
        <w:autoSpaceDE/>
        <w:autoSpaceDN/>
        <w:bidi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kern w:val="2"/>
          <w:sz w:val="24"/>
          <w:szCs w:val="24"/>
          <w:highlight w:val="none"/>
          <w:lang w:val="en-US" w:eastAsia="zh-CN" w:bidi="ar-SA"/>
        </w:rPr>
        <w:t xml:space="preserve">14.2 </w:t>
      </w:r>
      <w:r>
        <w:rPr>
          <w:rFonts w:hint="eastAsia" w:ascii="宋体" w:hAnsi="宋体" w:eastAsia="宋体" w:cs="宋体"/>
          <w:color w:val="auto"/>
          <w:highlight w:val="none"/>
        </w:rPr>
        <w:t>采购人因故推迟磋商响应截止时间，将以公告形式通知。在这种情况下，采购人和供应商的权利和义务将受到新的截止时间的约束。</w:t>
      </w:r>
    </w:p>
    <w:p>
      <w:pPr>
        <w:pStyle w:val="16"/>
        <w:keepNext w:val="0"/>
        <w:keepLines w:val="0"/>
        <w:pageBreakBefore w:val="0"/>
        <w:widowControl w:val="0"/>
        <w:kinsoku/>
        <w:wordWrap/>
        <w:overflowPunct/>
        <w:topLinePunct w:val="0"/>
        <w:autoSpaceDE/>
        <w:autoSpaceDN/>
        <w:bidi w:val="0"/>
        <w:snapToGrid/>
        <w:spacing w:line="336"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15、响应文件的修改、撤销</w:t>
      </w:r>
    </w:p>
    <w:p>
      <w:pPr>
        <w:pStyle w:val="16"/>
        <w:keepNext w:val="0"/>
        <w:keepLines w:val="0"/>
        <w:pageBreakBefore w:val="0"/>
        <w:widowControl w:val="0"/>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numPr>
          <w:ilvl w:val="0"/>
          <w:numId w:val="8"/>
        </w:numPr>
        <w:spacing w:line="33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59" w:name="_Toc21419"/>
      <w:bookmarkStart w:id="60" w:name="_Toc24120"/>
      <w:r>
        <w:rPr>
          <w:rFonts w:hint="eastAsia" w:ascii="宋体" w:hAnsi="宋体" w:eastAsia="宋体" w:cs="宋体"/>
          <w:color w:val="auto"/>
          <w:highlight w:val="none"/>
        </w:rPr>
        <w:t>磋商无效的情形</w:t>
      </w:r>
      <w:bookmarkEnd w:id="59"/>
      <w:bookmarkEnd w:id="60"/>
    </w:p>
    <w:p>
      <w:pPr>
        <w:pStyle w:val="16"/>
        <w:snapToGri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16、无效响应</w:t>
      </w:r>
    </w:p>
    <w:p>
      <w:pPr>
        <w:pStyle w:val="16"/>
        <w:snapToGri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16.1未按照磋商文件规定要求签署、盖章的；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16.2《法定代表人授权书》填写不全、错误、未加盖供应商公章（公章和签字或盖章缺一不可）； </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16.3个体工商户的身份证明与营业执照不一致的；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16.4响应文件中的磋商函未加盖供应商的企业公章或填写不全的；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16.5报价一经涂改，未在涂改处加盖投标单位公章或者未经法定代表人或其授权代表签字或盖章的；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16.6因未按规定的格式填写，内容不全或主要实质性内容字迹模糊辨认不清,经评标委员会认定为无法评审的；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16.7出现同一标的物或本次采购产品(服务)内的主要产品(重要组成部分)出现技术、商务描述不一致或前后描述不一致，经评标委员会认定后为无法评审的；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16.8响应详细配置清单响应表不真实填写或弄虚作假的；改变磋商文件提供的清单中的计量单位、工程数量；</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16.9对采购产品技术规格未详细应答，致使其技术文件无法评审的；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16.10响应文件有采购方不能接受的条件；</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16.12磋商报价超过预算金额或最高限价的；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16.13响应文件“商务技术文件资料”部分中出现《报价一览表》或《磋商报价明细表》相关内容的；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16.14评标委员会认定有重大偏差或实质性不响应磋商文件要求的，即“★”的关键性指标及技术参数要求负偏离或缺漏；</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16.15供应商拒绝按磋商文件规定的修正原则对响应文件进行修改的；</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16.16有下列情形之一的，视为供应商串通投标，其投标无效：</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16.16.1不同供应商的响应文件由同一单位或者个人编制；</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16.16.2不同供应商委托同一单位或者个人办理投标事宜；</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16.16.3不同供应商的响应文件载明的项目管理成员或者联系人员为同一人；</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16.16.4不同供应商的响应文件异常一致或者投标报价呈规律性差异；</w:t>
      </w:r>
    </w:p>
    <w:p>
      <w:pPr>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16.16.5不同供应商提供的响应文件出自同一终端设备的，或在相同Internet主机分配地址（相同IP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16.1</w:t>
      </w:r>
      <w:r>
        <w:rPr>
          <w:rFonts w:hint="eastAsia" w:ascii="宋体" w:hAnsi="宋体" w:eastAsia="宋体" w:cs="宋体"/>
          <w:b/>
          <w:bCs/>
          <w:color w:val="auto"/>
          <w:sz w:val="24"/>
          <w:szCs w:val="24"/>
          <w:highlight w:val="none"/>
          <w:lang w:val="en-US" w:eastAsia="zh-CN"/>
        </w:rPr>
        <w:t>7</w:t>
      </w:r>
      <w:r>
        <w:rPr>
          <w:rFonts w:hint="eastAsia" w:ascii="宋体" w:hAnsi="宋体" w:eastAsia="宋体" w:cs="宋体"/>
          <w:b/>
          <w:bCs/>
          <w:color w:val="auto"/>
          <w:sz w:val="24"/>
          <w:szCs w:val="24"/>
          <w:highlight w:val="none"/>
        </w:rPr>
        <w:t xml:space="preserve"> 其他违反法律、法规的情形。</w:t>
      </w:r>
    </w:p>
    <w:p>
      <w:pPr>
        <w:pStyle w:val="2"/>
        <w:numPr>
          <w:ilvl w:val="0"/>
          <w:numId w:val="8"/>
        </w:numPr>
        <w:spacing w:line="33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61" w:name="_Toc21752"/>
      <w:bookmarkStart w:id="62" w:name="_Toc21771"/>
      <w:r>
        <w:rPr>
          <w:rFonts w:hint="eastAsia" w:ascii="宋体" w:hAnsi="宋体" w:eastAsia="宋体" w:cs="宋体"/>
          <w:color w:val="auto"/>
          <w:highlight w:val="none"/>
        </w:rPr>
        <w:t>采购中止的情形</w:t>
      </w:r>
      <w:bookmarkEnd w:id="61"/>
      <w:bookmarkEnd w:id="62"/>
    </w:p>
    <w:p>
      <w:pPr>
        <w:pStyle w:val="16"/>
        <w:keepNext w:val="0"/>
        <w:keepLines w:val="0"/>
        <w:pageBreakBefore w:val="0"/>
        <w:widowControl w:val="0"/>
        <w:kinsoku/>
        <w:wordWrap/>
        <w:overflowPunct/>
        <w:topLinePunct w:val="0"/>
        <w:autoSpaceDE/>
        <w:autoSpaceDN/>
        <w:bidi w:val="0"/>
        <w:snapToGrid/>
        <w:spacing w:line="336" w:lineRule="auto"/>
        <w:ind w:left="0" w:leftChars="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17、</w:t>
      </w:r>
      <w:r>
        <w:rPr>
          <w:rFonts w:hint="eastAsia" w:ascii="宋体" w:hAnsi="宋体" w:eastAsia="宋体" w:cs="宋体"/>
          <w:b/>
          <w:bCs/>
          <w:color w:val="auto"/>
          <w:sz w:val="24"/>
          <w:szCs w:val="24"/>
          <w:highlight w:val="none"/>
          <w:lang w:val="zh-CN"/>
        </w:rPr>
        <w:t>中止电子交易活动和</w:t>
      </w:r>
      <w:r>
        <w:rPr>
          <w:rFonts w:hint="eastAsia" w:ascii="宋体" w:hAnsi="宋体" w:eastAsia="宋体" w:cs="宋体"/>
          <w:b/>
          <w:bCs/>
          <w:color w:val="auto"/>
          <w:sz w:val="24"/>
          <w:szCs w:val="24"/>
          <w:highlight w:val="none"/>
        </w:rPr>
        <w:t>重新组织采购</w:t>
      </w:r>
    </w:p>
    <w:p>
      <w:pPr>
        <w:pStyle w:val="55"/>
        <w:keepNext w:val="0"/>
        <w:keepLines w:val="0"/>
        <w:pageBreakBefore w:val="0"/>
        <w:widowControl w:val="0"/>
        <w:tabs>
          <w:tab w:val="left" w:pos="0"/>
        </w:tabs>
        <w:kinsoku/>
        <w:wordWrap/>
        <w:overflowPunct/>
        <w:topLinePunct w:val="0"/>
        <w:autoSpaceDE/>
        <w:autoSpaceDN/>
        <w:bidi w:val="0"/>
        <w:snapToGrid/>
        <w:spacing w:before="0" w:line="336" w:lineRule="auto"/>
        <w:ind w:left="0" w:leftChars="0" w:firstLine="480" w:firstLineChars="200"/>
        <w:textAlignment w:val="auto"/>
        <w:rPr>
          <w:rFonts w:hint="eastAsia" w:ascii="宋体" w:hAnsi="宋体" w:eastAsia="宋体" w:cs="宋体"/>
          <w:color w:val="auto"/>
          <w:highlight w:val="none"/>
          <w:lang w:val="zh-CN"/>
        </w:rPr>
      </w:pPr>
      <w:r>
        <w:rPr>
          <w:rFonts w:hint="eastAsia" w:ascii="宋体" w:hAnsi="宋体" w:eastAsia="宋体" w:cs="宋体"/>
          <w:color w:val="auto"/>
          <w:highlight w:val="none"/>
        </w:rPr>
        <w:t>17.1</w:t>
      </w:r>
      <w:r>
        <w:rPr>
          <w:rFonts w:hint="eastAsia" w:ascii="宋体" w:hAnsi="宋体" w:eastAsia="宋体" w:cs="宋体"/>
          <w:color w:val="auto"/>
          <w:highlight w:val="none"/>
          <w:lang w:val="zh-CN"/>
        </w:rPr>
        <w:t>采购过程中出现以下情形，导致电子交易平台无法正常运行，或者无法保证电子交易的公平、公正和安全时，采购组织机构可中止电子交易活动：</w:t>
      </w:r>
    </w:p>
    <w:p>
      <w:pPr>
        <w:keepNext w:val="0"/>
        <w:keepLines w:val="0"/>
        <w:pageBreakBefore w:val="0"/>
        <w:widowControl w:val="0"/>
        <w:numPr>
          <w:ilvl w:val="0"/>
          <w:numId w:val="13"/>
        </w:numPr>
        <w:tabs>
          <w:tab w:val="left" w:pos="0"/>
        </w:tabs>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电子交易平台发生故障而无法登录访问的； </w:t>
      </w:r>
    </w:p>
    <w:p>
      <w:pPr>
        <w:keepNext w:val="0"/>
        <w:keepLines w:val="0"/>
        <w:pageBreakBefore w:val="0"/>
        <w:widowControl w:val="0"/>
        <w:numPr>
          <w:ilvl w:val="0"/>
          <w:numId w:val="13"/>
        </w:numPr>
        <w:tabs>
          <w:tab w:val="left" w:pos="0"/>
        </w:tabs>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电子交易平台应用或数据库出现错误，不能进行正常操作的；</w:t>
      </w:r>
    </w:p>
    <w:p>
      <w:pPr>
        <w:keepNext w:val="0"/>
        <w:keepLines w:val="0"/>
        <w:pageBreakBefore w:val="0"/>
        <w:widowControl w:val="0"/>
        <w:numPr>
          <w:ilvl w:val="0"/>
          <w:numId w:val="13"/>
        </w:numPr>
        <w:tabs>
          <w:tab w:val="left" w:pos="0"/>
        </w:tabs>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电子交易平台发现严重安全漏洞，有潜在泄密危险的；</w:t>
      </w:r>
    </w:p>
    <w:p>
      <w:pPr>
        <w:keepNext w:val="0"/>
        <w:keepLines w:val="0"/>
        <w:pageBreakBefore w:val="0"/>
        <w:widowControl w:val="0"/>
        <w:numPr>
          <w:ilvl w:val="0"/>
          <w:numId w:val="13"/>
        </w:numPr>
        <w:tabs>
          <w:tab w:val="left" w:pos="0"/>
        </w:tabs>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病毒发作导致不能进行正常操作的； </w:t>
      </w:r>
    </w:p>
    <w:p>
      <w:pPr>
        <w:keepNext w:val="0"/>
        <w:keepLines w:val="0"/>
        <w:pageBreakBefore w:val="0"/>
        <w:widowControl w:val="0"/>
        <w:numPr>
          <w:ilvl w:val="0"/>
          <w:numId w:val="13"/>
        </w:numPr>
        <w:tabs>
          <w:tab w:val="left" w:pos="0"/>
        </w:tabs>
        <w:kinsoku/>
        <w:wordWrap/>
        <w:overflowPunct/>
        <w:topLinePunct w:val="0"/>
        <w:autoSpaceDE/>
        <w:autoSpaceDN/>
        <w:bidi w:val="0"/>
        <w:snapToGrid/>
        <w:spacing w:line="336"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其他无法保证电子交易的公平、公正和安全的情况。</w:t>
      </w:r>
    </w:p>
    <w:p>
      <w:pPr>
        <w:pStyle w:val="55"/>
        <w:keepNext w:val="0"/>
        <w:keepLines w:val="0"/>
        <w:pageBreakBefore w:val="0"/>
        <w:widowControl w:val="0"/>
        <w:tabs>
          <w:tab w:val="left" w:pos="0"/>
        </w:tabs>
        <w:kinsoku/>
        <w:wordWrap/>
        <w:overflowPunct/>
        <w:topLinePunct w:val="0"/>
        <w:autoSpaceDE/>
        <w:autoSpaceDN/>
        <w:bidi w:val="0"/>
        <w:snapToGrid/>
        <w:spacing w:before="0" w:line="336" w:lineRule="auto"/>
        <w:ind w:left="0" w:leftChars="0"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17.2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numPr>
          <w:ilvl w:val="0"/>
          <w:numId w:val="8"/>
        </w:numPr>
        <w:spacing w:line="336"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63" w:name="_Toc22404"/>
      <w:bookmarkStart w:id="64" w:name="_Toc14029"/>
      <w:r>
        <w:rPr>
          <w:rFonts w:hint="eastAsia" w:ascii="宋体" w:hAnsi="宋体" w:eastAsia="宋体" w:cs="宋体"/>
          <w:color w:val="auto"/>
          <w:highlight w:val="none"/>
        </w:rPr>
        <w:t>确定成交供应商与签订合同</w:t>
      </w:r>
      <w:bookmarkEnd w:id="63"/>
      <w:bookmarkEnd w:id="64"/>
    </w:p>
    <w:p>
      <w:pPr>
        <w:snapToGri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18、推荐成交候选供应商</w:t>
      </w:r>
    </w:p>
    <w:p>
      <w:pPr>
        <w:snapToGri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18.1 磋商小组应当根据综合评分情况，按照评审得分由高到低顺序推荐1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18.2 采购代理机构应当在评审结束后2个工作日内将评审报告送采购人确认。</w:t>
      </w:r>
    </w:p>
    <w:p>
      <w:pPr>
        <w:snapToGri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19、确定成交供应商</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19.2采购人或者采购代理机构应当在成交供应商确定后2个工作日内，在省级以上财政部门指定的政府采购信息发布媒体上公告成交结果，同时向成交供应商发出成交通知书。</w:t>
      </w:r>
    </w:p>
    <w:p>
      <w:pPr>
        <w:adjustRightIn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20、签订合同</w:t>
      </w:r>
    </w:p>
    <w:p>
      <w:pPr>
        <w:pStyle w:val="55"/>
        <w:snapToGrid w:val="0"/>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20.1. 采购人与成交供应商应当在成交通知书发出之日起30日内，按照磋商文件确定的合同文本以及采购标的、规格型号、采购金额、采购数量、技术和服务要求等事项签订政府采购合同。</w:t>
      </w:r>
    </w:p>
    <w:p>
      <w:pPr>
        <w:pStyle w:val="55"/>
        <w:snapToGrid w:val="0"/>
        <w:spacing w:before="0"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20.2. 成交供应商拒绝签订政府采购合同的，采购人可以按照《政府采购竞争性磋商采购方式管理暂行办法》（财库〔2014〕214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21、解释权</w:t>
      </w:r>
    </w:p>
    <w:p>
      <w:pPr>
        <w:adjustRightInd w:val="0"/>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磋商文件的解释权均属于</w:t>
      </w:r>
      <w:r>
        <w:rPr>
          <w:rFonts w:hint="eastAsia" w:ascii="宋体" w:hAnsi="宋体" w:cs="宋体"/>
          <w:color w:val="auto"/>
          <w:sz w:val="24"/>
          <w:szCs w:val="24"/>
          <w:highlight w:val="none"/>
          <w:u w:val="single"/>
          <w:lang w:eastAsia="zh-CN"/>
        </w:rPr>
        <w:t>绍兴市上虞区文化广电旅游局</w:t>
      </w:r>
      <w:r>
        <w:rPr>
          <w:rFonts w:hint="eastAsia" w:ascii="宋体" w:hAnsi="宋体" w:eastAsia="宋体" w:cs="宋体"/>
          <w:color w:val="auto"/>
          <w:sz w:val="24"/>
          <w:szCs w:val="24"/>
          <w:highlight w:val="none"/>
        </w:rPr>
        <w:t>和</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浙江省成套工程有限公司</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pStyle w:val="5"/>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bookmarkStart w:id="65" w:name="_Toc1917"/>
      <w:bookmarkStart w:id="66" w:name="_Toc21248"/>
      <w:r>
        <w:rPr>
          <w:rFonts w:hint="eastAsia" w:ascii="宋体" w:hAnsi="宋体" w:eastAsia="宋体" w:cs="宋体"/>
          <w:color w:val="auto"/>
          <w:sz w:val="36"/>
          <w:szCs w:val="36"/>
          <w:highlight w:val="none"/>
        </w:rPr>
        <w:t>第三部分 采购内容及要求</w:t>
      </w:r>
      <w:bookmarkEnd w:id="65"/>
      <w:bookmarkEnd w:id="66"/>
    </w:p>
    <w:p>
      <w:pPr>
        <w:pStyle w:val="2"/>
        <w:jc w:val="center"/>
        <w:rPr>
          <w:rFonts w:hint="eastAsia" w:ascii="宋体" w:hAnsi="宋体" w:eastAsia="宋体" w:cs="宋体"/>
          <w:color w:val="auto"/>
          <w:highlight w:val="none"/>
        </w:rPr>
      </w:pPr>
      <w:bookmarkStart w:id="67" w:name="_Toc25073"/>
      <w:bookmarkStart w:id="68" w:name="_Toc12245"/>
      <w:bookmarkStart w:id="69" w:name="_Toc15284"/>
      <w:r>
        <w:rPr>
          <w:rFonts w:hint="eastAsia" w:ascii="宋体" w:hAnsi="宋体" w:eastAsia="宋体" w:cs="宋体"/>
          <w:color w:val="auto"/>
          <w:highlight w:val="none"/>
        </w:rPr>
        <w:t xml:space="preserve">第一章 </w:t>
      </w:r>
      <w:bookmarkStart w:id="70" w:name="_Toc506107120"/>
      <w:r>
        <w:rPr>
          <w:rFonts w:hint="eastAsia" w:ascii="宋体" w:hAnsi="宋体" w:eastAsia="宋体" w:cs="宋体"/>
          <w:color w:val="auto"/>
          <w:highlight w:val="none"/>
        </w:rPr>
        <w:t>采购内容及要求</w:t>
      </w:r>
      <w:bookmarkEnd w:id="67"/>
      <w:bookmarkEnd w:id="68"/>
      <w:bookmarkEnd w:id="70"/>
    </w:p>
    <w:p>
      <w:pPr>
        <w:numPr>
          <w:ilvl w:val="0"/>
          <w:numId w:val="14"/>
        </w:numPr>
        <w:autoSpaceDE w:val="0"/>
        <w:autoSpaceDN w:val="0"/>
        <w:adjustRightInd w:val="0"/>
        <w:spacing w:line="360" w:lineRule="auto"/>
        <w:ind w:firstLine="482" w:firstLineChars="200"/>
        <w:jc w:val="left"/>
        <w:rPr>
          <w:rFonts w:ascii="宋体" w:hAnsi="宋体" w:cs="宋体"/>
          <w:b/>
          <w:bCs/>
          <w:color w:val="auto"/>
          <w:kern w:val="2"/>
          <w:sz w:val="24"/>
          <w:szCs w:val="21"/>
        </w:rPr>
      </w:pPr>
      <w:r>
        <w:rPr>
          <w:rFonts w:hint="eastAsia" w:ascii="宋体" w:hAnsi="宋体" w:cs="宋体"/>
          <w:b/>
          <w:bCs/>
          <w:color w:val="auto"/>
          <w:kern w:val="2"/>
          <w:sz w:val="24"/>
          <w:szCs w:val="21"/>
        </w:rPr>
        <w:t>项目背景</w:t>
      </w:r>
    </w:p>
    <w:p>
      <w:pPr>
        <w:numPr>
          <w:ilvl w:val="0"/>
          <w:numId w:val="0"/>
        </w:numPr>
        <w:spacing w:line="360" w:lineRule="auto"/>
        <w:ind w:firstLine="480" w:firstLineChars="200"/>
        <w:rPr>
          <w:rFonts w:hint="eastAsia" w:ascii="宋体" w:hAnsi="宋体"/>
          <w:color w:val="auto"/>
          <w:kern w:val="2"/>
          <w:sz w:val="24"/>
          <w:szCs w:val="24"/>
        </w:rPr>
      </w:pPr>
      <w:r>
        <w:rPr>
          <w:rFonts w:hint="eastAsia" w:ascii="宋体" w:hAnsi="宋体" w:eastAsia="宋体" w:cs="宋体"/>
          <w:color w:val="auto"/>
          <w:sz w:val="24"/>
          <w:szCs w:val="24"/>
          <w:lang w:val="en-US" w:eastAsia="zh-CN"/>
        </w:rPr>
        <w:t>农村公益电影放映工程是党和国家实施文化惠民系列工程之一，是加强文化建设、满足人民群众多层次、多方面精神文化需求、促进农村经济发展和社会进步、实现物质文明、精神文明和政治文明协调发展的重要举措，是贯彻落实党和国家的惠民政策，是实现好、维护好、发展好人民群众基本文化权益的重要途经。</w:t>
      </w:r>
    </w:p>
    <w:p>
      <w:pPr>
        <w:spacing w:line="360" w:lineRule="auto"/>
        <w:ind w:firstLine="480" w:firstLineChars="200"/>
        <w:rPr>
          <w:color w:val="auto"/>
          <w:kern w:val="2"/>
          <w:sz w:val="21"/>
          <w:szCs w:val="21"/>
        </w:rPr>
      </w:pPr>
      <w:r>
        <w:rPr>
          <w:rFonts w:hint="eastAsia" w:ascii="宋体" w:hAnsi="宋体"/>
          <w:color w:val="auto"/>
          <w:kern w:val="2"/>
          <w:sz w:val="24"/>
          <w:szCs w:val="24"/>
        </w:rPr>
        <w:t>为全面贯彻落实浙江省新闻出版广电局和浙江省财政厅《关于印发政府向社会力量购买农村电影放映服务实施方案的通知》（浙新广发[2016]91号）文件，深化农村电影体制改革，结合</w:t>
      </w:r>
      <w:r>
        <w:rPr>
          <w:rFonts w:hint="eastAsia" w:ascii="宋体" w:hAnsi="宋体"/>
          <w:color w:val="auto"/>
          <w:kern w:val="2"/>
          <w:sz w:val="24"/>
          <w:szCs w:val="24"/>
          <w:lang w:val="en-US" w:eastAsia="zh-CN"/>
        </w:rPr>
        <w:t>上虞区</w:t>
      </w:r>
      <w:r>
        <w:rPr>
          <w:rFonts w:hint="eastAsia" w:ascii="宋体" w:hAnsi="宋体"/>
          <w:color w:val="auto"/>
          <w:kern w:val="2"/>
          <w:sz w:val="24"/>
          <w:szCs w:val="24"/>
        </w:rPr>
        <w:t>实际情况，通过竞争性磋商的采购方式择优选取成交供应商。成交供应商应当按照形式多样、内容丰富、健康、积极、向上的要求，安排电影放映，场次分布全</w:t>
      </w:r>
      <w:r>
        <w:rPr>
          <w:rFonts w:hint="eastAsia" w:ascii="宋体" w:hAnsi="宋体"/>
          <w:color w:val="auto"/>
          <w:kern w:val="2"/>
          <w:sz w:val="24"/>
          <w:szCs w:val="24"/>
          <w:lang w:val="en-US" w:eastAsia="zh-CN"/>
        </w:rPr>
        <w:t>区</w:t>
      </w:r>
      <w:r>
        <w:rPr>
          <w:rFonts w:hint="eastAsia" w:ascii="宋体" w:hAnsi="宋体"/>
          <w:color w:val="auto"/>
          <w:kern w:val="2"/>
          <w:sz w:val="24"/>
          <w:szCs w:val="24"/>
        </w:rPr>
        <w:t>各街道、乡、镇、村、社区、文化礼堂。</w:t>
      </w:r>
    </w:p>
    <w:p>
      <w:pPr>
        <w:numPr>
          <w:ilvl w:val="0"/>
          <w:numId w:val="14"/>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eastAsia="zh-CN"/>
        </w:rPr>
      </w:pPr>
      <w:r>
        <w:rPr>
          <w:rFonts w:hint="eastAsia" w:ascii="宋体" w:hAnsi="宋体" w:eastAsia="宋体" w:cs="宋体"/>
          <w:b/>
          <w:bCs/>
          <w:color w:val="auto"/>
          <w:kern w:val="2"/>
          <w:sz w:val="24"/>
          <w:szCs w:val="21"/>
          <w:lang w:eastAsia="zh-CN"/>
        </w:rPr>
        <w:t>服务内容及要求</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1</w:t>
      </w:r>
      <w:r>
        <w:rPr>
          <w:rFonts w:hint="eastAsia" w:ascii="宋体" w:hAnsi="宋体" w:cs="宋体"/>
          <w:b/>
          <w:bCs/>
          <w:color w:val="auto"/>
          <w:kern w:val="2"/>
          <w:sz w:val="24"/>
          <w:szCs w:val="21"/>
          <w:highlight w:val="none"/>
          <w:lang w:val="en-US" w:eastAsia="zh-CN" w:bidi="ar-SA"/>
        </w:rPr>
        <w:t>、</w:t>
      </w:r>
      <w:r>
        <w:rPr>
          <w:rFonts w:hint="eastAsia" w:ascii="宋体" w:hAnsi="宋体" w:eastAsia="宋体" w:cs="宋体"/>
          <w:b/>
          <w:bCs/>
          <w:color w:val="auto"/>
          <w:kern w:val="2"/>
          <w:sz w:val="24"/>
          <w:szCs w:val="21"/>
          <w:highlight w:val="none"/>
          <w:lang w:val="en-US" w:eastAsia="zh-CN" w:bidi="ar-SA"/>
        </w:rPr>
        <w:t>设备要求</w:t>
      </w:r>
    </w:p>
    <w:p>
      <w:pPr>
        <w:pStyle w:val="3"/>
        <w:spacing w:line="360" w:lineRule="auto"/>
        <w:rPr>
          <w:rFonts w:hint="eastAsia" w:ascii="宋体" w:hAnsi="宋体" w:eastAsia="宋体" w:cs="宋体"/>
          <w:color w:val="auto"/>
          <w:kern w:val="2"/>
          <w:sz w:val="24"/>
          <w:szCs w:val="21"/>
          <w:highlight w:val="none"/>
          <w:lang w:val="en-US" w:eastAsia="zh-CN" w:bidi="ar-SA"/>
        </w:rPr>
      </w:pPr>
      <w:r>
        <w:rPr>
          <w:rFonts w:hint="eastAsia" w:ascii="宋体" w:hAnsi="宋体" w:cs="宋体"/>
          <w:color w:val="auto"/>
          <w:kern w:val="2"/>
          <w:sz w:val="24"/>
          <w:szCs w:val="21"/>
          <w:highlight w:val="none"/>
          <w:lang w:val="en-US" w:eastAsia="zh-CN" w:bidi="ar-SA"/>
        </w:rPr>
        <w:t>1.1</w:t>
      </w:r>
      <w:r>
        <w:rPr>
          <w:rFonts w:hint="eastAsia" w:ascii="宋体" w:hAnsi="宋体" w:eastAsia="宋体" w:cs="宋体"/>
          <w:color w:val="auto"/>
          <w:kern w:val="2"/>
          <w:sz w:val="24"/>
          <w:szCs w:val="21"/>
          <w:highlight w:val="none"/>
          <w:lang w:val="en-US" w:eastAsia="zh-CN" w:bidi="ar-SA"/>
        </w:rPr>
        <w:t>具备提供农村电影放映服务所必需的数字电影流动放映设备,放映设备需10</w:t>
      </w:r>
    </w:p>
    <w:p>
      <w:pPr>
        <w:pStyle w:val="3"/>
        <w:spacing w:line="360" w:lineRule="auto"/>
        <w:ind w:left="0" w:leftChars="0" w:firstLine="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套及以上。放映设备应符合国家数字电影标准和规范，安装有GPS/GPRS监控模块，并符合《数字电影流动放映监管信息GPS/GPRS接口技术要求和测试方法》(GD/J029-2010)规定。要求与监管平台互联互通，提供完成与监管平台数据传输技术对接证明协议;完成对接的，可在省内跨区域使用和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ascii="宋体" w:hAnsi="宋体" w:cs="宋体"/>
          <w:color w:val="auto"/>
          <w:sz w:val="24"/>
          <w:highlight w:val="none"/>
          <w:lang w:val="en-US" w:eastAsia="zh-CN"/>
        </w:rPr>
        <w:t>1.2电影放映要求：（1）、电影放映投影设备必须达到3000流明光通量；（2）、银幕尺寸应不小于宽5米、高3米，必须满格放映，保证放映质量；（3）、当年城市院线下档节目占有率必须达到30%以上，商业片占有率达到80%以上；（4）、露天放映必须为观影群众提供部分座椅；（5）、每月月初必须整理汇总放映场次和进度表以备查；（6）、每场电影需提供放映实时现场照片；（7）、所有放映场次须纳入浙江农村GPS</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GPRS监控平台；（8）、全面落实“浙影通”应用APP，进行规范点播和评价。</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2</w:t>
      </w:r>
      <w:r>
        <w:rPr>
          <w:rFonts w:hint="eastAsia" w:ascii="宋体" w:hAnsi="宋体" w:cs="宋体"/>
          <w:b/>
          <w:bCs/>
          <w:color w:val="auto"/>
          <w:kern w:val="2"/>
          <w:sz w:val="24"/>
          <w:szCs w:val="21"/>
          <w:highlight w:val="none"/>
          <w:lang w:val="en-US" w:eastAsia="zh-CN" w:bidi="ar-SA"/>
        </w:rPr>
        <w:t>、</w:t>
      </w:r>
      <w:r>
        <w:rPr>
          <w:rFonts w:hint="eastAsia" w:ascii="宋体" w:hAnsi="宋体" w:eastAsia="宋体" w:cs="宋体"/>
          <w:b/>
          <w:bCs/>
          <w:color w:val="auto"/>
          <w:kern w:val="2"/>
          <w:sz w:val="24"/>
          <w:szCs w:val="21"/>
          <w:highlight w:val="none"/>
          <w:lang w:val="en-US" w:eastAsia="zh-CN" w:bidi="ar-SA"/>
        </w:rPr>
        <w:t>服务要求</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2.1放映一部故事片或一部长记录片、或一部长科教片各为一场，短科教片累计 3部次为一场。</w:t>
      </w:r>
    </w:p>
    <w:p>
      <w:pPr>
        <w:pStyle w:val="3"/>
        <w:spacing w:line="360" w:lineRule="auto"/>
        <w:ind w:left="0" w:leftChars="0" w:firstLine="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 xml:space="preserve">    2.2政府购买场次的影片，由中标所在地区农村数字电影院线公司统一供片发行。院线公司务必与浙江省农村电影统一供片的中标发行单位做好对接，提供好优质服务，所播放节目须全部来源于</w:t>
      </w:r>
      <w:r>
        <w:rPr>
          <w:rFonts w:hint="eastAsia" w:ascii="宋体" w:hAnsi="宋体" w:cs="宋体"/>
          <w:color w:val="auto"/>
          <w:kern w:val="2"/>
          <w:sz w:val="24"/>
          <w:szCs w:val="21"/>
          <w:highlight w:val="none"/>
          <w:lang w:val="en-US" w:eastAsia="zh-CN" w:bidi="ar-SA"/>
        </w:rPr>
        <w:t>中宣部</w:t>
      </w:r>
      <w:r>
        <w:rPr>
          <w:rFonts w:hint="eastAsia" w:ascii="宋体" w:hAnsi="宋体" w:eastAsia="宋体" w:cs="宋体"/>
          <w:color w:val="auto"/>
          <w:kern w:val="2"/>
          <w:sz w:val="24"/>
          <w:szCs w:val="21"/>
          <w:highlight w:val="none"/>
          <w:lang w:val="en-US" w:eastAsia="zh-CN" w:bidi="ar-SA"/>
        </w:rPr>
        <w:t>电影数字节目管理中心，严禁放映未取得《影片公映许可证》影片和音像制品。</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2.3认真执行影片选择权和订购权，根据农村群众观影需求采购影片，国产新片（院线上映两年以内）比例不少于1/3。</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2.4完整放映浙江新农村数字电影院线映前10分钟广告。</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2.5熟悉农村电影运行方式、执行放映、基础要求等放映情况，放映节目需符合群众要求。</w:t>
      </w:r>
    </w:p>
    <w:p>
      <w:pPr>
        <w:pStyle w:val="3"/>
        <w:spacing w:line="360" w:lineRule="auto"/>
        <w:ind w:left="0" w:leftChars="0" w:firstLine="48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2.6需加盟中标所在地区农村数字电影院线，自觉服从中标所在地区农村数字电影院线公司管理，遵守中标所在地区院线的各项制度。</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3、项目组人员配备要求：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具备提供农村电影放映服务所需的人员和专业技术能力。从事农村电影经营、管理人员和放映人员应经过专业培训，熟悉了解数字电影基本知识、运行和操作流程，掌握放映技术和管理规则。拟派人员须和实际实施人员一致，如需更换需经采购人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要求从事放映工作人员持有农村数字电影放映上岗证，能够在所有乡镇街道同时放映，中标人应自行承担选派人员的住宿、就餐和交通等费用。</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4、采购项目总体要求：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（1）、农村电影放映：合理有效利用农村数字电影运作平台，认真贯彻实施“农村电影放映工程”，有“上虞区农村公益电影放映统计表”及每月放映场次汇总表、放映日记、观众评价、放映实时照片等；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上虞区各乡镇(街道)年度放映基本场次：</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乡镇（街道）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村、社区数</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年度基本场次</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乡镇（街道）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村、社区数</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年度基本场次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百官街道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47</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490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曹娥街道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30</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东关街道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16</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200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小越街道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道墟街道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22</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160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梁湖街道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崧厦街道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41</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610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长塘镇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上浦镇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汤浦镇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盖北镇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11</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100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谢塘镇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章镇镇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29</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330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下管镇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10</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丰惠镇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29</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280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永和镇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驿亭镇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120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岭南乡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陈溪乡</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丁宅乡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7</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合计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355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上表为上虞区全年目标任务4500场在各乡镇（街道）的基本场次年度安排，各乡镇（街道）可根据实际情况调整放映场次，中标人不得以此调整中标价格。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（2）、在本项目合同日期内，放映场次及价格有变动的以省里下达的文件为准。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（3）、涉及各项工作未尽事宜，均以中共绍兴市上虞区委宣传部（本级）相关文件要求为准。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（4）、自合同签订生效之日起为三个自然年，本次投标按三年的电影放映场次报价。中标单位不得转包和分包。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ascii="宋体" w:hAnsi="宋体" w:cs="宋体"/>
          <w:color w:val="auto"/>
          <w:sz w:val="24"/>
          <w:highlight w:val="none"/>
          <w:lang w:val="en-US" w:eastAsia="zh-CN"/>
        </w:rPr>
        <w:t>5、合同三年一签，合同期截止日为2026年12月31日，采购人对每年验收、考核有异议的，有权终止合同。</w:t>
      </w:r>
    </w:p>
    <w:p>
      <w:pPr>
        <w:pStyle w:val="3"/>
        <w:spacing w:line="360" w:lineRule="auto"/>
        <w:rPr>
          <w:rFonts w:hint="eastAsia" w:ascii="宋体" w:hAnsi="宋体" w:eastAsia="宋体" w:cs="宋体"/>
          <w:b/>
          <w:bCs/>
          <w:color w:val="auto"/>
          <w:kern w:val="2"/>
          <w:sz w:val="24"/>
          <w:szCs w:val="21"/>
          <w:highlight w:val="none"/>
          <w:lang w:val="zh-CN" w:eastAsia="zh-CN" w:bidi="ar-SA"/>
        </w:rPr>
      </w:pPr>
      <w:r>
        <w:rPr>
          <w:rFonts w:hint="eastAsia" w:ascii="宋体" w:hAnsi="宋体" w:eastAsia="宋体" w:cs="宋体"/>
          <w:b/>
          <w:bCs/>
          <w:color w:val="auto"/>
          <w:kern w:val="2"/>
          <w:sz w:val="24"/>
          <w:szCs w:val="21"/>
          <w:highlight w:val="none"/>
          <w:lang w:val="en-US" w:eastAsia="zh-CN" w:bidi="ar-SA"/>
        </w:rPr>
        <w:t>5、</w:t>
      </w:r>
      <w:r>
        <w:rPr>
          <w:rFonts w:hint="eastAsia" w:ascii="宋体" w:hAnsi="宋体" w:eastAsia="宋体" w:cs="宋体"/>
          <w:b/>
          <w:bCs/>
          <w:color w:val="auto"/>
          <w:kern w:val="2"/>
          <w:sz w:val="24"/>
          <w:szCs w:val="21"/>
          <w:highlight w:val="none"/>
          <w:lang w:val="zh-CN" w:eastAsia="zh-CN" w:bidi="ar-SA"/>
        </w:rPr>
        <w:t>验收要求</w:t>
      </w:r>
    </w:p>
    <w:p>
      <w:pPr>
        <w:numPr>
          <w:ilvl w:val="0"/>
          <w:numId w:val="0"/>
        </w:numPr>
        <w:adjustRightInd/>
        <w:spacing w:line="360" w:lineRule="auto"/>
        <w:ind w:firstLine="480" w:firstLineChars="200"/>
        <w:jc w:val="left"/>
        <w:rPr>
          <w:rFonts w:hint="eastAsia"/>
          <w:color w:val="auto"/>
          <w:lang w:val="en-US" w:eastAsia="zh-CN"/>
        </w:rPr>
      </w:pPr>
      <w:r>
        <w:rPr>
          <w:rFonts w:hint="eastAsia" w:ascii="宋体" w:hAnsi="宋体" w:cs="宋体"/>
          <w:color w:val="auto"/>
          <w:sz w:val="24"/>
          <w:lang w:val="zh-CN"/>
        </w:rPr>
        <w:t>由中标人向采购人提供现场照片及有效放映凭证作为验收依据，如采购人对中标方提供的验收依据无异议，作验收合格结论；采购人如对</w:t>
      </w:r>
      <w:r>
        <w:rPr>
          <w:rFonts w:hint="eastAsia" w:ascii="宋体" w:hAnsi="宋体" w:cs="宋体"/>
          <w:color w:val="auto"/>
          <w:sz w:val="24"/>
          <w:lang w:val="en-US" w:eastAsia="zh-CN"/>
        </w:rPr>
        <w:t>中标人</w:t>
      </w:r>
      <w:r>
        <w:rPr>
          <w:rFonts w:hint="eastAsia" w:ascii="宋体" w:hAnsi="宋体" w:cs="宋体"/>
          <w:color w:val="auto"/>
          <w:sz w:val="24"/>
          <w:lang w:val="zh-CN"/>
        </w:rPr>
        <w:t>的服务质量有异议，应在验收之日起七天内提出书面异议。采购人对有效放映场次、放映时间、放映地点、服务质量等进行统计、核实是否满足合同要求，是否存在不使用GPS监控终端进行放映、放映未经许可的影片等违规行为产生的放映场次。</w:t>
      </w:r>
    </w:p>
    <w:p>
      <w:pPr>
        <w:numPr>
          <w:ilvl w:val="0"/>
          <w:numId w:val="14"/>
        </w:numPr>
        <w:autoSpaceDE w:val="0"/>
        <w:autoSpaceDN w:val="0"/>
        <w:adjustRightInd w:val="0"/>
        <w:spacing w:line="360" w:lineRule="auto"/>
        <w:ind w:firstLine="482" w:firstLineChars="200"/>
        <w:jc w:val="left"/>
        <w:rPr>
          <w:rFonts w:ascii="宋体" w:hAnsi="宋体" w:cs="宋体"/>
          <w:b/>
          <w:bCs/>
          <w:color w:val="auto"/>
          <w:kern w:val="2"/>
          <w:sz w:val="24"/>
          <w:szCs w:val="21"/>
        </w:rPr>
      </w:pPr>
      <w:r>
        <w:rPr>
          <w:rFonts w:hint="eastAsia" w:ascii="宋体" w:hAnsi="宋体" w:cs="宋体"/>
          <w:b/>
          <w:bCs/>
          <w:color w:val="auto"/>
          <w:kern w:val="2"/>
          <w:sz w:val="24"/>
          <w:szCs w:val="21"/>
        </w:rPr>
        <w:t>服务期限</w:t>
      </w:r>
    </w:p>
    <w:p>
      <w:pPr>
        <w:autoSpaceDE w:val="0"/>
        <w:autoSpaceDN w:val="0"/>
        <w:adjustRightInd w:val="0"/>
        <w:spacing w:line="360" w:lineRule="auto"/>
        <w:ind w:firstLine="480" w:firstLineChars="200"/>
        <w:jc w:val="left"/>
        <w:rPr>
          <w:rFonts w:ascii="宋体" w:hAnsi="宋体"/>
          <w:color w:val="auto"/>
          <w:sz w:val="24"/>
          <w:szCs w:val="68"/>
        </w:rPr>
      </w:pPr>
      <w:r>
        <w:rPr>
          <w:rFonts w:hint="eastAsia" w:ascii="宋体" w:hAnsi="宋体"/>
          <w:color w:val="auto"/>
          <w:sz w:val="24"/>
          <w:szCs w:val="68"/>
        </w:rPr>
        <w:t>服务期：合同签订之日起</w:t>
      </w:r>
      <w:r>
        <w:rPr>
          <w:rFonts w:hint="eastAsia" w:ascii="宋体" w:hAnsi="宋体"/>
          <w:color w:val="auto"/>
          <w:sz w:val="24"/>
          <w:szCs w:val="68"/>
          <w:lang w:eastAsia="zh-CN"/>
        </w:rPr>
        <w:t>三</w:t>
      </w:r>
      <w:r>
        <w:rPr>
          <w:rFonts w:hint="eastAsia" w:ascii="宋体" w:hAnsi="宋体"/>
          <w:color w:val="auto"/>
          <w:sz w:val="24"/>
          <w:szCs w:val="68"/>
        </w:rPr>
        <w:t>年。</w:t>
      </w:r>
    </w:p>
    <w:p>
      <w:pPr>
        <w:ind w:firstLine="480"/>
        <w:rPr>
          <w:rFonts w:hint="eastAsia"/>
          <w:color w:val="auto"/>
          <w:lang w:val="en-US" w:eastAsia="zh-CN"/>
        </w:rPr>
      </w:pPr>
    </w:p>
    <w:p>
      <w:pPr>
        <w:pStyle w:val="2"/>
        <w:numPr>
          <w:ilvl w:val="0"/>
          <w:numId w:val="15"/>
        </w:numPr>
        <w:bidi w:val="0"/>
        <w:ind w:leftChars="0"/>
        <w:jc w:val="center"/>
        <w:rPr>
          <w:rFonts w:hint="eastAsia" w:ascii="宋体" w:hAnsi="宋体" w:eastAsia="宋体" w:cs="宋体"/>
          <w:color w:val="auto"/>
          <w:highlight w:val="none"/>
          <w:lang w:val="en-US" w:eastAsia="zh-CN"/>
        </w:rPr>
      </w:pPr>
      <w:bookmarkStart w:id="71" w:name="_Toc21027"/>
      <w:bookmarkStart w:id="72" w:name="_Toc12984"/>
      <w:bookmarkStart w:id="73" w:name="_Toc22912"/>
      <w:bookmarkStart w:id="74" w:name="_Toc12256"/>
      <w:bookmarkStart w:id="75" w:name="_Toc506107121"/>
      <w:r>
        <w:rPr>
          <w:rFonts w:hint="eastAsia" w:ascii="宋体" w:hAnsi="宋体" w:eastAsia="宋体" w:cs="宋体"/>
          <w:color w:val="auto"/>
          <w:highlight w:val="none"/>
          <w:lang w:val="en-US" w:eastAsia="zh-CN"/>
        </w:rPr>
        <w:t>付款方式及要求</w:t>
      </w:r>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一、付款方式：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1、合同生效并具备实施条件后7个工作日内支付</w:t>
      </w:r>
      <w:r>
        <w:rPr>
          <w:rFonts w:hint="eastAsia" w:ascii="宋体" w:hAnsi="宋体" w:cs="宋体"/>
          <w:color w:val="auto"/>
          <w:sz w:val="24"/>
          <w:highlight w:val="none"/>
          <w:lang w:val="en-US" w:eastAsia="zh-CN"/>
        </w:rPr>
        <w:t>第一</w:t>
      </w:r>
      <w:r>
        <w:rPr>
          <w:rFonts w:hint="eastAsia" w:ascii="宋体" w:hAnsi="宋体" w:eastAsia="宋体" w:cs="宋体"/>
          <w:color w:val="auto"/>
          <w:sz w:val="24"/>
          <w:highlight w:val="none"/>
          <w:lang w:val="en-US" w:eastAsia="zh-CN"/>
        </w:rPr>
        <w:t>年合同价款的</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剩余40%余款在中标人完成全年放映目标任务（4500场）经采购方核验后于当年12月31日前支付；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、在剩余2年的合同服务期内，每</w:t>
      </w:r>
      <w:r>
        <w:rPr>
          <w:rFonts w:hint="eastAsia" w:ascii="宋体" w:hAnsi="宋体" w:cs="宋体"/>
          <w:color w:val="auto"/>
          <w:sz w:val="24"/>
          <w:highlight w:val="none"/>
          <w:lang w:val="en-US" w:eastAsia="zh-CN"/>
        </w:rPr>
        <w:t>年的5月31日前支付当年合同款的60%，剩余40%余款在中标人完成全年放映目标任务（4500场）经采购方核验后于当年12月31日前支付</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直至履约结束。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二、付款要求：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val="en-US" w:eastAsia="zh-CN"/>
        </w:rPr>
        <w:t>中标人在收款之前，应向采购人提供等额、合法、有效的发票，采购人凭发票付款。如中标人未按约定提供发票的，采购人有权拒绝付款，直至收到中标人提交的相应发票为止，在此情况下，采购人不承担逾期付款违约责任</w:t>
      </w:r>
      <w:r>
        <w:rPr>
          <w:rFonts w:hint="eastAsia" w:ascii="宋体" w:hAnsi="宋体" w:eastAsia="宋体" w:cs="宋体"/>
          <w:color w:val="auto"/>
          <w:kern w:val="0"/>
          <w:sz w:val="24"/>
          <w:highlight w:val="none"/>
        </w:rPr>
        <w:t>。</w:t>
      </w:r>
    </w:p>
    <w:p>
      <w:pPr>
        <w:pStyle w:val="5"/>
        <w:jc w:val="center"/>
        <w:rPr>
          <w:rFonts w:hint="eastAsia" w:ascii="宋体" w:hAnsi="宋体" w:eastAsia="宋体" w:cs="宋体"/>
          <w:color w:val="auto"/>
          <w:sz w:val="36"/>
          <w:szCs w:val="36"/>
          <w:highlight w:val="none"/>
        </w:rPr>
      </w:pPr>
      <w:r>
        <w:rPr>
          <w:rFonts w:hint="eastAsia" w:ascii="宋体" w:hAnsi="宋体" w:eastAsia="宋体" w:cs="宋体"/>
          <w:color w:val="auto"/>
          <w:sz w:val="24"/>
          <w:highlight w:val="none"/>
        </w:rPr>
        <w:br w:type="page"/>
      </w:r>
      <w:bookmarkStart w:id="76" w:name="_Toc2107"/>
      <w:r>
        <w:rPr>
          <w:rFonts w:hint="eastAsia" w:ascii="宋体" w:hAnsi="宋体" w:eastAsia="宋体" w:cs="宋体"/>
          <w:color w:val="auto"/>
          <w:sz w:val="36"/>
          <w:szCs w:val="36"/>
          <w:highlight w:val="none"/>
        </w:rPr>
        <w:t>第四部分 磋商原则及磋商方法</w:t>
      </w:r>
      <w:bookmarkEnd w:id="69"/>
      <w:bookmarkEnd w:id="76"/>
    </w:p>
    <w:p>
      <w:pPr>
        <w:pStyle w:val="2"/>
        <w:numPr>
          <w:ilvl w:val="0"/>
          <w:numId w:val="16"/>
        </w:numPr>
        <w:jc w:val="center"/>
        <w:rPr>
          <w:rFonts w:hint="eastAsia" w:ascii="宋体" w:hAnsi="宋体" w:eastAsia="宋体" w:cs="宋体"/>
          <w:color w:val="auto"/>
          <w:highlight w:val="none"/>
        </w:rPr>
      </w:pPr>
      <w:bookmarkStart w:id="77" w:name="_Toc1265"/>
      <w:r>
        <w:rPr>
          <w:rFonts w:hint="eastAsia" w:ascii="宋体" w:hAnsi="宋体" w:eastAsia="宋体" w:cs="宋体"/>
          <w:color w:val="auto"/>
          <w:highlight w:val="none"/>
        </w:rPr>
        <w:t xml:space="preserve"> </w:t>
      </w:r>
      <w:bookmarkStart w:id="78" w:name="_Toc14171"/>
      <w:r>
        <w:rPr>
          <w:rFonts w:hint="eastAsia" w:ascii="宋体" w:hAnsi="宋体" w:eastAsia="宋体" w:cs="宋体"/>
          <w:color w:val="auto"/>
          <w:highlight w:val="none"/>
        </w:rPr>
        <w:t>磋商原则</w:t>
      </w:r>
      <w:bookmarkEnd w:id="77"/>
      <w:bookmarkEnd w:id="78"/>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1、本次竞争性磋商本着公平、公正、科学、择优的原则，邀请各磋商方参加报价。</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3、磋商小组按照统一的磋商原则和磋商方法，用同一标准对所有响应性文件进行评审。</w:t>
      </w:r>
    </w:p>
    <w:p>
      <w:pPr>
        <w:pStyle w:val="16"/>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4、评审</w:t>
      </w:r>
    </w:p>
    <w:p>
      <w:pPr>
        <w:pStyle w:val="1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4.1在磋商响应截止时间前按规定提交响应文件的供应商在三家（含）以上的，由采购人或采购代理机构组织进行开标。</w:t>
      </w:r>
    </w:p>
    <w:p>
      <w:pPr>
        <w:pStyle w:val="16"/>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4.2供应商登录政采云平台，用“项目采购-开标评标”功能对电子磋商响应文件进行在线解密。在线解密电子磋商响应文件时间为开标时间起30分钟内。若电子磋商响应文件解密失败，则由采购代理机构工作人员上传供应商提供的备份文件。</w:t>
      </w:r>
      <w:r>
        <w:rPr>
          <w:rFonts w:hint="eastAsia" w:ascii="宋体" w:hAnsi="宋体" w:eastAsia="宋体" w:cs="宋体"/>
          <w:color w:val="auto"/>
          <w:sz w:val="24"/>
          <w:szCs w:val="24"/>
          <w:highlight w:val="none"/>
        </w:rPr>
        <w:t>备份文件（后缀名为.bfbs）须存储在U盘中，与上传的电子磋商响应文件一致，用信封进行密封并盖章</w:t>
      </w:r>
      <w:r>
        <w:rPr>
          <w:rFonts w:hint="eastAsia" w:ascii="宋体" w:hAnsi="宋体" w:eastAsia="宋体" w:cs="宋体"/>
          <w:b/>
          <w:bCs/>
          <w:color w:val="auto"/>
          <w:sz w:val="24"/>
          <w:szCs w:val="24"/>
          <w:highlight w:val="none"/>
        </w:rPr>
        <w:t>（信封内仅需放入存储备份文件的U盘）</w:t>
      </w:r>
      <w:r>
        <w:rPr>
          <w:rFonts w:hint="eastAsia" w:ascii="宋体" w:hAnsi="宋体" w:eastAsia="宋体" w:cs="宋体"/>
          <w:color w:val="auto"/>
          <w:sz w:val="24"/>
          <w:szCs w:val="24"/>
          <w:highlight w:val="none"/>
        </w:rPr>
        <w:t>，由授权代表在磋商响应截止时间前递交至开标地点。</w:t>
      </w:r>
    </w:p>
    <w:p>
      <w:pPr>
        <w:pStyle w:val="1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4.3采购人按磋商文件规定的时间、地点公开开标。开标仪式由采购人或采购代理机构主持及有关人员参加。</w:t>
      </w:r>
    </w:p>
    <w:p>
      <w:pPr>
        <w:pStyle w:val="55"/>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4.4本项目为电子投标项目，供应商一般不需要参加现场投标和开标，若供应商需要指派授权代表递交备份文件，则授权代表应随身携带法定代表人授权书原件于磋商响应截止时间前到达开标地点递交备份文件。若电子磋商响应文件正常解锁，则U盘退还给供应商；若解锁失败，则由采购代理机构将U盘中的备份文件上传，该U盘将由采购代理机构保存。</w:t>
      </w:r>
    </w:p>
    <w:p>
      <w:pPr>
        <w:pStyle w:val="55"/>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4.5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5、组建磋商小组</w:t>
      </w:r>
    </w:p>
    <w:p>
      <w:pPr>
        <w:pStyle w:val="55"/>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5.1磋商小组由采购人代表和评审专家共3人或以上单数组成，其中评审专家人数不少于磋商小组成员总数的2/3。</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5.2</w:t>
      </w:r>
      <w:r>
        <w:rPr>
          <w:rFonts w:hint="eastAsia" w:ascii="宋体" w:hAnsi="宋体" w:eastAsia="宋体" w:cs="宋体"/>
          <w:color w:val="auto"/>
          <w:highlight w:val="none"/>
          <w:lang w:val="zh-CN"/>
        </w:rPr>
        <w:t>评标工作由评标委员会负责，并推选产生的组长主持；</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w:t>
      </w:r>
      <w:r>
        <w:rPr>
          <w:rFonts w:hint="eastAsia" w:ascii="宋体" w:hAnsi="宋体" w:eastAsia="宋体" w:cs="宋体"/>
          <w:color w:val="auto"/>
          <w:sz w:val="24"/>
          <w:szCs w:val="24"/>
          <w:highlight w:val="none"/>
          <w:lang w:val="zh-CN"/>
        </w:rPr>
        <w:t>本次评标为在线评标。</w:t>
      </w:r>
    </w:p>
    <w:p>
      <w:pPr>
        <w:pStyle w:val="2"/>
        <w:numPr>
          <w:ilvl w:val="0"/>
          <w:numId w:val="16"/>
        </w:num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79" w:name="_Toc31855"/>
      <w:bookmarkStart w:id="80" w:name="_Toc10093"/>
      <w:r>
        <w:rPr>
          <w:rFonts w:hint="eastAsia" w:ascii="宋体" w:hAnsi="宋体" w:eastAsia="宋体" w:cs="宋体"/>
          <w:color w:val="auto"/>
          <w:highlight w:val="none"/>
        </w:rPr>
        <w:t>磋商程序</w:t>
      </w:r>
      <w:bookmarkEnd w:id="79"/>
      <w:bookmarkEnd w:id="80"/>
    </w:p>
    <w:p>
      <w:pPr>
        <w:snapToGrid w:val="0"/>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1、对所有响应文件的初审</w:t>
      </w:r>
    </w:p>
    <w:p>
      <w:pPr>
        <w:adjustRightInd w:val="0"/>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1.1资格审查</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（1）开标后，磋商小组将依法对供应商的资格进行审查。</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（2）磋商小组依据法律法规和磋商文件的规定，对供应商的基本资格条件、特定资格条件进行审查。</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（3）供应商未按照磋商文件要求提供与基本资格条件、特定资格条件相应的有效资格证明材料的，视为供应商不具备磋商文件中规定的资格要求，其磋商无效。并将无效原由告知相关供应商.</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人或采购代理机构将通过“信用中国”网站(www.creditchina.gov.cn)、中国政府采购网(www.ccgp.gov.cn)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（1）响应文件无法定代表人或其委托授权代表签名或盖章。</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（2）响应文件内容虚假的。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（3）响应文件有采购人不能接受的附加条件的。</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（4）磋商有效期、服务期等商务条款不能满足磋商文件要求的。</w:t>
      </w:r>
    </w:p>
    <w:p>
      <w:pPr>
        <w:widowControl/>
        <w:spacing w:line="360" w:lineRule="auto"/>
        <w:ind w:firstLine="48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（5）投标价格超出预算或最高限价，导致采购单位无法支付的。</w:t>
      </w:r>
    </w:p>
    <w:p>
      <w:pPr>
        <w:widowControl/>
        <w:spacing w:line="360" w:lineRule="auto"/>
        <w:ind w:firstLine="482"/>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（6）磋商文件明确规定的其他无效条款的。</w:t>
      </w:r>
    </w:p>
    <w:p>
      <w:pPr>
        <w:adjustRightInd w:val="0"/>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5"/>
        <w:tabs>
          <w:tab w:val="left" w:pos="0"/>
        </w:tabs>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1.4磋商小组要求供应商澄清、说明或者更正响应文件应当以书面形式发出。供应商的澄清、说明或者更正应当由法定代表人或其授权代表签字或者加盖公章。由授权代表签字的，应当附法定代表人授权书。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zh-CN"/>
        </w:rPr>
        <w:t>、磋商</w:t>
      </w:r>
    </w:p>
    <w:p>
      <w:pPr>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初审合格的供应商进入下一步的磋商活动。</w:t>
      </w:r>
    </w:p>
    <w:p>
      <w:pPr>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磋商小组所有成员应当集中与单一供应商分别进行磋商，并给予所有参加磋商的供应商平等的磋商机会。</w:t>
      </w:r>
    </w:p>
    <w:p>
      <w:pPr>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2.3 以递交响应文件的时间先后决定磋商顺序。磋商时先听取由供应商拟派的项目负责人就项目采购的重点内容进行磋商，磋商过程中由磋商小组成员提出相关问题，并由供应商拟派项目负责人进行回复与承诺。 </w:t>
      </w:r>
    </w:p>
    <w:p>
      <w:pPr>
        <w:snapToGrid w:val="0"/>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 磋商文件作出的实质性变动是磋商文件的有效组成部分，磋商小组应当及时以书面形式同时通知所有参加磋商的供应商。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 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符合《政府采购竞争性磋商采购方式管理暂行办法》（财库〔2014〕214号）第三条第四项即“市场竞争不充分的科研项目，以及需要扶持的科技成果转化项目”情形的，提交最后报价的供应商可以为2家。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2.8 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snapToGrid w:val="0"/>
        <w:spacing w:line="360" w:lineRule="auto"/>
        <w:ind w:firstLine="480"/>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3</w:t>
      </w:r>
      <w:r>
        <w:rPr>
          <w:rFonts w:hint="eastAsia" w:ascii="宋体" w:hAnsi="宋体" w:eastAsia="宋体" w:cs="宋体"/>
          <w:b/>
          <w:bCs/>
          <w:color w:val="auto"/>
          <w:sz w:val="24"/>
          <w:szCs w:val="24"/>
          <w:highlight w:val="none"/>
          <w:lang w:val="zh-CN"/>
        </w:rPr>
        <w:t>、最后报价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3.1商务技术汇总后，供应商开启报价文件，磋商小组应当要求所有实质性响应的供应商在规定时间内提交最后报价。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3.2最后报价是供应商响应文件的有效组成部分，若最后报价高于响应文件报价文件报价，则以第一次报价计入评分。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3.3已提交响应文件的供应商，在提交最后报价之前，若因磋商文件实质性变动导致供应商无法满足采购需求的，允许供应商退出磋商。</w:t>
      </w:r>
    </w:p>
    <w:p>
      <w:pPr>
        <w:pStyle w:val="3"/>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4、电子评标</w:t>
      </w:r>
    </w:p>
    <w:p>
      <w:pPr>
        <w:pStyle w:val="3"/>
        <w:spacing w:line="360" w:lineRule="auto"/>
        <w:ind w:firstLine="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4.1磋商活动由采购代理机构主持,磋商响应截止时间后,供应商登录政采云平台对电子响应文件进行在线解密；</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4.2响应文件解密结束,开启响应文件,磋商小组对资格和商务技术响应文件进行资格审查和符合性审查；</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4.3供应商按递交磋商响应文件的前后顺序决定磋商的顺序,就价格、服务等认为需要磋商的内容进行磋商,供应商逐家回答磋商小组的提问,供应商作出最终承诺；</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4.4磋商小组对商务技术响应文件进行评审；</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4.5商务技术汇总后，供应商开启报价文件，进行磋商二次报价（最终报价），</w:t>
      </w:r>
      <w:r>
        <w:rPr>
          <w:rFonts w:hint="eastAsia" w:ascii="宋体" w:hAnsi="宋体" w:eastAsia="宋体" w:cs="宋体"/>
          <w:b/>
          <w:bCs/>
          <w:color w:val="auto"/>
          <w:sz w:val="24"/>
          <w:szCs w:val="24"/>
          <w:highlight w:val="none"/>
        </w:rPr>
        <w:t>如果供应商在规定时间30分钟内未提交第二次报价，视该供应商放弃本次投标，作无效标处理</w:t>
      </w:r>
      <w:r>
        <w:rPr>
          <w:rFonts w:hint="eastAsia" w:ascii="宋体" w:hAnsi="宋体" w:eastAsia="宋体" w:cs="宋体"/>
          <w:color w:val="auto"/>
          <w:sz w:val="24"/>
          <w:szCs w:val="24"/>
          <w:highlight w:val="none"/>
        </w:rPr>
        <w:t>；</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4.6在系统上开启最终报价情况；</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4.7磋商小组对报价情况进行评审；</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4.8在系统上公开资格和商务技术评审结果；</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4.9在系统上公布评审结果。</w:t>
      </w:r>
    </w:p>
    <w:p>
      <w:pPr>
        <w:pStyle w:val="3"/>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4.10开标会结束。</w:t>
      </w:r>
    </w:p>
    <w:p>
      <w:pPr>
        <w:snapToGrid w:val="0"/>
        <w:spacing w:line="360" w:lineRule="auto"/>
        <w:ind w:firstLine="480" w:firstLineChars="20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特别说明:政采云如对电子化开标及评审程序有调整的,按调整后的程序操作。</w:t>
      </w:r>
    </w:p>
    <w:p>
      <w:pPr>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5.综合评分</w:t>
      </w:r>
    </w:p>
    <w:p>
      <w:pPr>
        <w:tabs>
          <w:tab w:val="left" w:pos="-1080"/>
          <w:tab w:val="left" w:pos="180"/>
          <w:tab w:val="left" w:pos="1080"/>
        </w:tabs>
        <w:snapToGrid w:val="0"/>
        <w:spacing w:line="360" w:lineRule="auto"/>
        <w:ind w:firstLine="480"/>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5.1本评标办法采用综合评标法，由商务技术分和报价分合计组成，其中商务技术分</w:t>
      </w:r>
      <w:r>
        <w:rPr>
          <w:rFonts w:hint="eastAsia" w:ascii="宋体" w:hAnsi="宋体" w:eastAsia="宋体" w:cs="宋体"/>
          <w:color w:val="auto"/>
          <w:sz w:val="24"/>
          <w:szCs w:val="24"/>
          <w:highlight w:val="none"/>
          <w:u w:val="single"/>
        </w:rPr>
        <w:t xml:space="preserve"> 80 </w:t>
      </w:r>
      <w:r>
        <w:rPr>
          <w:rFonts w:hint="eastAsia" w:ascii="宋体" w:hAnsi="宋体" w:eastAsia="宋体" w:cs="宋体"/>
          <w:color w:val="auto"/>
          <w:sz w:val="24"/>
          <w:szCs w:val="24"/>
          <w:highlight w:val="none"/>
        </w:rPr>
        <w:t>分、报价分</w:t>
      </w:r>
      <w:r>
        <w:rPr>
          <w:rFonts w:hint="eastAsia" w:ascii="宋体" w:hAnsi="宋体" w:eastAsia="宋体" w:cs="宋体"/>
          <w:color w:val="auto"/>
          <w:sz w:val="24"/>
          <w:szCs w:val="24"/>
          <w:highlight w:val="none"/>
          <w:u w:val="single"/>
        </w:rPr>
        <w:t xml:space="preserve"> 20 </w:t>
      </w:r>
      <w:r>
        <w:rPr>
          <w:rFonts w:hint="eastAsia" w:ascii="宋体" w:hAnsi="宋体" w:eastAsia="宋体" w:cs="宋体"/>
          <w:color w:val="auto"/>
          <w:sz w:val="24"/>
          <w:szCs w:val="24"/>
          <w:highlight w:val="none"/>
        </w:rPr>
        <w:t>分；满分为100分。</w:t>
      </w:r>
    </w:p>
    <w:p>
      <w:pPr>
        <w:spacing w:line="360" w:lineRule="auto"/>
        <w:ind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5.2经初步评审合格的响应文件，磋商小组根据竞争性磋商文件确定的评审标准和方法，对其商务技术部分作进一步评审、比较、打分。</w:t>
      </w:r>
    </w:p>
    <w:p>
      <w:pPr>
        <w:pStyle w:val="1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磋商小组成员首先分别对每个供应商商务技术部分进行评审打分，然后计算出算术平均值（保留2位小数），即为供应商的商务技术得分，后计算二次报价，计算公式：投标价格分=(最佳报价/投标报价)*价格权值*100。，综合得分=商务技术分+报价分，以综合得分（保留2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6"/>
        <w:spacing w:line="360" w:lineRule="auto"/>
        <w:ind w:left="420" w:left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6、修正原则</w:t>
      </w:r>
    </w:p>
    <w:p>
      <w:pPr>
        <w:pStyle w:val="55"/>
        <w:spacing w:before="0"/>
        <w:ind w:left="420" w:leftChars="200" w:firstLine="0" w:firstLineChars="0"/>
        <w:rPr>
          <w:rFonts w:hint="eastAsia" w:ascii="宋体" w:hAnsi="宋体" w:eastAsia="宋体" w:cs="宋体"/>
          <w:color w:val="auto"/>
          <w:highlight w:val="none"/>
          <w:lang w:val="zh-CN"/>
        </w:rPr>
      </w:pPr>
      <w:r>
        <w:rPr>
          <w:rFonts w:hint="eastAsia" w:ascii="宋体" w:hAnsi="宋体" w:eastAsia="宋体" w:cs="宋体"/>
          <w:color w:val="auto"/>
          <w:highlight w:val="none"/>
        </w:rPr>
        <w:t>响应</w:t>
      </w:r>
      <w:r>
        <w:rPr>
          <w:rFonts w:hint="eastAsia" w:ascii="宋体" w:hAnsi="宋体" w:eastAsia="宋体" w:cs="宋体"/>
          <w:color w:val="auto"/>
          <w:highlight w:val="none"/>
          <w:lang w:val="zh-CN"/>
        </w:rPr>
        <w:t>文件报价出现前后不一致的，按照下列规定修正：</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6.1响应</w:t>
      </w:r>
      <w:r>
        <w:rPr>
          <w:rFonts w:hint="eastAsia" w:ascii="宋体" w:hAnsi="宋体" w:eastAsia="宋体" w:cs="宋体"/>
          <w:color w:val="auto"/>
          <w:highlight w:val="none"/>
          <w:lang w:val="zh-CN"/>
        </w:rPr>
        <w:t>文件中</w:t>
      </w:r>
      <w:r>
        <w:rPr>
          <w:rFonts w:hint="eastAsia" w:ascii="宋体" w:hAnsi="宋体" w:eastAsia="宋体" w:cs="宋体"/>
          <w:color w:val="auto"/>
          <w:highlight w:val="none"/>
        </w:rPr>
        <w:t>报价</w:t>
      </w:r>
      <w:r>
        <w:rPr>
          <w:rFonts w:hint="eastAsia" w:ascii="宋体" w:hAnsi="宋体" w:eastAsia="宋体" w:cs="宋体"/>
          <w:color w:val="auto"/>
          <w:highlight w:val="none"/>
          <w:lang w:val="zh-CN"/>
        </w:rPr>
        <w:t>一览表内容与</w:t>
      </w:r>
      <w:r>
        <w:rPr>
          <w:rFonts w:hint="eastAsia" w:ascii="宋体" w:hAnsi="宋体" w:eastAsia="宋体" w:cs="宋体"/>
          <w:color w:val="auto"/>
          <w:highlight w:val="none"/>
        </w:rPr>
        <w:t>响应</w:t>
      </w:r>
      <w:r>
        <w:rPr>
          <w:rFonts w:hint="eastAsia" w:ascii="宋体" w:hAnsi="宋体" w:eastAsia="宋体" w:cs="宋体"/>
          <w:color w:val="auto"/>
          <w:highlight w:val="none"/>
          <w:lang w:val="zh-CN"/>
        </w:rPr>
        <w:t>文件中相应内容不一致的，以</w:t>
      </w:r>
      <w:r>
        <w:rPr>
          <w:rFonts w:hint="eastAsia" w:ascii="宋体" w:hAnsi="宋体" w:eastAsia="宋体" w:cs="宋体"/>
          <w:color w:val="auto"/>
          <w:highlight w:val="none"/>
        </w:rPr>
        <w:t>报价</w:t>
      </w:r>
      <w:r>
        <w:rPr>
          <w:rFonts w:hint="eastAsia" w:ascii="宋体" w:hAnsi="宋体" w:eastAsia="宋体" w:cs="宋体"/>
          <w:color w:val="auto"/>
          <w:highlight w:val="none"/>
          <w:lang w:val="zh-CN"/>
        </w:rPr>
        <w:t>一览表为准；</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6.2</w:t>
      </w:r>
      <w:r>
        <w:rPr>
          <w:rFonts w:hint="eastAsia" w:ascii="宋体" w:hAnsi="宋体" w:eastAsia="宋体" w:cs="宋体"/>
          <w:color w:val="auto"/>
          <w:highlight w:val="none"/>
          <w:lang w:val="zh-CN"/>
        </w:rPr>
        <w:t>大写金额和小写金额不一致的，以大写金额为准；</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6.3</w:t>
      </w:r>
      <w:r>
        <w:rPr>
          <w:rFonts w:hint="eastAsia" w:ascii="宋体" w:hAnsi="宋体" w:eastAsia="宋体" w:cs="宋体"/>
          <w:color w:val="auto"/>
          <w:highlight w:val="none"/>
          <w:lang w:val="zh-CN"/>
        </w:rPr>
        <w:t>单价金额小数点或者百分比有明显错位的，以</w:t>
      </w:r>
      <w:r>
        <w:rPr>
          <w:rFonts w:hint="eastAsia" w:ascii="宋体" w:hAnsi="宋体" w:eastAsia="宋体" w:cs="宋体"/>
          <w:color w:val="auto"/>
          <w:highlight w:val="none"/>
        </w:rPr>
        <w:t>报价</w:t>
      </w:r>
      <w:r>
        <w:rPr>
          <w:rFonts w:hint="eastAsia" w:ascii="宋体" w:hAnsi="宋体" w:eastAsia="宋体" w:cs="宋体"/>
          <w:color w:val="auto"/>
          <w:highlight w:val="none"/>
          <w:lang w:val="zh-CN"/>
        </w:rPr>
        <w:t>一览表的总价为准，并修改单价；</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6.4</w:t>
      </w:r>
      <w:r>
        <w:rPr>
          <w:rFonts w:hint="eastAsia" w:ascii="宋体" w:hAnsi="宋体" w:eastAsia="宋体" w:cs="宋体"/>
          <w:color w:val="auto"/>
          <w:highlight w:val="none"/>
          <w:lang w:val="zh-CN"/>
        </w:rPr>
        <w:t>总价金额与按单价汇总金额不一致的，以单价金额计算结果为准。</w:t>
      </w:r>
    </w:p>
    <w:p>
      <w:pPr>
        <w:pStyle w:val="55"/>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同时出现两种以上不一致的，按照前款规定的顺序修正。修正后的报价按照财政部公布第87号令 《政府采购产品和服务招标投标管理办法》第五十一条第二款的规定经</w:t>
      </w:r>
      <w:r>
        <w:rPr>
          <w:rFonts w:hint="eastAsia" w:ascii="宋体" w:hAnsi="宋体" w:eastAsia="宋体" w:cs="宋体"/>
          <w:color w:val="auto"/>
          <w:highlight w:val="none"/>
        </w:rPr>
        <w:t>供应商</w:t>
      </w:r>
      <w:r>
        <w:rPr>
          <w:rFonts w:hint="eastAsia" w:ascii="宋体" w:hAnsi="宋体" w:eastAsia="宋体" w:cs="宋体"/>
          <w:color w:val="auto"/>
          <w:highlight w:val="none"/>
          <w:lang w:val="zh-CN"/>
        </w:rPr>
        <w:t>确认后产生约束力，</w:t>
      </w:r>
      <w:r>
        <w:rPr>
          <w:rFonts w:hint="eastAsia" w:ascii="宋体" w:hAnsi="宋体" w:eastAsia="宋体" w:cs="宋体"/>
          <w:color w:val="auto"/>
          <w:highlight w:val="none"/>
        </w:rPr>
        <w:t>供应商</w:t>
      </w:r>
      <w:r>
        <w:rPr>
          <w:rFonts w:hint="eastAsia" w:ascii="宋体" w:hAnsi="宋体" w:eastAsia="宋体" w:cs="宋体"/>
          <w:color w:val="auto"/>
          <w:highlight w:val="none"/>
          <w:lang w:val="zh-CN"/>
        </w:rPr>
        <w:t>不确认的，其</w:t>
      </w:r>
      <w:r>
        <w:rPr>
          <w:rFonts w:hint="eastAsia" w:ascii="宋体" w:hAnsi="宋体" w:eastAsia="宋体" w:cs="宋体"/>
          <w:color w:val="auto"/>
          <w:highlight w:val="none"/>
        </w:rPr>
        <w:t>磋商</w:t>
      </w:r>
      <w:r>
        <w:rPr>
          <w:rFonts w:hint="eastAsia" w:ascii="宋体" w:hAnsi="宋体" w:eastAsia="宋体" w:cs="宋体"/>
          <w:color w:val="auto"/>
          <w:highlight w:val="none"/>
          <w:lang w:val="zh-CN"/>
        </w:rPr>
        <w:t>无效。</w:t>
      </w:r>
    </w:p>
    <w:p>
      <w:pPr>
        <w:pStyle w:val="16"/>
        <w:spacing w:line="360" w:lineRule="auto"/>
        <w:ind w:left="420" w:left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7、响应文件的澄清</w:t>
      </w:r>
    </w:p>
    <w:p>
      <w:pPr>
        <w:pStyle w:val="55"/>
        <w:tabs>
          <w:tab w:val="left" w:pos="0"/>
        </w:tabs>
        <w:spacing w:before="0"/>
        <w:ind w:firstLine="480"/>
        <w:rPr>
          <w:rFonts w:hint="eastAsia" w:ascii="宋体" w:hAnsi="宋体" w:eastAsia="宋体" w:cs="宋体"/>
          <w:color w:val="auto"/>
          <w:highlight w:val="none"/>
          <w:lang w:val="zh-CN"/>
        </w:rPr>
      </w:pPr>
      <w:r>
        <w:rPr>
          <w:rFonts w:hint="eastAsia" w:ascii="宋体" w:hAnsi="宋体" w:eastAsia="宋体" w:cs="宋体"/>
          <w:color w:val="auto"/>
          <w:highlight w:val="none"/>
        </w:rPr>
        <w:t>7.1</w:t>
      </w:r>
      <w:r>
        <w:rPr>
          <w:rFonts w:hint="eastAsia" w:ascii="宋体" w:hAnsi="宋体" w:eastAsia="宋体" w:cs="宋体"/>
          <w:color w:val="auto"/>
          <w:highlight w:val="none"/>
          <w:lang w:val="zh-CN"/>
        </w:rPr>
        <w:t>评审中因</w:t>
      </w:r>
      <w:r>
        <w:rPr>
          <w:rFonts w:hint="eastAsia" w:ascii="宋体" w:hAnsi="宋体" w:eastAsia="宋体" w:cs="宋体"/>
          <w:color w:val="auto"/>
          <w:highlight w:val="none"/>
        </w:rPr>
        <w:t>响应</w:t>
      </w:r>
      <w:r>
        <w:rPr>
          <w:rFonts w:hint="eastAsia" w:ascii="宋体" w:hAnsi="宋体" w:eastAsia="宋体" w:cs="宋体"/>
          <w:color w:val="auto"/>
          <w:highlight w:val="none"/>
          <w:lang w:val="zh-CN"/>
        </w:rPr>
        <w:t>文件含义不明、表述不一致或有明显计算错误等内容需要供应商作出澄清、说明或者补正的，</w:t>
      </w:r>
      <w:r>
        <w:rPr>
          <w:rFonts w:hint="eastAsia" w:ascii="宋体" w:hAnsi="宋体" w:eastAsia="宋体" w:cs="宋体"/>
          <w:color w:val="auto"/>
          <w:highlight w:val="none"/>
        </w:rPr>
        <w:t>磋商小组</w:t>
      </w:r>
      <w:r>
        <w:rPr>
          <w:rFonts w:hint="eastAsia" w:ascii="宋体" w:hAnsi="宋体" w:eastAsia="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供应商通过政采云平台交换的数据电文必须进行电子签章。</w:t>
      </w:r>
    </w:p>
    <w:p>
      <w:pPr>
        <w:pStyle w:val="2"/>
        <w:numPr>
          <w:ilvl w:val="0"/>
          <w:numId w:val="16"/>
        </w:num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81" w:name="_Toc20874"/>
      <w:bookmarkStart w:id="82" w:name="_Toc12816"/>
      <w:r>
        <w:rPr>
          <w:rFonts w:hint="eastAsia" w:ascii="宋体" w:hAnsi="宋体" w:eastAsia="宋体" w:cs="宋体"/>
          <w:color w:val="auto"/>
          <w:highlight w:val="none"/>
        </w:rPr>
        <w:t>注意事项</w:t>
      </w:r>
      <w:bookmarkEnd w:id="81"/>
      <w:bookmarkEnd w:id="82"/>
    </w:p>
    <w:p>
      <w:pPr>
        <w:pStyle w:val="3"/>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2"/>
        <w:numPr>
          <w:ilvl w:val="0"/>
          <w:numId w:val="17"/>
        </w:numPr>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w:t>
      </w:r>
      <w:bookmarkStart w:id="83" w:name="_Toc13782"/>
      <w:bookmarkStart w:id="84" w:name="_Toc21029"/>
      <w:r>
        <w:rPr>
          <w:rFonts w:hint="eastAsia" w:ascii="宋体" w:hAnsi="宋体" w:eastAsia="宋体" w:cs="宋体"/>
          <w:color w:val="auto"/>
          <w:highlight w:val="none"/>
        </w:rPr>
        <w:t>评分细则</w:t>
      </w:r>
      <w:bookmarkEnd w:id="83"/>
      <w:bookmarkEnd w:id="84"/>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一、报价文件评分标准（</w:t>
      </w:r>
      <w:r>
        <w:rPr>
          <w:rFonts w:hint="eastAsia" w:ascii="宋体" w:hAnsi="宋体" w:eastAsia="宋体" w:cs="宋体"/>
          <w:b/>
          <w:bCs/>
          <w:color w:val="auto"/>
          <w:sz w:val="24"/>
          <w:szCs w:val="24"/>
          <w:highlight w:val="none"/>
          <w:u w:val="single"/>
        </w:rPr>
        <w:t xml:space="preserve">20 </w:t>
      </w:r>
      <w:r>
        <w:rPr>
          <w:rFonts w:hint="eastAsia" w:ascii="宋体" w:hAnsi="宋体" w:eastAsia="宋体" w:cs="宋体"/>
          <w:b/>
          <w:bCs/>
          <w:color w:val="auto"/>
          <w:sz w:val="24"/>
          <w:szCs w:val="24"/>
          <w:highlight w:val="none"/>
        </w:rPr>
        <w:t>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1、本次采购最高限价规定如下：</w:t>
      </w:r>
    </w:p>
    <w:p>
      <w:pPr>
        <w:spacing w:line="360" w:lineRule="auto"/>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sz w:val="24"/>
          <w:szCs w:val="24"/>
          <w:highlight w:val="none"/>
        </w:rPr>
        <w:t>本项目投标报价的最高限价</w:t>
      </w:r>
      <w:r>
        <w:rPr>
          <w:rFonts w:hint="eastAsia" w:ascii="宋体" w:hAnsi="宋体" w:eastAsia="宋体" w:cs="宋体"/>
          <w:b/>
          <w:bCs/>
          <w:color w:val="auto"/>
          <w:sz w:val="24"/>
          <w:szCs w:val="24"/>
          <w:highlight w:val="none"/>
        </w:rPr>
        <w:t>为人民币</w:t>
      </w:r>
      <w:r>
        <w:rPr>
          <w:rFonts w:hint="eastAsia" w:ascii="宋体" w:hAnsi="宋体" w:eastAsia="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贰佰玖拾柒万</w:t>
      </w:r>
      <w:r>
        <w:rPr>
          <w:rFonts w:hint="eastAsia" w:ascii="宋体" w:hAnsi="宋体" w:eastAsia="宋体" w:cs="宋体"/>
          <w:b/>
          <w:bCs/>
          <w:color w:val="auto"/>
          <w:sz w:val="24"/>
          <w:szCs w:val="24"/>
          <w:highlight w:val="none"/>
          <w:u w:val="single"/>
        </w:rPr>
        <w:t xml:space="preserve">元整 </w:t>
      </w:r>
      <w:r>
        <w:rPr>
          <w:rFonts w:hint="eastAsia" w:ascii="宋体" w:hAnsi="宋体" w:eastAsia="宋体" w:cs="宋体"/>
          <w:b/>
          <w:bCs/>
          <w:color w:val="auto"/>
          <w:sz w:val="24"/>
          <w:szCs w:val="24"/>
          <w:highlight w:val="none"/>
        </w:rPr>
        <w:t>（小写</w:t>
      </w:r>
      <w:r>
        <w:rPr>
          <w:rFonts w:hint="eastAsia" w:ascii="宋体" w:hAnsi="宋体" w:cs="宋体"/>
          <w:b/>
          <w:bCs/>
          <w:color w:val="auto"/>
          <w:sz w:val="24"/>
          <w:szCs w:val="24"/>
          <w:highlight w:val="none"/>
          <w:u w:val="single"/>
          <w:lang w:val="en-US" w:eastAsia="zh-CN"/>
        </w:rPr>
        <w:t>2970000</w:t>
      </w:r>
      <w:r>
        <w:rPr>
          <w:rFonts w:hint="eastAsia" w:ascii="宋体" w:hAnsi="宋体" w:eastAsia="宋体" w:cs="宋体"/>
          <w:b/>
          <w:bCs/>
          <w:color w:val="auto"/>
          <w:sz w:val="24"/>
          <w:szCs w:val="24"/>
          <w:highlight w:val="none"/>
          <w:u w:val="single"/>
        </w:rPr>
        <w:t xml:space="preserve">.00 </w:t>
      </w:r>
      <w:r>
        <w:rPr>
          <w:rFonts w:hint="eastAsia" w:ascii="宋体" w:hAnsi="宋体" w:eastAsia="宋体" w:cs="宋体"/>
          <w:b/>
          <w:bCs/>
          <w:color w:val="auto"/>
          <w:sz w:val="24"/>
          <w:szCs w:val="24"/>
          <w:highlight w:val="none"/>
        </w:rPr>
        <w:t>元）。</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2、供应商的报价在最高限价内的，为有效报价。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3、本次评标设有最佳报价。</w:t>
      </w:r>
      <w:r>
        <w:rPr>
          <w:rFonts w:hint="eastAsia" w:ascii="宋体" w:hAnsi="宋体" w:eastAsia="宋体" w:cs="宋体"/>
          <w:color w:val="auto"/>
          <w:highlight w:val="none"/>
        </w:rPr>
        <w:t>最</w:t>
      </w:r>
      <w:r>
        <w:rPr>
          <w:rFonts w:hint="eastAsia" w:ascii="宋体" w:hAnsi="宋体" w:eastAsia="宋体" w:cs="宋体"/>
          <w:color w:val="auto"/>
          <w:sz w:val="24"/>
          <w:szCs w:val="24"/>
          <w:highlight w:val="none"/>
        </w:rPr>
        <w:t>佳报价确定方式：根据所有入围供应商有效报价中的最低报价作为最佳报价。</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4、最佳报价者的报价分为满分，其他供应商的有效报价与最佳报价相比，按下列方法计算其报价分：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投标价格分=(最佳报价/投标报价)*价格权值*100。</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6、响应文件只允许有一个报价，磋商报价应按磋商文件中相关附表格式填报，该磋商报价应与明细报价汇总相等，且不允许出现报价优惠、赠送等字样（明细出现“0”元，视同赠送）,如出现则做</w:t>
      </w:r>
      <w:r>
        <w:rPr>
          <w:rFonts w:hint="eastAsia" w:ascii="宋体" w:hAnsi="宋体" w:eastAsia="宋体" w:cs="宋体"/>
          <w:b/>
          <w:bCs/>
          <w:color w:val="auto"/>
          <w:sz w:val="24"/>
          <w:szCs w:val="24"/>
          <w:highlight w:val="none"/>
        </w:rPr>
        <w:t>无效响应</w:t>
      </w:r>
      <w:r>
        <w:rPr>
          <w:rFonts w:hint="eastAsia" w:ascii="宋体" w:hAnsi="宋体" w:eastAsia="宋体" w:cs="宋体"/>
          <w:color w:val="auto"/>
          <w:sz w:val="24"/>
          <w:szCs w:val="24"/>
          <w:highlight w:val="none"/>
        </w:rPr>
        <w:t>处理。</w:t>
      </w:r>
    </w:p>
    <w:p>
      <w:pPr>
        <w:autoSpaceDE w:val="0"/>
        <w:autoSpaceDN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eastAsia="宋体" w:cs="宋体"/>
          <w:b/>
          <w:bCs/>
          <w:color w:val="auto"/>
          <w:sz w:val="24"/>
          <w:szCs w:val="24"/>
          <w:highlight w:val="none"/>
        </w:rPr>
        <w:t>投标价格的合理性</w:t>
      </w:r>
      <w:r>
        <w:rPr>
          <w:rFonts w:hint="eastAsia" w:ascii="宋体" w:hAnsi="宋体" w:eastAsia="宋体"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价格扣除：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根据</w:t>
      </w:r>
      <w:r>
        <w:rPr>
          <w:rFonts w:hint="eastAsia" w:ascii="宋体" w:hAnsi="宋体" w:eastAsia="宋体" w:cs="宋体"/>
          <w:color w:val="auto"/>
          <w:sz w:val="24"/>
          <w:szCs w:val="21"/>
          <w:highlight w:val="none"/>
          <w:lang w:val="en-US" w:eastAsia="zh-CN"/>
        </w:rPr>
        <w:t>财政部</w:t>
      </w:r>
      <w:r>
        <w:rPr>
          <w:rFonts w:hint="eastAsia" w:ascii="宋体" w:hAnsi="宋体" w:eastAsia="宋体" w:cs="宋体"/>
          <w:color w:val="auto"/>
          <w:sz w:val="24"/>
          <w:szCs w:val="21"/>
          <w:highlight w:val="none"/>
        </w:rPr>
        <w:t>的《关于进一步加大政府采购支持中小企业力度的通知》（</w:t>
      </w:r>
      <w:r>
        <w:rPr>
          <w:rFonts w:hint="eastAsia" w:ascii="宋体" w:hAnsi="宋体" w:eastAsia="宋体" w:cs="宋体"/>
          <w:color w:val="auto"/>
          <w:sz w:val="24"/>
          <w:szCs w:val="21"/>
          <w:highlight w:val="none"/>
          <w:lang w:val="en-US" w:eastAsia="zh-CN"/>
        </w:rPr>
        <w:t>财库</w:t>
      </w:r>
      <w:r>
        <w:rPr>
          <w:rFonts w:hint="eastAsia" w:ascii="宋体" w:hAnsi="宋体" w:eastAsia="宋体" w:cs="宋体"/>
          <w:color w:val="auto"/>
          <w:sz w:val="24"/>
          <w:szCs w:val="21"/>
          <w:highlight w:val="none"/>
        </w:rPr>
        <w:t>〔2022〕</w:t>
      </w:r>
      <w:r>
        <w:rPr>
          <w:rFonts w:hint="eastAsia" w:ascii="宋体" w:hAnsi="宋体" w:eastAsia="宋体" w:cs="宋体"/>
          <w:color w:val="auto"/>
          <w:sz w:val="24"/>
          <w:szCs w:val="21"/>
          <w:highlight w:val="none"/>
          <w:lang w:val="en-US" w:eastAsia="zh-CN"/>
        </w:rPr>
        <w:t>19</w:t>
      </w:r>
      <w:r>
        <w:rPr>
          <w:rFonts w:hint="eastAsia" w:ascii="宋体" w:hAnsi="宋体" w:eastAsia="宋体" w:cs="宋体"/>
          <w:color w:val="auto"/>
          <w:sz w:val="24"/>
          <w:szCs w:val="21"/>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eastAsia="宋体" w:cs="宋体"/>
          <w:color w:val="auto"/>
          <w:sz w:val="24"/>
          <w:szCs w:val="21"/>
          <w:highlight w:val="none"/>
          <w:lang w:val="en-US" w:eastAsia="zh-CN"/>
        </w:rPr>
        <w:t>10%</w:t>
      </w:r>
      <w:r>
        <w:rPr>
          <w:rFonts w:hint="eastAsia" w:ascii="宋体" w:hAnsi="宋体" w:eastAsia="宋体" w:cs="宋体"/>
          <w:color w:val="auto"/>
          <w:sz w:val="24"/>
          <w:szCs w:val="21"/>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eastAsia="宋体" w:cs="宋体"/>
          <w:color w:val="auto"/>
          <w:sz w:val="24"/>
          <w:szCs w:val="21"/>
          <w:highlight w:val="none"/>
          <w:lang w:val="en-US" w:eastAsia="zh-CN"/>
        </w:rPr>
        <w:t>4%</w:t>
      </w:r>
      <w:r>
        <w:rPr>
          <w:rFonts w:hint="eastAsia" w:ascii="宋体" w:hAnsi="宋体" w:eastAsia="宋体" w:cs="宋体"/>
          <w:color w:val="auto"/>
          <w:sz w:val="24"/>
          <w:szCs w:val="21"/>
          <w:highlight w:val="none"/>
        </w:rPr>
        <w:t>给予扣除，用扣除后的价格参加评审。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1"/>
          <w:highlight w:val="none"/>
        </w:rPr>
        <w:t>组成联合体或者接受分包的小微企业与联合体内其他企业、分包企业之间存在直接控股、管理关系的，不享受价格扣除优惠政策。联合体各方均为小型、微型企业的，联合体视同为小型、微型企业</w:t>
      </w:r>
      <w:r>
        <w:rPr>
          <w:rFonts w:hint="eastAsia" w:ascii="宋体" w:hAnsi="宋体" w:eastAsia="宋体" w:cs="宋体"/>
          <w:color w:val="auto"/>
          <w:sz w:val="24"/>
          <w:szCs w:val="24"/>
          <w:highlight w:val="none"/>
        </w:rPr>
        <w:t>。</w:t>
      </w:r>
    </w:p>
    <w:p>
      <w:pPr>
        <w:numPr>
          <w:ilvl w:val="0"/>
          <w:numId w:val="18"/>
        </w:numPr>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商务技术文件评标内容及标准（</w:t>
      </w:r>
      <w:r>
        <w:rPr>
          <w:rFonts w:hint="eastAsia" w:ascii="宋体" w:hAnsi="宋体" w:eastAsia="宋体" w:cs="宋体"/>
          <w:b/>
          <w:bCs/>
          <w:color w:val="auto"/>
          <w:sz w:val="24"/>
          <w:szCs w:val="24"/>
          <w:highlight w:val="none"/>
          <w:u w:val="single"/>
        </w:rPr>
        <w:t xml:space="preserve"> 80 </w:t>
      </w:r>
      <w:r>
        <w:rPr>
          <w:rFonts w:hint="eastAsia" w:ascii="宋体" w:hAnsi="宋体" w:eastAsia="宋体" w:cs="宋体"/>
          <w:b/>
          <w:bCs/>
          <w:color w:val="auto"/>
          <w:sz w:val="24"/>
          <w:szCs w:val="24"/>
          <w:highlight w:val="none"/>
        </w:rPr>
        <w:t>分）</w:t>
      </w:r>
    </w:p>
    <w:p>
      <w:pPr>
        <w:numPr>
          <w:ilvl w:val="0"/>
          <w:numId w:val="0"/>
        </w:numPr>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1、评分细则</w:t>
      </w:r>
    </w:p>
    <w:tbl>
      <w:tblPr>
        <w:tblStyle w:val="25"/>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402"/>
        <w:gridCol w:w="818"/>
        <w:gridCol w:w="6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315" w:type="dxa"/>
            <w:gridSpan w:val="2"/>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评分项目</w:t>
            </w:r>
          </w:p>
        </w:tc>
        <w:tc>
          <w:tcPr>
            <w:tcW w:w="818" w:type="dxa"/>
            <w:tcBorders>
              <w:top w:val="single" w:color="auto" w:sz="4" w:space="0"/>
              <w:left w:val="single" w:color="auto" w:sz="4" w:space="0"/>
              <w:bottom w:val="single" w:color="auto" w:sz="4" w:space="0"/>
              <w:right w:val="single" w:color="auto" w:sz="4" w:space="0"/>
            </w:tcBorders>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分值</w:t>
            </w:r>
          </w:p>
        </w:tc>
        <w:tc>
          <w:tcPr>
            <w:tcW w:w="6756" w:type="dxa"/>
            <w:tcBorders>
              <w:top w:val="single" w:color="auto" w:sz="4" w:space="0"/>
              <w:left w:val="single" w:color="auto" w:sz="4" w:space="0"/>
              <w:bottom w:val="single" w:color="auto" w:sz="4" w:space="0"/>
              <w:right w:val="single" w:color="auto" w:sz="4" w:space="0"/>
            </w:tcBorders>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ascii="宋体" w:hAnsi="宋体" w:cs="宋体"/>
                <w:color w:val="auto"/>
                <w:sz w:val="24"/>
                <w:szCs w:val="24"/>
              </w:rPr>
            </w:pPr>
            <w:r>
              <w:rPr>
                <w:rFonts w:hint="eastAsia" w:ascii="宋体" w:hAnsi="宋体" w:cs="宋体"/>
                <w:color w:val="auto"/>
                <w:sz w:val="24"/>
                <w:szCs w:val="24"/>
              </w:rPr>
              <w:t>项目分析</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eastAsia="zh-CN"/>
              </w:rPr>
            </w:pPr>
            <w:r>
              <w:rPr>
                <w:rFonts w:hint="eastAsia" w:ascii="宋体" w:hAnsi="宋体" w:cs="宋体"/>
                <w:color w:val="auto"/>
                <w:kern w:val="2"/>
                <w:sz w:val="24"/>
                <w:szCs w:val="21"/>
                <w:lang w:val="en-US" w:eastAsia="zh-CN"/>
              </w:rPr>
              <w:t>5</w:t>
            </w:r>
          </w:p>
        </w:tc>
        <w:tc>
          <w:tcPr>
            <w:tcW w:w="6756"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color w:val="auto"/>
                <w:kern w:val="2"/>
                <w:sz w:val="24"/>
                <w:szCs w:val="21"/>
              </w:rPr>
            </w:pPr>
            <w:r>
              <w:rPr>
                <w:rFonts w:hint="eastAsia" w:ascii="宋体" w:hAnsi="宋体" w:cs="宋体"/>
                <w:color w:val="auto"/>
                <w:kern w:val="2"/>
                <w:sz w:val="24"/>
                <w:szCs w:val="21"/>
              </w:rPr>
              <w:t>根据供应商针对本项目背景、现状的解读进行打分。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restart"/>
            <w:tcBorders>
              <w:left w:val="single" w:color="auto" w:sz="4" w:space="0"/>
              <w:right w:val="single" w:color="auto" w:sz="4" w:space="0"/>
            </w:tcBorders>
            <w:vAlign w:val="center"/>
          </w:tcPr>
          <w:p>
            <w:pPr>
              <w:spacing w:line="360" w:lineRule="auto"/>
              <w:jc w:val="center"/>
              <w:rPr>
                <w:rFonts w:hint="default"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技术（76）</w:t>
            </w:r>
          </w:p>
        </w:tc>
        <w:tc>
          <w:tcPr>
            <w:tcW w:w="1402" w:type="dxa"/>
            <w:vMerge w:val="restart"/>
            <w:tcBorders>
              <w:left w:val="single" w:color="auto" w:sz="4" w:space="0"/>
              <w:right w:val="single" w:color="auto" w:sz="4" w:space="0"/>
            </w:tcBorders>
            <w:vAlign w:val="center"/>
          </w:tcPr>
          <w:p>
            <w:pPr>
              <w:widowControl/>
              <w:spacing w:line="400" w:lineRule="exact"/>
              <w:jc w:val="center"/>
              <w:rPr>
                <w:rFonts w:ascii="宋体" w:hAnsi="宋体" w:cs="宋体"/>
                <w:color w:val="auto"/>
                <w:sz w:val="24"/>
                <w:szCs w:val="24"/>
              </w:rPr>
            </w:pPr>
            <w:r>
              <w:rPr>
                <w:rFonts w:hint="eastAsia" w:ascii="宋体" w:hAnsi="宋体" w:cs="宋体"/>
                <w:color w:val="auto"/>
                <w:sz w:val="24"/>
                <w:szCs w:val="24"/>
              </w:rPr>
              <w:t>重难点分析</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color w:val="auto"/>
                <w:kern w:val="2"/>
                <w:sz w:val="24"/>
                <w:szCs w:val="21"/>
              </w:rPr>
            </w:pPr>
            <w:r>
              <w:rPr>
                <w:rFonts w:hint="eastAsia" w:ascii="宋体" w:hAnsi="宋体" w:cs="宋体"/>
                <w:color w:val="auto"/>
                <w:kern w:val="2"/>
                <w:sz w:val="24"/>
                <w:szCs w:val="21"/>
              </w:rPr>
              <w:t>根据供应商针对本项目实际情况提出的重点、难点分析进行打分。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color w:val="auto"/>
                <w:kern w:val="2"/>
                <w:sz w:val="24"/>
                <w:szCs w:val="21"/>
              </w:rPr>
            </w:pP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color w:val="auto"/>
                <w:kern w:val="2"/>
                <w:sz w:val="24"/>
                <w:szCs w:val="21"/>
              </w:rPr>
            </w:pPr>
            <w:r>
              <w:rPr>
                <w:rFonts w:hint="eastAsia" w:ascii="宋体" w:hAnsi="宋体" w:cs="宋体"/>
                <w:color w:val="auto"/>
                <w:kern w:val="2"/>
                <w:sz w:val="24"/>
                <w:szCs w:val="21"/>
              </w:rPr>
              <w:t>根据供应商针对以上重难点分析提供的合理解决方案进行打分。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ascii="宋体" w:hAnsi="宋体" w:cs="宋体"/>
                <w:color w:val="auto"/>
                <w:sz w:val="24"/>
                <w:szCs w:val="24"/>
              </w:rPr>
            </w:pPr>
            <w:r>
              <w:rPr>
                <w:rFonts w:hint="eastAsia" w:ascii="宋体" w:hAnsi="宋体" w:cs="宋体"/>
                <w:color w:val="auto"/>
                <w:kern w:val="2"/>
                <w:sz w:val="24"/>
                <w:szCs w:val="21"/>
              </w:rPr>
              <w:t>内部管理方案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color w:val="auto"/>
                <w:kern w:val="2"/>
                <w:sz w:val="24"/>
                <w:szCs w:val="21"/>
              </w:rPr>
            </w:pPr>
            <w:r>
              <w:rPr>
                <w:rFonts w:hint="eastAsia" w:ascii="宋体" w:hAnsi="宋体" w:eastAsia="宋体" w:cs="宋体"/>
                <w:color w:val="auto"/>
                <w:sz w:val="24"/>
                <w:szCs w:val="24"/>
              </w:rPr>
              <w:t>根据供应商企业质量管理制度建设情况、对农村电影的从事的经历所制定的管理方案，</w:t>
            </w:r>
            <w:r>
              <w:rPr>
                <w:rFonts w:hint="eastAsia" w:ascii="宋体" w:hAnsi="宋体" w:eastAsia="宋体" w:cs="宋体"/>
                <w:color w:val="auto"/>
                <w:sz w:val="24"/>
                <w:szCs w:val="24"/>
                <w:lang w:val="en-US" w:eastAsia="zh-CN"/>
              </w:rPr>
              <w:t>由评委综合</w:t>
            </w:r>
            <w:r>
              <w:rPr>
                <w:rFonts w:hint="eastAsia" w:ascii="宋体" w:hAnsi="宋体" w:eastAsia="宋体" w:cs="宋体"/>
                <w:color w:val="auto"/>
                <w:sz w:val="24"/>
                <w:szCs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ascii="宋体" w:hAnsi="宋体" w:cs="宋体"/>
                <w:color w:val="auto"/>
                <w:kern w:val="2"/>
                <w:sz w:val="24"/>
                <w:szCs w:val="21"/>
              </w:rPr>
            </w:pPr>
            <w:r>
              <w:rPr>
                <w:rFonts w:hint="eastAsia" w:ascii="宋体" w:hAnsi="宋体" w:cs="宋体"/>
                <w:color w:val="auto"/>
                <w:kern w:val="2"/>
                <w:sz w:val="24"/>
                <w:szCs w:val="21"/>
              </w:rPr>
              <w:t>人员投入方案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tabs>
                <w:tab w:val="left" w:pos="1080"/>
              </w:tabs>
              <w:spacing w:line="312" w:lineRule="auto"/>
              <w:ind w:firstLine="480" w:firstLineChars="200"/>
              <w:rPr>
                <w:rFonts w:ascii="宋体" w:hAnsi="宋体" w:cs="宋体"/>
                <w:color w:val="auto"/>
                <w:kern w:val="2"/>
                <w:sz w:val="24"/>
                <w:szCs w:val="21"/>
              </w:rPr>
            </w:pPr>
            <w:r>
              <w:rPr>
                <w:rFonts w:hint="eastAsia" w:ascii="宋体" w:hAnsi="宋体" w:eastAsia="宋体" w:cs="宋体"/>
                <w:color w:val="auto"/>
                <w:sz w:val="24"/>
                <w:szCs w:val="24"/>
              </w:rPr>
              <w:t>拟投入本项目的人员的数量、专业性、工作能力</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上岗证等</w:t>
            </w:r>
            <w:r>
              <w:rPr>
                <w:rFonts w:hint="eastAsia" w:ascii="宋体" w:hAnsi="宋体" w:cs="宋体"/>
                <w:color w:val="auto"/>
                <w:sz w:val="24"/>
                <w:szCs w:val="24"/>
                <w:lang w:eastAsia="zh-CN"/>
              </w:rPr>
              <w:t>）</w:t>
            </w:r>
            <w:r>
              <w:rPr>
                <w:rFonts w:hint="eastAsia" w:ascii="宋体" w:hAnsi="宋体" w:eastAsia="宋体" w:cs="宋体"/>
                <w:color w:val="auto"/>
                <w:sz w:val="24"/>
                <w:szCs w:val="24"/>
              </w:rPr>
              <w:t>、工作经验，</w:t>
            </w:r>
            <w:r>
              <w:rPr>
                <w:rFonts w:hint="eastAsia" w:ascii="宋体" w:hAnsi="宋体" w:eastAsia="宋体" w:cs="宋体"/>
                <w:color w:val="auto"/>
                <w:sz w:val="24"/>
                <w:szCs w:val="24"/>
                <w:lang w:val="en-US" w:eastAsia="zh-CN"/>
              </w:rPr>
              <w:t>由评委</w:t>
            </w:r>
            <w:r>
              <w:rPr>
                <w:rFonts w:hint="eastAsia" w:ascii="宋体" w:hAnsi="宋体" w:eastAsia="宋体" w:cs="宋体"/>
                <w:color w:val="auto"/>
                <w:sz w:val="24"/>
                <w:szCs w:val="24"/>
                <w:lang w:val="en-US" w:eastAsia="zh-CN"/>
              </w:rPr>
              <w:t>综合</w:t>
            </w:r>
            <w:r>
              <w:rPr>
                <w:rFonts w:hint="eastAsia" w:ascii="宋体" w:hAnsi="宋体" w:eastAsia="宋体" w:cs="宋体"/>
                <w:color w:val="auto"/>
                <w:sz w:val="24"/>
                <w:szCs w:val="24"/>
              </w:rPr>
              <w:t>打分</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hint="default"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投入设备</w:t>
            </w:r>
            <w:r>
              <w:rPr>
                <w:rFonts w:hint="eastAsia" w:ascii="宋体" w:hAnsi="宋体" w:cs="宋体"/>
                <w:color w:val="auto"/>
                <w:kern w:val="2"/>
                <w:sz w:val="24"/>
                <w:szCs w:val="21"/>
              </w:rPr>
              <w:t>方案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5</w:t>
            </w:r>
          </w:p>
        </w:tc>
        <w:tc>
          <w:tcPr>
            <w:tcW w:w="6756" w:type="dxa"/>
            <w:tcBorders>
              <w:top w:val="single" w:color="auto" w:sz="4" w:space="0"/>
              <w:left w:val="single" w:color="auto" w:sz="4" w:space="0"/>
              <w:right w:val="single" w:color="auto" w:sz="4" w:space="0"/>
            </w:tcBorders>
            <w:vAlign w:val="center"/>
          </w:tcPr>
          <w:p>
            <w:pPr>
              <w:keepNext/>
              <w:keepLines/>
              <w:spacing w:line="360" w:lineRule="auto"/>
              <w:ind w:firstLine="480" w:firstLineChars="200"/>
              <w:outlineLvl w:val="5"/>
              <w:rPr>
                <w:rFonts w:hint="eastAsia" w:ascii="Cambria" w:hAnsi="Cambria" w:cs="黑体"/>
                <w:bCs/>
                <w:color w:val="auto"/>
                <w:kern w:val="2"/>
                <w:sz w:val="24"/>
                <w:szCs w:val="24"/>
              </w:rPr>
            </w:pPr>
            <w:r>
              <w:rPr>
                <w:rFonts w:hint="eastAsia" w:ascii="宋体" w:hAnsi="宋体" w:eastAsia="宋体" w:cs="宋体"/>
                <w:color w:val="auto"/>
                <w:sz w:val="24"/>
                <w:szCs w:val="24"/>
              </w:rPr>
              <w:t>投标供应商须针对本项目自备放映设备，且流动播放器与浙江新农村数字电影院线有限公司的农村电影 GPS 监控中心完成对接工作,</w:t>
            </w:r>
            <w:r>
              <w:rPr>
                <w:rFonts w:hint="eastAsia" w:ascii="宋体" w:hAnsi="宋体" w:cs="宋体"/>
                <w:color w:val="auto"/>
                <w:sz w:val="24"/>
                <w:szCs w:val="24"/>
                <w:lang w:val="en-US" w:eastAsia="zh-CN"/>
              </w:rPr>
              <w:t>根据设备情况</w:t>
            </w:r>
            <w:r>
              <w:rPr>
                <w:rFonts w:hint="eastAsia" w:ascii="宋体" w:hAnsi="宋体" w:eastAsia="宋体" w:cs="宋体"/>
                <w:color w:val="auto"/>
                <w:sz w:val="24"/>
                <w:szCs w:val="24"/>
                <w:lang w:val="en-US" w:eastAsia="zh-CN"/>
              </w:rPr>
              <w:t>由评委</w:t>
            </w:r>
            <w:r>
              <w:rPr>
                <w:rFonts w:hint="eastAsia" w:ascii="宋体" w:hAnsi="宋体" w:eastAsia="宋体" w:cs="宋体"/>
                <w:color w:val="auto"/>
                <w:sz w:val="24"/>
                <w:szCs w:val="24"/>
                <w:lang w:val="en-US" w:eastAsia="zh-CN"/>
              </w:rPr>
              <w:t>综合</w:t>
            </w:r>
            <w:r>
              <w:rPr>
                <w:rFonts w:hint="eastAsia" w:ascii="宋体" w:hAnsi="宋体" w:eastAsia="宋体" w:cs="宋体"/>
                <w:color w:val="auto"/>
                <w:sz w:val="24"/>
                <w:szCs w:val="24"/>
              </w:rPr>
              <w:t>打分（须提供各台服务器及解码卡的编号，并提供由浙江新农村数字电影院线有限公司出具相关证明复印件）, 放映设备</w:t>
            </w:r>
            <w:r>
              <w:rPr>
                <w:rFonts w:hint="eastAsia" w:ascii="宋体" w:hAnsi="宋体" w:cs="宋体"/>
                <w:color w:val="auto"/>
                <w:sz w:val="24"/>
                <w:szCs w:val="24"/>
                <w:lang w:val="en-US" w:eastAsia="zh-CN"/>
              </w:rPr>
              <w:t>低于10台</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hint="eastAsia" w:ascii="宋体" w:hAnsi="宋体" w:eastAsia="宋体" w:cs="宋体"/>
                <w:color w:val="auto"/>
                <w:kern w:val="2"/>
                <w:sz w:val="24"/>
                <w:szCs w:val="21"/>
                <w:lang w:val="en-US" w:eastAsia="zh-CN" w:bidi="ar-SA"/>
              </w:rPr>
            </w:pPr>
            <w:r>
              <w:rPr>
                <w:rFonts w:hint="eastAsia" w:ascii="宋体" w:hAnsi="宋体" w:eastAsia="宋体" w:cs="宋体"/>
                <w:color w:val="auto"/>
                <w:sz w:val="24"/>
                <w:szCs w:val="24"/>
              </w:rPr>
              <w:t>放映方案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eastAsia="宋体" w:cs="宋体"/>
                <w:color w:val="auto"/>
                <w:kern w:val="2"/>
                <w:sz w:val="24"/>
                <w:szCs w:val="21"/>
                <w:lang w:val="en-US" w:eastAsia="zh-CN" w:bidi="ar-SA"/>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rPr>
                <w:rFonts w:ascii="宋体" w:hAnsi="宋体" w:eastAsia="宋体" w:cs="宋体"/>
                <w:color w:val="auto"/>
                <w:kern w:val="2"/>
                <w:sz w:val="24"/>
                <w:szCs w:val="21"/>
                <w:lang w:val="en-US" w:eastAsia="zh-CN" w:bidi="ar-SA"/>
              </w:rPr>
            </w:pPr>
            <w:r>
              <w:rPr>
                <w:rFonts w:hint="eastAsia" w:ascii="宋体" w:hAnsi="宋体" w:eastAsia="宋体" w:cs="宋体"/>
                <w:color w:val="auto"/>
                <w:sz w:val="24"/>
                <w:szCs w:val="24"/>
              </w:rPr>
              <w:t>根据供应商针对本项目提出的放映方案的详细程度、可行性、科学性等情况</w:t>
            </w:r>
            <w:r>
              <w:rPr>
                <w:rFonts w:hint="eastAsia" w:ascii="宋体" w:hAnsi="宋体" w:eastAsia="宋体" w:cs="宋体"/>
                <w:color w:val="auto"/>
                <w:sz w:val="24"/>
                <w:szCs w:val="24"/>
                <w:lang w:val="en-US" w:eastAsia="zh-CN"/>
              </w:rPr>
              <w:t>由评委综合</w:t>
            </w:r>
            <w:r>
              <w:rPr>
                <w:rFonts w:hint="eastAsia" w:ascii="宋体" w:hAnsi="宋体" w:eastAsia="宋体" w:cs="宋体"/>
                <w:color w:val="auto"/>
                <w:sz w:val="24"/>
                <w:szCs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服务方案</w:t>
            </w:r>
          </w:p>
        </w:tc>
        <w:tc>
          <w:tcPr>
            <w:tcW w:w="818" w:type="dxa"/>
            <w:tcBorders>
              <w:top w:val="single" w:color="auto" w:sz="4" w:space="0"/>
              <w:left w:val="single" w:color="auto" w:sz="4" w:space="0"/>
              <w:right w:val="single" w:color="auto" w:sz="4" w:space="0"/>
            </w:tcBorders>
            <w:vAlign w:val="center"/>
          </w:tcPr>
          <w:p>
            <w:pPr>
              <w:tabs>
                <w:tab w:val="left" w:pos="1080"/>
              </w:tabs>
              <w:spacing w:line="312"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756" w:type="dxa"/>
            <w:tcBorders>
              <w:top w:val="single" w:color="auto" w:sz="4" w:space="0"/>
              <w:left w:val="single" w:color="auto" w:sz="4" w:space="0"/>
              <w:right w:val="single" w:color="auto" w:sz="4" w:space="0"/>
            </w:tcBorders>
            <w:vAlign w:val="center"/>
          </w:tcPr>
          <w:p>
            <w:pPr>
              <w:tabs>
                <w:tab w:val="left" w:pos="1080"/>
              </w:tabs>
              <w:spacing w:line="312" w:lineRule="auto"/>
              <w:rPr>
                <w:rFonts w:hint="eastAsia" w:ascii="宋体" w:hAnsi="宋体" w:eastAsia="宋体" w:cs="宋体"/>
                <w:color w:val="auto"/>
                <w:sz w:val="24"/>
                <w:szCs w:val="24"/>
              </w:rPr>
            </w:pPr>
            <w:r>
              <w:rPr>
                <w:rFonts w:hint="eastAsia" w:ascii="宋体" w:hAnsi="宋体" w:eastAsia="宋体" w:cs="宋体"/>
                <w:color w:val="auto"/>
                <w:sz w:val="24"/>
                <w:szCs w:val="24"/>
              </w:rPr>
              <w:t>根据供应商对</w:t>
            </w:r>
            <w:r>
              <w:rPr>
                <w:rFonts w:hint="eastAsia" w:ascii="宋体" w:hAnsi="宋体" w:eastAsia="宋体" w:cs="宋体"/>
                <w:color w:val="auto"/>
                <w:sz w:val="24"/>
                <w:szCs w:val="24"/>
                <w:lang w:val="en-US" w:eastAsia="zh-CN"/>
              </w:rPr>
              <w:t>上虞区</w:t>
            </w:r>
            <w:r>
              <w:rPr>
                <w:rFonts w:hint="eastAsia" w:ascii="宋体" w:hAnsi="宋体" w:eastAsia="宋体" w:cs="宋体"/>
                <w:color w:val="auto"/>
                <w:sz w:val="24"/>
                <w:szCs w:val="24"/>
              </w:rPr>
              <w:t>的了解情况、供应商服务网点便利及群众满意度、供应商的服务响应时间等情况，综合打分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hint="eastAsia" w:ascii="宋体" w:hAnsi="宋体" w:eastAsia="宋体" w:cs="宋体"/>
                <w:color w:val="auto"/>
                <w:kern w:val="2"/>
                <w:sz w:val="24"/>
                <w:szCs w:val="21"/>
                <w:lang w:val="en-US" w:eastAsia="zh-CN" w:bidi="ar-SA"/>
              </w:rPr>
            </w:pPr>
            <w:r>
              <w:rPr>
                <w:rFonts w:hint="eastAsia" w:ascii="宋体" w:hAnsi="宋体" w:cs="宋体"/>
                <w:color w:val="auto"/>
                <w:kern w:val="2"/>
                <w:sz w:val="24"/>
                <w:szCs w:val="21"/>
              </w:rPr>
              <w:t>工作量及计划安排</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bidi="ar-SA"/>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tabs>
                <w:tab w:val="left" w:pos="1080"/>
              </w:tabs>
              <w:spacing w:line="312" w:lineRule="auto"/>
              <w:rPr>
                <w:rFonts w:hint="eastAsia" w:ascii="宋体" w:hAnsi="宋体" w:eastAsia="宋体" w:cs="宋体"/>
                <w:color w:val="auto"/>
                <w:kern w:val="2"/>
                <w:sz w:val="24"/>
                <w:szCs w:val="21"/>
                <w:lang w:val="en-US" w:eastAsia="zh-CN" w:bidi="ar-SA"/>
              </w:rPr>
            </w:pPr>
            <w:r>
              <w:rPr>
                <w:rFonts w:hint="eastAsia" w:ascii="宋体" w:hAnsi="宋体" w:eastAsia="宋体" w:cs="宋体"/>
                <w:color w:val="auto"/>
                <w:sz w:val="24"/>
                <w:szCs w:val="24"/>
              </w:rPr>
              <w:t>供应商针对本项目的提出的工作安排、人员安排、放映场次安排的合理性、科学性等方面</w:t>
            </w:r>
            <w:r>
              <w:rPr>
                <w:rFonts w:hint="eastAsia" w:ascii="宋体" w:hAnsi="宋体" w:eastAsia="宋体" w:cs="宋体"/>
                <w:color w:val="auto"/>
                <w:sz w:val="24"/>
                <w:szCs w:val="24"/>
                <w:lang w:val="en-US" w:eastAsia="zh-CN"/>
              </w:rPr>
              <w:t>由评委综合</w:t>
            </w:r>
            <w:r>
              <w:rPr>
                <w:rFonts w:hint="eastAsia" w:ascii="宋体" w:hAnsi="宋体" w:eastAsia="宋体" w:cs="宋体"/>
                <w:color w:val="auto"/>
                <w:sz w:val="24"/>
                <w:szCs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ascii="宋体" w:hAnsi="宋体" w:cs="宋体"/>
                <w:color w:val="auto"/>
                <w:kern w:val="2"/>
                <w:sz w:val="24"/>
                <w:szCs w:val="21"/>
              </w:rPr>
            </w:pPr>
            <w:r>
              <w:rPr>
                <w:rFonts w:hint="eastAsia" w:ascii="宋体" w:hAnsi="宋体" w:cs="宋体"/>
                <w:color w:val="auto"/>
                <w:kern w:val="2"/>
                <w:sz w:val="24"/>
                <w:szCs w:val="21"/>
              </w:rPr>
              <w:t>进度保证措施</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rPr>
                <w:rFonts w:ascii="宋体" w:hAnsi="宋体" w:cs="宋体"/>
                <w:color w:val="auto"/>
                <w:kern w:val="2"/>
                <w:sz w:val="24"/>
                <w:szCs w:val="21"/>
              </w:rPr>
            </w:pPr>
            <w:r>
              <w:rPr>
                <w:rFonts w:hint="eastAsia" w:ascii="宋体" w:hAnsi="宋体" w:cs="宋体"/>
                <w:color w:val="auto"/>
                <w:kern w:val="2"/>
                <w:sz w:val="24"/>
                <w:szCs w:val="21"/>
              </w:rPr>
              <w:t>根据供应商工作量及计划安排内容是否充实，针对年度放映计划等情况</w:t>
            </w:r>
            <w:r>
              <w:rPr>
                <w:rFonts w:hint="eastAsia" w:ascii="宋体" w:hAnsi="宋体" w:cs="宋体"/>
                <w:color w:val="auto"/>
                <w:kern w:val="2"/>
                <w:sz w:val="24"/>
                <w:szCs w:val="21"/>
                <w:lang w:eastAsia="zh-CN"/>
              </w:rPr>
              <w:t>，</w:t>
            </w:r>
            <w:r>
              <w:rPr>
                <w:rFonts w:hint="eastAsia" w:ascii="宋体" w:hAnsi="宋体" w:cs="宋体"/>
                <w:color w:val="auto"/>
                <w:kern w:val="2"/>
                <w:sz w:val="24"/>
                <w:szCs w:val="21"/>
              </w:rPr>
              <w:t>表述是否清晰，合理性、可行性进行综合打分。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tabs>
                <w:tab w:val="left" w:pos="1080"/>
              </w:tabs>
              <w:spacing w:line="312" w:lineRule="auto"/>
              <w:jc w:val="center"/>
              <w:rPr>
                <w:rFonts w:ascii="宋体" w:hAnsi="宋体" w:cs="宋体"/>
                <w:color w:val="auto"/>
                <w:kern w:val="2"/>
                <w:sz w:val="24"/>
                <w:szCs w:val="21"/>
              </w:rPr>
            </w:pPr>
            <w:r>
              <w:rPr>
                <w:rFonts w:hint="eastAsia" w:ascii="宋体" w:hAnsi="宋体" w:cs="宋体"/>
                <w:color w:val="auto"/>
                <w:kern w:val="2"/>
                <w:sz w:val="24"/>
                <w:szCs w:val="21"/>
              </w:rPr>
              <w:t>质量保证措施</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eastAsia="zh-CN"/>
              </w:rPr>
            </w:pPr>
            <w:r>
              <w:rPr>
                <w:rFonts w:hint="eastAsia" w:ascii="宋体" w:hAnsi="宋体" w:cs="宋体"/>
                <w:color w:val="auto"/>
                <w:kern w:val="2"/>
                <w:sz w:val="24"/>
                <w:szCs w:val="21"/>
                <w:lang w:val="en-US" w:eastAsia="zh-CN"/>
              </w:rPr>
              <w:t>6</w:t>
            </w:r>
          </w:p>
        </w:tc>
        <w:tc>
          <w:tcPr>
            <w:tcW w:w="6756" w:type="dxa"/>
            <w:tcBorders>
              <w:top w:val="single" w:color="auto" w:sz="4" w:space="0"/>
              <w:left w:val="single" w:color="auto" w:sz="4" w:space="0"/>
              <w:right w:val="single" w:color="auto" w:sz="4" w:space="0"/>
            </w:tcBorders>
            <w:vAlign w:val="center"/>
          </w:tcPr>
          <w:p>
            <w:pPr>
              <w:numPr>
                <w:ilvl w:val="0"/>
                <w:numId w:val="0"/>
              </w:numPr>
              <w:spacing w:line="360" w:lineRule="auto"/>
              <w:rPr>
                <w:rFonts w:hint="eastAsia" w:ascii="宋体" w:hAnsi="宋体" w:eastAsia="宋体" w:cs="宋体"/>
                <w:color w:val="auto"/>
                <w:kern w:val="2"/>
                <w:sz w:val="24"/>
                <w:szCs w:val="21"/>
                <w:lang w:eastAsia="zh-CN"/>
              </w:rPr>
            </w:pPr>
            <w:r>
              <w:rPr>
                <w:rFonts w:hint="eastAsia" w:ascii="宋体" w:hAnsi="宋体" w:eastAsia="宋体" w:cs="宋体"/>
                <w:color w:val="auto"/>
                <w:sz w:val="24"/>
                <w:szCs w:val="24"/>
              </w:rPr>
              <w:t>供应商对放映场次的质量保证措施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、放映内容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放映设备的质量保证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0-2分）</w:t>
            </w:r>
            <w:r>
              <w:rPr>
                <w:rFonts w:hint="eastAsia" w:ascii="宋体" w:hAnsi="宋体" w:eastAsia="宋体" w:cs="宋体"/>
                <w:color w:val="auto"/>
                <w:sz w:val="24"/>
                <w:szCs w:val="24"/>
              </w:rPr>
              <w:t>等措施情况</w:t>
            </w:r>
            <w:r>
              <w:rPr>
                <w:rFonts w:hint="eastAsia" w:ascii="宋体" w:hAnsi="宋体" w:eastAsia="宋体" w:cs="宋体"/>
                <w:color w:val="auto"/>
                <w:sz w:val="24"/>
                <w:szCs w:val="24"/>
                <w:lang w:eastAsia="zh-CN"/>
              </w:rPr>
              <w:t>进行综合评分</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ascii="宋体" w:hAnsi="宋体" w:cs="宋体"/>
                <w:color w:val="auto"/>
                <w:sz w:val="24"/>
                <w:szCs w:val="24"/>
              </w:rPr>
            </w:pPr>
            <w:r>
              <w:rPr>
                <w:rFonts w:hint="eastAsia" w:ascii="宋体" w:hAnsi="宋体" w:cs="宋体"/>
                <w:color w:val="auto"/>
                <w:kern w:val="2"/>
                <w:sz w:val="24"/>
                <w:szCs w:val="21"/>
              </w:rPr>
              <w:t>安全保障措施</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5</w:t>
            </w:r>
          </w:p>
        </w:tc>
        <w:tc>
          <w:tcPr>
            <w:tcW w:w="6756" w:type="dxa"/>
            <w:tcBorders>
              <w:top w:val="single" w:color="auto" w:sz="4" w:space="0"/>
              <w:left w:val="single" w:color="auto" w:sz="4" w:space="0"/>
              <w:right w:val="single" w:color="auto" w:sz="4" w:space="0"/>
            </w:tcBorders>
            <w:vAlign w:val="center"/>
          </w:tcPr>
          <w:p>
            <w:pPr>
              <w:spacing w:line="360" w:lineRule="auto"/>
              <w:jc w:val="left"/>
              <w:rPr>
                <w:rFonts w:ascii="宋体" w:hAnsi="宋体" w:cs="宋体"/>
                <w:color w:val="auto"/>
                <w:kern w:val="2"/>
                <w:sz w:val="24"/>
                <w:szCs w:val="21"/>
              </w:rPr>
            </w:pPr>
            <w:r>
              <w:rPr>
                <w:rFonts w:hint="eastAsia" w:ascii="宋体" w:hAnsi="宋体" w:eastAsia="宋体" w:cs="宋体"/>
                <w:color w:val="auto"/>
                <w:sz w:val="24"/>
                <w:szCs w:val="24"/>
              </w:rPr>
              <w:t>供应商对放映</w:t>
            </w:r>
            <w:r>
              <w:rPr>
                <w:rFonts w:hint="eastAsia" w:ascii="宋体" w:hAnsi="宋体" w:eastAsia="宋体" w:cs="宋体"/>
                <w:color w:val="auto"/>
                <w:sz w:val="24"/>
                <w:szCs w:val="24"/>
                <w:lang w:val="en-US" w:eastAsia="zh-CN"/>
              </w:rPr>
              <w:t>周边环境安全等实施措施。由评委综合</w:t>
            </w:r>
            <w:r>
              <w:rPr>
                <w:rFonts w:hint="eastAsia" w:ascii="宋体" w:hAnsi="宋体" w:eastAsia="宋体" w:cs="宋体"/>
                <w:color w:val="auto"/>
                <w:sz w:val="24"/>
                <w:szCs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hint="eastAsia" w:ascii="宋体" w:hAnsi="宋体" w:eastAsia="宋体" w:cs="宋体"/>
                <w:color w:val="auto"/>
                <w:sz w:val="24"/>
                <w:szCs w:val="24"/>
                <w:lang w:val="en-US" w:eastAsia="zh-CN" w:bidi="ar-SA"/>
              </w:rPr>
            </w:pPr>
            <w:r>
              <w:rPr>
                <w:rFonts w:hint="eastAsia" w:ascii="宋体" w:hAnsi="宋体" w:cs="宋体"/>
                <w:color w:val="auto"/>
                <w:kern w:val="2"/>
                <w:sz w:val="24"/>
                <w:szCs w:val="21"/>
              </w:rPr>
              <w:t>突发事件应急预案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bidi="ar-SA"/>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kern w:val="2"/>
                <w:sz w:val="24"/>
                <w:szCs w:val="21"/>
                <w:lang w:val="en-US" w:eastAsia="zh-CN" w:bidi="ar-SA"/>
              </w:rPr>
            </w:pPr>
            <w:r>
              <w:rPr>
                <w:rFonts w:hint="eastAsia" w:ascii="宋体" w:hAnsi="宋体" w:cs="宋体"/>
                <w:color w:val="auto"/>
                <w:kern w:val="2"/>
                <w:sz w:val="24"/>
                <w:szCs w:val="21"/>
              </w:rPr>
              <w:t>根据供应商提供应急预案的可行性、合理性、科学性进行打分。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hint="default"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合理化建议</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5</w:t>
            </w:r>
          </w:p>
        </w:tc>
        <w:tc>
          <w:tcPr>
            <w:tcW w:w="6756" w:type="dxa"/>
            <w:tcBorders>
              <w:top w:val="single" w:color="auto" w:sz="4" w:space="0"/>
              <w:left w:val="single" w:color="auto" w:sz="4" w:space="0"/>
              <w:right w:val="single" w:color="auto" w:sz="4" w:space="0"/>
            </w:tcBorders>
            <w:vAlign w:val="center"/>
          </w:tcPr>
          <w:p>
            <w:pPr>
              <w:spacing w:line="360" w:lineRule="auto"/>
              <w:jc w:val="left"/>
              <w:rPr>
                <w:rFonts w:hint="eastAsia" w:ascii="宋体" w:hAnsi="宋体" w:eastAsia="宋体" w:cs="宋体"/>
                <w:color w:val="auto"/>
                <w:kern w:val="2"/>
                <w:sz w:val="24"/>
                <w:szCs w:val="21"/>
                <w:lang w:eastAsia="zh-CN"/>
              </w:rPr>
            </w:pPr>
            <w:r>
              <w:rPr>
                <w:rFonts w:hint="eastAsia" w:ascii="宋体" w:hAnsi="宋体" w:cs="宋体"/>
                <w:color w:val="auto"/>
                <w:kern w:val="2"/>
                <w:sz w:val="24"/>
                <w:szCs w:val="21"/>
              </w:rPr>
              <w:t>根据供应商提供</w:t>
            </w:r>
            <w:r>
              <w:rPr>
                <w:rFonts w:hint="eastAsia" w:ascii="宋体" w:hAnsi="宋体" w:cs="宋体"/>
                <w:color w:val="auto"/>
                <w:kern w:val="2"/>
                <w:sz w:val="24"/>
                <w:szCs w:val="21"/>
                <w:lang w:eastAsia="zh-CN"/>
              </w:rPr>
              <w:t>的</w:t>
            </w:r>
            <w:r>
              <w:rPr>
                <w:rFonts w:hint="eastAsia" w:ascii="宋体" w:hAnsi="宋体" w:cs="宋体"/>
                <w:color w:val="auto"/>
                <w:kern w:val="2"/>
                <w:sz w:val="24"/>
                <w:szCs w:val="21"/>
                <w:lang w:val="en-US" w:eastAsia="zh-CN"/>
              </w:rPr>
              <w:t>合理化建议</w:t>
            </w:r>
            <w:r>
              <w:rPr>
                <w:rFonts w:hint="eastAsia" w:ascii="宋体" w:hAnsi="宋体" w:eastAsia="宋体" w:cs="宋体"/>
                <w:color w:val="auto"/>
                <w:sz w:val="24"/>
                <w:szCs w:val="24"/>
                <w:lang w:val="en-US" w:eastAsia="zh-CN"/>
              </w:rPr>
              <w:t>由评委综合</w:t>
            </w:r>
            <w:r>
              <w:rPr>
                <w:rFonts w:hint="eastAsia" w:ascii="宋体" w:hAnsi="宋体" w:eastAsia="宋体" w:cs="宋体"/>
                <w:color w:val="auto"/>
                <w:sz w:val="24"/>
                <w:szCs w:val="24"/>
              </w:rPr>
              <w:t>打分</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p>
        </w:tc>
        <w:tc>
          <w:tcPr>
            <w:tcW w:w="1402" w:type="dxa"/>
            <w:tcBorders>
              <w:left w:val="single" w:color="auto" w:sz="4" w:space="0"/>
              <w:right w:val="single" w:color="auto" w:sz="4" w:space="0"/>
            </w:tcBorders>
            <w:vAlign w:val="center"/>
          </w:tcPr>
          <w:p>
            <w:pPr>
              <w:widowControl/>
              <w:spacing w:line="400" w:lineRule="exact"/>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售后方案</w:t>
            </w:r>
          </w:p>
        </w:tc>
        <w:tc>
          <w:tcPr>
            <w:tcW w:w="818" w:type="dxa"/>
            <w:tcBorders>
              <w:top w:val="single" w:color="auto" w:sz="4" w:space="0"/>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5</w:t>
            </w:r>
          </w:p>
        </w:tc>
        <w:tc>
          <w:tcPr>
            <w:tcW w:w="6756" w:type="dxa"/>
            <w:tcBorders>
              <w:top w:val="single" w:color="auto" w:sz="4" w:space="0"/>
              <w:left w:val="single" w:color="auto" w:sz="4" w:space="0"/>
              <w:right w:val="single" w:color="auto" w:sz="4" w:space="0"/>
            </w:tcBorders>
            <w:vAlign w:val="center"/>
          </w:tcPr>
          <w:p>
            <w:pPr>
              <w:spacing w:line="360" w:lineRule="auto"/>
              <w:ind w:firstLine="480" w:firstLineChars="200"/>
              <w:jc w:val="left"/>
              <w:rPr>
                <w:rFonts w:ascii="宋体" w:hAnsi="宋体" w:cs="宋体"/>
                <w:color w:val="auto"/>
                <w:kern w:val="2"/>
                <w:sz w:val="24"/>
                <w:szCs w:val="21"/>
              </w:rPr>
            </w:pPr>
            <w:r>
              <w:rPr>
                <w:rFonts w:hint="eastAsia" w:ascii="宋体" w:hAnsi="宋体" w:cs="宋体"/>
                <w:color w:val="auto"/>
                <w:kern w:val="2"/>
                <w:sz w:val="24"/>
                <w:szCs w:val="21"/>
              </w:rPr>
              <w:t>评委根据</w:t>
            </w:r>
            <w:r>
              <w:rPr>
                <w:rFonts w:hint="eastAsia" w:ascii="宋体" w:hAnsi="宋体" w:eastAsia="宋体" w:cs="宋体"/>
                <w:color w:val="auto"/>
                <w:sz w:val="24"/>
                <w:szCs w:val="24"/>
              </w:rPr>
              <w:t>供应商</w:t>
            </w:r>
            <w:r>
              <w:rPr>
                <w:rFonts w:hint="eastAsia" w:ascii="宋体" w:hAnsi="宋体" w:cs="宋体"/>
                <w:color w:val="auto"/>
                <w:kern w:val="2"/>
                <w:sz w:val="24"/>
                <w:szCs w:val="21"/>
              </w:rPr>
              <w:t>是否具有较强的</w:t>
            </w:r>
            <w:r>
              <w:rPr>
                <w:rFonts w:hint="eastAsia" w:ascii="宋体" w:hAnsi="宋体" w:cs="宋体"/>
                <w:color w:val="auto"/>
                <w:kern w:val="2"/>
                <w:sz w:val="24"/>
                <w:szCs w:val="21"/>
                <w:lang w:eastAsia="zh-CN"/>
              </w:rPr>
              <w:t>售后服务方案</w:t>
            </w:r>
            <w:r>
              <w:rPr>
                <w:rFonts w:hint="eastAsia" w:ascii="宋体" w:hAnsi="宋体" w:cs="宋体"/>
                <w:color w:val="auto"/>
                <w:kern w:val="2"/>
                <w:sz w:val="24"/>
                <w:szCs w:val="21"/>
              </w:rPr>
              <w:t>以及较强的专业技术队伍，能提供快速的服务响应的具体情况进行打分。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13" w:type="dxa"/>
            <w:vMerge w:val="restart"/>
            <w:tcBorders>
              <w:left w:val="single" w:color="auto" w:sz="4" w:space="0"/>
              <w:right w:val="single" w:color="auto" w:sz="4" w:space="0"/>
            </w:tcBorders>
            <w:vAlign w:val="center"/>
          </w:tcPr>
          <w:p>
            <w:pPr>
              <w:spacing w:line="360" w:lineRule="auto"/>
              <w:jc w:val="center"/>
              <w:rPr>
                <w:rFonts w:ascii="宋体" w:hAnsi="宋体" w:cs="宋体"/>
                <w:color w:val="auto"/>
                <w:kern w:val="2"/>
                <w:sz w:val="24"/>
                <w:szCs w:val="21"/>
              </w:rPr>
            </w:pPr>
            <w:r>
              <w:rPr>
                <w:rFonts w:hint="eastAsia" w:ascii="宋体" w:hAnsi="宋体" w:cs="宋体"/>
                <w:color w:val="auto"/>
                <w:kern w:val="2"/>
                <w:sz w:val="24"/>
                <w:szCs w:val="21"/>
              </w:rPr>
              <w:t>商务</w:t>
            </w:r>
          </w:p>
          <w:p>
            <w:pPr>
              <w:spacing w:line="360" w:lineRule="auto"/>
              <w:jc w:val="center"/>
              <w:rPr>
                <w:rFonts w:ascii="宋体" w:hAnsi="宋体" w:cs="宋体"/>
                <w:color w:val="auto"/>
                <w:kern w:val="2"/>
                <w:sz w:val="24"/>
                <w:szCs w:val="21"/>
              </w:rPr>
            </w:pPr>
            <w:r>
              <w:rPr>
                <w:rFonts w:hint="eastAsia" w:ascii="宋体" w:hAnsi="宋体" w:cs="宋体"/>
                <w:color w:val="auto"/>
                <w:kern w:val="2"/>
                <w:sz w:val="24"/>
                <w:szCs w:val="21"/>
              </w:rPr>
              <w:t>（</w:t>
            </w:r>
            <w:r>
              <w:rPr>
                <w:rFonts w:hint="eastAsia" w:ascii="宋体" w:hAnsi="宋体" w:cs="宋体"/>
                <w:color w:val="auto"/>
                <w:kern w:val="2"/>
                <w:sz w:val="24"/>
                <w:szCs w:val="21"/>
                <w:lang w:val="en-US" w:eastAsia="zh-CN"/>
              </w:rPr>
              <w:t>4</w:t>
            </w:r>
            <w:r>
              <w:rPr>
                <w:rFonts w:hint="eastAsia" w:ascii="宋体" w:hAnsi="宋体" w:cs="宋体"/>
                <w:color w:val="auto"/>
                <w:kern w:val="2"/>
                <w:sz w:val="24"/>
                <w:szCs w:val="21"/>
              </w:rPr>
              <w:t>）</w:t>
            </w:r>
          </w:p>
        </w:tc>
        <w:tc>
          <w:tcPr>
            <w:tcW w:w="1402" w:type="dxa"/>
            <w:vMerge w:val="restart"/>
            <w:tcBorders>
              <w:left w:val="single" w:color="auto" w:sz="4" w:space="0"/>
              <w:right w:val="single" w:color="auto" w:sz="4" w:space="0"/>
            </w:tcBorders>
            <w:vAlign w:val="center"/>
          </w:tcPr>
          <w:p>
            <w:pPr>
              <w:autoSpaceDE w:val="0"/>
              <w:autoSpaceDN w:val="0"/>
              <w:adjustRightInd w:val="0"/>
              <w:jc w:val="center"/>
              <w:rPr>
                <w:rFonts w:ascii="宋体" w:hAnsi="宋体" w:cs="宋体"/>
                <w:color w:val="auto"/>
                <w:sz w:val="24"/>
                <w:szCs w:val="21"/>
              </w:rPr>
            </w:pPr>
            <w:r>
              <w:rPr>
                <w:rFonts w:hint="eastAsia" w:ascii="宋体" w:hAnsi="宋体" w:cs="宋体"/>
                <w:color w:val="auto"/>
                <w:sz w:val="24"/>
                <w:szCs w:val="21"/>
              </w:rPr>
              <w:t>资信</w:t>
            </w:r>
          </w:p>
        </w:tc>
        <w:tc>
          <w:tcPr>
            <w:tcW w:w="818" w:type="dxa"/>
            <w:tcBorders>
              <w:left w:val="single" w:color="auto" w:sz="4" w:space="0"/>
              <w:right w:val="single" w:color="auto" w:sz="4" w:space="0"/>
            </w:tcBorders>
            <w:vAlign w:val="center"/>
          </w:tcPr>
          <w:p>
            <w:pPr>
              <w:adjustRightInd w:val="0"/>
              <w:spacing w:beforeLines="50" w:line="360" w:lineRule="auto"/>
              <w:jc w:val="center"/>
              <w:rPr>
                <w:rFonts w:ascii="宋体" w:hAnsi="宋体" w:cs="宋体"/>
                <w:color w:val="auto"/>
                <w:kern w:val="2"/>
                <w:sz w:val="24"/>
                <w:szCs w:val="21"/>
              </w:rPr>
            </w:pPr>
            <w:r>
              <w:rPr>
                <w:rFonts w:hint="eastAsia" w:ascii="宋体" w:hAnsi="宋体" w:cs="宋体"/>
                <w:color w:val="auto"/>
                <w:kern w:val="2"/>
                <w:sz w:val="24"/>
                <w:szCs w:val="21"/>
              </w:rPr>
              <w:t>2</w:t>
            </w:r>
          </w:p>
        </w:tc>
        <w:tc>
          <w:tcPr>
            <w:tcW w:w="6756" w:type="dxa"/>
            <w:tcBorders>
              <w:left w:val="single" w:color="auto" w:sz="4" w:space="0"/>
              <w:right w:val="single" w:color="auto" w:sz="4" w:space="0"/>
            </w:tcBorders>
            <w:vAlign w:val="center"/>
          </w:tcPr>
          <w:p>
            <w:pPr>
              <w:widowControl/>
              <w:spacing w:line="400" w:lineRule="exact"/>
              <w:ind w:firstLine="480" w:firstLineChars="200"/>
              <w:jc w:val="left"/>
              <w:rPr>
                <w:rFonts w:ascii="宋体" w:hAnsi="宋体" w:cs="宋体"/>
                <w:color w:val="auto"/>
                <w:kern w:val="2"/>
                <w:sz w:val="24"/>
                <w:szCs w:val="24"/>
              </w:rPr>
            </w:pPr>
            <w:r>
              <w:rPr>
                <w:rFonts w:hint="eastAsia" w:ascii="宋体" w:hAnsi="宋体" w:cs="宋体"/>
                <w:color w:val="auto"/>
                <w:kern w:val="2"/>
                <w:sz w:val="24"/>
                <w:szCs w:val="21"/>
              </w:rPr>
              <w:t>业绩</w:t>
            </w:r>
            <w:r>
              <w:rPr>
                <w:rFonts w:hint="eastAsia" w:ascii="宋体" w:hAnsi="宋体" w:cs="宋体"/>
                <w:b/>
                <w:color w:val="auto"/>
                <w:kern w:val="2"/>
                <w:sz w:val="24"/>
                <w:szCs w:val="21"/>
              </w:rPr>
              <w:t>（具体详见商务要求表）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13" w:type="dxa"/>
            <w:vMerge w:val="continue"/>
            <w:tcBorders>
              <w:left w:val="single" w:color="auto" w:sz="4" w:space="0"/>
              <w:right w:val="single" w:color="auto" w:sz="4" w:space="0"/>
            </w:tcBorders>
            <w:vAlign w:val="center"/>
          </w:tcPr>
          <w:p>
            <w:pPr>
              <w:spacing w:line="360" w:lineRule="auto"/>
              <w:jc w:val="center"/>
              <w:rPr>
                <w:rFonts w:hint="eastAsia" w:ascii="宋体" w:hAnsi="宋体" w:cs="宋体"/>
                <w:color w:val="auto"/>
                <w:kern w:val="2"/>
                <w:sz w:val="24"/>
                <w:szCs w:val="21"/>
              </w:rPr>
            </w:pPr>
          </w:p>
        </w:tc>
        <w:tc>
          <w:tcPr>
            <w:tcW w:w="1402" w:type="dxa"/>
            <w:vMerge w:val="continue"/>
            <w:tcBorders>
              <w:left w:val="single" w:color="auto" w:sz="4" w:space="0"/>
              <w:right w:val="single" w:color="auto" w:sz="4" w:space="0"/>
            </w:tcBorders>
            <w:vAlign w:val="center"/>
          </w:tcPr>
          <w:p>
            <w:pPr>
              <w:autoSpaceDE w:val="0"/>
              <w:autoSpaceDN w:val="0"/>
              <w:adjustRightInd w:val="0"/>
              <w:jc w:val="center"/>
              <w:rPr>
                <w:rFonts w:hint="eastAsia" w:ascii="宋体" w:hAnsi="宋体" w:cs="宋体"/>
                <w:color w:val="auto"/>
                <w:sz w:val="24"/>
                <w:szCs w:val="21"/>
              </w:rPr>
            </w:pPr>
          </w:p>
        </w:tc>
        <w:tc>
          <w:tcPr>
            <w:tcW w:w="818" w:type="dxa"/>
            <w:tcBorders>
              <w:left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1"/>
                <w:lang w:val="en-US" w:eastAsia="zh-CN"/>
              </w:rPr>
            </w:pPr>
            <w:r>
              <w:rPr>
                <w:rFonts w:hint="eastAsia" w:ascii="宋体" w:hAnsi="宋体" w:cs="宋体"/>
                <w:color w:val="auto"/>
                <w:kern w:val="2"/>
                <w:sz w:val="24"/>
                <w:szCs w:val="21"/>
                <w:lang w:val="en-US" w:eastAsia="zh-CN"/>
              </w:rPr>
              <w:t>2</w:t>
            </w:r>
          </w:p>
        </w:tc>
        <w:tc>
          <w:tcPr>
            <w:tcW w:w="6756" w:type="dxa"/>
            <w:tcBorders>
              <w:left w:val="single" w:color="auto" w:sz="4" w:space="0"/>
              <w:right w:val="single" w:color="auto" w:sz="4" w:space="0"/>
            </w:tcBorders>
            <w:vAlign w:val="center"/>
          </w:tcPr>
          <w:p>
            <w:pPr>
              <w:autoSpaceDE w:val="0"/>
              <w:autoSpaceDN w:val="0"/>
              <w:adjustRightInd w:val="0"/>
              <w:spacing w:line="360" w:lineRule="auto"/>
              <w:ind w:firstLine="480" w:firstLineChars="200"/>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证书</w:t>
            </w:r>
            <w:r>
              <w:rPr>
                <w:rFonts w:hint="eastAsia" w:ascii="宋体" w:hAnsi="宋体" w:cs="宋体"/>
                <w:b/>
                <w:color w:val="auto"/>
                <w:kern w:val="2"/>
                <w:sz w:val="24"/>
                <w:szCs w:val="21"/>
              </w:rPr>
              <w:t>（具体详见商务要求表）</w:t>
            </w:r>
          </w:p>
        </w:tc>
      </w:tr>
    </w:tbl>
    <w:p>
      <w:pPr>
        <w:numPr>
          <w:ilvl w:val="0"/>
          <w:numId w:val="0"/>
        </w:numPr>
        <w:ind w:firstLine="482" w:firstLineChars="200"/>
        <w:rPr>
          <w:rFonts w:hint="eastAsia" w:ascii="宋体" w:hAnsi="宋体" w:eastAsia="宋体" w:cs="宋体"/>
          <w:b/>
          <w:bCs/>
          <w:color w:val="auto"/>
          <w:sz w:val="24"/>
          <w:szCs w:val="24"/>
          <w:highlight w:val="none"/>
        </w:rPr>
      </w:pPr>
    </w:p>
    <w:p>
      <w:pPr>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2、商务要求表</w:t>
      </w:r>
      <w:r>
        <w:rPr>
          <w:rFonts w:hint="eastAsia" w:ascii="宋体" w:hAnsi="宋体" w:eastAsia="宋体" w:cs="宋体"/>
          <w:color w:val="auto"/>
          <w:sz w:val="24"/>
          <w:szCs w:val="24"/>
          <w:highlight w:val="none"/>
        </w:rPr>
        <w:t>（对应评分标准）</w:t>
      </w:r>
    </w:p>
    <w:tbl>
      <w:tblPr>
        <w:tblStyle w:val="25"/>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792"/>
        <w:gridCol w:w="1521"/>
        <w:gridCol w:w="6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5" w:type="dxa"/>
            <w:vMerge w:val="restart"/>
            <w:tcBorders>
              <w:left w:val="single" w:color="auto" w:sz="4" w:space="0"/>
              <w:right w:val="single" w:color="auto" w:sz="4" w:space="0"/>
            </w:tcBorders>
            <w:vAlign w:val="center"/>
          </w:tcPr>
          <w:p>
            <w:pPr>
              <w:widowControl/>
              <w:spacing w:line="360" w:lineRule="auto"/>
              <w:jc w:val="center"/>
              <w:rPr>
                <w:rFonts w:ascii="宋体" w:hAnsi="宋体" w:cs="宋体"/>
                <w:color w:val="auto"/>
                <w:kern w:val="2"/>
                <w:sz w:val="24"/>
                <w:szCs w:val="21"/>
              </w:rPr>
            </w:pPr>
            <w:r>
              <w:rPr>
                <w:rFonts w:hint="eastAsia" w:ascii="宋体" w:hAnsi="宋体" w:cs="宋体"/>
                <w:color w:val="auto"/>
                <w:kern w:val="2"/>
                <w:sz w:val="24"/>
                <w:szCs w:val="21"/>
              </w:rPr>
              <w:t>资信（</w:t>
            </w:r>
            <w:r>
              <w:rPr>
                <w:rFonts w:hint="eastAsia" w:ascii="宋体" w:hAnsi="宋体" w:cs="宋体"/>
                <w:color w:val="auto"/>
                <w:kern w:val="2"/>
                <w:sz w:val="24"/>
                <w:szCs w:val="21"/>
                <w:lang w:val="en-US" w:eastAsia="zh-CN"/>
              </w:rPr>
              <w:t>4</w:t>
            </w:r>
            <w:r>
              <w:rPr>
                <w:rFonts w:hint="eastAsia" w:ascii="宋体" w:hAnsi="宋体" w:cs="宋体"/>
                <w:color w:val="auto"/>
                <w:kern w:val="2"/>
                <w:sz w:val="24"/>
                <w:szCs w:val="21"/>
              </w:rPr>
              <w:t>）</w:t>
            </w:r>
          </w:p>
        </w:tc>
        <w:tc>
          <w:tcPr>
            <w:tcW w:w="792"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hint="eastAsia" w:ascii="宋体" w:hAnsi="宋体" w:eastAsia="宋体" w:cs="宋体"/>
                <w:color w:val="auto"/>
                <w:kern w:val="2"/>
                <w:sz w:val="24"/>
                <w:szCs w:val="24"/>
                <w:lang w:val="en-US" w:eastAsia="zh-CN"/>
              </w:rPr>
            </w:pPr>
            <w:r>
              <w:rPr>
                <w:rFonts w:hint="eastAsia" w:ascii="宋体" w:hAnsi="宋体" w:cs="宋体"/>
                <w:color w:val="auto"/>
                <w:kern w:val="2"/>
                <w:sz w:val="24"/>
                <w:szCs w:val="21"/>
                <w:lang w:val="en-US" w:eastAsia="zh-CN"/>
              </w:rPr>
              <w:t>2</w:t>
            </w:r>
          </w:p>
        </w:tc>
        <w:tc>
          <w:tcPr>
            <w:tcW w:w="1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auto"/>
                <w:kern w:val="2"/>
                <w:sz w:val="24"/>
                <w:szCs w:val="24"/>
              </w:rPr>
            </w:pPr>
            <w:r>
              <w:rPr>
                <w:rFonts w:hint="eastAsia" w:ascii="宋体" w:hAnsi="宋体" w:cs="宋体"/>
                <w:color w:val="auto"/>
                <w:kern w:val="2"/>
                <w:sz w:val="24"/>
                <w:szCs w:val="24"/>
              </w:rPr>
              <w:t>业绩</w:t>
            </w:r>
          </w:p>
        </w:tc>
        <w:tc>
          <w:tcPr>
            <w:tcW w:w="6670"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jc w:val="both"/>
              <w:rPr>
                <w:rFonts w:ascii="宋体" w:hAnsi="宋体" w:cs="宋体"/>
                <w:color w:val="auto"/>
                <w:kern w:val="2"/>
                <w:sz w:val="24"/>
                <w:szCs w:val="21"/>
              </w:rPr>
            </w:pPr>
            <w:r>
              <w:rPr>
                <w:rFonts w:hint="eastAsia" w:ascii="宋体" w:hAnsi="宋体" w:eastAsia="宋体" w:cs="宋体"/>
                <w:color w:val="auto"/>
                <w:sz w:val="24"/>
                <w:szCs w:val="24"/>
              </w:rPr>
              <w:t>投标人从20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年以来承接过类似业绩的</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每1个</w:t>
            </w:r>
            <w:r>
              <w:rPr>
                <w:rFonts w:hint="eastAsia" w:ascii="宋体" w:hAnsi="宋体" w:eastAsia="宋体" w:cs="宋体"/>
                <w:color w:val="auto"/>
                <w:sz w:val="24"/>
                <w:szCs w:val="24"/>
              </w:rPr>
              <w:t>合同得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分，最高</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cs="宋体"/>
                <w:color w:val="auto"/>
                <w:sz w:val="24"/>
                <w:szCs w:val="24"/>
                <w:lang w:val="en-US" w:eastAsia="zh-CN"/>
              </w:rPr>
              <w:t>需要</w:t>
            </w:r>
            <w:r>
              <w:rPr>
                <w:rFonts w:hint="eastAsia" w:ascii="宋体" w:hAnsi="宋体" w:eastAsia="宋体" w:cs="宋体"/>
                <w:color w:val="auto"/>
                <w:sz w:val="24"/>
                <w:szCs w:val="24"/>
              </w:rPr>
              <w:t>提供合同</w:t>
            </w:r>
            <w:r>
              <w:rPr>
                <w:rFonts w:hint="eastAsia" w:ascii="宋体" w:hAnsi="宋体" w:cs="宋体"/>
                <w:color w:val="auto"/>
                <w:sz w:val="24"/>
                <w:szCs w:val="24"/>
                <w:lang w:val="en-US" w:eastAsia="zh-CN"/>
              </w:rPr>
              <w:t>复印件并加盖公章，</w:t>
            </w:r>
            <w:r>
              <w:rPr>
                <w:rFonts w:hint="eastAsia" w:ascii="宋体" w:hAnsi="宋体" w:eastAsia="宋体" w:cs="宋体"/>
                <w:color w:val="auto"/>
                <w:sz w:val="24"/>
                <w:szCs w:val="24"/>
              </w:rPr>
              <w:t>未按要求提供的不得分。）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915" w:type="dxa"/>
            <w:vMerge w:val="continue"/>
            <w:tcBorders>
              <w:left w:val="single" w:color="auto" w:sz="4" w:space="0"/>
              <w:right w:val="single" w:color="auto" w:sz="4" w:space="0"/>
            </w:tcBorders>
            <w:vAlign w:val="center"/>
          </w:tcPr>
          <w:p>
            <w:pPr>
              <w:widowControl/>
              <w:spacing w:line="360" w:lineRule="auto"/>
              <w:jc w:val="center"/>
              <w:rPr>
                <w:rFonts w:hint="eastAsia" w:ascii="宋体" w:hAnsi="宋体" w:cs="宋体"/>
                <w:color w:val="auto"/>
                <w:kern w:val="2"/>
                <w:sz w:val="24"/>
                <w:szCs w:val="21"/>
              </w:rPr>
            </w:pPr>
          </w:p>
        </w:tc>
        <w:tc>
          <w:tcPr>
            <w:tcW w:w="792" w:type="dxa"/>
            <w:tcBorders>
              <w:top w:val="single" w:color="auto" w:sz="4" w:space="0"/>
              <w:left w:val="single" w:color="auto" w:sz="4" w:space="0"/>
              <w:bottom w:val="single" w:color="auto" w:sz="4" w:space="0"/>
              <w:right w:val="single" w:color="auto" w:sz="4" w:space="0"/>
            </w:tcBorders>
            <w:vAlign w:val="center"/>
          </w:tcPr>
          <w:p>
            <w:pPr>
              <w:adjustRightInd w:val="0"/>
              <w:spacing w:beforeLines="50" w:line="360" w:lineRule="auto"/>
              <w:jc w:val="center"/>
              <w:rPr>
                <w:rFonts w:hint="default" w:ascii="宋体" w:hAnsi="宋体" w:cs="宋体"/>
                <w:color w:val="auto"/>
                <w:kern w:val="2"/>
                <w:sz w:val="24"/>
                <w:szCs w:val="21"/>
                <w:lang w:val="en-US" w:eastAsia="zh-CN"/>
              </w:rPr>
            </w:pPr>
            <w:r>
              <w:rPr>
                <w:rFonts w:hint="eastAsia" w:ascii="宋体" w:hAnsi="宋体" w:cs="宋体"/>
                <w:color w:val="auto"/>
                <w:kern w:val="2"/>
                <w:sz w:val="24"/>
                <w:szCs w:val="21"/>
                <w:lang w:val="en-US" w:eastAsia="zh-CN"/>
              </w:rPr>
              <w:t>2</w:t>
            </w:r>
          </w:p>
        </w:tc>
        <w:tc>
          <w:tcPr>
            <w:tcW w:w="152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auto"/>
                <w:kern w:val="2"/>
                <w:sz w:val="24"/>
                <w:szCs w:val="24"/>
              </w:rPr>
            </w:pPr>
            <w:r>
              <w:rPr>
                <w:rFonts w:hint="eastAsia" w:ascii="宋体" w:hAnsi="宋体" w:eastAsia="宋体" w:cs="宋体"/>
                <w:color w:val="auto"/>
                <w:sz w:val="24"/>
                <w:szCs w:val="24"/>
              </w:rPr>
              <w:t>证书</w:t>
            </w:r>
          </w:p>
        </w:tc>
        <w:tc>
          <w:tcPr>
            <w:tcW w:w="6670"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jc w:val="both"/>
              <w:rPr>
                <w:rFonts w:hint="eastAsia" w:ascii="宋体" w:hAnsi="宋体" w:eastAsia="宋体" w:cs="宋体"/>
                <w:color w:val="auto"/>
                <w:sz w:val="24"/>
                <w:szCs w:val="24"/>
              </w:rPr>
            </w:pPr>
            <w:r>
              <w:rPr>
                <w:rFonts w:hint="eastAsia" w:ascii="宋体" w:hAnsi="宋体" w:eastAsia="宋体" w:cs="宋体"/>
                <w:color w:val="auto"/>
                <w:sz w:val="24"/>
                <w:szCs w:val="24"/>
              </w:rPr>
              <w:t>投标人自20</w:t>
            </w: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年1月1日以来获得县级以上政府部门表彰荣誉的得</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分，最多</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分。提供相关证明文件，否则不得分。</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2、所有文件、合同、证书、资质等需要真实有效。成交供应商在中标后签订合同时需提供以上证明文件原件，若发现资料作假的取消中标资格。</w:t>
      </w:r>
      <w:bookmarkStart w:id="85" w:name="_Toc8033"/>
      <w:bookmarkStart w:id="86" w:name="_Toc4517"/>
    </w:p>
    <w:p>
      <w:pP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5"/>
        <w:jc w:val="center"/>
        <w:rPr>
          <w:rFonts w:hint="eastAsia" w:ascii="宋体" w:hAnsi="宋体" w:eastAsia="宋体" w:cs="宋体"/>
          <w:color w:val="auto"/>
          <w:highlight w:val="none"/>
        </w:rPr>
      </w:pPr>
      <w:bookmarkStart w:id="87" w:name="_Toc18878"/>
      <w:r>
        <w:rPr>
          <w:rFonts w:hint="eastAsia" w:ascii="宋体" w:hAnsi="宋体" w:eastAsia="宋体" w:cs="宋体"/>
          <w:color w:val="auto"/>
          <w:sz w:val="36"/>
          <w:szCs w:val="36"/>
          <w:highlight w:val="none"/>
        </w:rPr>
        <w:t>第五部分 采购合同</w:t>
      </w:r>
      <w:bookmarkEnd w:id="85"/>
      <w:bookmarkEnd w:id="86"/>
      <w:bookmarkEnd w:id="87"/>
    </w:p>
    <w:p>
      <w:pPr>
        <w:keepNext w:val="0"/>
        <w:keepLines w:val="0"/>
        <w:pageBreakBefore w:val="0"/>
        <w:widowControl w:val="0"/>
        <w:kinsoku/>
        <w:overflowPunct/>
        <w:topLinePunct w:val="0"/>
        <w:bidi w:val="0"/>
        <w:spacing w:line="44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合同编号：（202</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rPr>
        <w:t>）第</w:t>
      </w:r>
      <w:r>
        <w:rPr>
          <w:rFonts w:hint="eastAsia" w:ascii="宋体" w:hAnsi="宋体" w:eastAsia="宋体" w:cs="宋体"/>
          <w:color w:val="auto"/>
          <w:kern w:val="0"/>
          <w:sz w:val="24"/>
          <w:highlight w:val="none"/>
          <w:u w:val="single"/>
        </w:rPr>
        <w:t>　　</w:t>
      </w:r>
      <w:r>
        <w:rPr>
          <w:rFonts w:hint="eastAsia" w:ascii="宋体" w:hAnsi="宋体" w:eastAsia="宋体" w:cs="宋体"/>
          <w:color w:val="auto"/>
          <w:kern w:val="0"/>
          <w:sz w:val="24"/>
          <w:highlight w:val="none"/>
        </w:rPr>
        <w:t>号</w:t>
      </w:r>
    </w:p>
    <w:p>
      <w:pPr>
        <w:keepNext w:val="0"/>
        <w:keepLines w:val="0"/>
        <w:pageBreakBefore w:val="0"/>
        <w:widowControl w:val="0"/>
        <w:kinsoku/>
        <w:overflowPunct/>
        <w:topLinePunct w:val="0"/>
        <w:bidi w:val="0"/>
        <w:spacing w:line="440" w:lineRule="exact"/>
        <w:ind w:firstLine="480" w:firstLineChars="200"/>
        <w:jc w:val="left"/>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签订日期：202</w:t>
      </w:r>
      <w:r>
        <w:rPr>
          <w:rFonts w:hint="eastAsia" w:ascii="宋体" w:hAnsi="宋体" w:cs="宋体"/>
          <w:color w:val="auto"/>
          <w:kern w:val="0"/>
          <w:sz w:val="24"/>
          <w:highlight w:val="none"/>
          <w:lang w:val="en-US" w:eastAsia="zh-CN"/>
        </w:rPr>
        <w:t>4</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rPr>
        <w:t>　　</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rPr>
        <w:t>　　</w:t>
      </w:r>
      <w:r>
        <w:rPr>
          <w:rFonts w:hint="eastAsia" w:ascii="宋体" w:hAnsi="宋体" w:eastAsia="宋体" w:cs="宋体"/>
          <w:color w:val="auto"/>
          <w:kern w:val="0"/>
          <w:sz w:val="24"/>
          <w:highlight w:val="none"/>
        </w:rPr>
        <w:t>日</w:t>
      </w:r>
    </w:p>
    <w:p>
      <w:pPr>
        <w:keepNext w:val="0"/>
        <w:keepLines w:val="0"/>
        <w:pageBreakBefore w:val="0"/>
        <w:widowControl w:val="0"/>
        <w:kinsoku/>
        <w:overflowPunct/>
        <w:topLinePunct w:val="0"/>
        <w:bidi w:val="0"/>
        <w:spacing w:line="440" w:lineRule="exact"/>
        <w:ind w:firstLine="480" w:firstLineChars="200"/>
        <w:textAlignment w:val="auto"/>
        <w:rPr>
          <w:rFonts w:hint="eastAsia" w:ascii="宋体" w:hAnsi="宋体" w:eastAsia="宋体" w:cs="宋体"/>
          <w:color w:val="auto"/>
          <w:sz w:val="28"/>
          <w:highlight w:val="none"/>
          <w:u w:val="single"/>
        </w:rPr>
      </w:pPr>
      <w:r>
        <w:rPr>
          <w:rFonts w:hint="eastAsia" w:ascii="宋体" w:hAnsi="宋体" w:eastAsia="宋体" w:cs="宋体"/>
          <w:color w:val="auto"/>
          <w:kern w:val="0"/>
          <w:sz w:val="24"/>
          <w:highlight w:val="none"/>
          <w:lang w:val="en-US" w:eastAsia="zh-CN"/>
        </w:rPr>
        <w:t>甲方</w:t>
      </w:r>
      <w:r>
        <w:rPr>
          <w:rFonts w:hint="eastAsia" w:ascii="宋体" w:hAnsi="宋体" w:eastAsia="宋体" w:cs="宋体"/>
          <w:color w:val="auto"/>
          <w:sz w:val="28"/>
          <w:highlight w:val="none"/>
        </w:rPr>
        <w:t>：</w:t>
      </w:r>
      <w:r>
        <w:rPr>
          <w:rFonts w:hint="eastAsia" w:ascii="宋体" w:hAnsi="宋体" w:eastAsia="宋体" w:cs="宋体"/>
          <w:color w:val="auto"/>
          <w:sz w:val="28"/>
          <w:highlight w:val="none"/>
          <w:u w:val="single"/>
        </w:rPr>
        <w:t>　　　　　　　　　　　　　　　　　　　　　　　</w:t>
      </w:r>
    </w:p>
    <w:p>
      <w:pPr>
        <w:keepNext w:val="0"/>
        <w:keepLines w:val="0"/>
        <w:pageBreakBefore w:val="0"/>
        <w:widowControl w:val="0"/>
        <w:kinsoku/>
        <w:overflowPunct/>
        <w:topLinePunct w:val="0"/>
        <w:bidi w:val="0"/>
        <w:spacing w:line="440" w:lineRule="exact"/>
        <w:ind w:firstLine="480" w:firstLineChars="200"/>
        <w:jc w:val="left"/>
        <w:textAlignment w:val="auto"/>
        <w:rPr>
          <w:rFonts w:hint="eastAsia" w:ascii="宋体" w:hAnsi="宋体" w:eastAsia="宋体" w:cs="宋体"/>
          <w:color w:val="auto"/>
          <w:sz w:val="28"/>
          <w:highlight w:val="none"/>
          <w:u w:val="single"/>
        </w:rPr>
      </w:pPr>
      <w:r>
        <w:rPr>
          <w:rFonts w:hint="eastAsia" w:ascii="宋体" w:hAnsi="宋体" w:eastAsia="宋体" w:cs="宋体"/>
          <w:color w:val="auto"/>
          <w:kern w:val="0"/>
          <w:sz w:val="24"/>
          <w:highlight w:val="none"/>
          <w:lang w:val="en-US" w:eastAsia="zh-CN"/>
        </w:rPr>
        <w:t>乙方</w:t>
      </w:r>
      <w:r>
        <w:rPr>
          <w:rFonts w:hint="eastAsia" w:ascii="宋体" w:hAnsi="宋体" w:eastAsia="宋体" w:cs="宋体"/>
          <w:color w:val="auto"/>
          <w:sz w:val="28"/>
          <w:highlight w:val="none"/>
        </w:rPr>
        <w:t>：</w:t>
      </w:r>
      <w:r>
        <w:rPr>
          <w:rFonts w:hint="eastAsia" w:ascii="宋体" w:hAnsi="宋体" w:eastAsia="宋体" w:cs="宋体"/>
          <w:color w:val="auto"/>
          <w:sz w:val="28"/>
          <w:highlight w:val="none"/>
          <w:u w:val="single"/>
        </w:rPr>
        <w:t>　　　　　　　　　　　　　　　　　　　　　　　</w:t>
      </w:r>
    </w:p>
    <w:p>
      <w:pPr>
        <w:keepNext w:val="0"/>
        <w:keepLines w:val="0"/>
        <w:pageBreakBefore w:val="0"/>
        <w:widowControl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根据《中华人民共和国民法典》、政府采购编号为</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招标文件、</w:t>
      </w:r>
      <w:r>
        <w:rPr>
          <w:rFonts w:hint="eastAsia" w:ascii="宋体" w:hAnsi="宋体" w:eastAsia="宋体" w:cs="宋体"/>
          <w:color w:val="auto"/>
          <w:kern w:val="0"/>
          <w:sz w:val="24"/>
          <w:highlight w:val="none"/>
          <w:lang w:val="en-US" w:eastAsia="zh-CN"/>
        </w:rPr>
        <w:t>乙方</w:t>
      </w:r>
      <w:r>
        <w:rPr>
          <w:rFonts w:hint="eastAsia" w:ascii="宋体" w:hAnsi="宋体" w:eastAsia="宋体" w:cs="宋体"/>
          <w:color w:val="auto"/>
          <w:kern w:val="0"/>
          <w:sz w:val="24"/>
          <w:highlight w:val="none"/>
        </w:rPr>
        <w:t>响应文件的规定，经公开招标采购，签订本合同。</w:t>
      </w:r>
      <w:r>
        <w:rPr>
          <w:rFonts w:hint="eastAsia" w:ascii="宋体" w:hAnsi="宋体" w:eastAsia="宋体" w:cs="宋体"/>
          <w:b/>
          <w:bCs/>
          <w:color w:val="auto"/>
          <w:sz w:val="24"/>
          <w:highlight w:val="none"/>
        </w:rPr>
        <w:t xml:space="preserve"> </w:t>
      </w:r>
    </w:p>
    <w:p>
      <w:pPr>
        <w:numPr>
          <w:ilvl w:val="0"/>
          <w:numId w:val="19"/>
        </w:numPr>
        <w:autoSpaceDE w:val="0"/>
        <w:autoSpaceDN w:val="0"/>
        <w:adjustRightInd w:val="0"/>
        <w:spacing w:line="360" w:lineRule="auto"/>
        <w:ind w:firstLine="482" w:firstLineChars="200"/>
        <w:jc w:val="left"/>
        <w:rPr>
          <w:rFonts w:ascii="宋体" w:hAnsi="宋体" w:cs="宋体"/>
          <w:b/>
          <w:bCs/>
          <w:color w:val="auto"/>
          <w:kern w:val="2"/>
          <w:sz w:val="24"/>
          <w:szCs w:val="21"/>
        </w:rPr>
      </w:pPr>
      <w:r>
        <w:rPr>
          <w:rFonts w:hint="eastAsia" w:ascii="宋体" w:hAnsi="宋体" w:cs="宋体"/>
          <w:b/>
          <w:bCs/>
          <w:color w:val="auto"/>
          <w:kern w:val="2"/>
          <w:sz w:val="24"/>
          <w:szCs w:val="21"/>
        </w:rPr>
        <w:t>项目背景</w:t>
      </w:r>
    </w:p>
    <w:p>
      <w:pPr>
        <w:numPr>
          <w:ilvl w:val="0"/>
          <w:numId w:val="0"/>
        </w:numPr>
        <w:spacing w:line="360" w:lineRule="auto"/>
        <w:ind w:firstLine="480" w:firstLineChars="200"/>
        <w:rPr>
          <w:rFonts w:hint="eastAsia" w:ascii="宋体" w:hAnsi="宋体"/>
          <w:color w:val="auto"/>
          <w:kern w:val="2"/>
          <w:sz w:val="24"/>
          <w:szCs w:val="24"/>
        </w:rPr>
      </w:pPr>
      <w:r>
        <w:rPr>
          <w:rFonts w:hint="eastAsia" w:ascii="宋体" w:hAnsi="宋体" w:eastAsia="宋体" w:cs="宋体"/>
          <w:color w:val="auto"/>
          <w:sz w:val="24"/>
          <w:szCs w:val="24"/>
          <w:lang w:val="en-US" w:eastAsia="zh-CN"/>
        </w:rPr>
        <w:t>农村公益电影放映工程是党和国家实施文化惠民系列工程之一，是加强文化建设、满足人民群众多层次、多方面精神文化需求、促进农村经济发展和社会进步、实现物质文明、精神文明和政治文明协调发展的重要举措，是贯彻落实党和国家的惠民政策，是实现好、维护好、发展好人民群众基本文化权益的重要途经。</w:t>
      </w:r>
    </w:p>
    <w:p>
      <w:pPr>
        <w:spacing w:line="360" w:lineRule="auto"/>
        <w:ind w:firstLine="480" w:firstLineChars="200"/>
        <w:rPr>
          <w:color w:val="auto"/>
          <w:kern w:val="2"/>
          <w:sz w:val="21"/>
          <w:szCs w:val="21"/>
        </w:rPr>
      </w:pPr>
      <w:r>
        <w:rPr>
          <w:rFonts w:hint="eastAsia" w:ascii="宋体" w:hAnsi="宋体"/>
          <w:color w:val="auto"/>
          <w:kern w:val="2"/>
          <w:sz w:val="24"/>
          <w:szCs w:val="24"/>
        </w:rPr>
        <w:t>为全面贯彻落实浙江省新闻出版广电局和浙江省财政厅《关于印发政府向社会力量购买农村电影放映服务实施方案的通知》（浙新广发[2016]91号）文件，深化农村电影体制改革，结合</w:t>
      </w:r>
      <w:r>
        <w:rPr>
          <w:rFonts w:hint="eastAsia" w:ascii="宋体" w:hAnsi="宋体"/>
          <w:color w:val="auto"/>
          <w:kern w:val="2"/>
          <w:sz w:val="24"/>
          <w:szCs w:val="24"/>
          <w:lang w:val="en-US" w:eastAsia="zh-CN"/>
        </w:rPr>
        <w:t>上虞区</w:t>
      </w:r>
      <w:r>
        <w:rPr>
          <w:rFonts w:hint="eastAsia" w:ascii="宋体" w:hAnsi="宋体"/>
          <w:color w:val="auto"/>
          <w:kern w:val="2"/>
          <w:sz w:val="24"/>
          <w:szCs w:val="24"/>
        </w:rPr>
        <w:t>实际情况，通过竞争性磋商的采购方式择优选取成交供应商。成交供应商应当按照形式多样、内容丰富、健康、积极、向上的要求，安排电影放映，场次分布全</w:t>
      </w:r>
      <w:r>
        <w:rPr>
          <w:rFonts w:hint="eastAsia" w:ascii="宋体" w:hAnsi="宋体"/>
          <w:color w:val="auto"/>
          <w:kern w:val="2"/>
          <w:sz w:val="24"/>
          <w:szCs w:val="24"/>
          <w:lang w:val="en-US" w:eastAsia="zh-CN"/>
        </w:rPr>
        <w:t>区</w:t>
      </w:r>
      <w:r>
        <w:rPr>
          <w:rFonts w:hint="eastAsia" w:ascii="宋体" w:hAnsi="宋体"/>
          <w:color w:val="auto"/>
          <w:kern w:val="2"/>
          <w:sz w:val="24"/>
          <w:szCs w:val="24"/>
        </w:rPr>
        <w:t>各街道、乡、镇、村、社区、文化礼堂。</w:t>
      </w:r>
    </w:p>
    <w:p>
      <w:pPr>
        <w:numPr>
          <w:ilvl w:val="0"/>
          <w:numId w:val="19"/>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eastAsia="zh-CN"/>
        </w:rPr>
      </w:pPr>
      <w:r>
        <w:rPr>
          <w:rFonts w:hint="eastAsia" w:ascii="宋体" w:hAnsi="宋体" w:eastAsia="宋体" w:cs="宋体"/>
          <w:b/>
          <w:bCs/>
          <w:color w:val="auto"/>
          <w:kern w:val="2"/>
          <w:sz w:val="24"/>
          <w:szCs w:val="21"/>
          <w:lang w:eastAsia="zh-CN"/>
        </w:rPr>
        <w:t>服务内容及要求</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1</w:t>
      </w:r>
      <w:r>
        <w:rPr>
          <w:rFonts w:hint="eastAsia" w:ascii="宋体" w:hAnsi="宋体" w:cs="宋体"/>
          <w:b/>
          <w:bCs/>
          <w:color w:val="auto"/>
          <w:kern w:val="2"/>
          <w:sz w:val="24"/>
          <w:szCs w:val="21"/>
          <w:highlight w:val="none"/>
          <w:lang w:val="en-US" w:eastAsia="zh-CN" w:bidi="ar-SA"/>
        </w:rPr>
        <w:t>、</w:t>
      </w:r>
      <w:r>
        <w:rPr>
          <w:rFonts w:hint="eastAsia" w:ascii="宋体" w:hAnsi="宋体" w:eastAsia="宋体" w:cs="宋体"/>
          <w:b/>
          <w:bCs/>
          <w:color w:val="auto"/>
          <w:kern w:val="2"/>
          <w:sz w:val="24"/>
          <w:szCs w:val="21"/>
          <w:highlight w:val="none"/>
          <w:lang w:val="en-US" w:eastAsia="zh-CN" w:bidi="ar-SA"/>
        </w:rPr>
        <w:t>设备要求</w:t>
      </w:r>
    </w:p>
    <w:p>
      <w:pPr>
        <w:pStyle w:val="3"/>
        <w:spacing w:line="360" w:lineRule="auto"/>
        <w:rPr>
          <w:rFonts w:hint="eastAsia" w:ascii="宋体" w:hAnsi="宋体" w:eastAsia="宋体" w:cs="宋体"/>
          <w:color w:val="auto"/>
          <w:kern w:val="2"/>
          <w:sz w:val="24"/>
          <w:szCs w:val="21"/>
          <w:highlight w:val="none"/>
          <w:lang w:val="en-US" w:eastAsia="zh-CN" w:bidi="ar-SA"/>
        </w:rPr>
      </w:pPr>
      <w:r>
        <w:rPr>
          <w:rFonts w:hint="eastAsia" w:ascii="宋体" w:hAnsi="宋体" w:cs="宋体"/>
          <w:color w:val="auto"/>
          <w:kern w:val="2"/>
          <w:sz w:val="24"/>
          <w:szCs w:val="21"/>
          <w:highlight w:val="none"/>
          <w:lang w:val="en-US" w:eastAsia="zh-CN" w:bidi="ar-SA"/>
        </w:rPr>
        <w:t>1.1</w:t>
      </w:r>
      <w:r>
        <w:rPr>
          <w:rFonts w:hint="eastAsia" w:ascii="宋体" w:hAnsi="宋体" w:eastAsia="宋体" w:cs="宋体"/>
          <w:color w:val="auto"/>
          <w:kern w:val="2"/>
          <w:sz w:val="24"/>
          <w:szCs w:val="21"/>
          <w:highlight w:val="none"/>
          <w:lang w:val="en-US" w:eastAsia="zh-CN" w:bidi="ar-SA"/>
        </w:rPr>
        <w:t>具备提供农村电影放映服务所必需的数字电影流动放映设备,放映设备需10</w:t>
      </w:r>
    </w:p>
    <w:p>
      <w:pPr>
        <w:pStyle w:val="3"/>
        <w:spacing w:line="360" w:lineRule="auto"/>
        <w:ind w:left="0" w:leftChars="0" w:firstLine="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套及以上。放映设备应符合国家数字电影标准和规范，安装有GPS/GPRS监控模块，并符合《数字电影流动放映监管信息GPS/GPRS接口技术要求和测试方法》(GD/J029-2010)规定。要求与监管平台互联互通，提供完成与监管平台数据传输技术对接证明协议;完成对接的，可在省内跨区域使用和反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ascii="宋体" w:hAnsi="宋体" w:cs="宋体"/>
          <w:color w:val="auto"/>
          <w:sz w:val="24"/>
          <w:highlight w:val="none"/>
          <w:lang w:val="en-US" w:eastAsia="zh-CN"/>
        </w:rPr>
        <w:t>1.2电影放映要求：（1）、电影放映投影设备必须达到3000流明光通量；（2）、银幕尺寸应不小于宽5米、高3米，必须满格放映，保证放映质量；（3）、当年城市院线下档节目占有率必须达到30%以上，商业片占有率达到80%以上；（4）、露天放映必须为观影群众提供部分座椅；（5）、每月月初必须整理汇总放映场次和进度表以备查；（6）、每场电影需提供放映实时现场照片；（7）、所有放映场次须纳入浙江农村GPS</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GPRS监控平台；（8）、全面落实“浙影通”应用APP，进行规范点播和评价。</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2</w:t>
      </w:r>
      <w:r>
        <w:rPr>
          <w:rFonts w:hint="eastAsia" w:ascii="宋体" w:hAnsi="宋体" w:cs="宋体"/>
          <w:b/>
          <w:bCs/>
          <w:color w:val="auto"/>
          <w:kern w:val="2"/>
          <w:sz w:val="24"/>
          <w:szCs w:val="21"/>
          <w:highlight w:val="none"/>
          <w:lang w:val="en-US" w:eastAsia="zh-CN" w:bidi="ar-SA"/>
        </w:rPr>
        <w:t>、</w:t>
      </w:r>
      <w:r>
        <w:rPr>
          <w:rFonts w:hint="eastAsia" w:ascii="宋体" w:hAnsi="宋体" w:eastAsia="宋体" w:cs="宋体"/>
          <w:b/>
          <w:bCs/>
          <w:color w:val="auto"/>
          <w:kern w:val="2"/>
          <w:sz w:val="24"/>
          <w:szCs w:val="21"/>
          <w:highlight w:val="none"/>
          <w:lang w:val="en-US" w:eastAsia="zh-CN" w:bidi="ar-SA"/>
        </w:rPr>
        <w:t>服务要求</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2.1放映一部故事片或一部长记录片、或一部长科教片各为一场，短科教片累计 3部次为一场。</w:t>
      </w:r>
    </w:p>
    <w:p>
      <w:pPr>
        <w:pStyle w:val="3"/>
        <w:spacing w:line="360" w:lineRule="auto"/>
        <w:ind w:left="0" w:leftChars="0" w:firstLine="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 xml:space="preserve">    2.2政府购买场次的影片，由中标所在地区农村数字电影院线公司统一供片发行。院线公司务必与浙江省农村电影统一供片的中标发行单位做好对接，提供好优质服务，所播放节目须全部来源于</w:t>
      </w:r>
      <w:r>
        <w:rPr>
          <w:rFonts w:hint="eastAsia" w:ascii="宋体" w:hAnsi="宋体" w:cs="宋体"/>
          <w:color w:val="auto"/>
          <w:kern w:val="2"/>
          <w:sz w:val="24"/>
          <w:szCs w:val="21"/>
          <w:highlight w:val="none"/>
          <w:lang w:val="en-US" w:eastAsia="zh-CN" w:bidi="ar-SA"/>
        </w:rPr>
        <w:t>中宣部</w:t>
      </w:r>
      <w:r>
        <w:rPr>
          <w:rFonts w:hint="eastAsia" w:ascii="宋体" w:hAnsi="宋体" w:eastAsia="宋体" w:cs="宋体"/>
          <w:color w:val="auto"/>
          <w:kern w:val="2"/>
          <w:sz w:val="24"/>
          <w:szCs w:val="21"/>
          <w:highlight w:val="none"/>
          <w:lang w:val="en-US" w:eastAsia="zh-CN" w:bidi="ar-SA"/>
        </w:rPr>
        <w:t>电影数字节目管理中心，严禁放映未取得《电影片公映许可证》影片和音像制品。</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2.3认真执行影片选择权和订购权，根据农村群众观影需求采购影片，国产新片（院线上映两年以内）比例不少于1/3。</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2.4完整放映浙江新农村数字电影院线映前10分钟广告。</w:t>
      </w:r>
    </w:p>
    <w:p>
      <w:pPr>
        <w:pStyle w:val="3"/>
        <w:spacing w:line="360" w:lineRule="auto"/>
        <w:ind w:left="0" w:leftChars="0" w:firstLine="480" w:firstLineChars="20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2.5熟悉农村电影运行方式、执行放映、基础要求等放映情况，放映节目需符合群众要求。</w:t>
      </w:r>
    </w:p>
    <w:p>
      <w:pPr>
        <w:pStyle w:val="3"/>
        <w:spacing w:line="360" w:lineRule="auto"/>
        <w:ind w:left="0" w:leftChars="0" w:firstLine="480" w:firstLineChars="0"/>
        <w:rPr>
          <w:rFonts w:hint="eastAsia" w:ascii="宋体" w:hAnsi="宋体" w:eastAsia="宋体" w:cs="宋体"/>
          <w:color w:val="auto"/>
          <w:kern w:val="2"/>
          <w:sz w:val="24"/>
          <w:szCs w:val="21"/>
          <w:highlight w:val="none"/>
          <w:lang w:val="en-US" w:eastAsia="zh-CN" w:bidi="ar-SA"/>
        </w:rPr>
      </w:pPr>
      <w:r>
        <w:rPr>
          <w:rFonts w:hint="eastAsia" w:ascii="宋体" w:hAnsi="宋体" w:eastAsia="宋体" w:cs="宋体"/>
          <w:color w:val="auto"/>
          <w:kern w:val="2"/>
          <w:sz w:val="24"/>
          <w:szCs w:val="21"/>
          <w:highlight w:val="none"/>
          <w:lang w:val="en-US" w:eastAsia="zh-CN" w:bidi="ar-SA"/>
        </w:rPr>
        <w:t>2.6需加盟中标所在地区农村数字电影院线，自觉服从中标所在地区农村数字电影院线公司管理，遵守中标所在地区院线的各项制度。</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3、项目组人员配备要求：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具备提供农村电影放映服务所需的人员和专业技术能力。从事农村电影经营、管理人员和放映人员应经过专业培训，熟悉了解数字电影基本知识、运行和操作流程，掌握放映技术和管理规则。拟派人员须和实际实施人员一致，如需更换需经采购人同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要求从事放映工作人员持有农村数字电影放映上岗证，能够在所有乡镇街道同时放映，中标人应自行承担选派人员的住宿、就餐和交通等费用。</w:t>
      </w:r>
    </w:p>
    <w:p>
      <w:pPr>
        <w:pStyle w:val="3"/>
        <w:spacing w:line="360" w:lineRule="auto"/>
        <w:rPr>
          <w:rFonts w:hint="eastAsia" w:ascii="宋体" w:hAnsi="宋体" w:eastAsia="宋体" w:cs="宋体"/>
          <w:b/>
          <w:bCs/>
          <w:color w:val="auto"/>
          <w:kern w:val="2"/>
          <w:sz w:val="24"/>
          <w:szCs w:val="21"/>
          <w:highlight w:val="none"/>
          <w:lang w:val="en-US" w:eastAsia="zh-CN" w:bidi="ar-SA"/>
        </w:rPr>
      </w:pPr>
      <w:r>
        <w:rPr>
          <w:rFonts w:hint="eastAsia" w:ascii="宋体" w:hAnsi="宋体" w:eastAsia="宋体" w:cs="宋体"/>
          <w:b/>
          <w:bCs/>
          <w:color w:val="auto"/>
          <w:kern w:val="2"/>
          <w:sz w:val="24"/>
          <w:szCs w:val="21"/>
          <w:highlight w:val="none"/>
          <w:lang w:val="en-US" w:eastAsia="zh-CN" w:bidi="ar-SA"/>
        </w:rPr>
        <w:t>4、采购项目总体要求：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（1）、农村电影放映：合理有效利用农村数字电影运作平台，认真贯彻实施“农村电影放映工程”，有“上虞区农村公益电影放映统计表”及每月放映场次汇总表、放映日记、观众评价、放映实时照片等；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上虞区各乡镇(街道)年度放映基本场次：</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乡镇（街道）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村、社区数</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年度基本场次</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乡镇（街道）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村、社区数</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年度基本场次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百官街道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47</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490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曹娥街道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30</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东关街道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16</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200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小越街道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道墟街道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22</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160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梁湖街道</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崧厦街道</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41</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610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长塘镇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上浦镇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汤浦镇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盖北镇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11</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100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谢塘镇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章镇镇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29</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330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下管镇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10</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丰惠镇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29</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280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永和镇</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驿亭镇</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14</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120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岭南乡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陈溪乡</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8</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210</w:t>
            </w: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丁宅乡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7</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p>
        </w:tc>
        <w:tc>
          <w:tcPr>
            <w:tcW w:w="142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合计</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355</w:t>
            </w:r>
          </w:p>
        </w:tc>
        <w:tc>
          <w:tcPr>
            <w:tcW w:w="1421"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cs="宋体"/>
                <w:color w:val="auto"/>
                <w:sz w:val="18"/>
                <w:szCs w:val="18"/>
                <w:highlight w:val="none"/>
                <w:vertAlign w:val="baseline"/>
                <w:lang w:val="en-US" w:eastAsia="zh-CN"/>
              </w:rPr>
            </w:pPr>
            <w:r>
              <w:rPr>
                <w:rFonts w:hint="eastAsia" w:ascii="宋体" w:hAnsi="宋体" w:cs="宋体"/>
                <w:color w:val="auto"/>
                <w:sz w:val="18"/>
                <w:szCs w:val="18"/>
                <w:highlight w:val="none"/>
                <w:vertAlign w:val="baseline"/>
                <w:lang w:val="en-US" w:eastAsia="zh-CN"/>
              </w:rPr>
              <w:t>4500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上表为上虞区全年目标任务4500场在各乡镇（街道）的基本场次年度安排，各乡镇（街道）可根据实际情况调整放映场次，中标人不得以此调整中标价格。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（2）、在本项目合同日期内，放映场次及价格有变动的以省里下达的文件为准。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（3）、涉及各项工作未尽事宜，均以中共绍兴市上虞区委宣传部（本级）相关文件要求为准。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（4）、自合同签订生效之日起为三个自然年，本次投标按三年的电影放映场次报价。中标单位不得转包和分包。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color w:val="auto"/>
          <w:lang w:val="en-US" w:eastAsia="zh-CN"/>
        </w:rPr>
      </w:pPr>
      <w:r>
        <w:rPr>
          <w:rFonts w:hint="eastAsia" w:ascii="宋体" w:hAnsi="宋体" w:cs="宋体"/>
          <w:color w:val="auto"/>
          <w:sz w:val="24"/>
          <w:highlight w:val="none"/>
          <w:lang w:val="en-US" w:eastAsia="zh-CN"/>
        </w:rPr>
        <w:t>5、合同三年一签，合同期截止日为2026年12月31日，采购人对每年验收、考核有异议的，有权终止合同。</w:t>
      </w:r>
    </w:p>
    <w:p>
      <w:pPr>
        <w:pStyle w:val="3"/>
        <w:spacing w:line="360" w:lineRule="auto"/>
        <w:rPr>
          <w:rFonts w:hint="eastAsia" w:ascii="宋体" w:hAnsi="宋体" w:eastAsia="宋体" w:cs="宋体"/>
          <w:b/>
          <w:bCs/>
          <w:color w:val="auto"/>
          <w:kern w:val="2"/>
          <w:sz w:val="24"/>
          <w:szCs w:val="21"/>
          <w:highlight w:val="none"/>
          <w:lang w:val="zh-CN" w:eastAsia="zh-CN" w:bidi="ar-SA"/>
        </w:rPr>
      </w:pPr>
      <w:r>
        <w:rPr>
          <w:rFonts w:hint="eastAsia" w:ascii="宋体" w:hAnsi="宋体" w:eastAsia="宋体" w:cs="宋体"/>
          <w:b/>
          <w:bCs/>
          <w:color w:val="auto"/>
          <w:kern w:val="2"/>
          <w:sz w:val="24"/>
          <w:szCs w:val="21"/>
          <w:highlight w:val="none"/>
          <w:lang w:val="en-US" w:eastAsia="zh-CN" w:bidi="ar-SA"/>
        </w:rPr>
        <w:t>5、</w:t>
      </w:r>
      <w:r>
        <w:rPr>
          <w:rFonts w:hint="eastAsia" w:ascii="宋体" w:hAnsi="宋体" w:eastAsia="宋体" w:cs="宋体"/>
          <w:b/>
          <w:bCs/>
          <w:color w:val="auto"/>
          <w:kern w:val="2"/>
          <w:sz w:val="24"/>
          <w:szCs w:val="21"/>
          <w:highlight w:val="none"/>
          <w:lang w:val="zh-CN" w:eastAsia="zh-CN" w:bidi="ar-SA"/>
        </w:rPr>
        <w:t>验收要求</w:t>
      </w:r>
    </w:p>
    <w:p>
      <w:pPr>
        <w:numPr>
          <w:ilvl w:val="0"/>
          <w:numId w:val="0"/>
        </w:numPr>
        <w:adjustRightInd/>
        <w:spacing w:line="360" w:lineRule="auto"/>
        <w:ind w:firstLine="480" w:firstLineChars="200"/>
        <w:jc w:val="left"/>
        <w:rPr>
          <w:rFonts w:hint="eastAsia"/>
          <w:color w:val="auto"/>
          <w:lang w:val="en-US" w:eastAsia="zh-CN"/>
        </w:rPr>
      </w:pPr>
      <w:r>
        <w:rPr>
          <w:rFonts w:hint="eastAsia" w:ascii="宋体" w:hAnsi="宋体" w:cs="宋体"/>
          <w:color w:val="auto"/>
          <w:sz w:val="24"/>
          <w:lang w:val="zh-CN"/>
        </w:rPr>
        <w:t>由中标人向采购人提供现场照片及有效放映凭证作为验收依据，如采购人对中标方提供的验收依据无异议，作验收合格结论；采购人如对</w:t>
      </w:r>
      <w:r>
        <w:rPr>
          <w:rFonts w:hint="eastAsia" w:ascii="宋体" w:hAnsi="宋体" w:cs="宋体"/>
          <w:color w:val="auto"/>
          <w:sz w:val="24"/>
          <w:lang w:val="en-US" w:eastAsia="zh-CN"/>
        </w:rPr>
        <w:t>中标人</w:t>
      </w:r>
      <w:r>
        <w:rPr>
          <w:rFonts w:hint="eastAsia" w:ascii="宋体" w:hAnsi="宋体" w:cs="宋体"/>
          <w:color w:val="auto"/>
          <w:sz w:val="24"/>
          <w:lang w:val="zh-CN"/>
        </w:rPr>
        <w:t>的服务质量有异议，应在验收之日起七天内提出书面异议。采购人对有效放映场次、放映时间、放映地点、服务质量等进行统计、核实是否满足合同要求，是否存在不使用GPS监控终端进行放映、放映未经许可的影片等违规行为产生的放映场次。</w:t>
      </w:r>
    </w:p>
    <w:p>
      <w:pPr>
        <w:numPr>
          <w:ilvl w:val="0"/>
          <w:numId w:val="19"/>
        </w:numPr>
        <w:autoSpaceDE w:val="0"/>
        <w:autoSpaceDN w:val="0"/>
        <w:adjustRightInd w:val="0"/>
        <w:spacing w:line="360" w:lineRule="auto"/>
        <w:ind w:firstLine="482" w:firstLineChars="200"/>
        <w:jc w:val="left"/>
        <w:rPr>
          <w:rFonts w:ascii="宋体" w:hAnsi="宋体" w:cs="宋体"/>
          <w:b/>
          <w:bCs/>
          <w:color w:val="auto"/>
          <w:kern w:val="2"/>
          <w:sz w:val="24"/>
          <w:szCs w:val="21"/>
        </w:rPr>
      </w:pPr>
      <w:r>
        <w:rPr>
          <w:rFonts w:hint="eastAsia" w:ascii="宋体" w:hAnsi="宋体" w:cs="宋体"/>
          <w:b/>
          <w:bCs/>
          <w:color w:val="auto"/>
          <w:kern w:val="2"/>
          <w:sz w:val="24"/>
          <w:szCs w:val="21"/>
        </w:rPr>
        <w:t>服务期限</w:t>
      </w:r>
    </w:p>
    <w:p>
      <w:pPr>
        <w:autoSpaceDE w:val="0"/>
        <w:autoSpaceDN w:val="0"/>
        <w:adjustRightInd w:val="0"/>
        <w:spacing w:line="360" w:lineRule="auto"/>
        <w:ind w:firstLine="480" w:firstLineChars="200"/>
        <w:jc w:val="left"/>
        <w:rPr>
          <w:rFonts w:ascii="宋体" w:hAnsi="宋体"/>
          <w:color w:val="auto"/>
          <w:sz w:val="24"/>
          <w:szCs w:val="68"/>
        </w:rPr>
      </w:pPr>
      <w:r>
        <w:rPr>
          <w:rFonts w:hint="eastAsia" w:ascii="宋体" w:hAnsi="宋体"/>
          <w:color w:val="auto"/>
          <w:sz w:val="24"/>
          <w:szCs w:val="68"/>
        </w:rPr>
        <w:t>服务期：合同签订之日起</w:t>
      </w:r>
      <w:r>
        <w:rPr>
          <w:rFonts w:hint="eastAsia" w:ascii="宋体" w:hAnsi="宋体"/>
          <w:color w:val="auto"/>
          <w:sz w:val="24"/>
          <w:szCs w:val="68"/>
          <w:lang w:eastAsia="zh-CN"/>
        </w:rPr>
        <w:t>三</w:t>
      </w:r>
      <w:r>
        <w:rPr>
          <w:rFonts w:hint="eastAsia" w:ascii="宋体" w:hAnsi="宋体"/>
          <w:color w:val="auto"/>
          <w:sz w:val="24"/>
          <w:szCs w:val="68"/>
        </w:rPr>
        <w:t>年。</w:t>
      </w:r>
    </w:p>
    <w:p>
      <w:pPr>
        <w:numPr>
          <w:ilvl w:val="0"/>
          <w:numId w:val="19"/>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val="en-US" w:eastAsia="zh-CN"/>
        </w:rPr>
      </w:pPr>
      <w:r>
        <w:rPr>
          <w:rFonts w:hint="eastAsia" w:ascii="宋体" w:hAnsi="宋体" w:eastAsia="宋体" w:cs="宋体"/>
          <w:b/>
          <w:bCs/>
          <w:color w:val="auto"/>
          <w:kern w:val="2"/>
          <w:sz w:val="24"/>
          <w:szCs w:val="21"/>
          <w:lang w:val="en-US" w:eastAsia="zh-CN"/>
        </w:rPr>
        <w:t>付款方式及要求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1、付款方式：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1、合同生效并具备实施条件后7个工作日内支付</w:t>
      </w:r>
      <w:r>
        <w:rPr>
          <w:rFonts w:hint="eastAsia" w:ascii="宋体" w:hAnsi="宋体" w:cs="宋体"/>
          <w:color w:val="auto"/>
          <w:sz w:val="24"/>
          <w:highlight w:val="none"/>
          <w:lang w:val="en-US" w:eastAsia="zh-CN"/>
        </w:rPr>
        <w:t>第一</w:t>
      </w:r>
      <w:r>
        <w:rPr>
          <w:rFonts w:hint="eastAsia" w:ascii="宋体" w:hAnsi="宋体" w:eastAsia="宋体" w:cs="宋体"/>
          <w:color w:val="auto"/>
          <w:sz w:val="24"/>
          <w:highlight w:val="none"/>
          <w:lang w:val="en-US" w:eastAsia="zh-CN"/>
        </w:rPr>
        <w:t>年合同价款的</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剩余40%余款在中标人完成全年放映目标任务（4500场）经采购方核验后于当年12月31日前支付；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、在剩余2年的合同服务期内，每</w:t>
      </w:r>
      <w:r>
        <w:rPr>
          <w:rFonts w:hint="eastAsia" w:ascii="宋体" w:hAnsi="宋体" w:cs="宋体"/>
          <w:color w:val="auto"/>
          <w:sz w:val="24"/>
          <w:highlight w:val="none"/>
          <w:lang w:val="en-US" w:eastAsia="zh-CN"/>
        </w:rPr>
        <w:t>年的5月31日前支付当年合同款的60%，剩余40%余款在中标人完成全年放映目标任务（4500场）经采购方核验后于当年12月31日前支付</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en-US" w:eastAsia="zh-CN"/>
        </w:rPr>
        <w:t>直至履约结束。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2、付款要求：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lang w:val="en-US" w:eastAsia="zh-CN"/>
        </w:rPr>
        <w:t>中标人在收款之前，应向采购人提供等额、合法、有效的发票，采购人凭发票付款。如中标人未按约定提供发票的，采购人有权拒绝付款，直至收到中标人提交的相应发票为止，在此情况下，采购人不承担逾期付款违约责任</w:t>
      </w:r>
      <w:r>
        <w:rPr>
          <w:rFonts w:hint="eastAsia" w:ascii="宋体" w:hAnsi="宋体" w:eastAsia="宋体" w:cs="宋体"/>
          <w:color w:val="auto"/>
          <w:kern w:val="0"/>
          <w:sz w:val="24"/>
          <w:highlight w:val="none"/>
        </w:rPr>
        <w:t>。</w:t>
      </w:r>
    </w:p>
    <w:p>
      <w:pPr>
        <w:numPr>
          <w:ilvl w:val="0"/>
          <w:numId w:val="19"/>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val="en-US" w:eastAsia="zh-CN"/>
        </w:rPr>
      </w:pPr>
      <w:r>
        <w:rPr>
          <w:rFonts w:hint="eastAsia" w:ascii="宋体" w:hAnsi="宋体" w:eastAsia="宋体" w:cs="宋体"/>
          <w:b/>
          <w:bCs/>
          <w:color w:val="auto"/>
          <w:kern w:val="2"/>
          <w:sz w:val="24"/>
          <w:szCs w:val="21"/>
          <w:lang w:val="en-US" w:eastAsia="zh-CN"/>
        </w:rPr>
        <w:t>合同金额及付款方式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1、合同金额</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大写人民币</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整（</w:t>
      </w:r>
      <w:r>
        <w:rPr>
          <w:rFonts w:hint="eastAsia" w:ascii="宋体" w:hAnsi="宋体" w:eastAsia="宋体" w:cs="宋体"/>
          <w:color w:val="auto"/>
          <w:kern w:val="0"/>
          <w:sz w:val="24"/>
          <w:highlight w:val="none"/>
          <w:lang w:val="en-US" w:eastAsia="zh-CN"/>
        </w:rPr>
        <w:t>¥</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合同金额包含项目所需全部服务，不得缺漏，是履行合同的最终价格，包括</w:t>
      </w:r>
      <w:r>
        <w:rPr>
          <w:rFonts w:hint="eastAsia" w:ascii="宋体" w:hAnsi="宋体" w:cs="宋体"/>
          <w:color w:val="auto"/>
          <w:kern w:val="0"/>
          <w:sz w:val="24"/>
          <w:highlight w:val="none"/>
          <w:lang w:val="en-US" w:eastAsia="zh-CN"/>
        </w:rPr>
        <w:t>服务内容</w:t>
      </w:r>
      <w:r>
        <w:rPr>
          <w:rFonts w:hint="eastAsia" w:ascii="宋体" w:hAnsi="宋体" w:eastAsia="宋体" w:cs="宋体"/>
          <w:color w:val="auto"/>
          <w:kern w:val="0"/>
          <w:sz w:val="24"/>
          <w:highlight w:val="none"/>
          <w:lang w:val="en-US" w:eastAsia="zh-CN"/>
        </w:rPr>
        <w:t>、税金、代理服务费及不可预见费用等一切费用。</w:t>
      </w:r>
    </w:p>
    <w:p>
      <w:pPr>
        <w:numPr>
          <w:ilvl w:val="0"/>
          <w:numId w:val="19"/>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val="en-US" w:eastAsia="zh-CN"/>
        </w:rPr>
      </w:pPr>
      <w:r>
        <w:rPr>
          <w:rFonts w:hint="eastAsia" w:ascii="宋体" w:hAnsi="宋体" w:eastAsia="宋体" w:cs="宋体"/>
          <w:b/>
          <w:bCs/>
          <w:color w:val="auto"/>
          <w:kern w:val="2"/>
          <w:sz w:val="24"/>
          <w:szCs w:val="21"/>
          <w:lang w:val="en-US" w:eastAsia="zh-CN"/>
        </w:rPr>
        <w:t>违约责任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如甲方未按合同规定期限向乙方付费，经乙方催讨后仍未支付时，对逾期未付的费用每逾期一天，按应付金额的3‰支付滞纳金。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如乙方未能按合同要求提供服务给甲方造成恶劣影响和损失时，甲方有权终止本合同，并还可要求乙方赔偿由此造成的一切损失。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3</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乙方未经甲方同意擅自转包，甲方有权终止本合同。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4</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由于政策或不可抗力等因素引起项目中断，甲方终止本合同应提前15天通知乙方。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5</w:t>
      </w:r>
      <w:r>
        <w:rPr>
          <w:rFonts w:hint="eastAsia" w:ascii="宋体" w:hAnsi="宋体" w:cs="宋体"/>
          <w:bCs/>
          <w:color w:val="auto"/>
          <w:sz w:val="24"/>
          <w:highlight w:val="none"/>
          <w:lang w:eastAsia="zh-CN"/>
        </w:rPr>
        <w:t>、</w:t>
      </w:r>
      <w:r>
        <w:rPr>
          <w:rFonts w:hint="eastAsia" w:ascii="宋体" w:hAnsi="宋体" w:eastAsia="宋体" w:cs="宋体"/>
          <w:bCs/>
          <w:color w:val="auto"/>
          <w:sz w:val="24"/>
          <w:highlight w:val="none"/>
        </w:rPr>
        <w:t>本项目货物如涉及柴油动力移动源，柴油动力移动源应当符合低排放要求。</w:t>
      </w:r>
    </w:p>
    <w:p>
      <w:pPr>
        <w:numPr>
          <w:ilvl w:val="0"/>
          <w:numId w:val="19"/>
        </w:numPr>
        <w:autoSpaceDE w:val="0"/>
        <w:autoSpaceDN w:val="0"/>
        <w:adjustRightInd w:val="0"/>
        <w:spacing w:line="360" w:lineRule="auto"/>
        <w:ind w:firstLine="482" w:firstLineChars="200"/>
        <w:jc w:val="left"/>
        <w:rPr>
          <w:rFonts w:hint="eastAsia" w:ascii="宋体" w:hAnsi="宋体" w:eastAsia="宋体" w:cs="宋体"/>
          <w:b/>
          <w:bCs/>
          <w:color w:val="auto"/>
          <w:kern w:val="2"/>
          <w:sz w:val="24"/>
          <w:szCs w:val="21"/>
          <w:lang w:val="en-US" w:eastAsia="zh-CN"/>
        </w:rPr>
      </w:pPr>
      <w:r>
        <w:rPr>
          <w:rFonts w:hint="eastAsia" w:ascii="宋体" w:hAnsi="宋体" w:eastAsia="宋体" w:cs="宋体"/>
          <w:b/>
          <w:bCs/>
          <w:color w:val="auto"/>
          <w:kern w:val="2"/>
          <w:sz w:val="24"/>
          <w:szCs w:val="21"/>
          <w:lang w:val="en-US" w:eastAsia="zh-CN"/>
        </w:rPr>
        <w:t>其它事项</w:t>
      </w:r>
    </w:p>
    <w:p>
      <w:pPr>
        <w:pStyle w:val="3"/>
        <w:keepNext w:val="0"/>
        <w:keepLines w:val="0"/>
        <w:pageBreakBefore w:val="0"/>
        <w:widowControl w:val="0"/>
        <w:kinsoku/>
        <w:wordWrap/>
        <w:overflowPunct/>
        <w:topLinePunct w:val="0"/>
        <w:autoSpaceDE/>
        <w:autoSpaceDN/>
        <w:bidi w:val="0"/>
        <w:adjustRightInd/>
        <w:snapToGrid/>
        <w:spacing w:line="480" w:lineRule="exact"/>
        <w:ind w:left="480" w:firstLine="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1、本合同附件属于本合同不可分割部分，具有同等效力。</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2、甲乙双方经协商后，可对本合同的条款进行修订、补充，并以书面形式签订补充协议，补充协议与本合同具有同等法律效力。</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3、合同期满，本合同自然终止。</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4、本项目招标文件具有同等的法律效力。</w:t>
      </w:r>
    </w:p>
    <w:p>
      <w:pPr>
        <w:pStyle w:val="3"/>
        <w:keepNext w:val="0"/>
        <w:keepLines w:val="0"/>
        <w:pageBreakBefore w:val="0"/>
        <w:widowControl w:val="0"/>
        <w:kinsoku/>
        <w:wordWrap/>
        <w:overflowPunct/>
        <w:topLinePunct w:val="0"/>
        <w:autoSpaceDE/>
        <w:autoSpaceDN/>
        <w:bidi w:val="0"/>
        <w:adjustRightInd/>
        <w:snapToGrid/>
        <w:spacing w:line="48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5、本合同未尽事宜，甲乙双方友好协商解决，协商不成提交上虞区人民法院裁决。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bCs w:val="0"/>
          <w:color w:val="auto"/>
          <w:kern w:val="0"/>
          <w:sz w:val="24"/>
          <w:highlight w:val="none"/>
          <w:lang w:val="en-US" w:eastAsia="zh-CN"/>
        </w:rPr>
        <w:t>6、</w:t>
      </w:r>
      <w:r>
        <w:rPr>
          <w:rFonts w:hint="eastAsia" w:ascii="宋体" w:hAnsi="宋体" w:eastAsia="宋体" w:cs="宋体"/>
          <w:b/>
          <w:color w:val="auto"/>
          <w:kern w:val="0"/>
          <w:sz w:val="24"/>
          <w:highlight w:val="none"/>
        </w:rPr>
        <w:t>本合同一式</w:t>
      </w:r>
      <w:r>
        <w:rPr>
          <w:rFonts w:hint="eastAsia" w:ascii="宋体" w:hAnsi="宋体" w:eastAsia="宋体" w:cs="宋体"/>
          <w:b/>
          <w:color w:val="auto"/>
          <w:kern w:val="0"/>
          <w:sz w:val="24"/>
          <w:highlight w:val="none"/>
          <w:u w:val="single"/>
        </w:rPr>
        <w:t>　</w:t>
      </w:r>
      <w:r>
        <w:rPr>
          <w:rFonts w:hint="eastAsia" w:ascii="宋体" w:hAnsi="宋体" w:eastAsia="宋体" w:cs="宋体"/>
          <w:b/>
          <w:color w:val="auto"/>
          <w:kern w:val="0"/>
          <w:sz w:val="24"/>
          <w:highlight w:val="none"/>
          <w:u w:val="single"/>
          <w:lang w:val="en-US" w:eastAsia="zh-CN"/>
        </w:rPr>
        <w:t>肆</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份，</w:t>
      </w:r>
      <w:r>
        <w:rPr>
          <w:rFonts w:hint="eastAsia" w:ascii="宋体" w:hAnsi="宋体" w:eastAsia="宋体" w:cs="宋体"/>
          <w:b/>
          <w:color w:val="auto"/>
          <w:kern w:val="0"/>
          <w:sz w:val="24"/>
          <w:highlight w:val="none"/>
          <w:lang w:eastAsia="zh-CN"/>
        </w:rPr>
        <w:t>甲方</w:t>
      </w:r>
      <w:r>
        <w:rPr>
          <w:rFonts w:hint="eastAsia" w:ascii="宋体" w:hAnsi="宋体" w:eastAsia="宋体" w:cs="宋体"/>
          <w:b/>
          <w:color w:val="auto"/>
          <w:kern w:val="0"/>
          <w:sz w:val="24"/>
          <w:highlight w:val="none"/>
        </w:rPr>
        <w:t>和</w:t>
      </w:r>
      <w:r>
        <w:rPr>
          <w:rFonts w:hint="eastAsia" w:ascii="宋体" w:hAnsi="宋体" w:eastAsia="宋体" w:cs="宋体"/>
          <w:b/>
          <w:color w:val="auto"/>
          <w:kern w:val="0"/>
          <w:sz w:val="24"/>
          <w:highlight w:val="none"/>
          <w:lang w:eastAsia="zh-CN"/>
        </w:rPr>
        <w:t>乙方</w:t>
      </w:r>
      <w:r>
        <w:rPr>
          <w:rFonts w:hint="eastAsia" w:ascii="宋体" w:hAnsi="宋体" w:eastAsia="宋体" w:cs="宋体"/>
          <w:b/>
          <w:color w:val="auto"/>
          <w:kern w:val="0"/>
          <w:sz w:val="24"/>
          <w:highlight w:val="none"/>
        </w:rPr>
        <w:t>各执</w:t>
      </w:r>
      <w:r>
        <w:rPr>
          <w:rFonts w:hint="eastAsia" w:ascii="宋体" w:hAnsi="宋体" w:eastAsia="宋体" w:cs="宋体"/>
          <w:b/>
          <w:color w:val="auto"/>
          <w:kern w:val="0"/>
          <w:sz w:val="24"/>
          <w:highlight w:val="none"/>
          <w:lang w:val="en-US" w:eastAsia="zh-CN"/>
        </w:rPr>
        <w:t>贰</w:t>
      </w:r>
      <w:r>
        <w:rPr>
          <w:rFonts w:hint="eastAsia" w:ascii="宋体" w:hAnsi="宋体" w:eastAsia="宋体" w:cs="宋体"/>
          <w:b/>
          <w:color w:val="auto"/>
          <w:kern w:val="0"/>
          <w:sz w:val="24"/>
          <w:highlight w:val="none"/>
        </w:rPr>
        <w:t>份，</w:t>
      </w:r>
      <w:r>
        <w:rPr>
          <w:rFonts w:hint="eastAsia" w:ascii="宋体" w:hAnsi="宋体" w:eastAsia="宋体" w:cs="宋体"/>
          <w:b/>
          <w:color w:val="auto"/>
          <w:kern w:val="0"/>
          <w:sz w:val="24"/>
          <w:highlight w:val="none"/>
          <w:lang w:val="en-US" w:eastAsia="zh-CN"/>
        </w:rPr>
        <w:t>并由甲方在30日内做好政采云平台网上合同创建及备案。</w:t>
      </w:r>
    </w:p>
    <w:tbl>
      <w:tblPr>
        <w:tblStyle w:val="25"/>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2362"/>
        <w:gridCol w:w="1636"/>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甲方单位</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（盖章）</w:t>
            </w: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乙方单位</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代表签名</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代表签名</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地址</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地址</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电话</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电话</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开户银行</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 w:val="24"/>
                <w:highlight w:val="none"/>
              </w:rPr>
              <w:t>开户银行</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1453"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lang w:eastAsia="zh-CN"/>
              </w:rPr>
            </w:pPr>
            <w:r>
              <w:rPr>
                <w:rFonts w:hint="eastAsia" w:ascii="宋体" w:hAnsi="宋体" w:eastAsia="宋体" w:cs="宋体"/>
                <w:snapToGrid w:val="0"/>
                <w:color w:val="auto"/>
                <w:kern w:val="0"/>
                <w:sz w:val="24"/>
                <w:highlight w:val="none"/>
                <w:lang w:val="en-US" w:eastAsia="zh-CN"/>
              </w:rPr>
              <w:t>账号</w:t>
            </w:r>
          </w:p>
        </w:tc>
        <w:tc>
          <w:tcPr>
            <w:tcW w:w="2362"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c>
          <w:tcPr>
            <w:tcW w:w="1636"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lang w:val="en-US" w:eastAsia="zh-CN"/>
              </w:rPr>
            </w:pPr>
            <w:r>
              <w:rPr>
                <w:rFonts w:hint="eastAsia" w:ascii="宋体" w:hAnsi="宋体" w:eastAsia="宋体" w:cs="宋体"/>
                <w:snapToGrid w:val="0"/>
                <w:color w:val="auto"/>
                <w:kern w:val="0"/>
                <w:sz w:val="24"/>
                <w:highlight w:val="none"/>
                <w:lang w:val="en-US" w:eastAsia="zh-CN"/>
              </w:rPr>
              <w:t>账号</w:t>
            </w:r>
          </w:p>
        </w:tc>
        <w:tc>
          <w:tcPr>
            <w:tcW w:w="2727" w:type="dxa"/>
            <w:noWrap w:val="0"/>
            <w:vAlign w:val="center"/>
          </w:tcPr>
          <w:p>
            <w:pPr>
              <w:keepNext w:val="0"/>
              <w:keepLines w:val="0"/>
              <w:pageBreakBefore w:val="0"/>
              <w:widowControl w:val="0"/>
              <w:kinsoku/>
              <w:wordWrap/>
              <w:overflowPunct/>
              <w:topLinePunct w:val="0"/>
              <w:bidi w:val="0"/>
              <w:snapToGrid w:val="0"/>
              <w:spacing w:line="440" w:lineRule="exact"/>
              <w:jc w:val="center"/>
              <w:textAlignment w:val="auto"/>
              <w:rPr>
                <w:rFonts w:hint="eastAsia" w:ascii="宋体" w:hAnsi="宋体" w:eastAsia="宋体" w:cs="宋体"/>
                <w:snapToGrid w:val="0"/>
                <w:color w:val="auto"/>
                <w:kern w:val="0"/>
                <w:sz w:val="24"/>
                <w:highlight w:val="none"/>
              </w:rPr>
            </w:pPr>
          </w:p>
        </w:tc>
      </w:tr>
    </w:tbl>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jc w:val="center"/>
        <w:rPr>
          <w:rFonts w:hint="eastAsia" w:ascii="宋体" w:hAnsi="宋体" w:eastAsia="宋体" w:cs="宋体"/>
          <w:color w:val="auto"/>
          <w:sz w:val="36"/>
          <w:szCs w:val="36"/>
          <w:highlight w:val="none"/>
        </w:rPr>
      </w:pPr>
      <w:bookmarkStart w:id="88" w:name="_Toc7690"/>
      <w:bookmarkStart w:id="89" w:name="_Toc4669"/>
      <w:bookmarkStart w:id="90" w:name="_Toc19237"/>
      <w:r>
        <w:rPr>
          <w:rFonts w:hint="eastAsia" w:ascii="宋体" w:hAnsi="宋体" w:eastAsia="宋体" w:cs="宋体"/>
          <w:color w:val="auto"/>
          <w:sz w:val="36"/>
          <w:szCs w:val="36"/>
          <w:highlight w:val="none"/>
        </w:rPr>
        <w:t>第六部分 应提交的有关格式范例</w:t>
      </w:r>
      <w:bookmarkEnd w:id="88"/>
      <w:bookmarkEnd w:id="89"/>
      <w:bookmarkEnd w:id="90"/>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供应商按照以下格式编制响应文件，</w:t>
      </w:r>
      <w:r>
        <w:rPr>
          <w:rFonts w:hint="eastAsia" w:ascii="宋体" w:hAnsi="宋体" w:eastAsia="宋体" w:cs="宋体"/>
          <w:b/>
          <w:bCs/>
          <w:color w:val="auto"/>
          <w:sz w:val="24"/>
          <w:szCs w:val="24"/>
          <w:highlight w:val="none"/>
        </w:rPr>
        <w:t>“资格文件”、“商务技术文件”、“报价文件”须分3个PDF格式分别导入。</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kern w:val="0"/>
          <w:sz w:val="36"/>
          <w:szCs w:val="36"/>
          <w:highlight w:val="none"/>
        </w:rPr>
        <w:t>资格文件部分</w:t>
      </w:r>
    </w:p>
    <w:p>
      <w:pPr>
        <w:spacing w:line="360" w:lineRule="auto"/>
        <w:jc w:val="center"/>
        <w:rPr>
          <w:rFonts w:hint="eastAsia" w:ascii="宋体" w:hAnsi="宋体" w:eastAsia="宋体" w:cs="宋体"/>
          <w:b/>
          <w:bCs/>
          <w:color w:val="auto"/>
          <w:kern w:val="0"/>
          <w:sz w:val="36"/>
          <w:szCs w:val="36"/>
          <w:highlight w:val="none"/>
        </w:rPr>
      </w:pPr>
    </w:p>
    <w:p>
      <w:pPr>
        <w:spacing w:line="360" w:lineRule="auto"/>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目录</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（1）法定代表人授权书；（格式见附件）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（3）具有履行合同所必需的产品和专业技术能力的承诺函；</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（4）投标人承诺函（格式见附件）</w:t>
      </w:r>
      <w:r>
        <w:rPr>
          <w:rFonts w:hint="eastAsia" w:ascii="宋体" w:hAnsi="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）中小企业声明函（格式见附件）；</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）残疾人福利性单位声明函(如有)（格式见附件）；</w:t>
      </w:r>
    </w:p>
    <w:p>
      <w:p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）监狱企业证明文件(如有)（格式见附件）。</w:t>
      </w:r>
    </w:p>
    <w:p>
      <w:pPr>
        <w:pStyle w:val="3"/>
        <w:rPr>
          <w:rFonts w:hint="eastAsia"/>
          <w:color w:val="auto"/>
          <w:lang w:eastAsia="zh-CN"/>
        </w:rPr>
      </w:pPr>
    </w:p>
    <w:p>
      <w:pPr>
        <w:pStyle w:val="12"/>
        <w:ind w:firstLine="486"/>
        <w:rPr>
          <w:rFonts w:hint="eastAsia" w:ascii="宋体" w:hAnsi="宋体" w:eastAsia="宋体" w:cs="宋体"/>
          <w:color w:val="auto"/>
          <w:highlight w:val="none"/>
        </w:rPr>
      </w:pPr>
    </w:p>
    <w:p>
      <w:pPr>
        <w:pStyle w:val="12"/>
        <w:ind w:firstLine="486"/>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91" w:name="_Toc24699"/>
    </w:p>
    <w:p>
      <w:pPr>
        <w:rPr>
          <w:rFonts w:hint="eastAsia" w:ascii="宋体" w:hAnsi="宋体" w:eastAsia="宋体" w:cs="宋体"/>
          <w:b/>
          <w:bCs/>
          <w:color w:val="auto"/>
          <w:highlight w:val="none"/>
        </w:rPr>
      </w:pPr>
      <w:r>
        <w:rPr>
          <w:rFonts w:hint="eastAsia" w:ascii="宋体" w:hAnsi="宋体" w:eastAsia="宋体" w:cs="宋体"/>
          <w:b/>
          <w:bCs/>
          <w:color w:val="auto"/>
          <w:highlight w:val="none"/>
        </w:rPr>
        <w:t>附件一：</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法定代表人授权书</w:t>
      </w:r>
      <w:bookmarkEnd w:id="91"/>
    </w:p>
    <w:p>
      <w:pPr>
        <w:pStyle w:val="3"/>
        <w:spacing w:line="360" w:lineRule="auto"/>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浙江省成套工程有限公司</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  （供应商全称） </w:t>
      </w:r>
      <w:r>
        <w:rPr>
          <w:rFonts w:hint="eastAsia" w:ascii="宋体" w:hAnsi="宋体" w:eastAsia="宋体" w:cs="宋体"/>
          <w:color w:val="auto"/>
          <w:sz w:val="24"/>
          <w:szCs w:val="24"/>
          <w:highlight w:val="none"/>
        </w:rPr>
        <w:t>法定代表人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授权</w:t>
      </w:r>
      <w:r>
        <w:rPr>
          <w:rFonts w:hint="eastAsia" w:ascii="宋体" w:hAnsi="宋体" w:eastAsia="宋体" w:cs="宋体"/>
          <w:color w:val="auto"/>
          <w:sz w:val="24"/>
          <w:szCs w:val="24"/>
          <w:highlight w:val="none"/>
          <w:u w:val="single"/>
        </w:rPr>
        <w:t>（授权代表名称）</w:t>
      </w:r>
      <w:r>
        <w:rPr>
          <w:rFonts w:hint="eastAsia" w:ascii="宋体" w:hAnsi="宋体" w:eastAsia="宋体" w:cs="宋体"/>
          <w:color w:val="auto"/>
          <w:sz w:val="24"/>
          <w:szCs w:val="24"/>
          <w:highlight w:val="none"/>
        </w:rPr>
        <w:t>为授权代表，参加贵处组织的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w:t>
      </w:r>
      <w:r>
        <w:rPr>
          <w:rFonts w:hint="eastAsia" w:ascii="宋体" w:hAnsi="宋体" w:eastAsia="宋体" w:cs="宋体"/>
          <w:color w:val="auto"/>
          <w:sz w:val="24"/>
          <w:szCs w:val="24"/>
          <w:highlight w:val="none"/>
          <w:u w:val="single"/>
        </w:rPr>
        <w:t>（括号内填写招标编号）</w:t>
      </w:r>
      <w:r>
        <w:rPr>
          <w:rFonts w:hint="eastAsia" w:ascii="宋体" w:hAnsi="宋体" w:eastAsia="宋体" w:cs="宋体"/>
          <w:color w:val="auto"/>
          <w:sz w:val="24"/>
          <w:szCs w:val="24"/>
          <w:highlight w:val="none"/>
        </w:rPr>
        <w:t>，授权处理招投标活动中的一切事宜。</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法定代表人签字：</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供应商全称：（盖章）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授权代表姓名：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详细通讯地址：</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邮政编码：</w:t>
      </w:r>
    </w:p>
    <w:p>
      <w:pPr>
        <w:pStyle w:val="16"/>
        <w:snapToGrid w:val="0"/>
        <w:spacing w:line="360" w:lineRule="auto"/>
        <w:rPr>
          <w:rFonts w:hint="eastAsia" w:ascii="宋体" w:hAnsi="宋体" w:eastAsia="宋体" w:cs="宋体"/>
          <w:color w:val="auto"/>
          <w:sz w:val="24"/>
          <w:szCs w:val="24"/>
          <w:highlight w:val="none"/>
        </w:rPr>
      </w:pPr>
    </w:p>
    <w:p>
      <w:pPr>
        <w:pStyle w:val="16"/>
        <w:snapToGrid w:val="0"/>
        <w:spacing w:line="360" w:lineRule="auto"/>
        <w:rPr>
          <w:rFonts w:hint="eastAsia" w:ascii="宋体" w:hAnsi="宋体" w:eastAsia="宋体" w:cs="宋体"/>
          <w:color w:val="auto"/>
          <w:sz w:val="24"/>
          <w:szCs w:val="24"/>
          <w:highlight w:val="none"/>
        </w:rPr>
      </w:pPr>
    </w:p>
    <w:p>
      <w:pPr>
        <w:pStyle w:val="16"/>
        <w:snapToGrid w:val="0"/>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附：授权代表身份证复印件（正反面）</w:t>
      </w:r>
    </w:p>
    <w:p>
      <w:pPr>
        <w:spacing w:line="360" w:lineRule="auto"/>
        <w:rPr>
          <w:rFonts w:hint="eastAsia" w:ascii="宋体" w:hAnsi="宋体" w:eastAsia="宋体" w:cs="宋体"/>
          <w:b/>
          <w:bCs/>
          <w:color w:val="auto"/>
          <w:sz w:val="24"/>
          <w:szCs w:val="24"/>
          <w:highlight w:val="none"/>
        </w:rPr>
      </w:pPr>
    </w:p>
    <w:p>
      <w:pPr>
        <w:pStyle w:val="12"/>
        <w:ind w:firstLine="486"/>
        <w:rPr>
          <w:rFonts w:hint="eastAsia" w:ascii="宋体" w:hAnsi="宋体" w:eastAsia="宋体" w:cs="宋体"/>
          <w:color w:val="auto"/>
          <w:highlight w:val="none"/>
        </w:rPr>
      </w:pPr>
    </w:p>
    <w:p>
      <w:pPr>
        <w:snapToGrid w:val="0"/>
        <w:spacing w:before="50" w:after="167" w:afterLines="50"/>
        <w:jc w:val="left"/>
        <w:rPr>
          <w:rFonts w:hint="eastAsia" w:ascii="宋体" w:hAnsi="宋体" w:eastAsia="宋体" w:cs="宋体"/>
          <w:b/>
          <w:bCs/>
          <w:color w:val="auto"/>
          <w:kern w:val="2"/>
          <w:sz w:val="24"/>
          <w:szCs w:val="24"/>
          <w:highlight w:val="none"/>
          <w:lang w:val="zh-CN" w:eastAsia="zh-CN" w:bidi="ar-SA"/>
        </w:rPr>
      </w:pPr>
      <w:r>
        <w:rPr>
          <w:rFonts w:hint="eastAsia" w:ascii="宋体" w:hAnsi="宋体" w:eastAsia="宋体" w:cs="宋体"/>
          <w:b/>
          <w:bCs/>
          <w:color w:val="auto"/>
          <w:sz w:val="24"/>
          <w:szCs w:val="24"/>
          <w:highlight w:val="none"/>
        </w:rPr>
        <w:br w:type="page"/>
      </w:r>
      <w:r>
        <w:rPr>
          <w:rFonts w:hint="eastAsia" w:ascii="宋体" w:hAnsi="宋体" w:eastAsia="宋体" w:cs="宋体"/>
          <w:b/>
          <w:bCs/>
          <w:color w:val="auto"/>
          <w:kern w:val="2"/>
          <w:sz w:val="24"/>
          <w:szCs w:val="24"/>
          <w:highlight w:val="none"/>
          <w:lang w:val="zh-CN" w:eastAsia="zh-CN" w:bidi="ar-SA"/>
        </w:rPr>
        <w:t>附件二：</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 xml:space="preserve">投 标 </w:t>
      </w:r>
      <w:r>
        <w:rPr>
          <w:rFonts w:hint="eastAsia" w:ascii="宋体" w:hAnsi="宋体" w:eastAsia="宋体" w:cs="宋体"/>
          <w:b/>
          <w:bCs/>
          <w:color w:val="auto"/>
          <w:sz w:val="32"/>
          <w:szCs w:val="32"/>
          <w:highlight w:val="none"/>
          <w:lang w:eastAsia="zh-CN"/>
        </w:rPr>
        <w:t>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承</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函</w:t>
      </w:r>
    </w:p>
    <w:p>
      <w:pPr>
        <w:pStyle w:val="11"/>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绍兴市上虞区文化广电旅游局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cs="宋体"/>
          <w:color w:val="auto"/>
          <w:sz w:val="24"/>
          <w:highlight w:val="none"/>
          <w:u w:val="single"/>
          <w:lang w:eastAsia="zh-CN"/>
        </w:rPr>
        <w:t>浙江省成套工程有限公司</w:t>
      </w:r>
      <w:r>
        <w:rPr>
          <w:rFonts w:hint="eastAsia" w:ascii="宋体" w:hAnsi="宋体" w:eastAsia="宋体" w:cs="宋体"/>
          <w:color w:val="auto"/>
          <w:sz w:val="24"/>
          <w:highlight w:val="none"/>
          <w:u w:val="singl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系中华人民共和国合法企业，经营地址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的法定代表人，我方愿意参加贵方组织的</w:t>
      </w:r>
      <w:r>
        <w:rPr>
          <w:rFonts w:hint="eastAsia" w:ascii="宋体" w:hAnsi="宋体" w:eastAsia="宋体" w:cs="宋体"/>
          <w:color w:val="auto"/>
          <w:sz w:val="24"/>
          <w:highlight w:val="none"/>
          <w:u w:val="single"/>
        </w:rPr>
        <w:t>（招标项目名称）（编号为）</w:t>
      </w:r>
      <w:r>
        <w:rPr>
          <w:rFonts w:hint="eastAsia" w:ascii="宋体" w:hAnsi="宋体" w:eastAsia="宋体" w:cs="宋体"/>
          <w:color w:val="auto"/>
          <w:sz w:val="24"/>
          <w:highlight w:val="none"/>
        </w:rPr>
        <w:t>的投标，为此，我方就本次投标有关事项郑重</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1、我方已详细审查全部招标文件，同意招标文件的各项要求。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2、我方向贵方提交的所有投标文件、资料都是准确的和真实的。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3、若中标，我方将按招标文件规定履行合同责任和义务。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5、投标文件自开标日起有效期为90天。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6、我方参与本项目前3年内的经营活动中没有重大违法记录；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55"/>
        <w:numPr>
          <w:ilvl w:val="0"/>
          <w:numId w:val="0"/>
        </w:numPr>
        <w:spacing w:before="0"/>
        <w:ind w:firstLine="480" w:firstLineChars="200"/>
        <w:jc w:val="left"/>
        <w:rPr>
          <w:rFonts w:hint="eastAsia" w:ascii="宋体" w:hAnsi="宋体" w:eastAsia="宋体" w:cs="宋体"/>
          <w:color w:val="auto"/>
          <w:szCs w:val="24"/>
          <w:highlight w:val="none"/>
          <w:lang w:val="en-US" w:eastAsia="zh-CN"/>
        </w:rPr>
      </w:pPr>
      <w:r>
        <w:rPr>
          <w:rFonts w:hint="eastAsia" w:ascii="宋体" w:hAnsi="宋体" w:eastAsia="宋体" w:cs="宋体"/>
          <w:color w:val="auto"/>
          <w:sz w:val="24"/>
          <w:highlight w:val="none"/>
        </w:rPr>
        <w:t>8、</w:t>
      </w:r>
      <w:r>
        <w:rPr>
          <w:rFonts w:hint="eastAsia" w:ascii="宋体" w:hAnsi="宋体" w:eastAsia="宋体" w:cs="宋体"/>
          <w:color w:val="auto"/>
          <w:szCs w:val="24"/>
          <w:highlight w:val="none"/>
          <w:lang w:val="en-US" w:eastAsia="zh-CN"/>
        </w:rPr>
        <w:t>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9、具有依法缴纳税收和社会保障资金的良好记录</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10、</w:t>
      </w: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spacing w:line="360" w:lineRule="auto"/>
        <w:ind w:firstLine="480" w:firstLineChars="200"/>
        <w:rPr>
          <w:rFonts w:hint="eastAsia" w:ascii="宋体" w:hAnsi="宋体" w:eastAsia="宋体" w:cs="宋体"/>
          <w:color w:val="auto"/>
          <w:sz w:val="24"/>
          <w:highlight w:val="none"/>
        </w:rPr>
      </w:pPr>
    </w:p>
    <w:p>
      <w:pPr>
        <w:pStyle w:val="12"/>
        <w:rPr>
          <w:rFonts w:hint="eastAsia" w:ascii="宋体" w:hAnsi="宋体" w:eastAsia="宋体" w:cs="宋体"/>
          <w:color w:val="auto"/>
          <w:highlight w:val="none"/>
        </w:rPr>
      </w:pP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法定代表人签名（或签名章）：                       </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投标人全称（公章）：</w:t>
      </w:r>
    </w:p>
    <w:p>
      <w:pPr>
        <w:spacing w:line="360" w:lineRule="auto"/>
        <w:jc w:val="left"/>
        <w:rPr>
          <w:rFonts w:hint="eastAsia" w:ascii="宋体" w:hAnsi="宋体" w:eastAsia="宋体" w:cs="宋体"/>
          <w:b/>
          <w:bCs/>
          <w:color w:val="auto"/>
          <w:sz w:val="24"/>
          <w:szCs w:val="24"/>
          <w:highlight w:val="none"/>
          <w:lang w:val="zh-CN"/>
        </w:rPr>
      </w:pPr>
    </w:p>
    <w:p>
      <w:pPr>
        <w:spacing w:line="360" w:lineRule="auto"/>
        <w:jc w:val="left"/>
        <w:rPr>
          <w:rFonts w:hint="eastAsia" w:ascii="宋体" w:hAnsi="宋体" w:eastAsia="宋体" w:cs="宋体"/>
          <w:b/>
          <w:bCs/>
          <w:color w:val="auto"/>
          <w:sz w:val="24"/>
          <w:szCs w:val="24"/>
          <w:highlight w:val="none"/>
          <w:lang w:val="zh-CN"/>
        </w:rPr>
      </w:pPr>
    </w:p>
    <w:p>
      <w:pPr>
        <w:spacing w:line="360" w:lineRule="auto"/>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24"/>
          <w:szCs w:val="24"/>
          <w:highlight w:val="none"/>
          <w:lang w:val="zh-CN"/>
        </w:rPr>
        <w:t>附件</w:t>
      </w:r>
      <w:r>
        <w:rPr>
          <w:rFonts w:hint="eastAsia" w:ascii="宋体" w:hAnsi="宋体" w:eastAsia="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zh-CN"/>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中小企业声明函</w:t>
      </w:r>
    </w:p>
    <w:p>
      <w:pPr>
        <w:spacing w:line="288" w:lineRule="auto"/>
        <w:ind w:firstLine="480" w:firstLineChars="200"/>
        <w:jc w:val="left"/>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 xml:space="preserve"> </w:t>
      </w:r>
    </w:p>
    <w:p>
      <w:pPr>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eastAsia="宋体" w:cs="宋体"/>
          <w:color w:val="auto"/>
          <w:sz w:val="24"/>
          <w:szCs w:val="24"/>
          <w:highlight w:val="none"/>
          <w:u w:val="single"/>
        </w:rPr>
        <w:t xml:space="preserve"> （采购人名称） </w:t>
      </w:r>
      <w:r>
        <w:rPr>
          <w:rFonts w:hint="eastAsia" w:ascii="宋体" w:hAnsi="宋体" w:eastAsia="宋体" w:cs="宋体"/>
          <w:color w:val="auto"/>
          <w:sz w:val="24"/>
          <w:szCs w:val="24"/>
          <w:highlight w:val="none"/>
        </w:rPr>
        <w:t>的</w:t>
      </w:r>
      <w:r>
        <w:rPr>
          <w:rFonts w:hint="eastAsia" w:ascii="宋体" w:hAnsi="宋体" w:eastAsia="宋体" w:cs="宋体"/>
          <w:color w:val="auto"/>
          <w:sz w:val="24"/>
          <w:szCs w:val="24"/>
          <w:highlight w:val="none"/>
          <w:u w:val="single"/>
        </w:rPr>
        <w:t xml:space="preserve"> （项目名称）     </w:t>
      </w:r>
      <w:r>
        <w:rPr>
          <w:rFonts w:hint="eastAsia" w:ascii="宋体" w:hAnsi="宋体" w:eastAsia="宋体" w:cs="宋体"/>
          <w:color w:val="auto"/>
          <w:sz w:val="24"/>
          <w:szCs w:val="24"/>
          <w:highlight w:val="none"/>
        </w:rPr>
        <w:t>采购活动，服务全部由符合政策要求的中小企业承接。相关企业（含联合体中的中小企业、签订分包意向协议的中小企业）的具体情况如下：</w:t>
      </w:r>
    </w:p>
    <w:p>
      <w:pPr>
        <w:spacing w:line="288"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u w:val="single"/>
        </w:rPr>
        <w:t xml:space="preserve">  （项目名称）</w:t>
      </w:r>
      <w:r>
        <w:rPr>
          <w:rFonts w:hint="eastAsia" w:ascii="宋体" w:hAnsi="宋体" w:eastAsia="宋体" w:cs="宋体"/>
          <w:color w:val="auto"/>
          <w:sz w:val="24"/>
          <w:szCs w:val="24"/>
          <w:highlight w:val="none"/>
        </w:rPr>
        <w:t>，属于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eastAsia="zh-CN"/>
        </w:rPr>
        <w:t>其他未列明行业</w:t>
      </w:r>
      <w:r>
        <w:rPr>
          <w:rFonts w:hint="eastAsia" w:ascii="宋体" w:hAnsi="宋体" w:eastAsia="宋体" w:cs="宋体"/>
          <w:color w:val="auto"/>
          <w:sz w:val="24"/>
          <w:szCs w:val="24"/>
          <w:highlight w:val="none"/>
          <w:u w:val="single"/>
        </w:rPr>
        <w:t>（采购文件中明确的所属行业）</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；承建（承接）企业为</w:t>
      </w:r>
      <w:r>
        <w:rPr>
          <w:rFonts w:hint="eastAsia" w:ascii="宋体" w:hAnsi="宋体" w:eastAsia="宋体" w:cs="宋体"/>
          <w:color w:val="auto"/>
          <w:sz w:val="24"/>
          <w:szCs w:val="24"/>
          <w:highlight w:val="none"/>
          <w:u w:val="single"/>
        </w:rPr>
        <w:t xml:space="preserve">           （企业名称） </w:t>
      </w:r>
      <w:r>
        <w:rPr>
          <w:rFonts w:hint="eastAsia" w:ascii="宋体" w:hAnsi="宋体" w:eastAsia="宋体" w:cs="宋体"/>
          <w:color w:val="auto"/>
          <w:sz w:val="24"/>
          <w:szCs w:val="24"/>
          <w:highlight w:val="none"/>
        </w:rPr>
        <w:t>，从业人员</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人，营业收入为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万元，资产总额为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万元 ，属于</w:t>
      </w:r>
      <w:r>
        <w:rPr>
          <w:rFonts w:hint="eastAsia" w:ascii="宋体" w:hAnsi="宋体" w:eastAsia="宋体" w:cs="宋体"/>
          <w:color w:val="auto"/>
          <w:sz w:val="24"/>
          <w:szCs w:val="24"/>
          <w:highlight w:val="none"/>
          <w:u w:val="single"/>
        </w:rPr>
        <w:t xml:space="preserve">       （中型企业、小型企业、微型企业）</w:t>
      </w:r>
      <w:r>
        <w:rPr>
          <w:rFonts w:hint="eastAsia" w:ascii="宋体" w:hAnsi="宋体" w:eastAsia="宋体" w:cs="宋体"/>
          <w:color w:val="auto"/>
          <w:sz w:val="24"/>
          <w:szCs w:val="24"/>
          <w:highlight w:val="none"/>
        </w:rPr>
        <w:t xml:space="preserve"> ；</w:t>
      </w:r>
    </w:p>
    <w:p>
      <w:pPr>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p>
      <w:pPr>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hint="eastAsia" w:ascii="宋体" w:hAnsi="宋体" w:eastAsia="宋体" w:cs="宋体"/>
          <w:color w:val="auto"/>
          <w:sz w:val="24"/>
          <w:szCs w:val="24"/>
          <w:highlight w:val="none"/>
        </w:rPr>
      </w:pPr>
    </w:p>
    <w:p>
      <w:pPr>
        <w:spacing w:line="288" w:lineRule="auto"/>
        <w:ind w:right="420" w:firstLine="4320" w:firstLineChars="1800"/>
        <w:rPr>
          <w:rFonts w:hint="eastAsia" w:ascii="宋体" w:hAnsi="宋体" w:eastAsia="宋体" w:cs="宋体"/>
          <w:color w:val="auto"/>
          <w:sz w:val="24"/>
          <w:szCs w:val="24"/>
          <w:highlight w:val="none"/>
        </w:rPr>
      </w:pPr>
    </w:p>
    <w:p>
      <w:pPr>
        <w:spacing w:line="288" w:lineRule="auto"/>
        <w:ind w:right="420" w:firstLine="4800" w:firstLineChars="20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企业名称（盖章）： </w:t>
      </w:r>
    </w:p>
    <w:p>
      <w:pPr>
        <w:spacing w:line="288" w:lineRule="auto"/>
        <w:ind w:left="3780" w:leftChars="1800"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pStyle w:val="3"/>
        <w:spacing w:line="288" w:lineRule="auto"/>
        <w:rPr>
          <w:rFonts w:hint="eastAsia" w:ascii="宋体" w:hAnsi="宋体" w:eastAsia="宋体" w:cs="宋体"/>
          <w:color w:val="auto"/>
          <w:sz w:val="24"/>
          <w:szCs w:val="24"/>
          <w:highlight w:val="none"/>
        </w:rPr>
      </w:pPr>
    </w:p>
    <w:p>
      <w:pPr>
        <w:spacing w:line="288" w:lineRule="auto"/>
        <w:ind w:firstLine="480" w:firstLineChars="200"/>
        <w:jc w:val="left"/>
        <w:rPr>
          <w:rFonts w:hint="eastAsia" w:ascii="宋体" w:hAnsi="宋体" w:eastAsia="宋体" w:cs="宋体"/>
          <w:color w:val="auto"/>
          <w:sz w:val="24"/>
          <w:szCs w:val="24"/>
          <w:highlight w:val="none"/>
        </w:rPr>
      </w:pPr>
    </w:p>
    <w:p>
      <w:pPr>
        <w:spacing w:line="288" w:lineRule="auto"/>
        <w:ind w:firstLine="480" w:firstLineChars="200"/>
        <w:jc w:val="left"/>
        <w:rPr>
          <w:rFonts w:hint="eastAsia" w:ascii="宋体" w:hAnsi="宋体" w:eastAsia="宋体" w:cs="宋体"/>
          <w:color w:val="auto"/>
          <w:sz w:val="24"/>
          <w:szCs w:val="24"/>
          <w:highlight w:val="none"/>
        </w:rPr>
      </w:pPr>
    </w:p>
    <w:p>
      <w:pPr>
        <w:spacing w:line="288" w:lineRule="auto"/>
        <w:ind w:firstLine="480" w:firstLineChars="200"/>
        <w:jc w:val="left"/>
        <w:rPr>
          <w:rFonts w:hint="eastAsia" w:ascii="宋体" w:hAnsi="宋体" w:eastAsia="宋体" w:cs="宋体"/>
          <w:color w:val="auto"/>
          <w:sz w:val="24"/>
          <w:szCs w:val="24"/>
          <w:highlight w:val="none"/>
        </w:rPr>
      </w:pPr>
    </w:p>
    <w:p>
      <w:pPr>
        <w:spacing w:line="288"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hint="eastAsia" w:ascii="宋体" w:hAnsi="宋体" w:eastAsia="宋体" w:cs="宋体"/>
          <w:color w:val="auto"/>
          <w:sz w:val="24"/>
          <w:szCs w:val="24"/>
          <w:highlight w:val="none"/>
        </w:rPr>
      </w:pPr>
    </w:p>
    <w:p>
      <w:pPr>
        <w:pStyle w:val="2"/>
        <w:spacing w:line="360" w:lineRule="auto"/>
        <w:jc w:val="center"/>
        <w:rPr>
          <w:rFonts w:hint="eastAsia" w:ascii="宋体" w:hAnsi="宋体" w:eastAsia="宋体" w:cs="宋体"/>
          <w:color w:val="auto"/>
          <w:sz w:val="24"/>
          <w:szCs w:val="24"/>
          <w:highlight w:val="none"/>
        </w:rPr>
      </w:pPr>
    </w:p>
    <w:p>
      <w:pPr>
        <w:pStyle w:val="2"/>
        <w:spacing w:line="360" w:lineRule="auto"/>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highlight w:val="none"/>
          <w:lang w:val="zh-CN"/>
        </w:rPr>
      </w:pPr>
      <w:bookmarkStart w:id="92" w:name="_Toc3295"/>
      <w:bookmarkStart w:id="93" w:name="_Toc30916"/>
      <w:bookmarkStart w:id="94" w:name="_Toc2071"/>
      <w:r>
        <w:rPr>
          <w:rFonts w:hint="eastAsia" w:ascii="宋体" w:hAnsi="宋体" w:eastAsia="宋体" w:cs="宋体"/>
          <w:color w:val="auto"/>
          <w:highlight w:val="none"/>
        </w:rPr>
        <w:br w:type="page"/>
      </w:r>
      <w:bookmarkEnd w:id="92"/>
      <w:bookmarkEnd w:id="93"/>
      <w:bookmarkEnd w:id="94"/>
    </w:p>
    <w:p>
      <w:pPr>
        <w:rPr>
          <w:rFonts w:hint="eastAsia" w:ascii="宋体" w:hAnsi="宋体" w:eastAsia="宋体" w:cs="宋体"/>
          <w:b/>
          <w:bCs/>
          <w:color w:val="auto"/>
          <w:sz w:val="24"/>
          <w:szCs w:val="24"/>
          <w:highlight w:val="none"/>
          <w:lang w:val="zh-CN"/>
        </w:rPr>
      </w:pPr>
      <w:bookmarkStart w:id="95" w:name="_Toc9715"/>
      <w:bookmarkStart w:id="96" w:name="_Toc31472"/>
      <w:bookmarkStart w:id="97" w:name="_Toc25017"/>
      <w:bookmarkStart w:id="98" w:name="_Toc16150"/>
      <w:r>
        <w:rPr>
          <w:rFonts w:hint="eastAsia" w:ascii="宋体" w:hAnsi="宋体" w:eastAsia="宋体" w:cs="宋体"/>
          <w:b/>
          <w:bCs/>
          <w:color w:val="auto"/>
          <w:sz w:val="24"/>
          <w:szCs w:val="24"/>
          <w:highlight w:val="none"/>
          <w:lang w:val="zh-CN"/>
        </w:rPr>
        <w:t>附件</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残疾人福利性单位声明函</w:t>
      </w:r>
      <w:bookmarkEnd w:id="95"/>
      <w:bookmarkEnd w:id="96"/>
      <w:bookmarkEnd w:id="97"/>
      <w:bookmarkEnd w:id="98"/>
    </w:p>
    <w:p>
      <w:pPr>
        <w:widowControl/>
        <w:snapToGrid w:val="0"/>
        <w:spacing w:line="324" w:lineRule="auto"/>
        <w:ind w:firstLine="480" w:firstLineChars="200"/>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【不属于残疾人福利性单位的无需填写、递交】</w:t>
      </w:r>
    </w:p>
    <w:p>
      <w:pPr>
        <w:spacing w:line="588" w:lineRule="exact"/>
        <w:rPr>
          <w:rFonts w:hint="eastAsia" w:ascii="宋体" w:hAnsi="宋体" w:eastAsia="宋体" w:cs="宋体"/>
          <w:b/>
          <w:bCs/>
          <w:color w:val="auto"/>
          <w:spacing w:val="6"/>
          <w:sz w:val="30"/>
          <w:szCs w:val="30"/>
          <w:highlight w:val="none"/>
        </w:rPr>
      </w:pPr>
    </w:p>
    <w:p>
      <w:pPr>
        <w:spacing w:line="588"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2"/>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spacing w:line="588" w:lineRule="exact"/>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rPr>
          <w:rFonts w:hint="eastAsia" w:ascii="宋体" w:hAnsi="宋体" w:eastAsia="宋体" w:cs="宋体"/>
          <w:b/>
          <w:bCs/>
          <w:color w:val="auto"/>
          <w:sz w:val="24"/>
          <w:szCs w:val="24"/>
          <w:highlight w:val="none"/>
          <w:lang w:val="zh-CN"/>
        </w:rPr>
      </w:pPr>
      <w:bookmarkStart w:id="99" w:name="_Toc15966"/>
      <w:bookmarkStart w:id="100" w:name="_Toc2386"/>
      <w:bookmarkStart w:id="101" w:name="_Toc5441"/>
      <w:bookmarkStart w:id="102" w:name="_Toc24"/>
      <w:r>
        <w:rPr>
          <w:rFonts w:hint="eastAsia" w:ascii="宋体" w:hAnsi="宋体" w:eastAsia="宋体" w:cs="宋体"/>
          <w:color w:val="auto"/>
          <w:sz w:val="24"/>
          <w:szCs w:val="24"/>
          <w:highlight w:val="none"/>
          <w:lang w:val="zh-CN"/>
        </w:rPr>
        <w:br w:type="page"/>
      </w:r>
      <w:r>
        <w:rPr>
          <w:rFonts w:hint="eastAsia" w:ascii="宋体" w:hAnsi="宋体" w:eastAsia="宋体" w:cs="宋体"/>
          <w:b/>
          <w:bCs/>
          <w:color w:val="auto"/>
          <w:sz w:val="24"/>
          <w:szCs w:val="24"/>
          <w:highlight w:val="none"/>
          <w:lang w:val="zh-CN"/>
        </w:rPr>
        <w:t>附件</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监狱企业证明文件</w:t>
      </w:r>
      <w:bookmarkEnd w:id="99"/>
      <w:bookmarkEnd w:id="100"/>
      <w:bookmarkEnd w:id="101"/>
      <w:bookmarkEnd w:id="102"/>
    </w:p>
    <w:p>
      <w:pPr>
        <w:widowControl/>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【不属于监狱企业的无需填写、递交】</w:t>
      </w:r>
    </w:p>
    <w:p>
      <w:pPr>
        <w:widowControl/>
        <w:snapToGrid w:val="0"/>
        <w:spacing w:line="324" w:lineRule="auto"/>
        <w:jc w:val="center"/>
        <w:rPr>
          <w:rFonts w:hint="eastAsia" w:ascii="宋体" w:hAnsi="宋体" w:eastAsia="宋体" w:cs="宋体"/>
          <w:color w:val="auto"/>
          <w:kern w:val="0"/>
          <w:sz w:val="24"/>
          <w:szCs w:val="24"/>
          <w:highlight w:val="none"/>
        </w:rPr>
      </w:pPr>
    </w:p>
    <w:p>
      <w:pPr>
        <w:spacing w:line="588" w:lineRule="exact"/>
        <w:ind w:firstLine="480" w:firstLineChars="200"/>
        <w:rPr>
          <w:rFonts w:hint="eastAsia" w:ascii="宋体" w:hAnsi="宋体" w:eastAsia="宋体" w:cs="宋体"/>
          <w:color w:val="auto"/>
          <w:sz w:val="24"/>
          <w:szCs w:val="24"/>
          <w:highlight w:val="none"/>
        </w:rPr>
      </w:pPr>
    </w:p>
    <w:p>
      <w:pPr>
        <w:adjustRightInd w:val="0"/>
        <w:snapToGrid w:val="0"/>
        <w:spacing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监狱企业需提供省级以上的监狱管理局、戒毒管理局（含新疆生产建设兵团）出具的属于监狱企业的证明文件。  </w:t>
      </w:r>
    </w:p>
    <w:p>
      <w:pPr>
        <w:pStyle w:val="2"/>
        <w:rPr>
          <w:rFonts w:hint="eastAsia" w:ascii="宋体" w:hAnsi="宋体" w:eastAsia="宋体" w:cs="宋体"/>
          <w:color w:val="auto"/>
          <w:highlight w:val="none"/>
        </w:rPr>
      </w:pPr>
    </w:p>
    <w:p>
      <w:pPr>
        <w:pStyle w:val="3"/>
        <w:rPr>
          <w:rFonts w:hint="eastAsia" w:ascii="宋体" w:hAnsi="宋体" w:eastAsia="宋体" w:cs="宋体"/>
          <w:color w:val="auto"/>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pStyle w:val="12"/>
        <w:ind w:firstLine="0"/>
        <w:rPr>
          <w:rFonts w:hint="eastAsia" w:ascii="宋体" w:hAnsi="宋体" w:eastAsia="宋体" w:cs="宋体"/>
          <w:b/>
          <w:bCs/>
          <w:color w:val="auto"/>
          <w:highlight w:val="none"/>
          <w:lang w:val="zh-CN"/>
        </w:rPr>
      </w:pPr>
      <w:r>
        <w:rPr>
          <w:rFonts w:hint="eastAsia" w:ascii="宋体" w:hAnsi="宋体" w:eastAsia="宋体" w:cs="宋体"/>
          <w:color w:val="auto"/>
          <w:sz w:val="24"/>
          <w:szCs w:val="24"/>
          <w:highlight w:val="none"/>
        </w:rPr>
        <w:t>供应商全称（公章）：</w:t>
      </w:r>
    </w:p>
    <w:p>
      <w:pPr>
        <w:pStyle w:val="12"/>
        <w:ind w:firstLine="0"/>
        <w:rPr>
          <w:rFonts w:hint="eastAsia" w:ascii="宋体" w:hAnsi="宋体" w:eastAsia="宋体" w:cs="宋体"/>
          <w:b/>
          <w:bCs/>
          <w:color w:val="auto"/>
          <w:highlight w:val="none"/>
          <w:lang w:val="zh-CN"/>
        </w:rPr>
      </w:pPr>
    </w:p>
    <w:p>
      <w:pPr>
        <w:pStyle w:val="12"/>
        <w:ind w:firstLine="0"/>
        <w:rPr>
          <w:rFonts w:hint="eastAsia" w:ascii="宋体" w:hAnsi="宋体" w:eastAsia="宋体" w:cs="宋体"/>
          <w:b/>
          <w:bCs/>
          <w:color w:val="auto"/>
          <w:highlight w:val="none"/>
          <w:lang w:val="zh-CN"/>
        </w:rPr>
      </w:pPr>
    </w:p>
    <w:p>
      <w:pPr>
        <w:pStyle w:val="13"/>
        <w:rPr>
          <w:rFonts w:hint="eastAsia" w:ascii="宋体" w:hAnsi="宋体" w:eastAsia="宋体" w:cs="宋体"/>
          <w:b/>
          <w:bCs/>
          <w:color w:val="auto"/>
          <w:highlight w:val="none"/>
          <w:lang w:val="zh-CN"/>
        </w:rPr>
      </w:pPr>
    </w:p>
    <w:p>
      <w:pPr>
        <w:pStyle w:val="10"/>
        <w:rPr>
          <w:rFonts w:hint="eastAsia" w:ascii="宋体" w:hAnsi="宋体" w:eastAsia="宋体" w:cs="宋体"/>
          <w:b/>
          <w:bCs/>
          <w:color w:val="auto"/>
          <w:highlight w:val="none"/>
          <w:lang w:val="zh-CN"/>
        </w:rPr>
      </w:pPr>
    </w:p>
    <w:p>
      <w:pPr>
        <w:pStyle w:val="11"/>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2"/>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2"/>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p>
      <w:pPr>
        <w:rPr>
          <w:rFonts w:hint="eastAsia" w:ascii="宋体" w:hAnsi="宋体" w:eastAsia="宋体" w:cs="宋体"/>
          <w:b/>
          <w:bCs/>
          <w:color w:val="auto"/>
          <w:highlight w:val="none"/>
          <w:lang w:val="zh-CN"/>
        </w:rPr>
      </w:pPr>
    </w:p>
    <w:p>
      <w:pPr>
        <w:pStyle w:val="3"/>
        <w:rPr>
          <w:rFonts w:hint="eastAsia"/>
          <w:color w:val="auto"/>
          <w:lang w:val="zh-CN"/>
        </w:rPr>
      </w:pPr>
    </w:p>
    <w:p>
      <w:pPr>
        <w:spacing w:line="360" w:lineRule="auto"/>
        <w:jc w:val="left"/>
        <w:rPr>
          <w:rFonts w:hint="eastAsia" w:ascii="宋体" w:hAnsi="宋体" w:eastAsia="宋体" w:cs="宋体"/>
          <w:b/>
          <w:bCs/>
          <w:color w:val="auto"/>
          <w:sz w:val="24"/>
          <w:szCs w:val="24"/>
          <w:highlight w:val="none"/>
          <w:lang w:val="zh-CN"/>
        </w:rPr>
      </w:pPr>
    </w:p>
    <w:p>
      <w:pPr>
        <w:spacing w:line="360" w:lineRule="auto"/>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商务技术文件</w:t>
      </w:r>
    </w:p>
    <w:p>
      <w:pPr>
        <w:spacing w:line="360" w:lineRule="auto"/>
        <w:jc w:val="center"/>
        <w:rPr>
          <w:rFonts w:hint="eastAsia" w:ascii="宋体" w:hAnsi="宋体" w:eastAsia="宋体" w:cs="宋体"/>
          <w:b/>
          <w:bCs/>
          <w:color w:val="auto"/>
          <w:kern w:val="0"/>
          <w:sz w:val="36"/>
          <w:szCs w:val="36"/>
          <w:highlight w:val="none"/>
        </w:rPr>
      </w:pPr>
    </w:p>
    <w:p>
      <w:pPr>
        <w:spacing w:line="360" w:lineRule="auto"/>
        <w:jc w:val="center"/>
        <w:rPr>
          <w:rFonts w:cs="Times New Roman" w:asciiTheme="minorEastAsia" w:hAnsiTheme="minorEastAsia" w:eastAsiaTheme="minorEastAsia"/>
          <w:color w:val="auto"/>
        </w:rPr>
      </w:pPr>
      <w:r>
        <w:rPr>
          <w:rFonts w:hint="eastAsia" w:ascii="宋体" w:hAnsi="宋体" w:eastAsia="宋体" w:cs="宋体"/>
          <w:b/>
          <w:bCs/>
          <w:color w:val="auto"/>
          <w:kern w:val="0"/>
          <w:sz w:val="36"/>
          <w:szCs w:val="36"/>
          <w:highlight w:val="none"/>
        </w:rPr>
        <w:t>目录</w:t>
      </w:r>
      <w:bookmarkStart w:id="103" w:name="_Toc10131"/>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评分对应表（格式见附件，主要用于评委对应评分内容）</w:t>
      </w:r>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供应商商务技术文件中资信分自评表（格式见附件）；</w:t>
      </w:r>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磋商项目明细清单（格式见附件）；</w:t>
      </w:r>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技术响应及建议表（格式见附件）；</w:t>
      </w:r>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商务响应表（格式见附件）；</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cs="宋体"/>
          <w:color w:val="auto"/>
          <w:sz w:val="24"/>
          <w:szCs w:val="24"/>
        </w:rPr>
        <w:t>项目分析</w:t>
      </w:r>
      <w:r>
        <w:rPr>
          <w:rFonts w:hint="eastAsia" w:cs="宋体" w:asciiTheme="minorEastAsia" w:hAnsiTheme="minorEastAsia" w:eastAsiaTheme="minorEastAsia"/>
          <w:color w:val="auto"/>
          <w:sz w:val="24"/>
          <w:szCs w:val="24"/>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重难点分析；</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内部管理方案；</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人员投入方案；</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cs="宋体"/>
          <w:color w:val="auto"/>
          <w:kern w:val="2"/>
          <w:sz w:val="24"/>
          <w:szCs w:val="21"/>
          <w:lang w:val="en-US" w:eastAsia="zh-CN"/>
        </w:rPr>
        <w:t>投入设备</w:t>
      </w:r>
      <w:r>
        <w:rPr>
          <w:rFonts w:hint="eastAsia" w:ascii="宋体" w:hAnsi="宋体" w:cs="宋体"/>
          <w:color w:val="auto"/>
          <w:kern w:val="2"/>
          <w:sz w:val="24"/>
          <w:szCs w:val="21"/>
        </w:rPr>
        <w:t>方案</w:t>
      </w:r>
      <w:r>
        <w:rPr>
          <w:rFonts w:hint="eastAsia" w:ascii="宋体" w:hAnsi="宋体" w:cs="宋体"/>
          <w:color w:val="auto"/>
          <w:kern w:val="2"/>
          <w:sz w:val="24"/>
          <w:szCs w:val="21"/>
          <w:lang w:eastAsia="zh-CN"/>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eastAsia="宋体" w:cs="宋体"/>
          <w:color w:val="auto"/>
          <w:sz w:val="24"/>
          <w:szCs w:val="24"/>
        </w:rPr>
        <w:t>放映方案</w:t>
      </w:r>
      <w:r>
        <w:rPr>
          <w:rFonts w:hint="eastAsia" w:ascii="宋体" w:hAnsi="宋体" w:cs="宋体"/>
          <w:color w:val="auto"/>
          <w:sz w:val="24"/>
          <w:szCs w:val="24"/>
          <w:lang w:eastAsia="zh-CN"/>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eastAsia="宋体" w:cs="宋体"/>
          <w:color w:val="auto"/>
          <w:sz w:val="24"/>
          <w:szCs w:val="24"/>
        </w:rPr>
        <w:t>服务方案</w:t>
      </w:r>
      <w:r>
        <w:rPr>
          <w:rFonts w:hint="eastAsia" w:ascii="宋体" w:hAnsi="宋体" w:cs="宋体"/>
          <w:color w:val="auto"/>
          <w:sz w:val="24"/>
          <w:szCs w:val="24"/>
          <w:lang w:eastAsia="zh-CN"/>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工作量及计划安排；</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cs="宋体"/>
          <w:color w:val="auto"/>
          <w:kern w:val="2"/>
          <w:sz w:val="24"/>
          <w:szCs w:val="21"/>
        </w:rPr>
        <w:t>进度保证措施</w:t>
      </w:r>
      <w:r>
        <w:rPr>
          <w:rFonts w:hint="eastAsia" w:ascii="宋体" w:hAnsi="宋体" w:cs="宋体"/>
          <w:color w:val="auto"/>
          <w:kern w:val="2"/>
          <w:sz w:val="24"/>
          <w:szCs w:val="21"/>
          <w:lang w:eastAsia="zh-CN"/>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质量保证措施；</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cs="宋体"/>
          <w:color w:val="auto"/>
          <w:kern w:val="2"/>
          <w:sz w:val="24"/>
          <w:szCs w:val="21"/>
        </w:rPr>
        <w:t>安全保障措施</w:t>
      </w:r>
      <w:r>
        <w:rPr>
          <w:rFonts w:hint="eastAsia" w:cs="宋体" w:asciiTheme="minorEastAsia" w:hAnsiTheme="minorEastAsia" w:eastAsiaTheme="minorEastAsia"/>
          <w:color w:val="auto"/>
          <w:sz w:val="24"/>
          <w:szCs w:val="24"/>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突发事件应急预案；</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ascii="宋体" w:hAnsi="宋体" w:cs="宋体"/>
          <w:color w:val="auto"/>
          <w:kern w:val="2"/>
          <w:sz w:val="24"/>
          <w:szCs w:val="21"/>
          <w:lang w:val="en-US" w:eastAsia="zh-CN"/>
        </w:rPr>
        <w:t>合理化建议；</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lang w:eastAsia="zh-CN"/>
        </w:rPr>
        <w:t>售后服务</w:t>
      </w:r>
      <w:r>
        <w:rPr>
          <w:rFonts w:hint="eastAsia" w:cs="宋体" w:asciiTheme="minorEastAsia" w:hAnsiTheme="minorEastAsia" w:eastAsiaTheme="minorEastAsia"/>
          <w:color w:val="auto"/>
          <w:sz w:val="24"/>
          <w:szCs w:val="24"/>
        </w:rPr>
        <w:t>；</w:t>
      </w:r>
    </w:p>
    <w:p>
      <w:pPr>
        <w:numPr>
          <w:ilvl w:val="0"/>
          <w:numId w:val="20"/>
        </w:numPr>
        <w:spacing w:line="360" w:lineRule="auto"/>
        <w:ind w:firstLine="480" w:firstLineChars="200"/>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业绩；</w:t>
      </w:r>
    </w:p>
    <w:p>
      <w:pPr>
        <w:numPr>
          <w:ilvl w:val="0"/>
          <w:numId w:val="20"/>
        </w:numPr>
        <w:spacing w:line="360" w:lineRule="auto"/>
        <w:ind w:firstLine="480" w:firstLineChars="200"/>
        <w:rPr>
          <w:rFonts w:hint="eastAsia" w:cs="宋体" w:asciiTheme="minorEastAsia" w:hAnsiTheme="minorEastAsia" w:eastAsiaTheme="minorEastAsia"/>
          <w:color w:val="auto"/>
          <w:sz w:val="24"/>
          <w:szCs w:val="24"/>
          <w:lang w:eastAsia="zh-CN"/>
        </w:rPr>
      </w:pPr>
      <w:r>
        <w:rPr>
          <w:rFonts w:hint="eastAsia" w:cs="宋体" w:asciiTheme="minorEastAsia" w:hAnsiTheme="minorEastAsia" w:eastAsiaTheme="minorEastAsia"/>
          <w:color w:val="auto"/>
          <w:sz w:val="24"/>
          <w:szCs w:val="24"/>
          <w:lang w:eastAsia="zh-CN"/>
        </w:rPr>
        <w:t>荣誉；</w:t>
      </w:r>
    </w:p>
    <w:p>
      <w:pPr>
        <w:numPr>
          <w:ilvl w:val="0"/>
          <w:numId w:val="20"/>
        </w:numPr>
        <w:spacing w:line="360" w:lineRule="auto"/>
        <w:ind w:firstLine="480" w:firstLineChars="200"/>
        <w:rPr>
          <w:rFonts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供应商认为需要的其他文件资料。</w:t>
      </w:r>
    </w:p>
    <w:p>
      <w:pPr>
        <w:snapToGrid w:val="0"/>
        <w:spacing w:before="50" w:after="50"/>
        <w:jc w:val="left"/>
        <w:rPr>
          <w:rFonts w:hint="eastAsia" w:ascii="宋体" w:hAnsi="宋体" w:eastAsia="宋体" w:cs="宋体"/>
          <w:b/>
          <w:bCs/>
          <w:color w:val="auto"/>
          <w:sz w:val="24"/>
          <w:szCs w:val="24"/>
          <w:highlight w:val="none"/>
          <w:lang w:val="zh-CN"/>
        </w:rPr>
      </w:pPr>
    </w:p>
    <w:p>
      <w:pPr>
        <w:pStyle w:val="3"/>
        <w:rPr>
          <w:rFonts w:hint="eastAsia" w:ascii="宋体" w:hAnsi="宋体" w:eastAsia="宋体" w:cs="宋体"/>
          <w:b/>
          <w:bCs/>
          <w:color w:val="auto"/>
          <w:sz w:val="24"/>
          <w:szCs w:val="24"/>
          <w:highlight w:val="none"/>
          <w:lang w:val="zh-CN"/>
        </w:rPr>
      </w:pPr>
    </w:p>
    <w:p>
      <w:pPr>
        <w:rPr>
          <w:rFonts w:hint="eastAsia"/>
          <w:color w:val="auto"/>
          <w:lang w:val="zh-CN"/>
        </w:rPr>
      </w:pPr>
    </w:p>
    <w:p>
      <w:pPr>
        <w:pStyle w:val="3"/>
        <w:rPr>
          <w:rFonts w:hint="eastAsia"/>
          <w:color w:val="auto"/>
          <w:lang w:val="zh-CN"/>
        </w:rPr>
      </w:pPr>
    </w:p>
    <w:p>
      <w:pPr>
        <w:rPr>
          <w:rFonts w:hint="eastAsia"/>
          <w:color w:val="auto"/>
          <w:lang w:val="zh-CN"/>
        </w:rPr>
      </w:pPr>
    </w:p>
    <w:p>
      <w:pPr>
        <w:pStyle w:val="3"/>
        <w:rPr>
          <w:rFonts w:hint="eastAsia"/>
          <w:color w:val="auto"/>
          <w:lang w:val="zh-CN"/>
        </w:rPr>
      </w:pPr>
    </w:p>
    <w:p>
      <w:pPr>
        <w:snapToGrid w:val="0"/>
        <w:spacing w:before="50" w:after="50"/>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附件</w:t>
      </w:r>
      <w:r>
        <w:rPr>
          <w:rFonts w:hint="eastAsia" w:ascii="宋体" w:hAnsi="宋体" w:cs="宋体"/>
          <w:b/>
          <w:bCs/>
          <w:color w:val="auto"/>
          <w:sz w:val="24"/>
          <w:szCs w:val="24"/>
          <w:highlight w:val="none"/>
          <w:lang w:val="zh-CN"/>
        </w:rPr>
        <w:t>六</w:t>
      </w:r>
      <w:r>
        <w:rPr>
          <w:rFonts w:hint="eastAsia" w:ascii="宋体" w:hAnsi="宋体" w:eastAsia="宋体" w:cs="宋体"/>
          <w:b/>
          <w:bCs/>
          <w:color w:val="auto"/>
          <w:sz w:val="24"/>
          <w:szCs w:val="24"/>
          <w:highlight w:val="none"/>
          <w:lang w:val="zh-CN"/>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评分对应表</w:t>
      </w:r>
    </w:p>
    <w:p>
      <w:pPr>
        <w:snapToGrid w:val="0"/>
        <w:spacing w:before="50"/>
        <w:jc w:val="center"/>
        <w:rPr>
          <w:rFonts w:hint="eastAsia" w:ascii="宋体" w:hAnsi="宋体" w:eastAsia="宋体" w:cs="宋体"/>
          <w:b/>
          <w:bCs/>
          <w:color w:val="auto"/>
          <w:sz w:val="32"/>
          <w:szCs w:val="32"/>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对应评分办法及评分标准</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hint="eastAsia" w:ascii="宋体" w:hAnsi="宋体" w:eastAsia="宋体" w:cs="宋体"/>
                <w:color w:val="auto"/>
                <w:sz w:val="24"/>
                <w:szCs w:val="24"/>
                <w:highlight w:val="none"/>
              </w:rPr>
            </w:pPr>
          </w:p>
        </w:tc>
      </w:tr>
    </w:tbl>
    <w:p>
      <w:pPr>
        <w:spacing w:line="360" w:lineRule="auto"/>
        <w:ind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rPr>
          <w:rFonts w:hint="eastAsia" w:ascii="宋体" w:hAnsi="宋体" w:eastAsia="宋体" w:cs="宋体"/>
          <w:color w:val="auto"/>
          <w:highlight w:val="none"/>
          <w:lang w:val="zh-CN"/>
        </w:rPr>
      </w:pPr>
    </w:p>
    <w:p>
      <w:pP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供应商商务技术文件中资信分自评表</w:t>
      </w:r>
      <w:bookmarkEnd w:id="103"/>
    </w:p>
    <w:p>
      <w:pPr>
        <w:snapToGrid w:val="0"/>
        <w:spacing w:before="50"/>
        <w:jc w:val="center"/>
        <w:rPr>
          <w:rFonts w:hint="eastAsia" w:ascii="宋体" w:hAnsi="宋体" w:eastAsia="宋体" w:cs="宋体"/>
          <w:b/>
          <w:bCs/>
          <w:color w:val="auto"/>
          <w:sz w:val="32"/>
          <w:szCs w:val="32"/>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387"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资信分内容</w:t>
            </w:r>
          </w:p>
        </w:tc>
        <w:tc>
          <w:tcPr>
            <w:tcW w:w="146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自评得分</w:t>
            </w:r>
          </w:p>
        </w:tc>
        <w:tc>
          <w:tcPr>
            <w:tcW w:w="2415" w:type="dxa"/>
            <w:tcBorders>
              <w:righ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响应文件对应资料</w:t>
            </w:r>
          </w:p>
        </w:tc>
        <w:tc>
          <w:tcPr>
            <w:tcW w:w="1746" w:type="dxa"/>
            <w:tcBorders>
              <w:left w:val="single" w:color="auto" w:sz="4" w:space="0"/>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p>
        </w:tc>
        <w:tc>
          <w:tcPr>
            <w:tcW w:w="2387" w:type="dxa"/>
          </w:tcPr>
          <w:p>
            <w:pPr>
              <w:jc w:val="center"/>
              <w:rPr>
                <w:rFonts w:hint="eastAsia" w:ascii="宋体" w:hAnsi="宋体" w:eastAsia="宋体" w:cs="宋体"/>
                <w:color w:val="auto"/>
                <w:sz w:val="24"/>
                <w:szCs w:val="24"/>
                <w:highlight w:val="none"/>
              </w:rPr>
            </w:pPr>
          </w:p>
        </w:tc>
        <w:tc>
          <w:tcPr>
            <w:tcW w:w="1462" w:type="dxa"/>
          </w:tcPr>
          <w:p>
            <w:pPr>
              <w:jc w:val="center"/>
              <w:rPr>
                <w:rFonts w:hint="eastAsia" w:ascii="宋体" w:hAnsi="宋体" w:eastAsia="宋体" w:cs="宋体"/>
                <w:color w:val="auto"/>
                <w:sz w:val="24"/>
                <w:szCs w:val="24"/>
                <w:highlight w:val="none"/>
              </w:rPr>
            </w:pPr>
          </w:p>
        </w:tc>
        <w:tc>
          <w:tcPr>
            <w:tcW w:w="2415" w:type="dxa"/>
            <w:tcBorders>
              <w:right w:val="single" w:color="auto" w:sz="4" w:space="0"/>
            </w:tcBorders>
          </w:tcPr>
          <w:p>
            <w:pPr>
              <w:jc w:val="center"/>
              <w:rPr>
                <w:rFonts w:hint="eastAsia" w:ascii="宋体" w:hAnsi="宋体" w:eastAsia="宋体" w:cs="宋体"/>
                <w:color w:val="auto"/>
                <w:sz w:val="24"/>
                <w:szCs w:val="24"/>
                <w:highlight w:val="none"/>
              </w:rPr>
            </w:pPr>
          </w:p>
        </w:tc>
        <w:tc>
          <w:tcPr>
            <w:tcW w:w="1746" w:type="dxa"/>
            <w:tcBorders>
              <w:left w:val="single" w:color="auto" w:sz="4" w:space="0"/>
            </w:tcBorders>
          </w:tcPr>
          <w:p>
            <w:pPr>
              <w:jc w:val="center"/>
              <w:rPr>
                <w:rFonts w:hint="eastAsia" w:ascii="宋体" w:hAnsi="宋体" w:eastAsia="宋体" w:cs="宋体"/>
                <w:color w:val="auto"/>
                <w:sz w:val="24"/>
                <w:szCs w:val="24"/>
                <w:highlight w:val="none"/>
              </w:rPr>
            </w:pPr>
          </w:p>
        </w:tc>
      </w:tr>
    </w:tbl>
    <w:p>
      <w:pPr>
        <w:spacing w:line="360" w:lineRule="auto"/>
        <w:ind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snapToGrid w:val="0"/>
        <w:spacing w:before="50" w:afterLines="50"/>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30"/>
          <w:szCs w:val="30"/>
          <w:highlight w:val="none"/>
        </w:rPr>
        <w:br w:type="page"/>
      </w:r>
      <w:r>
        <w:rPr>
          <w:rFonts w:hint="eastAsia" w:ascii="宋体" w:hAnsi="宋体" w:eastAsia="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zh-CN"/>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投标项目明细清单</w:t>
      </w:r>
    </w:p>
    <w:p>
      <w:pPr>
        <w:spacing w:line="360" w:lineRule="auto"/>
        <w:ind w:firstLine="480" w:firstLineChars="200"/>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bl>
    <w:p>
      <w:pPr>
        <w:snapToGrid w:val="0"/>
        <w:spacing w:beforeLines="5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注：在填写时，如上表不适合本项目的实际情况，可在确保投标明细内容完整的情况下，根据上表格式自行划表填写。</w:t>
      </w: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pStyle w:val="12"/>
        <w:rPr>
          <w:rFonts w:hint="eastAsia" w:ascii="宋体" w:hAnsi="宋体" w:eastAsia="宋体" w:cs="宋体"/>
          <w:color w:val="auto"/>
          <w:highlight w:val="none"/>
        </w:rPr>
      </w:pPr>
    </w:p>
    <w:p>
      <w:pPr>
        <w:snapToGrid w:val="0"/>
        <w:spacing w:beforeLines="5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snapToGrid w:val="0"/>
        <w:spacing w:before="50" w:after="50"/>
        <w:rPr>
          <w:rFonts w:hint="eastAsia" w:ascii="宋体" w:hAnsi="宋体" w:eastAsia="宋体" w:cs="宋体"/>
          <w:color w:val="auto"/>
          <w:spacing w:val="20"/>
          <w:sz w:val="24"/>
          <w:szCs w:val="24"/>
          <w:highlight w:val="none"/>
        </w:rPr>
      </w:pPr>
    </w:p>
    <w:p>
      <w:pPr>
        <w:snapToGrid w:val="0"/>
        <w:spacing w:before="50" w:after="50"/>
        <w:rPr>
          <w:rFonts w:hint="eastAsia" w:ascii="宋体" w:hAnsi="宋体" w:eastAsia="宋体" w:cs="宋体"/>
          <w:color w:val="auto"/>
          <w:spacing w:val="20"/>
          <w:sz w:val="30"/>
          <w:szCs w:val="30"/>
          <w:highlight w:val="none"/>
        </w:rPr>
      </w:pPr>
    </w:p>
    <w:p>
      <w:pPr>
        <w:pStyle w:val="12"/>
        <w:ind w:firstLine="686"/>
        <w:rPr>
          <w:rFonts w:hint="eastAsia" w:ascii="宋体" w:hAnsi="宋体" w:eastAsia="宋体" w:cs="宋体"/>
          <w:color w:val="auto"/>
          <w:spacing w:val="20"/>
          <w:sz w:val="30"/>
          <w:szCs w:val="30"/>
          <w:highlight w:val="none"/>
        </w:rPr>
      </w:pPr>
    </w:p>
    <w:p>
      <w:pPr>
        <w:pStyle w:val="12"/>
        <w:ind w:firstLine="686"/>
        <w:rPr>
          <w:rFonts w:hint="eastAsia" w:ascii="宋体" w:hAnsi="宋体" w:eastAsia="宋体" w:cs="宋体"/>
          <w:color w:val="auto"/>
          <w:spacing w:val="20"/>
          <w:sz w:val="30"/>
          <w:szCs w:val="30"/>
          <w:highlight w:val="none"/>
        </w:rPr>
        <w:sectPr>
          <w:pgSz w:w="11906" w:h="16838"/>
          <w:pgMar w:top="1440" w:right="1800" w:bottom="1440" w:left="1800" w:header="851" w:footer="992" w:gutter="0"/>
          <w:cols w:space="425" w:num="1"/>
          <w:docGrid w:type="lines" w:linePitch="312" w:charSpace="0"/>
        </w:sectPr>
      </w:pPr>
    </w:p>
    <w:p>
      <w:pPr>
        <w:rPr>
          <w:rFonts w:hint="eastAsia" w:ascii="宋体" w:hAnsi="宋体" w:eastAsia="宋体" w:cs="宋体"/>
          <w:b/>
          <w:bCs/>
          <w:color w:val="auto"/>
          <w:sz w:val="24"/>
          <w:szCs w:val="24"/>
          <w:highlight w:val="none"/>
        </w:rPr>
      </w:pPr>
      <w:bookmarkStart w:id="104" w:name="_Toc2823"/>
      <w:r>
        <w:rPr>
          <w:rFonts w:hint="eastAsia" w:ascii="宋体" w:hAnsi="宋体" w:eastAsia="宋体" w:cs="宋体"/>
          <w:b/>
          <w:bCs/>
          <w:color w:val="auto"/>
          <w:sz w:val="24"/>
          <w:szCs w:val="24"/>
          <w:highlight w:val="none"/>
        </w:rPr>
        <w:t>附件</w:t>
      </w:r>
      <w:r>
        <w:rPr>
          <w:rFonts w:hint="eastAsia" w:ascii="宋体" w:hAnsi="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技术响应及建议表</w:t>
      </w:r>
      <w:bookmarkEnd w:id="104"/>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磋商文件要求</w:t>
            </w: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响应文件响应</w:t>
            </w: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44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80" w:type="dxa"/>
            <w:vAlign w:val="center"/>
          </w:tcPr>
          <w:p>
            <w:pPr>
              <w:snapToGrid w:val="0"/>
              <w:spacing w:before="50" w:after="50"/>
              <w:jc w:val="center"/>
              <w:rPr>
                <w:rFonts w:hint="eastAsia" w:ascii="宋体" w:hAnsi="宋体" w:eastAsia="宋体" w:cs="宋体"/>
                <w:color w:val="auto"/>
                <w:sz w:val="24"/>
                <w:szCs w:val="24"/>
                <w:highlight w:val="none"/>
              </w:rPr>
            </w:pPr>
          </w:p>
        </w:tc>
        <w:tc>
          <w:tcPr>
            <w:tcW w:w="2520" w:type="dxa"/>
            <w:vAlign w:val="center"/>
          </w:tcPr>
          <w:p>
            <w:pPr>
              <w:snapToGrid w:val="0"/>
              <w:spacing w:before="50" w:after="50"/>
              <w:jc w:val="center"/>
              <w:rPr>
                <w:rFonts w:hint="eastAsia" w:ascii="宋体" w:hAnsi="宋体" w:eastAsia="宋体" w:cs="宋体"/>
                <w:color w:val="auto"/>
                <w:sz w:val="24"/>
                <w:szCs w:val="24"/>
                <w:highlight w:val="none"/>
              </w:rPr>
            </w:pPr>
          </w:p>
        </w:tc>
        <w:tc>
          <w:tcPr>
            <w:tcW w:w="1953" w:type="dxa"/>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投标建议</w:t>
            </w:r>
          </w:p>
        </w:tc>
        <w:tc>
          <w:tcPr>
            <w:tcW w:w="6453" w:type="dxa"/>
            <w:gridSpan w:val="3"/>
            <w:vAlign w:val="center"/>
          </w:tcPr>
          <w:p>
            <w:pPr>
              <w:spacing w:line="360" w:lineRule="auto"/>
              <w:jc w:val="center"/>
              <w:rPr>
                <w:rFonts w:hint="eastAsia" w:ascii="宋体" w:hAnsi="宋体" w:eastAsia="宋体" w:cs="宋体"/>
                <w:color w:val="auto"/>
                <w:sz w:val="24"/>
                <w:szCs w:val="24"/>
                <w:highlight w:val="none"/>
              </w:rPr>
            </w:pPr>
          </w:p>
        </w:tc>
      </w:tr>
    </w:tbl>
    <w:p>
      <w:pPr>
        <w:snapToGrid w:val="0"/>
        <w:spacing w:line="360" w:lineRule="auto"/>
        <w:rPr>
          <w:rFonts w:hint="eastAsia" w:ascii="宋体" w:hAnsi="宋体" w:eastAsia="宋体" w:cs="宋体"/>
          <w:color w:val="auto"/>
          <w:sz w:val="24"/>
          <w:szCs w:val="24"/>
          <w:highlight w:val="none"/>
        </w:rPr>
      </w:pPr>
    </w:p>
    <w:p>
      <w:pPr>
        <w:pStyle w:val="16"/>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注：名称可基于项目清单根据供应商实际情况调整。</w:t>
      </w:r>
    </w:p>
    <w:p>
      <w:pPr>
        <w:rPr>
          <w:rFonts w:hint="eastAsia" w:ascii="宋体" w:hAnsi="宋体" w:eastAsia="宋体" w:cs="宋体"/>
          <w:color w:val="auto"/>
          <w:sz w:val="24"/>
          <w:szCs w:val="24"/>
          <w:highlight w:val="none"/>
        </w:rPr>
      </w:pPr>
    </w:p>
    <w:p>
      <w:pPr>
        <w:pStyle w:val="12"/>
        <w:rPr>
          <w:rFonts w:hint="eastAsia" w:ascii="宋体" w:hAnsi="宋体" w:eastAsia="宋体" w:cs="宋体"/>
          <w:color w:val="auto"/>
          <w:highlight w:val="none"/>
        </w:rPr>
      </w:pPr>
    </w:p>
    <w:p>
      <w:pPr>
        <w:snapToGrid w:val="0"/>
        <w:spacing w:line="360" w:lineRule="auto"/>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w:t>
      </w:r>
      <w:r>
        <w:rPr>
          <w:rFonts w:hint="eastAsia" w:ascii="宋体" w:hAnsi="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商务响应表</w:t>
      </w:r>
    </w:p>
    <w:p>
      <w:pPr>
        <w:snapToGrid w:val="0"/>
        <w:spacing w:before="50"/>
        <w:jc w:val="center"/>
        <w:rPr>
          <w:rFonts w:hint="eastAsia" w:ascii="宋体" w:hAnsi="宋体" w:eastAsia="宋体" w:cs="宋体"/>
          <w:b/>
          <w:bCs/>
          <w:color w:val="auto"/>
          <w:sz w:val="32"/>
          <w:szCs w:val="32"/>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w:t>
            </w:r>
          </w:p>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p>
        </w:tc>
      </w:tr>
    </w:tbl>
    <w:p>
      <w:pPr>
        <w:spacing w:line="360" w:lineRule="auto"/>
        <w:ind w:left="3780" w:leftChars="1800"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snapToGrid w:val="0"/>
        <w:spacing w:before="50" w:after="50"/>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br w:type="page"/>
      </w:r>
      <w:r>
        <w:rPr>
          <w:rFonts w:hint="eastAsia" w:ascii="宋体" w:hAnsi="宋体" w:eastAsia="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十一</w:t>
      </w:r>
      <w:r>
        <w:rPr>
          <w:rFonts w:hint="eastAsia" w:ascii="宋体" w:hAnsi="宋体" w:eastAsia="宋体" w:cs="宋体"/>
          <w:b/>
          <w:bCs/>
          <w:color w:val="auto"/>
          <w:sz w:val="24"/>
          <w:szCs w:val="24"/>
          <w:highlight w:val="none"/>
          <w:lang w:val="zh-CN"/>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项目组人员清单</w:t>
      </w:r>
    </w:p>
    <w:p>
      <w:pPr>
        <w:snapToGrid w:val="0"/>
        <w:spacing w:beforeLines="50" w:after="50"/>
        <w:jc w:val="center"/>
        <w:rPr>
          <w:rFonts w:hint="eastAsia" w:ascii="宋体" w:hAnsi="宋体" w:eastAsia="宋体" w:cs="宋体"/>
          <w:b/>
          <w:bCs/>
          <w:color w:val="auto"/>
          <w:sz w:val="30"/>
          <w:szCs w:val="30"/>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采购编号：</w:t>
      </w:r>
    </w:p>
    <w:tbl>
      <w:tblPr>
        <w:tblStyle w:val="25"/>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460" w:lineRule="exact"/>
              <w:ind w:left="5250"/>
              <w:rPr>
                <w:rFonts w:hint="eastAsia" w:ascii="宋体" w:hAnsi="宋体" w:eastAsia="宋体"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hint="eastAsia" w:ascii="宋体" w:hAnsi="宋体" w:eastAsia="宋体" w:cs="宋体"/>
                <w:color w:val="auto"/>
                <w:sz w:val="24"/>
                <w:szCs w:val="24"/>
                <w:highlight w:val="none"/>
              </w:rPr>
            </w:pPr>
          </w:p>
        </w:tc>
      </w:tr>
    </w:tbl>
    <w:p>
      <w:pPr>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注：在填写时，如本表格不适合投标单位的实际情况，可根据本表格式自行划表填写。 </w:t>
      </w:r>
    </w:p>
    <w:p>
      <w:pPr>
        <w:pStyle w:val="12"/>
        <w:rPr>
          <w:rFonts w:hint="eastAsia" w:ascii="宋体" w:hAnsi="宋体" w:eastAsia="宋体" w:cs="宋体"/>
          <w:color w:val="auto"/>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spacing w:line="360" w:lineRule="auto"/>
        <w:jc w:val="center"/>
        <w:rPr>
          <w:rFonts w:hint="eastAsia" w:ascii="宋体" w:hAnsi="宋体" w:eastAsia="宋体" w:cs="宋体"/>
          <w:b/>
          <w:bCs/>
          <w:color w:val="auto"/>
          <w:kern w:val="0"/>
          <w:sz w:val="36"/>
          <w:szCs w:val="36"/>
          <w:highlight w:val="none"/>
        </w:rPr>
      </w:pPr>
      <w:r>
        <w:rPr>
          <w:rFonts w:hint="eastAsia" w:ascii="宋体" w:hAnsi="宋体" w:eastAsia="宋体" w:cs="宋体"/>
          <w:color w:val="auto"/>
          <w:spacing w:val="20"/>
          <w:sz w:val="30"/>
          <w:szCs w:val="30"/>
          <w:highlight w:val="none"/>
        </w:rPr>
        <w:br w:type="page"/>
      </w:r>
      <w:r>
        <w:rPr>
          <w:rFonts w:hint="eastAsia" w:ascii="宋体" w:hAnsi="宋体" w:eastAsia="宋体" w:cs="宋体"/>
          <w:b/>
          <w:bCs/>
          <w:color w:val="auto"/>
          <w:kern w:val="0"/>
          <w:sz w:val="36"/>
          <w:szCs w:val="36"/>
          <w:highlight w:val="none"/>
        </w:rPr>
        <w:t>报价文件</w:t>
      </w:r>
    </w:p>
    <w:p>
      <w:pPr>
        <w:spacing w:line="360" w:lineRule="auto"/>
        <w:jc w:val="center"/>
        <w:rPr>
          <w:rFonts w:hint="eastAsia" w:ascii="宋体" w:hAnsi="宋体" w:eastAsia="宋体" w:cs="宋体"/>
          <w:b/>
          <w:bCs/>
          <w:color w:val="auto"/>
          <w:kern w:val="0"/>
          <w:sz w:val="36"/>
          <w:szCs w:val="36"/>
          <w:highlight w:val="none"/>
        </w:rPr>
      </w:pPr>
    </w:p>
    <w:p>
      <w:pPr>
        <w:spacing w:line="360" w:lineRule="auto"/>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目录</w:t>
      </w:r>
    </w:p>
    <w:p>
      <w:pPr>
        <w:pStyle w:val="12"/>
        <w:ind w:firstLine="723"/>
        <w:rPr>
          <w:rFonts w:hint="eastAsia" w:ascii="宋体" w:hAnsi="宋体" w:eastAsia="宋体" w:cs="宋体"/>
          <w:b/>
          <w:bCs/>
          <w:color w:val="auto"/>
          <w:kern w:val="0"/>
          <w:sz w:val="36"/>
          <w:szCs w:val="36"/>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（1）磋商函（格式见附件）；</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（2）报价一览表（格式见附件）；</w:t>
      </w:r>
    </w:p>
    <w:p>
      <w:pPr>
        <w:spacing w:line="36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（3）磋商报价明细表（格式见附件）</w:t>
      </w:r>
      <w:r>
        <w:rPr>
          <w:rFonts w:hint="eastAsia" w:ascii="宋体" w:hAnsi="宋体" w:eastAsia="宋体" w:cs="宋体"/>
          <w:color w:val="auto"/>
          <w:sz w:val="24"/>
          <w:szCs w:val="24"/>
          <w:highlight w:val="none"/>
          <w:lang w:eastAsia="zh-CN"/>
        </w:rPr>
        <w:t>；</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rPr>
          <w:rFonts w:hint="eastAsia" w:ascii="宋体" w:hAnsi="宋体" w:eastAsia="宋体" w:cs="宋体"/>
          <w:b/>
          <w:bCs/>
          <w:color w:val="auto"/>
          <w:highlight w:val="none"/>
          <w:lang w:val="zh-CN"/>
        </w:rPr>
      </w:pPr>
      <w:bookmarkStart w:id="105" w:name="_Toc3094"/>
      <w:r>
        <w:rPr>
          <w:rFonts w:hint="eastAsia" w:ascii="宋体" w:hAnsi="宋体" w:eastAsia="宋体" w:cs="宋体"/>
          <w:b/>
          <w:bCs/>
          <w:color w:val="auto"/>
          <w:sz w:val="24"/>
          <w:szCs w:val="24"/>
          <w:highlight w:val="none"/>
          <w:lang w:val="zh-CN"/>
        </w:rPr>
        <w:t>附件</w:t>
      </w:r>
      <w:bookmarkStart w:id="106" w:name="_Toc98731770"/>
      <w:bookmarkStart w:id="107" w:name="_Toc130094924"/>
      <w:r>
        <w:rPr>
          <w:rFonts w:hint="eastAsia" w:ascii="宋体" w:hAnsi="宋体" w:cs="宋体"/>
          <w:b/>
          <w:bCs/>
          <w:color w:val="auto"/>
          <w:sz w:val="24"/>
          <w:szCs w:val="24"/>
          <w:highlight w:val="none"/>
          <w:lang w:val="en-US" w:eastAsia="zh-CN"/>
        </w:rPr>
        <w:t>十二</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磋 商 函</w:t>
      </w:r>
      <w:bookmarkEnd w:id="105"/>
      <w:bookmarkEnd w:id="106"/>
      <w:bookmarkEnd w:id="107"/>
    </w:p>
    <w:p>
      <w:pPr>
        <w:spacing w:line="360" w:lineRule="auto"/>
        <w:ind w:firstLine="480" w:firstLineChars="200"/>
        <w:rPr>
          <w:rFonts w:hint="eastAsia" w:ascii="宋体" w:hAnsi="宋体" w:eastAsia="宋体" w:cs="宋体"/>
          <w:color w:val="auto"/>
          <w:sz w:val="24"/>
          <w:szCs w:val="24"/>
          <w:highlight w:val="none"/>
          <w:u w:val="singl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浙江省成套工程有限公司</w:t>
      </w:r>
      <w:r>
        <w:rPr>
          <w:rFonts w:hint="eastAsia" w:ascii="宋体" w:hAnsi="宋体" w:eastAsia="宋体" w:cs="宋体"/>
          <w:color w:val="auto"/>
          <w:sz w:val="24"/>
          <w:szCs w:val="24"/>
          <w:highlight w:val="none"/>
        </w:rPr>
        <w:t>：</w:t>
      </w:r>
    </w:p>
    <w:p>
      <w:pPr>
        <w:spacing w:line="360" w:lineRule="auto"/>
        <w:ind w:firstLine="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我单位认真研究了关于</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hint="eastAsia" w:ascii="宋体" w:hAnsi="宋体" w:eastAsia="宋体" w:cs="宋体"/>
          <w:color w:val="auto"/>
          <w:sz w:val="24"/>
          <w:szCs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hint="eastAsia" w:ascii="宋体" w:hAnsi="宋体" w:eastAsia="宋体" w:cs="宋体"/>
          <w:color w:val="auto"/>
          <w:sz w:val="24"/>
          <w:szCs w:val="24"/>
          <w:highlight w:val="none"/>
        </w:rPr>
        <w:t>1、一旦我单位中标，我单位愿意承接报价一览表中所列的技术服务，服务期为：</w:t>
      </w:r>
      <w:r>
        <w:rPr>
          <w:rFonts w:hint="eastAsia" w:ascii="宋体" w:hAnsi="宋体" w:eastAsia="宋体" w:cs="宋体"/>
          <w:color w:val="auto"/>
          <w:sz w:val="24"/>
          <w:szCs w:val="24"/>
          <w:highlight w:val="none"/>
          <w:u w:val="single"/>
        </w:rPr>
        <w:t xml:space="preserve">     </w:t>
      </w:r>
      <w:r>
        <w:rPr>
          <w:rFonts w:hint="eastAsia" w:ascii="宋体" w:hAnsi="宋体" w:cs="宋体"/>
          <w:color w:val="auto"/>
          <w:sz w:val="24"/>
          <w:szCs w:val="24"/>
          <w:highlight w:val="none"/>
          <w:lang w:eastAsia="zh-CN"/>
        </w:rPr>
        <w:t>年</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3、一旦我单位中标，我们保证按照磋商文件的要求，完成服务。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4、如果我单位中标，我方将按照要求严格履行合同义务。</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5、除非另行达成协议并生效，你方的成交通知书和本磋商函将构成约束你我双方的合同。</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6、我单位承诺，一旦发生磋商文件第二部分第11条规定情形之一的，承担该条款约定的责任。</w:t>
      </w:r>
    </w:p>
    <w:p>
      <w:pPr>
        <w:pStyle w:val="16"/>
        <w:snapToGrid w:val="0"/>
        <w:spacing w:line="360" w:lineRule="auto"/>
        <w:ind w:left="48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邮编：</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传真：</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职务：</w:t>
      </w:r>
      <w:r>
        <w:rPr>
          <w:rFonts w:hint="eastAsia" w:ascii="宋体" w:hAnsi="宋体" w:eastAsia="宋体" w:cs="宋体"/>
          <w:color w:val="auto"/>
          <w:sz w:val="24"/>
          <w:szCs w:val="24"/>
          <w:highlight w:val="none"/>
          <w:u w:val="single"/>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供应商名称</w:t>
      </w:r>
      <w:r>
        <w:rPr>
          <w:rFonts w:hint="eastAsia" w:ascii="宋体" w:hAnsi="宋体" w:eastAsia="宋体" w:cs="宋体"/>
          <w:color w:val="auto"/>
          <w:sz w:val="24"/>
          <w:szCs w:val="24"/>
          <w:highlight w:val="none"/>
          <w:u w:val="single"/>
        </w:rPr>
        <w:t>：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（公章）：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firstLine="5280" w:firstLineChars="2200"/>
        <w:rPr>
          <w:rFonts w:hint="eastAsia" w:ascii="宋体" w:hAnsi="宋体" w:eastAsia="宋体" w:cs="宋体"/>
          <w:color w:val="auto"/>
          <w:sz w:val="24"/>
          <w:szCs w:val="24"/>
          <w:highlight w:val="none"/>
        </w:rPr>
      </w:pPr>
    </w:p>
    <w:p>
      <w:pPr>
        <w:rPr>
          <w:rFonts w:hint="eastAsia" w:ascii="宋体" w:hAnsi="宋体" w:eastAsia="宋体" w:cs="宋体"/>
          <w:color w:val="auto"/>
          <w:sz w:val="24"/>
          <w:szCs w:val="24"/>
          <w:highlight w:val="none"/>
          <w:lang w:val="zh-CN"/>
        </w:rPr>
      </w:pPr>
      <w:bookmarkStart w:id="108" w:name="_Toc12011"/>
      <w:r>
        <w:rPr>
          <w:rFonts w:hint="eastAsia" w:ascii="宋体" w:hAnsi="宋体" w:eastAsia="宋体" w:cs="宋体"/>
          <w:color w:val="auto"/>
          <w:sz w:val="24"/>
          <w:szCs w:val="24"/>
          <w:highlight w:val="none"/>
          <w:lang w:val="zh-CN"/>
        </w:rPr>
        <w:br w:type="page"/>
      </w:r>
    </w:p>
    <w:p>
      <w:pP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附件</w:t>
      </w:r>
      <w:bookmarkStart w:id="109" w:name="_Toc130094925"/>
      <w:bookmarkStart w:id="110" w:name="_Toc98731771"/>
      <w:r>
        <w:rPr>
          <w:rFonts w:hint="eastAsia" w:ascii="宋体" w:hAnsi="宋体" w:eastAsia="宋体" w:cs="宋体"/>
          <w:b/>
          <w:bCs/>
          <w:color w:val="auto"/>
          <w:sz w:val="24"/>
          <w:szCs w:val="24"/>
          <w:highlight w:val="none"/>
        </w:rPr>
        <w:t>十</w:t>
      </w:r>
      <w:r>
        <w:rPr>
          <w:rFonts w:hint="eastAsia" w:ascii="宋体" w:hAnsi="宋体" w:cs="宋体"/>
          <w:b/>
          <w:bCs/>
          <w:color w:val="auto"/>
          <w:sz w:val="24"/>
          <w:szCs w:val="24"/>
          <w:highlight w:val="none"/>
          <w:lang w:eastAsia="zh-CN"/>
        </w:rPr>
        <w:t>三</w:t>
      </w:r>
      <w:r>
        <w:rPr>
          <w:rFonts w:hint="eastAsia" w:ascii="宋体" w:hAnsi="宋体" w:eastAsia="宋体" w:cs="宋体"/>
          <w:b/>
          <w:bCs/>
          <w:color w:val="auto"/>
          <w:sz w:val="24"/>
          <w:szCs w:val="24"/>
          <w:highlight w:val="none"/>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报价一览表</w:t>
      </w:r>
      <w:bookmarkEnd w:id="108"/>
      <w:bookmarkEnd w:id="109"/>
      <w:bookmarkEnd w:id="110"/>
    </w:p>
    <w:p>
      <w:pPr>
        <w:pStyle w:val="16"/>
        <w:spacing w:line="360" w:lineRule="auto"/>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p>
    <w:tbl>
      <w:tblPr>
        <w:tblStyle w:val="25"/>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1" w:hRule="atLeast"/>
          <w:jc w:val="center"/>
        </w:trPr>
        <w:tc>
          <w:tcPr>
            <w:tcW w:w="2137" w:type="dxa"/>
            <w:noWrap w:val="0"/>
            <w:vAlign w:val="center"/>
          </w:tcPr>
          <w:p>
            <w:pPr>
              <w:pStyle w:val="16"/>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投标总价</w:t>
            </w:r>
          </w:p>
        </w:tc>
        <w:tc>
          <w:tcPr>
            <w:tcW w:w="6862" w:type="dxa"/>
            <w:noWrap w:val="0"/>
            <w:vAlign w:val="center"/>
          </w:tcPr>
          <w:p>
            <w:pPr>
              <w:pStyle w:val="16"/>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大写：</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元（小写：</w:t>
            </w:r>
            <w:r>
              <w:rPr>
                <w:rFonts w:hint="eastAsia" w:ascii="宋体" w:hAnsi="宋体" w:eastAsia="宋体" w:cs="宋体"/>
                <w:b/>
                <w:bCs/>
                <w:color w:val="auto"/>
                <w:sz w:val="24"/>
                <w:highlight w:val="none"/>
                <w:lang w:val="en-US" w:eastAsia="zh-CN"/>
              </w:rPr>
              <w:t>¥</w:t>
            </w:r>
            <w:r>
              <w:rPr>
                <w:rFonts w:hint="eastAsia" w:ascii="宋体" w:hAnsi="宋体" w:eastAsia="宋体" w:cs="宋体"/>
                <w:b/>
                <w:bCs/>
                <w:color w:val="auto"/>
                <w:sz w:val="24"/>
                <w:highlight w:val="none"/>
                <w:u w:val="single"/>
              </w:rPr>
              <w:t xml:space="preserve">　　　　 </w:t>
            </w:r>
            <w:r>
              <w:rPr>
                <w:rFonts w:hint="eastAsia" w:ascii="宋体" w:hAnsi="宋体" w:eastAsia="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8" w:hRule="atLeast"/>
          <w:jc w:val="center"/>
        </w:trPr>
        <w:tc>
          <w:tcPr>
            <w:tcW w:w="8999" w:type="dxa"/>
            <w:gridSpan w:val="2"/>
            <w:noWrap w:val="0"/>
            <w:vAlign w:val="center"/>
          </w:tcPr>
          <w:p>
            <w:pPr>
              <w:pStyle w:val="16"/>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szCs w:val="24"/>
                <w:highlight w:val="none"/>
              </w:rPr>
              <w:t>投标报价应包含项目所需全部服务，不得缺漏，是履行合同的最终价格，包括</w:t>
            </w:r>
            <w:r>
              <w:rPr>
                <w:rFonts w:hint="eastAsia" w:hAnsi="宋体" w:cs="宋体"/>
                <w:b/>
                <w:bCs/>
                <w:color w:val="auto"/>
                <w:sz w:val="24"/>
                <w:szCs w:val="24"/>
                <w:highlight w:val="none"/>
                <w:lang w:eastAsia="zh-CN"/>
              </w:rPr>
              <w:t>服务内容</w:t>
            </w:r>
            <w:r>
              <w:rPr>
                <w:rFonts w:hint="eastAsia" w:ascii="宋体" w:hAnsi="宋体" w:eastAsia="宋体" w:cs="宋体"/>
                <w:b/>
                <w:bCs/>
                <w:color w:val="auto"/>
                <w:sz w:val="24"/>
                <w:szCs w:val="24"/>
                <w:highlight w:val="none"/>
              </w:rPr>
              <w:t>、税金、代理服务费及不可预见费用等一切费用。凡投标人在报价中未列明但又为本次采购所必备的项目或遗漏项目，采购方将一律视为已包括在合同价中，在合同执行中将不予考虑。</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6"/>
        <w:spacing w:line="360" w:lineRule="auto"/>
        <w:rPr>
          <w:rFonts w:hint="eastAsia" w:ascii="宋体" w:hAnsi="宋体" w:eastAsia="宋体" w:cs="宋体"/>
          <w:color w:val="auto"/>
          <w:sz w:val="24"/>
          <w:szCs w:val="24"/>
          <w:highlight w:val="none"/>
        </w:rPr>
      </w:pPr>
    </w:p>
    <w:p>
      <w:pPr>
        <w:pStyle w:val="16"/>
        <w:spacing w:line="360" w:lineRule="auto"/>
        <w:rPr>
          <w:rFonts w:hint="eastAsia" w:ascii="宋体" w:hAnsi="宋体" w:eastAsia="宋体" w:cs="宋体"/>
          <w:color w:val="auto"/>
          <w:sz w:val="24"/>
          <w:szCs w:val="24"/>
          <w:highlight w:val="none"/>
        </w:rPr>
      </w:pPr>
    </w:p>
    <w:p>
      <w:pPr>
        <w:pStyle w:val="16"/>
        <w:spacing w:line="360" w:lineRule="auto"/>
        <w:rPr>
          <w:rFonts w:hint="eastAsia" w:ascii="宋体" w:hAnsi="宋体" w:eastAsia="宋体" w:cs="宋体"/>
          <w:color w:val="auto"/>
          <w:sz w:val="24"/>
          <w:szCs w:val="24"/>
          <w:highlight w:val="none"/>
        </w:rPr>
      </w:pP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snapToGrid w:val="0"/>
        <w:spacing w:line="360" w:lineRule="auto"/>
        <w:ind w:firstLine="435"/>
        <w:rPr>
          <w:rFonts w:hint="eastAsia" w:ascii="宋体" w:hAnsi="宋体" w:eastAsia="宋体" w:cs="宋体"/>
          <w:color w:val="auto"/>
          <w:highlight w:val="none"/>
        </w:rPr>
      </w:pPr>
    </w:p>
    <w:p>
      <w:pPr>
        <w:snapToGrid w:val="0"/>
        <w:spacing w:line="360" w:lineRule="auto"/>
        <w:ind w:firstLine="435"/>
        <w:rPr>
          <w:rFonts w:hint="eastAsia" w:ascii="宋体" w:hAnsi="宋体" w:eastAsia="宋体" w:cs="宋体"/>
          <w:color w:val="auto"/>
          <w:highlight w:val="none"/>
        </w:rPr>
      </w:pPr>
    </w:p>
    <w:p>
      <w:pPr>
        <w:spacing w:line="360" w:lineRule="auto"/>
        <w:jc w:val="left"/>
        <w:rPr>
          <w:rFonts w:hint="eastAsia" w:ascii="宋体" w:hAnsi="宋体" w:eastAsia="宋体" w:cs="宋体"/>
          <w:b/>
          <w:bCs/>
          <w:color w:val="auto"/>
          <w:sz w:val="24"/>
          <w:szCs w:val="24"/>
          <w:highlight w:val="none"/>
          <w:lang w:val="zh-CN"/>
        </w:rPr>
      </w:pPr>
      <w:r>
        <w:rPr>
          <w:rFonts w:hint="eastAsia" w:ascii="宋体" w:hAnsi="宋体" w:eastAsia="宋体" w:cs="宋体"/>
          <w:color w:val="auto"/>
          <w:highlight w:val="none"/>
        </w:rPr>
        <w:br w:type="page"/>
      </w:r>
      <w:bookmarkStart w:id="111" w:name="_Toc7196"/>
      <w:r>
        <w:rPr>
          <w:rFonts w:hint="eastAsia" w:ascii="宋体" w:hAnsi="宋体" w:eastAsia="宋体" w:cs="宋体"/>
          <w:b/>
          <w:bCs/>
          <w:color w:val="auto"/>
          <w:sz w:val="24"/>
          <w:szCs w:val="24"/>
          <w:highlight w:val="none"/>
          <w:lang w:val="zh-CN"/>
        </w:rPr>
        <w:t>附件十</w:t>
      </w:r>
      <w:r>
        <w:rPr>
          <w:rFonts w:hint="eastAsia" w:ascii="宋体" w:hAnsi="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lang w:val="zh-CN"/>
        </w:rPr>
        <w:t>：</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磋商报价明细表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采购编号：      </w:t>
      </w:r>
    </w:p>
    <w:tbl>
      <w:tblPr>
        <w:tblStyle w:val="25"/>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1927"/>
        <w:gridCol w:w="1065"/>
        <w:gridCol w:w="1755"/>
        <w:gridCol w:w="480"/>
        <w:gridCol w:w="1049"/>
        <w:gridCol w:w="1148"/>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w:t>
            </w:r>
          </w:p>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号</w:t>
            </w:r>
          </w:p>
        </w:tc>
        <w:tc>
          <w:tcPr>
            <w:tcW w:w="1927"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名称</w:t>
            </w:r>
          </w:p>
        </w:tc>
        <w:tc>
          <w:tcPr>
            <w:tcW w:w="1065"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内容</w:t>
            </w:r>
          </w:p>
        </w:tc>
        <w:tc>
          <w:tcPr>
            <w:tcW w:w="1755"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其他</w:t>
            </w:r>
          </w:p>
        </w:tc>
        <w:tc>
          <w:tcPr>
            <w:tcW w:w="480"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w:t>
            </w:r>
          </w:p>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位</w:t>
            </w:r>
          </w:p>
        </w:tc>
        <w:tc>
          <w:tcPr>
            <w:tcW w:w="1049" w:type="dxa"/>
            <w:vMerge w:val="restart"/>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数量</w:t>
            </w:r>
          </w:p>
        </w:tc>
        <w:tc>
          <w:tcPr>
            <w:tcW w:w="2272" w:type="dxa"/>
            <w:gridSpan w:val="2"/>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1927"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1065"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1755"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480"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1049" w:type="dxa"/>
            <w:vMerge w:val="continue"/>
            <w:vAlign w:val="center"/>
          </w:tcPr>
          <w:p>
            <w:pPr>
              <w:pStyle w:val="16"/>
              <w:spacing w:line="360" w:lineRule="auto"/>
              <w:jc w:val="center"/>
              <w:rPr>
                <w:rFonts w:hint="eastAsia" w:ascii="宋体" w:hAnsi="宋体" w:eastAsia="宋体" w:cs="宋体"/>
                <w:color w:val="auto"/>
                <w:sz w:val="22"/>
                <w:szCs w:val="22"/>
                <w:highlight w:val="none"/>
              </w:rPr>
            </w:pPr>
          </w:p>
        </w:tc>
        <w:tc>
          <w:tcPr>
            <w:tcW w:w="1148" w:type="dxa"/>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单价</w:t>
            </w:r>
          </w:p>
        </w:tc>
        <w:tc>
          <w:tcPr>
            <w:tcW w:w="1124" w:type="dxa"/>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6"/>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927" w:type="dxa"/>
            <w:vAlign w:val="center"/>
          </w:tcPr>
          <w:p>
            <w:pPr>
              <w:pStyle w:val="16"/>
              <w:rPr>
                <w:rFonts w:hint="eastAsia" w:ascii="宋体" w:hAnsi="宋体" w:eastAsia="宋体" w:cs="宋体"/>
                <w:color w:val="auto"/>
                <w:sz w:val="22"/>
                <w:szCs w:val="22"/>
                <w:highlight w:val="none"/>
              </w:rPr>
            </w:pPr>
          </w:p>
        </w:tc>
        <w:tc>
          <w:tcPr>
            <w:tcW w:w="1065" w:type="dxa"/>
            <w:vAlign w:val="center"/>
          </w:tcPr>
          <w:p>
            <w:pPr>
              <w:pStyle w:val="16"/>
              <w:spacing w:line="360" w:lineRule="auto"/>
              <w:rPr>
                <w:rFonts w:hint="eastAsia" w:ascii="宋体" w:hAnsi="宋体" w:eastAsia="宋体" w:cs="宋体"/>
                <w:b/>
                <w:bCs/>
                <w:color w:val="auto"/>
                <w:sz w:val="22"/>
                <w:szCs w:val="22"/>
                <w:highlight w:val="none"/>
              </w:rPr>
            </w:pPr>
          </w:p>
        </w:tc>
        <w:tc>
          <w:tcPr>
            <w:tcW w:w="1755" w:type="dxa"/>
            <w:vAlign w:val="center"/>
          </w:tcPr>
          <w:p>
            <w:pPr>
              <w:pStyle w:val="16"/>
              <w:spacing w:line="360" w:lineRule="auto"/>
              <w:rPr>
                <w:rFonts w:hint="eastAsia" w:ascii="宋体" w:hAnsi="宋体" w:eastAsia="宋体" w:cs="宋体"/>
                <w:b/>
                <w:bCs/>
                <w:color w:val="auto"/>
                <w:sz w:val="22"/>
                <w:szCs w:val="22"/>
                <w:highlight w:val="none"/>
              </w:rPr>
            </w:pPr>
          </w:p>
        </w:tc>
        <w:tc>
          <w:tcPr>
            <w:tcW w:w="480" w:type="dxa"/>
            <w:vAlign w:val="center"/>
          </w:tcPr>
          <w:p>
            <w:pPr>
              <w:pStyle w:val="16"/>
              <w:spacing w:line="360" w:lineRule="auto"/>
              <w:rPr>
                <w:rFonts w:hint="eastAsia" w:ascii="宋体" w:hAnsi="宋体" w:eastAsia="宋体" w:cs="宋体"/>
                <w:b w:val="0"/>
                <w:bCs w:val="0"/>
                <w:color w:val="auto"/>
                <w:sz w:val="22"/>
                <w:szCs w:val="22"/>
                <w:highlight w:val="none"/>
                <w:lang w:val="en-US" w:eastAsia="zh-CN"/>
              </w:rPr>
            </w:pPr>
          </w:p>
        </w:tc>
        <w:tc>
          <w:tcPr>
            <w:tcW w:w="1049" w:type="dxa"/>
            <w:vAlign w:val="center"/>
          </w:tcPr>
          <w:p>
            <w:pPr>
              <w:pStyle w:val="16"/>
              <w:spacing w:line="360" w:lineRule="auto"/>
              <w:rPr>
                <w:rFonts w:hint="eastAsia" w:ascii="宋体" w:hAnsi="宋体" w:eastAsia="宋体" w:cs="宋体"/>
                <w:b w:val="0"/>
                <w:bCs w:val="0"/>
                <w:color w:val="auto"/>
                <w:sz w:val="22"/>
                <w:szCs w:val="22"/>
                <w:highlight w:val="none"/>
                <w:lang w:val="en-US" w:eastAsia="zh-CN"/>
              </w:rPr>
            </w:pPr>
          </w:p>
        </w:tc>
        <w:tc>
          <w:tcPr>
            <w:tcW w:w="1148" w:type="dxa"/>
          </w:tcPr>
          <w:p>
            <w:pPr>
              <w:pStyle w:val="16"/>
              <w:spacing w:line="360" w:lineRule="auto"/>
              <w:rPr>
                <w:rFonts w:hint="eastAsia" w:ascii="宋体" w:hAnsi="宋体" w:eastAsia="宋体" w:cs="宋体"/>
                <w:color w:val="auto"/>
                <w:sz w:val="22"/>
                <w:szCs w:val="22"/>
                <w:highlight w:val="none"/>
              </w:rPr>
            </w:pPr>
          </w:p>
        </w:tc>
        <w:tc>
          <w:tcPr>
            <w:tcW w:w="1124" w:type="dxa"/>
          </w:tcPr>
          <w:p>
            <w:pPr>
              <w:pStyle w:val="16"/>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6"/>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927" w:type="dxa"/>
            <w:vAlign w:val="center"/>
          </w:tcPr>
          <w:p>
            <w:pPr>
              <w:pStyle w:val="16"/>
              <w:rPr>
                <w:rFonts w:hint="eastAsia" w:ascii="宋体" w:hAnsi="宋体" w:eastAsia="宋体" w:cs="宋体"/>
                <w:color w:val="auto"/>
                <w:sz w:val="22"/>
                <w:szCs w:val="22"/>
                <w:highlight w:val="none"/>
              </w:rPr>
            </w:pPr>
          </w:p>
        </w:tc>
        <w:tc>
          <w:tcPr>
            <w:tcW w:w="1065" w:type="dxa"/>
            <w:vAlign w:val="center"/>
          </w:tcPr>
          <w:p>
            <w:pPr>
              <w:pStyle w:val="16"/>
              <w:spacing w:line="360" w:lineRule="auto"/>
              <w:rPr>
                <w:rFonts w:hint="eastAsia" w:ascii="宋体" w:hAnsi="宋体" w:eastAsia="宋体" w:cs="宋体"/>
                <w:b/>
                <w:bCs/>
                <w:color w:val="auto"/>
                <w:sz w:val="22"/>
                <w:szCs w:val="22"/>
                <w:highlight w:val="none"/>
              </w:rPr>
            </w:pPr>
          </w:p>
        </w:tc>
        <w:tc>
          <w:tcPr>
            <w:tcW w:w="1755" w:type="dxa"/>
            <w:vAlign w:val="center"/>
          </w:tcPr>
          <w:p>
            <w:pPr>
              <w:pStyle w:val="16"/>
              <w:spacing w:line="360" w:lineRule="auto"/>
              <w:rPr>
                <w:rFonts w:hint="eastAsia" w:ascii="宋体" w:hAnsi="宋体" w:eastAsia="宋体" w:cs="宋体"/>
                <w:b/>
                <w:bCs/>
                <w:color w:val="auto"/>
                <w:sz w:val="22"/>
                <w:szCs w:val="22"/>
                <w:highlight w:val="none"/>
              </w:rPr>
            </w:pPr>
          </w:p>
        </w:tc>
        <w:tc>
          <w:tcPr>
            <w:tcW w:w="480" w:type="dxa"/>
            <w:vAlign w:val="center"/>
          </w:tcPr>
          <w:p>
            <w:pPr>
              <w:pStyle w:val="16"/>
              <w:spacing w:line="360" w:lineRule="auto"/>
              <w:rPr>
                <w:rFonts w:hint="eastAsia" w:ascii="宋体" w:hAnsi="宋体" w:eastAsia="宋体" w:cs="宋体"/>
                <w:b w:val="0"/>
                <w:bCs w:val="0"/>
                <w:color w:val="auto"/>
                <w:sz w:val="22"/>
                <w:szCs w:val="22"/>
                <w:highlight w:val="none"/>
                <w:lang w:val="en-US" w:eastAsia="zh-CN"/>
              </w:rPr>
            </w:pPr>
          </w:p>
        </w:tc>
        <w:tc>
          <w:tcPr>
            <w:tcW w:w="1049" w:type="dxa"/>
            <w:vAlign w:val="center"/>
          </w:tcPr>
          <w:p>
            <w:pPr>
              <w:pStyle w:val="16"/>
              <w:spacing w:line="360" w:lineRule="auto"/>
              <w:rPr>
                <w:rFonts w:hint="eastAsia" w:ascii="宋体" w:hAnsi="宋体" w:eastAsia="宋体" w:cs="宋体"/>
                <w:b w:val="0"/>
                <w:bCs w:val="0"/>
                <w:color w:val="auto"/>
                <w:sz w:val="22"/>
                <w:szCs w:val="22"/>
                <w:highlight w:val="none"/>
                <w:lang w:val="en-US" w:eastAsia="zh-CN"/>
              </w:rPr>
            </w:pPr>
          </w:p>
        </w:tc>
        <w:tc>
          <w:tcPr>
            <w:tcW w:w="1148" w:type="dxa"/>
          </w:tcPr>
          <w:p>
            <w:pPr>
              <w:pStyle w:val="16"/>
              <w:spacing w:line="360" w:lineRule="auto"/>
              <w:rPr>
                <w:rFonts w:hint="eastAsia" w:ascii="宋体" w:hAnsi="宋体" w:eastAsia="宋体" w:cs="宋体"/>
                <w:color w:val="auto"/>
                <w:sz w:val="22"/>
                <w:szCs w:val="22"/>
                <w:highlight w:val="none"/>
              </w:rPr>
            </w:pPr>
          </w:p>
        </w:tc>
        <w:tc>
          <w:tcPr>
            <w:tcW w:w="1124" w:type="dxa"/>
          </w:tcPr>
          <w:p>
            <w:pPr>
              <w:pStyle w:val="16"/>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489" w:type="dxa"/>
            <w:vAlign w:val="center"/>
          </w:tcPr>
          <w:p>
            <w:pPr>
              <w:pStyle w:val="16"/>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927" w:type="dxa"/>
            <w:vAlign w:val="center"/>
          </w:tcPr>
          <w:p>
            <w:pPr>
              <w:pStyle w:val="16"/>
              <w:rPr>
                <w:rFonts w:hint="eastAsia" w:ascii="宋体" w:hAnsi="宋体" w:eastAsia="宋体" w:cs="宋体"/>
                <w:color w:val="auto"/>
                <w:sz w:val="22"/>
                <w:szCs w:val="22"/>
                <w:highlight w:val="none"/>
              </w:rPr>
            </w:pPr>
          </w:p>
        </w:tc>
        <w:tc>
          <w:tcPr>
            <w:tcW w:w="1065" w:type="dxa"/>
            <w:vAlign w:val="center"/>
          </w:tcPr>
          <w:p>
            <w:pPr>
              <w:pStyle w:val="16"/>
              <w:spacing w:line="360" w:lineRule="auto"/>
              <w:rPr>
                <w:rFonts w:hint="eastAsia" w:ascii="宋体" w:hAnsi="宋体" w:eastAsia="宋体" w:cs="宋体"/>
                <w:b/>
                <w:bCs/>
                <w:color w:val="auto"/>
                <w:sz w:val="22"/>
                <w:szCs w:val="22"/>
                <w:highlight w:val="none"/>
              </w:rPr>
            </w:pPr>
          </w:p>
        </w:tc>
        <w:tc>
          <w:tcPr>
            <w:tcW w:w="1755" w:type="dxa"/>
            <w:vAlign w:val="center"/>
          </w:tcPr>
          <w:p>
            <w:pPr>
              <w:pStyle w:val="16"/>
              <w:spacing w:line="360" w:lineRule="auto"/>
              <w:rPr>
                <w:rFonts w:hint="eastAsia" w:ascii="宋体" w:hAnsi="宋体" w:eastAsia="宋体" w:cs="宋体"/>
                <w:b/>
                <w:bCs/>
                <w:color w:val="auto"/>
                <w:sz w:val="22"/>
                <w:szCs w:val="22"/>
                <w:highlight w:val="none"/>
              </w:rPr>
            </w:pPr>
          </w:p>
        </w:tc>
        <w:tc>
          <w:tcPr>
            <w:tcW w:w="480" w:type="dxa"/>
            <w:vAlign w:val="center"/>
          </w:tcPr>
          <w:p>
            <w:pPr>
              <w:pStyle w:val="16"/>
              <w:spacing w:line="360" w:lineRule="auto"/>
              <w:rPr>
                <w:rFonts w:hint="eastAsia" w:ascii="宋体" w:hAnsi="宋体" w:eastAsia="宋体" w:cs="宋体"/>
                <w:b/>
                <w:bCs/>
                <w:color w:val="auto"/>
                <w:sz w:val="22"/>
                <w:szCs w:val="22"/>
                <w:highlight w:val="none"/>
              </w:rPr>
            </w:pPr>
          </w:p>
        </w:tc>
        <w:tc>
          <w:tcPr>
            <w:tcW w:w="1049" w:type="dxa"/>
            <w:vAlign w:val="center"/>
          </w:tcPr>
          <w:p>
            <w:pPr>
              <w:pStyle w:val="16"/>
              <w:spacing w:line="360" w:lineRule="auto"/>
              <w:rPr>
                <w:rFonts w:hint="eastAsia" w:ascii="宋体" w:hAnsi="宋体" w:eastAsia="宋体" w:cs="宋体"/>
                <w:b/>
                <w:bCs/>
                <w:color w:val="auto"/>
                <w:sz w:val="22"/>
                <w:szCs w:val="22"/>
                <w:highlight w:val="none"/>
              </w:rPr>
            </w:pPr>
          </w:p>
        </w:tc>
        <w:tc>
          <w:tcPr>
            <w:tcW w:w="1148" w:type="dxa"/>
          </w:tcPr>
          <w:p>
            <w:pPr>
              <w:pStyle w:val="16"/>
              <w:spacing w:line="360" w:lineRule="auto"/>
              <w:rPr>
                <w:rFonts w:hint="eastAsia" w:ascii="宋体" w:hAnsi="宋体" w:eastAsia="宋体" w:cs="宋体"/>
                <w:color w:val="auto"/>
                <w:sz w:val="22"/>
                <w:szCs w:val="22"/>
                <w:highlight w:val="none"/>
              </w:rPr>
            </w:pPr>
          </w:p>
        </w:tc>
        <w:tc>
          <w:tcPr>
            <w:tcW w:w="1124" w:type="dxa"/>
          </w:tcPr>
          <w:p>
            <w:pPr>
              <w:pStyle w:val="16"/>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6"/>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927" w:type="dxa"/>
            <w:vAlign w:val="center"/>
          </w:tcPr>
          <w:p>
            <w:pPr>
              <w:pStyle w:val="16"/>
              <w:rPr>
                <w:rFonts w:hint="eastAsia" w:ascii="宋体" w:hAnsi="宋体" w:eastAsia="宋体" w:cs="宋体"/>
                <w:color w:val="auto"/>
                <w:sz w:val="22"/>
                <w:szCs w:val="22"/>
                <w:highlight w:val="none"/>
              </w:rPr>
            </w:pPr>
          </w:p>
        </w:tc>
        <w:tc>
          <w:tcPr>
            <w:tcW w:w="1065" w:type="dxa"/>
            <w:vAlign w:val="center"/>
          </w:tcPr>
          <w:p>
            <w:pPr>
              <w:pStyle w:val="16"/>
              <w:spacing w:line="360" w:lineRule="auto"/>
              <w:jc w:val="center"/>
              <w:rPr>
                <w:rFonts w:hint="eastAsia" w:ascii="宋体" w:hAnsi="宋体" w:eastAsia="宋体" w:cs="宋体"/>
                <w:color w:val="auto"/>
                <w:sz w:val="22"/>
                <w:szCs w:val="22"/>
                <w:highlight w:val="none"/>
              </w:rPr>
            </w:pPr>
          </w:p>
        </w:tc>
        <w:tc>
          <w:tcPr>
            <w:tcW w:w="1755" w:type="dxa"/>
            <w:vAlign w:val="center"/>
          </w:tcPr>
          <w:p>
            <w:pPr>
              <w:pStyle w:val="16"/>
              <w:spacing w:line="360" w:lineRule="auto"/>
              <w:jc w:val="center"/>
              <w:rPr>
                <w:rFonts w:hint="eastAsia" w:ascii="宋体" w:hAnsi="宋体" w:eastAsia="宋体" w:cs="宋体"/>
                <w:color w:val="auto"/>
                <w:sz w:val="22"/>
                <w:szCs w:val="22"/>
                <w:highlight w:val="none"/>
              </w:rPr>
            </w:pPr>
          </w:p>
        </w:tc>
        <w:tc>
          <w:tcPr>
            <w:tcW w:w="480" w:type="dxa"/>
            <w:vAlign w:val="center"/>
          </w:tcPr>
          <w:p>
            <w:pPr>
              <w:pStyle w:val="16"/>
              <w:spacing w:line="360" w:lineRule="auto"/>
              <w:jc w:val="center"/>
              <w:rPr>
                <w:rFonts w:hint="eastAsia" w:ascii="宋体" w:hAnsi="宋体" w:eastAsia="宋体" w:cs="宋体"/>
                <w:color w:val="auto"/>
                <w:sz w:val="22"/>
                <w:szCs w:val="22"/>
                <w:highlight w:val="none"/>
              </w:rPr>
            </w:pPr>
          </w:p>
        </w:tc>
        <w:tc>
          <w:tcPr>
            <w:tcW w:w="1049" w:type="dxa"/>
            <w:vAlign w:val="center"/>
          </w:tcPr>
          <w:p>
            <w:pPr>
              <w:pStyle w:val="16"/>
              <w:spacing w:line="360" w:lineRule="auto"/>
              <w:jc w:val="center"/>
              <w:rPr>
                <w:rFonts w:hint="eastAsia" w:ascii="宋体" w:hAnsi="宋体" w:eastAsia="宋体" w:cs="宋体"/>
                <w:color w:val="auto"/>
                <w:sz w:val="22"/>
                <w:szCs w:val="22"/>
                <w:highlight w:val="none"/>
              </w:rPr>
            </w:pPr>
          </w:p>
        </w:tc>
        <w:tc>
          <w:tcPr>
            <w:tcW w:w="1148" w:type="dxa"/>
          </w:tcPr>
          <w:p>
            <w:pPr>
              <w:pStyle w:val="16"/>
              <w:spacing w:line="360" w:lineRule="auto"/>
              <w:rPr>
                <w:rFonts w:hint="eastAsia" w:ascii="宋体" w:hAnsi="宋体" w:eastAsia="宋体" w:cs="宋体"/>
                <w:color w:val="auto"/>
                <w:sz w:val="22"/>
                <w:szCs w:val="22"/>
                <w:highlight w:val="none"/>
              </w:rPr>
            </w:pPr>
          </w:p>
        </w:tc>
        <w:tc>
          <w:tcPr>
            <w:tcW w:w="1124" w:type="dxa"/>
          </w:tcPr>
          <w:p>
            <w:pPr>
              <w:pStyle w:val="16"/>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927" w:type="dxa"/>
            <w:vAlign w:val="center"/>
          </w:tcPr>
          <w:p>
            <w:pPr>
              <w:pStyle w:val="16"/>
              <w:spacing w:line="360" w:lineRule="auto"/>
              <w:jc w:val="center"/>
              <w:rPr>
                <w:rFonts w:hint="eastAsia" w:ascii="宋体" w:hAnsi="宋体" w:eastAsia="宋体" w:cs="宋体"/>
                <w:color w:val="auto"/>
                <w:sz w:val="22"/>
                <w:szCs w:val="22"/>
                <w:highlight w:val="none"/>
              </w:rPr>
            </w:pPr>
          </w:p>
        </w:tc>
        <w:tc>
          <w:tcPr>
            <w:tcW w:w="1065" w:type="dxa"/>
            <w:vAlign w:val="center"/>
          </w:tcPr>
          <w:p>
            <w:pPr>
              <w:jc w:val="center"/>
              <w:rPr>
                <w:rFonts w:hint="eastAsia" w:ascii="宋体" w:hAnsi="宋体" w:eastAsia="宋体" w:cs="宋体"/>
                <w:b/>
                <w:bCs/>
                <w:color w:val="auto"/>
                <w:sz w:val="22"/>
                <w:szCs w:val="22"/>
                <w:highlight w:val="none"/>
              </w:rPr>
            </w:pPr>
          </w:p>
        </w:tc>
        <w:tc>
          <w:tcPr>
            <w:tcW w:w="1755" w:type="dxa"/>
            <w:vAlign w:val="center"/>
          </w:tcPr>
          <w:p>
            <w:pPr>
              <w:jc w:val="center"/>
              <w:rPr>
                <w:rFonts w:hint="eastAsia" w:ascii="宋体" w:hAnsi="宋体" w:eastAsia="宋体" w:cs="宋体"/>
                <w:b/>
                <w:bCs/>
                <w:color w:val="auto"/>
                <w:sz w:val="22"/>
                <w:szCs w:val="22"/>
                <w:highlight w:val="none"/>
              </w:rPr>
            </w:pPr>
          </w:p>
        </w:tc>
        <w:tc>
          <w:tcPr>
            <w:tcW w:w="480" w:type="dxa"/>
            <w:vAlign w:val="center"/>
          </w:tcPr>
          <w:p>
            <w:pPr>
              <w:pStyle w:val="16"/>
              <w:spacing w:line="360" w:lineRule="auto"/>
              <w:jc w:val="center"/>
              <w:rPr>
                <w:rFonts w:hint="eastAsia" w:ascii="宋体" w:hAnsi="宋体" w:eastAsia="宋体" w:cs="宋体"/>
                <w:b/>
                <w:bCs/>
                <w:color w:val="auto"/>
                <w:sz w:val="22"/>
                <w:szCs w:val="22"/>
                <w:highlight w:val="none"/>
              </w:rPr>
            </w:pPr>
          </w:p>
        </w:tc>
        <w:tc>
          <w:tcPr>
            <w:tcW w:w="1049" w:type="dxa"/>
            <w:vAlign w:val="center"/>
          </w:tcPr>
          <w:p>
            <w:pPr>
              <w:pStyle w:val="16"/>
              <w:spacing w:line="360" w:lineRule="auto"/>
              <w:jc w:val="center"/>
              <w:rPr>
                <w:rFonts w:hint="eastAsia" w:ascii="宋体" w:hAnsi="宋体" w:eastAsia="宋体" w:cs="宋体"/>
                <w:b/>
                <w:bCs/>
                <w:color w:val="auto"/>
                <w:sz w:val="22"/>
                <w:szCs w:val="22"/>
                <w:highlight w:val="none"/>
              </w:rPr>
            </w:pPr>
          </w:p>
        </w:tc>
        <w:tc>
          <w:tcPr>
            <w:tcW w:w="1148" w:type="dxa"/>
            <w:vAlign w:val="center"/>
          </w:tcPr>
          <w:p>
            <w:pPr>
              <w:pStyle w:val="16"/>
              <w:spacing w:line="360" w:lineRule="auto"/>
              <w:jc w:val="center"/>
              <w:rPr>
                <w:rFonts w:hint="eastAsia" w:ascii="宋体" w:hAnsi="宋体" w:eastAsia="宋体" w:cs="宋体"/>
                <w:b/>
                <w:bCs/>
                <w:color w:val="auto"/>
                <w:sz w:val="22"/>
                <w:szCs w:val="22"/>
                <w:highlight w:val="none"/>
              </w:rPr>
            </w:pPr>
          </w:p>
        </w:tc>
        <w:tc>
          <w:tcPr>
            <w:tcW w:w="1124" w:type="dxa"/>
            <w:vAlign w:val="center"/>
          </w:tcPr>
          <w:p>
            <w:pPr>
              <w:pStyle w:val="16"/>
              <w:spacing w:line="360" w:lineRule="auto"/>
              <w:jc w:val="center"/>
              <w:rPr>
                <w:rFonts w:hint="eastAsia" w:ascii="宋体" w:hAnsi="宋体" w:eastAsia="宋体" w:cs="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89" w:type="dxa"/>
          </w:tcPr>
          <w:p>
            <w:pPr>
              <w:pStyle w:val="16"/>
              <w:spacing w:line="360" w:lineRule="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927" w:type="dxa"/>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w:t>
            </w:r>
          </w:p>
        </w:tc>
        <w:tc>
          <w:tcPr>
            <w:tcW w:w="1065" w:type="dxa"/>
            <w:vAlign w:val="center"/>
          </w:tcPr>
          <w:p>
            <w:pPr>
              <w:jc w:val="center"/>
              <w:rPr>
                <w:rFonts w:hint="eastAsia" w:ascii="宋体" w:hAnsi="宋体" w:eastAsia="宋体" w:cs="宋体"/>
                <w:color w:val="auto"/>
                <w:sz w:val="22"/>
                <w:szCs w:val="22"/>
                <w:highlight w:val="none"/>
              </w:rPr>
            </w:pPr>
          </w:p>
        </w:tc>
        <w:tc>
          <w:tcPr>
            <w:tcW w:w="1755" w:type="dxa"/>
            <w:vAlign w:val="center"/>
          </w:tcPr>
          <w:p>
            <w:pPr>
              <w:jc w:val="center"/>
              <w:rPr>
                <w:rFonts w:hint="eastAsia" w:ascii="宋体" w:hAnsi="宋体" w:eastAsia="宋体" w:cs="宋体"/>
                <w:color w:val="auto"/>
                <w:sz w:val="22"/>
                <w:szCs w:val="22"/>
                <w:highlight w:val="none"/>
              </w:rPr>
            </w:pPr>
          </w:p>
        </w:tc>
        <w:tc>
          <w:tcPr>
            <w:tcW w:w="480" w:type="dxa"/>
            <w:vAlign w:val="center"/>
          </w:tcPr>
          <w:p>
            <w:pPr>
              <w:pStyle w:val="16"/>
              <w:spacing w:line="360" w:lineRule="auto"/>
              <w:jc w:val="center"/>
              <w:rPr>
                <w:rFonts w:hint="eastAsia" w:ascii="宋体" w:hAnsi="宋体" w:eastAsia="宋体" w:cs="宋体"/>
                <w:color w:val="auto"/>
                <w:sz w:val="22"/>
                <w:szCs w:val="22"/>
                <w:highlight w:val="none"/>
              </w:rPr>
            </w:pPr>
          </w:p>
        </w:tc>
        <w:tc>
          <w:tcPr>
            <w:tcW w:w="1049" w:type="dxa"/>
            <w:vAlign w:val="center"/>
          </w:tcPr>
          <w:p>
            <w:pPr>
              <w:pStyle w:val="16"/>
              <w:spacing w:line="360" w:lineRule="auto"/>
              <w:jc w:val="center"/>
              <w:rPr>
                <w:rFonts w:hint="eastAsia" w:ascii="宋体" w:hAnsi="宋体" w:eastAsia="宋体" w:cs="宋体"/>
                <w:color w:val="auto"/>
                <w:sz w:val="22"/>
                <w:szCs w:val="22"/>
                <w:highlight w:val="none"/>
              </w:rPr>
            </w:pPr>
          </w:p>
        </w:tc>
        <w:tc>
          <w:tcPr>
            <w:tcW w:w="1148" w:type="dxa"/>
          </w:tcPr>
          <w:p>
            <w:pPr>
              <w:pStyle w:val="16"/>
              <w:spacing w:line="360" w:lineRule="auto"/>
              <w:rPr>
                <w:rFonts w:hint="eastAsia" w:ascii="宋体" w:hAnsi="宋体" w:eastAsia="宋体" w:cs="宋体"/>
                <w:color w:val="auto"/>
                <w:sz w:val="22"/>
                <w:szCs w:val="22"/>
                <w:highlight w:val="none"/>
              </w:rPr>
            </w:pPr>
          </w:p>
        </w:tc>
        <w:tc>
          <w:tcPr>
            <w:tcW w:w="1124" w:type="dxa"/>
          </w:tcPr>
          <w:p>
            <w:pPr>
              <w:pStyle w:val="16"/>
              <w:spacing w:line="360" w:lineRule="auto"/>
              <w:rPr>
                <w:rFonts w:hint="eastAsia" w:ascii="宋体" w:hAnsi="宋体" w:eastAsia="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2416" w:type="dxa"/>
            <w:gridSpan w:val="2"/>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投标总价</w:t>
            </w:r>
          </w:p>
        </w:tc>
        <w:tc>
          <w:tcPr>
            <w:tcW w:w="6621" w:type="dxa"/>
            <w:gridSpan w:val="6"/>
            <w:vAlign w:val="center"/>
          </w:tcPr>
          <w:p>
            <w:pPr>
              <w:pStyle w:val="16"/>
              <w:spacing w:line="360" w:lineRule="auto"/>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5" w:hRule="atLeast"/>
          <w:jc w:val="center"/>
        </w:trPr>
        <w:tc>
          <w:tcPr>
            <w:tcW w:w="9037" w:type="dxa"/>
            <w:gridSpan w:val="8"/>
            <w:vAlign w:val="center"/>
          </w:tcPr>
          <w:p>
            <w:pPr>
              <w:pStyle w:val="16"/>
              <w:spacing w:line="360" w:lineRule="auto"/>
              <w:ind w:firstLine="480" w:firstLineChars="200"/>
              <w:jc w:val="left"/>
              <w:rPr>
                <w:rFonts w:hint="eastAsia" w:ascii="宋体" w:hAnsi="宋体" w:eastAsia="宋体" w:cs="宋体"/>
                <w:color w:val="auto"/>
                <w:sz w:val="22"/>
                <w:szCs w:val="22"/>
                <w:highlight w:val="none"/>
              </w:rPr>
            </w:pPr>
            <w:r>
              <w:rPr>
                <w:rFonts w:hint="eastAsia" w:ascii="宋体" w:hAnsi="宋体" w:eastAsia="宋体" w:cs="宋体"/>
                <w:color w:val="auto"/>
                <w:sz w:val="24"/>
                <w:szCs w:val="24"/>
                <w:highlight w:val="none"/>
              </w:rPr>
              <w:t>本次报价应包含项目所需全部服务，不得缺漏，是履行合同的最终价格，包括</w:t>
            </w:r>
            <w:r>
              <w:rPr>
                <w:rFonts w:hint="eastAsia" w:hAnsi="宋体" w:cs="宋体"/>
                <w:color w:val="auto"/>
                <w:sz w:val="24"/>
                <w:szCs w:val="24"/>
                <w:highlight w:val="none"/>
                <w:lang w:eastAsia="zh-CN"/>
              </w:rPr>
              <w:t>服务内容</w:t>
            </w:r>
            <w:r>
              <w:rPr>
                <w:rFonts w:hint="eastAsia" w:ascii="宋体" w:hAnsi="宋体" w:eastAsia="宋体" w:cs="宋体"/>
                <w:color w:val="auto"/>
                <w:sz w:val="24"/>
                <w:szCs w:val="24"/>
                <w:highlight w:val="none"/>
              </w:rPr>
              <w:t>、税金、代理服务费及不可预见费用等一切费用。凡投标人在报价中未列明但又为本次采购所必备的项目或遗漏项目，采购方将一律视为已包括在合同价中，在合同执行中将不予考虑。</w:t>
            </w:r>
          </w:p>
        </w:tc>
      </w:tr>
    </w:tbl>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16"/>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注：内容可根据供应商实际情况自行调整。</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法定代表人签名（或签名章）：                       </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p>
    <w:p>
      <w:pPr>
        <w:spacing w:line="360" w:lineRule="auto"/>
        <w:ind w:left="3780" w:leftChars="180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p>
    <w:p>
      <w:pPr>
        <w:pStyle w:val="2"/>
        <w:rPr>
          <w:rFonts w:hint="eastAsia" w:ascii="宋体" w:hAnsi="宋体" w:eastAsia="宋体" w:cs="宋体"/>
          <w:color w:val="auto"/>
          <w:sz w:val="24"/>
          <w:szCs w:val="24"/>
          <w:highlight w:val="none"/>
        </w:rPr>
      </w:pPr>
    </w:p>
    <w:p>
      <w:pPr>
        <w:pStyle w:val="2"/>
        <w:rPr>
          <w:rFonts w:hint="eastAsia" w:ascii="宋体" w:hAnsi="宋体" w:eastAsia="宋体" w:cs="宋体"/>
          <w:b/>
          <w:bCs/>
          <w:color w:val="auto"/>
          <w:highlight w:val="none"/>
          <w:lang w:val="zh-CN"/>
        </w:rPr>
      </w:pPr>
    </w:p>
    <w:p>
      <w:pPr>
        <w:pStyle w:val="3"/>
        <w:rPr>
          <w:rFonts w:hint="eastAsia" w:ascii="宋体" w:hAnsi="宋体" w:eastAsia="宋体" w:cs="宋体"/>
          <w:b/>
          <w:bCs/>
          <w:color w:val="auto"/>
          <w:highlight w:val="none"/>
          <w:lang w:val="zh-CN"/>
        </w:rPr>
      </w:pPr>
    </w:p>
    <w:bookmarkEnd w:id="111"/>
    <w:p>
      <w:pPr>
        <w:spacing w:line="360" w:lineRule="auto"/>
        <w:jc w:val="left"/>
        <w:rPr>
          <w:rFonts w:hint="eastAsia" w:ascii="宋体" w:hAnsi="宋体" w:eastAsia="宋体" w:cs="宋体"/>
          <w:b/>
          <w:bCs/>
          <w:color w:val="auto"/>
          <w:sz w:val="24"/>
          <w:szCs w:val="24"/>
          <w:highlight w:val="none"/>
          <w:lang w:val="zh-CN"/>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S PGothic">
    <w:panose1 w:val="020B0600070205080204"/>
    <w:charset w:val="80"/>
    <w:family w:val="auto"/>
    <w:pitch w:val="default"/>
    <w:sig w:usb0="E00002FF" w:usb1="6AC7FDFB" w:usb2="08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29"/>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19"/>
                          </w:pPr>
                          <w:r>
                            <w:fldChar w:fldCharType="begin"/>
                          </w:r>
                          <w:r>
                            <w:instrText xml:space="preserve"> PAGE  \* MERGEFORMAT </w:instrText>
                          </w:r>
                          <w:r>
                            <w:fldChar w:fldCharType="separate"/>
                          </w:r>
                          <w:r>
                            <w:t>59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59</w:t>
                    </w:r>
                    <w:r>
                      <w:fldChar w:fldCharType="end"/>
                    </w:r>
                  </w:p>
                </w:txbxContent>
              </v:textbox>
            </v:shape>
          </w:pict>
        </mc:Fallback>
      </mc:AlternateContent>
    </w:r>
  </w:p>
  <w:p>
    <w:pPr>
      <w:pStyle w:val="19"/>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E7D436F"/>
    <w:multiLevelType w:val="singleLevel"/>
    <w:tmpl w:val="9E7D436F"/>
    <w:lvl w:ilvl="0" w:tentative="0">
      <w:start w:val="1"/>
      <w:numFmt w:val="chineseCounting"/>
      <w:suff w:val="nothing"/>
      <w:lvlText w:val="%1、"/>
      <w:lvlJc w:val="left"/>
      <w:rPr>
        <w:rFonts w:hint="eastAsia"/>
      </w:rPr>
    </w:lvl>
  </w:abstractNum>
  <w:abstractNum w:abstractNumId="2">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3">
    <w:nsid w:val="F4396F3A"/>
    <w:multiLevelType w:val="singleLevel"/>
    <w:tmpl w:val="F4396F3A"/>
    <w:lvl w:ilvl="0" w:tentative="0">
      <w:start w:val="2"/>
      <w:numFmt w:val="chineseCounting"/>
      <w:suff w:val="nothing"/>
      <w:lvlText w:val="%1、"/>
      <w:lvlJc w:val="left"/>
      <w:rPr>
        <w:rFonts w:hint="eastAsia"/>
      </w:rPr>
    </w:lvl>
  </w:abstractNum>
  <w:abstractNum w:abstractNumId="4">
    <w:nsid w:val="FB8E76EB"/>
    <w:multiLevelType w:val="singleLevel"/>
    <w:tmpl w:val="FB8E76EB"/>
    <w:lvl w:ilvl="0" w:tentative="0">
      <w:start w:val="2"/>
      <w:numFmt w:val="chineseCounting"/>
      <w:suff w:val="space"/>
      <w:lvlText w:val="第%1章"/>
      <w:lvlJc w:val="left"/>
      <w:rPr>
        <w:rFonts w:hint="eastAsia"/>
      </w:rPr>
    </w:lvl>
  </w:abstractNum>
  <w:abstractNum w:abstractNumId="5">
    <w:nsid w:val="00000004"/>
    <w:multiLevelType w:val="singleLevel"/>
    <w:tmpl w:val="00000004"/>
    <w:lvl w:ilvl="0" w:tentative="0">
      <w:start w:val="1"/>
      <w:numFmt w:val="decimal"/>
      <w:suff w:val="nothing"/>
      <w:lvlText w:val="%1．"/>
      <w:lvlJc w:val="left"/>
      <w:pPr>
        <w:ind w:firstLine="397"/>
      </w:pPr>
      <w:rPr>
        <w:rFonts w:hint="default"/>
      </w:rPr>
    </w:lvl>
  </w:abstractNum>
  <w:abstractNum w:abstractNumId="6">
    <w:nsid w:val="049704A3"/>
    <w:multiLevelType w:val="singleLevel"/>
    <w:tmpl w:val="049704A3"/>
    <w:lvl w:ilvl="0" w:tentative="0">
      <w:start w:val="1"/>
      <w:numFmt w:val="chineseCounting"/>
      <w:suff w:val="nothing"/>
      <w:lvlText w:val="%1、"/>
      <w:lvlJc w:val="left"/>
      <w:pPr>
        <w:ind w:left="0" w:firstLine="397"/>
      </w:pPr>
      <w:rPr>
        <w:rFonts w:hint="eastAsia"/>
      </w:rPr>
    </w:lvl>
  </w:abstractNum>
  <w:abstractNum w:abstractNumId="7">
    <w:nsid w:val="12F353C5"/>
    <w:multiLevelType w:val="singleLevel"/>
    <w:tmpl w:val="12F353C5"/>
    <w:lvl w:ilvl="0" w:tentative="0">
      <w:start w:val="1"/>
      <w:numFmt w:val="chineseCounting"/>
      <w:suff w:val="nothing"/>
      <w:lvlText w:val="%1、"/>
      <w:lvlJc w:val="left"/>
      <w:rPr>
        <w:rFonts w:hint="eastAsia"/>
      </w:rPr>
    </w:lvl>
  </w:abstractNum>
  <w:abstractNum w:abstractNumId="8">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9">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0">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1">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2">
    <w:nsid w:val="31213A5A"/>
    <w:multiLevelType w:val="singleLevel"/>
    <w:tmpl w:val="31213A5A"/>
    <w:lvl w:ilvl="0" w:tentative="0">
      <w:start w:val="4"/>
      <w:numFmt w:val="chineseCounting"/>
      <w:suff w:val="nothing"/>
      <w:lvlText w:val="%1、"/>
      <w:lvlJc w:val="left"/>
      <w:rPr>
        <w:rFonts w:hint="eastAsia"/>
      </w:rPr>
    </w:lvl>
  </w:abstractNum>
  <w:abstractNum w:abstractNumId="13">
    <w:nsid w:val="43F94463"/>
    <w:multiLevelType w:val="singleLevel"/>
    <w:tmpl w:val="43F94463"/>
    <w:lvl w:ilvl="0" w:tentative="0">
      <w:start w:val="1"/>
      <w:numFmt w:val="decimalEnclosedCircleChinese"/>
      <w:suff w:val="nothing"/>
      <w:lvlText w:val="%1　"/>
      <w:lvlJc w:val="left"/>
      <w:pPr>
        <w:ind w:firstLine="1134"/>
      </w:pPr>
      <w:rPr>
        <w:rFonts w:hint="eastAsia"/>
      </w:rPr>
    </w:lvl>
  </w:abstractNum>
  <w:abstractNum w:abstractNumId="14">
    <w:nsid w:val="466C6E1F"/>
    <w:multiLevelType w:val="multilevel"/>
    <w:tmpl w:val="466C6E1F"/>
    <w:lvl w:ilvl="0" w:tentative="0">
      <w:start w:val="1"/>
      <w:numFmt w:val="upperLetter"/>
      <w:pStyle w:val="6"/>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5">
    <w:nsid w:val="474E1A63"/>
    <w:multiLevelType w:val="singleLevel"/>
    <w:tmpl w:val="474E1A63"/>
    <w:lvl w:ilvl="0" w:tentative="0">
      <w:start w:val="1"/>
      <w:numFmt w:val="decimalEnclosedCircleChinese"/>
      <w:suff w:val="nothing"/>
      <w:lvlText w:val="%1　"/>
      <w:lvlJc w:val="left"/>
      <w:pPr>
        <w:ind w:firstLine="1134"/>
      </w:pPr>
      <w:rPr>
        <w:rFonts w:hint="eastAsia"/>
      </w:rPr>
    </w:lvl>
  </w:abstractNum>
  <w:abstractNum w:abstractNumId="16">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17">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18">
    <w:nsid w:val="6BDFE127"/>
    <w:multiLevelType w:val="singleLevel"/>
    <w:tmpl w:val="6BDFE127"/>
    <w:lvl w:ilvl="0" w:tentative="0">
      <w:start w:val="1"/>
      <w:numFmt w:val="chineseCounting"/>
      <w:suff w:val="nothing"/>
      <w:lvlText w:val="%1、"/>
      <w:lvlJc w:val="left"/>
      <w:pPr>
        <w:ind w:left="0" w:firstLine="397"/>
      </w:pPr>
      <w:rPr>
        <w:rFonts w:hint="eastAsia"/>
      </w:rPr>
    </w:lvl>
  </w:abstractNum>
  <w:abstractNum w:abstractNumId="19">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4"/>
  </w:num>
  <w:num w:numId="2">
    <w:abstractNumId w:val="5"/>
  </w:num>
  <w:num w:numId="3">
    <w:abstractNumId w:val="16"/>
  </w:num>
  <w:num w:numId="4">
    <w:abstractNumId w:val="9"/>
  </w:num>
  <w:num w:numId="5">
    <w:abstractNumId w:val="19"/>
  </w:num>
  <w:num w:numId="6">
    <w:abstractNumId w:val="10"/>
  </w:num>
  <w:num w:numId="7">
    <w:abstractNumId w:val="17"/>
  </w:num>
  <w:num w:numId="8">
    <w:abstractNumId w:val="7"/>
  </w:num>
  <w:num w:numId="9">
    <w:abstractNumId w:val="8"/>
  </w:num>
  <w:num w:numId="10">
    <w:abstractNumId w:val="15"/>
  </w:num>
  <w:num w:numId="11">
    <w:abstractNumId w:val="13"/>
  </w:num>
  <w:num w:numId="12">
    <w:abstractNumId w:val="2"/>
  </w:num>
  <w:num w:numId="13">
    <w:abstractNumId w:val="11"/>
  </w:num>
  <w:num w:numId="14">
    <w:abstractNumId w:val="6"/>
  </w:num>
  <w:num w:numId="15">
    <w:abstractNumId w:val="4"/>
  </w:num>
  <w:num w:numId="16">
    <w:abstractNumId w:val="1"/>
  </w:num>
  <w:num w:numId="17">
    <w:abstractNumId w:val="12"/>
  </w:num>
  <w:num w:numId="18">
    <w:abstractNumId w:val="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0Yjc2MzdjMzNlOTYwYmU2MzlkZjg2MzRhMDA5MTgifQ=="/>
  </w:docVars>
  <w:rsids>
    <w:rsidRoot w:val="5AA412FE"/>
    <w:rsid w:val="00003EF7"/>
    <w:rsid w:val="000122B4"/>
    <w:rsid w:val="00027C5B"/>
    <w:rsid w:val="00043EEC"/>
    <w:rsid w:val="00046957"/>
    <w:rsid w:val="0005045A"/>
    <w:rsid w:val="00084F39"/>
    <w:rsid w:val="00085ECB"/>
    <w:rsid w:val="000B3BC7"/>
    <w:rsid w:val="000D30BB"/>
    <w:rsid w:val="000F06EE"/>
    <w:rsid w:val="001039CA"/>
    <w:rsid w:val="0012684B"/>
    <w:rsid w:val="001339E2"/>
    <w:rsid w:val="00161E6F"/>
    <w:rsid w:val="00213CF6"/>
    <w:rsid w:val="00221416"/>
    <w:rsid w:val="00223E24"/>
    <w:rsid w:val="00234866"/>
    <w:rsid w:val="00234D57"/>
    <w:rsid w:val="00255FD2"/>
    <w:rsid w:val="00264C08"/>
    <w:rsid w:val="00273F1A"/>
    <w:rsid w:val="0027526D"/>
    <w:rsid w:val="00284949"/>
    <w:rsid w:val="00297FF4"/>
    <w:rsid w:val="002C487B"/>
    <w:rsid w:val="002F6EC0"/>
    <w:rsid w:val="0030570F"/>
    <w:rsid w:val="003470DA"/>
    <w:rsid w:val="003914B1"/>
    <w:rsid w:val="00392B4C"/>
    <w:rsid w:val="00393C1C"/>
    <w:rsid w:val="003A0D36"/>
    <w:rsid w:val="003A2883"/>
    <w:rsid w:val="003D07BA"/>
    <w:rsid w:val="0040061B"/>
    <w:rsid w:val="00402FF9"/>
    <w:rsid w:val="004047AC"/>
    <w:rsid w:val="004277E5"/>
    <w:rsid w:val="0043140B"/>
    <w:rsid w:val="00434E53"/>
    <w:rsid w:val="00463C96"/>
    <w:rsid w:val="00476057"/>
    <w:rsid w:val="0048104F"/>
    <w:rsid w:val="00485852"/>
    <w:rsid w:val="00486150"/>
    <w:rsid w:val="00497B50"/>
    <w:rsid w:val="004E63AF"/>
    <w:rsid w:val="004E7DB7"/>
    <w:rsid w:val="00542925"/>
    <w:rsid w:val="005456AD"/>
    <w:rsid w:val="00550AE1"/>
    <w:rsid w:val="005617C4"/>
    <w:rsid w:val="005747A4"/>
    <w:rsid w:val="0057775B"/>
    <w:rsid w:val="005F4C64"/>
    <w:rsid w:val="00603A33"/>
    <w:rsid w:val="0060407F"/>
    <w:rsid w:val="00624CA0"/>
    <w:rsid w:val="006545B6"/>
    <w:rsid w:val="006B56AA"/>
    <w:rsid w:val="006E3901"/>
    <w:rsid w:val="006E4D94"/>
    <w:rsid w:val="006E5F17"/>
    <w:rsid w:val="006E7DD6"/>
    <w:rsid w:val="00726B0B"/>
    <w:rsid w:val="00741B88"/>
    <w:rsid w:val="0074647B"/>
    <w:rsid w:val="00761CC5"/>
    <w:rsid w:val="007675AE"/>
    <w:rsid w:val="007C1988"/>
    <w:rsid w:val="007C36F2"/>
    <w:rsid w:val="007D1674"/>
    <w:rsid w:val="007F23B1"/>
    <w:rsid w:val="00804A32"/>
    <w:rsid w:val="00816086"/>
    <w:rsid w:val="00846EE7"/>
    <w:rsid w:val="008651FF"/>
    <w:rsid w:val="008A2209"/>
    <w:rsid w:val="008C2439"/>
    <w:rsid w:val="008E3963"/>
    <w:rsid w:val="00913BA9"/>
    <w:rsid w:val="00913DF5"/>
    <w:rsid w:val="00922646"/>
    <w:rsid w:val="009241BF"/>
    <w:rsid w:val="00945D04"/>
    <w:rsid w:val="00992B51"/>
    <w:rsid w:val="009B5145"/>
    <w:rsid w:val="009B698E"/>
    <w:rsid w:val="009C14AC"/>
    <w:rsid w:val="00A06FE3"/>
    <w:rsid w:val="00A5469A"/>
    <w:rsid w:val="00A60C7C"/>
    <w:rsid w:val="00A832EF"/>
    <w:rsid w:val="00AC415C"/>
    <w:rsid w:val="00AE721D"/>
    <w:rsid w:val="00AF40FC"/>
    <w:rsid w:val="00AF7CF9"/>
    <w:rsid w:val="00B007B7"/>
    <w:rsid w:val="00B043F4"/>
    <w:rsid w:val="00B1386B"/>
    <w:rsid w:val="00B1531C"/>
    <w:rsid w:val="00B26DD6"/>
    <w:rsid w:val="00B34795"/>
    <w:rsid w:val="00B45AAD"/>
    <w:rsid w:val="00B47103"/>
    <w:rsid w:val="00B651EF"/>
    <w:rsid w:val="00B70E65"/>
    <w:rsid w:val="00B7632C"/>
    <w:rsid w:val="00BC25F6"/>
    <w:rsid w:val="00BC554A"/>
    <w:rsid w:val="00BD1729"/>
    <w:rsid w:val="00C144DF"/>
    <w:rsid w:val="00C15659"/>
    <w:rsid w:val="00C32FC8"/>
    <w:rsid w:val="00C4588E"/>
    <w:rsid w:val="00C70180"/>
    <w:rsid w:val="00C755F3"/>
    <w:rsid w:val="00C93598"/>
    <w:rsid w:val="00C94384"/>
    <w:rsid w:val="00C97640"/>
    <w:rsid w:val="00CA29A3"/>
    <w:rsid w:val="00CA75C3"/>
    <w:rsid w:val="00CB75F1"/>
    <w:rsid w:val="00CC3A61"/>
    <w:rsid w:val="00CD31BD"/>
    <w:rsid w:val="00CE2482"/>
    <w:rsid w:val="00CF226E"/>
    <w:rsid w:val="00D208F6"/>
    <w:rsid w:val="00D33839"/>
    <w:rsid w:val="00D40761"/>
    <w:rsid w:val="00D46536"/>
    <w:rsid w:val="00D5715C"/>
    <w:rsid w:val="00D64C89"/>
    <w:rsid w:val="00D73BB8"/>
    <w:rsid w:val="00D84F46"/>
    <w:rsid w:val="00DB44DD"/>
    <w:rsid w:val="00DB66E9"/>
    <w:rsid w:val="00DD3B00"/>
    <w:rsid w:val="00DE7CF8"/>
    <w:rsid w:val="00E109DA"/>
    <w:rsid w:val="00E30080"/>
    <w:rsid w:val="00E53562"/>
    <w:rsid w:val="00E666D2"/>
    <w:rsid w:val="00E7041C"/>
    <w:rsid w:val="00F47432"/>
    <w:rsid w:val="00F673E5"/>
    <w:rsid w:val="00FD3C5B"/>
    <w:rsid w:val="00FD77B5"/>
    <w:rsid w:val="01044A81"/>
    <w:rsid w:val="014526C0"/>
    <w:rsid w:val="0149271B"/>
    <w:rsid w:val="01A77E95"/>
    <w:rsid w:val="01A86A05"/>
    <w:rsid w:val="01B77FDC"/>
    <w:rsid w:val="02710CE9"/>
    <w:rsid w:val="02851A7D"/>
    <w:rsid w:val="028B5EE0"/>
    <w:rsid w:val="028F657D"/>
    <w:rsid w:val="02C15155"/>
    <w:rsid w:val="02FB0AA9"/>
    <w:rsid w:val="02FB1EF4"/>
    <w:rsid w:val="03146882"/>
    <w:rsid w:val="034321D6"/>
    <w:rsid w:val="03A870EA"/>
    <w:rsid w:val="03E70B83"/>
    <w:rsid w:val="044134E4"/>
    <w:rsid w:val="049251C3"/>
    <w:rsid w:val="050E411D"/>
    <w:rsid w:val="052D21DD"/>
    <w:rsid w:val="05F663F0"/>
    <w:rsid w:val="06046B53"/>
    <w:rsid w:val="06082700"/>
    <w:rsid w:val="064935A9"/>
    <w:rsid w:val="066C1A43"/>
    <w:rsid w:val="06C410C1"/>
    <w:rsid w:val="07010B40"/>
    <w:rsid w:val="07401E45"/>
    <w:rsid w:val="07893F2F"/>
    <w:rsid w:val="07FF7612"/>
    <w:rsid w:val="08D56A64"/>
    <w:rsid w:val="090B4CBB"/>
    <w:rsid w:val="099E2A5B"/>
    <w:rsid w:val="09A27D61"/>
    <w:rsid w:val="09B06C83"/>
    <w:rsid w:val="09D249E0"/>
    <w:rsid w:val="0ABC596C"/>
    <w:rsid w:val="0AFB449D"/>
    <w:rsid w:val="0B065E39"/>
    <w:rsid w:val="0B0C3424"/>
    <w:rsid w:val="0B7E72EA"/>
    <w:rsid w:val="0BE54EA7"/>
    <w:rsid w:val="0C7A6A78"/>
    <w:rsid w:val="0D094597"/>
    <w:rsid w:val="0DC018E5"/>
    <w:rsid w:val="0E090AFD"/>
    <w:rsid w:val="0E22642F"/>
    <w:rsid w:val="0E2D1637"/>
    <w:rsid w:val="0EA5368B"/>
    <w:rsid w:val="0EC76B81"/>
    <w:rsid w:val="0EEA1524"/>
    <w:rsid w:val="0F0B3FC1"/>
    <w:rsid w:val="0F9E5390"/>
    <w:rsid w:val="102670BD"/>
    <w:rsid w:val="104145F9"/>
    <w:rsid w:val="10B64C1C"/>
    <w:rsid w:val="10BA6CED"/>
    <w:rsid w:val="10C9129C"/>
    <w:rsid w:val="10EC6512"/>
    <w:rsid w:val="11015514"/>
    <w:rsid w:val="113C27FB"/>
    <w:rsid w:val="115644ED"/>
    <w:rsid w:val="11AF1066"/>
    <w:rsid w:val="11CF6577"/>
    <w:rsid w:val="11F55F82"/>
    <w:rsid w:val="120954BB"/>
    <w:rsid w:val="121A05A5"/>
    <w:rsid w:val="12313422"/>
    <w:rsid w:val="12792BFB"/>
    <w:rsid w:val="129F37E3"/>
    <w:rsid w:val="12E30368"/>
    <w:rsid w:val="12FC45DD"/>
    <w:rsid w:val="133920CC"/>
    <w:rsid w:val="13495BED"/>
    <w:rsid w:val="13781A27"/>
    <w:rsid w:val="13B61C81"/>
    <w:rsid w:val="141645BF"/>
    <w:rsid w:val="1497767E"/>
    <w:rsid w:val="14F43330"/>
    <w:rsid w:val="155D552F"/>
    <w:rsid w:val="15703332"/>
    <w:rsid w:val="157D7686"/>
    <w:rsid w:val="15830AE2"/>
    <w:rsid w:val="15A07E8D"/>
    <w:rsid w:val="15AC51FA"/>
    <w:rsid w:val="15BC6282"/>
    <w:rsid w:val="162B04E9"/>
    <w:rsid w:val="1648774C"/>
    <w:rsid w:val="16671B3B"/>
    <w:rsid w:val="16B952CB"/>
    <w:rsid w:val="16D01B7A"/>
    <w:rsid w:val="16EB43B2"/>
    <w:rsid w:val="174B7A0D"/>
    <w:rsid w:val="17D3547E"/>
    <w:rsid w:val="19061AA7"/>
    <w:rsid w:val="190D09AE"/>
    <w:rsid w:val="192F2FE5"/>
    <w:rsid w:val="194A559B"/>
    <w:rsid w:val="199D3F96"/>
    <w:rsid w:val="19B03AD9"/>
    <w:rsid w:val="1A156465"/>
    <w:rsid w:val="1A485F5E"/>
    <w:rsid w:val="1A686CC5"/>
    <w:rsid w:val="1AB84A87"/>
    <w:rsid w:val="1AFB0A1E"/>
    <w:rsid w:val="1B155261"/>
    <w:rsid w:val="1B4A7538"/>
    <w:rsid w:val="1B4F1500"/>
    <w:rsid w:val="1B6755DD"/>
    <w:rsid w:val="1B976E81"/>
    <w:rsid w:val="1BC45F57"/>
    <w:rsid w:val="1BDB27A5"/>
    <w:rsid w:val="1C177D71"/>
    <w:rsid w:val="1CC874BD"/>
    <w:rsid w:val="1CFF0A9F"/>
    <w:rsid w:val="1D1E7984"/>
    <w:rsid w:val="1DB9235F"/>
    <w:rsid w:val="1DC74A1D"/>
    <w:rsid w:val="1DDB508D"/>
    <w:rsid w:val="1E031779"/>
    <w:rsid w:val="1E157011"/>
    <w:rsid w:val="1E6019F9"/>
    <w:rsid w:val="1E8C459E"/>
    <w:rsid w:val="1E934307"/>
    <w:rsid w:val="1EDA1EFB"/>
    <w:rsid w:val="1F2B0346"/>
    <w:rsid w:val="1F431821"/>
    <w:rsid w:val="1F890C4B"/>
    <w:rsid w:val="1FCD59D3"/>
    <w:rsid w:val="1FD10B66"/>
    <w:rsid w:val="1FDA3069"/>
    <w:rsid w:val="1FE10863"/>
    <w:rsid w:val="20005C4C"/>
    <w:rsid w:val="202C4AF6"/>
    <w:rsid w:val="205B73C3"/>
    <w:rsid w:val="20626028"/>
    <w:rsid w:val="20B44398"/>
    <w:rsid w:val="20D34487"/>
    <w:rsid w:val="20EB4820"/>
    <w:rsid w:val="215A3622"/>
    <w:rsid w:val="219416B8"/>
    <w:rsid w:val="21C31E07"/>
    <w:rsid w:val="21FF3D3B"/>
    <w:rsid w:val="220A1EFE"/>
    <w:rsid w:val="2227579B"/>
    <w:rsid w:val="2231339B"/>
    <w:rsid w:val="22514430"/>
    <w:rsid w:val="226704C8"/>
    <w:rsid w:val="22D7095E"/>
    <w:rsid w:val="231177A3"/>
    <w:rsid w:val="234B0952"/>
    <w:rsid w:val="23720885"/>
    <w:rsid w:val="24054003"/>
    <w:rsid w:val="243A0EE4"/>
    <w:rsid w:val="248E2E3A"/>
    <w:rsid w:val="25B14925"/>
    <w:rsid w:val="26451EEA"/>
    <w:rsid w:val="26704F2E"/>
    <w:rsid w:val="269A56FB"/>
    <w:rsid w:val="26B506EC"/>
    <w:rsid w:val="27210100"/>
    <w:rsid w:val="27DC3878"/>
    <w:rsid w:val="27E76477"/>
    <w:rsid w:val="28254CD6"/>
    <w:rsid w:val="286D4B1E"/>
    <w:rsid w:val="28AF339E"/>
    <w:rsid w:val="28C62F56"/>
    <w:rsid w:val="28DA203A"/>
    <w:rsid w:val="28E84A2F"/>
    <w:rsid w:val="28F0407A"/>
    <w:rsid w:val="290F208E"/>
    <w:rsid w:val="29124844"/>
    <w:rsid w:val="29152822"/>
    <w:rsid w:val="291A7D32"/>
    <w:rsid w:val="29320499"/>
    <w:rsid w:val="29655706"/>
    <w:rsid w:val="29693257"/>
    <w:rsid w:val="29837904"/>
    <w:rsid w:val="29AC284E"/>
    <w:rsid w:val="29B0557C"/>
    <w:rsid w:val="2A1A0F4E"/>
    <w:rsid w:val="2AB06233"/>
    <w:rsid w:val="2B3E2250"/>
    <w:rsid w:val="2BF7A349"/>
    <w:rsid w:val="2C1D57D4"/>
    <w:rsid w:val="2C263A29"/>
    <w:rsid w:val="2CAE51CD"/>
    <w:rsid w:val="2CCF49F6"/>
    <w:rsid w:val="2CE05BB9"/>
    <w:rsid w:val="2CF23945"/>
    <w:rsid w:val="2D346E5C"/>
    <w:rsid w:val="2D91275F"/>
    <w:rsid w:val="2DD52751"/>
    <w:rsid w:val="2E664953"/>
    <w:rsid w:val="2EB07460"/>
    <w:rsid w:val="2EB5699C"/>
    <w:rsid w:val="2F022232"/>
    <w:rsid w:val="2F6E3D48"/>
    <w:rsid w:val="300C303E"/>
    <w:rsid w:val="3036363E"/>
    <w:rsid w:val="30474804"/>
    <w:rsid w:val="30A901B1"/>
    <w:rsid w:val="30FB7A19"/>
    <w:rsid w:val="310261A7"/>
    <w:rsid w:val="315D4606"/>
    <w:rsid w:val="318D0B53"/>
    <w:rsid w:val="32076543"/>
    <w:rsid w:val="32A75185"/>
    <w:rsid w:val="32E75E2A"/>
    <w:rsid w:val="32F53E43"/>
    <w:rsid w:val="33340B4D"/>
    <w:rsid w:val="335F41BA"/>
    <w:rsid w:val="338713C1"/>
    <w:rsid w:val="33B962F5"/>
    <w:rsid w:val="33BA34B0"/>
    <w:rsid w:val="34367DA9"/>
    <w:rsid w:val="34655594"/>
    <w:rsid w:val="3477488D"/>
    <w:rsid w:val="349413EA"/>
    <w:rsid w:val="349D2C44"/>
    <w:rsid w:val="34C54BE3"/>
    <w:rsid w:val="34C574CF"/>
    <w:rsid w:val="350607E8"/>
    <w:rsid w:val="350D6182"/>
    <w:rsid w:val="3628478F"/>
    <w:rsid w:val="367C4935"/>
    <w:rsid w:val="36CE34E8"/>
    <w:rsid w:val="37020770"/>
    <w:rsid w:val="3703001E"/>
    <w:rsid w:val="37B838EA"/>
    <w:rsid w:val="387939C8"/>
    <w:rsid w:val="3904514B"/>
    <w:rsid w:val="39606472"/>
    <w:rsid w:val="39706B79"/>
    <w:rsid w:val="39FB6A6E"/>
    <w:rsid w:val="39FC282B"/>
    <w:rsid w:val="3A164E28"/>
    <w:rsid w:val="3A7B3A28"/>
    <w:rsid w:val="3A9C1064"/>
    <w:rsid w:val="3ACF16E5"/>
    <w:rsid w:val="3AF143FE"/>
    <w:rsid w:val="3B1064BD"/>
    <w:rsid w:val="3B2C33D8"/>
    <w:rsid w:val="3B2C358C"/>
    <w:rsid w:val="3BE04637"/>
    <w:rsid w:val="3BF15362"/>
    <w:rsid w:val="3C6148B0"/>
    <w:rsid w:val="3C8B319B"/>
    <w:rsid w:val="3CD27730"/>
    <w:rsid w:val="3D267363"/>
    <w:rsid w:val="3D390470"/>
    <w:rsid w:val="3D4D11D6"/>
    <w:rsid w:val="3D593B6E"/>
    <w:rsid w:val="3DC76F84"/>
    <w:rsid w:val="3DCE50EF"/>
    <w:rsid w:val="3DDF7E2A"/>
    <w:rsid w:val="3E062B0C"/>
    <w:rsid w:val="3E1918E3"/>
    <w:rsid w:val="3E3759DF"/>
    <w:rsid w:val="3E96513D"/>
    <w:rsid w:val="3E98229E"/>
    <w:rsid w:val="3EA64B1B"/>
    <w:rsid w:val="3EE902D6"/>
    <w:rsid w:val="3EEE2128"/>
    <w:rsid w:val="3F00274D"/>
    <w:rsid w:val="3F894898"/>
    <w:rsid w:val="40E80A95"/>
    <w:rsid w:val="40FB3E72"/>
    <w:rsid w:val="41131941"/>
    <w:rsid w:val="411E7DFD"/>
    <w:rsid w:val="41C50CBF"/>
    <w:rsid w:val="42234900"/>
    <w:rsid w:val="42310D45"/>
    <w:rsid w:val="425D450F"/>
    <w:rsid w:val="42914373"/>
    <w:rsid w:val="4297507F"/>
    <w:rsid w:val="42A44E8B"/>
    <w:rsid w:val="42DA32B5"/>
    <w:rsid w:val="42E47ABD"/>
    <w:rsid w:val="43393B20"/>
    <w:rsid w:val="43495ACF"/>
    <w:rsid w:val="436C497E"/>
    <w:rsid w:val="438579A6"/>
    <w:rsid w:val="43F54CF5"/>
    <w:rsid w:val="448D6A38"/>
    <w:rsid w:val="44913E48"/>
    <w:rsid w:val="454D3269"/>
    <w:rsid w:val="45F46FB0"/>
    <w:rsid w:val="46562959"/>
    <w:rsid w:val="467F690A"/>
    <w:rsid w:val="468346FF"/>
    <w:rsid w:val="46B85F59"/>
    <w:rsid w:val="46C644C3"/>
    <w:rsid w:val="46DB1B02"/>
    <w:rsid w:val="46E961D3"/>
    <w:rsid w:val="476A6C24"/>
    <w:rsid w:val="47EF50CB"/>
    <w:rsid w:val="47F1203C"/>
    <w:rsid w:val="48621071"/>
    <w:rsid w:val="487B1097"/>
    <w:rsid w:val="48873289"/>
    <w:rsid w:val="492D7C31"/>
    <w:rsid w:val="495C25B9"/>
    <w:rsid w:val="498B48F2"/>
    <w:rsid w:val="499A360F"/>
    <w:rsid w:val="499D0869"/>
    <w:rsid w:val="49A50688"/>
    <w:rsid w:val="49C12AD9"/>
    <w:rsid w:val="49C134CC"/>
    <w:rsid w:val="49F80755"/>
    <w:rsid w:val="4A1B668D"/>
    <w:rsid w:val="4A396CAF"/>
    <w:rsid w:val="4A3E14BB"/>
    <w:rsid w:val="4AD245F0"/>
    <w:rsid w:val="4B0C6773"/>
    <w:rsid w:val="4B1957B9"/>
    <w:rsid w:val="4B5C045F"/>
    <w:rsid w:val="4B674B1E"/>
    <w:rsid w:val="4B82567D"/>
    <w:rsid w:val="4B91641F"/>
    <w:rsid w:val="4BE44EED"/>
    <w:rsid w:val="4C347AA3"/>
    <w:rsid w:val="4C964BBF"/>
    <w:rsid w:val="4D1A4304"/>
    <w:rsid w:val="4D284DE2"/>
    <w:rsid w:val="4D782815"/>
    <w:rsid w:val="4D8D2223"/>
    <w:rsid w:val="4DBE4790"/>
    <w:rsid w:val="4DE4323A"/>
    <w:rsid w:val="4E1560C6"/>
    <w:rsid w:val="4E2B5EFB"/>
    <w:rsid w:val="4E835670"/>
    <w:rsid w:val="4EE96853"/>
    <w:rsid w:val="4EEF6B88"/>
    <w:rsid w:val="4EF549D4"/>
    <w:rsid w:val="4F8E227A"/>
    <w:rsid w:val="4FA72F38"/>
    <w:rsid w:val="4FFC17B4"/>
    <w:rsid w:val="50702768"/>
    <w:rsid w:val="50CF3D2E"/>
    <w:rsid w:val="50FE0AB7"/>
    <w:rsid w:val="51696EE6"/>
    <w:rsid w:val="516E1798"/>
    <w:rsid w:val="51BD5D57"/>
    <w:rsid w:val="51F03A65"/>
    <w:rsid w:val="525C5D72"/>
    <w:rsid w:val="52FE55DB"/>
    <w:rsid w:val="537961D3"/>
    <w:rsid w:val="53D224B3"/>
    <w:rsid w:val="53E87428"/>
    <w:rsid w:val="53FA1456"/>
    <w:rsid w:val="5447281C"/>
    <w:rsid w:val="549D5EDD"/>
    <w:rsid w:val="54A90D98"/>
    <w:rsid w:val="54E44556"/>
    <w:rsid w:val="54F65EBA"/>
    <w:rsid w:val="55AF412E"/>
    <w:rsid w:val="55D27624"/>
    <w:rsid w:val="56324628"/>
    <w:rsid w:val="56336B0D"/>
    <w:rsid w:val="567A6E51"/>
    <w:rsid w:val="56B45E9F"/>
    <w:rsid w:val="56F203B4"/>
    <w:rsid w:val="57472D83"/>
    <w:rsid w:val="57747C3B"/>
    <w:rsid w:val="579A11F6"/>
    <w:rsid w:val="57B64F52"/>
    <w:rsid w:val="57FB19B1"/>
    <w:rsid w:val="57FC55AA"/>
    <w:rsid w:val="580928E7"/>
    <w:rsid w:val="583E1CF5"/>
    <w:rsid w:val="58501BF8"/>
    <w:rsid w:val="58551F7D"/>
    <w:rsid w:val="58AE4C17"/>
    <w:rsid w:val="595B76D2"/>
    <w:rsid w:val="5AA412FE"/>
    <w:rsid w:val="5AAE70AA"/>
    <w:rsid w:val="5ABA7A19"/>
    <w:rsid w:val="5AC72F10"/>
    <w:rsid w:val="5B136F0D"/>
    <w:rsid w:val="5B56778E"/>
    <w:rsid w:val="5B840C5F"/>
    <w:rsid w:val="5B964D28"/>
    <w:rsid w:val="5BB71F8E"/>
    <w:rsid w:val="5BC44F00"/>
    <w:rsid w:val="5D002209"/>
    <w:rsid w:val="5D1A6C78"/>
    <w:rsid w:val="5D217374"/>
    <w:rsid w:val="5D487342"/>
    <w:rsid w:val="5D7960CD"/>
    <w:rsid w:val="5DE81AA6"/>
    <w:rsid w:val="5DE943DE"/>
    <w:rsid w:val="5E2B51A2"/>
    <w:rsid w:val="5E4E4E2C"/>
    <w:rsid w:val="5EB62375"/>
    <w:rsid w:val="5ECC7AFE"/>
    <w:rsid w:val="5EF679FF"/>
    <w:rsid w:val="5EF724E5"/>
    <w:rsid w:val="5F0E600B"/>
    <w:rsid w:val="5F436DCC"/>
    <w:rsid w:val="5F5B667A"/>
    <w:rsid w:val="5F6067D6"/>
    <w:rsid w:val="5FD125EC"/>
    <w:rsid w:val="603D2D4A"/>
    <w:rsid w:val="60D51B08"/>
    <w:rsid w:val="610552EA"/>
    <w:rsid w:val="61162C50"/>
    <w:rsid w:val="613F6CAD"/>
    <w:rsid w:val="61490A69"/>
    <w:rsid w:val="617203D0"/>
    <w:rsid w:val="61EC0543"/>
    <w:rsid w:val="622320AD"/>
    <w:rsid w:val="62460B06"/>
    <w:rsid w:val="626A5FAC"/>
    <w:rsid w:val="626C41FD"/>
    <w:rsid w:val="62F7205C"/>
    <w:rsid w:val="631840FD"/>
    <w:rsid w:val="634B16C2"/>
    <w:rsid w:val="638717D9"/>
    <w:rsid w:val="647D6B2F"/>
    <w:rsid w:val="64981C38"/>
    <w:rsid w:val="64A14715"/>
    <w:rsid w:val="64AA3487"/>
    <w:rsid w:val="64AE2EEE"/>
    <w:rsid w:val="64B672B1"/>
    <w:rsid w:val="64E71BB9"/>
    <w:rsid w:val="64F70EA9"/>
    <w:rsid w:val="654F1A47"/>
    <w:rsid w:val="6559389C"/>
    <w:rsid w:val="65C03700"/>
    <w:rsid w:val="65EC15AB"/>
    <w:rsid w:val="666B40A1"/>
    <w:rsid w:val="671B6AB8"/>
    <w:rsid w:val="67996221"/>
    <w:rsid w:val="681E7F53"/>
    <w:rsid w:val="69610B03"/>
    <w:rsid w:val="69A14E77"/>
    <w:rsid w:val="69A714AC"/>
    <w:rsid w:val="69CC227F"/>
    <w:rsid w:val="6A1671DC"/>
    <w:rsid w:val="6A6C2E15"/>
    <w:rsid w:val="6AA36AD3"/>
    <w:rsid w:val="6AF74155"/>
    <w:rsid w:val="6B584AFC"/>
    <w:rsid w:val="6B59453E"/>
    <w:rsid w:val="6BE66EA4"/>
    <w:rsid w:val="6D137960"/>
    <w:rsid w:val="6D31158B"/>
    <w:rsid w:val="6D88336F"/>
    <w:rsid w:val="6DDE33AA"/>
    <w:rsid w:val="6E627A21"/>
    <w:rsid w:val="6E957640"/>
    <w:rsid w:val="6EE33674"/>
    <w:rsid w:val="6EE442D1"/>
    <w:rsid w:val="6F20011E"/>
    <w:rsid w:val="6F297E76"/>
    <w:rsid w:val="6F4C3024"/>
    <w:rsid w:val="6FA10C39"/>
    <w:rsid w:val="6FB40867"/>
    <w:rsid w:val="6FDF47DE"/>
    <w:rsid w:val="70B34FC2"/>
    <w:rsid w:val="70BA3726"/>
    <w:rsid w:val="70D016D0"/>
    <w:rsid w:val="7101188A"/>
    <w:rsid w:val="718D5813"/>
    <w:rsid w:val="71A224E9"/>
    <w:rsid w:val="71D074AE"/>
    <w:rsid w:val="72310D3B"/>
    <w:rsid w:val="72741EBA"/>
    <w:rsid w:val="72EA0AEA"/>
    <w:rsid w:val="73253CFE"/>
    <w:rsid w:val="734A6100"/>
    <w:rsid w:val="73767D80"/>
    <w:rsid w:val="738854C1"/>
    <w:rsid w:val="739E4C23"/>
    <w:rsid w:val="73B1244F"/>
    <w:rsid w:val="73EB3D22"/>
    <w:rsid w:val="74064BED"/>
    <w:rsid w:val="7415373C"/>
    <w:rsid w:val="74494BE5"/>
    <w:rsid w:val="74533BD1"/>
    <w:rsid w:val="747948CE"/>
    <w:rsid w:val="74E22169"/>
    <w:rsid w:val="75126D7A"/>
    <w:rsid w:val="75285314"/>
    <w:rsid w:val="75A65E27"/>
    <w:rsid w:val="75BA5477"/>
    <w:rsid w:val="769918E2"/>
    <w:rsid w:val="76BFAF13"/>
    <w:rsid w:val="76C81BF1"/>
    <w:rsid w:val="771A12B8"/>
    <w:rsid w:val="77537603"/>
    <w:rsid w:val="77C436E5"/>
    <w:rsid w:val="785513ED"/>
    <w:rsid w:val="78937CF7"/>
    <w:rsid w:val="78973897"/>
    <w:rsid w:val="78D167C0"/>
    <w:rsid w:val="78FBF684"/>
    <w:rsid w:val="79096067"/>
    <w:rsid w:val="799C2E68"/>
    <w:rsid w:val="79ED6971"/>
    <w:rsid w:val="79FE2D83"/>
    <w:rsid w:val="7A057571"/>
    <w:rsid w:val="7A263419"/>
    <w:rsid w:val="7A96669D"/>
    <w:rsid w:val="7AA33536"/>
    <w:rsid w:val="7AE8472F"/>
    <w:rsid w:val="7B4D35F3"/>
    <w:rsid w:val="7B7D91F1"/>
    <w:rsid w:val="7B9E1ACE"/>
    <w:rsid w:val="7BCD5242"/>
    <w:rsid w:val="7BED0CD8"/>
    <w:rsid w:val="7BF37442"/>
    <w:rsid w:val="7BF88BF8"/>
    <w:rsid w:val="7BFE1E83"/>
    <w:rsid w:val="7CB7F70C"/>
    <w:rsid w:val="7CF32A66"/>
    <w:rsid w:val="7D1E303C"/>
    <w:rsid w:val="7D464221"/>
    <w:rsid w:val="7D673C72"/>
    <w:rsid w:val="7D6FFF83"/>
    <w:rsid w:val="7D71438E"/>
    <w:rsid w:val="7DB163E5"/>
    <w:rsid w:val="7DBF21A5"/>
    <w:rsid w:val="7DE93C59"/>
    <w:rsid w:val="7DFBF8B8"/>
    <w:rsid w:val="7E6D67B0"/>
    <w:rsid w:val="7E72183B"/>
    <w:rsid w:val="7E9F6C1F"/>
    <w:rsid w:val="7EFF7F74"/>
    <w:rsid w:val="7F3F6140"/>
    <w:rsid w:val="7F413799"/>
    <w:rsid w:val="7FAF2B89"/>
    <w:rsid w:val="7FB33084"/>
    <w:rsid w:val="7FF91A5C"/>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39" w:semiHidden="0"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9"/>
    <w:autoRedefine/>
    <w:qFormat/>
    <w:uiPriority w:val="99"/>
    <w:pPr>
      <w:keepNext/>
      <w:keepLines/>
      <w:spacing w:line="576" w:lineRule="auto"/>
      <w:outlineLvl w:val="0"/>
    </w:pPr>
    <w:rPr>
      <w:rFonts w:ascii="Calibri" w:hAnsi="Calibri" w:cs="Calibri"/>
      <w:b/>
      <w:bCs/>
      <w:kern w:val="44"/>
      <w:sz w:val="44"/>
      <w:szCs w:val="44"/>
    </w:rPr>
  </w:style>
  <w:style w:type="paragraph" w:styleId="2">
    <w:name w:val="heading 2"/>
    <w:basedOn w:val="1"/>
    <w:next w:val="3"/>
    <w:link w:val="40"/>
    <w:autoRedefine/>
    <w:qFormat/>
    <w:uiPriority w:val="99"/>
    <w:pPr>
      <w:keepNext/>
      <w:spacing w:line="216" w:lineRule="auto"/>
      <w:outlineLvl w:val="1"/>
    </w:pPr>
    <w:rPr>
      <w:rFonts w:ascii="宋体" w:hAnsi="Calibri" w:cs="宋体"/>
      <w:b/>
      <w:bCs/>
      <w:sz w:val="28"/>
      <w:szCs w:val="28"/>
    </w:rPr>
  </w:style>
  <w:style w:type="paragraph" w:styleId="6">
    <w:name w:val="heading 3"/>
    <w:basedOn w:val="1"/>
    <w:next w:val="1"/>
    <w:link w:val="41"/>
    <w:autoRedefine/>
    <w:qFormat/>
    <w:uiPriority w:val="99"/>
    <w:pPr>
      <w:keepNext/>
      <w:numPr>
        <w:ilvl w:val="0"/>
        <w:numId w:val="1"/>
      </w:numPr>
      <w:spacing w:line="216" w:lineRule="auto"/>
      <w:outlineLvl w:val="2"/>
    </w:pPr>
    <w:rPr>
      <w:rFonts w:ascii="宋体" w:hAnsi="Calibri" w:cs="宋体"/>
      <w:b/>
      <w:bCs/>
      <w:sz w:val="28"/>
      <w:szCs w:val="28"/>
    </w:rPr>
  </w:style>
  <w:style w:type="paragraph" w:styleId="7">
    <w:name w:val="heading 4"/>
    <w:basedOn w:val="1"/>
    <w:next w:val="1"/>
    <w:autoRedefine/>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4"/>
    <w:autoRedefine/>
    <w:qFormat/>
    <w:uiPriority w:val="99"/>
    <w:pPr>
      <w:ind w:firstLine="420"/>
    </w:pPr>
  </w:style>
  <w:style w:type="paragraph" w:styleId="4">
    <w:name w:val="toc 4"/>
    <w:basedOn w:val="1"/>
    <w:next w:val="1"/>
    <w:autoRedefine/>
    <w:qFormat/>
    <w:uiPriority w:val="39"/>
    <w:pPr>
      <w:ind w:left="1260" w:leftChars="600"/>
    </w:pPr>
    <w:rPr>
      <w:szCs w:val="24"/>
    </w:rPr>
  </w:style>
  <w:style w:type="paragraph" w:styleId="8">
    <w:name w:val="annotation text"/>
    <w:basedOn w:val="1"/>
    <w:autoRedefine/>
    <w:semiHidden/>
    <w:unhideWhenUsed/>
    <w:qFormat/>
    <w:uiPriority w:val="99"/>
    <w:pPr>
      <w:jc w:val="left"/>
    </w:pPr>
  </w:style>
  <w:style w:type="paragraph" w:styleId="9">
    <w:name w:val="Body Text"/>
    <w:basedOn w:val="1"/>
    <w:next w:val="10"/>
    <w:link w:val="42"/>
    <w:autoRedefine/>
    <w:qFormat/>
    <w:uiPriority w:val="99"/>
  </w:style>
  <w:style w:type="paragraph" w:styleId="10">
    <w:name w:val="Body Text First Indent"/>
    <w:basedOn w:val="9"/>
    <w:next w:val="11"/>
    <w:link w:val="54"/>
    <w:autoRedefine/>
    <w:qFormat/>
    <w:uiPriority w:val="99"/>
    <w:pPr>
      <w:ind w:firstLine="420" w:firstLineChars="100"/>
    </w:pPr>
  </w:style>
  <w:style w:type="paragraph" w:styleId="11">
    <w:name w:val="toc 6"/>
    <w:basedOn w:val="1"/>
    <w:next w:val="1"/>
    <w:autoRedefine/>
    <w:qFormat/>
    <w:uiPriority w:val="0"/>
    <w:pPr>
      <w:spacing w:line="360" w:lineRule="auto"/>
      <w:ind w:left="1200" w:firstLine="200" w:firstLineChars="200"/>
      <w:jc w:val="left"/>
    </w:pPr>
    <w:rPr>
      <w:rFonts w:ascii="Calibri" w:hAnsi="Calibri" w:cs="Calibri"/>
      <w:sz w:val="18"/>
      <w:szCs w:val="18"/>
    </w:rPr>
  </w:style>
  <w:style w:type="paragraph" w:styleId="12">
    <w:name w:val="Body Text Indent"/>
    <w:basedOn w:val="1"/>
    <w:next w:val="13"/>
    <w:link w:val="48"/>
    <w:autoRedefine/>
    <w:qFormat/>
    <w:uiPriority w:val="99"/>
    <w:pPr>
      <w:adjustRightInd w:val="0"/>
      <w:spacing w:line="360" w:lineRule="auto"/>
      <w:ind w:firstLine="490"/>
      <w:jc w:val="left"/>
    </w:pPr>
    <w:rPr>
      <w:rFonts w:ascii="宋体" w:hAnsi="宋体" w:cs="宋体"/>
      <w:sz w:val="24"/>
      <w:szCs w:val="24"/>
    </w:rPr>
  </w:style>
  <w:style w:type="paragraph" w:styleId="13">
    <w:name w:val="Body Text First Indent 2"/>
    <w:basedOn w:val="12"/>
    <w:next w:val="10"/>
    <w:autoRedefine/>
    <w:qFormat/>
    <w:uiPriority w:val="0"/>
    <w:pPr>
      <w:ind w:firstLine="420"/>
    </w:pPr>
  </w:style>
  <w:style w:type="paragraph" w:styleId="14">
    <w:name w:val="Block Text"/>
    <w:basedOn w:val="1"/>
    <w:autoRedefine/>
    <w:qFormat/>
    <w:uiPriority w:val="0"/>
    <w:pPr>
      <w:spacing w:before="120" w:line="360" w:lineRule="auto"/>
      <w:ind w:left="824" w:right="202"/>
    </w:pPr>
    <w:rPr>
      <w:rFonts w:ascii="宋体" w:hAnsi="宋体"/>
      <w:sz w:val="24"/>
      <w:szCs w:val="21"/>
    </w:rPr>
  </w:style>
  <w:style w:type="paragraph" w:styleId="15">
    <w:name w:val="toc 3"/>
    <w:basedOn w:val="1"/>
    <w:next w:val="1"/>
    <w:autoRedefine/>
    <w:semiHidden/>
    <w:qFormat/>
    <w:uiPriority w:val="99"/>
    <w:pPr>
      <w:ind w:left="840" w:leftChars="400"/>
    </w:pPr>
  </w:style>
  <w:style w:type="paragraph" w:styleId="16">
    <w:name w:val="Plain Text"/>
    <w:basedOn w:val="1"/>
    <w:next w:val="1"/>
    <w:link w:val="49"/>
    <w:autoRedefine/>
    <w:qFormat/>
    <w:uiPriority w:val="99"/>
    <w:rPr>
      <w:rFonts w:ascii="宋体" w:hAnsi="Courier New" w:cs="宋体"/>
    </w:rPr>
  </w:style>
  <w:style w:type="paragraph" w:styleId="17">
    <w:name w:val="Date"/>
    <w:basedOn w:val="1"/>
    <w:next w:val="1"/>
    <w:link w:val="50"/>
    <w:autoRedefine/>
    <w:qFormat/>
    <w:uiPriority w:val="99"/>
    <w:pPr>
      <w:ind w:left="100" w:leftChars="2500"/>
    </w:pPr>
    <w:rPr>
      <w:rFonts w:ascii="宋体" w:hAnsi="宋体" w:cs="宋体"/>
      <w:color w:val="000000"/>
      <w:sz w:val="24"/>
      <w:szCs w:val="24"/>
    </w:rPr>
  </w:style>
  <w:style w:type="paragraph" w:styleId="18">
    <w:name w:val="Balloon Text"/>
    <w:basedOn w:val="1"/>
    <w:link w:val="51"/>
    <w:autoRedefine/>
    <w:semiHidden/>
    <w:qFormat/>
    <w:uiPriority w:val="99"/>
    <w:rPr>
      <w:sz w:val="18"/>
      <w:szCs w:val="18"/>
    </w:rPr>
  </w:style>
  <w:style w:type="paragraph" w:styleId="19">
    <w:name w:val="footer"/>
    <w:basedOn w:val="1"/>
    <w:link w:val="52"/>
    <w:autoRedefine/>
    <w:qFormat/>
    <w:uiPriority w:val="99"/>
    <w:pPr>
      <w:tabs>
        <w:tab w:val="center" w:pos="4153"/>
        <w:tab w:val="right" w:pos="8306"/>
      </w:tabs>
      <w:snapToGrid w:val="0"/>
      <w:jc w:val="left"/>
    </w:pPr>
    <w:rPr>
      <w:sz w:val="18"/>
      <w:szCs w:val="18"/>
    </w:rPr>
  </w:style>
  <w:style w:type="paragraph" w:styleId="20">
    <w:name w:val="header"/>
    <w:basedOn w:val="1"/>
    <w:link w:val="53"/>
    <w:autoRedefine/>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1">
    <w:name w:val="toc 1"/>
    <w:basedOn w:val="1"/>
    <w:next w:val="1"/>
    <w:autoRedefine/>
    <w:semiHidden/>
    <w:qFormat/>
    <w:uiPriority w:val="99"/>
  </w:style>
  <w:style w:type="paragraph" w:styleId="22">
    <w:name w:val="toc 2"/>
    <w:basedOn w:val="1"/>
    <w:next w:val="1"/>
    <w:autoRedefine/>
    <w:semiHidden/>
    <w:qFormat/>
    <w:uiPriority w:val="99"/>
    <w:pPr>
      <w:ind w:left="420" w:leftChars="200"/>
    </w:pPr>
  </w:style>
  <w:style w:type="paragraph" w:styleId="23">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autoRedefine/>
    <w:qFormat/>
    <w:uiPriority w:val="99"/>
    <w:pPr>
      <w:widowControl/>
      <w:spacing w:before="100" w:beforeAutospacing="1" w:after="100" w:afterAutospacing="1"/>
      <w:jc w:val="left"/>
    </w:pPr>
    <w:rPr>
      <w:rFonts w:ascii="宋体" w:hAnsi="宋体" w:cs="宋体"/>
      <w:sz w:val="24"/>
      <w:szCs w:val="24"/>
    </w:rPr>
  </w:style>
  <w:style w:type="table" w:styleId="26">
    <w:name w:val="Table Grid"/>
    <w:basedOn w:val="25"/>
    <w:autoRedefine/>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99"/>
    <w:rPr>
      <w:b/>
      <w:bCs/>
    </w:rPr>
  </w:style>
  <w:style w:type="character" w:styleId="29">
    <w:name w:val="page number"/>
    <w:basedOn w:val="27"/>
    <w:autoRedefine/>
    <w:qFormat/>
    <w:uiPriority w:val="99"/>
  </w:style>
  <w:style w:type="character" w:styleId="30">
    <w:name w:val="Hyperlink"/>
    <w:basedOn w:val="27"/>
    <w:autoRedefine/>
    <w:qFormat/>
    <w:uiPriority w:val="99"/>
    <w:rPr>
      <w:color w:val="0000FF"/>
      <w:u w:val="single"/>
    </w:rPr>
  </w:style>
  <w:style w:type="paragraph" w:styleId="31">
    <w:name w:val="Quote"/>
    <w:basedOn w:val="1"/>
    <w:next w:val="1"/>
    <w:autoRedefine/>
    <w:qFormat/>
    <w:uiPriority w:val="0"/>
    <w:pPr>
      <w:wordWrap w:val="0"/>
      <w:spacing w:before="200" w:after="160"/>
      <w:ind w:left="864" w:right="864"/>
      <w:jc w:val="center"/>
    </w:pPr>
    <w:rPr>
      <w:i/>
    </w:rPr>
  </w:style>
  <w:style w:type="paragraph" w:customStyle="1" w:styleId="32">
    <w:name w:val="BodyText1I2"/>
    <w:basedOn w:val="33"/>
    <w:autoRedefine/>
    <w:qFormat/>
    <w:uiPriority w:val="0"/>
    <w:pPr>
      <w:ind w:firstLine="420"/>
    </w:pPr>
    <w:rPr>
      <w:sz w:val="21"/>
    </w:rPr>
  </w:style>
  <w:style w:type="paragraph" w:customStyle="1" w:styleId="33">
    <w:name w:val="BodyTextIndent"/>
    <w:basedOn w:val="1"/>
    <w:next w:val="32"/>
    <w:autoRedefine/>
    <w:qFormat/>
    <w:uiPriority w:val="0"/>
    <w:pPr>
      <w:spacing w:line="360" w:lineRule="auto"/>
      <w:ind w:firstLine="490"/>
      <w:jc w:val="left"/>
    </w:pPr>
    <w:rPr>
      <w:rFonts w:ascii="宋体" w:hAnsi="宋体"/>
      <w:sz w:val="24"/>
    </w:rPr>
  </w:style>
  <w:style w:type="paragraph" w:customStyle="1" w:styleId="34">
    <w:name w:val="Body Text First Indent1"/>
    <w:basedOn w:val="9"/>
    <w:autoRedefine/>
    <w:qFormat/>
    <w:uiPriority w:val="0"/>
    <w:pPr>
      <w:tabs>
        <w:tab w:val="left" w:pos="1275"/>
      </w:tabs>
      <w:ind w:firstLine="420" w:firstLineChars="100"/>
    </w:pPr>
  </w:style>
  <w:style w:type="paragraph" w:customStyle="1" w:styleId="35">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36">
    <w:name w:val="表格文字"/>
    <w:basedOn w:val="1"/>
    <w:next w:val="9"/>
    <w:autoRedefine/>
    <w:qFormat/>
    <w:uiPriority w:val="0"/>
    <w:pPr>
      <w:adjustRightInd w:val="0"/>
      <w:spacing w:line="420" w:lineRule="atLeast"/>
      <w:textAlignment w:val="baseline"/>
    </w:pPr>
  </w:style>
  <w:style w:type="paragraph" w:customStyle="1" w:styleId="37">
    <w:name w:val="正文缩进1"/>
    <w:basedOn w:val="1"/>
    <w:autoRedefine/>
    <w:qFormat/>
    <w:uiPriority w:val="0"/>
    <w:pPr>
      <w:ind w:firstLine="420" w:firstLineChars="200"/>
    </w:pPr>
  </w:style>
  <w:style w:type="paragraph" w:customStyle="1" w:styleId="38">
    <w:name w:val="正文（首行缩进2字符）"/>
    <w:basedOn w:val="1"/>
    <w:autoRedefine/>
    <w:qFormat/>
    <w:uiPriority w:val="0"/>
    <w:pPr>
      <w:spacing w:line="360" w:lineRule="auto"/>
      <w:ind w:firstLine="480" w:firstLineChars="200"/>
    </w:pPr>
    <w:rPr>
      <w:sz w:val="24"/>
      <w:szCs w:val="20"/>
    </w:rPr>
  </w:style>
  <w:style w:type="character" w:customStyle="1" w:styleId="39">
    <w:name w:val="标题 1 Char"/>
    <w:basedOn w:val="27"/>
    <w:link w:val="5"/>
    <w:autoRedefine/>
    <w:qFormat/>
    <w:locked/>
    <w:uiPriority w:val="99"/>
    <w:rPr>
      <w:b/>
      <w:bCs/>
      <w:kern w:val="44"/>
      <w:sz w:val="44"/>
      <w:szCs w:val="44"/>
    </w:rPr>
  </w:style>
  <w:style w:type="character" w:customStyle="1" w:styleId="40">
    <w:name w:val="标题 2 Char"/>
    <w:basedOn w:val="27"/>
    <w:link w:val="2"/>
    <w:autoRedefine/>
    <w:qFormat/>
    <w:locked/>
    <w:uiPriority w:val="99"/>
    <w:rPr>
      <w:rFonts w:ascii="宋体" w:cs="宋体"/>
      <w:b/>
      <w:bCs/>
      <w:kern w:val="2"/>
      <w:sz w:val="28"/>
      <w:szCs w:val="28"/>
    </w:rPr>
  </w:style>
  <w:style w:type="character" w:customStyle="1" w:styleId="41">
    <w:name w:val="标题 3 Char"/>
    <w:basedOn w:val="27"/>
    <w:link w:val="6"/>
    <w:autoRedefine/>
    <w:qFormat/>
    <w:locked/>
    <w:uiPriority w:val="99"/>
    <w:rPr>
      <w:rFonts w:ascii="宋体" w:cs="宋体"/>
      <w:b/>
      <w:bCs/>
      <w:kern w:val="2"/>
      <w:sz w:val="28"/>
      <w:szCs w:val="28"/>
    </w:rPr>
  </w:style>
  <w:style w:type="character" w:customStyle="1" w:styleId="42">
    <w:name w:val="正文文本 Char"/>
    <w:basedOn w:val="27"/>
    <w:link w:val="9"/>
    <w:autoRedefine/>
    <w:semiHidden/>
    <w:qFormat/>
    <w:uiPriority w:val="99"/>
    <w:rPr>
      <w:rFonts w:ascii="Times New Roman" w:hAnsi="Times New Roman"/>
      <w:szCs w:val="21"/>
    </w:rPr>
  </w:style>
  <w:style w:type="paragraph" w:customStyle="1" w:styleId="43">
    <w:name w:val="样式 表格正文 + 两端对齐"/>
    <w:basedOn w:val="1"/>
    <w:next w:val="44"/>
    <w:autoRedefine/>
    <w:qFormat/>
    <w:uiPriority w:val="99"/>
    <w:pPr>
      <w:spacing w:line="300" w:lineRule="auto"/>
    </w:pPr>
    <w:rPr>
      <w:sz w:val="24"/>
      <w:szCs w:val="24"/>
    </w:rPr>
  </w:style>
  <w:style w:type="paragraph" w:customStyle="1" w:styleId="44">
    <w:name w:val="正文1"/>
    <w:basedOn w:val="1"/>
    <w:next w:val="45"/>
    <w:autoRedefine/>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45">
    <w:name w:val="自动更正"/>
    <w:next w:val="4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
    <w:name w:val="xl39"/>
    <w:basedOn w:val="1"/>
    <w:next w:val="47"/>
    <w:autoRedefine/>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47">
    <w:name w:val="分手多日，近况如何？"/>
    <w:next w:val="1"/>
    <w:autoRedefine/>
    <w:qFormat/>
    <w:uiPriority w:val="99"/>
    <w:pPr>
      <w:widowControl w:val="0"/>
      <w:jc w:val="both"/>
    </w:pPr>
    <w:rPr>
      <w:rFonts w:ascii="Times New Roman" w:hAnsi="Times New Roman" w:eastAsia="宋体" w:cs="Times New Roman"/>
      <w:sz w:val="21"/>
      <w:szCs w:val="21"/>
      <w:lang w:val="en-US" w:eastAsia="zh-CN" w:bidi="ar-SA"/>
    </w:rPr>
  </w:style>
  <w:style w:type="character" w:customStyle="1" w:styleId="48">
    <w:name w:val="正文文本缩进 Char"/>
    <w:basedOn w:val="27"/>
    <w:link w:val="12"/>
    <w:autoRedefine/>
    <w:semiHidden/>
    <w:qFormat/>
    <w:uiPriority w:val="99"/>
    <w:rPr>
      <w:rFonts w:ascii="Times New Roman" w:hAnsi="Times New Roman"/>
      <w:szCs w:val="21"/>
    </w:rPr>
  </w:style>
  <w:style w:type="character" w:customStyle="1" w:styleId="49">
    <w:name w:val="纯文本 Char"/>
    <w:basedOn w:val="27"/>
    <w:link w:val="16"/>
    <w:autoRedefine/>
    <w:semiHidden/>
    <w:qFormat/>
    <w:uiPriority w:val="99"/>
    <w:rPr>
      <w:rFonts w:ascii="宋体" w:hAnsi="Courier New" w:cs="Courier New"/>
      <w:szCs w:val="21"/>
    </w:rPr>
  </w:style>
  <w:style w:type="character" w:customStyle="1" w:styleId="50">
    <w:name w:val="日期 Char"/>
    <w:basedOn w:val="27"/>
    <w:link w:val="17"/>
    <w:autoRedefine/>
    <w:semiHidden/>
    <w:qFormat/>
    <w:uiPriority w:val="99"/>
    <w:rPr>
      <w:rFonts w:ascii="Times New Roman" w:hAnsi="Times New Roman"/>
      <w:szCs w:val="21"/>
    </w:rPr>
  </w:style>
  <w:style w:type="character" w:customStyle="1" w:styleId="51">
    <w:name w:val="批注框文本 Char"/>
    <w:basedOn w:val="27"/>
    <w:link w:val="18"/>
    <w:autoRedefine/>
    <w:qFormat/>
    <w:locked/>
    <w:uiPriority w:val="99"/>
    <w:rPr>
      <w:kern w:val="2"/>
      <w:sz w:val="18"/>
      <w:szCs w:val="18"/>
    </w:rPr>
  </w:style>
  <w:style w:type="character" w:customStyle="1" w:styleId="52">
    <w:name w:val="页脚 Char"/>
    <w:basedOn w:val="27"/>
    <w:link w:val="19"/>
    <w:autoRedefine/>
    <w:semiHidden/>
    <w:qFormat/>
    <w:uiPriority w:val="99"/>
    <w:rPr>
      <w:rFonts w:ascii="Times New Roman" w:hAnsi="Times New Roman"/>
      <w:sz w:val="18"/>
      <w:szCs w:val="18"/>
    </w:rPr>
  </w:style>
  <w:style w:type="character" w:customStyle="1" w:styleId="53">
    <w:name w:val="页眉 Char"/>
    <w:basedOn w:val="27"/>
    <w:link w:val="20"/>
    <w:autoRedefine/>
    <w:semiHidden/>
    <w:qFormat/>
    <w:uiPriority w:val="99"/>
    <w:rPr>
      <w:rFonts w:ascii="Times New Roman" w:hAnsi="Times New Roman"/>
      <w:sz w:val="18"/>
      <w:szCs w:val="18"/>
    </w:rPr>
  </w:style>
  <w:style w:type="character" w:customStyle="1" w:styleId="54">
    <w:name w:val="正文首行缩进 Char"/>
    <w:basedOn w:val="42"/>
    <w:link w:val="10"/>
    <w:autoRedefine/>
    <w:semiHidden/>
    <w:qFormat/>
    <w:uiPriority w:val="99"/>
    <w:rPr>
      <w:rFonts w:ascii="Times New Roman" w:hAnsi="Times New Roman"/>
      <w:szCs w:val="21"/>
    </w:rPr>
  </w:style>
  <w:style w:type="paragraph" w:customStyle="1" w:styleId="55">
    <w:name w:val="正文2"/>
    <w:basedOn w:val="1"/>
    <w:autoRedefine/>
    <w:qFormat/>
    <w:uiPriority w:val="99"/>
    <w:pPr>
      <w:adjustRightInd w:val="0"/>
      <w:spacing w:before="156" w:line="360" w:lineRule="auto"/>
      <w:ind w:firstLine="510" w:firstLineChars="200"/>
    </w:pPr>
    <w:rPr>
      <w:sz w:val="24"/>
      <w:szCs w:val="24"/>
    </w:rPr>
  </w:style>
  <w:style w:type="paragraph" w:customStyle="1" w:styleId="56">
    <w:name w:val="List Paragraph1"/>
    <w:basedOn w:val="1"/>
    <w:autoRedefine/>
    <w:qFormat/>
    <w:uiPriority w:val="99"/>
    <w:pPr>
      <w:widowControl/>
      <w:ind w:firstLine="420" w:firstLineChars="200"/>
      <w:jc w:val="left"/>
    </w:pPr>
    <w:rPr>
      <w:rFonts w:ascii="Calibri" w:hAnsi="Calibri" w:cs="Calibri"/>
    </w:rPr>
  </w:style>
  <w:style w:type="character" w:customStyle="1" w:styleId="57">
    <w:name w:val="style81"/>
    <w:autoRedefine/>
    <w:qFormat/>
    <w:uiPriority w:val="99"/>
    <w:rPr>
      <w:sz w:val="20"/>
      <w:szCs w:val="20"/>
    </w:rPr>
  </w:style>
  <w:style w:type="paragraph" w:customStyle="1" w:styleId="58">
    <w:name w:val="列出段落1"/>
    <w:basedOn w:val="1"/>
    <w:autoRedefine/>
    <w:qFormat/>
    <w:uiPriority w:val="99"/>
    <w:pPr>
      <w:ind w:firstLine="420"/>
      <w:jc w:val="left"/>
    </w:pPr>
  </w:style>
  <w:style w:type="paragraph" w:customStyle="1" w:styleId="59">
    <w:name w:val="表格"/>
    <w:basedOn w:val="1"/>
    <w:autoRedefine/>
    <w:qFormat/>
    <w:uiPriority w:val="99"/>
    <w:pPr>
      <w:autoSpaceDE w:val="0"/>
      <w:autoSpaceDN w:val="0"/>
      <w:jc w:val="center"/>
      <w:textAlignment w:val="baseline"/>
    </w:pPr>
    <w:rPr>
      <w:color w:val="000000"/>
      <w:kern w:val="0"/>
    </w:rPr>
  </w:style>
  <w:style w:type="character" w:customStyle="1" w:styleId="60">
    <w:name w:val="02 Char"/>
    <w:link w:val="61"/>
    <w:autoRedefine/>
    <w:qFormat/>
    <w:locked/>
    <w:uiPriority w:val="99"/>
    <w:rPr>
      <w:rFonts w:ascii="宋体" w:cs="宋体"/>
      <w:b/>
      <w:bCs/>
      <w:color w:val="FF0000"/>
      <w:kern w:val="2"/>
      <w:sz w:val="28"/>
      <w:szCs w:val="28"/>
    </w:rPr>
  </w:style>
  <w:style w:type="paragraph" w:customStyle="1" w:styleId="61">
    <w:name w:val="02"/>
    <w:basedOn w:val="2"/>
    <w:link w:val="60"/>
    <w:autoRedefine/>
    <w:qFormat/>
    <w:uiPriority w:val="99"/>
    <w:pPr>
      <w:jc w:val="center"/>
    </w:pPr>
    <w:rPr>
      <w:color w:val="FF0000"/>
    </w:rPr>
  </w:style>
  <w:style w:type="character" w:customStyle="1" w:styleId="62">
    <w:name w:val="03 Char"/>
    <w:link w:val="63"/>
    <w:autoRedefine/>
    <w:qFormat/>
    <w:locked/>
    <w:uiPriority w:val="99"/>
    <w:rPr>
      <w:rFonts w:ascii="宋体" w:cs="宋体"/>
      <w:b/>
      <w:bCs/>
      <w:kern w:val="2"/>
      <w:sz w:val="28"/>
      <w:szCs w:val="28"/>
    </w:rPr>
  </w:style>
  <w:style w:type="paragraph" w:customStyle="1" w:styleId="63">
    <w:name w:val="03"/>
    <w:basedOn w:val="6"/>
    <w:link w:val="62"/>
    <w:autoRedefine/>
    <w:qFormat/>
    <w:uiPriority w:val="99"/>
    <w:pPr>
      <w:numPr>
        <w:ilvl w:val="0"/>
        <w:numId w:val="0"/>
      </w:numPr>
    </w:pPr>
  </w:style>
  <w:style w:type="character" w:customStyle="1" w:styleId="64">
    <w:name w:val="宋体小四 Char"/>
    <w:link w:val="65"/>
    <w:autoRedefine/>
    <w:qFormat/>
    <w:locked/>
    <w:uiPriority w:val="99"/>
    <w:rPr>
      <w:rFonts w:ascii="宋体" w:eastAsia="宋体" w:cs="宋体"/>
      <w:kern w:val="2"/>
      <w:sz w:val="24"/>
      <w:szCs w:val="24"/>
    </w:rPr>
  </w:style>
  <w:style w:type="paragraph" w:customStyle="1" w:styleId="65">
    <w:name w:val="宋体小四"/>
    <w:basedOn w:val="1"/>
    <w:link w:val="64"/>
    <w:autoRedefine/>
    <w:qFormat/>
    <w:uiPriority w:val="99"/>
    <w:pPr>
      <w:spacing w:line="360" w:lineRule="auto"/>
      <w:ind w:firstLine="480" w:firstLineChars="200"/>
    </w:pPr>
    <w:rPr>
      <w:rFonts w:ascii="宋体" w:hAnsi="宋体" w:cs="宋体"/>
      <w:sz w:val="24"/>
      <w:szCs w:val="24"/>
    </w:rPr>
  </w:style>
  <w:style w:type="character" w:customStyle="1" w:styleId="66">
    <w:name w:val="fontstyle01"/>
    <w:basedOn w:val="27"/>
    <w:autoRedefine/>
    <w:qFormat/>
    <w:uiPriority w:val="99"/>
    <w:rPr>
      <w:rFonts w:ascii="宋体" w:eastAsia="宋体" w:cs="宋体"/>
      <w:color w:val="000000"/>
      <w:sz w:val="22"/>
      <w:szCs w:val="22"/>
    </w:rPr>
  </w:style>
  <w:style w:type="paragraph" w:customStyle="1" w:styleId="67">
    <w:name w:val="正文首行缩进2字符"/>
    <w:basedOn w:val="1"/>
    <w:autoRedefine/>
    <w:qFormat/>
    <w:uiPriority w:val="99"/>
    <w:pPr>
      <w:spacing w:line="360" w:lineRule="auto"/>
      <w:ind w:firstLine="200" w:firstLineChars="200"/>
    </w:pPr>
  </w:style>
  <w:style w:type="paragraph" w:customStyle="1" w:styleId="68">
    <w:name w:val="居中表格内容标题"/>
    <w:basedOn w:val="69"/>
    <w:autoRedefine/>
    <w:qFormat/>
    <w:uiPriority w:val="0"/>
    <w:pPr>
      <w:jc w:val="center"/>
    </w:pPr>
    <w:rPr>
      <w:b/>
    </w:rPr>
  </w:style>
  <w:style w:type="paragraph" w:customStyle="1" w:styleId="69">
    <w:name w:val="居中表格内容"/>
    <w:basedOn w:val="1"/>
    <w:next w:val="1"/>
    <w:autoRedefine/>
    <w:qFormat/>
    <w:uiPriority w:val="0"/>
    <w:pPr>
      <w:jc w:val="left"/>
    </w:pPr>
    <w:rPr>
      <w:szCs w:val="28"/>
    </w:rPr>
  </w:style>
  <w:style w:type="paragraph" w:customStyle="1" w:styleId="70">
    <w:name w:val="Body text|1"/>
    <w:basedOn w:val="1"/>
    <w:autoRedefine/>
    <w:qFormat/>
    <w:uiPriority w:val="0"/>
    <w:pPr>
      <w:spacing w:line="374" w:lineRule="auto"/>
      <w:ind w:firstLine="400"/>
    </w:pPr>
    <w:rPr>
      <w:rFonts w:ascii="宋体" w:hAnsi="宋体" w:cs="宋体"/>
      <w:sz w:val="30"/>
      <w:szCs w:val="30"/>
      <w:lang w:val="zh-TW" w:eastAsia="zh-TW" w:bidi="zh-TW"/>
    </w:rPr>
  </w:style>
  <w:style w:type="paragraph" w:customStyle="1" w:styleId="71">
    <w:name w:val="Body text|2"/>
    <w:basedOn w:val="1"/>
    <w:autoRedefine/>
    <w:qFormat/>
    <w:uiPriority w:val="0"/>
    <w:pPr>
      <w:spacing w:line="360" w:lineRule="auto"/>
      <w:ind w:firstLine="660"/>
    </w:pPr>
    <w:rPr>
      <w:sz w:val="32"/>
      <w:szCs w:val="32"/>
      <w:lang w:val="zh-TW" w:eastAsia="zh-TW" w:bidi="zh-TW"/>
    </w:rPr>
  </w:style>
  <w:style w:type="character" w:customStyle="1" w:styleId="72">
    <w:name w:val="NormalCharacter"/>
    <w:autoRedefine/>
    <w:semiHidden/>
    <w:qFormat/>
    <w:uiPriority w:val="0"/>
  </w:style>
  <w:style w:type="paragraph" w:customStyle="1" w:styleId="73">
    <w:name w:val="CM26"/>
    <w:basedOn w:val="1"/>
    <w:next w:val="1"/>
    <w:autoRedefine/>
    <w:qFormat/>
    <w:uiPriority w:val="0"/>
    <w:pPr>
      <w:autoSpaceDE w:val="0"/>
      <w:autoSpaceDN w:val="0"/>
      <w:adjustRightInd w:val="0"/>
      <w:spacing w:line="400" w:lineRule="atLeast"/>
      <w:jc w:val="left"/>
    </w:pPr>
    <w:rPr>
      <w:rFonts w:ascii="宋体" w:hAnsi="宋体"/>
      <w:kern w:val="0"/>
      <w:sz w:val="24"/>
    </w:rPr>
  </w:style>
  <w:style w:type="paragraph" w:customStyle="1" w:styleId="74">
    <w:name w:val="xc正文"/>
    <w:basedOn w:val="1"/>
    <w:autoRedefine/>
    <w:qFormat/>
    <w:uiPriority w:val="0"/>
    <w:pPr>
      <w:ind w:firstLine="200" w:firstLineChars="200"/>
    </w:pPr>
    <w:rPr>
      <w:szCs w:val="24"/>
    </w:rPr>
  </w:style>
  <w:style w:type="paragraph" w:styleId="75">
    <w:name w:val="List Paragraph"/>
    <w:basedOn w:val="1"/>
    <w:autoRedefine/>
    <w:qFormat/>
    <w:uiPriority w:val="1"/>
    <w:pPr>
      <w:ind w:firstLine="420" w:firstLineChars="200"/>
    </w:pPr>
    <w:rPr>
      <w:szCs w:val="24"/>
    </w:rPr>
  </w:style>
  <w:style w:type="character" w:customStyle="1" w:styleId="76">
    <w:name w:val="fontstyle21"/>
    <w:autoRedefine/>
    <w:qFormat/>
    <w:uiPriority w:val="0"/>
    <w:rPr>
      <w:rFonts w:hint="default" w:ascii="TimesNewRomanPSMT" w:hAnsi="TimesNewRomanPSMT"/>
      <w:color w:val="000000"/>
      <w:sz w:val="32"/>
      <w:szCs w:val="32"/>
    </w:rPr>
  </w:style>
  <w:style w:type="paragraph" w:customStyle="1" w:styleId="77">
    <w:name w:val="_Style 16"/>
    <w:next w:val="1"/>
    <w:autoRedefine/>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8">
    <w:name w:val="_Style 76"/>
    <w:basedOn w:val="1"/>
    <w:next w:val="75"/>
    <w:autoRedefine/>
    <w:qFormat/>
    <w:uiPriority w:val="34"/>
    <w:pPr>
      <w:ind w:firstLine="420" w:firstLineChars="200"/>
    </w:pPr>
    <w:rPr>
      <w:szCs w:val="24"/>
    </w:rPr>
  </w:style>
  <w:style w:type="paragraph" w:customStyle="1" w:styleId="79">
    <w:name w:val="纯文本1"/>
    <w:basedOn w:val="1"/>
    <w:autoRedefine/>
    <w:qFormat/>
    <w:uiPriority w:val="0"/>
    <w:pPr>
      <w:ind w:firstLine="280" w:firstLineChars="100"/>
    </w:pPr>
    <w:rPr>
      <w:rFonts w:hAnsi="宋体" w:cs="Courier New"/>
    </w:rPr>
  </w:style>
  <w:style w:type="paragraph" w:customStyle="1" w:styleId="80">
    <w:name w:val="居中表名"/>
    <w:basedOn w:val="1"/>
    <w:next w:val="1"/>
    <w:autoRedefine/>
    <w:qFormat/>
    <w:uiPriority w:val="0"/>
    <w:pPr>
      <w:jc w:val="center"/>
    </w:pPr>
    <w:rPr>
      <w:rFonts w:eastAsia="黑体"/>
      <w:b/>
      <w:szCs w:val="28"/>
    </w:rPr>
  </w:style>
  <w:style w:type="paragraph" w:customStyle="1" w:styleId="81">
    <w:name w:val="列表段落1"/>
    <w:basedOn w:val="1"/>
    <w:autoRedefine/>
    <w:qFormat/>
    <w:uiPriority w:val="0"/>
    <w:pPr>
      <w:ind w:firstLine="420"/>
    </w:pPr>
  </w:style>
  <w:style w:type="paragraph" w:customStyle="1" w:styleId="82">
    <w:name w:val="[Normal]"/>
    <w:autoRedefine/>
    <w:qFormat/>
    <w:uiPriority w:val="0"/>
    <w:rPr>
      <w:rFonts w:ascii="宋体" w:hAnsi="宋体" w:eastAsia="宋体" w:cs="Times New Roman"/>
      <w:sz w:val="24"/>
      <w:szCs w:val="22"/>
      <w:lang w:val="zh-CN" w:eastAsia="zh-CN" w:bidi="ar-SA"/>
    </w:rPr>
  </w:style>
  <w:style w:type="paragraph" w:customStyle="1" w:styleId="83">
    <w:name w:val="列出段落2"/>
    <w:basedOn w:val="1"/>
    <w:autoRedefine/>
    <w:qFormat/>
    <w:uiPriority w:val="1"/>
    <w:pPr>
      <w:ind w:firstLine="420" w:firstLineChars="200"/>
    </w:pPr>
    <w:rPr>
      <w:szCs w:val="24"/>
    </w:rPr>
  </w:style>
  <w:style w:type="character" w:customStyle="1" w:styleId="84">
    <w:name w:val="font21"/>
    <w:autoRedefine/>
    <w:qFormat/>
    <w:uiPriority w:val="0"/>
    <w:rPr>
      <w:rFonts w:hint="eastAsia" w:ascii="宋体" w:hAnsi="宋体" w:eastAsia="宋体" w:cs="宋体"/>
      <w:b/>
      <w:color w:val="FF0000"/>
      <w:sz w:val="24"/>
      <w:szCs w:val="24"/>
      <w:u w:val="none"/>
    </w:rPr>
  </w:style>
  <w:style w:type="paragraph" w:customStyle="1" w:styleId="85">
    <w:name w:val="样式6"/>
    <w:basedOn w:val="16"/>
    <w:autoRedefine/>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86">
    <w:name w:val="Plain Text"/>
    <w:basedOn w:val="1"/>
    <w:autoRedefine/>
    <w:qFormat/>
    <w:uiPriority w:val="0"/>
    <w:rPr>
      <w:rFonts w:hint="eastAsia" w:ascii="宋体" w:hAnsi="Courier New"/>
      <w:szCs w:val="20"/>
    </w:rPr>
  </w:style>
  <w:style w:type="paragraph" w:customStyle="1" w:styleId="87">
    <w:name w:val="p0"/>
    <w:basedOn w:val="1"/>
    <w:autoRedefine/>
    <w:qFormat/>
    <w:uiPriority w:val="99"/>
    <w:pPr>
      <w:widowControl/>
    </w:pPr>
    <w:rPr>
      <w:kern w:val="0"/>
      <w:szCs w:val="21"/>
    </w:rPr>
  </w:style>
  <w:style w:type="character" w:customStyle="1" w:styleId="88">
    <w:name w:val="font01"/>
    <w:autoRedefine/>
    <w:qFormat/>
    <w:uiPriority w:val="0"/>
    <w:rPr>
      <w:rFonts w:hint="eastAsia" w:ascii="宋体" w:hAnsi="宋体" w:eastAsia="宋体" w:cs="Arial"/>
      <w:snapToGrid w:val="0"/>
      <w:color w:val="000000"/>
      <w:kern w:val="0"/>
      <w:sz w:val="24"/>
      <w:szCs w:val="24"/>
      <w:u w:val="none"/>
    </w:rPr>
  </w:style>
  <w:style w:type="character" w:customStyle="1" w:styleId="89">
    <w:name w:val="font11"/>
    <w:basedOn w:val="27"/>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55</Pages>
  <Words>40390</Words>
  <Characters>61715</Characters>
  <Lines>267</Lines>
  <Paragraphs>75</Paragraphs>
  <TotalTime>1</TotalTime>
  <ScaleCrop>false</ScaleCrop>
  <LinksUpToDate>false</LinksUpToDate>
  <CharactersWithSpaces>66070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2021-12-06T19:03:00Z</dcterms:created>
  <dc:creator>陈圣楠</dc:creator>
  <cp:lastModifiedBy>hh</cp:lastModifiedBy>
  <cp:lastPrinted>2022-01-06T21:58:00Z</cp:lastPrinted>
  <dcterms:modified xsi:type="dcterms:W3CDTF">2024-04-19T07:24:02Z</dcterms:modified>
  <dc:title>上虞区自然资源变更监测项目</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2A7C5DF8086A46BEA6F0C8B45B88656C_13</vt:lpwstr>
  </property>
  <property fmtid="{D5CDD505-2E9C-101B-9397-08002B2CF9AE}" pid="4" name="commondata">
    <vt:lpwstr>eyJoZGlkIjoiNjY1YWU2ZTk2MGU1NDNlZGY5MzE0NzM2ODJlNDA4NTkifQ==</vt:lpwstr>
  </property>
</Properties>
</file>