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rPr>
          <w:rFonts w:ascii="宋体" w:hAnsi="宋体" w:cs="宋体"/>
          <w:b/>
          <w:bCs/>
          <w:color w:val="auto"/>
          <w:sz w:val="44"/>
          <w:szCs w:val="44"/>
        </w:rPr>
      </w:pPr>
    </w:p>
    <w:p>
      <w:pPr>
        <w:bidi w:val="0"/>
        <w:jc w:val="center"/>
        <w:rPr>
          <w:rFonts w:hint="eastAsia"/>
          <w:b/>
          <w:bCs/>
          <w:color w:val="auto"/>
          <w:sz w:val="44"/>
          <w:szCs w:val="44"/>
        </w:rPr>
      </w:pPr>
      <w:r>
        <w:rPr>
          <w:rFonts w:hint="eastAsia"/>
          <w:b/>
          <w:bCs/>
          <w:color w:val="auto"/>
          <w:sz w:val="44"/>
          <w:szCs w:val="44"/>
          <w:lang w:eastAsia="zh-CN"/>
        </w:rPr>
        <w:t>上虞区企业信用平台软件维保服务</w:t>
      </w:r>
    </w:p>
    <w:p>
      <w:pPr>
        <w:pStyle w:val="7"/>
        <w:rPr>
          <w:rFonts w:ascii="宋体"/>
          <w:b/>
          <w:bCs/>
          <w:color w:val="auto"/>
          <w:sz w:val="44"/>
          <w:szCs w:val="44"/>
        </w:rPr>
      </w:pPr>
    </w:p>
    <w:p>
      <w:pPr>
        <w:pStyle w:val="7"/>
        <w:rPr>
          <w:rFonts w:ascii="宋体"/>
          <w:b/>
          <w:bCs/>
          <w:color w:val="auto"/>
          <w:sz w:val="44"/>
          <w:szCs w:val="44"/>
        </w:rPr>
      </w:pPr>
    </w:p>
    <w:p>
      <w:pPr>
        <w:pStyle w:val="7"/>
        <w:rPr>
          <w:rFonts w:ascii="宋体"/>
          <w:b/>
          <w:bCs/>
          <w:color w:val="auto"/>
          <w:sz w:val="44"/>
          <w:szCs w:val="44"/>
        </w:rPr>
      </w:pPr>
    </w:p>
    <w:p>
      <w:pPr>
        <w:pStyle w:val="7"/>
        <w:rPr>
          <w:color w:val="auto"/>
        </w:rPr>
      </w:pPr>
    </w:p>
    <w:p>
      <w:pPr>
        <w:bidi w:val="0"/>
        <w:jc w:val="center"/>
        <w:rPr>
          <w:rFonts w:hint="eastAsia" w:ascii="Times New Roman" w:hAnsi="Times New Roman" w:eastAsia="宋体" w:cs="Times New Roman"/>
          <w:b/>
          <w:bCs/>
          <w:color w:val="auto"/>
          <w:sz w:val="48"/>
          <w:szCs w:val="48"/>
        </w:rPr>
      </w:pPr>
      <w:bookmarkStart w:id="0" w:name="_Toc20516"/>
      <w:r>
        <w:rPr>
          <w:rFonts w:hint="eastAsia" w:ascii="Times New Roman" w:hAnsi="Times New Roman" w:eastAsia="宋体" w:cs="Times New Roman"/>
          <w:b/>
          <w:bCs/>
          <w:color w:val="auto"/>
          <w:sz w:val="48"/>
          <w:szCs w:val="48"/>
        </w:rPr>
        <w:t>竞争性磋商文件</w:t>
      </w:r>
      <w:bookmarkEnd w:id="0"/>
    </w:p>
    <w:p>
      <w:pPr>
        <w:spacing w:line="360" w:lineRule="auto"/>
        <w:jc w:val="center"/>
        <w:rPr>
          <w:rFonts w:ascii="宋体"/>
          <w:b/>
          <w:bCs/>
          <w:color w:val="auto"/>
          <w:sz w:val="24"/>
          <w:szCs w:val="24"/>
        </w:rPr>
      </w:pPr>
    </w:p>
    <w:p>
      <w:pPr>
        <w:snapToGrid w:val="0"/>
        <w:spacing w:line="360" w:lineRule="auto"/>
        <w:ind w:firstLine="2601" w:firstLineChars="867"/>
        <w:jc w:val="left"/>
        <w:rPr>
          <w:rFonts w:hint="default" w:ascii="宋体" w:eastAsia="宋体"/>
          <w:color w:val="auto"/>
          <w:sz w:val="30"/>
          <w:szCs w:val="30"/>
          <w:u w:val="single"/>
          <w:lang w:val="en-US" w:eastAsia="zh-CN"/>
        </w:rPr>
      </w:pPr>
      <w:r>
        <w:rPr>
          <w:rFonts w:hint="eastAsia" w:ascii="宋体" w:hAnsi="宋体" w:cs="宋体"/>
          <w:color w:val="auto"/>
          <w:sz w:val="30"/>
          <w:szCs w:val="30"/>
        </w:rPr>
        <w:t>项目编号：</w:t>
      </w:r>
      <w:r>
        <w:rPr>
          <w:rFonts w:hint="eastAsia" w:ascii="宋体" w:hAnsi="宋体" w:cs="宋体"/>
          <w:color w:val="auto"/>
          <w:sz w:val="30"/>
          <w:szCs w:val="30"/>
          <w:lang w:eastAsia="zh-CN"/>
        </w:rPr>
        <w:t>ZJCTSY-2023-</w:t>
      </w:r>
      <w:r>
        <w:rPr>
          <w:rFonts w:hint="eastAsia" w:ascii="宋体" w:hAnsi="宋体" w:cs="宋体"/>
          <w:color w:val="auto"/>
          <w:sz w:val="30"/>
          <w:szCs w:val="30"/>
          <w:lang w:val="en-US" w:eastAsia="zh-CN"/>
        </w:rPr>
        <w:t>1109</w:t>
      </w:r>
    </w:p>
    <w:p>
      <w:pPr>
        <w:snapToGrid w:val="0"/>
        <w:spacing w:line="360" w:lineRule="auto"/>
        <w:ind w:firstLine="2301" w:firstLineChars="767"/>
        <w:jc w:val="left"/>
        <w:rPr>
          <w:rFonts w:ascii="宋体"/>
          <w:color w:val="auto"/>
          <w:sz w:val="30"/>
          <w:szCs w:val="30"/>
        </w:rPr>
      </w:pPr>
    </w:p>
    <w:p>
      <w:pPr>
        <w:spacing w:line="360" w:lineRule="auto"/>
        <w:rPr>
          <w:rFonts w:ascii="宋体"/>
          <w:color w:val="auto"/>
          <w:sz w:val="28"/>
          <w:szCs w:val="28"/>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rPr>
          <w:rFonts w:ascii="宋体"/>
          <w:color w:val="auto"/>
          <w:sz w:val="24"/>
          <w:szCs w:val="24"/>
        </w:rPr>
      </w:pPr>
    </w:p>
    <w:p>
      <w:pPr>
        <w:snapToGrid w:val="0"/>
        <w:spacing w:line="360" w:lineRule="auto"/>
        <w:ind w:firstLine="600" w:firstLineChars="200"/>
        <w:rPr>
          <w:rFonts w:hint="eastAsia" w:ascii="宋体" w:eastAsia="宋体"/>
          <w:color w:val="auto"/>
          <w:u w:val="single"/>
          <w:lang w:eastAsia="zh-CN"/>
        </w:rPr>
      </w:pPr>
      <w:r>
        <w:rPr>
          <w:rFonts w:hint="eastAsia" w:ascii="宋体" w:hAnsi="宋体" w:cs="宋体"/>
          <w:color w:val="auto"/>
          <w:sz w:val="30"/>
          <w:szCs w:val="30"/>
        </w:rPr>
        <w:t xml:space="preserve">采 </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 xml:space="preserve">购 </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人：</w:t>
      </w:r>
      <w:r>
        <w:rPr>
          <w:rFonts w:hint="eastAsia" w:ascii="宋体" w:hAnsi="宋体" w:cs="宋体"/>
          <w:color w:val="auto"/>
          <w:sz w:val="30"/>
          <w:lang w:eastAsia="zh-CN"/>
        </w:rPr>
        <w:t>绍兴市上虞区市场监督管理局</w:t>
      </w:r>
    </w:p>
    <w:p>
      <w:pPr>
        <w:snapToGrid w:val="0"/>
        <w:spacing w:line="360" w:lineRule="auto"/>
        <w:ind w:firstLine="600" w:firstLineChars="200"/>
        <w:rPr>
          <w:rFonts w:hint="eastAsia" w:ascii="宋体" w:eastAsia="宋体"/>
          <w:color w:val="auto"/>
          <w:sz w:val="30"/>
          <w:szCs w:val="30"/>
          <w:lang w:eastAsia="zh-CN"/>
        </w:rPr>
      </w:pPr>
      <w:r>
        <w:rPr>
          <w:rFonts w:hint="eastAsia" w:ascii="宋体" w:hAnsi="宋体" w:cs="宋体"/>
          <w:color w:val="auto"/>
          <w:sz w:val="30"/>
          <w:szCs w:val="30"/>
        </w:rPr>
        <w:t>采购代理机构：</w:t>
      </w:r>
      <w:r>
        <w:rPr>
          <w:rFonts w:hint="eastAsia" w:ascii="宋体" w:hAnsi="宋体" w:cs="宋体"/>
          <w:color w:val="auto"/>
          <w:sz w:val="30"/>
          <w:szCs w:val="30"/>
          <w:lang w:eastAsia="zh-CN"/>
        </w:rPr>
        <w:t>浙江省成套工程有限公司</w:t>
      </w:r>
    </w:p>
    <w:p>
      <w:pPr>
        <w:ind w:firstLine="2700" w:firstLineChars="900"/>
        <w:jc w:val="both"/>
        <w:rPr>
          <w:rFonts w:ascii="宋体"/>
          <w:color w:val="auto"/>
          <w:sz w:val="30"/>
          <w:szCs w:val="30"/>
        </w:rPr>
        <w:sectPr>
          <w:footerReference r:id="rId3" w:type="default"/>
          <w:pgSz w:w="11906" w:h="16838"/>
          <w:pgMar w:top="1440" w:right="1700" w:bottom="1440" w:left="1800" w:header="851" w:footer="992" w:gutter="0"/>
          <w:cols w:space="425" w:num="1"/>
          <w:docGrid w:type="lines" w:linePitch="312" w:charSpace="0"/>
        </w:sectPr>
      </w:pPr>
      <w:r>
        <w:rPr>
          <w:rFonts w:hint="eastAsia" w:ascii="宋体" w:hAnsi="宋体" w:cs="宋体"/>
          <w:color w:val="auto"/>
          <w:sz w:val="30"/>
          <w:szCs w:val="30"/>
        </w:rPr>
        <w:t>二〇二</w:t>
      </w:r>
      <w:r>
        <w:rPr>
          <w:rFonts w:hint="eastAsia" w:ascii="宋体" w:hAnsi="宋体" w:cs="宋体"/>
          <w:color w:val="auto"/>
          <w:sz w:val="30"/>
          <w:szCs w:val="30"/>
          <w:lang w:val="en-US" w:eastAsia="zh-CN"/>
        </w:rPr>
        <w:t>三</w:t>
      </w:r>
      <w:r>
        <w:rPr>
          <w:rFonts w:hint="eastAsia" w:ascii="宋体" w:hAnsi="宋体" w:cs="宋体"/>
          <w:color w:val="auto"/>
          <w:sz w:val="30"/>
          <w:szCs w:val="30"/>
        </w:rPr>
        <w:t>年</w:t>
      </w:r>
      <w:r>
        <w:rPr>
          <w:rFonts w:hint="eastAsia" w:ascii="宋体" w:hAnsi="宋体" w:cs="宋体"/>
          <w:color w:val="auto"/>
          <w:sz w:val="30"/>
          <w:szCs w:val="30"/>
          <w:lang w:val="en-US" w:eastAsia="zh-CN"/>
        </w:rPr>
        <w:t>十一</w:t>
      </w:r>
      <w:r>
        <w:rPr>
          <w:rFonts w:hint="eastAsia" w:ascii="宋体" w:hAnsi="宋体" w:cs="宋体"/>
          <w:color w:val="auto"/>
          <w:sz w:val="30"/>
          <w:szCs w:val="30"/>
        </w:rPr>
        <w:t>月</w:t>
      </w: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目录</w:t>
      </w:r>
    </w:p>
    <w:sdt>
      <w:sdtPr>
        <w:rPr>
          <w:rFonts w:ascii="宋体" w:hAnsi="宋体" w:eastAsia="宋体" w:cs="Times New Roman"/>
          <w:color w:val="auto"/>
          <w:sz w:val="21"/>
          <w:lang w:val="en-US" w:eastAsia="zh-CN" w:bidi="ar-SA"/>
        </w:rPr>
        <w:id w:val="147468467"/>
        <w15:color w:val="DBDBDB"/>
        <w:docPartObj>
          <w:docPartGallery w:val="Table of Contents"/>
          <w:docPartUnique/>
        </w:docPartObj>
      </w:sdtPr>
      <w:sdtEndPr>
        <w:rPr>
          <w:rFonts w:ascii="宋体" w:hAnsi="宋体" w:eastAsia="宋体" w:cs="Times New Roman"/>
          <w:b/>
          <w:bCs/>
          <w:color w:val="auto"/>
          <w:sz w:val="24"/>
          <w:szCs w:val="28"/>
          <w:lang w:val="en-US" w:eastAsia="zh-CN" w:bidi="ar-SA"/>
        </w:rPr>
      </w:sdtEndPr>
      <w:sdtContent>
        <w:p>
          <w:pPr>
            <w:pStyle w:val="6"/>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ascii="宋体" w:hAnsi="宋体" w:eastAsia="宋体" w:cs="Times New Roman"/>
              <w:b/>
              <w:bCs/>
              <w:color w:val="auto"/>
              <w:sz w:val="24"/>
              <w:szCs w:val="28"/>
              <w:lang w:val="en-US" w:eastAsia="zh-CN" w:bidi="ar-SA"/>
            </w:rPr>
          </w:pPr>
          <w:r>
            <w:rPr>
              <w:rFonts w:cs="Times New Roman"/>
              <w:color w:val="auto"/>
            </w:rPr>
            <w:fldChar w:fldCharType="begin"/>
          </w:r>
          <w:r>
            <w:rPr>
              <w:rFonts w:cs="Times New Roman"/>
              <w:color w:val="auto"/>
            </w:rPr>
            <w:instrText xml:space="preserve">TOC \o "1-2" \h \u </w:instrText>
          </w:r>
          <w:r>
            <w:rPr>
              <w:rFonts w:cs="Times New Roman"/>
              <w:color w:val="auto"/>
            </w:rPr>
            <w:fldChar w:fldCharType="separate"/>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_Toc1782 </w:instrText>
          </w:r>
          <w:r>
            <w:rPr>
              <w:rFonts w:cs="Times New Roman"/>
              <w:color w:val="auto"/>
            </w:rPr>
            <w:fldChar w:fldCharType="separate"/>
          </w:r>
          <w:r>
            <w:rPr>
              <w:rFonts w:hint="eastAsia" w:cs="宋体"/>
              <w:color w:val="auto"/>
              <w:szCs w:val="36"/>
            </w:rPr>
            <w:t>第一部分</w:t>
          </w:r>
          <w:r>
            <w:rPr>
              <w:color w:val="auto"/>
              <w:szCs w:val="36"/>
            </w:rPr>
            <w:t xml:space="preserve"> </w:t>
          </w:r>
          <w:r>
            <w:rPr>
              <w:rFonts w:hint="eastAsia" w:cs="宋体"/>
              <w:color w:val="auto"/>
              <w:szCs w:val="36"/>
            </w:rPr>
            <w:t>磋商公告</w:t>
          </w:r>
          <w:r>
            <w:rPr>
              <w:color w:val="auto"/>
            </w:rPr>
            <w:tab/>
          </w:r>
          <w:r>
            <w:rPr>
              <w:color w:val="auto"/>
            </w:rPr>
            <w:fldChar w:fldCharType="begin"/>
          </w:r>
          <w:r>
            <w:rPr>
              <w:color w:val="auto"/>
            </w:rPr>
            <w:instrText xml:space="preserve"> PAGEREF _Toc1782 \h </w:instrText>
          </w:r>
          <w:r>
            <w:rPr>
              <w:color w:val="auto"/>
            </w:rPr>
            <w:fldChar w:fldCharType="separate"/>
          </w:r>
          <w:r>
            <w:rPr>
              <w:color w:val="auto"/>
            </w:rPr>
            <w:t>1</w:t>
          </w:r>
          <w:r>
            <w:rPr>
              <w:color w:val="auto"/>
            </w:rPr>
            <w:fldChar w:fldCharType="end"/>
          </w:r>
          <w:r>
            <w:rPr>
              <w:rFonts w:cs="Times New Roman"/>
              <w:color w:val="auto"/>
            </w:rPr>
            <w:fldChar w:fldCharType="end"/>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_Toc32101 </w:instrText>
          </w:r>
          <w:r>
            <w:rPr>
              <w:rFonts w:cs="Times New Roman"/>
              <w:color w:val="auto"/>
            </w:rPr>
            <w:fldChar w:fldCharType="separate"/>
          </w:r>
          <w:r>
            <w:rPr>
              <w:rFonts w:hint="eastAsia" w:cs="宋体"/>
              <w:color w:val="auto"/>
              <w:szCs w:val="36"/>
            </w:rPr>
            <w:t>第二部分</w:t>
          </w:r>
          <w:r>
            <w:rPr>
              <w:color w:val="auto"/>
              <w:szCs w:val="36"/>
            </w:rPr>
            <w:t xml:space="preserve"> </w:t>
          </w:r>
          <w:r>
            <w:rPr>
              <w:rFonts w:hint="eastAsia" w:cs="宋体"/>
              <w:color w:val="auto"/>
              <w:szCs w:val="36"/>
            </w:rPr>
            <w:t>供应商须知</w:t>
          </w:r>
          <w:r>
            <w:rPr>
              <w:color w:val="auto"/>
            </w:rPr>
            <w:tab/>
          </w:r>
          <w:r>
            <w:rPr>
              <w:color w:val="auto"/>
            </w:rPr>
            <w:fldChar w:fldCharType="begin"/>
          </w:r>
          <w:r>
            <w:rPr>
              <w:color w:val="auto"/>
            </w:rPr>
            <w:instrText xml:space="preserve"> PAGEREF _Toc32101 \h </w:instrText>
          </w:r>
          <w:r>
            <w:rPr>
              <w:color w:val="auto"/>
            </w:rPr>
            <w:fldChar w:fldCharType="separate"/>
          </w:r>
          <w:r>
            <w:rPr>
              <w:color w:val="auto"/>
            </w:rPr>
            <w:t>5</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_Toc16015 </w:instrText>
          </w:r>
          <w:r>
            <w:rPr>
              <w:rFonts w:cs="Times New Roman"/>
              <w:color w:val="auto"/>
            </w:rPr>
            <w:fldChar w:fldCharType="separate"/>
          </w:r>
          <w:r>
            <w:rPr>
              <w:rFonts w:hint="eastAsia" w:hAnsi="宋体" w:cs="Times New Roman"/>
              <w:color w:val="auto"/>
            </w:rPr>
            <w:t xml:space="preserve">一、 </w:t>
          </w:r>
          <w:r>
            <w:rPr>
              <w:rFonts w:hint="eastAsia" w:hAnsi="宋体"/>
              <w:color w:val="auto"/>
            </w:rPr>
            <w:t>总则</w:t>
          </w:r>
          <w:r>
            <w:rPr>
              <w:color w:val="auto"/>
            </w:rPr>
            <w:tab/>
          </w:r>
          <w:r>
            <w:rPr>
              <w:color w:val="auto"/>
            </w:rPr>
            <w:fldChar w:fldCharType="begin"/>
          </w:r>
          <w:r>
            <w:rPr>
              <w:color w:val="auto"/>
            </w:rPr>
            <w:instrText xml:space="preserve"> PAGEREF _Toc16015 \h </w:instrText>
          </w:r>
          <w:r>
            <w:rPr>
              <w:color w:val="auto"/>
            </w:rPr>
            <w:fldChar w:fldCharType="separate"/>
          </w:r>
          <w:r>
            <w:rPr>
              <w:color w:val="auto"/>
            </w:rPr>
            <w:t>9</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_Toc17386 </w:instrText>
          </w:r>
          <w:r>
            <w:rPr>
              <w:rFonts w:cs="Times New Roman"/>
              <w:color w:val="auto"/>
            </w:rPr>
            <w:fldChar w:fldCharType="separate"/>
          </w:r>
          <w:r>
            <w:rPr>
              <w:rFonts w:hint="eastAsia" w:cs="Times New Roman"/>
              <w:color w:val="auto"/>
            </w:rPr>
            <w:t xml:space="preserve">二、 </w:t>
          </w:r>
          <w:r>
            <w:rPr>
              <w:rFonts w:hint="eastAsia"/>
              <w:color w:val="auto"/>
            </w:rPr>
            <w:t>竞争性磋商文件</w:t>
          </w:r>
          <w:r>
            <w:rPr>
              <w:color w:val="auto"/>
            </w:rPr>
            <w:tab/>
          </w:r>
          <w:r>
            <w:rPr>
              <w:color w:val="auto"/>
            </w:rPr>
            <w:fldChar w:fldCharType="begin"/>
          </w:r>
          <w:r>
            <w:rPr>
              <w:color w:val="auto"/>
            </w:rPr>
            <w:instrText xml:space="preserve"> PAGEREF _Toc17386 \h </w:instrText>
          </w:r>
          <w:r>
            <w:rPr>
              <w:color w:val="auto"/>
            </w:rPr>
            <w:fldChar w:fldCharType="separate"/>
          </w:r>
          <w:r>
            <w:rPr>
              <w:color w:val="auto"/>
            </w:rPr>
            <w:t>9</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_Toc28735 </w:instrText>
          </w:r>
          <w:r>
            <w:rPr>
              <w:rFonts w:cs="Times New Roman"/>
              <w:color w:val="auto"/>
            </w:rPr>
            <w:fldChar w:fldCharType="separate"/>
          </w:r>
          <w:r>
            <w:rPr>
              <w:rFonts w:hint="eastAsia" w:cs="Times New Roman"/>
              <w:color w:val="auto"/>
            </w:rPr>
            <w:t xml:space="preserve">三、 </w:t>
          </w:r>
          <w:r>
            <w:rPr>
              <w:rFonts w:hint="eastAsia"/>
              <w:color w:val="auto"/>
            </w:rPr>
            <w:t>竞争性磋商响应文件的编写</w:t>
          </w:r>
          <w:r>
            <w:rPr>
              <w:color w:val="auto"/>
            </w:rPr>
            <w:tab/>
          </w:r>
          <w:r>
            <w:rPr>
              <w:color w:val="auto"/>
            </w:rPr>
            <w:fldChar w:fldCharType="begin"/>
          </w:r>
          <w:r>
            <w:rPr>
              <w:color w:val="auto"/>
            </w:rPr>
            <w:instrText xml:space="preserve"> PAGEREF _Toc28735 \h </w:instrText>
          </w:r>
          <w:r>
            <w:rPr>
              <w:color w:val="auto"/>
            </w:rPr>
            <w:fldChar w:fldCharType="separate"/>
          </w:r>
          <w:r>
            <w:rPr>
              <w:color w:val="auto"/>
            </w:rPr>
            <w:t>10</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_Toc12610 </w:instrText>
          </w:r>
          <w:r>
            <w:rPr>
              <w:rFonts w:cs="Times New Roman"/>
              <w:color w:val="auto"/>
            </w:rPr>
            <w:fldChar w:fldCharType="separate"/>
          </w:r>
          <w:r>
            <w:rPr>
              <w:rFonts w:hint="eastAsia" w:cs="Times New Roman"/>
              <w:color w:val="auto"/>
            </w:rPr>
            <w:t xml:space="preserve">四、 </w:t>
          </w:r>
          <w:r>
            <w:rPr>
              <w:rFonts w:hint="eastAsia"/>
              <w:color w:val="auto"/>
            </w:rPr>
            <w:t>响应文件的递交</w:t>
          </w:r>
          <w:r>
            <w:rPr>
              <w:color w:val="auto"/>
            </w:rPr>
            <w:tab/>
          </w:r>
          <w:r>
            <w:rPr>
              <w:color w:val="auto"/>
            </w:rPr>
            <w:fldChar w:fldCharType="begin"/>
          </w:r>
          <w:r>
            <w:rPr>
              <w:color w:val="auto"/>
            </w:rPr>
            <w:instrText xml:space="preserve"> PAGEREF _Toc12610 \h </w:instrText>
          </w:r>
          <w:r>
            <w:rPr>
              <w:color w:val="auto"/>
            </w:rPr>
            <w:fldChar w:fldCharType="separate"/>
          </w:r>
          <w:r>
            <w:rPr>
              <w:color w:val="auto"/>
            </w:rPr>
            <w:t>14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_Toc27301 </w:instrText>
          </w:r>
          <w:r>
            <w:rPr>
              <w:rFonts w:cs="Times New Roman"/>
              <w:color w:val="auto"/>
            </w:rPr>
            <w:fldChar w:fldCharType="separate"/>
          </w:r>
          <w:r>
            <w:rPr>
              <w:rFonts w:hint="eastAsia" w:hAnsi="宋体" w:cs="Times New Roman"/>
              <w:color w:val="auto"/>
            </w:rPr>
            <w:t xml:space="preserve">五、 </w:t>
          </w:r>
          <w:r>
            <w:rPr>
              <w:rFonts w:hint="eastAsia"/>
              <w:color w:val="auto"/>
            </w:rPr>
            <w:t>磋商无效的情形</w:t>
          </w:r>
          <w:r>
            <w:rPr>
              <w:color w:val="auto"/>
            </w:rPr>
            <w:tab/>
          </w:r>
          <w:r>
            <w:rPr>
              <w:color w:val="auto"/>
            </w:rPr>
            <w:fldChar w:fldCharType="begin"/>
          </w:r>
          <w:r>
            <w:rPr>
              <w:color w:val="auto"/>
            </w:rPr>
            <w:instrText xml:space="preserve"> PAGEREF _Toc27301 \h </w:instrText>
          </w:r>
          <w:r>
            <w:rPr>
              <w:color w:val="auto"/>
            </w:rPr>
            <w:fldChar w:fldCharType="separate"/>
          </w:r>
          <w:r>
            <w:rPr>
              <w:color w:val="auto"/>
            </w:rPr>
            <w:t>14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_Toc7652 </w:instrText>
          </w:r>
          <w:r>
            <w:rPr>
              <w:rFonts w:cs="Times New Roman"/>
              <w:color w:val="auto"/>
            </w:rPr>
            <w:fldChar w:fldCharType="separate"/>
          </w:r>
          <w:r>
            <w:rPr>
              <w:rFonts w:hint="eastAsia" w:cs="Times New Roman"/>
              <w:color w:val="auto"/>
            </w:rPr>
            <w:t xml:space="preserve">六、 </w:t>
          </w:r>
          <w:r>
            <w:rPr>
              <w:rFonts w:hint="eastAsia"/>
              <w:color w:val="auto"/>
            </w:rPr>
            <w:t>采购中止的情形</w:t>
          </w:r>
          <w:r>
            <w:rPr>
              <w:color w:val="auto"/>
            </w:rPr>
            <w:tab/>
          </w:r>
          <w:r>
            <w:rPr>
              <w:color w:val="auto"/>
            </w:rPr>
            <w:fldChar w:fldCharType="begin"/>
          </w:r>
          <w:r>
            <w:rPr>
              <w:color w:val="auto"/>
            </w:rPr>
            <w:instrText xml:space="preserve"> PAGEREF _Toc7652 \h </w:instrText>
          </w:r>
          <w:r>
            <w:rPr>
              <w:color w:val="auto"/>
            </w:rPr>
            <w:fldChar w:fldCharType="separate"/>
          </w:r>
          <w:r>
            <w:rPr>
              <w:color w:val="auto"/>
            </w:rPr>
            <w:t>16</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_Toc10208 </w:instrText>
          </w:r>
          <w:r>
            <w:rPr>
              <w:rFonts w:cs="Times New Roman"/>
              <w:color w:val="auto"/>
            </w:rPr>
            <w:fldChar w:fldCharType="separate"/>
          </w:r>
          <w:r>
            <w:rPr>
              <w:rFonts w:hint="eastAsia" w:cs="Times New Roman"/>
              <w:color w:val="auto"/>
            </w:rPr>
            <w:t xml:space="preserve">七、 </w:t>
          </w:r>
          <w:r>
            <w:rPr>
              <w:rFonts w:hint="eastAsia"/>
              <w:color w:val="auto"/>
            </w:rPr>
            <w:t>确定成交供应商与签订合同</w:t>
          </w:r>
          <w:r>
            <w:rPr>
              <w:color w:val="auto"/>
            </w:rPr>
            <w:tab/>
          </w:r>
          <w:r>
            <w:rPr>
              <w:color w:val="auto"/>
            </w:rPr>
            <w:fldChar w:fldCharType="begin"/>
          </w:r>
          <w:r>
            <w:rPr>
              <w:color w:val="auto"/>
            </w:rPr>
            <w:instrText xml:space="preserve"> PAGEREF _Toc10208 \h </w:instrText>
          </w:r>
          <w:r>
            <w:rPr>
              <w:color w:val="auto"/>
            </w:rPr>
            <w:fldChar w:fldCharType="separate"/>
          </w:r>
          <w:r>
            <w:rPr>
              <w:color w:val="auto"/>
            </w:rPr>
            <w:t>16</w:t>
          </w:r>
          <w:r>
            <w:rPr>
              <w:color w:val="auto"/>
            </w:rPr>
            <w:fldChar w:fldCharType="end"/>
          </w:r>
          <w:r>
            <w:rPr>
              <w:rFonts w:cs="Times New Roman"/>
              <w:color w:val="auto"/>
            </w:rPr>
            <w:fldChar w:fldCharType="end"/>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_Toc6387 </w:instrText>
          </w:r>
          <w:r>
            <w:rPr>
              <w:rFonts w:cs="Times New Roman"/>
              <w:color w:val="auto"/>
            </w:rPr>
            <w:fldChar w:fldCharType="separate"/>
          </w:r>
          <w:r>
            <w:rPr>
              <w:rFonts w:hint="eastAsia"/>
              <w:color w:val="auto"/>
              <w:szCs w:val="36"/>
            </w:rPr>
            <w:t xml:space="preserve">第三部分 </w:t>
          </w:r>
          <w:r>
            <w:rPr>
              <w:rFonts w:hint="eastAsia" w:cs="宋体"/>
              <w:color w:val="auto"/>
              <w:szCs w:val="36"/>
            </w:rPr>
            <w:t>采购内容及要求</w:t>
          </w:r>
          <w:r>
            <w:rPr>
              <w:color w:val="auto"/>
            </w:rPr>
            <w:tab/>
          </w:r>
          <w:r>
            <w:rPr>
              <w:color w:val="auto"/>
            </w:rPr>
            <w:fldChar w:fldCharType="begin"/>
          </w:r>
          <w:r>
            <w:rPr>
              <w:color w:val="auto"/>
            </w:rPr>
            <w:instrText xml:space="preserve"> PAGEREF _Toc6387 \h </w:instrText>
          </w:r>
          <w:r>
            <w:rPr>
              <w:color w:val="auto"/>
            </w:rPr>
            <w:fldChar w:fldCharType="separate"/>
          </w:r>
          <w:r>
            <w:rPr>
              <w:color w:val="auto"/>
            </w:rPr>
            <w:t>18</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_Toc27160 </w:instrText>
          </w:r>
          <w:r>
            <w:rPr>
              <w:rFonts w:cs="Times New Roman"/>
              <w:color w:val="auto"/>
            </w:rPr>
            <w:fldChar w:fldCharType="separate"/>
          </w:r>
          <w:r>
            <w:rPr>
              <w:rFonts w:hint="eastAsia"/>
              <w:color w:val="auto"/>
              <w:szCs w:val="28"/>
            </w:rPr>
            <w:t>第</w:t>
          </w:r>
          <w:r>
            <w:rPr>
              <w:rFonts w:hint="eastAsia"/>
              <w:color w:val="auto"/>
              <w:szCs w:val="28"/>
              <w:lang w:val="en-US" w:eastAsia="zh-CN"/>
            </w:rPr>
            <w:t>一</w:t>
          </w:r>
          <w:r>
            <w:rPr>
              <w:rFonts w:hint="eastAsia"/>
              <w:color w:val="auto"/>
              <w:szCs w:val="28"/>
            </w:rPr>
            <w:t>章　采购内容及要求</w:t>
          </w:r>
          <w:r>
            <w:rPr>
              <w:color w:val="auto"/>
            </w:rPr>
            <w:tab/>
          </w:r>
          <w:r>
            <w:rPr>
              <w:color w:val="auto"/>
            </w:rPr>
            <w:fldChar w:fldCharType="begin"/>
          </w:r>
          <w:r>
            <w:rPr>
              <w:color w:val="auto"/>
            </w:rPr>
            <w:instrText xml:space="preserve"> PAGEREF _Toc27160 \h </w:instrText>
          </w:r>
          <w:r>
            <w:rPr>
              <w:color w:val="auto"/>
            </w:rPr>
            <w:fldChar w:fldCharType="separate"/>
          </w:r>
          <w:r>
            <w:rPr>
              <w:color w:val="auto"/>
            </w:rPr>
            <w:t>18</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_Toc3715 </w:instrText>
          </w:r>
          <w:r>
            <w:rPr>
              <w:rFonts w:cs="Times New Roman"/>
              <w:color w:val="auto"/>
            </w:rPr>
            <w:fldChar w:fldCharType="separate"/>
          </w:r>
          <w:r>
            <w:rPr>
              <w:rFonts w:hint="eastAsia"/>
              <w:color w:val="auto"/>
              <w:szCs w:val="28"/>
              <w:lang w:val="en-US" w:eastAsia="zh-CN"/>
            </w:rPr>
            <w:t xml:space="preserve">第二章 </w:t>
          </w:r>
          <w:r>
            <w:rPr>
              <w:rFonts w:hint="eastAsia"/>
              <w:color w:val="auto"/>
              <w:szCs w:val="28"/>
            </w:rPr>
            <w:t>付款方式及要求</w:t>
          </w:r>
          <w:r>
            <w:rPr>
              <w:color w:val="auto"/>
            </w:rPr>
            <w:tab/>
          </w:r>
          <w:r>
            <w:rPr>
              <w:color w:val="auto"/>
            </w:rPr>
            <w:fldChar w:fldCharType="begin"/>
          </w:r>
          <w:r>
            <w:rPr>
              <w:color w:val="auto"/>
            </w:rPr>
            <w:instrText xml:space="preserve"> PAGEREF _Toc3715 \h </w:instrText>
          </w:r>
          <w:r>
            <w:rPr>
              <w:color w:val="auto"/>
            </w:rPr>
            <w:fldChar w:fldCharType="separate"/>
          </w:r>
          <w:r>
            <w:rPr>
              <w:color w:val="auto"/>
            </w:rPr>
            <w:t>22</w:t>
          </w:r>
          <w:r>
            <w:rPr>
              <w:color w:val="auto"/>
            </w:rPr>
            <w:fldChar w:fldCharType="end"/>
          </w:r>
          <w:r>
            <w:rPr>
              <w:rFonts w:cs="Times New Roman"/>
              <w:color w:val="auto"/>
            </w:rPr>
            <w:fldChar w:fldCharType="end"/>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_Toc21724 </w:instrText>
          </w:r>
          <w:r>
            <w:rPr>
              <w:rFonts w:cs="Times New Roman"/>
              <w:color w:val="auto"/>
            </w:rPr>
            <w:fldChar w:fldCharType="separate"/>
          </w:r>
          <w:r>
            <w:rPr>
              <w:rFonts w:hint="eastAsia" w:cs="宋体"/>
              <w:color w:val="auto"/>
              <w:szCs w:val="36"/>
            </w:rPr>
            <w:t>第四部分 磋商原则及磋商方法</w:t>
          </w:r>
          <w:r>
            <w:rPr>
              <w:color w:val="auto"/>
            </w:rPr>
            <w:tab/>
          </w:r>
          <w:r>
            <w:rPr>
              <w:color w:val="auto"/>
            </w:rPr>
            <w:fldChar w:fldCharType="begin"/>
          </w:r>
          <w:r>
            <w:rPr>
              <w:color w:val="auto"/>
            </w:rPr>
            <w:instrText xml:space="preserve"> PAGEREF _Toc21724 \h </w:instrText>
          </w:r>
          <w:r>
            <w:rPr>
              <w:color w:val="auto"/>
            </w:rPr>
            <w:fldChar w:fldCharType="separate"/>
          </w:r>
          <w:r>
            <w:rPr>
              <w:color w:val="auto"/>
            </w:rPr>
            <w:t>23</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_Toc24094 </w:instrText>
          </w:r>
          <w:r>
            <w:rPr>
              <w:rFonts w:cs="Times New Roman"/>
              <w:color w:val="auto"/>
            </w:rPr>
            <w:fldChar w:fldCharType="separate"/>
          </w:r>
          <w:r>
            <w:rPr>
              <w:rFonts w:hint="eastAsia" w:cs="Times New Roman"/>
              <w:color w:val="auto"/>
            </w:rPr>
            <w:t xml:space="preserve">一、 </w:t>
          </w:r>
          <w:r>
            <w:rPr>
              <w:rFonts w:hint="eastAsia"/>
              <w:color w:val="auto"/>
            </w:rPr>
            <w:t>磋商原则</w:t>
          </w:r>
          <w:r>
            <w:rPr>
              <w:color w:val="auto"/>
            </w:rPr>
            <w:tab/>
          </w:r>
          <w:r>
            <w:rPr>
              <w:color w:val="auto"/>
            </w:rPr>
            <w:fldChar w:fldCharType="begin"/>
          </w:r>
          <w:r>
            <w:rPr>
              <w:color w:val="auto"/>
            </w:rPr>
            <w:instrText xml:space="preserve"> PAGEREF _Toc24094 \h </w:instrText>
          </w:r>
          <w:r>
            <w:rPr>
              <w:color w:val="auto"/>
            </w:rPr>
            <w:fldChar w:fldCharType="separate"/>
          </w:r>
          <w:r>
            <w:rPr>
              <w:color w:val="auto"/>
            </w:rPr>
            <w:t>23</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_Toc7206 </w:instrText>
          </w:r>
          <w:r>
            <w:rPr>
              <w:rFonts w:cs="Times New Roman"/>
              <w:color w:val="auto"/>
            </w:rPr>
            <w:fldChar w:fldCharType="separate"/>
          </w:r>
          <w:r>
            <w:rPr>
              <w:rFonts w:hint="eastAsia" w:cs="Times New Roman"/>
              <w:color w:val="auto"/>
            </w:rPr>
            <w:t xml:space="preserve">二、 </w:t>
          </w:r>
          <w:r>
            <w:rPr>
              <w:rFonts w:hint="eastAsia"/>
              <w:color w:val="auto"/>
            </w:rPr>
            <w:t>磋商程序</w:t>
          </w:r>
          <w:r>
            <w:rPr>
              <w:color w:val="auto"/>
            </w:rPr>
            <w:tab/>
          </w:r>
          <w:r>
            <w:rPr>
              <w:color w:val="auto"/>
            </w:rPr>
            <w:fldChar w:fldCharType="begin"/>
          </w:r>
          <w:r>
            <w:rPr>
              <w:color w:val="auto"/>
            </w:rPr>
            <w:instrText xml:space="preserve"> PAGEREF _Toc7206 \h </w:instrText>
          </w:r>
          <w:r>
            <w:rPr>
              <w:color w:val="auto"/>
            </w:rPr>
            <w:fldChar w:fldCharType="separate"/>
          </w:r>
          <w:r>
            <w:rPr>
              <w:color w:val="auto"/>
            </w:rPr>
            <w:t>24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_Toc18583 </w:instrText>
          </w:r>
          <w:r>
            <w:rPr>
              <w:rFonts w:cs="Times New Roman"/>
              <w:color w:val="auto"/>
            </w:rPr>
            <w:fldChar w:fldCharType="separate"/>
          </w:r>
          <w:r>
            <w:rPr>
              <w:rFonts w:hint="eastAsia" w:cs="Times New Roman"/>
              <w:color w:val="auto"/>
            </w:rPr>
            <w:t xml:space="preserve">三、 </w:t>
          </w:r>
          <w:r>
            <w:rPr>
              <w:rFonts w:hint="eastAsia"/>
              <w:color w:val="auto"/>
            </w:rPr>
            <w:t>注意事项</w:t>
          </w:r>
          <w:r>
            <w:rPr>
              <w:color w:val="auto"/>
            </w:rPr>
            <w:tab/>
          </w:r>
          <w:r>
            <w:rPr>
              <w:color w:val="auto"/>
            </w:rPr>
            <w:fldChar w:fldCharType="begin"/>
          </w:r>
          <w:r>
            <w:rPr>
              <w:color w:val="auto"/>
            </w:rPr>
            <w:instrText xml:space="preserve"> PAGEREF _Toc18583 \h </w:instrText>
          </w:r>
          <w:r>
            <w:rPr>
              <w:color w:val="auto"/>
            </w:rPr>
            <w:fldChar w:fldCharType="separate"/>
          </w:r>
          <w:r>
            <w:rPr>
              <w:color w:val="auto"/>
            </w:rPr>
            <w:t>27</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_Toc29650 </w:instrText>
          </w:r>
          <w:r>
            <w:rPr>
              <w:rFonts w:cs="Times New Roman"/>
              <w:color w:val="auto"/>
            </w:rPr>
            <w:fldChar w:fldCharType="separate"/>
          </w:r>
          <w:r>
            <w:rPr>
              <w:rFonts w:hint="eastAsia" w:cs="Times New Roman"/>
              <w:color w:val="auto"/>
            </w:rPr>
            <w:t xml:space="preserve">四、 </w:t>
          </w:r>
          <w:r>
            <w:rPr>
              <w:rFonts w:hint="eastAsia"/>
              <w:color w:val="auto"/>
            </w:rPr>
            <w:t>评分细则</w:t>
          </w:r>
          <w:r>
            <w:rPr>
              <w:color w:val="auto"/>
            </w:rPr>
            <w:tab/>
          </w:r>
          <w:r>
            <w:rPr>
              <w:color w:val="auto"/>
            </w:rPr>
            <w:fldChar w:fldCharType="begin"/>
          </w:r>
          <w:r>
            <w:rPr>
              <w:color w:val="auto"/>
            </w:rPr>
            <w:instrText xml:space="preserve"> PAGEREF _Toc29650 \h </w:instrText>
          </w:r>
          <w:r>
            <w:rPr>
              <w:color w:val="auto"/>
            </w:rPr>
            <w:fldChar w:fldCharType="separate"/>
          </w:r>
          <w:r>
            <w:rPr>
              <w:color w:val="auto"/>
            </w:rPr>
            <w:t>27</w:t>
          </w:r>
          <w:r>
            <w:rPr>
              <w:color w:val="auto"/>
            </w:rPr>
            <w:fldChar w:fldCharType="end"/>
          </w:r>
          <w:r>
            <w:rPr>
              <w:rFonts w:cs="Times New Roman"/>
              <w:color w:val="auto"/>
            </w:rPr>
            <w:fldChar w:fldCharType="end"/>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_Toc29701 </w:instrText>
          </w:r>
          <w:r>
            <w:rPr>
              <w:rFonts w:cs="Times New Roman"/>
              <w:color w:val="auto"/>
            </w:rPr>
            <w:fldChar w:fldCharType="separate"/>
          </w:r>
          <w:r>
            <w:rPr>
              <w:rFonts w:hint="eastAsia" w:cs="宋体"/>
              <w:color w:val="auto"/>
              <w:szCs w:val="36"/>
            </w:rPr>
            <w:t>第五部分</w:t>
          </w:r>
          <w:r>
            <w:rPr>
              <w:color w:val="auto"/>
              <w:szCs w:val="36"/>
            </w:rPr>
            <w:t xml:space="preserve"> </w:t>
          </w:r>
          <w:r>
            <w:rPr>
              <w:rFonts w:hint="eastAsia" w:cs="宋体"/>
              <w:color w:val="auto"/>
              <w:szCs w:val="36"/>
            </w:rPr>
            <w:t>采购合同</w:t>
          </w:r>
          <w:r>
            <w:rPr>
              <w:color w:val="auto"/>
            </w:rPr>
            <w:tab/>
          </w:r>
          <w:r>
            <w:rPr>
              <w:color w:val="auto"/>
            </w:rPr>
            <w:fldChar w:fldCharType="begin"/>
          </w:r>
          <w:r>
            <w:rPr>
              <w:color w:val="auto"/>
            </w:rPr>
            <w:instrText xml:space="preserve"> PAGEREF _Toc29701 \h </w:instrText>
          </w:r>
          <w:r>
            <w:rPr>
              <w:color w:val="auto"/>
            </w:rPr>
            <w:fldChar w:fldCharType="separate"/>
          </w:r>
          <w:r>
            <w:rPr>
              <w:color w:val="auto"/>
            </w:rPr>
            <w:t>31</w:t>
          </w:r>
          <w:r>
            <w:rPr>
              <w:color w:val="auto"/>
            </w:rPr>
            <w:fldChar w:fldCharType="end"/>
          </w:r>
          <w:r>
            <w:rPr>
              <w:rFonts w:cs="Times New Roman"/>
              <w:color w:val="auto"/>
            </w:rPr>
            <w:fldChar w:fldCharType="end"/>
          </w:r>
        </w:p>
        <w:p>
          <w:pPr>
            <w:pStyle w:val="18"/>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_Toc21169 </w:instrText>
          </w:r>
          <w:r>
            <w:rPr>
              <w:rFonts w:cs="Times New Roman"/>
              <w:color w:val="auto"/>
            </w:rPr>
            <w:fldChar w:fldCharType="separate"/>
          </w:r>
          <w:r>
            <w:rPr>
              <w:rFonts w:hint="eastAsia" w:cs="宋体"/>
              <w:color w:val="auto"/>
              <w:szCs w:val="36"/>
            </w:rPr>
            <w:t>第六部分</w:t>
          </w:r>
          <w:r>
            <w:rPr>
              <w:color w:val="auto"/>
              <w:szCs w:val="36"/>
            </w:rPr>
            <w:t xml:space="preserve"> </w:t>
          </w:r>
          <w:r>
            <w:rPr>
              <w:rFonts w:hint="eastAsia" w:cs="宋体"/>
              <w:color w:val="auto"/>
              <w:szCs w:val="36"/>
            </w:rPr>
            <w:t>应提交的有关格式范例</w:t>
          </w:r>
          <w:r>
            <w:rPr>
              <w:color w:val="auto"/>
            </w:rPr>
            <w:tab/>
          </w:r>
          <w:r>
            <w:rPr>
              <w:color w:val="auto"/>
            </w:rPr>
            <w:fldChar w:fldCharType="begin"/>
          </w:r>
          <w:r>
            <w:rPr>
              <w:color w:val="auto"/>
            </w:rPr>
            <w:instrText xml:space="preserve"> PAGEREF _Toc21169 \h </w:instrText>
          </w:r>
          <w:r>
            <w:rPr>
              <w:color w:val="auto"/>
            </w:rPr>
            <w:fldChar w:fldCharType="separate"/>
          </w:r>
          <w:r>
            <w:rPr>
              <w:color w:val="auto"/>
            </w:rPr>
            <w:t>38</w:t>
          </w:r>
          <w:r>
            <w:rPr>
              <w:color w:val="auto"/>
            </w:rPr>
            <w:fldChar w:fldCharType="end"/>
          </w:r>
          <w:r>
            <w:rPr>
              <w:rFonts w:cs="Times New Roman"/>
              <w:color w:val="auto"/>
            </w:rPr>
            <w:fldChar w:fldCharType="end"/>
          </w:r>
        </w:p>
        <w:p>
          <w:pPr>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cs="Times New Roman"/>
              <w:color w:val="auto"/>
            </w:rPr>
          </w:pPr>
          <w:r>
            <w:rPr>
              <w:rFonts w:cs="Times New Roman"/>
              <w:b/>
              <w:color w:val="auto"/>
            </w:rPr>
            <w:fldChar w:fldCharType="end"/>
          </w:r>
        </w:p>
      </w:sdtContent>
    </w:sdt>
    <w:p>
      <w:pPr>
        <w:keepLines w:val="0"/>
        <w:pageBreakBefore w:val="0"/>
        <w:kinsoku/>
        <w:wordWrap/>
        <w:overflowPunct/>
        <w:topLinePunct w:val="0"/>
        <w:autoSpaceDE/>
        <w:autoSpaceDN/>
        <w:bidi w:val="0"/>
        <w:adjustRightInd/>
        <w:snapToGrid/>
        <w:spacing w:line="360" w:lineRule="auto"/>
        <w:textAlignment w:val="auto"/>
        <w:rPr>
          <w:color w:val="auto"/>
        </w:rPr>
      </w:pPr>
    </w:p>
    <w:p>
      <w:pPr>
        <w:keepLines w:val="0"/>
        <w:pageBreakBefore w:val="0"/>
        <w:kinsoku/>
        <w:wordWrap/>
        <w:overflowPunct/>
        <w:topLinePunct w:val="0"/>
        <w:autoSpaceDE/>
        <w:autoSpaceDN/>
        <w:bidi w:val="0"/>
        <w:adjustRightInd/>
        <w:snapToGrid/>
        <w:spacing w:line="360" w:lineRule="auto"/>
        <w:textAlignment w:val="auto"/>
        <w:rPr>
          <w:color w:val="auto"/>
        </w:rPr>
      </w:pPr>
    </w:p>
    <w:p>
      <w:pPr>
        <w:keepLines w:val="0"/>
        <w:pageBreakBefore w:val="0"/>
        <w:kinsoku/>
        <w:wordWrap/>
        <w:overflowPunct/>
        <w:topLinePunct w:val="0"/>
        <w:autoSpaceDE/>
        <w:autoSpaceDN/>
        <w:bidi w:val="0"/>
        <w:adjustRightInd/>
        <w:snapToGrid/>
        <w:spacing w:line="360" w:lineRule="auto"/>
        <w:textAlignment w:val="auto"/>
        <w:rPr>
          <w:color w:val="auto"/>
        </w:rPr>
      </w:pPr>
    </w:p>
    <w:p>
      <w:pPr>
        <w:rPr>
          <w:color w:val="auto"/>
        </w:rPr>
      </w:pPr>
    </w:p>
    <w:p>
      <w:pPr>
        <w:tabs>
          <w:tab w:val="left" w:pos="3148"/>
        </w:tabs>
        <w:jc w:val="left"/>
        <w:rPr>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5"/>
        <w:jc w:val="center"/>
        <w:rPr>
          <w:rFonts w:ascii="宋体" w:cs="Times New Roman"/>
          <w:color w:val="auto"/>
        </w:rPr>
      </w:pPr>
      <w:bookmarkStart w:id="1" w:name="_Toc13178"/>
      <w:bookmarkStart w:id="2" w:name="_Toc31034"/>
      <w:bookmarkStart w:id="3" w:name="_Toc1782"/>
      <w:bookmarkStart w:id="4" w:name="_Toc32199"/>
      <w:bookmarkStart w:id="5" w:name="第二部分"/>
      <w:bookmarkStart w:id="6" w:name="_Toc91899870"/>
      <w:r>
        <w:rPr>
          <w:rFonts w:hint="eastAsia" w:cs="宋体"/>
          <w:color w:val="auto"/>
          <w:sz w:val="36"/>
          <w:szCs w:val="36"/>
        </w:rPr>
        <w:t>第一部分</w:t>
      </w:r>
      <w:r>
        <w:rPr>
          <w:color w:val="auto"/>
          <w:sz w:val="36"/>
          <w:szCs w:val="36"/>
        </w:rPr>
        <w:t xml:space="preserve"> </w:t>
      </w:r>
      <w:r>
        <w:rPr>
          <w:rFonts w:hint="eastAsia" w:cs="宋体"/>
          <w:color w:val="auto"/>
          <w:sz w:val="36"/>
          <w:szCs w:val="36"/>
        </w:rPr>
        <w:t>磋商公告</w:t>
      </w:r>
      <w:bookmarkEnd w:id="1"/>
      <w:bookmarkEnd w:id="2"/>
      <w:bookmarkEnd w:id="3"/>
      <w:bookmarkEnd w:id="4"/>
    </w:p>
    <w:p>
      <w:pPr>
        <w:adjustRightInd w:val="0"/>
        <w:spacing w:line="360" w:lineRule="auto"/>
        <w:jc w:val="center"/>
        <w:rPr>
          <w:rFonts w:ascii="宋体"/>
          <w:color w:val="auto"/>
          <w:sz w:val="28"/>
          <w:szCs w:val="28"/>
        </w:rPr>
      </w:pPr>
      <w:r>
        <w:rPr>
          <w:rFonts w:hint="eastAsia" w:ascii="宋体" w:hAnsi="宋体" w:cs="宋体"/>
          <w:color w:val="auto"/>
          <w:sz w:val="28"/>
          <w:szCs w:val="28"/>
          <w:lang w:eastAsia="zh-CN"/>
        </w:rPr>
        <w:t>浙江省成套工程有限公司</w:t>
      </w:r>
      <w:r>
        <w:rPr>
          <w:rFonts w:hint="eastAsia" w:ascii="宋体" w:hAnsi="宋体" w:cs="宋体"/>
          <w:color w:val="auto"/>
          <w:sz w:val="28"/>
          <w:szCs w:val="28"/>
        </w:rPr>
        <w:t>关于</w:t>
      </w:r>
      <w:r>
        <w:rPr>
          <w:rFonts w:hint="eastAsia" w:ascii="宋体" w:hAnsi="宋体" w:cs="宋体"/>
          <w:color w:val="auto"/>
          <w:sz w:val="28"/>
          <w:szCs w:val="28"/>
          <w:lang w:eastAsia="zh-CN"/>
        </w:rPr>
        <w:t>绍兴市上虞区市场监督管理局上虞区企业信用平台软件维保服务</w:t>
      </w:r>
      <w:r>
        <w:rPr>
          <w:rFonts w:hint="eastAsia" w:ascii="宋体" w:hAnsi="宋体" w:cs="宋体"/>
          <w:color w:val="auto"/>
          <w:sz w:val="28"/>
          <w:szCs w:val="28"/>
        </w:rPr>
        <w:t>的竞争性磋商公告</w:t>
      </w:r>
    </w:p>
    <w:p>
      <w:pPr>
        <w:adjustRightInd w:val="0"/>
        <w:spacing w:line="360" w:lineRule="auto"/>
        <w:jc w:val="center"/>
        <w:rPr>
          <w:rFonts w:ascii="宋体"/>
          <w:color w:val="auto"/>
          <w:sz w:val="28"/>
          <w:szCs w:val="28"/>
        </w:rPr>
      </w:pPr>
      <w:r>
        <w:rPr>
          <w:rFonts w:hint="eastAsia" w:ascii="宋体" w:hAnsi="宋体" w:cs="宋体"/>
          <w:color w:val="auto"/>
          <w:sz w:val="28"/>
          <w:szCs w:val="28"/>
        </w:rPr>
        <w:t>公告日期：</w:t>
      </w:r>
      <w:r>
        <w:rPr>
          <w:rFonts w:ascii="宋体" w:hAnsi="宋体" w:cs="宋体"/>
          <w:color w:val="auto"/>
          <w:sz w:val="28"/>
          <w:szCs w:val="28"/>
        </w:rPr>
        <w:t>20</w:t>
      </w:r>
      <w:r>
        <w:rPr>
          <w:rFonts w:hint="eastAsia" w:ascii="宋体" w:hAnsi="宋体" w:cs="宋体"/>
          <w:color w:val="auto"/>
          <w:sz w:val="28"/>
          <w:szCs w:val="28"/>
        </w:rPr>
        <w:t>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根据《中华人民共和国政府采购法》等有关规定，</w:t>
      </w:r>
      <w:r>
        <w:rPr>
          <w:rFonts w:hint="eastAsia" w:ascii="宋体" w:hAnsi="宋体" w:cs="宋体"/>
          <w:color w:val="auto"/>
          <w:sz w:val="24"/>
          <w:szCs w:val="24"/>
          <w:u w:val="single"/>
          <w:lang w:eastAsia="zh-CN"/>
        </w:rPr>
        <w:t>浙江省成套工程有限公司</w:t>
      </w:r>
      <w:r>
        <w:rPr>
          <w:rFonts w:hint="eastAsia" w:ascii="宋体" w:hAnsi="宋体" w:cs="宋体"/>
          <w:color w:val="auto"/>
          <w:sz w:val="24"/>
          <w:szCs w:val="24"/>
        </w:rPr>
        <w:t>受</w:t>
      </w:r>
      <w:r>
        <w:rPr>
          <w:rFonts w:hint="eastAsia" w:ascii="宋体" w:hAnsi="宋体" w:cs="宋体"/>
          <w:color w:val="auto"/>
          <w:sz w:val="24"/>
          <w:szCs w:val="24"/>
          <w:u w:val="single"/>
          <w:lang w:eastAsia="zh-CN"/>
        </w:rPr>
        <w:t>绍兴市上虞区市场监督管理局</w:t>
      </w:r>
      <w:r>
        <w:rPr>
          <w:rFonts w:hint="eastAsia" w:ascii="宋体" w:hAnsi="宋体" w:cs="宋体"/>
          <w:color w:val="auto"/>
          <w:sz w:val="24"/>
          <w:szCs w:val="24"/>
        </w:rPr>
        <w:t>委托，现就</w:t>
      </w:r>
      <w:r>
        <w:rPr>
          <w:rFonts w:hint="eastAsia" w:ascii="宋体" w:hAnsi="宋体" w:cs="宋体"/>
          <w:color w:val="auto"/>
          <w:sz w:val="24"/>
          <w:szCs w:val="24"/>
          <w:u w:val="single"/>
          <w:lang w:eastAsia="zh-CN"/>
        </w:rPr>
        <w:t>上虞区企业信用平台软件维保服务</w:t>
      </w:r>
      <w:r>
        <w:rPr>
          <w:rFonts w:hint="eastAsia" w:ascii="宋体" w:hAnsi="宋体" w:cs="宋体"/>
          <w:color w:val="auto"/>
          <w:sz w:val="24"/>
          <w:szCs w:val="24"/>
        </w:rPr>
        <w:t>进行竞争性磋商采购，欢迎国内合格的供应商参加本次采购活动。</w:t>
      </w:r>
    </w:p>
    <w:p>
      <w:pPr>
        <w:numPr>
          <w:ilvl w:val="0"/>
          <w:numId w:val="3"/>
        </w:numPr>
        <w:adjustRightInd w:val="0"/>
        <w:spacing w:line="360" w:lineRule="auto"/>
        <w:ind w:firstLine="480" w:firstLineChars="200"/>
        <w:outlineLvl w:val="1"/>
        <w:rPr>
          <w:rFonts w:hint="eastAsia" w:ascii="宋体"/>
          <w:color w:val="auto"/>
          <w:sz w:val="24"/>
          <w:szCs w:val="24"/>
          <w:u w:val="single"/>
        </w:rPr>
      </w:pPr>
      <w:bookmarkStart w:id="7" w:name="_Toc1362"/>
      <w:bookmarkStart w:id="8" w:name="_Toc13882"/>
      <w:r>
        <w:rPr>
          <w:rFonts w:hint="eastAsia" w:ascii="宋体" w:hAnsi="宋体" w:cs="宋体"/>
          <w:color w:val="auto"/>
          <w:sz w:val="24"/>
          <w:szCs w:val="24"/>
        </w:rPr>
        <w:t>磋商项目编号：</w:t>
      </w:r>
      <w:bookmarkEnd w:id="7"/>
      <w:bookmarkEnd w:id="8"/>
      <w:r>
        <w:rPr>
          <w:rFonts w:hint="eastAsia" w:ascii="宋体"/>
          <w:color w:val="auto"/>
          <w:sz w:val="24"/>
          <w:szCs w:val="24"/>
          <w:u w:val="single"/>
          <w:lang w:eastAsia="zh-CN"/>
        </w:rPr>
        <w:t>ZJCTSY-2023-</w:t>
      </w:r>
      <w:r>
        <w:rPr>
          <w:rFonts w:hint="eastAsia" w:ascii="宋体"/>
          <w:color w:val="auto"/>
          <w:sz w:val="24"/>
          <w:szCs w:val="24"/>
          <w:u w:val="single"/>
          <w:lang w:val="en-US" w:eastAsia="zh-CN"/>
        </w:rPr>
        <w:t>1109</w:t>
      </w:r>
    </w:p>
    <w:p>
      <w:pPr>
        <w:numPr>
          <w:ilvl w:val="0"/>
          <w:numId w:val="3"/>
        </w:numPr>
        <w:adjustRightInd w:val="0"/>
        <w:spacing w:line="360" w:lineRule="auto"/>
        <w:ind w:firstLine="480" w:firstLineChars="200"/>
        <w:outlineLvl w:val="1"/>
        <w:rPr>
          <w:rFonts w:ascii="宋体"/>
          <w:color w:val="auto"/>
          <w:sz w:val="24"/>
          <w:szCs w:val="24"/>
        </w:rPr>
      </w:pPr>
      <w:r>
        <w:rPr>
          <w:rFonts w:hint="eastAsia" w:ascii="宋体" w:hAnsi="宋体" w:cs="宋体"/>
          <w:color w:val="auto"/>
          <w:sz w:val="24"/>
          <w:szCs w:val="24"/>
        </w:rPr>
        <w:t>采购组织类型：</w:t>
      </w:r>
      <w:r>
        <w:rPr>
          <w:rFonts w:ascii="宋体" w:hAnsi="宋体" w:cs="宋体"/>
          <w:color w:val="auto"/>
          <w:sz w:val="24"/>
          <w:szCs w:val="24"/>
          <w:u w:val="single"/>
        </w:rPr>
        <w:t xml:space="preserve"> </w:t>
      </w:r>
      <w:r>
        <w:rPr>
          <w:rFonts w:hint="eastAsia" w:ascii="宋体" w:hAnsi="宋体" w:cs="宋体"/>
          <w:color w:val="auto"/>
          <w:sz w:val="24"/>
          <w:szCs w:val="24"/>
          <w:u w:val="single"/>
        </w:rPr>
        <w:t>分散采购（中介代理）</w:t>
      </w:r>
      <w:r>
        <w:rPr>
          <w:rFonts w:ascii="宋体" w:hAnsi="宋体" w:cs="宋体"/>
          <w:color w:val="auto"/>
          <w:sz w:val="24"/>
          <w:szCs w:val="24"/>
          <w:u w:val="single"/>
        </w:rPr>
        <w:t xml:space="preserve"> </w:t>
      </w:r>
      <w:r>
        <w:rPr>
          <w:rFonts w:ascii="宋体" w:hAnsi="宋体" w:cs="宋体"/>
          <w:color w:val="auto"/>
          <w:sz w:val="24"/>
          <w:szCs w:val="24"/>
        </w:rPr>
        <w:t xml:space="preserve"> </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ascii="宋体" w:hAnsi="宋体" w:cs="宋体"/>
          <w:color w:val="auto"/>
          <w:sz w:val="24"/>
          <w:szCs w:val="24"/>
        </w:rPr>
        <w:t xml:space="preserve"> </w:t>
      </w:r>
      <w:r>
        <w:rPr>
          <w:rFonts w:hint="eastAsia" w:ascii="宋体" w:hAnsi="宋体" w:cs="宋体"/>
          <w:color w:val="auto"/>
          <w:sz w:val="24"/>
          <w:szCs w:val="24"/>
        </w:rPr>
        <w:t>磋商项目概况</w:t>
      </w:r>
      <w:r>
        <w:rPr>
          <w:rFonts w:ascii="宋体" w:hAnsi="宋体" w:cs="宋体"/>
          <w:color w:val="auto"/>
          <w:sz w:val="24"/>
          <w:szCs w:val="24"/>
        </w:rPr>
        <w:t>:</w:t>
      </w:r>
    </w:p>
    <w:tbl>
      <w:tblPr>
        <w:tblStyle w:val="26"/>
        <w:tblW w:w="9706"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203"/>
        <w:gridCol w:w="810"/>
        <w:gridCol w:w="705"/>
        <w:gridCol w:w="1244"/>
        <w:gridCol w:w="2296"/>
        <w:gridCol w:w="1423"/>
        <w:gridCol w:w="46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序号</w:t>
            </w:r>
          </w:p>
        </w:tc>
        <w:tc>
          <w:tcPr>
            <w:tcW w:w="2203"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项目名称</w:t>
            </w:r>
          </w:p>
        </w:tc>
        <w:tc>
          <w:tcPr>
            <w:tcW w:w="810"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数量</w:t>
            </w:r>
          </w:p>
        </w:tc>
        <w:tc>
          <w:tcPr>
            <w:tcW w:w="705"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单位</w:t>
            </w:r>
          </w:p>
        </w:tc>
        <w:tc>
          <w:tcPr>
            <w:tcW w:w="1244"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预算金额</w:t>
            </w:r>
            <w:r>
              <w:rPr>
                <w:rFonts w:ascii="宋体" w:hAnsi="宋体" w:cs="宋体"/>
                <w:color w:val="auto"/>
                <w:sz w:val="24"/>
                <w:szCs w:val="24"/>
              </w:rPr>
              <w:t>(</w:t>
            </w:r>
            <w:r>
              <w:rPr>
                <w:rFonts w:hint="eastAsia" w:ascii="宋体" w:hAnsi="宋体" w:cs="宋体"/>
                <w:color w:val="auto"/>
                <w:sz w:val="24"/>
                <w:szCs w:val="24"/>
              </w:rPr>
              <w:t>万元</w:t>
            </w:r>
            <w:r>
              <w:rPr>
                <w:rFonts w:ascii="宋体" w:hAnsi="宋体" w:cs="宋体"/>
                <w:color w:val="auto"/>
                <w:sz w:val="24"/>
                <w:szCs w:val="24"/>
              </w:rPr>
              <w:t>)</w:t>
            </w:r>
          </w:p>
        </w:tc>
        <w:tc>
          <w:tcPr>
            <w:tcW w:w="2296"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简要规格描述或标项基本概况介绍</w:t>
            </w:r>
          </w:p>
        </w:tc>
        <w:tc>
          <w:tcPr>
            <w:tcW w:w="1423"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最高限价</w:t>
            </w:r>
            <w:r>
              <w:rPr>
                <w:rFonts w:ascii="宋体" w:hAnsi="宋体" w:cs="宋体"/>
                <w:color w:val="auto"/>
                <w:sz w:val="24"/>
                <w:szCs w:val="24"/>
              </w:rPr>
              <w:t>(</w:t>
            </w:r>
            <w:r>
              <w:rPr>
                <w:rFonts w:hint="eastAsia" w:ascii="宋体" w:hAnsi="宋体" w:cs="宋体"/>
                <w:color w:val="auto"/>
                <w:sz w:val="24"/>
                <w:szCs w:val="24"/>
              </w:rPr>
              <w:t>万元</w:t>
            </w:r>
            <w:r>
              <w:rPr>
                <w:rFonts w:ascii="宋体" w:hAnsi="宋体" w:cs="宋体"/>
                <w:color w:val="auto"/>
                <w:sz w:val="24"/>
                <w:szCs w:val="24"/>
              </w:rPr>
              <w:t>)</w:t>
            </w:r>
          </w:p>
        </w:tc>
        <w:tc>
          <w:tcPr>
            <w:tcW w:w="467"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58" w:type="dxa"/>
            <w:tcBorders>
              <w:bottom w:val="single" w:color="000000" w:sz="4" w:space="0"/>
            </w:tcBorders>
            <w:vAlign w:val="center"/>
          </w:tcPr>
          <w:p>
            <w:pPr>
              <w:adjustRightInd w:val="0"/>
              <w:spacing w:line="360" w:lineRule="auto"/>
              <w:jc w:val="center"/>
              <w:rPr>
                <w:rFonts w:ascii="宋体"/>
                <w:color w:val="auto"/>
                <w:sz w:val="24"/>
                <w:szCs w:val="24"/>
              </w:rPr>
            </w:pPr>
            <w:r>
              <w:rPr>
                <w:rFonts w:ascii="宋体" w:hAnsi="宋体" w:cs="宋体"/>
                <w:color w:val="auto"/>
                <w:sz w:val="24"/>
                <w:szCs w:val="24"/>
              </w:rPr>
              <w:t>1</w:t>
            </w:r>
          </w:p>
        </w:tc>
        <w:tc>
          <w:tcPr>
            <w:tcW w:w="2203"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eastAsia="zh-CN"/>
              </w:rPr>
              <w:t>上虞区企业信用平台软件维保服务</w:t>
            </w:r>
          </w:p>
        </w:tc>
        <w:tc>
          <w:tcPr>
            <w:tcW w:w="810"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val="en-US" w:eastAsia="zh-CN"/>
              </w:rPr>
              <w:t>1</w:t>
            </w:r>
          </w:p>
        </w:tc>
        <w:tc>
          <w:tcPr>
            <w:tcW w:w="705"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eastAsia="zh-CN"/>
              </w:rPr>
              <w:t>项</w:t>
            </w:r>
          </w:p>
        </w:tc>
        <w:tc>
          <w:tcPr>
            <w:tcW w:w="1244" w:type="dxa"/>
            <w:tcBorders>
              <w:bottom w:val="single" w:color="000000" w:sz="4" w:space="0"/>
            </w:tcBorders>
            <w:vAlign w:val="center"/>
          </w:tcPr>
          <w:p>
            <w:pPr>
              <w:widowControl/>
              <w:spacing w:before="100" w:after="100" w:line="312" w:lineRule="auto"/>
              <w:jc w:val="center"/>
              <w:rPr>
                <w:rFonts w:hint="default" w:ascii="宋体" w:eastAsia="仿宋"/>
                <w:color w:val="auto"/>
                <w:sz w:val="24"/>
                <w:szCs w:val="24"/>
                <w:lang w:val="en-US" w:eastAsia="zh-CN"/>
              </w:rPr>
            </w:pPr>
            <w:r>
              <w:rPr>
                <w:rFonts w:hint="eastAsia" w:ascii="宋体" w:eastAsia="仿宋"/>
                <w:color w:val="auto"/>
                <w:sz w:val="24"/>
                <w:szCs w:val="24"/>
                <w:lang w:val="en-US" w:eastAsia="zh-CN"/>
              </w:rPr>
              <w:t>30</w:t>
            </w:r>
          </w:p>
        </w:tc>
        <w:tc>
          <w:tcPr>
            <w:tcW w:w="2296" w:type="dxa"/>
            <w:tcBorders>
              <w:bottom w:val="single" w:color="000000" w:sz="4" w:space="0"/>
            </w:tcBorders>
            <w:vAlign w:val="center"/>
          </w:tcPr>
          <w:p>
            <w:pPr>
              <w:pStyle w:val="13"/>
              <w:snapToGrid w:val="0"/>
              <w:spacing w:before="120" w:after="120"/>
              <w:jc w:val="center"/>
              <w:rPr>
                <w:rFonts w:hAnsi="宋体" w:cs="Times New Roman"/>
                <w:color w:val="auto"/>
                <w:sz w:val="24"/>
                <w:szCs w:val="24"/>
              </w:rPr>
            </w:pPr>
            <w:r>
              <w:rPr>
                <w:rFonts w:hint="eastAsia" w:hAnsi="宋体" w:cs="Times New Roman"/>
                <w:color w:val="auto"/>
                <w:sz w:val="24"/>
                <w:szCs w:val="24"/>
              </w:rPr>
              <w:t>详见采购需求</w:t>
            </w:r>
          </w:p>
        </w:tc>
        <w:tc>
          <w:tcPr>
            <w:tcW w:w="1423" w:type="dxa"/>
            <w:tcBorders>
              <w:bottom w:val="single" w:color="000000" w:sz="4" w:space="0"/>
            </w:tcBorders>
            <w:vAlign w:val="center"/>
          </w:tcPr>
          <w:p>
            <w:pPr>
              <w:adjustRightInd w:val="0"/>
              <w:spacing w:line="360" w:lineRule="auto"/>
              <w:jc w:val="center"/>
              <w:rPr>
                <w:rFonts w:hint="default" w:ascii="宋体" w:eastAsia="仿宋"/>
                <w:color w:val="auto"/>
                <w:sz w:val="24"/>
                <w:szCs w:val="24"/>
                <w:lang w:val="en-US" w:eastAsia="zh-CN"/>
              </w:rPr>
            </w:pPr>
            <w:r>
              <w:rPr>
                <w:rFonts w:hint="eastAsia" w:ascii="宋体" w:eastAsia="仿宋"/>
                <w:color w:val="auto"/>
                <w:sz w:val="24"/>
                <w:szCs w:val="24"/>
                <w:lang w:val="en-US" w:eastAsia="zh-CN"/>
              </w:rPr>
              <w:t>30</w:t>
            </w:r>
          </w:p>
        </w:tc>
        <w:tc>
          <w:tcPr>
            <w:tcW w:w="467" w:type="dxa"/>
            <w:tcBorders>
              <w:bottom w:val="single" w:color="000000" w:sz="4" w:space="0"/>
            </w:tcBorders>
            <w:vAlign w:val="center"/>
          </w:tcPr>
          <w:p>
            <w:pPr>
              <w:adjustRightInd w:val="0"/>
              <w:spacing w:line="360" w:lineRule="auto"/>
              <w:jc w:val="center"/>
              <w:rPr>
                <w:rFonts w:ascii="宋体"/>
                <w:color w:val="auto"/>
                <w:sz w:val="24"/>
                <w:szCs w:val="24"/>
              </w:rPr>
            </w:pPr>
          </w:p>
        </w:tc>
      </w:tr>
    </w:tbl>
    <w:p>
      <w:pPr>
        <w:rPr>
          <w:color w:val="auto"/>
        </w:rPr>
      </w:pP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四．</w:t>
      </w:r>
      <w:r>
        <w:rPr>
          <w:rFonts w:ascii="宋体" w:hAnsi="宋体" w:cs="宋体"/>
          <w:color w:val="auto"/>
          <w:sz w:val="24"/>
          <w:szCs w:val="24"/>
        </w:rPr>
        <w:t xml:space="preserve"> </w:t>
      </w:r>
      <w:r>
        <w:rPr>
          <w:rFonts w:hint="eastAsia" w:ascii="宋体" w:hAnsi="宋体" w:cs="宋体"/>
          <w:color w:val="auto"/>
          <w:sz w:val="24"/>
          <w:szCs w:val="24"/>
        </w:rPr>
        <w:t>合格供应商资格要求</w:t>
      </w:r>
      <w:r>
        <w:rPr>
          <w:rFonts w:ascii="宋体" w:hAnsi="宋体" w:cs="宋体"/>
          <w:color w:val="auto"/>
          <w:sz w:val="24"/>
          <w:szCs w:val="24"/>
        </w:rPr>
        <w:t>:</w:t>
      </w:r>
    </w:p>
    <w:p>
      <w:pPr>
        <w:numPr>
          <w:ilvl w:val="0"/>
          <w:numId w:val="4"/>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符合政府采购法第二十二条，且未被“信用中国”（</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）列入失信被执行人、重大税收违法案件当事人名单、政府采购严重违法失信行为记录名单。</w:t>
      </w:r>
    </w:p>
    <w:p>
      <w:pPr>
        <w:numPr>
          <w:ilvl w:val="0"/>
          <w:numId w:val="4"/>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pPr>
        <w:numPr>
          <w:ilvl w:val="0"/>
          <w:numId w:val="4"/>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本项目不接受联合体参加磋商。</w:t>
      </w:r>
    </w:p>
    <w:p>
      <w:pPr>
        <w:numPr>
          <w:ilvl w:val="0"/>
          <w:numId w:val="4"/>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本项目采用资格后审的审查方式，由磋商小组负责审查。</w:t>
      </w:r>
    </w:p>
    <w:p>
      <w:pPr>
        <w:adjustRightInd w:val="0"/>
        <w:spacing w:line="360" w:lineRule="auto"/>
        <w:ind w:firstLine="480" w:firstLineChars="200"/>
        <w:outlineLvl w:val="1"/>
        <w:rPr>
          <w:rFonts w:ascii="宋体"/>
          <w:color w:val="auto"/>
          <w:sz w:val="24"/>
          <w:szCs w:val="24"/>
        </w:rPr>
      </w:pPr>
      <w:bookmarkStart w:id="9" w:name="_Toc16269"/>
      <w:bookmarkStart w:id="10" w:name="_Toc20115"/>
      <w:r>
        <w:rPr>
          <w:rFonts w:hint="eastAsia" w:ascii="宋体" w:hAnsi="宋体" w:cs="宋体"/>
          <w:color w:val="auto"/>
          <w:sz w:val="24"/>
          <w:szCs w:val="24"/>
        </w:rPr>
        <w:t>五．获取磋商文件</w:t>
      </w:r>
      <w:bookmarkEnd w:id="9"/>
      <w:bookmarkEnd w:id="10"/>
    </w:p>
    <w:p>
      <w:pPr>
        <w:numPr>
          <w:ilvl w:val="0"/>
          <w:numId w:val="5"/>
        </w:numPr>
        <w:adjustRightInd w:val="0"/>
        <w:spacing w:line="360" w:lineRule="auto"/>
        <w:ind w:firstLine="480" w:firstLineChars="200"/>
        <w:rPr>
          <w:rFonts w:ascii="宋体"/>
          <w:color w:val="auto"/>
          <w:sz w:val="24"/>
          <w:szCs w:val="24"/>
        </w:rPr>
      </w:pPr>
      <w:bookmarkStart w:id="11" w:name="报名开始时间1"/>
      <w:r>
        <w:rPr>
          <w:rFonts w:hint="eastAsia" w:ascii="宋体" w:hAnsi="宋体" w:cs="宋体"/>
          <w:color w:val="auto"/>
          <w:sz w:val="24"/>
          <w:szCs w:val="24"/>
        </w:rPr>
        <w:t>获取磋商文件时间</w:t>
      </w:r>
      <w:r>
        <w:rPr>
          <w:rFonts w:ascii="宋体" w:hAnsi="宋体" w:cs="宋体"/>
          <w:color w:val="auto"/>
          <w:sz w:val="24"/>
          <w:szCs w:val="24"/>
        </w:rPr>
        <w:t>:</w:t>
      </w:r>
      <w:bookmarkEnd w:id="11"/>
      <w:r>
        <w:rPr>
          <w:rFonts w:ascii="宋体" w:hAnsi="宋体" w:cs="宋体"/>
          <w:color w:val="auto"/>
          <w:sz w:val="24"/>
          <w:szCs w:val="24"/>
          <w:u w:val="single"/>
        </w:rPr>
        <w:t>20</w:t>
      </w:r>
      <w:r>
        <w:rPr>
          <w:rFonts w:hint="eastAsia" w:ascii="宋体" w:hAnsi="宋体" w:cs="宋体"/>
          <w:color w:val="auto"/>
          <w:sz w:val="24"/>
          <w:szCs w:val="24"/>
          <w:u w:val="single"/>
        </w:rPr>
        <w:t>2</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 xml:space="preserve"> 上</w:t>
      </w:r>
      <w:r>
        <w:rPr>
          <w:rFonts w:hint="eastAsia" w:ascii="宋体" w:hAnsi="宋体" w:cs="宋体"/>
          <w:color w:val="auto"/>
          <w:sz w:val="24"/>
          <w:szCs w:val="24"/>
          <w:u w:val="single"/>
        </w:rPr>
        <w:t>午</w:t>
      </w:r>
      <w:r>
        <w:rPr>
          <w:rFonts w:hint="eastAsia" w:ascii="宋体" w:hAnsi="宋体" w:cs="宋体"/>
          <w:color w:val="auto"/>
          <w:sz w:val="24"/>
          <w:szCs w:val="24"/>
          <w:u w:val="single"/>
          <w:lang w:val="en-US" w:eastAsia="zh-CN"/>
        </w:rPr>
        <w:t>09</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0</w:t>
      </w:r>
      <w:r>
        <w:rPr>
          <w:rFonts w:hint="eastAsia" w:ascii="宋体" w:hAnsi="宋体" w:cs="宋体"/>
          <w:color w:val="auto"/>
          <w:sz w:val="24"/>
          <w:szCs w:val="24"/>
        </w:rPr>
        <w:t>之前获取。</w:t>
      </w:r>
    </w:p>
    <w:p>
      <w:pPr>
        <w:numPr>
          <w:ilvl w:val="0"/>
          <w:numId w:val="5"/>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获取磋商文件方式：供应商登陆政采云平台</w:t>
      </w:r>
      <w:r>
        <w:rPr>
          <w:rFonts w:ascii="宋体" w:hAnsi="宋体" w:cs="宋体"/>
          <w:color w:val="auto"/>
          <w:sz w:val="24"/>
          <w:szCs w:val="24"/>
        </w:rPr>
        <w:t>http://www.zcygov.cn/</w:t>
      </w:r>
      <w:r>
        <w:rPr>
          <w:rFonts w:hint="eastAsia" w:ascii="宋体" w:hAnsi="宋体" w:cs="宋体"/>
          <w:color w:val="auto"/>
          <w:sz w:val="24"/>
          <w:szCs w:val="24"/>
        </w:rPr>
        <w:t>，在线申请获取磋商文件（进入“项目采购”应用，在获取采购文件菜单中选择项目，申请获取采购文件）。</w:t>
      </w:r>
    </w:p>
    <w:p>
      <w:pPr>
        <w:numPr>
          <w:ilvl w:val="0"/>
          <w:numId w:val="5"/>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提示：</w:t>
      </w:r>
    </w:p>
    <w:p>
      <w:pPr>
        <w:numPr>
          <w:ilvl w:val="0"/>
          <w:numId w:val="6"/>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将拒绝接受未获取磋商文件供应商的响应文件。</w:t>
      </w:r>
    </w:p>
    <w:p>
      <w:pPr>
        <w:numPr>
          <w:ilvl w:val="0"/>
          <w:numId w:val="6"/>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磋商文件及更正补充公告请自行登录浙江政府采购网或绍兴市上虞区公共资源交易中心网站，在采购公告页面中下载。</w:t>
      </w:r>
    </w:p>
    <w:p>
      <w:pPr>
        <w:adjustRightInd w:val="0"/>
        <w:spacing w:line="360" w:lineRule="auto"/>
        <w:ind w:firstLine="480" w:firstLineChars="200"/>
        <w:outlineLvl w:val="1"/>
        <w:rPr>
          <w:rFonts w:ascii="宋体" w:hAnsi="宋体" w:cs="宋体"/>
          <w:color w:val="auto"/>
          <w:sz w:val="24"/>
          <w:szCs w:val="24"/>
        </w:rPr>
      </w:pPr>
      <w:bookmarkStart w:id="12" w:name="_Toc22437"/>
      <w:bookmarkStart w:id="13" w:name="_Toc28422"/>
      <w:r>
        <w:rPr>
          <w:rFonts w:hint="eastAsia" w:ascii="宋体" w:hAnsi="宋体" w:cs="宋体"/>
          <w:color w:val="auto"/>
          <w:sz w:val="24"/>
          <w:szCs w:val="24"/>
        </w:rPr>
        <w:t>六、投标与开标注意事项：</w:t>
      </w:r>
      <w:bookmarkEnd w:id="12"/>
      <w:bookmarkEnd w:id="13"/>
    </w:p>
    <w:p>
      <w:pPr>
        <w:numPr>
          <w:ilvl w:val="0"/>
          <w:numId w:val="7"/>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本项目实行</w:t>
      </w:r>
      <w:r>
        <w:rPr>
          <w:rFonts w:hint="eastAsia" w:ascii="宋体" w:hAnsi="宋体" w:cs="宋体"/>
          <w:b/>
          <w:bCs/>
          <w:color w:val="auto"/>
          <w:sz w:val="24"/>
          <w:szCs w:val="24"/>
        </w:rPr>
        <w:t>网上投标</w:t>
      </w:r>
      <w:r>
        <w:rPr>
          <w:rFonts w:hint="eastAsia" w:ascii="宋体" w:hAnsi="宋体" w:cs="宋体"/>
          <w:color w:val="auto"/>
          <w:sz w:val="24"/>
          <w:szCs w:val="24"/>
        </w:rPr>
        <w:t>，采用电子投标文件，若供应商参与投标，自行承担投标一切费用。</w:t>
      </w:r>
    </w:p>
    <w:p>
      <w:pPr>
        <w:numPr>
          <w:ilvl w:val="0"/>
          <w:numId w:val="7"/>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《CA管理学习专题》：</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https://edu.zcygov.cn/luban/ca?utm=web-government-front.380aac0a.0.0.fc2b6aa0b6e211ebbdb0dd007730dd44</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《CA驱动和申领流程》:</w:t>
      </w:r>
    </w:p>
    <w:p>
      <w:pPr>
        <w:adjustRightInd w:val="0"/>
        <w:spacing w:line="360" w:lineRule="auto"/>
        <w:ind w:left="400" w:leftChars="200"/>
        <w:rPr>
          <w:rFonts w:ascii="宋体" w:hAnsi="宋体" w:cs="宋体"/>
          <w:color w:val="auto"/>
          <w:sz w:val="24"/>
          <w:szCs w:val="24"/>
        </w:rPr>
      </w:pP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 w:val="24"/>
        </w:rPr>
        <w:t>http://zfcg.czt.zj.gov.cn/bidClientTemplate/2019-05-27/12945.html</w:t>
      </w:r>
      <w:r>
        <w:rPr>
          <w:rFonts w:hint="eastAsia" w:ascii="宋体" w:hAnsi="宋体" w:cs="宋体"/>
          <w:color w:val="auto"/>
          <w:sz w:val="24"/>
        </w:rPr>
        <w:fldChar w:fldCharType="end"/>
      </w:r>
    </w:p>
    <w:p>
      <w:pPr>
        <w:numPr>
          <w:ilvl w:val="0"/>
          <w:numId w:val="7"/>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投标文件制作：</w:t>
      </w:r>
    </w:p>
    <w:p>
      <w:pPr>
        <w:numPr>
          <w:ilvl w:val="0"/>
          <w:numId w:val="8"/>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Pr>
          <w:rFonts w:ascii="仿宋" w:hAnsi="仿宋" w:eastAsia="仿宋" w:cs="仿宋"/>
          <w:i w:val="0"/>
          <w:iCs w:val="0"/>
          <w:caps w:val="0"/>
          <w:color w:val="auto"/>
          <w:spacing w:val="0"/>
          <w:sz w:val="27"/>
          <w:szCs w:val="27"/>
          <w:shd w:val="clear" w:fill="FFFFFF"/>
        </w:rPr>
        <w:t>95763</w:t>
      </w:r>
      <w:r>
        <w:rPr>
          <w:rFonts w:hint="eastAsia" w:ascii="宋体" w:hAnsi="宋体" w:cs="宋体"/>
          <w:color w:val="auto"/>
          <w:sz w:val="24"/>
          <w:szCs w:val="24"/>
        </w:rPr>
        <w:t>。</w:t>
      </w:r>
    </w:p>
    <w:p>
      <w:pPr>
        <w:numPr>
          <w:ilvl w:val="0"/>
          <w:numId w:val="8"/>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投标人通过“政采云”平台电子投标工具制作投标文件。</w:t>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《电子投标工具》：</w:t>
      </w:r>
    </w:p>
    <w:p>
      <w:pPr>
        <w:adjustRightInd w:val="0"/>
        <w:spacing w:line="360" w:lineRule="auto"/>
        <w:ind w:firstLine="400" w:firstLineChars="200"/>
        <w:jc w:val="left"/>
        <w:rPr>
          <w:rFonts w:ascii="宋体" w:hAnsi="宋体" w:cs="宋体"/>
          <w:color w:val="auto"/>
          <w:sz w:val="24"/>
          <w:szCs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 w:val="24"/>
          <w:szCs w:val="24"/>
        </w:rPr>
        <w:t>http://zfcg.czt.zj.gov.cn/bidClientTemplate/2019-09-24/12975.html</w:t>
      </w:r>
      <w:r>
        <w:rPr>
          <w:rFonts w:hint="eastAsia" w:ascii="宋体" w:hAnsi="宋体" w:cs="宋体"/>
          <w:color w:val="auto"/>
          <w:sz w:val="24"/>
          <w:szCs w:val="24"/>
        </w:rPr>
        <w:fldChar w:fldCharType="end"/>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《供应商-政府采购项目电子交易操作指南》：(需登录账号后查看)</w:t>
      </w:r>
    </w:p>
    <w:p>
      <w:pPr>
        <w:adjustRightInd w:val="0"/>
        <w:spacing w:line="360" w:lineRule="auto"/>
        <w:ind w:firstLine="400" w:firstLineChars="200"/>
        <w:jc w:val="left"/>
        <w:rPr>
          <w:rFonts w:ascii="宋体" w:hAnsi="宋体" w:cs="宋体"/>
          <w:color w:val="auto"/>
          <w:sz w:val="24"/>
          <w:szCs w:val="24"/>
        </w:rPr>
      </w:pP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hint="eastAsia" w:ascii="宋体" w:hAnsi="宋体" w:cs="宋体"/>
          <w:color w:val="auto"/>
          <w:sz w:val="24"/>
          <w:szCs w:val="24"/>
        </w:rPr>
        <w:t>https://service.zcygov.cn/#/knowledges/tree?tag=AG1DtGwBFdiHxlNdhY0r</w:t>
      </w:r>
      <w:r>
        <w:rPr>
          <w:rFonts w:hint="eastAsia" w:ascii="宋体" w:hAnsi="宋体" w:cs="宋体"/>
          <w:color w:val="auto"/>
          <w:sz w:val="24"/>
          <w:szCs w:val="24"/>
        </w:rPr>
        <w:fldChar w:fldCharType="end"/>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4.供应商在法定质疑期内应一次性提出针对同一采购程序环节的质疑。</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5.投标人可指派授权代表递交备份文件，授权代表递交备份文件需携带法定代表人授权书原件，于投标截止时间前到达开标地点递交。</w:t>
      </w:r>
    </w:p>
    <w:p>
      <w:pPr>
        <w:adjustRightInd w:val="0"/>
        <w:spacing w:line="360" w:lineRule="auto"/>
        <w:ind w:left="400" w:leftChars="200"/>
        <w:rPr>
          <w:rFonts w:ascii="宋体" w:hAnsi="宋体" w:cs="宋体"/>
          <w:color w:val="auto"/>
          <w:sz w:val="24"/>
          <w:szCs w:val="24"/>
        </w:rPr>
      </w:pPr>
      <w:r>
        <w:rPr>
          <w:rFonts w:hint="eastAsia" w:ascii="宋体" w:hAnsi="宋体" w:cs="宋体"/>
          <w:color w:val="auto"/>
          <w:sz w:val="24"/>
          <w:szCs w:val="24"/>
        </w:rPr>
        <w:t>6.特别提醒</w:t>
      </w:r>
    </w:p>
    <w:p>
      <w:pPr>
        <w:wordWrap w:val="0"/>
        <w:adjustRightInd w:val="0"/>
        <w:spacing w:line="360" w:lineRule="auto"/>
        <w:rPr>
          <w:rFonts w:ascii="宋体" w:hAnsi="宋体" w:cs="宋体"/>
          <w:color w:val="auto"/>
          <w:sz w:val="24"/>
          <w:szCs w:val="24"/>
        </w:rPr>
      </w:pPr>
      <w:r>
        <w:rPr>
          <w:rFonts w:hint="eastAsia" w:ascii="宋体" w:hAnsi="宋体" w:cs="宋体"/>
          <w:color w:val="auto"/>
          <w:sz w:val="24"/>
          <w:szCs w:val="24"/>
        </w:rPr>
        <w:t xml:space="preserve">    单位负责人为同一人或者存在直接控股、管理关系的不同供应商，不得参加同一合同项下的政府采购活动。</w:t>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七．磋商响应截止时间及要求：</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2023</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11</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ascii="宋体" w:hAnsi="宋体" w:cs="宋体"/>
          <w:color w:val="auto"/>
          <w:sz w:val="24"/>
          <w:szCs w:val="24"/>
          <w:u w:val="single"/>
        </w:rPr>
        <w:t xml:space="preserve"> </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 xml:space="preserve">0 </w:t>
      </w:r>
      <w:r>
        <w:rPr>
          <w:rFonts w:hint="eastAsia" w:ascii="宋体" w:hAnsi="宋体" w:cs="宋体"/>
          <w:color w:val="auto"/>
          <w:sz w:val="24"/>
          <w:szCs w:val="24"/>
        </w:rPr>
        <w:t>分整之前将电子磋商响应文件上传到“政采云”平台。</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八．递交首次响应文件时间及地点：</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2023</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11</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20</w:t>
      </w:r>
      <w:r>
        <w:rPr>
          <w:rFonts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 xml:space="preserve">0  </w:t>
      </w:r>
      <w:r>
        <w:rPr>
          <w:rFonts w:hint="eastAsia" w:ascii="宋体" w:hAnsi="宋体" w:cs="宋体"/>
          <w:color w:val="auto"/>
          <w:sz w:val="24"/>
          <w:szCs w:val="24"/>
        </w:rPr>
        <w:t>分</w:t>
      </w:r>
      <w:bookmarkStart w:id="14" w:name="B30_开标地点"/>
      <w:r>
        <w:rPr>
          <w:rFonts w:hint="eastAsia" w:ascii="宋体" w:hAnsi="宋体" w:cs="宋体"/>
          <w:color w:val="auto"/>
          <w:sz w:val="24"/>
          <w:szCs w:val="24"/>
        </w:rPr>
        <w:t>整在</w:t>
      </w:r>
      <w:r>
        <w:rPr>
          <w:rFonts w:hint="eastAsia" w:ascii="宋体" w:hAnsi="宋体" w:cs="宋体"/>
          <w:color w:val="auto"/>
          <w:sz w:val="24"/>
          <w:szCs w:val="24"/>
          <w:lang w:val="en-US" w:eastAsia="zh-CN"/>
        </w:rPr>
        <w:t>绍兴市上虞区财富广场6号楼902</w:t>
      </w:r>
      <w:r>
        <w:rPr>
          <w:rFonts w:hint="eastAsia" w:ascii="宋体" w:hAnsi="宋体" w:cs="宋体"/>
          <w:color w:val="auto"/>
          <w:sz w:val="24"/>
          <w:szCs w:val="24"/>
        </w:rPr>
        <w:t>开标室开标。</w:t>
      </w:r>
      <w:bookmarkEnd w:id="14"/>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开标时间后</w:t>
      </w:r>
      <w:r>
        <w:rPr>
          <w:rFonts w:ascii="宋体" w:hAnsi="宋体" w:cs="宋体"/>
          <w:color w:val="auto"/>
          <w:sz w:val="24"/>
          <w:szCs w:val="24"/>
        </w:rPr>
        <w:t>30</w:t>
      </w:r>
      <w:r>
        <w:rPr>
          <w:rFonts w:hint="eastAsia" w:ascii="宋体" w:hAnsi="宋体" w:cs="宋体"/>
          <w:color w:val="auto"/>
          <w:sz w:val="24"/>
          <w:szCs w:val="24"/>
        </w:rPr>
        <w:t>分钟内（当日</w:t>
      </w:r>
      <w:r>
        <w:rPr>
          <w:rFonts w:ascii="宋体" w:hAnsi="宋体" w:cs="宋体"/>
          <w:color w:val="auto"/>
          <w:sz w:val="24"/>
          <w:szCs w:val="24"/>
        </w:rPr>
        <w:t xml:space="preserve"> </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ascii="宋体" w:hAnsi="宋体" w:cs="宋体"/>
          <w:color w:val="auto"/>
          <w:sz w:val="24"/>
          <w:szCs w:val="24"/>
        </w:rPr>
        <w:t xml:space="preserve"> : </w:t>
      </w:r>
      <w:r>
        <w:rPr>
          <w:rFonts w:hint="eastAsia" w:ascii="宋体" w:hAnsi="宋体" w:cs="宋体"/>
          <w:color w:val="auto"/>
          <w:sz w:val="24"/>
          <w:szCs w:val="24"/>
          <w:lang w:val="en-US" w:eastAsia="zh-CN"/>
        </w:rPr>
        <w:t>0</w:t>
      </w:r>
      <w:r>
        <w:rPr>
          <w:rFonts w:ascii="宋体" w:hAnsi="宋体" w:cs="宋体"/>
          <w:color w:val="auto"/>
          <w:sz w:val="24"/>
          <w:szCs w:val="24"/>
        </w:rPr>
        <w:t xml:space="preserve">0 </w:t>
      </w:r>
      <w:r>
        <w:rPr>
          <w:rFonts w:hint="eastAsia" w:ascii="宋体" w:hAnsi="宋体" w:cs="宋体"/>
          <w:color w:val="auto"/>
          <w:sz w:val="24"/>
          <w:szCs w:val="24"/>
        </w:rPr>
        <w:t>前）供应商可以登录“政采云”平台，用“项目采购</w:t>
      </w:r>
      <w:r>
        <w:rPr>
          <w:rFonts w:ascii="宋体" w:cs="宋体"/>
          <w:color w:val="auto"/>
          <w:sz w:val="24"/>
          <w:szCs w:val="24"/>
        </w:rPr>
        <w:t>-</w:t>
      </w:r>
      <w:r>
        <w:rPr>
          <w:rFonts w:hint="eastAsia" w:ascii="宋体" w:hAnsi="宋体" w:cs="宋体"/>
          <w:color w:val="auto"/>
          <w:sz w:val="24"/>
          <w:szCs w:val="24"/>
        </w:rPr>
        <w:t>开标评标”功能进行解密响应文件。若供应商在规定时间内（当日</w:t>
      </w:r>
      <w:r>
        <w:rPr>
          <w:rFonts w:ascii="宋体" w:hAnsi="宋体" w:cs="宋体"/>
          <w:color w:val="auto"/>
          <w:sz w:val="24"/>
          <w:szCs w:val="24"/>
        </w:rPr>
        <w:t xml:space="preserve"> </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ascii="宋体" w:hAnsi="宋体" w:cs="宋体"/>
          <w:color w:val="auto"/>
          <w:sz w:val="24"/>
          <w:szCs w:val="24"/>
        </w:rPr>
        <w:t xml:space="preserve">: </w:t>
      </w:r>
      <w:r>
        <w:rPr>
          <w:rFonts w:hint="eastAsia" w:ascii="宋体" w:hAnsi="宋体" w:cs="宋体"/>
          <w:color w:val="auto"/>
          <w:sz w:val="24"/>
          <w:szCs w:val="24"/>
          <w:lang w:val="en-US" w:eastAsia="zh-CN"/>
        </w:rPr>
        <w:t>0</w:t>
      </w:r>
      <w:r>
        <w:rPr>
          <w:rFonts w:ascii="宋体" w:hAnsi="宋体" w:cs="宋体"/>
          <w:color w:val="auto"/>
          <w:sz w:val="24"/>
          <w:szCs w:val="24"/>
        </w:rPr>
        <w:t xml:space="preserve">0 </w:t>
      </w:r>
      <w:r>
        <w:rPr>
          <w:rFonts w:hint="eastAsia" w:ascii="宋体" w:hAnsi="宋体" w:cs="宋体"/>
          <w:color w:val="auto"/>
          <w:sz w:val="24"/>
          <w:szCs w:val="24"/>
        </w:rPr>
        <w:t>前）解密失败，则由采购代理机构工作人员上传供应商提供的备份文件。备份文件（后缀名为</w:t>
      </w:r>
      <w:r>
        <w:rPr>
          <w:rFonts w:ascii="宋体" w:hAnsi="宋体" w:cs="宋体"/>
          <w:color w:val="auto"/>
          <w:sz w:val="24"/>
          <w:szCs w:val="24"/>
        </w:rPr>
        <w:t>.bfbs</w:t>
      </w:r>
      <w:r>
        <w:rPr>
          <w:rFonts w:hint="eastAsia" w:ascii="宋体" w:hAnsi="宋体" w:cs="宋体"/>
          <w:color w:val="auto"/>
          <w:sz w:val="24"/>
          <w:szCs w:val="24"/>
        </w:rPr>
        <w:t>）须存储在</w:t>
      </w:r>
      <w:r>
        <w:rPr>
          <w:rFonts w:ascii="宋体" w:hAnsi="宋体" w:cs="宋体"/>
          <w:color w:val="auto"/>
          <w:sz w:val="24"/>
          <w:szCs w:val="24"/>
        </w:rPr>
        <w:t>U</w:t>
      </w:r>
      <w:r>
        <w:rPr>
          <w:rFonts w:hint="eastAsia" w:ascii="宋体" w:hAnsi="宋体" w:cs="宋体"/>
          <w:color w:val="auto"/>
          <w:sz w:val="24"/>
          <w:szCs w:val="24"/>
        </w:rPr>
        <w:t>盘中，与上传的电子磋商响应文件一致，用信封进行密封并盖章</w:t>
      </w:r>
      <w:r>
        <w:rPr>
          <w:rFonts w:hint="eastAsia" w:ascii="宋体" w:hAnsi="宋体" w:cs="宋体"/>
          <w:b/>
          <w:bCs/>
          <w:color w:val="auto"/>
          <w:sz w:val="24"/>
          <w:szCs w:val="24"/>
        </w:rPr>
        <w:t>（信封内仅需放入存储备份文件的</w:t>
      </w:r>
      <w:r>
        <w:rPr>
          <w:rFonts w:ascii="宋体" w:hAnsi="宋体" w:cs="宋体"/>
          <w:b/>
          <w:bCs/>
          <w:color w:val="auto"/>
          <w:sz w:val="24"/>
          <w:szCs w:val="24"/>
        </w:rPr>
        <w:t>U</w:t>
      </w:r>
      <w:r>
        <w:rPr>
          <w:rFonts w:hint="eastAsia" w:ascii="宋体" w:hAnsi="宋体" w:cs="宋体"/>
          <w:b/>
          <w:bCs/>
          <w:color w:val="auto"/>
          <w:sz w:val="24"/>
          <w:szCs w:val="24"/>
        </w:rPr>
        <w:t>盘）</w:t>
      </w:r>
      <w:r>
        <w:rPr>
          <w:rFonts w:hint="eastAsia" w:ascii="宋体" w:hAnsi="宋体" w:cs="宋体"/>
          <w:color w:val="auto"/>
          <w:sz w:val="24"/>
          <w:szCs w:val="24"/>
        </w:rPr>
        <w:t>，由授权代表在磋商响应截止时间前递交至开标地点。若电子磋商响应文件正常解锁，则</w:t>
      </w:r>
      <w:r>
        <w:rPr>
          <w:rFonts w:ascii="宋体" w:hAnsi="宋体" w:cs="宋体"/>
          <w:color w:val="auto"/>
          <w:sz w:val="24"/>
          <w:szCs w:val="24"/>
        </w:rPr>
        <w:t>U</w:t>
      </w:r>
      <w:r>
        <w:rPr>
          <w:rFonts w:hint="eastAsia" w:ascii="宋体" w:hAnsi="宋体" w:cs="宋体"/>
          <w:color w:val="auto"/>
          <w:sz w:val="24"/>
          <w:szCs w:val="24"/>
        </w:rPr>
        <w:t>盘退还给供应商；若解锁失败，则由采购代理机构将</w:t>
      </w:r>
      <w:r>
        <w:rPr>
          <w:rFonts w:ascii="宋体" w:hAnsi="宋体" w:cs="宋体"/>
          <w:color w:val="auto"/>
          <w:sz w:val="24"/>
          <w:szCs w:val="24"/>
        </w:rPr>
        <w:t>U</w:t>
      </w:r>
      <w:r>
        <w:rPr>
          <w:rFonts w:hint="eastAsia" w:ascii="宋体" w:hAnsi="宋体" w:cs="宋体"/>
          <w:color w:val="auto"/>
          <w:sz w:val="24"/>
          <w:szCs w:val="24"/>
        </w:rPr>
        <w:t>盘中的备份文件上传，该</w:t>
      </w:r>
      <w:r>
        <w:rPr>
          <w:rFonts w:ascii="宋体" w:hAnsi="宋体" w:cs="宋体"/>
          <w:color w:val="auto"/>
          <w:sz w:val="24"/>
          <w:szCs w:val="24"/>
        </w:rPr>
        <w:t>U</w:t>
      </w:r>
      <w:r>
        <w:rPr>
          <w:rFonts w:hint="eastAsia" w:ascii="宋体" w:hAnsi="宋体" w:cs="宋体"/>
          <w:color w:val="auto"/>
          <w:sz w:val="24"/>
          <w:szCs w:val="24"/>
        </w:rPr>
        <w:t>盘将由采购代理机构保存。</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本次开标不提供现场</w:t>
      </w:r>
      <w:r>
        <w:rPr>
          <w:rFonts w:hint="eastAsia" w:ascii="宋体" w:hAnsi="宋体" w:cs="宋体"/>
          <w:color w:val="auto"/>
          <w:sz w:val="24"/>
        </w:rPr>
        <w:t>演示</w:t>
      </w:r>
      <w:r>
        <w:rPr>
          <w:rFonts w:hint="eastAsia" w:ascii="宋体" w:hAnsi="宋体" w:cs="宋体"/>
          <w:color w:val="auto"/>
          <w:sz w:val="24"/>
          <w:szCs w:val="24"/>
        </w:rPr>
        <w:t>。</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九．磋商保证金：无</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十．公告期限：3个工作日</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十一．联系方式：</w:t>
      </w:r>
    </w:p>
    <w:p>
      <w:pPr>
        <w:adjustRightInd w:val="0"/>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．采购代理机构名称：浙江省成套工程有限公司</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项建海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13819570604</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质疑联系人：章建峰</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color w:val="auto"/>
          <w:sz w:val="24"/>
          <w:szCs w:val="24"/>
        </w:rPr>
      </w:pPr>
      <w:r>
        <w:rPr>
          <w:rFonts w:hint="eastAsia" w:ascii="宋体" w:hAnsi="宋体" w:eastAsia="宋体" w:cs="宋体"/>
          <w:color w:val="auto"/>
          <w:sz w:val="24"/>
          <w:szCs w:val="24"/>
          <w:highlight w:val="none"/>
          <w:lang w:val="en-US" w:eastAsia="zh-CN"/>
        </w:rPr>
        <w:t>联系电话：13372401551</w:t>
      </w:r>
      <w:r>
        <w:rPr>
          <w:rFonts w:hint="eastAsia" w:ascii="宋体" w:hAnsi="宋体" w:cs="宋体"/>
          <w:color w:val="auto"/>
          <w:sz w:val="24"/>
          <w:szCs w:val="24"/>
        </w:rPr>
        <w:t xml:space="preserve">     </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地址：绍兴市上虞区百官街道江财富广场6号楼902室</w:t>
      </w:r>
    </w:p>
    <w:p>
      <w:pPr>
        <w:adjustRightInd w:val="0"/>
        <w:spacing w:line="360" w:lineRule="auto"/>
        <w:ind w:firstLine="480" w:firstLineChars="200"/>
        <w:rPr>
          <w:rFonts w:hint="eastAsia" w:ascii="宋体" w:eastAsia="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．采购人名称：</w:t>
      </w:r>
      <w:r>
        <w:rPr>
          <w:rFonts w:hint="eastAsia" w:ascii="宋体" w:hAnsi="宋体" w:cs="宋体"/>
          <w:color w:val="auto"/>
          <w:sz w:val="24"/>
          <w:lang w:eastAsia="zh-CN"/>
        </w:rPr>
        <w:t>绍兴市上虞区市场监督管理局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 王先生</w:t>
      </w:r>
    </w:p>
    <w:p>
      <w:pPr>
        <w:adjustRightInd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13857595992</w:t>
      </w:r>
    </w:p>
    <w:p>
      <w:pPr>
        <w:adjustRightIn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szCs w:val="24"/>
          <w:highlight w:val="none"/>
          <w:lang w:val="en-US" w:eastAsia="zh-CN"/>
        </w:rPr>
        <w:t>潘先生</w:t>
      </w:r>
      <w:r>
        <w:rPr>
          <w:rFonts w:ascii="宋体" w:hAnsi="宋体" w:cs="宋体"/>
          <w:sz w:val="24"/>
        </w:rPr>
        <w:t xml:space="preserve"> </w:t>
      </w:r>
    </w:p>
    <w:p>
      <w:pPr>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sz w:val="24"/>
        </w:rPr>
        <w:t>质疑联系方式：</w:t>
      </w:r>
      <w:r>
        <w:rPr>
          <w:rFonts w:hint="eastAsia" w:ascii="宋体" w:hAnsi="宋体" w:cs="宋体"/>
          <w:color w:val="auto"/>
          <w:sz w:val="24"/>
          <w:szCs w:val="24"/>
          <w:highlight w:val="none"/>
          <w:lang w:val="en-US" w:eastAsia="zh-CN"/>
        </w:rPr>
        <w:t>0575-89280844</w:t>
      </w:r>
    </w:p>
    <w:p>
      <w:pPr>
        <w:adjustRightInd w:val="0"/>
        <w:spacing w:line="360" w:lineRule="auto"/>
        <w:ind w:firstLine="480" w:firstLineChars="200"/>
        <w:rPr>
          <w:rFonts w:hint="eastAsia" w:ascii="宋体" w:eastAsia="宋体"/>
          <w:color w:val="auto"/>
          <w:sz w:val="24"/>
          <w:szCs w:val="24"/>
          <w:lang w:val="en-US" w:eastAsia="zh-CN"/>
        </w:rPr>
      </w:pPr>
      <w:r>
        <w:rPr>
          <w:rFonts w:hint="eastAsia" w:ascii="宋体" w:hAnsi="宋体" w:cs="宋体"/>
          <w:color w:val="auto"/>
          <w:sz w:val="24"/>
          <w:szCs w:val="24"/>
        </w:rPr>
        <w:t>地址</w:t>
      </w:r>
      <w:r>
        <w:rPr>
          <w:rFonts w:hint="eastAsia" w:ascii="宋体" w:hAnsi="宋体" w:cs="宋体"/>
          <w:sz w:val="24"/>
        </w:rPr>
        <w:t>：绍兴市上虞区人民中路6号</w:t>
      </w:r>
    </w:p>
    <w:p>
      <w:pPr>
        <w:adjustRightInd w:val="0"/>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．同级政府采购监督管理部门名称：上虞区财政局政府采购监管科</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联系人：谷先生</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监督投诉电话：</w:t>
      </w:r>
      <w:r>
        <w:rPr>
          <w:rFonts w:ascii="宋体" w:hAnsi="宋体" w:cs="宋体"/>
          <w:color w:val="auto"/>
          <w:sz w:val="24"/>
          <w:szCs w:val="24"/>
        </w:rPr>
        <w:t>0575-82130212</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传真：</w:t>
      </w:r>
      <w:r>
        <w:rPr>
          <w:rFonts w:ascii="宋体" w:hAnsi="宋体" w:cs="宋体"/>
          <w:color w:val="auto"/>
          <w:sz w:val="24"/>
          <w:szCs w:val="24"/>
        </w:rPr>
        <w:t>0575-82130212</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地址：绍兴市上虞区体育场路</w:t>
      </w:r>
      <w:r>
        <w:rPr>
          <w:rFonts w:ascii="宋体" w:hAnsi="宋体" w:cs="宋体"/>
          <w:color w:val="auto"/>
          <w:sz w:val="24"/>
          <w:szCs w:val="24"/>
        </w:rPr>
        <w:t>18</w:t>
      </w:r>
      <w:r>
        <w:rPr>
          <w:rFonts w:hint="eastAsia" w:ascii="宋体" w:hAnsi="宋体" w:cs="宋体"/>
          <w:color w:val="auto"/>
          <w:sz w:val="24"/>
          <w:szCs w:val="24"/>
        </w:rPr>
        <w:t>号</w:t>
      </w:r>
    </w:p>
    <w:p>
      <w:pPr>
        <w:spacing w:line="360" w:lineRule="auto"/>
        <w:jc w:val="center"/>
        <w:outlineLvl w:val="0"/>
        <w:rPr>
          <w:rFonts w:ascii="宋体"/>
          <w:b/>
          <w:bCs/>
          <w:color w:val="auto"/>
          <w:sz w:val="36"/>
          <w:szCs w:val="36"/>
        </w:rPr>
      </w:pPr>
      <w:r>
        <w:rPr>
          <w:rFonts w:ascii="宋体"/>
          <w:b/>
          <w:bCs/>
          <w:color w:val="auto"/>
          <w:sz w:val="36"/>
          <w:szCs w:val="36"/>
        </w:rPr>
        <w:br w:type="page"/>
      </w:r>
      <w:bookmarkStart w:id="15" w:name="_Toc29834"/>
      <w:bookmarkStart w:id="16" w:name="_Toc546"/>
      <w:bookmarkStart w:id="17" w:name="_Toc32101"/>
      <w:bookmarkStart w:id="18" w:name="_Toc24505"/>
      <w:r>
        <w:rPr>
          <w:rStyle w:val="43"/>
          <w:rFonts w:hint="eastAsia" w:cs="宋体"/>
          <w:color w:val="auto"/>
          <w:sz w:val="36"/>
          <w:szCs w:val="36"/>
        </w:rPr>
        <w:t>第二部分</w:t>
      </w:r>
      <w:bookmarkEnd w:id="5"/>
      <w:r>
        <w:rPr>
          <w:rStyle w:val="43"/>
          <w:color w:val="auto"/>
          <w:sz w:val="36"/>
          <w:szCs w:val="36"/>
        </w:rPr>
        <w:t xml:space="preserve"> </w:t>
      </w:r>
      <w:bookmarkEnd w:id="6"/>
      <w:r>
        <w:rPr>
          <w:rStyle w:val="43"/>
          <w:rFonts w:hint="eastAsia" w:cs="宋体"/>
          <w:color w:val="auto"/>
          <w:sz w:val="36"/>
          <w:szCs w:val="36"/>
        </w:rPr>
        <w:t>供应商须知</w:t>
      </w:r>
      <w:bookmarkEnd w:id="15"/>
      <w:bookmarkEnd w:id="16"/>
      <w:bookmarkEnd w:id="17"/>
      <w:bookmarkEnd w:id="18"/>
    </w:p>
    <w:p>
      <w:pPr>
        <w:widowControl/>
        <w:adjustRightInd w:val="0"/>
        <w:snapToGrid w:val="0"/>
        <w:spacing w:line="360" w:lineRule="auto"/>
        <w:jc w:val="center"/>
        <w:rPr>
          <w:rFonts w:ascii="宋体"/>
          <w:b/>
          <w:bCs/>
          <w:snapToGrid w:val="0"/>
          <w:color w:val="auto"/>
          <w:sz w:val="32"/>
          <w:szCs w:val="32"/>
        </w:rPr>
      </w:pPr>
      <w:r>
        <w:rPr>
          <w:rFonts w:hint="eastAsia" w:ascii="宋体" w:hAnsi="宋体" w:cs="宋体"/>
          <w:b/>
          <w:bCs/>
          <w:snapToGrid w:val="0"/>
          <w:color w:val="auto"/>
          <w:sz w:val="30"/>
          <w:szCs w:val="30"/>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序号</w:t>
            </w:r>
          </w:p>
        </w:tc>
        <w:tc>
          <w:tcPr>
            <w:tcW w:w="1800"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项目</w:t>
            </w:r>
          </w:p>
        </w:tc>
        <w:tc>
          <w:tcPr>
            <w:tcW w:w="6682"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项目名称</w:t>
            </w:r>
          </w:p>
        </w:tc>
        <w:tc>
          <w:tcPr>
            <w:tcW w:w="6682" w:type="dxa"/>
            <w:vAlign w:val="center"/>
          </w:tcPr>
          <w:p>
            <w:pPr>
              <w:bidi w:val="0"/>
              <w:ind w:firstLine="400" w:firstLineChars="200"/>
              <w:jc w:val="left"/>
              <w:rPr>
                <w:rFonts w:ascii="宋体"/>
                <w:snapToGrid w:val="0"/>
                <w:color w:val="auto"/>
              </w:rPr>
            </w:pPr>
            <w:r>
              <w:rPr>
                <w:rFonts w:hint="eastAsia" w:ascii="宋体" w:hAnsi="宋体" w:cs="宋体"/>
                <w:snapToGrid w:val="0"/>
                <w:color w:val="auto"/>
                <w:lang w:val="en-US" w:eastAsia="zh-CN" w:bidi="ar-SA"/>
              </w:rPr>
              <w:t>上虞区企业信用平台软件维保服务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2</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项目实施时间</w:t>
            </w:r>
          </w:p>
        </w:tc>
        <w:tc>
          <w:tcPr>
            <w:tcW w:w="6682" w:type="dxa"/>
            <w:vAlign w:val="center"/>
          </w:tcPr>
          <w:p>
            <w:pPr>
              <w:ind w:firstLine="402" w:firstLineChars="200"/>
              <w:rPr>
                <w:rFonts w:ascii="宋体"/>
                <w:b/>
                <w:bCs/>
                <w:color w:val="auto"/>
              </w:rPr>
            </w:pPr>
            <w:r>
              <w:rPr>
                <w:rFonts w:hint="eastAsia" w:ascii="宋体" w:hAnsi="宋体" w:cs="宋体"/>
                <w:b/>
                <w:snapToGrid w:val="0"/>
                <w:color w:val="auto"/>
                <w:kern w:val="0"/>
                <w:szCs w:val="21"/>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3</w:t>
            </w:r>
          </w:p>
        </w:tc>
        <w:tc>
          <w:tcPr>
            <w:tcW w:w="1800" w:type="dxa"/>
            <w:vAlign w:val="center"/>
          </w:tcPr>
          <w:p>
            <w:pPr>
              <w:snapToGrid w:val="0"/>
              <w:jc w:val="center"/>
              <w:rPr>
                <w:rFonts w:ascii="宋体"/>
                <w:b/>
                <w:bCs/>
                <w:snapToGrid w:val="0"/>
                <w:color w:val="auto"/>
              </w:rPr>
            </w:pPr>
            <w:r>
              <w:rPr>
                <w:rFonts w:hint="eastAsia" w:ascii="宋体" w:hAnsi="宋体" w:cs="宋体"/>
                <w:b/>
                <w:bCs/>
                <w:snapToGrid w:val="0"/>
                <w:color w:val="auto"/>
              </w:rPr>
              <w:t>最高限价</w:t>
            </w:r>
          </w:p>
        </w:tc>
        <w:tc>
          <w:tcPr>
            <w:tcW w:w="6682" w:type="dxa"/>
            <w:vAlign w:val="center"/>
          </w:tcPr>
          <w:p>
            <w:pPr>
              <w:snapToGrid w:val="0"/>
              <w:ind w:firstLine="400" w:firstLineChars="200"/>
              <w:rPr>
                <w:rFonts w:ascii="宋体"/>
                <w:b/>
                <w:bCs/>
                <w:snapToGrid w:val="0"/>
                <w:color w:val="auto"/>
              </w:rPr>
            </w:pPr>
            <w:r>
              <w:rPr>
                <w:rFonts w:hint="eastAsia" w:ascii="宋体" w:hAnsi="宋体" w:cs="宋体"/>
                <w:color w:val="auto"/>
              </w:rPr>
              <w:t>本项目最高限价人民币</w:t>
            </w:r>
            <w:r>
              <w:rPr>
                <w:rFonts w:hint="eastAsia" w:ascii="宋体" w:hAnsi="宋体" w:cs="宋体"/>
                <w:color w:val="auto"/>
                <w:u w:val="single"/>
                <w:lang w:val="en-US" w:eastAsia="zh-CN"/>
              </w:rPr>
              <w:t>30</w:t>
            </w:r>
            <w:r>
              <w:rPr>
                <w:rFonts w:hint="eastAsia" w:ascii="宋体" w:hAnsi="宋体" w:cs="宋体"/>
                <w:color w:val="auto"/>
              </w:rPr>
              <w:t xml:space="preserve">万元。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 xml:space="preserve">                                                                                                   4</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资格审查方式</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5</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踏勘现场</w:t>
            </w:r>
          </w:p>
        </w:tc>
        <w:tc>
          <w:tcPr>
            <w:tcW w:w="6682" w:type="dxa"/>
            <w:vAlign w:val="center"/>
          </w:tcPr>
          <w:p>
            <w:pPr>
              <w:snapToGrid w:val="0"/>
              <w:ind w:firstLine="402" w:firstLineChars="200"/>
              <w:rPr>
                <w:rFonts w:ascii="宋体"/>
                <w:snapToGrid w:val="0"/>
                <w:color w:val="auto"/>
              </w:rPr>
            </w:pPr>
            <w:r>
              <w:rPr>
                <w:rFonts w:hint="eastAsia" w:ascii="宋体" w:hAnsi="宋体" w:cs="宋体"/>
                <w:b/>
                <w:bCs/>
                <w:snapToGrid w:val="0"/>
                <w:color w:val="auto"/>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6</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询问</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供应商对政府采购活动事项有疑问的，可以向采购机构提出询问，采购人或者招标代理机构应当在</w:t>
            </w:r>
            <w:r>
              <w:rPr>
                <w:rFonts w:ascii="宋体" w:hAnsi="宋体" w:cs="宋体"/>
                <w:snapToGrid w:val="0"/>
                <w:color w:val="auto"/>
              </w:rPr>
              <w:t>3</w:t>
            </w:r>
            <w:r>
              <w:rPr>
                <w:rFonts w:hint="eastAsia" w:ascii="宋体" w:hAnsi="宋体" w:cs="宋体"/>
                <w:snapToGrid w:val="0"/>
                <w:color w:val="auto"/>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7</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磋商文件的澄清与修改</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采购单位可以对已发出的磋商文件进行必要澄清或者修改，澄清或者修改的内容可能影响响应文件编制的，应当在提交首次响应文件</w:t>
            </w:r>
            <w:r>
              <w:rPr>
                <w:rFonts w:hint="eastAsia" w:ascii="宋体" w:hAnsi="宋体" w:cs="宋体"/>
                <w:snapToGrid w:val="0"/>
                <w:color w:val="auto"/>
                <w:lang w:val="en-US" w:eastAsia="zh-CN"/>
              </w:rPr>
              <w:t>截止</w:t>
            </w:r>
            <w:r>
              <w:rPr>
                <w:rFonts w:hint="eastAsia" w:ascii="宋体" w:hAnsi="宋体" w:cs="宋体"/>
                <w:snapToGrid w:val="0"/>
                <w:color w:val="auto"/>
              </w:rPr>
              <w:t>时间至少</w:t>
            </w:r>
            <w:r>
              <w:rPr>
                <w:rFonts w:ascii="宋体" w:hAnsi="宋体" w:cs="宋体"/>
                <w:snapToGrid w:val="0"/>
                <w:color w:val="auto"/>
              </w:rPr>
              <w:t>5</w:t>
            </w:r>
            <w:r>
              <w:rPr>
                <w:rFonts w:hint="eastAsia" w:ascii="宋体" w:hAnsi="宋体" w:cs="宋体"/>
                <w:snapToGrid w:val="0"/>
                <w:color w:val="auto"/>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8</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磋商响应文件组成</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9</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评标办法</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10</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磋商响应文件递交地址及截止时间</w:t>
            </w:r>
          </w:p>
        </w:tc>
        <w:tc>
          <w:tcPr>
            <w:tcW w:w="6682" w:type="dxa"/>
            <w:vAlign w:val="center"/>
          </w:tcPr>
          <w:p>
            <w:pPr>
              <w:snapToGrid w:val="0"/>
              <w:ind w:firstLine="400" w:firstLineChars="200"/>
              <w:rPr>
                <w:rFonts w:ascii="宋体"/>
                <w:color w:val="auto"/>
              </w:rPr>
            </w:pPr>
            <w:r>
              <w:rPr>
                <w:rFonts w:hint="eastAsia" w:ascii="宋体" w:hAnsi="宋体" w:cs="宋体"/>
                <w:snapToGrid w:val="0"/>
                <w:color w:val="auto"/>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11</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开标时间、地点</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开标时间：</w:t>
            </w:r>
            <w:r>
              <w:rPr>
                <w:rFonts w:hint="eastAsia" w:ascii="宋体" w:hAnsi="宋体" w:cs="宋体"/>
                <w:color w:val="auto"/>
              </w:rPr>
              <w:t>详见磋商公告</w:t>
            </w:r>
          </w:p>
          <w:p>
            <w:pPr>
              <w:snapToGrid w:val="0"/>
              <w:ind w:firstLine="400" w:firstLineChars="200"/>
              <w:rPr>
                <w:rFonts w:ascii="宋体"/>
                <w:color w:val="auto"/>
              </w:rPr>
            </w:pPr>
            <w:r>
              <w:rPr>
                <w:rFonts w:hint="eastAsia" w:ascii="宋体" w:hAnsi="宋体" w:cs="宋体"/>
                <w:snapToGrid w:val="0"/>
                <w:color w:val="auto"/>
              </w:rPr>
              <w:t>开标地点：</w:t>
            </w:r>
            <w:r>
              <w:rPr>
                <w:rFonts w:hint="eastAsia" w:ascii="宋体" w:hAnsi="宋体" w:cs="宋体"/>
                <w:color w:val="auto"/>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12</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磋商响应文件有效期</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响应文件有效期为从提交响应文件的截止之日起</w:t>
            </w:r>
            <w:r>
              <w:rPr>
                <w:rFonts w:ascii="宋体" w:hAnsi="宋体" w:cs="宋体"/>
                <w:snapToGrid w:val="0"/>
                <w:color w:val="auto"/>
              </w:rPr>
              <w:t>90</w:t>
            </w:r>
            <w:r>
              <w:rPr>
                <w:rFonts w:hint="eastAsia" w:ascii="宋体" w:hAnsi="宋体" w:cs="宋体"/>
                <w:snapToGrid w:val="0"/>
                <w:color w:val="auto"/>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13</w:t>
            </w:r>
          </w:p>
        </w:tc>
        <w:tc>
          <w:tcPr>
            <w:tcW w:w="1800" w:type="dxa"/>
            <w:vAlign w:val="center"/>
          </w:tcPr>
          <w:p>
            <w:pPr>
              <w:snapToGrid w:val="0"/>
              <w:jc w:val="center"/>
              <w:rPr>
                <w:rFonts w:ascii="宋体"/>
                <w:snapToGrid w:val="0"/>
                <w:color w:val="auto"/>
                <w:highlight w:val="yellow"/>
              </w:rPr>
            </w:pPr>
            <w:r>
              <w:rPr>
                <w:rFonts w:hint="eastAsia" w:ascii="宋体" w:hAnsi="宋体" w:cs="宋体"/>
                <w:snapToGrid w:val="0"/>
                <w:color w:val="auto"/>
                <w:highlight w:val="none"/>
              </w:rPr>
              <w:t>履约保证金</w:t>
            </w:r>
          </w:p>
        </w:tc>
        <w:tc>
          <w:tcPr>
            <w:tcW w:w="6682" w:type="dxa"/>
            <w:vAlign w:val="center"/>
          </w:tcPr>
          <w:p>
            <w:pPr>
              <w:pStyle w:val="13"/>
              <w:snapToGrid w:val="0"/>
              <w:ind w:firstLine="400" w:firstLineChars="200"/>
              <w:rPr>
                <w:rFonts w:hAnsi="宋体" w:cs="Times New Roman"/>
                <w:color w:val="auto"/>
                <w:highlight w:val="yellow"/>
              </w:rPr>
            </w:pPr>
            <w:r>
              <w:rPr>
                <w:rFonts w:hint="eastAsia" w:hAnsi="宋体"/>
                <w:snapToGrid w:val="0"/>
                <w:color w:val="auto"/>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14</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磋商公告及成交结果公告发布媒体</w:t>
            </w:r>
          </w:p>
        </w:tc>
        <w:tc>
          <w:tcPr>
            <w:tcW w:w="6682" w:type="dxa"/>
            <w:vAlign w:val="center"/>
          </w:tcPr>
          <w:p>
            <w:pPr>
              <w:pStyle w:val="13"/>
              <w:snapToGrid w:val="0"/>
              <w:ind w:firstLine="400" w:firstLineChars="200"/>
              <w:rPr>
                <w:rFonts w:hAnsi="宋体" w:cs="Times New Roman"/>
                <w:color w:val="auto"/>
              </w:rPr>
            </w:pPr>
            <w:r>
              <w:rPr>
                <w:rFonts w:hint="eastAsia" w:hAnsi="宋体"/>
                <w:color w:val="auto"/>
              </w:rPr>
              <w:t>浙江省政府采购网、</w:t>
            </w:r>
            <w:r>
              <w:rPr>
                <w:rFonts w:hAnsi="宋体"/>
                <w:color w:val="auto"/>
              </w:rPr>
              <w:t xml:space="preserve"> </w:t>
            </w:r>
            <w:r>
              <w:rPr>
                <w:rFonts w:hint="eastAsia" w:hAnsi="宋体"/>
                <w:color w:val="auto"/>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color w:val="auto"/>
              </w:rPr>
            </w:pPr>
            <w:r>
              <w:rPr>
                <w:rFonts w:ascii="宋体" w:hAnsi="宋体" w:cs="宋体"/>
                <w:color w:val="auto"/>
              </w:rPr>
              <w:t>15</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质疑</w:t>
            </w:r>
          </w:p>
        </w:tc>
        <w:tc>
          <w:tcPr>
            <w:tcW w:w="6682" w:type="dxa"/>
            <w:vAlign w:val="center"/>
          </w:tcPr>
          <w:p>
            <w:pPr>
              <w:ind w:firstLine="400" w:firstLineChars="200"/>
              <w:jc w:val="left"/>
              <w:rPr>
                <w:rFonts w:ascii="宋体"/>
                <w:color w:val="auto"/>
              </w:rPr>
            </w:pPr>
            <w:r>
              <w:rPr>
                <w:rFonts w:hint="eastAsia" w:ascii="宋体" w:hAnsi="宋体" w:cs="宋体"/>
                <w:color w:val="auto"/>
              </w:rPr>
              <w:t>根据《中华人民共和国政府采购法》第五十二条、《中华人民共和国政府采购法实施条例》第五十三条、《浙江省政府采购供应商质疑处理办法》的规定：</w:t>
            </w:r>
          </w:p>
          <w:p>
            <w:pPr>
              <w:ind w:firstLine="400" w:firstLineChars="200"/>
              <w:jc w:val="left"/>
              <w:rPr>
                <w:rFonts w:ascii="宋体"/>
                <w:color w:val="auto"/>
              </w:rPr>
            </w:pPr>
            <w:r>
              <w:rPr>
                <w:rFonts w:hint="eastAsia" w:ascii="宋体" w:hAnsi="宋体" w:cs="宋体"/>
                <w:color w:val="auto"/>
              </w:rPr>
              <w:t>供应商认为磋商文件使自己的权益受到损害的，可以在磋商文件公告期限届满之日起</w:t>
            </w:r>
            <w:r>
              <w:rPr>
                <w:rFonts w:ascii="宋体" w:hAnsi="宋体" w:cs="宋体"/>
                <w:color w:val="auto"/>
              </w:rPr>
              <w:t>7</w:t>
            </w:r>
            <w:r>
              <w:rPr>
                <w:rFonts w:hint="eastAsia" w:ascii="宋体" w:hAnsi="宋体" w:cs="宋体"/>
                <w:color w:val="auto"/>
              </w:rPr>
              <w:t>个工作日内，以书面形式向采购人和采购代理机构提出质疑。供应商在法定质疑期内应一次性提出针对同一采购程序环节的质疑。</w:t>
            </w:r>
          </w:p>
          <w:p>
            <w:pPr>
              <w:ind w:firstLine="400" w:firstLineChars="200"/>
              <w:jc w:val="left"/>
              <w:rPr>
                <w:rFonts w:ascii="宋体"/>
                <w:color w:val="auto"/>
              </w:rPr>
            </w:pPr>
            <w:r>
              <w:rPr>
                <w:rFonts w:hint="eastAsia" w:ascii="宋体" w:hAnsi="宋体" w:cs="宋体"/>
                <w:color w:val="auto"/>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宋体"/>
                <w:snapToGrid w:val="0"/>
                <w:color w:val="auto"/>
              </w:rPr>
            </w:pPr>
            <w:r>
              <w:rPr>
                <w:rFonts w:hint="eastAsia" w:ascii="宋体" w:hAnsi="宋体" w:cs="宋体"/>
                <w:color w:val="auto"/>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16</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投诉</w:t>
            </w:r>
          </w:p>
        </w:tc>
        <w:tc>
          <w:tcPr>
            <w:tcW w:w="6682" w:type="dxa"/>
            <w:vAlign w:val="center"/>
          </w:tcPr>
          <w:p>
            <w:pPr>
              <w:snapToGrid w:val="0"/>
              <w:ind w:firstLine="400" w:firstLineChars="200"/>
              <w:jc w:val="left"/>
              <w:rPr>
                <w:rFonts w:ascii="宋体"/>
                <w:snapToGrid w:val="0"/>
                <w:color w:val="auto"/>
              </w:rPr>
            </w:pPr>
            <w:r>
              <w:rPr>
                <w:rFonts w:hint="eastAsia" w:ascii="宋体" w:hAnsi="宋体" w:cs="宋体"/>
                <w:snapToGrid w:val="0"/>
                <w:color w:val="auto"/>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17</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特别说明</w:t>
            </w:r>
          </w:p>
        </w:tc>
        <w:tc>
          <w:tcPr>
            <w:tcW w:w="6682" w:type="dxa"/>
            <w:vAlign w:val="center"/>
          </w:tcPr>
          <w:p>
            <w:pPr>
              <w:pStyle w:val="13"/>
              <w:snapToGrid w:val="0"/>
              <w:ind w:firstLine="400" w:firstLineChars="200"/>
              <w:rPr>
                <w:rFonts w:hAnsi="宋体" w:cs="Times New Roman"/>
                <w:color w:val="auto"/>
              </w:rPr>
            </w:pPr>
            <w:r>
              <w:rPr>
                <w:rFonts w:hint="eastAsia" w:hAnsi="宋体"/>
                <w:color w:val="auto"/>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3"/>
              <w:snapToGrid w:val="0"/>
              <w:ind w:firstLine="400" w:firstLineChars="200"/>
              <w:rPr>
                <w:rFonts w:hAnsi="宋体" w:cs="Times New Roman"/>
                <w:color w:val="auto"/>
              </w:rPr>
            </w:pPr>
            <w:r>
              <w:rPr>
                <w:rFonts w:hint="eastAsia" w:hAnsi="宋体"/>
                <w:color w:val="auto"/>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ind w:firstLine="400" w:firstLineChars="200"/>
              <w:rPr>
                <w:rFonts w:hAnsi="宋体" w:cs="Times New Roman"/>
                <w:color w:val="auto"/>
              </w:rPr>
            </w:pPr>
            <w:r>
              <w:rPr>
                <w:rFonts w:hint="eastAsia" w:hAnsi="宋体"/>
                <w:color w:val="auto"/>
              </w:rPr>
              <w:t>质疑、投诉人未按前列进行质疑、投诉（申诉），均属于扰乱政府采购市场不良行为。</w:t>
            </w:r>
          </w:p>
          <w:p>
            <w:pPr>
              <w:pStyle w:val="13"/>
              <w:snapToGrid w:val="0"/>
              <w:ind w:firstLine="400" w:firstLineChars="200"/>
              <w:rPr>
                <w:rFonts w:hAnsi="宋体" w:cs="Times New Roman"/>
                <w:b/>
                <w:bCs/>
                <w:color w:val="auto"/>
              </w:rPr>
            </w:pPr>
            <w:r>
              <w:rPr>
                <w:rFonts w:hint="eastAsia" w:hAnsi="宋体"/>
                <w:color w:val="auto"/>
              </w:rPr>
              <w:t>磋商文件中凡标注“★”的条款均为实质性要求，不响应的响应文件将作无效标处理。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w:t>
            </w:r>
            <w:r>
              <w:rPr>
                <w:rFonts w:hint="eastAsia" w:ascii="宋体" w:hAnsi="宋体" w:cs="宋体"/>
                <w:snapToGrid w:val="0"/>
                <w:color w:val="auto"/>
              </w:rPr>
              <w:t>8</w:t>
            </w:r>
          </w:p>
        </w:tc>
        <w:tc>
          <w:tcPr>
            <w:tcW w:w="1800" w:type="dxa"/>
            <w:vAlign w:val="center"/>
          </w:tcPr>
          <w:p>
            <w:pPr>
              <w:snapToGrid w:val="0"/>
              <w:jc w:val="center"/>
              <w:rPr>
                <w:rFonts w:ascii="宋体"/>
                <w:color w:val="auto"/>
              </w:rPr>
            </w:pPr>
            <w:r>
              <w:rPr>
                <w:rFonts w:hint="eastAsia" w:ascii="宋体" w:hAnsi="宋体" w:cs="宋体"/>
                <w:color w:val="auto"/>
              </w:rPr>
              <w:t>支</w:t>
            </w:r>
          </w:p>
          <w:p>
            <w:pPr>
              <w:snapToGrid w:val="0"/>
              <w:jc w:val="center"/>
              <w:rPr>
                <w:rFonts w:ascii="宋体"/>
                <w:color w:val="auto"/>
              </w:rPr>
            </w:pPr>
            <w:r>
              <w:rPr>
                <w:rFonts w:hint="eastAsia" w:ascii="宋体" w:hAnsi="宋体" w:cs="宋体"/>
                <w:color w:val="auto"/>
              </w:rPr>
              <w:t>持</w:t>
            </w:r>
          </w:p>
          <w:p>
            <w:pPr>
              <w:snapToGrid w:val="0"/>
              <w:jc w:val="center"/>
              <w:rPr>
                <w:rFonts w:ascii="宋体"/>
                <w:color w:val="auto"/>
              </w:rPr>
            </w:pPr>
            <w:r>
              <w:rPr>
                <w:rFonts w:hint="eastAsia" w:ascii="宋体" w:hAnsi="宋体" w:cs="宋体"/>
                <w:color w:val="auto"/>
              </w:rPr>
              <w:t>中</w:t>
            </w:r>
          </w:p>
          <w:p>
            <w:pPr>
              <w:snapToGrid w:val="0"/>
              <w:jc w:val="center"/>
              <w:rPr>
                <w:rFonts w:ascii="宋体"/>
                <w:color w:val="auto"/>
              </w:rPr>
            </w:pPr>
            <w:r>
              <w:rPr>
                <w:rFonts w:hint="eastAsia" w:ascii="宋体" w:hAnsi="宋体" w:cs="宋体"/>
                <w:color w:val="auto"/>
              </w:rPr>
              <w:t>小</w:t>
            </w:r>
          </w:p>
          <w:p>
            <w:pPr>
              <w:snapToGrid w:val="0"/>
              <w:jc w:val="center"/>
              <w:rPr>
                <w:rFonts w:ascii="宋体"/>
                <w:color w:val="auto"/>
              </w:rPr>
            </w:pPr>
            <w:r>
              <w:rPr>
                <w:rFonts w:hint="eastAsia" w:ascii="宋体" w:hAnsi="宋体" w:cs="宋体"/>
                <w:color w:val="auto"/>
              </w:rPr>
              <w:t>企</w:t>
            </w:r>
          </w:p>
          <w:p>
            <w:pPr>
              <w:snapToGrid w:val="0"/>
              <w:jc w:val="center"/>
              <w:rPr>
                <w:rFonts w:ascii="宋体"/>
                <w:color w:val="auto"/>
              </w:rPr>
            </w:pPr>
            <w:r>
              <w:rPr>
                <w:rFonts w:hint="eastAsia" w:ascii="宋体" w:hAnsi="宋体" w:cs="宋体"/>
                <w:color w:val="auto"/>
              </w:rPr>
              <w:t>业</w:t>
            </w:r>
          </w:p>
        </w:tc>
        <w:tc>
          <w:tcPr>
            <w:tcW w:w="6682" w:type="dxa"/>
            <w:vAlign w:val="center"/>
          </w:tcPr>
          <w:p>
            <w:pPr>
              <w:ind w:firstLine="40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0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bidi w:val="0"/>
              <w:spacing w:line="240" w:lineRule="auto"/>
              <w:ind w:firstLine="40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bidi w:val="0"/>
              <w:spacing w:line="240" w:lineRule="auto"/>
              <w:ind w:firstLine="40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pPr>
              <w:bidi w:val="0"/>
              <w:ind w:firstLine="400" w:firstLineChars="200"/>
              <w:rPr>
                <w:color w:val="auto"/>
                <w:highlight w:val="none"/>
              </w:rPr>
            </w:pPr>
            <w:bookmarkStart w:id="19" w:name="_Toc16526"/>
            <w:r>
              <w:rPr>
                <w:rFonts w:hint="eastAsia"/>
                <w:color w:val="auto"/>
                <w:highlight w:val="none"/>
              </w:rPr>
              <w:t>联合体各方均为小型、微型企业的，联合体视同为小型、微型企业。</w:t>
            </w:r>
            <w:bookmarkEnd w:id="19"/>
          </w:p>
          <w:p>
            <w:pPr>
              <w:ind w:firstLine="40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财政部</w:t>
            </w:r>
            <w:r>
              <w:rPr>
                <w:rFonts w:hint="eastAsia" w:ascii="宋体" w:hAnsi="宋体" w:eastAsia="宋体" w:cs="宋体"/>
                <w:color w:val="auto"/>
                <w:highlight w:val="none"/>
              </w:rPr>
              <w:t>的《关于进一步加大政府采购支持中小企业力度的通知》（</w:t>
            </w:r>
            <w:r>
              <w:rPr>
                <w:rFonts w:hint="eastAsia" w:ascii="宋体" w:hAnsi="宋体" w:eastAsia="宋体" w:cs="宋体"/>
                <w:color w:val="auto"/>
                <w:highlight w:val="none"/>
                <w:lang w:val="en-US" w:eastAsia="zh-CN"/>
              </w:rPr>
              <w:t>财库</w:t>
            </w:r>
            <w:r>
              <w:rPr>
                <w:rFonts w:hint="eastAsia" w:ascii="宋体" w:hAnsi="宋体" w:eastAsia="宋体" w:cs="宋体"/>
                <w:color w:val="auto"/>
                <w:highlight w:val="none"/>
              </w:rPr>
              <w:t>〔2022〕</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给予扣除，用扣除后的价格参加评审。</w:t>
            </w:r>
          </w:p>
          <w:p>
            <w:pPr>
              <w:ind w:firstLine="400" w:firstLineChars="200"/>
              <w:rPr>
                <w:rFonts w:ascii="宋体"/>
                <w:color w:val="auto"/>
              </w:rPr>
            </w:pPr>
            <w:r>
              <w:rPr>
                <w:rFonts w:hint="eastAsia" w:ascii="宋体" w:hAnsi="宋体" w:eastAsia="宋体" w:cs="宋体"/>
                <w:color w:val="auto"/>
                <w:highlight w:val="none"/>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19</w:t>
            </w:r>
          </w:p>
        </w:tc>
        <w:tc>
          <w:tcPr>
            <w:tcW w:w="1800" w:type="dxa"/>
            <w:vAlign w:val="center"/>
          </w:tcPr>
          <w:p>
            <w:pPr>
              <w:snapToGrid w:val="0"/>
              <w:jc w:val="center"/>
              <w:rPr>
                <w:rFonts w:ascii="宋体" w:hAnsi="宋体" w:cs="宋体"/>
                <w:color w:val="auto"/>
              </w:rPr>
            </w:pPr>
            <w:r>
              <w:rPr>
                <w:rFonts w:hint="eastAsia" w:ascii="宋体" w:hAnsi="宋体" w:cs="宋体"/>
                <w:color w:val="auto"/>
              </w:rPr>
              <w:t>招标代理服务费</w:t>
            </w:r>
          </w:p>
        </w:tc>
        <w:tc>
          <w:tcPr>
            <w:tcW w:w="6682" w:type="dxa"/>
            <w:vAlign w:val="center"/>
          </w:tcPr>
          <w:p>
            <w:pPr>
              <w:autoSpaceDN w:val="0"/>
              <w:spacing w:line="340" w:lineRule="exact"/>
              <w:rPr>
                <w:rFonts w:ascii="宋体" w:hAnsi="宋体" w:cs="宋体"/>
                <w:snapToGrid w:val="0"/>
                <w:color w:val="auto"/>
              </w:rPr>
            </w:pPr>
            <w:r>
              <w:rPr>
                <w:rFonts w:hint="eastAsia" w:ascii="宋体" w:hAnsi="宋体" w:cs="宋体"/>
                <w:snapToGrid w:val="0"/>
                <w:color w:val="auto"/>
              </w:rPr>
              <w:t>招标代理服务费由成交供应商支付，按下列服务招标计算方式计取。</w:t>
            </w:r>
          </w:p>
          <w:tbl>
            <w:tblPr>
              <w:tblStyle w:val="26"/>
              <w:tblW w:w="61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7"/>
              <w:gridCol w:w="1010"/>
              <w:gridCol w:w="1010"/>
              <w:gridCol w:w="9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pPr>
                    <w:pStyle w:val="23"/>
                    <w:jc w:val="center"/>
                    <w:rPr>
                      <w:color w:val="auto"/>
                      <w:sz w:val="21"/>
                      <w:szCs w:val="21"/>
                    </w:rPr>
                  </w:pPr>
                  <w:r>
                    <w:rPr>
                      <w:rFonts w:hint="eastAsia" w:ascii="宋体" w:hAnsi="宋体" w:eastAsia="宋体" w:cs="宋体"/>
                      <w:color w:val="auto"/>
                      <w:sz w:val="20"/>
                      <w:szCs w:val="20"/>
                      <w:lang w:val="en-US" w:eastAsia="zh-CN" w:bidi="ar-SA"/>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100以下</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100—500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0.8％</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500—1000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0.8％</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0.45％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1000—5000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5000—10000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r>
          </w:tbl>
          <w:p>
            <w:pPr>
              <w:spacing w:line="340" w:lineRule="exact"/>
              <w:ind w:firstLine="400" w:firstLineChars="200"/>
              <w:rPr>
                <w:rFonts w:ascii="宋体" w:hAnsi="宋体" w:cs="宋体"/>
                <w:snapToGrid w:val="0"/>
                <w:color w:val="auto"/>
              </w:rPr>
            </w:pPr>
            <w:r>
              <w:rPr>
                <w:rFonts w:hint="eastAsia" w:ascii="宋体" w:hAnsi="宋体" w:cs="宋体"/>
                <w:snapToGrid w:val="0"/>
                <w:color w:val="auto"/>
              </w:rPr>
              <w:t>结算方式及时间为：在领取</w:t>
            </w:r>
            <w:r>
              <w:rPr>
                <w:rFonts w:hint="eastAsia" w:ascii="宋体" w:hAnsi="宋体" w:cs="宋体"/>
                <w:snapToGrid w:val="0"/>
                <w:color w:val="auto"/>
                <w:lang w:eastAsia="zh-CN"/>
              </w:rPr>
              <w:t>成交</w:t>
            </w:r>
            <w:r>
              <w:rPr>
                <w:rFonts w:hint="eastAsia" w:ascii="宋体" w:hAnsi="宋体" w:cs="宋体"/>
                <w:snapToGrid w:val="0"/>
                <w:color w:val="auto"/>
              </w:rPr>
              <w:t>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color w:val="auto"/>
              </w:rPr>
            </w:pPr>
            <w:r>
              <w:rPr>
                <w:rFonts w:hint="eastAsia" w:ascii="宋体" w:hAnsi="宋体" w:cs="宋体"/>
                <w:snapToGrid w:val="0"/>
                <w:color w:val="auto"/>
              </w:rPr>
              <w:t>20</w:t>
            </w:r>
          </w:p>
        </w:tc>
        <w:tc>
          <w:tcPr>
            <w:tcW w:w="1800" w:type="dxa"/>
            <w:vAlign w:val="center"/>
          </w:tcPr>
          <w:p>
            <w:pPr>
              <w:snapToGrid w:val="0"/>
              <w:jc w:val="center"/>
              <w:rPr>
                <w:rFonts w:ascii="宋体"/>
                <w:color w:val="auto"/>
              </w:rPr>
            </w:pPr>
            <w:r>
              <w:rPr>
                <w:rFonts w:hint="eastAsia" w:ascii="宋体" w:hAnsi="宋体" w:cs="宋体"/>
                <w:color w:val="auto"/>
              </w:rPr>
              <w:t>是否允许分包</w:t>
            </w:r>
          </w:p>
        </w:tc>
        <w:tc>
          <w:tcPr>
            <w:tcW w:w="6682" w:type="dxa"/>
            <w:vAlign w:val="center"/>
          </w:tcPr>
          <w:p>
            <w:pPr>
              <w:ind w:firstLine="400" w:firstLineChars="200"/>
              <w:rPr>
                <w:rFonts w:ascii="宋体"/>
                <w:color w:val="auto"/>
              </w:rPr>
            </w:pPr>
            <w:r>
              <w:rPr>
                <w:rFonts w:hint="eastAsia" w:ascii="宋体" w:hAnsi="宋体" w:cs="宋体"/>
                <w:color w:val="auto"/>
              </w:rPr>
              <w:t>本项目</w:t>
            </w:r>
            <w:r>
              <w:rPr>
                <w:rFonts w:hint="eastAsia" w:ascii="宋体" w:hAnsi="宋体" w:cs="宋体"/>
                <w:color w:val="auto"/>
                <w:u w:val="single"/>
              </w:rPr>
              <w:t>不允许</w:t>
            </w:r>
            <w:r>
              <w:rPr>
                <w:rFonts w:hint="eastAsia" w:ascii="宋体" w:hAnsi="宋体" w:cs="宋体"/>
                <w:color w:val="auto"/>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21</w:t>
            </w:r>
          </w:p>
        </w:tc>
        <w:tc>
          <w:tcPr>
            <w:tcW w:w="1800" w:type="dxa"/>
            <w:tcBorders>
              <w:top w:val="single" w:color="auto" w:sz="4" w:space="0"/>
            </w:tcBorders>
            <w:vAlign w:val="center"/>
          </w:tcPr>
          <w:p>
            <w:pPr>
              <w:snapToGrid w:val="0"/>
              <w:jc w:val="center"/>
              <w:rPr>
                <w:rFonts w:ascii="宋体"/>
                <w:color w:val="auto"/>
              </w:rPr>
            </w:pPr>
            <w:r>
              <w:rPr>
                <w:rFonts w:hint="eastAsia" w:ascii="宋体" w:hAnsi="宋体" w:cs="宋体"/>
                <w:color w:val="auto"/>
              </w:rPr>
              <w:t>是否提供演示</w:t>
            </w:r>
          </w:p>
        </w:tc>
        <w:tc>
          <w:tcPr>
            <w:tcW w:w="6682" w:type="dxa"/>
            <w:tcBorders>
              <w:top w:val="single" w:color="auto" w:sz="4" w:space="0"/>
            </w:tcBorders>
            <w:vAlign w:val="center"/>
          </w:tcPr>
          <w:p>
            <w:pPr>
              <w:ind w:firstLine="400" w:firstLineChars="200"/>
              <w:rPr>
                <w:rFonts w:ascii="宋体" w:hAnsi="宋体" w:cs="宋体"/>
                <w:b/>
                <w:bCs/>
                <w:color w:val="auto"/>
              </w:rPr>
            </w:pPr>
            <w:r>
              <w:rPr>
                <w:rFonts w:hint="eastAsia" w:ascii="宋体" w:hAnsi="宋体" w:cs="宋体"/>
                <w:color w:val="auto"/>
                <w:szCs w:val="21"/>
              </w:rPr>
              <w:t>本项目</w:t>
            </w:r>
            <w:r>
              <w:rPr>
                <w:rFonts w:hint="eastAsia" w:ascii="宋体" w:hAnsi="宋体" w:cs="宋体"/>
                <w:color w:val="auto"/>
                <w:szCs w:val="21"/>
                <w:u w:val="single"/>
              </w:rPr>
              <w:t xml:space="preserve"> </w:t>
            </w:r>
            <w:r>
              <w:rPr>
                <w:rFonts w:hint="eastAsia" w:ascii="宋体" w:hAnsi="宋体" w:cs="宋体"/>
                <w:b/>
                <w:bCs/>
                <w:color w:val="auto"/>
                <w:szCs w:val="21"/>
                <w:u w:val="single"/>
                <w:lang w:val="en-US" w:eastAsia="zh-CN"/>
              </w:rPr>
              <w:t>不</w:t>
            </w:r>
            <w:r>
              <w:rPr>
                <w:rFonts w:hint="eastAsia" w:ascii="宋体" w:hAnsi="宋体" w:cs="宋体"/>
                <w:b/>
                <w:bCs/>
                <w:color w:val="auto"/>
                <w:szCs w:val="21"/>
                <w:u w:val="single"/>
              </w:rPr>
              <w:t>需要</w:t>
            </w:r>
            <w:r>
              <w:rPr>
                <w:rFonts w:ascii="宋体" w:hAnsi="宋体" w:cs="宋体"/>
                <w:color w:val="auto"/>
                <w:szCs w:val="21"/>
                <w:u w:val="single"/>
              </w:rPr>
              <w:t xml:space="preserve"> </w:t>
            </w:r>
            <w:r>
              <w:rPr>
                <w:rFonts w:hint="eastAsia" w:ascii="宋体" w:hAnsi="宋体" w:cs="宋体"/>
                <w:color w:val="auto"/>
                <w:szCs w:val="21"/>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22</w:t>
            </w:r>
          </w:p>
        </w:tc>
        <w:tc>
          <w:tcPr>
            <w:tcW w:w="1800" w:type="dxa"/>
            <w:vAlign w:val="center"/>
          </w:tcPr>
          <w:p>
            <w:pPr>
              <w:snapToGrid w:val="0"/>
              <w:jc w:val="center"/>
              <w:rPr>
                <w:rFonts w:ascii="宋体"/>
                <w:color w:val="auto"/>
              </w:rPr>
            </w:pPr>
            <w:r>
              <w:rPr>
                <w:rFonts w:hint="eastAsia" w:ascii="宋体" w:hAnsi="宋体" w:cs="宋体"/>
                <w:color w:val="auto"/>
              </w:rPr>
              <w:t>供应商信用信息查询渠道及截止时点、信用信息查询记录和证据留存的具体方式、信用信息的使用规则</w:t>
            </w:r>
          </w:p>
        </w:tc>
        <w:tc>
          <w:tcPr>
            <w:tcW w:w="6682" w:type="dxa"/>
            <w:vAlign w:val="center"/>
          </w:tcPr>
          <w:p>
            <w:pPr>
              <w:ind w:firstLine="400" w:firstLineChars="200"/>
              <w:rPr>
                <w:rFonts w:ascii="宋体"/>
                <w:color w:val="auto"/>
              </w:rPr>
            </w:pPr>
            <w:r>
              <w:rPr>
                <w:rFonts w:ascii="宋体" w:hAnsi="宋体" w:cs="宋体"/>
                <w:color w:val="auto"/>
              </w:rPr>
              <w:t>1</w:t>
            </w:r>
            <w:r>
              <w:rPr>
                <w:rFonts w:hint="eastAsia" w:ascii="宋体" w:hAnsi="宋体" w:cs="宋体"/>
                <w:color w:val="auto"/>
              </w:rPr>
              <w:t>、查询渠道：信用中国（网址：</w:t>
            </w:r>
            <w:r>
              <w:rPr>
                <w:rFonts w:ascii="宋体" w:hAnsi="宋体" w:cs="宋体"/>
                <w:color w:val="auto"/>
              </w:rPr>
              <w:t>http://www.creditchina.gov.cn</w:t>
            </w:r>
            <w:r>
              <w:rPr>
                <w:rFonts w:hint="eastAsia" w:ascii="宋体" w:hAnsi="宋体" w:cs="宋体"/>
                <w:color w:val="auto"/>
              </w:rPr>
              <w:t>）、中国政府采购网</w:t>
            </w:r>
            <w:r>
              <w:rPr>
                <w:rFonts w:ascii="宋体" w:hAnsi="宋体" w:cs="宋体"/>
                <w:color w:val="auto"/>
              </w:rPr>
              <w:t>(</w:t>
            </w:r>
            <w:r>
              <w:rPr>
                <w:rFonts w:hint="eastAsia" w:ascii="宋体" w:hAnsi="宋体" w:cs="宋体"/>
                <w:color w:val="auto"/>
              </w:rPr>
              <w:t>网址：</w:t>
            </w:r>
            <w:r>
              <w:rPr>
                <w:rFonts w:ascii="宋体" w:hAnsi="宋体" w:cs="宋体"/>
                <w:color w:val="auto"/>
              </w:rPr>
              <w:t>http://www.ccgp.gov.cn</w:t>
            </w:r>
            <w:r>
              <w:rPr>
                <w:rFonts w:hint="eastAsia" w:ascii="宋体" w:hAnsi="宋体" w:cs="宋体"/>
                <w:color w:val="auto"/>
              </w:rPr>
              <w:t>）。</w:t>
            </w:r>
          </w:p>
          <w:p>
            <w:pPr>
              <w:ind w:firstLine="400" w:firstLineChars="200"/>
              <w:rPr>
                <w:rFonts w:ascii="宋体"/>
                <w:color w:val="auto"/>
              </w:rPr>
            </w:pPr>
            <w:r>
              <w:rPr>
                <w:rFonts w:ascii="宋体" w:hAnsi="宋体" w:cs="宋体"/>
                <w:color w:val="auto"/>
              </w:rPr>
              <w:t>2</w:t>
            </w:r>
            <w:r>
              <w:rPr>
                <w:rFonts w:hint="eastAsia" w:ascii="宋体" w:hAnsi="宋体" w:cs="宋体"/>
                <w:color w:val="auto"/>
              </w:rPr>
              <w:t>、截止时点：开标后评标前。</w:t>
            </w:r>
          </w:p>
          <w:p>
            <w:pPr>
              <w:ind w:firstLine="400" w:firstLineChars="200"/>
              <w:rPr>
                <w:rFonts w:ascii="宋体"/>
                <w:color w:val="auto"/>
              </w:rPr>
            </w:pPr>
            <w:r>
              <w:rPr>
                <w:rFonts w:ascii="宋体" w:hAnsi="宋体" w:cs="宋体"/>
                <w:color w:val="auto"/>
              </w:rPr>
              <w:t>3</w:t>
            </w:r>
            <w:r>
              <w:rPr>
                <w:rFonts w:hint="eastAsia" w:ascii="宋体" w:hAnsi="宋体" w:cs="宋体"/>
                <w:color w:val="auto"/>
              </w:rPr>
              <w:t>、信用信息查询记录和证据留存的具体方式：由采购组织机构在规定查询时间内打印信用信息查询记录并归入项目档案。</w:t>
            </w:r>
          </w:p>
          <w:p>
            <w:pPr>
              <w:ind w:firstLine="400" w:firstLineChars="200"/>
              <w:rPr>
                <w:rFonts w:ascii="宋体"/>
                <w:color w:val="auto"/>
              </w:rPr>
            </w:pPr>
            <w:r>
              <w:rPr>
                <w:rFonts w:ascii="宋体" w:hAnsi="宋体" w:cs="宋体"/>
                <w:color w:val="auto"/>
              </w:rPr>
              <w:t>4</w:t>
            </w:r>
            <w:r>
              <w:rPr>
                <w:rFonts w:hint="eastAsia" w:ascii="宋体" w:hAnsi="宋体" w:cs="宋体"/>
                <w:color w:val="auto"/>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23</w:t>
            </w:r>
          </w:p>
        </w:tc>
        <w:tc>
          <w:tcPr>
            <w:tcW w:w="1800" w:type="dxa"/>
            <w:vAlign w:val="center"/>
          </w:tcPr>
          <w:p>
            <w:pPr>
              <w:snapToGrid w:val="0"/>
              <w:jc w:val="center"/>
              <w:rPr>
                <w:rFonts w:ascii="宋体"/>
                <w:color w:val="auto"/>
              </w:rPr>
            </w:pPr>
            <w:r>
              <w:rPr>
                <w:rFonts w:hint="eastAsia" w:ascii="宋体" w:hAnsi="宋体" w:cs="宋体"/>
                <w:color w:val="auto"/>
              </w:rPr>
              <w:t>金融支持</w:t>
            </w:r>
          </w:p>
        </w:tc>
        <w:tc>
          <w:tcPr>
            <w:tcW w:w="6682" w:type="dxa"/>
            <w:vAlign w:val="center"/>
          </w:tcPr>
          <w:p>
            <w:pPr>
              <w:ind w:firstLine="400" w:firstLineChars="200"/>
              <w:rPr>
                <w:rFonts w:ascii="宋体"/>
                <w:color w:val="auto"/>
              </w:rPr>
            </w:pPr>
            <w:r>
              <w:rPr>
                <w:rFonts w:hint="eastAsia" w:ascii="宋体" w:hAnsi="宋体" w:cs="宋体"/>
                <w:color w:val="auto"/>
              </w:rPr>
              <w:t>为支持和促进中小企业发展，进一步发挥政府采购政策功能，浙江省财政厅出台浙财采监〔</w:t>
            </w:r>
            <w:r>
              <w:rPr>
                <w:rFonts w:ascii="宋体" w:hAnsi="宋体" w:cs="宋体"/>
                <w:color w:val="auto"/>
              </w:rPr>
              <w:t>2020</w:t>
            </w: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号文件，企业若有融资意向，可登陆政采云平台融资服务（</w:t>
            </w:r>
            <w:r>
              <w:rPr>
                <w:rFonts w:ascii="宋体" w:hAnsi="宋体" w:cs="宋体"/>
                <w:color w:val="auto"/>
              </w:rPr>
              <w:t>https://jinrong.zcygov.cn/</w:t>
            </w:r>
            <w:r>
              <w:rPr>
                <w:rFonts w:hint="eastAsia" w:ascii="宋体" w:hAnsi="宋体" w:cs="宋体"/>
                <w:color w:val="auto"/>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hint="eastAsia" w:ascii="宋体" w:hAnsi="宋体" w:cs="宋体"/>
                <w:snapToGrid w:val="0"/>
                <w:color w:val="auto"/>
              </w:rPr>
            </w:pPr>
            <w:r>
              <w:rPr>
                <w:rFonts w:hint="eastAsia" w:ascii="宋体" w:hAnsi="宋体" w:cs="宋体"/>
                <w:snapToGrid w:val="0"/>
                <w:color w:val="auto"/>
              </w:rPr>
              <w:t>2</w:t>
            </w:r>
            <w:r>
              <w:rPr>
                <w:rFonts w:ascii="宋体" w:hAnsi="宋体" w:cs="宋体"/>
                <w:snapToGrid w:val="0"/>
                <w:color w:val="auto"/>
              </w:rPr>
              <w:t>4</w:t>
            </w:r>
          </w:p>
        </w:tc>
        <w:tc>
          <w:tcPr>
            <w:tcW w:w="1800" w:type="dxa"/>
            <w:vMerge w:val="restart"/>
            <w:vAlign w:val="center"/>
          </w:tcPr>
          <w:p>
            <w:pPr>
              <w:snapToGrid w:val="0"/>
              <w:jc w:val="center"/>
              <w:rPr>
                <w:rFonts w:hint="eastAsia" w:ascii="宋体" w:hAnsi="宋体" w:cs="宋体"/>
                <w:color w:val="auto"/>
              </w:rPr>
            </w:pPr>
            <w:r>
              <w:rPr>
                <w:rFonts w:hint="eastAsia" w:ascii="宋体" w:hAnsi="宋体" w:cs="宋体"/>
                <w:color w:val="auto"/>
              </w:rPr>
              <w:t>预付款</w:t>
            </w: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70  %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hint="eastAsia" w:ascii="宋体" w:hAnsi="宋体" w:cs="宋体"/>
                <w:snapToGrid w:val="0"/>
                <w:color w:val="auto"/>
              </w:rPr>
            </w:pPr>
          </w:p>
        </w:tc>
        <w:tc>
          <w:tcPr>
            <w:tcW w:w="1800" w:type="dxa"/>
            <w:vMerge w:val="continue"/>
            <w:vAlign w:val="center"/>
          </w:tcPr>
          <w:p>
            <w:pPr>
              <w:snapToGrid w:val="0"/>
              <w:jc w:val="center"/>
              <w:rPr>
                <w:rFonts w:hint="eastAsia" w:ascii="宋体" w:hAnsi="宋体" w:cs="宋体"/>
                <w:color w:val="auto"/>
              </w:rPr>
            </w:pP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rPr>
              <w:t>根据《浙江省财政厅关于进一步发挥政府采购政策功能全力推动经济稳进提质的通知》[浙财采监〔2022）3号]文件第二条第五点关于“进一步提高政府采购预付款比例”的规定：</w:t>
            </w:r>
          </w:p>
          <w:p>
            <w:pPr>
              <w:ind w:firstLine="400" w:firstLineChars="200"/>
              <w:rPr>
                <w:rFonts w:hint="eastAsia" w:ascii="宋体" w:hAnsi="宋体" w:cs="宋体"/>
                <w:color w:val="auto"/>
              </w:rPr>
            </w:pPr>
            <w:r>
              <w:rPr>
                <w:rFonts w:hint="eastAsia" w:ascii="宋体" w:hAnsi="宋体" w:cs="宋体"/>
                <w:color w:val="auto"/>
              </w:rPr>
              <w:t>1、采购单位应当在政府采购合同中约定预付款；</w:t>
            </w:r>
          </w:p>
          <w:p>
            <w:pPr>
              <w:ind w:firstLine="400" w:firstLineChars="200"/>
              <w:rPr>
                <w:rFonts w:hint="eastAsia" w:ascii="宋体" w:hAnsi="宋体" w:cs="宋体"/>
                <w:color w:val="auto"/>
              </w:rPr>
            </w:pPr>
            <w:r>
              <w:rPr>
                <w:rFonts w:hint="eastAsia" w:ascii="宋体" w:hAnsi="宋体" w:cs="宋体"/>
                <w:color w:val="auto"/>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00" w:firstLineChars="200"/>
              <w:rPr>
                <w:rFonts w:hint="eastAsia" w:ascii="宋体" w:hAnsi="宋体" w:cs="宋体"/>
                <w:color w:val="auto"/>
              </w:rPr>
            </w:pPr>
            <w:r>
              <w:rPr>
                <w:rFonts w:hint="eastAsia" w:ascii="宋体" w:hAnsi="宋体" w:cs="宋体"/>
                <w:color w:val="auto"/>
              </w:rPr>
              <w:t>3、本项目涉及投标人为大型企业，或者以人工投入为主且实行按月定期结算支付款项的，预付款可低于上述比例或者不约定预付款（相应字样应在合同中体现）。</w:t>
            </w:r>
          </w:p>
          <w:p>
            <w:pPr>
              <w:ind w:firstLine="400" w:firstLineChars="200"/>
              <w:rPr>
                <w:rFonts w:hint="eastAsia" w:ascii="宋体" w:hAnsi="宋体" w:cs="宋体"/>
                <w:color w:val="auto"/>
              </w:rPr>
            </w:pPr>
            <w:r>
              <w:rPr>
                <w:rFonts w:hint="eastAsia" w:ascii="宋体" w:hAnsi="宋体" w:cs="宋体"/>
                <w:color w:val="auto"/>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宋体"/>
                <w:snapToGrid w:val="0"/>
                <w:color w:val="auto"/>
              </w:rPr>
            </w:pPr>
            <w:r>
              <w:rPr>
                <w:rFonts w:ascii="宋体" w:hAnsi="宋体" w:cs="宋体"/>
                <w:snapToGrid w:val="0"/>
                <w:color w:val="auto"/>
              </w:rPr>
              <w:t>25</w:t>
            </w:r>
          </w:p>
        </w:tc>
        <w:tc>
          <w:tcPr>
            <w:tcW w:w="1800" w:type="dxa"/>
            <w:tcBorders>
              <w:bottom w:val="double" w:color="auto" w:sz="4" w:space="0"/>
            </w:tcBorders>
            <w:vAlign w:val="center"/>
          </w:tcPr>
          <w:p>
            <w:pPr>
              <w:snapToGrid w:val="0"/>
              <w:jc w:val="center"/>
              <w:rPr>
                <w:rFonts w:ascii="宋体"/>
                <w:color w:val="auto"/>
              </w:rPr>
            </w:pPr>
            <w:r>
              <w:rPr>
                <w:rFonts w:hint="eastAsia" w:ascii="宋体" w:hAnsi="宋体" w:cs="宋体"/>
                <w:color w:val="auto"/>
              </w:rPr>
              <w:t>其他</w:t>
            </w:r>
          </w:p>
        </w:tc>
        <w:tc>
          <w:tcPr>
            <w:tcW w:w="6682" w:type="dxa"/>
            <w:tcBorders>
              <w:bottom w:val="double" w:color="auto" w:sz="4" w:space="0"/>
            </w:tcBorders>
            <w:vAlign w:val="center"/>
          </w:tcPr>
          <w:p>
            <w:pPr>
              <w:ind w:firstLine="400" w:firstLineChars="200"/>
              <w:rPr>
                <w:rFonts w:hint="eastAsia"/>
                <w:color w:val="auto"/>
              </w:rPr>
            </w:pPr>
            <w:r>
              <w:rPr>
                <w:rFonts w:hint="eastAsia"/>
                <w:color w:val="auto"/>
                <w:lang w:val="en-US" w:eastAsia="zh-CN"/>
              </w:rPr>
              <w:t>1、</w:t>
            </w:r>
            <w:r>
              <w:rPr>
                <w:rFonts w:hint="eastAsia"/>
                <w:color w:val="auto"/>
              </w:rPr>
              <w:t>本磋商文件要求提供的身份证复印件皆需提供正反面，否则按不提供处理。</w:t>
            </w:r>
          </w:p>
          <w:p>
            <w:pPr>
              <w:ind w:firstLine="402"/>
              <w:rPr>
                <w:rFonts w:hint="eastAsia"/>
                <w:b/>
                <w:bCs/>
                <w:color w:val="auto"/>
              </w:rPr>
            </w:pPr>
            <w:r>
              <w:rPr>
                <w:rFonts w:hint="eastAsia"/>
                <w:color w:val="auto"/>
                <w:lang w:val="en-US" w:eastAsia="zh-CN"/>
              </w:rPr>
              <w:t>2、本项目货物如涉及柴油动力移动源，柴油动力移动源应当符合低排放要求。</w:t>
            </w:r>
          </w:p>
        </w:tc>
      </w:tr>
    </w:tbl>
    <w:p>
      <w:pPr>
        <w:pStyle w:val="7"/>
        <w:spacing w:line="360" w:lineRule="auto"/>
        <w:rPr>
          <w:rFonts w:ascii="宋体"/>
          <w:color w:val="auto"/>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rPr>
        <w:t>注：以上内容如有变化将另行通知。如通知其中某一内容发生变化，其余未提及的将不作变动。</w:t>
      </w:r>
    </w:p>
    <w:p>
      <w:pPr>
        <w:pStyle w:val="6"/>
        <w:numPr>
          <w:ilvl w:val="0"/>
          <w:numId w:val="9"/>
        </w:numPr>
        <w:jc w:val="center"/>
        <w:rPr>
          <w:rFonts w:hAnsi="宋体" w:cs="Times New Roman"/>
          <w:color w:val="auto"/>
        </w:rPr>
      </w:pPr>
      <w:r>
        <w:rPr>
          <w:rFonts w:hAnsi="宋体"/>
          <w:color w:val="auto"/>
        </w:rPr>
        <w:t xml:space="preserve"> </w:t>
      </w:r>
      <w:bookmarkStart w:id="20" w:name="_Toc16015"/>
      <w:bookmarkStart w:id="21" w:name="_Toc24554"/>
      <w:bookmarkStart w:id="22" w:name="_Toc25187"/>
      <w:r>
        <w:rPr>
          <w:rFonts w:hint="eastAsia" w:hAnsi="宋体"/>
          <w:color w:val="auto"/>
        </w:rPr>
        <w:t>总则</w:t>
      </w:r>
      <w:bookmarkEnd w:id="20"/>
      <w:bookmarkEnd w:id="21"/>
      <w:bookmarkEnd w:id="22"/>
    </w:p>
    <w:p>
      <w:pPr>
        <w:spacing w:line="336" w:lineRule="auto"/>
        <w:ind w:firstLine="480" w:firstLineChars="200"/>
        <w:rPr>
          <w:color w:val="auto"/>
          <w:sz w:val="24"/>
          <w:szCs w:val="24"/>
        </w:rPr>
      </w:pPr>
      <w:r>
        <w:rPr>
          <w:rFonts w:hint="eastAsia" w:cs="宋体"/>
          <w:color w:val="auto"/>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、适用范围</w:t>
      </w:r>
    </w:p>
    <w:p>
      <w:pPr>
        <w:spacing w:line="336" w:lineRule="auto"/>
        <w:ind w:firstLine="480" w:firstLineChars="200"/>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本次磋商工作仅适用于</w:t>
      </w:r>
      <w:r>
        <w:rPr>
          <w:rFonts w:hint="eastAsia" w:ascii="宋体" w:hAnsi="宋体" w:cs="宋体"/>
          <w:color w:val="auto"/>
          <w:sz w:val="24"/>
          <w:szCs w:val="24"/>
          <w:u w:val="single"/>
          <w:lang w:val="en-US" w:eastAsia="zh-CN"/>
        </w:rPr>
        <w:t>上虞区企业信用平台软件维保服务</w:t>
      </w:r>
      <w:r>
        <w:rPr>
          <w:rFonts w:hint="eastAsia" w:ascii="宋体" w:hAnsi="宋体" w:cs="宋体"/>
          <w:color w:val="auto"/>
          <w:sz w:val="24"/>
          <w:szCs w:val="24"/>
          <w:u w:val="single"/>
        </w:rPr>
        <w:t>。</w:t>
      </w:r>
    </w:p>
    <w:p>
      <w:pPr>
        <w:pStyle w:val="25"/>
        <w:spacing w:line="336" w:lineRule="auto"/>
        <w:ind w:firstLine="480" w:firstLineChars="200"/>
        <w:rPr>
          <w:color w:val="auto"/>
          <w:sz w:val="24"/>
          <w:szCs w:val="24"/>
        </w:rPr>
      </w:pPr>
      <w:r>
        <w:rPr>
          <w:rFonts w:ascii="宋体" w:hAnsi="宋体" w:cs="宋体"/>
          <w:color w:val="auto"/>
          <w:sz w:val="24"/>
          <w:szCs w:val="24"/>
        </w:rPr>
        <w:t>1.2</w:t>
      </w:r>
      <w:r>
        <w:rPr>
          <w:rFonts w:hint="eastAsia" w:ascii="宋体" w:hAnsi="宋体" w:cs="宋体"/>
          <w:color w:val="auto"/>
          <w:sz w:val="24"/>
          <w:szCs w:val="24"/>
        </w:rPr>
        <w:t>本项目采购方式采用竞争性磋商方式。</w:t>
      </w:r>
    </w:p>
    <w:p>
      <w:pPr>
        <w:spacing w:line="336"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、定义</w:t>
      </w:r>
    </w:p>
    <w:p>
      <w:pPr>
        <w:spacing w:line="336" w:lineRule="auto"/>
        <w:ind w:firstLine="480" w:firstLineChars="200"/>
        <w:rPr>
          <w:rFonts w:ascii="宋体"/>
          <w:color w:val="auto"/>
          <w:sz w:val="24"/>
          <w:szCs w:val="24"/>
          <w:u w:val="single"/>
        </w:rPr>
      </w:pPr>
      <w:r>
        <w:rPr>
          <w:rFonts w:ascii="宋体" w:hAnsi="宋体" w:cs="宋体"/>
          <w:color w:val="auto"/>
          <w:sz w:val="24"/>
          <w:szCs w:val="24"/>
        </w:rPr>
        <w:t>2.1</w:t>
      </w:r>
      <w:r>
        <w:rPr>
          <w:rFonts w:hint="eastAsia" w:ascii="宋体" w:hAnsi="宋体" w:cs="宋体"/>
          <w:color w:val="auto"/>
          <w:sz w:val="24"/>
          <w:szCs w:val="24"/>
        </w:rPr>
        <w:t>“</w:t>
      </w:r>
      <w:r>
        <w:rPr>
          <w:rFonts w:hint="eastAsia" w:ascii="宋体" w:hAnsi="宋体" w:cs="宋体"/>
          <w:color w:val="auto"/>
          <w:sz w:val="24"/>
          <w:szCs w:val="24"/>
          <w:lang w:val="zh-CN"/>
        </w:rPr>
        <w:t>采购人”系指</w:t>
      </w:r>
      <w:r>
        <w:rPr>
          <w:rFonts w:ascii="宋体" w:hAnsi="宋体" w:cs="宋体"/>
          <w:color w:val="auto"/>
          <w:sz w:val="24"/>
          <w:szCs w:val="24"/>
          <w:u w:val="single"/>
        </w:rPr>
        <w:t xml:space="preserve"> </w:t>
      </w:r>
      <w:r>
        <w:rPr>
          <w:rFonts w:hint="eastAsia" w:ascii="宋体" w:hAnsi="宋体" w:cs="宋体"/>
          <w:color w:val="auto"/>
          <w:sz w:val="24"/>
          <w:szCs w:val="32"/>
          <w:u w:val="single"/>
          <w:lang w:eastAsia="zh-CN"/>
        </w:rPr>
        <w:t>绍兴市上虞区市场监督管理局</w:t>
      </w:r>
      <w:r>
        <w:rPr>
          <w:rFonts w:ascii="宋体" w:hAnsi="宋体" w:cs="宋体"/>
          <w:color w:val="auto"/>
          <w:sz w:val="24"/>
          <w:szCs w:val="24"/>
          <w:u w:val="single"/>
        </w:rPr>
        <w:t xml:space="preserve"> </w:t>
      </w:r>
      <w:r>
        <w:rPr>
          <w:rFonts w:hint="eastAsia" w:ascii="宋体" w:hAnsi="宋体" w:cs="宋体"/>
          <w:color w:val="auto"/>
          <w:sz w:val="24"/>
          <w:szCs w:val="24"/>
        </w:rPr>
        <w:t>。采购人委托</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浙江省成套工程有限公司</w:t>
      </w:r>
      <w:r>
        <w:rPr>
          <w:rFonts w:ascii="宋体" w:hAnsi="宋体" w:cs="宋体"/>
          <w:color w:val="auto"/>
          <w:sz w:val="24"/>
          <w:szCs w:val="24"/>
          <w:u w:val="single"/>
        </w:rPr>
        <w:t xml:space="preserve"> </w:t>
      </w:r>
      <w:r>
        <w:rPr>
          <w:rFonts w:hint="eastAsia" w:ascii="宋体" w:hAnsi="宋体" w:cs="宋体"/>
          <w:color w:val="auto"/>
          <w:sz w:val="24"/>
          <w:szCs w:val="24"/>
        </w:rPr>
        <w:t>为本项目采购代理机构。</w:t>
      </w:r>
    </w:p>
    <w:p>
      <w:pPr>
        <w:spacing w:line="336" w:lineRule="auto"/>
        <w:ind w:firstLine="480" w:firstLineChars="200"/>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“磋商供应商”系指响应本次采购，参加本次竞争性磋商的供应商。</w:t>
      </w:r>
    </w:p>
    <w:p>
      <w:pPr>
        <w:spacing w:line="336" w:lineRule="auto"/>
        <w:ind w:firstLine="480" w:firstLineChars="200"/>
        <w:rPr>
          <w:rFonts w:ascii="宋体"/>
          <w:color w:val="auto"/>
          <w:sz w:val="24"/>
          <w:szCs w:val="24"/>
          <w:lang w:val="zh-CN"/>
        </w:rPr>
      </w:pPr>
      <w:r>
        <w:rPr>
          <w:rFonts w:ascii="宋体" w:hAnsi="宋体" w:cs="宋体"/>
          <w:color w:val="auto"/>
          <w:sz w:val="24"/>
          <w:szCs w:val="24"/>
        </w:rPr>
        <w:t>2.3</w:t>
      </w:r>
      <w:r>
        <w:rPr>
          <w:rFonts w:hint="eastAsia" w:ascii="宋体" w:hAnsi="宋体" w:cs="宋体"/>
          <w:color w:val="auto"/>
          <w:sz w:val="24"/>
          <w:szCs w:val="24"/>
          <w:lang w:val="zh-CN"/>
        </w:rPr>
        <w:t>“服务”系指</w:t>
      </w:r>
      <w:r>
        <w:rPr>
          <w:rFonts w:hint="eastAsia" w:ascii="宋体" w:hAnsi="宋体" w:cs="宋体"/>
          <w:color w:val="auto"/>
          <w:sz w:val="24"/>
          <w:szCs w:val="24"/>
        </w:rPr>
        <w:t>磋商供应商按合同规定，须承担的服务的义务</w:t>
      </w:r>
      <w:r>
        <w:rPr>
          <w:rFonts w:hint="eastAsia" w:ascii="宋体" w:hAnsi="宋体" w:cs="宋体"/>
          <w:color w:val="auto"/>
          <w:sz w:val="24"/>
          <w:szCs w:val="24"/>
          <w:lang w:val="zh-CN"/>
        </w:rPr>
        <w:t>。</w:t>
      </w:r>
    </w:p>
    <w:p>
      <w:pPr>
        <w:spacing w:line="336"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、采购项目概况</w:t>
      </w:r>
      <w:r>
        <w:rPr>
          <w:rFonts w:ascii="宋体"/>
          <w:b/>
          <w:bCs/>
          <w:color w:val="auto"/>
          <w:sz w:val="24"/>
          <w:szCs w:val="24"/>
        </w:rPr>
        <w:tab/>
      </w:r>
      <w:r>
        <w:rPr>
          <w:rFonts w:ascii="宋体"/>
          <w:b/>
          <w:bCs/>
          <w:color w:val="auto"/>
          <w:sz w:val="24"/>
          <w:szCs w:val="24"/>
        </w:rPr>
        <w:tab/>
      </w:r>
    </w:p>
    <w:p>
      <w:pPr>
        <w:spacing w:line="336" w:lineRule="auto"/>
        <w:ind w:firstLine="480" w:firstLineChars="200"/>
        <w:rPr>
          <w:rFonts w:ascii="宋体"/>
          <w:color w:val="auto"/>
          <w:sz w:val="24"/>
          <w:szCs w:val="24"/>
        </w:rPr>
      </w:pPr>
      <w:r>
        <w:rPr>
          <w:rFonts w:hint="eastAsia" w:ascii="宋体" w:hAnsi="宋体" w:cs="宋体"/>
          <w:color w:val="auto"/>
          <w:sz w:val="24"/>
          <w:szCs w:val="24"/>
        </w:rPr>
        <w:t>详见竞争性磋商公告相关内容，主要要求参见本文件第</w:t>
      </w:r>
      <w:r>
        <w:rPr>
          <w:rFonts w:ascii="宋体" w:hAnsi="宋体" w:cs="宋体"/>
          <w:color w:val="auto"/>
          <w:sz w:val="24"/>
          <w:szCs w:val="24"/>
          <w:u w:val="single"/>
        </w:rPr>
        <w:t xml:space="preserve"> </w:t>
      </w:r>
      <w:r>
        <w:rPr>
          <w:rFonts w:hint="eastAsia" w:ascii="宋体" w:hAnsi="宋体" w:cs="宋体"/>
          <w:color w:val="auto"/>
          <w:sz w:val="24"/>
          <w:szCs w:val="24"/>
          <w:u w:val="single"/>
        </w:rPr>
        <w:t>三</w:t>
      </w:r>
      <w:r>
        <w:rPr>
          <w:rFonts w:ascii="宋体" w:hAnsi="宋体" w:cs="宋体"/>
          <w:color w:val="auto"/>
          <w:sz w:val="24"/>
          <w:szCs w:val="24"/>
          <w:u w:val="single"/>
        </w:rPr>
        <w:t xml:space="preserve"> </w:t>
      </w:r>
      <w:r>
        <w:rPr>
          <w:rFonts w:hint="eastAsia" w:ascii="宋体" w:hAnsi="宋体" w:cs="宋体"/>
          <w:color w:val="auto"/>
          <w:sz w:val="24"/>
          <w:szCs w:val="24"/>
        </w:rPr>
        <w:t>部分。</w:t>
      </w:r>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、合格的磋商供应商</w:t>
      </w:r>
    </w:p>
    <w:p>
      <w:pPr>
        <w:spacing w:line="336" w:lineRule="auto"/>
        <w:ind w:firstLine="480" w:firstLineChars="200"/>
        <w:rPr>
          <w:rFonts w:ascii="宋体"/>
          <w:color w:val="auto"/>
          <w:sz w:val="24"/>
          <w:szCs w:val="24"/>
        </w:rPr>
      </w:pPr>
      <w:bookmarkStart w:id="23" w:name="_Toc208287611"/>
      <w:bookmarkStart w:id="24" w:name="_Toc197156227"/>
      <w:bookmarkStart w:id="25" w:name="_Toc204683265"/>
      <w:bookmarkStart w:id="26" w:name="_Toc193523219"/>
      <w:bookmarkStart w:id="27" w:name="_Toc209504018"/>
      <w:bookmarkStart w:id="28" w:name="_Toc207946571"/>
      <w:bookmarkStart w:id="29" w:name="_Toc209435242"/>
      <w:bookmarkStart w:id="30" w:name="_Toc193538208"/>
      <w:bookmarkStart w:id="31" w:name="_Toc197163261"/>
      <w:bookmarkStart w:id="32" w:name="_Toc208913145"/>
      <w:bookmarkStart w:id="33" w:name="_Toc197053926"/>
      <w:bookmarkStart w:id="34" w:name="_Toc197657950"/>
      <w:bookmarkStart w:id="35" w:name="_Toc211412066"/>
      <w:bookmarkStart w:id="36" w:name="_Toc209520993"/>
      <w:r>
        <w:rPr>
          <w:rFonts w:hint="eastAsia" w:ascii="宋体" w:hAnsi="宋体" w:cs="宋体"/>
          <w:color w:val="auto"/>
          <w:sz w:val="24"/>
          <w:szCs w:val="24"/>
        </w:rPr>
        <w:t>详见竞争性磋商采购公告磋商供应商的资格要求规定。</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36" w:lineRule="auto"/>
        <w:ind w:firstLine="482" w:firstLineChars="20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、磋商费用</w:t>
      </w:r>
    </w:p>
    <w:p>
      <w:pPr>
        <w:spacing w:line="33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磋商供应商应承担其参加磋商所涉及的一切费用，不管结果如何，采购人对上述费用不负任何责任。</w:t>
      </w:r>
    </w:p>
    <w:p>
      <w:pPr>
        <w:pStyle w:val="6"/>
        <w:rPr>
          <w:color w:val="auto"/>
        </w:rPr>
      </w:pPr>
    </w:p>
    <w:p>
      <w:pPr>
        <w:pStyle w:val="6"/>
        <w:numPr>
          <w:ilvl w:val="0"/>
          <w:numId w:val="9"/>
        </w:numPr>
        <w:jc w:val="center"/>
        <w:rPr>
          <w:rFonts w:cs="Times New Roman"/>
          <w:color w:val="auto"/>
        </w:rPr>
      </w:pPr>
      <w:bookmarkStart w:id="37" w:name="_Toc32689"/>
      <w:bookmarkStart w:id="38" w:name="_Toc25923"/>
      <w:bookmarkStart w:id="39" w:name="_Toc416992151"/>
      <w:r>
        <w:rPr>
          <w:color w:val="auto"/>
        </w:rPr>
        <w:t xml:space="preserve"> </w:t>
      </w:r>
      <w:bookmarkStart w:id="40" w:name="_Toc11814"/>
      <w:bookmarkStart w:id="41" w:name="_Toc17386"/>
      <w:bookmarkStart w:id="42" w:name="_Toc187"/>
      <w:r>
        <w:rPr>
          <w:rFonts w:hint="eastAsia"/>
          <w:color w:val="auto"/>
        </w:rPr>
        <w:t>竞争性磋商文件</w:t>
      </w:r>
      <w:bookmarkEnd w:id="37"/>
      <w:bookmarkEnd w:id="38"/>
      <w:bookmarkEnd w:id="39"/>
      <w:bookmarkEnd w:id="40"/>
      <w:bookmarkEnd w:id="41"/>
      <w:bookmarkEnd w:id="42"/>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、磋商文件的组成</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本磋商文件包括目录所示内容及所有按本须知发出的补充资料（如果有）。</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color w:val="auto"/>
          <w:sz w:val="24"/>
          <w:szCs w:val="24"/>
        </w:rPr>
      </w:pPr>
      <w:r>
        <w:rPr>
          <w:rFonts w:ascii="宋体" w:hAnsi="宋体" w:cs="宋体"/>
          <w:color w:val="auto"/>
          <w:sz w:val="24"/>
          <w:szCs w:val="24"/>
        </w:rPr>
        <w:t>6.4</w:t>
      </w:r>
      <w:r>
        <w:rPr>
          <w:rFonts w:hint="eastAsia" w:ascii="宋体" w:hAnsi="宋体" w:cs="宋体"/>
          <w:color w:val="auto"/>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、磋商文件的澄清与修改</w:t>
      </w:r>
    </w:p>
    <w:p>
      <w:pPr>
        <w:pStyle w:val="2"/>
        <w:spacing w:line="336" w:lineRule="auto"/>
        <w:ind w:firstLine="480" w:firstLineChars="200"/>
        <w:rPr>
          <w:rFonts w:cs="Times New Roman"/>
          <w:color w:val="auto"/>
        </w:rPr>
      </w:pPr>
      <w:r>
        <w:rPr>
          <w:color w:val="auto"/>
        </w:rPr>
        <w:t>7.1</w:t>
      </w:r>
      <w:r>
        <w:rPr>
          <w:rFonts w:hint="eastAsia"/>
          <w:color w:val="auto"/>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2"/>
        <w:spacing w:line="336" w:lineRule="auto"/>
        <w:ind w:right="-240" w:rightChars="-120" w:firstLine="480" w:firstLineChars="200"/>
        <w:rPr>
          <w:rFonts w:cs="Times New Roman"/>
          <w:color w:val="auto"/>
        </w:rPr>
      </w:pPr>
      <w:r>
        <w:rPr>
          <w:color w:val="auto"/>
        </w:rPr>
        <w:t>7.2</w:t>
      </w:r>
      <w:r>
        <w:rPr>
          <w:rFonts w:hint="eastAsia"/>
          <w:color w:val="auto"/>
        </w:rPr>
        <w:t>磋商供应商要求解释或澄清的问题应以书面形式，并加盖公章、写明日期。</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7.3</w:t>
      </w:r>
      <w:r>
        <w:rPr>
          <w:rFonts w:hint="eastAsia" w:ascii="宋体" w:hAnsi="宋体" w:cs="宋体"/>
          <w:color w:val="auto"/>
          <w:sz w:val="24"/>
          <w:szCs w:val="24"/>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7.4</w:t>
      </w:r>
      <w:r>
        <w:rPr>
          <w:rFonts w:hint="eastAsia" w:ascii="宋体" w:hAnsi="宋体" w:cs="宋体"/>
          <w:color w:val="auto"/>
          <w:sz w:val="24"/>
          <w:szCs w:val="24"/>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7.5</w:t>
      </w:r>
      <w:r>
        <w:rPr>
          <w:rFonts w:hint="eastAsia" w:ascii="宋体" w:hAnsi="宋体" w:cs="宋体"/>
          <w:color w:val="auto"/>
          <w:sz w:val="24"/>
          <w:szCs w:val="24"/>
        </w:rPr>
        <w:t>澄清或者修改的内容可能影响响应文件编制的，采购人、采购代理机构将在提交响应文件截止时间至少</w:t>
      </w:r>
      <w:r>
        <w:rPr>
          <w:rFonts w:ascii="宋体" w:hAnsi="宋体" w:cs="宋体"/>
          <w:color w:val="auto"/>
          <w:sz w:val="24"/>
          <w:szCs w:val="24"/>
        </w:rPr>
        <w:t>5</w:t>
      </w:r>
      <w:r>
        <w:rPr>
          <w:rFonts w:hint="eastAsia" w:ascii="宋体" w:hAnsi="宋体" w:cs="宋体"/>
          <w:color w:val="auto"/>
          <w:sz w:val="24"/>
          <w:szCs w:val="24"/>
        </w:rPr>
        <w:t>日前，以公告形式通知所有获取磋商文件的供应商；不足</w:t>
      </w:r>
      <w:r>
        <w:rPr>
          <w:rFonts w:ascii="宋体" w:hAnsi="宋体" w:cs="宋体"/>
          <w:color w:val="auto"/>
          <w:sz w:val="24"/>
          <w:szCs w:val="24"/>
        </w:rPr>
        <w:t>5</w:t>
      </w:r>
      <w:r>
        <w:rPr>
          <w:rFonts w:hint="eastAsia" w:ascii="宋体" w:hAnsi="宋体" w:cs="宋体"/>
          <w:color w:val="auto"/>
          <w:sz w:val="24"/>
          <w:szCs w:val="24"/>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7.6</w:t>
      </w:r>
      <w:r>
        <w:rPr>
          <w:rFonts w:hint="eastAsia" w:ascii="宋体" w:hAnsi="宋体" w:cs="宋体"/>
          <w:color w:val="auto"/>
          <w:sz w:val="24"/>
          <w:szCs w:val="24"/>
        </w:rPr>
        <w:t>竞争性磋商文件澄清、答复、修改、补充的内容为竞争性磋商文件的组成部分。</w:t>
      </w:r>
    </w:p>
    <w:p>
      <w:pPr>
        <w:pStyle w:val="7"/>
        <w:spacing w:line="336" w:lineRule="auto"/>
        <w:rPr>
          <w:rFonts w:hint="eastAsia" w:ascii="宋体" w:hAnsi="宋体" w:cs="宋体"/>
          <w:color w:val="auto"/>
          <w:sz w:val="24"/>
          <w:szCs w:val="24"/>
        </w:rPr>
      </w:pPr>
      <w:r>
        <w:rPr>
          <w:rFonts w:ascii="宋体" w:hAnsi="宋体" w:cs="宋体"/>
          <w:color w:val="auto"/>
          <w:sz w:val="24"/>
          <w:szCs w:val="24"/>
        </w:rPr>
        <w:t>7.7</w:t>
      </w:r>
      <w:r>
        <w:rPr>
          <w:rFonts w:hint="eastAsia" w:ascii="宋体" w:hAnsi="宋体" w:cs="宋体"/>
          <w:color w:val="auto"/>
          <w:sz w:val="24"/>
          <w:szCs w:val="24"/>
        </w:rPr>
        <w:t>磋商文件发售截止日后，经采购人同意后购买磋商文件的磋商供应商不得对磋商文件和补充文件提出答疑或质疑。</w:t>
      </w:r>
    </w:p>
    <w:p>
      <w:pPr>
        <w:pStyle w:val="2"/>
        <w:rPr>
          <w:color w:val="auto"/>
        </w:rPr>
      </w:pPr>
    </w:p>
    <w:p>
      <w:pPr>
        <w:pStyle w:val="6"/>
        <w:numPr>
          <w:ilvl w:val="0"/>
          <w:numId w:val="9"/>
        </w:numPr>
        <w:jc w:val="center"/>
        <w:rPr>
          <w:rFonts w:cs="Times New Roman"/>
          <w:color w:val="auto"/>
        </w:rPr>
      </w:pPr>
      <w:bookmarkStart w:id="43" w:name="_Toc11692"/>
      <w:bookmarkStart w:id="44" w:name="_Toc26027"/>
      <w:bookmarkStart w:id="45" w:name="_Toc6273"/>
      <w:bookmarkStart w:id="46" w:name="_Toc24622"/>
      <w:bookmarkStart w:id="47" w:name="_Toc1828"/>
      <w:bookmarkStart w:id="48" w:name="_Toc6079"/>
      <w:bookmarkStart w:id="49" w:name="_Toc1729"/>
      <w:bookmarkStart w:id="50" w:name="_Toc18702"/>
      <w:bookmarkStart w:id="51" w:name="_Toc7126"/>
      <w:bookmarkStart w:id="52" w:name="_Toc26603"/>
      <w:bookmarkStart w:id="53" w:name="_Toc11669"/>
      <w:bookmarkStart w:id="54" w:name="_Toc1202"/>
      <w:bookmarkStart w:id="55" w:name="_Toc11093"/>
      <w:bookmarkStart w:id="56" w:name="_Toc8860"/>
      <w:bookmarkStart w:id="57" w:name="_Toc23135"/>
      <w:bookmarkStart w:id="58" w:name="_Toc23975"/>
      <w:bookmarkStart w:id="59" w:name="_Toc391298957"/>
      <w:bookmarkStart w:id="60" w:name="_Toc14650"/>
      <w:bookmarkStart w:id="61" w:name="_Toc10669"/>
      <w:bookmarkStart w:id="62" w:name="_Toc10810"/>
      <w:bookmarkStart w:id="63" w:name="_Toc6457"/>
      <w:bookmarkStart w:id="64" w:name="_Toc31748"/>
      <w:r>
        <w:rPr>
          <w:color w:val="auto"/>
        </w:rPr>
        <w:t xml:space="preserve"> </w:t>
      </w:r>
      <w:bookmarkStart w:id="65" w:name="_Toc27018"/>
      <w:bookmarkStart w:id="66" w:name="_Toc11515"/>
      <w:r>
        <w:rPr>
          <w:color w:val="auto"/>
        </w:rPr>
        <w:tab/>
      </w:r>
      <w:bookmarkStart w:id="67" w:name="_Toc28735"/>
      <w:r>
        <w:rPr>
          <w:rFonts w:hint="eastAsia"/>
          <w:color w:val="auto"/>
        </w:rPr>
        <w:t>竞争性磋商响应文件的编写</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336"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、要求</w:t>
      </w:r>
    </w:p>
    <w:p>
      <w:pPr>
        <w:spacing w:line="336" w:lineRule="auto"/>
        <w:ind w:firstLine="480" w:firstLineChars="200"/>
        <w:rPr>
          <w:rFonts w:ascii="宋体"/>
          <w:color w:val="auto"/>
          <w:sz w:val="24"/>
          <w:szCs w:val="24"/>
        </w:rPr>
      </w:pPr>
      <w:r>
        <w:rPr>
          <w:rFonts w:ascii="宋体" w:hAnsi="宋体" w:cs="宋体"/>
          <w:color w:val="auto"/>
          <w:sz w:val="24"/>
          <w:szCs w:val="24"/>
        </w:rPr>
        <w:t>8.1</w:t>
      </w:r>
      <w:r>
        <w:rPr>
          <w:rFonts w:hint="eastAsia" w:ascii="宋体" w:hAnsi="宋体" w:cs="宋体"/>
          <w:color w:val="auto"/>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color w:val="auto"/>
          <w:sz w:val="24"/>
          <w:szCs w:val="24"/>
        </w:rPr>
      </w:pPr>
      <w:r>
        <w:rPr>
          <w:rFonts w:ascii="宋体" w:hAnsi="宋体" w:cs="宋体"/>
          <w:color w:val="auto"/>
          <w:sz w:val="24"/>
          <w:szCs w:val="24"/>
        </w:rPr>
        <w:t>8.2</w:t>
      </w:r>
      <w:r>
        <w:rPr>
          <w:rFonts w:hint="eastAsia" w:ascii="宋体" w:hAnsi="宋体" w:cs="宋体"/>
          <w:color w:val="auto"/>
          <w:sz w:val="24"/>
          <w:szCs w:val="24"/>
        </w:rPr>
        <w:t>报价</w:t>
      </w:r>
    </w:p>
    <w:p>
      <w:pPr>
        <w:spacing w:line="336" w:lineRule="auto"/>
        <w:ind w:firstLine="480" w:firstLineChars="200"/>
        <w:rPr>
          <w:rFonts w:ascii="宋体"/>
          <w:b/>
          <w:bCs/>
          <w:color w:val="auto"/>
          <w:sz w:val="24"/>
          <w:szCs w:val="24"/>
          <w:shd w:val="clear" w:color="FFFFFF" w:fill="D9D9D9"/>
        </w:rPr>
      </w:pPr>
      <w:r>
        <w:rPr>
          <w:rFonts w:ascii="宋体" w:hAnsi="宋体" w:cs="宋体"/>
          <w:color w:val="auto"/>
          <w:sz w:val="24"/>
          <w:szCs w:val="24"/>
        </w:rPr>
        <w:t>8.2.1</w:t>
      </w:r>
      <w:r>
        <w:rPr>
          <w:rFonts w:hint="eastAsia" w:ascii="宋体" w:hAnsi="宋体" w:cs="宋体"/>
          <w:color w:val="auto"/>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rPr>
        <w:t>如果供应商在规定时间</w:t>
      </w:r>
      <w:r>
        <w:rPr>
          <w:rFonts w:ascii="宋体" w:hAnsi="宋体" w:cs="宋体"/>
          <w:b/>
          <w:bCs/>
          <w:color w:val="auto"/>
          <w:sz w:val="24"/>
          <w:szCs w:val="24"/>
        </w:rPr>
        <w:t>30</w:t>
      </w:r>
      <w:r>
        <w:rPr>
          <w:rFonts w:hint="eastAsia" w:ascii="宋体" w:hAnsi="宋体" w:cs="宋体"/>
          <w:b/>
          <w:bCs/>
          <w:color w:val="auto"/>
          <w:sz w:val="24"/>
          <w:szCs w:val="24"/>
        </w:rPr>
        <w:t>分钟内未提交第二次报价，视该供应商放弃本次投标，作无效标处理</w:t>
      </w:r>
      <w:r>
        <w:rPr>
          <w:rFonts w:hint="eastAsia" w:ascii="宋体" w:hAnsi="宋体" w:cs="宋体"/>
          <w:color w:val="auto"/>
          <w:sz w:val="24"/>
          <w:szCs w:val="24"/>
        </w:rPr>
        <w:t>。</w:t>
      </w:r>
    </w:p>
    <w:p>
      <w:pPr>
        <w:pStyle w:val="55"/>
        <w:tabs>
          <w:tab w:val="left" w:pos="0"/>
        </w:tabs>
        <w:spacing w:before="0" w:line="336" w:lineRule="auto"/>
        <w:ind w:firstLine="480"/>
        <w:rPr>
          <w:rFonts w:ascii="宋体"/>
          <w:color w:val="auto"/>
          <w:u w:val="single"/>
        </w:rPr>
      </w:pPr>
      <w:r>
        <w:rPr>
          <w:rFonts w:ascii="宋体" w:hAnsi="宋体" w:cs="宋体"/>
          <w:color w:val="auto"/>
          <w:u w:val="none"/>
        </w:rPr>
        <w:t>8.2.2</w:t>
      </w:r>
      <w:r>
        <w:rPr>
          <w:rFonts w:hint="eastAsia" w:cs="宋体"/>
          <w:b/>
          <w:bCs/>
          <w:color w:val="auto"/>
        </w:rPr>
        <w:t>本次报价应该是含完成本项目所需的所有费用，如以后已实施而未列入报价的费用将被视为投标人优惠，采购人均不予支付。</w:t>
      </w:r>
      <w:r>
        <w:rPr>
          <w:rFonts w:hint="eastAsia" w:cs="宋体"/>
          <w:color w:val="auto"/>
        </w:rPr>
        <w:t>投标报价为供应商所能承受的最低、最终报价，供应商不得再要求追加任何费用。</w:t>
      </w:r>
    </w:p>
    <w:p>
      <w:pPr>
        <w:spacing w:line="336" w:lineRule="auto"/>
        <w:ind w:firstLine="480" w:firstLineChars="200"/>
        <w:rPr>
          <w:rFonts w:ascii="宋体"/>
          <w:color w:val="auto"/>
          <w:sz w:val="24"/>
          <w:szCs w:val="24"/>
        </w:rPr>
      </w:pPr>
      <w:r>
        <w:rPr>
          <w:rFonts w:hint="eastAsia" w:ascii="宋体" w:hAnsi="宋体" w:cs="宋体"/>
          <w:color w:val="auto"/>
          <w:sz w:val="24"/>
          <w:szCs w:val="24"/>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color w:val="auto"/>
        </w:rPr>
      </w:pPr>
      <w:r>
        <w:rPr>
          <w:rFonts w:ascii="宋体" w:hAnsi="宋体" w:cs="宋体"/>
          <w:color w:val="auto"/>
          <w:sz w:val="24"/>
          <w:szCs w:val="24"/>
        </w:rPr>
        <w:t>8.2.3</w:t>
      </w:r>
      <w:r>
        <w:rPr>
          <w:rFonts w:hint="eastAsia" w:ascii="宋体" w:hAnsi="宋体" w:cs="宋体"/>
          <w:color w:val="auto"/>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3"/>
        <w:spacing w:line="336" w:lineRule="auto"/>
        <w:ind w:firstLine="482" w:firstLineChars="200"/>
        <w:rPr>
          <w:rFonts w:hAnsi="宋体" w:cs="Times New Roman"/>
          <w:b/>
          <w:bCs/>
          <w:color w:val="auto"/>
          <w:sz w:val="24"/>
          <w:szCs w:val="24"/>
          <w:u w:val="single"/>
        </w:rPr>
      </w:pPr>
      <w:r>
        <w:rPr>
          <w:rFonts w:hAnsi="宋体"/>
          <w:b/>
          <w:bCs/>
          <w:color w:val="auto"/>
          <w:sz w:val="24"/>
          <w:szCs w:val="24"/>
        </w:rPr>
        <w:t>9</w:t>
      </w:r>
      <w:r>
        <w:rPr>
          <w:rFonts w:hint="eastAsia" w:hAnsi="宋体"/>
          <w:b/>
          <w:bCs/>
          <w:color w:val="auto"/>
          <w:sz w:val="24"/>
          <w:szCs w:val="24"/>
        </w:rPr>
        <w:t>、响应文件的组成</w:t>
      </w:r>
      <w:r>
        <w:rPr>
          <w:rFonts w:hint="eastAsia" w:hAnsi="宋体"/>
          <w:b/>
          <w:bCs/>
          <w:color w:val="auto"/>
          <w:sz w:val="24"/>
          <w:szCs w:val="24"/>
          <w:u w:val="single"/>
        </w:rPr>
        <w:t>（供应商应根据采购文件的要求提供相应的内容且设置关联定位，供应商可查看《供应商</w:t>
      </w:r>
      <w:r>
        <w:rPr>
          <w:rFonts w:hAnsi="宋体"/>
          <w:b/>
          <w:bCs/>
          <w:color w:val="auto"/>
          <w:sz w:val="24"/>
          <w:szCs w:val="24"/>
          <w:u w:val="single"/>
        </w:rPr>
        <w:t>-</w:t>
      </w:r>
      <w:r>
        <w:rPr>
          <w:rFonts w:hint="eastAsia" w:hAnsi="宋体"/>
          <w:b/>
          <w:bCs/>
          <w:color w:val="auto"/>
          <w:sz w:val="24"/>
          <w:szCs w:val="24"/>
          <w:u w:val="single"/>
        </w:rPr>
        <w:t>政府采购项目电子交易操作指南》进行操作：</w:t>
      </w:r>
      <w:r>
        <w:rPr>
          <w:rFonts w:hAnsi="宋体"/>
          <w:b/>
          <w:bCs/>
          <w:color w:val="auto"/>
          <w:sz w:val="24"/>
          <w:szCs w:val="24"/>
          <w:u w:val="single"/>
        </w:rPr>
        <w:t>https://help.zcygov.cn/web/site_2/2018/12-28/2573.html</w:t>
      </w:r>
      <w:r>
        <w:rPr>
          <w:rFonts w:hint="eastAsia" w:hAnsi="宋体"/>
          <w:b/>
          <w:bCs/>
          <w:color w:val="auto"/>
          <w:sz w:val="24"/>
          <w:szCs w:val="24"/>
          <w:u w:val="single"/>
        </w:rPr>
        <w:t>）</w:t>
      </w:r>
    </w:p>
    <w:p>
      <w:pPr>
        <w:pStyle w:val="55"/>
        <w:tabs>
          <w:tab w:val="left" w:pos="0"/>
        </w:tabs>
        <w:spacing w:before="0" w:line="336" w:lineRule="auto"/>
        <w:ind w:firstLine="480"/>
        <w:rPr>
          <w:rFonts w:ascii="宋体"/>
          <w:color w:val="auto"/>
        </w:rPr>
      </w:pPr>
      <w:r>
        <w:rPr>
          <w:rFonts w:hint="eastAsia" w:ascii="宋体" w:hAnsi="宋体" w:cs="宋体"/>
          <w:color w:val="auto"/>
        </w:rPr>
        <w:t>响应文件应当包括以下主要内容：资格文件、商务技术文件、报价文件。</w:t>
      </w:r>
    </w:p>
    <w:p>
      <w:pPr>
        <w:pStyle w:val="55"/>
        <w:numPr>
          <w:ilvl w:val="0"/>
          <w:numId w:val="10"/>
        </w:numPr>
        <w:spacing w:before="0" w:line="336" w:lineRule="auto"/>
        <w:ind w:firstLine="480"/>
        <w:rPr>
          <w:rFonts w:ascii="宋体"/>
          <w:color w:val="auto"/>
        </w:rPr>
      </w:pPr>
      <w:r>
        <w:rPr>
          <w:rFonts w:hint="eastAsia" w:ascii="宋体" w:hAnsi="宋体" w:cs="宋体"/>
          <w:color w:val="auto"/>
        </w:rPr>
        <w:t>资格文件包括以下内容：</w:t>
      </w:r>
    </w:p>
    <w:p>
      <w:pPr>
        <w:pStyle w:val="55"/>
        <w:numPr>
          <w:ilvl w:val="0"/>
          <w:numId w:val="11"/>
        </w:numPr>
        <w:spacing w:before="0" w:line="336" w:lineRule="auto"/>
        <w:ind w:firstLine="480"/>
        <w:rPr>
          <w:rFonts w:ascii="宋体"/>
          <w:color w:val="auto"/>
        </w:rPr>
      </w:pPr>
      <w:r>
        <w:rPr>
          <w:rFonts w:hint="eastAsia" w:ascii="宋体" w:hAnsi="宋体" w:cs="宋体"/>
          <w:color w:val="auto"/>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5"/>
        <w:numPr>
          <w:ilvl w:val="0"/>
          <w:numId w:val="11"/>
        </w:numPr>
        <w:spacing w:before="0" w:line="336" w:lineRule="auto"/>
        <w:ind w:firstLine="480"/>
        <w:rPr>
          <w:rFonts w:ascii="宋体"/>
          <w:color w:val="auto"/>
        </w:rPr>
      </w:pPr>
      <w:r>
        <w:rPr>
          <w:rFonts w:hint="eastAsia" w:ascii="宋体" w:hAnsi="宋体" w:cs="宋体"/>
          <w:color w:val="auto"/>
        </w:rPr>
        <w:t>营业执照</w:t>
      </w:r>
      <w:r>
        <w:rPr>
          <w:rFonts w:ascii="宋体" w:hAnsi="宋体" w:cs="宋体"/>
          <w:color w:val="auto"/>
        </w:rPr>
        <w:t>(</w:t>
      </w:r>
      <w:r>
        <w:rPr>
          <w:rFonts w:hint="eastAsia" w:ascii="宋体" w:hAnsi="宋体" w:cs="宋体"/>
          <w:color w:val="auto"/>
        </w:rPr>
        <w:t>或事业法人登记证或其他工商等登记证明材料</w:t>
      </w:r>
      <w:r>
        <w:rPr>
          <w:rFonts w:ascii="宋体" w:hAnsi="宋体" w:cs="宋体"/>
          <w:color w:val="auto"/>
        </w:rPr>
        <w:t>)</w:t>
      </w:r>
      <w:r>
        <w:rPr>
          <w:rFonts w:hint="eastAsia" w:ascii="宋体" w:hAnsi="宋体" w:cs="宋体"/>
          <w:color w:val="auto"/>
        </w:rPr>
        <w:t>复印件、税务登记证</w:t>
      </w:r>
      <w:r>
        <w:rPr>
          <w:rFonts w:ascii="宋体" w:hAnsi="宋体" w:cs="宋体"/>
          <w:color w:val="auto"/>
        </w:rPr>
        <w:t>(</w:t>
      </w:r>
      <w:r>
        <w:rPr>
          <w:rFonts w:hint="eastAsia" w:ascii="宋体" w:hAnsi="宋体" w:cs="宋体"/>
          <w:color w:val="auto"/>
        </w:rPr>
        <w:t>或其它缴纳证明材料</w:t>
      </w:r>
      <w:r>
        <w:rPr>
          <w:rFonts w:ascii="宋体" w:hAnsi="宋体" w:cs="宋体"/>
          <w:color w:val="auto"/>
        </w:rPr>
        <w:t>)</w:t>
      </w:r>
      <w:r>
        <w:rPr>
          <w:rFonts w:hint="eastAsia" w:ascii="宋体" w:hAnsi="宋体" w:cs="宋体"/>
          <w:color w:val="auto"/>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5"/>
        <w:spacing w:before="0" w:line="336" w:lineRule="auto"/>
        <w:ind w:firstLine="480"/>
        <w:rPr>
          <w:rFonts w:ascii="宋体"/>
          <w:color w:val="auto"/>
        </w:rPr>
      </w:pPr>
      <w:r>
        <w:rPr>
          <w:rFonts w:hint="eastAsia" w:ascii="宋体" w:hAnsi="宋体" w:cs="宋体"/>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5"/>
        <w:numPr>
          <w:ilvl w:val="0"/>
          <w:numId w:val="11"/>
        </w:numPr>
        <w:spacing w:before="0" w:line="336" w:lineRule="auto"/>
        <w:ind w:firstLine="480"/>
        <w:rPr>
          <w:rFonts w:ascii="宋体"/>
          <w:color w:val="auto"/>
        </w:rPr>
      </w:pPr>
      <w:r>
        <w:rPr>
          <w:rFonts w:hint="eastAsia" w:ascii="宋体" w:hAnsi="宋体" w:cs="宋体"/>
          <w:color w:val="auto"/>
        </w:rPr>
        <w:t>具有履行合同所必需的产品和专业技术能力的承诺函；</w:t>
      </w:r>
    </w:p>
    <w:p>
      <w:pPr>
        <w:pStyle w:val="55"/>
        <w:numPr>
          <w:ilvl w:val="0"/>
          <w:numId w:val="11"/>
        </w:numPr>
        <w:spacing w:before="0" w:line="336" w:lineRule="auto"/>
        <w:ind w:firstLine="480"/>
        <w:rPr>
          <w:rFonts w:ascii="宋体"/>
          <w:color w:val="auto"/>
        </w:rPr>
      </w:pPr>
      <w:r>
        <w:rPr>
          <w:rFonts w:hint="eastAsia" w:ascii="宋体" w:hAnsi="宋体" w:cs="宋体"/>
          <w:color w:val="auto"/>
        </w:rPr>
        <w:t>投标人承诺函（格式见附件）；</w:t>
      </w:r>
    </w:p>
    <w:p>
      <w:pPr>
        <w:pStyle w:val="55"/>
        <w:numPr>
          <w:ilvl w:val="0"/>
          <w:numId w:val="11"/>
        </w:numPr>
        <w:spacing w:before="0" w:line="336" w:lineRule="auto"/>
        <w:ind w:firstLine="480"/>
        <w:rPr>
          <w:rFonts w:ascii="宋体"/>
          <w:color w:val="auto"/>
        </w:rPr>
      </w:pPr>
      <w:r>
        <w:rPr>
          <w:rFonts w:hint="eastAsia" w:ascii="宋体" w:hAnsi="宋体" w:cs="宋体"/>
          <w:color w:val="auto"/>
        </w:rPr>
        <w:t xml:space="preserve">中小企业声明函（格式见附件）； </w:t>
      </w:r>
    </w:p>
    <w:p>
      <w:pPr>
        <w:pStyle w:val="55"/>
        <w:numPr>
          <w:ilvl w:val="0"/>
          <w:numId w:val="11"/>
        </w:numPr>
        <w:spacing w:before="0" w:line="336" w:lineRule="auto"/>
        <w:ind w:firstLine="480"/>
        <w:rPr>
          <w:rFonts w:ascii="宋体"/>
          <w:color w:val="auto"/>
        </w:rPr>
      </w:pPr>
      <w:r>
        <w:rPr>
          <w:rFonts w:hint="eastAsia" w:ascii="宋体" w:hAnsi="宋体" w:cs="宋体"/>
          <w:color w:val="auto"/>
        </w:rPr>
        <w:t>残疾人福利性单位声明函(如有)（格式见附件）；</w:t>
      </w:r>
    </w:p>
    <w:p>
      <w:pPr>
        <w:pStyle w:val="55"/>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p>
    <w:p>
      <w:pPr>
        <w:pStyle w:val="55"/>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pPr>
        <w:pStyle w:val="55"/>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55"/>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55"/>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pPr>
        <w:pStyle w:val="55"/>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技术响应及建议表（格式见附件）；</w:t>
      </w:r>
    </w:p>
    <w:p>
      <w:pPr>
        <w:pStyle w:val="55"/>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商务响应表（格式见附件）；</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对本项目的理解</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软件运维方案；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日常保障方案；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数据运维方案；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呼叫中心服务方案；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团队人员；</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应急方案；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质量保证措施；</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验收方案；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实施方案；</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相关著作权；</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企业证书；</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类似项目业绩</w:t>
      </w:r>
      <w:r>
        <w:rPr>
          <w:rFonts w:hint="eastAsia" w:ascii="宋体" w:hAnsi="宋体" w:cs="宋体"/>
          <w:color w:val="auto"/>
          <w:highlight w:val="none"/>
          <w:lang w:eastAsia="zh-CN"/>
        </w:rPr>
        <w:t>；</w:t>
      </w:r>
    </w:p>
    <w:p>
      <w:pPr>
        <w:pStyle w:val="55"/>
        <w:numPr>
          <w:ilvl w:val="0"/>
          <w:numId w:val="12"/>
        </w:numPr>
        <w:spacing w:before="0" w:line="336" w:lineRule="auto"/>
        <w:ind w:firstLine="480"/>
        <w:rPr>
          <w:rFonts w:ascii="宋体"/>
          <w:color w:val="auto"/>
        </w:rPr>
      </w:pPr>
      <w:r>
        <w:rPr>
          <w:rFonts w:hint="eastAsia" w:ascii="宋体" w:hAnsi="宋体" w:cs="宋体"/>
          <w:color w:val="auto"/>
          <w:highlight w:val="none"/>
        </w:rPr>
        <w:t>注：以上内容应与评标办法</w:t>
      </w:r>
      <w:r>
        <w:rPr>
          <w:rFonts w:hint="eastAsia" w:ascii="宋体" w:hAnsi="宋体" w:cs="宋体"/>
          <w:color w:val="auto"/>
        </w:rPr>
        <w:t>中内容具有一致性。</w:t>
      </w:r>
    </w:p>
    <w:p>
      <w:pPr>
        <w:pStyle w:val="55"/>
        <w:tabs>
          <w:tab w:val="left" w:pos="0"/>
        </w:tabs>
        <w:spacing w:before="0" w:line="336" w:lineRule="auto"/>
        <w:ind w:firstLine="480"/>
        <w:rPr>
          <w:rFonts w:ascii="宋体"/>
          <w:color w:val="auto"/>
        </w:rPr>
      </w:pPr>
      <w:r>
        <w:rPr>
          <w:rFonts w:hint="eastAsia" w:ascii="宋体" w:hAnsi="宋体" w:cs="宋体"/>
          <w:color w:val="auto"/>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5"/>
        <w:tabs>
          <w:tab w:val="left" w:pos="0"/>
        </w:tabs>
        <w:spacing w:before="0" w:line="336" w:lineRule="auto"/>
        <w:ind w:firstLine="480"/>
        <w:rPr>
          <w:rFonts w:ascii="宋体"/>
          <w:color w:val="auto"/>
        </w:rPr>
      </w:pPr>
      <w:r>
        <w:rPr>
          <w:rFonts w:hint="eastAsia" w:ascii="宋体" w:hAnsi="宋体" w:cs="宋体"/>
          <w:color w:val="auto"/>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5"/>
        <w:numPr>
          <w:ilvl w:val="0"/>
          <w:numId w:val="10"/>
        </w:numPr>
        <w:spacing w:before="0" w:line="336" w:lineRule="auto"/>
        <w:ind w:firstLine="480"/>
        <w:rPr>
          <w:rFonts w:ascii="宋体"/>
          <w:color w:val="auto"/>
        </w:rPr>
      </w:pPr>
      <w:r>
        <w:rPr>
          <w:rFonts w:hint="eastAsia" w:ascii="宋体" w:hAnsi="宋体" w:cs="宋体"/>
          <w:color w:val="auto"/>
        </w:rPr>
        <w:t>报价文件包括以下内容：</w:t>
      </w:r>
    </w:p>
    <w:p>
      <w:pPr>
        <w:pStyle w:val="55"/>
        <w:numPr>
          <w:ilvl w:val="0"/>
          <w:numId w:val="13"/>
        </w:numPr>
        <w:spacing w:before="0" w:line="336" w:lineRule="auto"/>
        <w:ind w:firstLine="480"/>
        <w:rPr>
          <w:rFonts w:ascii="宋体"/>
          <w:color w:val="auto"/>
        </w:rPr>
      </w:pPr>
      <w:r>
        <w:rPr>
          <w:rFonts w:hint="eastAsia" w:ascii="宋体" w:hAnsi="宋体" w:cs="宋体"/>
          <w:color w:val="auto"/>
        </w:rPr>
        <w:t>磋商函（格式见附件）；</w:t>
      </w:r>
    </w:p>
    <w:p>
      <w:pPr>
        <w:pStyle w:val="55"/>
        <w:numPr>
          <w:ilvl w:val="0"/>
          <w:numId w:val="13"/>
        </w:numPr>
        <w:spacing w:before="0" w:line="336" w:lineRule="auto"/>
        <w:ind w:firstLine="480"/>
        <w:rPr>
          <w:rFonts w:ascii="宋体"/>
          <w:color w:val="auto"/>
        </w:rPr>
      </w:pPr>
      <w:r>
        <w:rPr>
          <w:rFonts w:hint="eastAsia" w:ascii="宋体" w:hAnsi="宋体" w:cs="宋体"/>
          <w:color w:val="auto"/>
        </w:rPr>
        <w:t>报价一览表（格式见附件）；</w:t>
      </w:r>
    </w:p>
    <w:p>
      <w:pPr>
        <w:pStyle w:val="55"/>
        <w:numPr>
          <w:ilvl w:val="0"/>
          <w:numId w:val="13"/>
        </w:numPr>
        <w:spacing w:before="0" w:line="336" w:lineRule="auto"/>
        <w:ind w:firstLine="480"/>
        <w:rPr>
          <w:rFonts w:ascii="宋体"/>
          <w:color w:val="auto"/>
        </w:rPr>
      </w:pPr>
      <w:r>
        <w:rPr>
          <w:rFonts w:hint="eastAsia" w:ascii="宋体" w:hAnsi="宋体" w:cs="宋体"/>
          <w:color w:val="auto"/>
        </w:rPr>
        <w:t>磋商报价明细表（格式见附件）。</w:t>
      </w:r>
    </w:p>
    <w:p>
      <w:pPr>
        <w:pStyle w:val="55"/>
        <w:spacing w:before="0" w:line="336" w:lineRule="auto"/>
        <w:ind w:firstLine="241" w:firstLineChars="100"/>
        <w:rPr>
          <w:rFonts w:ascii="宋体"/>
          <w:b/>
          <w:bCs/>
          <w:color w:val="auto"/>
          <w:u w:val="single"/>
        </w:rPr>
      </w:pPr>
      <w:r>
        <w:rPr>
          <w:rFonts w:hint="eastAsia" w:ascii="宋体" w:hAnsi="宋体" w:cs="宋体"/>
          <w:b/>
          <w:bCs/>
          <w:color w:val="auto"/>
          <w:u w:val="single"/>
        </w:rPr>
        <w:t>注：“资格文件”、“商务技术文件”、“报价文件”须分</w:t>
      </w:r>
      <w:r>
        <w:rPr>
          <w:rFonts w:ascii="宋体" w:hAnsi="宋体" w:cs="宋体"/>
          <w:b/>
          <w:bCs/>
          <w:color w:val="auto"/>
          <w:u w:val="single"/>
        </w:rPr>
        <w:t>3</w:t>
      </w:r>
      <w:r>
        <w:rPr>
          <w:rFonts w:hint="eastAsia" w:ascii="宋体" w:hAnsi="宋体" w:cs="宋体"/>
          <w:b/>
          <w:bCs/>
          <w:color w:val="auto"/>
          <w:u w:val="single"/>
        </w:rPr>
        <w:t>个</w:t>
      </w:r>
      <w:r>
        <w:rPr>
          <w:rFonts w:ascii="宋体" w:hAnsi="宋体" w:cs="宋体"/>
          <w:b/>
          <w:bCs/>
          <w:color w:val="auto"/>
          <w:u w:val="single"/>
        </w:rPr>
        <w:t>PDF</w:t>
      </w:r>
      <w:r>
        <w:rPr>
          <w:rFonts w:hint="eastAsia" w:ascii="宋体" w:hAnsi="宋体" w:cs="宋体"/>
          <w:b/>
          <w:bCs/>
          <w:color w:val="auto"/>
          <w:u w:val="single"/>
        </w:rPr>
        <w:t>格式分别导入。</w:t>
      </w:r>
    </w:p>
    <w:p>
      <w:pPr>
        <w:pStyle w:val="55"/>
        <w:spacing w:before="0" w:line="336" w:lineRule="auto"/>
        <w:ind w:left="400" w:leftChars="200" w:firstLine="0" w:firstLineChars="0"/>
        <w:rPr>
          <w:rFonts w:ascii="宋体"/>
          <w:b/>
          <w:bCs/>
          <w:color w:val="auto"/>
        </w:rPr>
      </w:pPr>
      <w:r>
        <w:rPr>
          <w:rFonts w:ascii="宋体" w:hAnsi="宋体" w:cs="宋体"/>
          <w:b/>
          <w:bCs/>
          <w:color w:val="auto"/>
        </w:rPr>
        <w:t>10</w:t>
      </w:r>
      <w:r>
        <w:rPr>
          <w:rFonts w:hint="eastAsia" w:ascii="宋体" w:hAnsi="宋体" w:cs="宋体"/>
          <w:b/>
          <w:bCs/>
          <w:color w:val="auto"/>
        </w:rPr>
        <w:t>．响应文件有效期</w:t>
      </w:r>
    </w:p>
    <w:p>
      <w:pPr>
        <w:pStyle w:val="55"/>
        <w:spacing w:before="0" w:line="336" w:lineRule="auto"/>
        <w:ind w:left="400" w:leftChars="200" w:firstLine="0" w:firstLineChars="0"/>
        <w:rPr>
          <w:rFonts w:ascii="宋体"/>
          <w:color w:val="auto"/>
        </w:rPr>
      </w:pPr>
      <w:r>
        <w:rPr>
          <w:rFonts w:ascii="宋体" w:hAnsi="宋体" w:cs="宋体"/>
          <w:color w:val="auto"/>
        </w:rPr>
        <w:t xml:space="preserve">10.1 </w:t>
      </w:r>
      <w:r>
        <w:rPr>
          <w:rFonts w:hint="eastAsia" w:ascii="宋体" w:hAnsi="宋体" w:cs="宋体"/>
          <w:color w:val="auto"/>
        </w:rPr>
        <w:t>响应文件未在磋商响应截止时间前完成传输的或者未按时解密的，视为放弃磋商；响应文件解密失败后未提供备份文件或者备份文件也出现异常情况无法进行评审的，亦视为放弃磋商。</w:t>
      </w:r>
    </w:p>
    <w:p>
      <w:pPr>
        <w:pStyle w:val="55"/>
        <w:spacing w:before="0" w:line="336" w:lineRule="auto"/>
        <w:ind w:left="400" w:leftChars="200" w:firstLine="0" w:firstLineChars="0"/>
        <w:rPr>
          <w:rFonts w:ascii="宋体"/>
          <w:color w:val="auto"/>
        </w:rPr>
      </w:pPr>
      <w:r>
        <w:rPr>
          <w:rFonts w:ascii="宋体" w:hAnsi="宋体" w:cs="宋体"/>
          <w:color w:val="auto"/>
        </w:rPr>
        <w:t xml:space="preserve">10.2 </w:t>
      </w:r>
      <w:r>
        <w:rPr>
          <w:rFonts w:hint="eastAsia" w:ascii="宋体" w:hAnsi="宋体" w:cs="宋体"/>
          <w:color w:val="auto"/>
        </w:rPr>
        <w:t>响应文件上传后，自磋商响应截止日期起，在前附表所列的磋商响应文件有效期内有效。</w:t>
      </w:r>
    </w:p>
    <w:p>
      <w:pPr>
        <w:pStyle w:val="55"/>
        <w:spacing w:before="0" w:line="336" w:lineRule="auto"/>
        <w:ind w:left="400" w:leftChars="200" w:firstLine="0" w:firstLineChars="0"/>
        <w:rPr>
          <w:rFonts w:ascii="宋体"/>
          <w:color w:val="auto"/>
        </w:rPr>
      </w:pPr>
      <w:r>
        <w:rPr>
          <w:rFonts w:ascii="宋体" w:hAnsi="宋体" w:cs="宋体"/>
          <w:color w:val="auto"/>
        </w:rPr>
        <w:t xml:space="preserve">10.3 </w:t>
      </w:r>
      <w:r>
        <w:rPr>
          <w:rFonts w:hint="eastAsia" w:ascii="宋体" w:hAnsi="宋体" w:cs="宋体"/>
          <w:color w:val="auto"/>
        </w:rPr>
        <w:t>在原定有效期满之前，如果出现特殊情况，采购代理机构可以以书面形式向磋商供应商提出延长磋商有效期的要求，磋商供应商对此须以书面形式予以答复。</w:t>
      </w:r>
    </w:p>
    <w:p>
      <w:pPr>
        <w:pStyle w:val="55"/>
        <w:spacing w:before="0" w:line="336" w:lineRule="auto"/>
        <w:ind w:left="400" w:leftChars="200" w:firstLine="0" w:firstLineChars="0"/>
        <w:rPr>
          <w:rFonts w:ascii="宋体"/>
          <w:b/>
          <w:bCs/>
          <w:color w:val="auto"/>
        </w:rPr>
      </w:pPr>
      <w:r>
        <w:rPr>
          <w:rFonts w:ascii="宋体" w:hAnsi="宋体" w:cs="宋体"/>
          <w:b/>
          <w:bCs/>
          <w:color w:val="auto"/>
        </w:rPr>
        <w:t>11</w:t>
      </w:r>
      <w:r>
        <w:rPr>
          <w:rFonts w:hint="eastAsia" w:ascii="宋体" w:hAnsi="宋体" w:cs="宋体"/>
          <w:b/>
          <w:bCs/>
          <w:color w:val="auto"/>
        </w:rPr>
        <w:t>．供应商如有下列情况之一者列入不良行为记录：</w:t>
      </w:r>
    </w:p>
    <w:p>
      <w:pPr>
        <w:pStyle w:val="55"/>
        <w:spacing w:before="0" w:line="336" w:lineRule="auto"/>
        <w:ind w:left="400" w:leftChars="200" w:firstLine="0" w:firstLineChars="0"/>
        <w:rPr>
          <w:rFonts w:ascii="宋体"/>
          <w:color w:val="auto"/>
        </w:rPr>
      </w:pPr>
      <w:r>
        <w:rPr>
          <w:rFonts w:ascii="宋体" w:hAnsi="宋体" w:cs="宋体"/>
          <w:color w:val="auto"/>
        </w:rPr>
        <w:t xml:space="preserve">11.1 </w:t>
      </w:r>
      <w:r>
        <w:rPr>
          <w:rFonts w:hint="eastAsia" w:ascii="宋体" w:hAnsi="宋体" w:cs="宋体"/>
          <w:color w:val="auto"/>
        </w:rPr>
        <w:t>供应商在磋商响应文件有效期内撤回投标的；</w:t>
      </w:r>
    </w:p>
    <w:p>
      <w:pPr>
        <w:pStyle w:val="55"/>
        <w:spacing w:before="0" w:line="336" w:lineRule="auto"/>
        <w:ind w:left="400" w:leftChars="200" w:firstLine="0" w:firstLineChars="0"/>
        <w:rPr>
          <w:rFonts w:ascii="宋体"/>
          <w:color w:val="auto"/>
        </w:rPr>
      </w:pPr>
      <w:r>
        <w:rPr>
          <w:rFonts w:ascii="宋体" w:hAnsi="宋体" w:cs="宋体"/>
          <w:color w:val="auto"/>
        </w:rPr>
        <w:t xml:space="preserve">11.2 </w:t>
      </w:r>
      <w:r>
        <w:rPr>
          <w:rFonts w:hint="eastAsia" w:ascii="宋体" w:hAnsi="宋体" w:cs="宋体"/>
          <w:color w:val="auto"/>
        </w:rPr>
        <w:t>供应商或中标候选人放弃中标或中标候选人资格的；</w:t>
      </w:r>
    </w:p>
    <w:p>
      <w:pPr>
        <w:pStyle w:val="55"/>
        <w:spacing w:before="0" w:line="336" w:lineRule="auto"/>
        <w:ind w:left="400" w:leftChars="200" w:firstLine="0" w:firstLineChars="0"/>
        <w:rPr>
          <w:rFonts w:ascii="宋体"/>
          <w:color w:val="auto"/>
        </w:rPr>
      </w:pPr>
      <w:r>
        <w:rPr>
          <w:rFonts w:ascii="宋体" w:hAnsi="宋体" w:cs="宋体"/>
          <w:color w:val="auto"/>
        </w:rPr>
        <w:t xml:space="preserve">11.3 </w:t>
      </w:r>
      <w:r>
        <w:rPr>
          <w:rFonts w:hint="eastAsia" w:ascii="宋体" w:hAnsi="宋体" w:cs="宋体"/>
          <w:color w:val="auto"/>
        </w:rPr>
        <w:t>擅自修改或拒绝接受已经确认的条款；</w:t>
      </w:r>
    </w:p>
    <w:p>
      <w:pPr>
        <w:pStyle w:val="55"/>
        <w:spacing w:before="0" w:line="336" w:lineRule="auto"/>
        <w:ind w:left="400" w:leftChars="200" w:firstLine="0" w:firstLineChars="0"/>
        <w:rPr>
          <w:rFonts w:ascii="宋体"/>
          <w:color w:val="auto"/>
        </w:rPr>
      </w:pPr>
      <w:r>
        <w:rPr>
          <w:rFonts w:ascii="宋体" w:hAnsi="宋体" w:cs="宋体"/>
          <w:color w:val="auto"/>
        </w:rPr>
        <w:t xml:space="preserve">11.4 </w:t>
      </w:r>
      <w:r>
        <w:rPr>
          <w:rFonts w:hint="eastAsia" w:ascii="宋体" w:hAnsi="宋体" w:cs="宋体"/>
          <w:color w:val="auto"/>
        </w:rPr>
        <w:t>成交供应商未按规定与采购人签订合同；</w:t>
      </w:r>
    </w:p>
    <w:p>
      <w:pPr>
        <w:pStyle w:val="55"/>
        <w:spacing w:before="0" w:line="336" w:lineRule="auto"/>
        <w:ind w:left="400" w:leftChars="200" w:firstLine="0" w:firstLineChars="0"/>
        <w:rPr>
          <w:rFonts w:ascii="宋体"/>
          <w:color w:val="auto"/>
        </w:rPr>
      </w:pPr>
      <w:r>
        <w:rPr>
          <w:rFonts w:ascii="宋体" w:hAnsi="宋体" w:cs="宋体"/>
          <w:color w:val="auto"/>
        </w:rPr>
        <w:t>11.</w:t>
      </w:r>
      <w:r>
        <w:rPr>
          <w:rFonts w:hint="eastAsia" w:ascii="宋体" w:hAnsi="宋体" w:cs="宋体"/>
          <w:color w:val="auto"/>
        </w:rPr>
        <w:t>5</w:t>
      </w:r>
      <w:r>
        <w:rPr>
          <w:rFonts w:ascii="宋体" w:hAnsi="宋体" w:cs="宋体"/>
          <w:color w:val="auto"/>
        </w:rPr>
        <w:t xml:space="preserve"> </w:t>
      </w:r>
      <w:r>
        <w:rPr>
          <w:rFonts w:hint="eastAsia" w:ascii="宋体" w:hAnsi="宋体" w:cs="宋体"/>
          <w:color w:val="auto"/>
        </w:rPr>
        <w:t>供应商采取提供虚假资料等不正当手段的；</w:t>
      </w:r>
    </w:p>
    <w:p>
      <w:pPr>
        <w:pStyle w:val="55"/>
        <w:spacing w:before="0" w:line="336" w:lineRule="auto"/>
        <w:ind w:left="400" w:leftChars="200" w:firstLine="0" w:firstLineChars="0"/>
        <w:rPr>
          <w:rFonts w:ascii="宋体"/>
          <w:color w:val="auto"/>
        </w:rPr>
      </w:pPr>
      <w:r>
        <w:rPr>
          <w:rFonts w:ascii="宋体" w:hAnsi="宋体" w:cs="宋体"/>
          <w:color w:val="auto"/>
        </w:rPr>
        <w:t>11.</w:t>
      </w:r>
      <w:r>
        <w:rPr>
          <w:rFonts w:hint="eastAsia" w:ascii="宋体" w:hAnsi="宋体" w:cs="宋体"/>
          <w:color w:val="auto"/>
        </w:rPr>
        <w:t>6</w:t>
      </w:r>
      <w:r>
        <w:rPr>
          <w:rFonts w:ascii="宋体" w:hAnsi="宋体" w:cs="宋体"/>
          <w:color w:val="auto"/>
        </w:rPr>
        <w:t xml:space="preserve"> </w:t>
      </w:r>
      <w:r>
        <w:rPr>
          <w:rFonts w:hint="eastAsia" w:ascii="宋体" w:hAnsi="宋体" w:cs="宋体"/>
          <w:color w:val="auto"/>
        </w:rPr>
        <w:t>供应商在投标过程中串通投标的。</w:t>
      </w:r>
    </w:p>
    <w:p>
      <w:pPr>
        <w:pStyle w:val="55"/>
        <w:spacing w:before="0" w:line="336" w:lineRule="auto"/>
        <w:ind w:left="400" w:leftChars="200" w:firstLine="0" w:firstLineChars="0"/>
        <w:rPr>
          <w:rFonts w:ascii="宋体"/>
          <w:b/>
          <w:bCs/>
          <w:color w:val="auto"/>
        </w:rPr>
      </w:pPr>
      <w:r>
        <w:rPr>
          <w:rFonts w:ascii="宋体" w:hAnsi="宋体" w:cs="宋体"/>
          <w:b/>
          <w:bCs/>
          <w:color w:val="auto"/>
        </w:rPr>
        <w:t>12</w:t>
      </w:r>
      <w:r>
        <w:rPr>
          <w:rFonts w:hint="eastAsia" w:ascii="宋体" w:hAnsi="宋体" w:cs="宋体"/>
          <w:b/>
          <w:bCs/>
          <w:color w:val="auto"/>
        </w:rPr>
        <w:t>．响应文件的编制和签署</w:t>
      </w:r>
    </w:p>
    <w:p>
      <w:pPr>
        <w:pStyle w:val="55"/>
        <w:spacing w:before="0" w:line="336" w:lineRule="auto"/>
        <w:ind w:left="400" w:leftChars="200" w:firstLine="0" w:firstLineChars="0"/>
        <w:rPr>
          <w:rFonts w:ascii="宋体"/>
          <w:color w:val="auto"/>
        </w:rPr>
      </w:pPr>
      <w:r>
        <w:rPr>
          <w:rFonts w:ascii="宋体" w:hAnsi="宋体" w:cs="宋体"/>
          <w:color w:val="auto"/>
        </w:rPr>
        <w:t xml:space="preserve">12.1 </w:t>
      </w:r>
      <w:r>
        <w:rPr>
          <w:rFonts w:hint="eastAsia" w:ascii="宋体" w:hAnsi="宋体" w:cs="宋体"/>
          <w:color w:val="auto"/>
        </w:rPr>
        <w:t>按磋商文件</w:t>
      </w:r>
      <w:r>
        <w:rPr>
          <w:rFonts w:ascii="宋体" w:hAnsi="宋体" w:cs="宋体"/>
          <w:color w:val="auto"/>
        </w:rPr>
        <w:t>9.1</w:t>
      </w:r>
      <w:r>
        <w:rPr>
          <w:rFonts w:hint="eastAsia" w:ascii="宋体" w:hAnsi="宋体" w:cs="宋体"/>
          <w:color w:val="auto"/>
        </w:rPr>
        <w:t>条、</w:t>
      </w:r>
      <w:r>
        <w:rPr>
          <w:rFonts w:ascii="宋体" w:hAnsi="宋体" w:cs="宋体"/>
          <w:color w:val="auto"/>
        </w:rPr>
        <w:t>9.2</w:t>
      </w:r>
      <w:r>
        <w:rPr>
          <w:rFonts w:hint="eastAsia" w:ascii="宋体" w:hAnsi="宋体" w:cs="宋体"/>
          <w:color w:val="auto"/>
        </w:rPr>
        <w:t>条、</w:t>
      </w:r>
      <w:r>
        <w:rPr>
          <w:rFonts w:ascii="宋体" w:hAnsi="宋体" w:cs="宋体"/>
          <w:color w:val="auto"/>
        </w:rPr>
        <w:t>9.3</w:t>
      </w:r>
      <w:r>
        <w:rPr>
          <w:rFonts w:hint="eastAsia" w:ascii="宋体" w:hAnsi="宋体" w:cs="宋体"/>
          <w:color w:val="auto"/>
        </w:rPr>
        <w:t>条要求提供的各种文件，响应文件分为资格文件、商务技术文件和报价文件三部分。</w:t>
      </w:r>
    </w:p>
    <w:p>
      <w:pPr>
        <w:pStyle w:val="55"/>
        <w:spacing w:before="0" w:line="336" w:lineRule="auto"/>
        <w:ind w:left="400" w:leftChars="200" w:firstLine="0" w:firstLineChars="0"/>
        <w:rPr>
          <w:rFonts w:ascii="宋体"/>
          <w:color w:val="auto"/>
        </w:rPr>
      </w:pPr>
      <w:r>
        <w:rPr>
          <w:rFonts w:ascii="宋体" w:hAnsi="宋体" w:cs="宋体"/>
          <w:color w:val="auto"/>
        </w:rPr>
        <w:t xml:space="preserve">12.2 </w:t>
      </w:r>
      <w:r>
        <w:rPr>
          <w:rFonts w:hint="eastAsia" w:ascii="宋体" w:hAnsi="宋体" w:cs="宋体"/>
          <w:color w:val="auto"/>
        </w:rPr>
        <w:t>响应文件须按附件格式要求进行电子签章，供应商应写全称。（电子磋商响应文件中所须加盖公章部分均应采用电子签章）</w:t>
      </w:r>
    </w:p>
    <w:p>
      <w:pPr>
        <w:pStyle w:val="55"/>
        <w:spacing w:before="0" w:line="336" w:lineRule="auto"/>
        <w:ind w:left="400" w:leftChars="200" w:firstLine="0" w:firstLineChars="0"/>
        <w:rPr>
          <w:rFonts w:ascii="宋体"/>
          <w:color w:val="auto"/>
        </w:rPr>
      </w:pPr>
      <w:r>
        <w:rPr>
          <w:rFonts w:ascii="宋体" w:hAnsi="宋体" w:cs="宋体"/>
          <w:color w:val="auto"/>
        </w:rPr>
        <w:t xml:space="preserve">12.3 </w:t>
      </w:r>
      <w:r>
        <w:rPr>
          <w:rFonts w:hint="eastAsia" w:ascii="宋体" w:hAnsi="宋体" w:cs="宋体"/>
          <w:color w:val="auto"/>
        </w:rPr>
        <w:t>全套响应文件应无涂改和行间插字，除非这些删改是根据采购代理机构要求进行，或者是供应商造成的必须修改的错误。所修改处应由法定代表人或其授权代表签字盖章予以确认。</w:t>
      </w:r>
    </w:p>
    <w:p>
      <w:pPr>
        <w:pStyle w:val="55"/>
        <w:spacing w:before="0" w:line="336" w:lineRule="auto"/>
        <w:ind w:left="400" w:leftChars="200" w:firstLine="0" w:firstLineChars="0"/>
        <w:rPr>
          <w:rFonts w:ascii="宋体"/>
          <w:color w:val="auto"/>
        </w:rPr>
      </w:pPr>
      <w:r>
        <w:rPr>
          <w:rFonts w:ascii="宋体" w:hAnsi="宋体" w:cs="宋体"/>
          <w:color w:val="auto"/>
        </w:rPr>
        <w:t xml:space="preserve">12.4 </w:t>
      </w:r>
      <w:r>
        <w:rPr>
          <w:rFonts w:hint="eastAsia" w:ascii="宋体" w:hAnsi="宋体" w:cs="宋体"/>
          <w:color w:val="auto"/>
        </w:rPr>
        <w:t>由于字迹模糊或表达不清引起的后果由供应商负责。</w:t>
      </w:r>
    </w:p>
    <w:p>
      <w:pPr>
        <w:pStyle w:val="55"/>
        <w:spacing w:before="0" w:line="336" w:lineRule="auto"/>
        <w:ind w:left="400" w:leftChars="200" w:firstLine="0" w:firstLineChars="0"/>
        <w:rPr>
          <w:rFonts w:ascii="宋体"/>
          <w:b/>
          <w:bCs/>
          <w:color w:val="auto"/>
        </w:rPr>
      </w:pPr>
      <w:r>
        <w:rPr>
          <w:rFonts w:ascii="宋体" w:hAnsi="宋体" w:cs="宋体"/>
          <w:b/>
          <w:bCs/>
          <w:color w:val="auto"/>
        </w:rPr>
        <w:t>13</w:t>
      </w:r>
      <w:r>
        <w:rPr>
          <w:rFonts w:hint="eastAsia" w:ascii="宋体" w:hAnsi="宋体" w:cs="宋体"/>
          <w:b/>
          <w:bCs/>
          <w:color w:val="auto"/>
        </w:rPr>
        <w:t>．</w:t>
      </w:r>
      <w:r>
        <w:rPr>
          <w:rFonts w:ascii="宋体" w:hAnsi="宋体" w:cs="宋体"/>
          <w:b/>
          <w:bCs/>
          <w:color w:val="auto"/>
        </w:rPr>
        <w:t xml:space="preserve"> </w:t>
      </w:r>
      <w:r>
        <w:rPr>
          <w:rFonts w:hint="eastAsia" w:ascii="宋体" w:hAnsi="宋体" w:cs="宋体"/>
          <w:b/>
          <w:bCs/>
          <w:color w:val="auto"/>
        </w:rPr>
        <w:t>响应文件的形式</w:t>
      </w:r>
    </w:p>
    <w:p>
      <w:pPr>
        <w:pStyle w:val="55"/>
        <w:spacing w:before="0" w:line="336" w:lineRule="auto"/>
        <w:ind w:left="400" w:leftChars="200" w:firstLine="0" w:firstLineChars="0"/>
        <w:rPr>
          <w:rFonts w:hint="eastAsia" w:ascii="宋体" w:hAnsi="宋体" w:cs="宋体"/>
          <w:color w:val="auto"/>
        </w:rPr>
      </w:pPr>
      <w:r>
        <w:rPr>
          <w:rFonts w:hint="eastAsia" w:ascii="宋体" w:hAnsi="宋体" w:cs="宋体"/>
          <w:color w:val="auto"/>
        </w:rPr>
        <w:t>响应文件为电子磋商响应文件，电子磋商响应文件按“政采云供应商项目采购</w:t>
      </w:r>
      <w:r>
        <w:rPr>
          <w:rFonts w:ascii="宋体" w:cs="宋体"/>
          <w:color w:val="auto"/>
        </w:rPr>
        <w:t>-</w:t>
      </w:r>
      <w:r>
        <w:rPr>
          <w:rFonts w:hint="eastAsia" w:ascii="宋体" w:hAnsi="宋体" w:cs="宋体"/>
          <w:color w:val="auto"/>
        </w:rPr>
        <w:t>电子招投标操作指南”及本磋商文件要求制作、加密传输。</w:t>
      </w:r>
    </w:p>
    <w:p>
      <w:pPr>
        <w:pStyle w:val="55"/>
        <w:spacing w:before="0" w:line="336" w:lineRule="auto"/>
        <w:ind w:left="400" w:leftChars="200" w:firstLine="0" w:firstLineChars="0"/>
        <w:rPr>
          <w:rFonts w:hint="eastAsia" w:ascii="宋体" w:hAnsi="宋体" w:cs="宋体"/>
          <w:color w:val="auto"/>
        </w:rPr>
      </w:pPr>
    </w:p>
    <w:p>
      <w:pPr>
        <w:pStyle w:val="6"/>
        <w:numPr>
          <w:ilvl w:val="0"/>
          <w:numId w:val="9"/>
        </w:numPr>
        <w:jc w:val="center"/>
        <w:rPr>
          <w:rFonts w:cs="Times New Roman"/>
          <w:color w:val="auto"/>
        </w:rPr>
      </w:pPr>
      <w:bookmarkStart w:id="68" w:name="_Toc1420"/>
      <w:r>
        <w:rPr>
          <w:color w:val="auto"/>
        </w:rPr>
        <w:t xml:space="preserve"> </w:t>
      </w:r>
      <w:bookmarkStart w:id="69" w:name="_Toc12610"/>
      <w:bookmarkStart w:id="70" w:name="_Toc32523"/>
      <w:bookmarkStart w:id="71" w:name="_Toc21266"/>
      <w:r>
        <w:rPr>
          <w:rFonts w:hint="eastAsia"/>
          <w:color w:val="auto"/>
        </w:rPr>
        <w:t>响应文件的递交</w:t>
      </w:r>
      <w:bookmarkEnd w:id="68"/>
      <w:bookmarkEnd w:id="69"/>
      <w:bookmarkEnd w:id="70"/>
      <w:bookmarkEnd w:id="71"/>
    </w:p>
    <w:p>
      <w:pPr>
        <w:pStyle w:val="13"/>
        <w:spacing w:line="336" w:lineRule="auto"/>
        <w:ind w:left="400" w:leftChars="200"/>
        <w:rPr>
          <w:rFonts w:hAnsi="宋体" w:cs="Times New Roman"/>
          <w:b/>
          <w:bCs/>
          <w:color w:val="auto"/>
          <w:sz w:val="24"/>
          <w:szCs w:val="24"/>
        </w:rPr>
      </w:pPr>
      <w:r>
        <w:rPr>
          <w:rFonts w:hAnsi="宋体"/>
          <w:b/>
          <w:bCs/>
          <w:color w:val="auto"/>
          <w:sz w:val="24"/>
          <w:szCs w:val="24"/>
        </w:rPr>
        <w:t>14</w:t>
      </w:r>
      <w:r>
        <w:rPr>
          <w:rFonts w:hint="eastAsia" w:hAnsi="宋体"/>
          <w:b/>
          <w:bCs/>
          <w:color w:val="auto"/>
          <w:sz w:val="24"/>
          <w:szCs w:val="24"/>
        </w:rPr>
        <w:t>、磋商响应截止期</w:t>
      </w:r>
    </w:p>
    <w:p>
      <w:pPr>
        <w:pStyle w:val="55"/>
        <w:numPr>
          <w:ilvl w:val="0"/>
          <w:numId w:val="14"/>
        </w:numPr>
        <w:spacing w:before="0" w:line="336" w:lineRule="auto"/>
        <w:ind w:firstLine="480"/>
        <w:rPr>
          <w:rFonts w:ascii="宋体"/>
          <w:color w:val="auto"/>
        </w:rPr>
      </w:pPr>
      <w:r>
        <w:rPr>
          <w:rFonts w:hint="eastAsia" w:ascii="宋体" w:hAnsi="宋体" w:cs="宋体"/>
          <w:color w:val="auto"/>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5"/>
        <w:numPr>
          <w:ilvl w:val="0"/>
          <w:numId w:val="14"/>
        </w:numPr>
        <w:spacing w:before="0" w:line="336" w:lineRule="auto"/>
        <w:ind w:firstLine="480"/>
        <w:rPr>
          <w:rFonts w:ascii="宋体"/>
          <w:color w:val="auto"/>
        </w:rPr>
      </w:pPr>
      <w:r>
        <w:rPr>
          <w:rFonts w:hint="eastAsia" w:ascii="宋体" w:hAnsi="宋体" w:cs="宋体"/>
          <w:color w:val="auto"/>
        </w:rPr>
        <w:t>采购人因故推迟磋商响应截止时间，将以公告形式通知。在这种情况下，采购人和供应商的权利和义务将受到新的截止时间的约束。</w:t>
      </w:r>
    </w:p>
    <w:p>
      <w:pPr>
        <w:pStyle w:val="13"/>
        <w:spacing w:line="336" w:lineRule="auto"/>
        <w:ind w:left="400" w:leftChars="200"/>
        <w:rPr>
          <w:rFonts w:hAnsi="宋体" w:cs="Times New Roman"/>
          <w:b/>
          <w:bCs/>
          <w:color w:val="auto"/>
          <w:sz w:val="24"/>
          <w:szCs w:val="24"/>
        </w:rPr>
      </w:pPr>
      <w:r>
        <w:rPr>
          <w:rFonts w:hAnsi="宋体"/>
          <w:b/>
          <w:bCs/>
          <w:color w:val="auto"/>
          <w:sz w:val="24"/>
          <w:szCs w:val="24"/>
        </w:rPr>
        <w:t>15</w:t>
      </w:r>
      <w:r>
        <w:rPr>
          <w:rFonts w:hint="eastAsia" w:hAnsi="宋体"/>
          <w:b/>
          <w:bCs/>
          <w:color w:val="auto"/>
          <w:sz w:val="24"/>
          <w:szCs w:val="24"/>
        </w:rPr>
        <w:t>、响应文件的修改、撤销</w:t>
      </w:r>
    </w:p>
    <w:p>
      <w:pPr>
        <w:pStyle w:val="13"/>
        <w:spacing w:line="336" w:lineRule="auto"/>
        <w:ind w:firstLine="480" w:firstLineChars="200"/>
        <w:rPr>
          <w:rFonts w:hint="eastAsia" w:hAnsi="宋体"/>
          <w:color w:val="auto"/>
          <w:sz w:val="24"/>
          <w:szCs w:val="24"/>
        </w:rPr>
      </w:pPr>
      <w:r>
        <w:rPr>
          <w:rFonts w:hint="eastAsia" w:hAnsi="宋体"/>
          <w:color w:val="auto"/>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rPr>
          <w:color w:val="auto"/>
        </w:rPr>
      </w:pPr>
    </w:p>
    <w:p>
      <w:pPr>
        <w:pStyle w:val="6"/>
        <w:numPr>
          <w:ilvl w:val="0"/>
          <w:numId w:val="9"/>
        </w:numPr>
        <w:jc w:val="center"/>
        <w:rPr>
          <w:rFonts w:hAnsi="宋体" w:cs="Times New Roman"/>
          <w:color w:val="auto"/>
        </w:rPr>
      </w:pPr>
      <w:r>
        <w:rPr>
          <w:color w:val="auto"/>
        </w:rPr>
        <w:t xml:space="preserve"> </w:t>
      </w:r>
      <w:bookmarkStart w:id="72" w:name="_Toc31149"/>
      <w:bookmarkStart w:id="73" w:name="_Toc24120"/>
      <w:bookmarkStart w:id="74" w:name="_Toc27301"/>
      <w:r>
        <w:rPr>
          <w:rFonts w:hint="eastAsia"/>
          <w:color w:val="auto"/>
        </w:rPr>
        <w:t>磋商无效的情形</w:t>
      </w:r>
      <w:bookmarkEnd w:id="72"/>
      <w:bookmarkEnd w:id="73"/>
      <w:bookmarkEnd w:id="74"/>
    </w:p>
    <w:p>
      <w:pPr>
        <w:pStyle w:val="13"/>
        <w:snapToGrid w:val="0"/>
        <w:spacing w:line="336" w:lineRule="auto"/>
        <w:ind w:firstLine="482" w:firstLineChars="200"/>
        <w:rPr>
          <w:rFonts w:hAnsi="宋体" w:cs="Times New Roman"/>
          <w:b/>
          <w:bCs/>
          <w:color w:val="auto"/>
          <w:sz w:val="24"/>
          <w:szCs w:val="24"/>
        </w:rPr>
      </w:pPr>
      <w:r>
        <w:rPr>
          <w:rFonts w:hAnsi="宋体"/>
          <w:b/>
          <w:bCs/>
          <w:color w:val="auto"/>
          <w:sz w:val="24"/>
          <w:szCs w:val="24"/>
        </w:rPr>
        <w:t>16.</w:t>
      </w:r>
      <w:r>
        <w:rPr>
          <w:rFonts w:hint="eastAsia" w:hAnsi="宋体"/>
          <w:b/>
          <w:bCs/>
          <w:color w:val="auto"/>
          <w:sz w:val="24"/>
          <w:szCs w:val="24"/>
        </w:rPr>
        <w:t>无效响应</w:t>
      </w:r>
    </w:p>
    <w:p>
      <w:pPr>
        <w:pStyle w:val="13"/>
        <w:snapToGrid w:val="0"/>
        <w:spacing w:line="336" w:lineRule="auto"/>
        <w:ind w:firstLine="480" w:firstLineChars="200"/>
        <w:rPr>
          <w:rFonts w:hAnsi="宋体" w:cs="Times New Roman"/>
          <w:color w:val="auto"/>
          <w:sz w:val="24"/>
          <w:szCs w:val="24"/>
        </w:rPr>
      </w:pPr>
      <w:r>
        <w:rPr>
          <w:rFonts w:hint="eastAsia" w:hAnsi="宋体"/>
          <w:color w:val="auto"/>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w:t>
      </w:r>
      <w:r>
        <w:rPr>
          <w:rFonts w:hint="eastAsia" w:ascii="宋体" w:hAnsi="宋体" w:cs="宋体"/>
          <w:b/>
          <w:bCs/>
          <w:color w:val="auto"/>
          <w:sz w:val="24"/>
          <w:szCs w:val="24"/>
        </w:rPr>
        <w:t>未按照磋商文件规定要求签署、盖章的；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16.2</w:t>
      </w:r>
      <w:r>
        <w:rPr>
          <w:rFonts w:hint="eastAsia" w:ascii="宋体" w:hAnsi="宋体" w:cs="宋体"/>
          <w:b/>
          <w:bCs/>
          <w:color w:val="auto"/>
          <w:sz w:val="24"/>
          <w:szCs w:val="24"/>
        </w:rPr>
        <w:t>《法定代表人授权书》填写不全、错误、未加盖供应商公章（公章和签字或盖章缺一不可）；</w:t>
      </w:r>
      <w:r>
        <w:rPr>
          <w:rFonts w:ascii="宋体" w:hAnsi="宋体" w:cs="宋体"/>
          <w:b/>
          <w:bCs/>
          <w:color w:val="auto"/>
          <w:sz w:val="24"/>
          <w:szCs w:val="24"/>
        </w:rPr>
        <w:t xml:space="preserve"> </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16.3</w:t>
      </w:r>
      <w:r>
        <w:rPr>
          <w:rFonts w:hint="eastAsia" w:ascii="宋体" w:hAnsi="宋体" w:cs="宋体"/>
          <w:b/>
          <w:bCs/>
          <w:color w:val="auto"/>
          <w:sz w:val="24"/>
          <w:szCs w:val="24"/>
        </w:rPr>
        <w:t>个体工商户的身份证明与营业执照不一致的；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16.4</w:t>
      </w:r>
      <w:r>
        <w:rPr>
          <w:rFonts w:hint="eastAsia" w:ascii="宋体" w:hAnsi="宋体" w:cs="宋体"/>
          <w:b/>
          <w:bCs/>
          <w:color w:val="auto"/>
          <w:sz w:val="24"/>
          <w:szCs w:val="24"/>
        </w:rPr>
        <w:t>响应文件中的磋商函未加盖供应商的企业公章或填写不全的；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16.5</w:t>
      </w:r>
      <w:r>
        <w:rPr>
          <w:rFonts w:hint="eastAsia" w:ascii="宋体" w:hAnsi="宋体" w:cs="宋体"/>
          <w:b/>
          <w:bCs/>
          <w:color w:val="auto"/>
          <w:sz w:val="24"/>
          <w:szCs w:val="24"/>
        </w:rPr>
        <w:t>报价一经涂改，未在涂改处加盖投标单位公章或者未经法定代表人或其授权代表签字或盖章的；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16.6</w:t>
      </w:r>
      <w:r>
        <w:rPr>
          <w:rFonts w:hint="eastAsia" w:ascii="宋体" w:hAnsi="宋体" w:cs="宋体"/>
          <w:b/>
          <w:bCs/>
          <w:color w:val="auto"/>
          <w:sz w:val="24"/>
          <w:szCs w:val="24"/>
        </w:rPr>
        <w:t>因未按规定的格式填写，内容不全或主要实质性内容字迹模糊辨认不清</w:t>
      </w:r>
      <w:r>
        <w:rPr>
          <w:rFonts w:ascii="宋体" w:cs="宋体"/>
          <w:b/>
          <w:bCs/>
          <w:color w:val="auto"/>
          <w:sz w:val="24"/>
          <w:szCs w:val="24"/>
        </w:rPr>
        <w:t>,</w:t>
      </w:r>
      <w:r>
        <w:rPr>
          <w:rFonts w:hint="eastAsia" w:ascii="宋体" w:hAnsi="宋体" w:cs="宋体"/>
          <w:b/>
          <w:bCs/>
          <w:color w:val="auto"/>
          <w:sz w:val="24"/>
          <w:szCs w:val="24"/>
        </w:rPr>
        <w:t>经评标委员会认定为无法评审的；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16.7</w:t>
      </w:r>
      <w:r>
        <w:rPr>
          <w:rFonts w:hint="eastAsia" w:ascii="宋体" w:hAnsi="宋体" w:cs="宋体"/>
          <w:b/>
          <w:bCs/>
          <w:color w:val="auto"/>
          <w:sz w:val="24"/>
          <w:szCs w:val="24"/>
        </w:rPr>
        <w:t>出现同一标的物或本次采购产品</w:t>
      </w:r>
      <w:r>
        <w:rPr>
          <w:rFonts w:ascii="宋体" w:hAnsi="宋体" w:cs="宋体"/>
          <w:b/>
          <w:bCs/>
          <w:color w:val="auto"/>
          <w:sz w:val="24"/>
          <w:szCs w:val="24"/>
        </w:rPr>
        <w:t>(</w:t>
      </w:r>
      <w:r>
        <w:rPr>
          <w:rFonts w:hint="eastAsia" w:ascii="宋体" w:hAnsi="宋体" w:cs="宋体"/>
          <w:b/>
          <w:bCs/>
          <w:color w:val="auto"/>
          <w:sz w:val="24"/>
          <w:szCs w:val="24"/>
        </w:rPr>
        <w:t>服务</w:t>
      </w:r>
      <w:r>
        <w:rPr>
          <w:rFonts w:ascii="宋体" w:hAnsi="宋体" w:cs="宋体"/>
          <w:b/>
          <w:bCs/>
          <w:color w:val="auto"/>
          <w:sz w:val="24"/>
          <w:szCs w:val="24"/>
        </w:rPr>
        <w:t>)</w:t>
      </w:r>
      <w:r>
        <w:rPr>
          <w:rFonts w:hint="eastAsia" w:ascii="宋体" w:hAnsi="宋体" w:cs="宋体"/>
          <w:b/>
          <w:bCs/>
          <w:color w:val="auto"/>
          <w:sz w:val="24"/>
          <w:szCs w:val="24"/>
        </w:rPr>
        <w:t>内的主要产品</w:t>
      </w:r>
      <w:r>
        <w:rPr>
          <w:rFonts w:ascii="宋体" w:hAnsi="宋体" w:cs="宋体"/>
          <w:b/>
          <w:bCs/>
          <w:color w:val="auto"/>
          <w:sz w:val="24"/>
          <w:szCs w:val="24"/>
        </w:rPr>
        <w:t>(</w:t>
      </w:r>
      <w:r>
        <w:rPr>
          <w:rFonts w:hint="eastAsia" w:ascii="宋体" w:hAnsi="宋体" w:cs="宋体"/>
          <w:b/>
          <w:bCs/>
          <w:color w:val="auto"/>
          <w:sz w:val="24"/>
          <w:szCs w:val="24"/>
        </w:rPr>
        <w:t>重要组成部分</w:t>
      </w:r>
      <w:r>
        <w:rPr>
          <w:rFonts w:ascii="宋体" w:hAnsi="宋体" w:cs="宋体"/>
          <w:b/>
          <w:bCs/>
          <w:color w:val="auto"/>
          <w:sz w:val="24"/>
          <w:szCs w:val="24"/>
        </w:rPr>
        <w:t>)</w:t>
      </w:r>
      <w:r>
        <w:rPr>
          <w:rFonts w:hint="eastAsia" w:ascii="宋体" w:hAnsi="宋体" w:cs="宋体"/>
          <w:b/>
          <w:bCs/>
          <w:color w:val="auto"/>
          <w:sz w:val="24"/>
          <w:szCs w:val="24"/>
        </w:rPr>
        <w:t>出现技术、商务描述不一致或前后描述不一致，经评标委员会认定后为无法评审的；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16.8</w:t>
      </w:r>
      <w:r>
        <w:rPr>
          <w:rFonts w:hint="eastAsia" w:ascii="宋体" w:hAnsi="宋体" w:cs="宋体"/>
          <w:b/>
          <w:bCs/>
          <w:color w:val="auto"/>
          <w:sz w:val="24"/>
          <w:szCs w:val="24"/>
        </w:rPr>
        <w:t>响应详细配置清单响应表不真实填写或弄虚作假的；改变磋商文件提供的清单中的计量单位、工程数量；</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16.9</w:t>
      </w:r>
      <w:r>
        <w:rPr>
          <w:rFonts w:hint="eastAsia" w:ascii="宋体" w:hAnsi="宋体" w:cs="宋体"/>
          <w:b/>
          <w:bCs/>
          <w:color w:val="auto"/>
          <w:sz w:val="24"/>
          <w:szCs w:val="24"/>
        </w:rPr>
        <w:t>对采购产品技术规格未详细应答，致使其技术文件无法评审的；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16.10</w:t>
      </w:r>
      <w:r>
        <w:rPr>
          <w:rFonts w:hint="eastAsia" w:ascii="宋体" w:hAnsi="宋体" w:cs="宋体"/>
          <w:b/>
          <w:bCs/>
          <w:color w:val="auto"/>
          <w:sz w:val="24"/>
          <w:szCs w:val="24"/>
        </w:rPr>
        <w:t>响应文件有采购方不能接受的条件；</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16.11</w:t>
      </w:r>
      <w:r>
        <w:rPr>
          <w:rFonts w:hint="eastAsia" w:ascii="宋体" w:hAnsi="宋体" w:cs="宋体"/>
          <w:b/>
          <w:bCs/>
          <w:color w:val="auto"/>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16.12</w:t>
      </w:r>
      <w:r>
        <w:rPr>
          <w:rFonts w:hint="eastAsia" w:ascii="宋体" w:hAnsi="宋体" w:cs="宋体"/>
          <w:b/>
          <w:bCs/>
          <w:color w:val="auto"/>
          <w:sz w:val="24"/>
          <w:szCs w:val="24"/>
        </w:rPr>
        <w:t>磋商报价超过预算金额或最高限价的；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16.13</w:t>
      </w:r>
      <w:r>
        <w:rPr>
          <w:rFonts w:hint="eastAsia" w:ascii="宋体" w:hAnsi="宋体" w:cs="宋体"/>
          <w:b/>
          <w:bCs/>
          <w:color w:val="auto"/>
          <w:sz w:val="24"/>
          <w:szCs w:val="24"/>
        </w:rPr>
        <w:t>响应文件“商务技术文件资料”部分中出现《报价一览表》或《磋商报价明细表》相关内容的；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16.14</w:t>
      </w:r>
      <w:r>
        <w:rPr>
          <w:rFonts w:hint="eastAsia" w:ascii="宋体" w:hAnsi="宋体" w:cs="宋体"/>
          <w:b/>
          <w:bCs/>
          <w:color w:val="auto"/>
          <w:sz w:val="24"/>
          <w:szCs w:val="24"/>
        </w:rPr>
        <w:t>评标委员会认定有重大偏差或实质性不响应磋商文件要求的，即“★”的关键性指标及技术参数要求负偏离或缺漏；</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16.15</w:t>
      </w:r>
      <w:r>
        <w:rPr>
          <w:rFonts w:hint="eastAsia" w:ascii="宋体" w:hAnsi="宋体" w:cs="宋体"/>
          <w:b/>
          <w:bCs/>
          <w:color w:val="auto"/>
          <w:sz w:val="24"/>
          <w:szCs w:val="24"/>
        </w:rPr>
        <w:t>供应商拒绝按磋商文件规定的修正原则对响应文件进行修改的；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w:t>
      </w:r>
      <w:r>
        <w:rPr>
          <w:rFonts w:hint="eastAsia" w:ascii="宋体" w:hAnsi="宋体" w:cs="宋体"/>
          <w:b/>
          <w:bCs/>
          <w:color w:val="auto"/>
          <w:sz w:val="24"/>
          <w:szCs w:val="24"/>
        </w:rPr>
        <w:t>有下列情形之一的，视为供应商串通投标，其投标无效：</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16.16.1</w:t>
      </w:r>
      <w:r>
        <w:rPr>
          <w:rFonts w:hint="eastAsia" w:ascii="宋体" w:hAnsi="宋体" w:cs="宋体"/>
          <w:b/>
          <w:bCs/>
          <w:color w:val="auto"/>
          <w:sz w:val="24"/>
          <w:szCs w:val="24"/>
        </w:rPr>
        <w:t>不同供应商的响应文件由同一单位或者个人编制；</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16.16.2</w:t>
      </w:r>
      <w:r>
        <w:rPr>
          <w:rFonts w:hint="eastAsia" w:ascii="宋体" w:hAnsi="宋体" w:cs="宋体"/>
          <w:b/>
          <w:bCs/>
          <w:color w:val="auto"/>
          <w:sz w:val="24"/>
          <w:szCs w:val="24"/>
        </w:rPr>
        <w:t>不同供应商委托同一单位或者个人办理投标事宜；</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16.16.3</w:t>
      </w:r>
      <w:r>
        <w:rPr>
          <w:rFonts w:hint="eastAsia" w:ascii="宋体" w:hAnsi="宋体" w:cs="宋体"/>
          <w:b/>
          <w:bCs/>
          <w:color w:val="auto"/>
          <w:sz w:val="24"/>
          <w:szCs w:val="24"/>
        </w:rPr>
        <w:t>不同供应商的响应文件载明的项目管理成员或者联系人员为同一人；</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16.16.4</w:t>
      </w:r>
      <w:r>
        <w:rPr>
          <w:rFonts w:hint="eastAsia" w:ascii="宋体" w:hAnsi="宋体" w:cs="宋体"/>
          <w:b/>
          <w:bCs/>
          <w:color w:val="auto"/>
          <w:sz w:val="24"/>
          <w:szCs w:val="24"/>
        </w:rPr>
        <w:t>不同供应商的响应文件异常一致或者投标报价呈规律性差异；</w:t>
      </w:r>
    </w:p>
    <w:p>
      <w:pPr>
        <w:spacing w:line="336" w:lineRule="auto"/>
        <w:ind w:firstLine="482" w:firstLineChars="200"/>
        <w:rPr>
          <w:rFonts w:hint="eastAsia" w:ascii="宋体" w:hAnsi="宋体" w:cs="宋体"/>
          <w:b/>
          <w:bCs/>
          <w:color w:val="auto"/>
          <w:sz w:val="24"/>
          <w:szCs w:val="24"/>
        </w:rPr>
      </w:pPr>
      <w:r>
        <w:rPr>
          <w:rFonts w:ascii="宋体" w:hAnsi="宋体" w:cs="宋体"/>
          <w:b/>
          <w:bCs/>
          <w:color w:val="auto"/>
          <w:sz w:val="24"/>
          <w:szCs w:val="24"/>
        </w:rPr>
        <w:t>16.16.5</w:t>
      </w:r>
      <w:r>
        <w:rPr>
          <w:rFonts w:hint="eastAsia" w:ascii="宋体" w:hAnsi="宋体" w:cs="宋体"/>
          <w:b/>
          <w:bCs/>
          <w:color w:val="auto"/>
          <w:sz w:val="24"/>
          <w:szCs w:val="24"/>
        </w:rPr>
        <w:t>不同供应商提供的响应文件出自同一终端设备的，或在相同</w:t>
      </w:r>
      <w:r>
        <w:rPr>
          <w:rFonts w:ascii="宋体" w:hAnsi="宋体" w:cs="宋体"/>
          <w:b/>
          <w:bCs/>
          <w:color w:val="auto"/>
          <w:sz w:val="24"/>
          <w:szCs w:val="24"/>
        </w:rPr>
        <w:t>Internet</w:t>
      </w:r>
      <w:r>
        <w:rPr>
          <w:rFonts w:hint="eastAsia" w:ascii="宋体" w:hAnsi="宋体" w:cs="宋体"/>
          <w:b/>
          <w:bCs/>
          <w:color w:val="auto"/>
          <w:sz w:val="24"/>
          <w:szCs w:val="24"/>
        </w:rPr>
        <w:t>主机分配地址（相同</w:t>
      </w:r>
      <w:r>
        <w:rPr>
          <w:rFonts w:ascii="宋体" w:hAnsi="宋体" w:cs="宋体"/>
          <w:b/>
          <w:bCs/>
          <w:color w:val="auto"/>
          <w:sz w:val="24"/>
          <w:szCs w:val="24"/>
        </w:rPr>
        <w:t>IP</w:t>
      </w:r>
      <w:r>
        <w:rPr>
          <w:rFonts w:hint="eastAsia" w:ascii="宋体" w:hAnsi="宋体" w:cs="宋体"/>
          <w:b/>
          <w:bCs/>
          <w:color w:val="auto"/>
          <w:sz w:val="24"/>
          <w:szCs w:val="24"/>
        </w:rPr>
        <w:t>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16.1</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其他违反法律、法规的情形。</w:t>
      </w:r>
    </w:p>
    <w:p>
      <w:pPr>
        <w:pStyle w:val="6"/>
        <w:rPr>
          <w:rFonts w:hint="eastAsia"/>
          <w:color w:val="auto"/>
        </w:rPr>
      </w:pPr>
    </w:p>
    <w:p>
      <w:pPr>
        <w:pStyle w:val="6"/>
        <w:numPr>
          <w:ilvl w:val="0"/>
          <w:numId w:val="9"/>
        </w:numPr>
        <w:jc w:val="center"/>
        <w:rPr>
          <w:rFonts w:cs="Times New Roman"/>
          <w:color w:val="auto"/>
        </w:rPr>
      </w:pPr>
      <w:r>
        <w:rPr>
          <w:color w:val="auto"/>
        </w:rPr>
        <w:t xml:space="preserve"> </w:t>
      </w:r>
      <w:bookmarkStart w:id="75" w:name="_Toc21752"/>
      <w:bookmarkStart w:id="76" w:name="_Toc6023"/>
      <w:bookmarkStart w:id="77" w:name="_Toc7652"/>
      <w:r>
        <w:rPr>
          <w:rFonts w:hint="eastAsia"/>
          <w:color w:val="auto"/>
        </w:rPr>
        <w:t>采购中止的情形</w:t>
      </w:r>
      <w:bookmarkEnd w:id="75"/>
      <w:bookmarkEnd w:id="76"/>
      <w:bookmarkEnd w:id="77"/>
    </w:p>
    <w:p>
      <w:pPr>
        <w:pStyle w:val="13"/>
        <w:spacing w:line="336" w:lineRule="auto"/>
        <w:ind w:left="400" w:leftChars="200"/>
        <w:rPr>
          <w:rFonts w:hAnsi="宋体" w:cs="Times New Roman"/>
          <w:b/>
          <w:bCs/>
          <w:color w:val="auto"/>
          <w:sz w:val="24"/>
          <w:szCs w:val="24"/>
        </w:rPr>
      </w:pPr>
      <w:r>
        <w:rPr>
          <w:rFonts w:hAnsi="宋体"/>
          <w:b/>
          <w:bCs/>
          <w:color w:val="auto"/>
          <w:sz w:val="24"/>
          <w:szCs w:val="24"/>
        </w:rPr>
        <w:t>17</w:t>
      </w:r>
      <w:r>
        <w:rPr>
          <w:rFonts w:hint="eastAsia" w:hAnsi="宋体"/>
          <w:b/>
          <w:bCs/>
          <w:color w:val="auto"/>
          <w:sz w:val="24"/>
          <w:szCs w:val="24"/>
        </w:rPr>
        <w:t>、</w:t>
      </w:r>
      <w:r>
        <w:rPr>
          <w:rFonts w:hint="eastAsia" w:hAnsi="宋体"/>
          <w:b/>
          <w:bCs/>
          <w:color w:val="auto"/>
          <w:sz w:val="24"/>
          <w:szCs w:val="24"/>
          <w:lang w:val="zh-CN"/>
        </w:rPr>
        <w:t>中止电子交易活动和</w:t>
      </w:r>
      <w:r>
        <w:rPr>
          <w:rFonts w:hint="eastAsia" w:hAnsi="宋体"/>
          <w:b/>
          <w:bCs/>
          <w:color w:val="auto"/>
          <w:sz w:val="24"/>
          <w:szCs w:val="24"/>
        </w:rPr>
        <w:t>重新组织采购</w:t>
      </w:r>
    </w:p>
    <w:p>
      <w:pPr>
        <w:pStyle w:val="55"/>
        <w:tabs>
          <w:tab w:val="left" w:pos="0"/>
        </w:tabs>
        <w:spacing w:before="0" w:line="336" w:lineRule="auto"/>
        <w:ind w:left="400" w:leftChars="200" w:firstLine="0" w:firstLineChars="0"/>
        <w:rPr>
          <w:rFonts w:ascii="宋体"/>
          <w:color w:val="auto"/>
          <w:lang w:val="zh-CN"/>
        </w:rPr>
      </w:pPr>
      <w:r>
        <w:rPr>
          <w:rFonts w:ascii="宋体" w:hAnsi="宋体" w:cs="宋体"/>
          <w:color w:val="auto"/>
        </w:rPr>
        <w:t>17.1</w:t>
      </w:r>
      <w:r>
        <w:rPr>
          <w:rFonts w:hint="eastAsia" w:ascii="宋体" w:hAnsi="宋体" w:cs="宋体"/>
          <w:color w:val="auto"/>
          <w:lang w:val="zh-CN"/>
        </w:rPr>
        <w:t>采购过程中出现以下情形，导致电子交易平台无法正常运行，或者无法保证电子交易的公平、公正和安全时，采购组织机构可中止电子交易活动：</w:t>
      </w:r>
    </w:p>
    <w:p>
      <w:pPr>
        <w:numPr>
          <w:ilvl w:val="0"/>
          <w:numId w:val="15"/>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电子交易平台发生故障而无法登录访问的；</w:t>
      </w:r>
      <w:r>
        <w:rPr>
          <w:rFonts w:ascii="宋体" w:hAnsi="宋体" w:cs="宋体"/>
          <w:color w:val="auto"/>
          <w:sz w:val="24"/>
          <w:szCs w:val="24"/>
        </w:rPr>
        <w:t xml:space="preserve"> </w:t>
      </w:r>
    </w:p>
    <w:p>
      <w:pPr>
        <w:numPr>
          <w:ilvl w:val="0"/>
          <w:numId w:val="15"/>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电子交易平台应用或数据库出现错误，不能进行正常操作的；</w:t>
      </w:r>
    </w:p>
    <w:p>
      <w:pPr>
        <w:numPr>
          <w:ilvl w:val="0"/>
          <w:numId w:val="15"/>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电子交易平台发现严重安全漏洞，有潜在泄密危险的；</w:t>
      </w:r>
    </w:p>
    <w:p>
      <w:pPr>
        <w:numPr>
          <w:ilvl w:val="0"/>
          <w:numId w:val="15"/>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病毒发作导致不能进行正常操作的；</w:t>
      </w:r>
      <w:r>
        <w:rPr>
          <w:rFonts w:ascii="宋体" w:hAnsi="宋体" w:cs="宋体"/>
          <w:color w:val="auto"/>
          <w:sz w:val="24"/>
          <w:szCs w:val="24"/>
        </w:rPr>
        <w:t xml:space="preserve"> </w:t>
      </w:r>
    </w:p>
    <w:p>
      <w:pPr>
        <w:numPr>
          <w:ilvl w:val="0"/>
          <w:numId w:val="15"/>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其他无法保证电子交易的公平、公正和安全的情况。</w:t>
      </w:r>
    </w:p>
    <w:p>
      <w:pPr>
        <w:pStyle w:val="55"/>
        <w:tabs>
          <w:tab w:val="left" w:pos="0"/>
        </w:tabs>
        <w:spacing w:before="0" w:line="336" w:lineRule="auto"/>
        <w:ind w:firstLine="480"/>
        <w:rPr>
          <w:rFonts w:hint="eastAsia" w:ascii="宋体" w:hAnsi="宋体" w:cs="宋体"/>
          <w:color w:val="auto"/>
        </w:rPr>
      </w:pPr>
      <w:r>
        <w:rPr>
          <w:rFonts w:ascii="宋体" w:hAnsi="宋体" w:cs="宋体"/>
          <w:color w:val="auto"/>
        </w:rPr>
        <w:t>17.2</w:t>
      </w:r>
      <w:r>
        <w:rPr>
          <w:rFonts w:hint="eastAsia" w:ascii="宋体" w:hAnsi="宋体" w:cs="宋体"/>
          <w:color w:val="auto"/>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55"/>
        <w:tabs>
          <w:tab w:val="left" w:pos="0"/>
        </w:tabs>
        <w:spacing w:before="0" w:line="336" w:lineRule="auto"/>
        <w:ind w:firstLine="480"/>
        <w:rPr>
          <w:rFonts w:hint="eastAsia" w:ascii="宋体" w:hAnsi="宋体" w:cs="宋体"/>
          <w:color w:val="auto"/>
        </w:rPr>
      </w:pPr>
    </w:p>
    <w:p>
      <w:pPr>
        <w:pStyle w:val="6"/>
        <w:numPr>
          <w:ilvl w:val="0"/>
          <w:numId w:val="9"/>
        </w:numPr>
        <w:jc w:val="center"/>
        <w:rPr>
          <w:rFonts w:cs="Times New Roman"/>
          <w:color w:val="auto"/>
        </w:rPr>
      </w:pPr>
      <w:r>
        <w:rPr>
          <w:color w:val="auto"/>
        </w:rPr>
        <w:t xml:space="preserve"> </w:t>
      </w:r>
      <w:bookmarkStart w:id="78" w:name="_Toc14029"/>
      <w:bookmarkStart w:id="79" w:name="_Toc5935"/>
      <w:bookmarkStart w:id="80" w:name="_Toc10208"/>
      <w:r>
        <w:rPr>
          <w:rFonts w:hint="eastAsia"/>
          <w:color w:val="auto"/>
        </w:rPr>
        <w:t>确定成交供应商与签订合同</w:t>
      </w:r>
      <w:bookmarkEnd w:id="78"/>
      <w:bookmarkEnd w:id="79"/>
      <w:bookmarkEnd w:id="80"/>
    </w:p>
    <w:p>
      <w:pPr>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18</w:t>
      </w:r>
      <w:r>
        <w:rPr>
          <w:rFonts w:hint="eastAsia" w:ascii="宋体" w:hAnsi="宋体" w:cs="宋体"/>
          <w:b/>
          <w:bCs/>
          <w:color w:val="auto"/>
          <w:sz w:val="24"/>
          <w:szCs w:val="24"/>
        </w:rPr>
        <w:t>、推荐成交候选供应商</w:t>
      </w:r>
    </w:p>
    <w:p>
      <w:pPr>
        <w:snapToGrid w:val="0"/>
        <w:spacing w:line="336" w:lineRule="auto"/>
        <w:ind w:firstLine="480" w:firstLineChars="200"/>
        <w:rPr>
          <w:rFonts w:ascii="宋体"/>
          <w:color w:val="auto"/>
          <w:sz w:val="24"/>
          <w:szCs w:val="24"/>
        </w:rPr>
      </w:pPr>
      <w:r>
        <w:rPr>
          <w:rFonts w:ascii="宋体" w:hAnsi="宋体" w:cs="宋体"/>
          <w:color w:val="auto"/>
          <w:sz w:val="24"/>
          <w:szCs w:val="24"/>
        </w:rPr>
        <w:t xml:space="preserve">18.1 </w:t>
      </w:r>
      <w:r>
        <w:rPr>
          <w:rFonts w:hint="eastAsia" w:ascii="宋体" w:hAnsi="宋体" w:cs="宋体"/>
          <w:color w:val="auto"/>
          <w:sz w:val="24"/>
          <w:szCs w:val="24"/>
        </w:rPr>
        <w:t>磋商小组应当根据综合评分情况，按照评审得分由高到低顺序推荐</w:t>
      </w:r>
      <w:r>
        <w:rPr>
          <w:rFonts w:ascii="宋体" w:hAnsi="宋体" w:cs="宋体"/>
          <w:color w:val="auto"/>
          <w:sz w:val="24"/>
          <w:szCs w:val="24"/>
        </w:rPr>
        <w:t>1</w:t>
      </w:r>
      <w:r>
        <w:rPr>
          <w:rFonts w:hint="eastAsia" w:ascii="宋体" w:hAnsi="宋体" w:cs="宋体"/>
          <w:color w:val="auto"/>
          <w:sz w:val="24"/>
          <w:szCs w:val="24"/>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color w:val="auto"/>
          <w:sz w:val="24"/>
          <w:szCs w:val="24"/>
        </w:rPr>
      </w:pPr>
      <w:r>
        <w:rPr>
          <w:rFonts w:ascii="宋体" w:hAnsi="宋体" w:cs="宋体"/>
          <w:color w:val="auto"/>
          <w:sz w:val="24"/>
          <w:szCs w:val="24"/>
        </w:rPr>
        <w:t xml:space="preserve">18.2 </w:t>
      </w:r>
      <w:r>
        <w:rPr>
          <w:rFonts w:hint="eastAsia" w:ascii="宋体" w:hAnsi="宋体" w:cs="宋体"/>
          <w:color w:val="auto"/>
          <w:sz w:val="24"/>
          <w:szCs w:val="24"/>
        </w:rPr>
        <w:t>采购代理机构应当在评审结束后</w:t>
      </w:r>
      <w:r>
        <w:rPr>
          <w:rFonts w:ascii="宋体" w:hAnsi="宋体" w:cs="宋体"/>
          <w:color w:val="auto"/>
          <w:sz w:val="24"/>
          <w:szCs w:val="24"/>
        </w:rPr>
        <w:t>2</w:t>
      </w:r>
      <w:r>
        <w:rPr>
          <w:rFonts w:hint="eastAsia" w:ascii="宋体" w:hAnsi="宋体" w:cs="宋体"/>
          <w:color w:val="auto"/>
          <w:sz w:val="24"/>
          <w:szCs w:val="24"/>
        </w:rPr>
        <w:t>个工作日内将评审报告送采购人确认。</w:t>
      </w:r>
    </w:p>
    <w:p>
      <w:pPr>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19</w:t>
      </w:r>
      <w:r>
        <w:rPr>
          <w:rFonts w:hint="eastAsia" w:ascii="宋体" w:hAnsi="宋体" w:cs="宋体"/>
          <w:b/>
          <w:bCs/>
          <w:color w:val="auto"/>
          <w:sz w:val="24"/>
          <w:szCs w:val="24"/>
        </w:rPr>
        <w:t>、确定成交供应商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19.1</w:t>
      </w:r>
      <w:r>
        <w:rPr>
          <w:rFonts w:hint="eastAsia" w:ascii="宋体" w:hAnsi="宋体" w:cs="宋体"/>
          <w:color w:val="auto"/>
          <w:sz w:val="24"/>
          <w:szCs w:val="24"/>
        </w:rPr>
        <w:t>采购人应当在收到评审报告后</w:t>
      </w:r>
      <w:r>
        <w:rPr>
          <w:rFonts w:ascii="宋体" w:hAnsi="宋体" w:cs="宋体"/>
          <w:color w:val="auto"/>
          <w:sz w:val="24"/>
          <w:szCs w:val="24"/>
        </w:rPr>
        <w:t>5</w:t>
      </w:r>
      <w:r>
        <w:rPr>
          <w:rFonts w:hint="eastAsia" w:ascii="宋体" w:hAnsi="宋体" w:cs="宋体"/>
          <w:color w:val="auto"/>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19.2</w:t>
      </w:r>
      <w:r>
        <w:rPr>
          <w:rFonts w:hint="eastAsia" w:ascii="宋体" w:hAnsi="宋体" w:cs="宋体"/>
          <w:color w:val="auto"/>
          <w:sz w:val="24"/>
          <w:szCs w:val="24"/>
        </w:rPr>
        <w:t>采购人或者采购代理机构应当在成交供应商确定后</w:t>
      </w:r>
      <w:r>
        <w:rPr>
          <w:rFonts w:ascii="宋体" w:hAnsi="宋体" w:cs="宋体"/>
          <w:color w:val="auto"/>
          <w:sz w:val="24"/>
          <w:szCs w:val="24"/>
        </w:rPr>
        <w:t>2</w:t>
      </w:r>
      <w:r>
        <w:rPr>
          <w:rFonts w:hint="eastAsia" w:ascii="宋体" w:hAnsi="宋体" w:cs="宋体"/>
          <w:color w:val="auto"/>
          <w:sz w:val="24"/>
          <w:szCs w:val="24"/>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20</w:t>
      </w:r>
      <w:r>
        <w:rPr>
          <w:rFonts w:hint="eastAsia" w:ascii="宋体" w:hAnsi="宋体" w:cs="宋体"/>
          <w:b/>
          <w:bCs/>
          <w:color w:val="auto"/>
          <w:sz w:val="24"/>
          <w:szCs w:val="24"/>
        </w:rPr>
        <w:t>、签订合同</w:t>
      </w:r>
    </w:p>
    <w:p>
      <w:pPr>
        <w:pStyle w:val="55"/>
        <w:snapToGrid w:val="0"/>
        <w:spacing w:before="0" w:line="336" w:lineRule="auto"/>
        <w:ind w:firstLine="480"/>
        <w:rPr>
          <w:rFonts w:ascii="宋体"/>
          <w:color w:val="auto"/>
        </w:rPr>
      </w:pPr>
      <w:r>
        <w:rPr>
          <w:rFonts w:ascii="宋体" w:hAnsi="宋体" w:cs="宋体"/>
          <w:color w:val="auto"/>
        </w:rPr>
        <w:t xml:space="preserve">20.1. </w:t>
      </w:r>
      <w:r>
        <w:rPr>
          <w:rFonts w:hint="eastAsia" w:ascii="宋体" w:hAnsi="宋体" w:cs="宋体"/>
          <w:color w:val="auto"/>
        </w:rPr>
        <w:t>采购人与成交供应商应当在成交通知书发出之日起</w:t>
      </w:r>
      <w:r>
        <w:rPr>
          <w:rFonts w:ascii="宋体" w:hAnsi="宋体" w:cs="宋体"/>
          <w:color w:val="auto"/>
        </w:rPr>
        <w:t>30</w:t>
      </w:r>
      <w:r>
        <w:rPr>
          <w:rFonts w:hint="eastAsia" w:ascii="宋体" w:hAnsi="宋体" w:cs="宋体"/>
          <w:color w:val="auto"/>
        </w:rPr>
        <w:t>日内，按照磋商文件确定的合同文本以及采购标的、规格型号、采购金额、采购数量、技术和服务要求等事项签订政府采购合同。</w:t>
      </w:r>
    </w:p>
    <w:p>
      <w:pPr>
        <w:pStyle w:val="55"/>
        <w:snapToGrid w:val="0"/>
        <w:spacing w:before="0" w:line="336" w:lineRule="auto"/>
        <w:ind w:firstLine="480"/>
        <w:rPr>
          <w:rFonts w:ascii="宋体"/>
          <w:color w:val="auto"/>
        </w:rPr>
      </w:pPr>
      <w:r>
        <w:rPr>
          <w:rFonts w:ascii="宋体" w:hAnsi="宋体" w:cs="宋体"/>
          <w:color w:val="auto"/>
        </w:rPr>
        <w:t xml:space="preserve">20.2. </w:t>
      </w:r>
      <w:r>
        <w:rPr>
          <w:rFonts w:hint="eastAsia" w:ascii="宋体" w:hAnsi="宋体" w:cs="宋体"/>
          <w:color w:val="auto"/>
        </w:rPr>
        <w:t>成交供应商拒绝签订政府采购合同的，采购人可以按照《政府采购竞争性磋商采购方式管理暂行办法》（财库〔</w:t>
      </w:r>
      <w:r>
        <w:rPr>
          <w:rFonts w:ascii="宋体" w:hAnsi="宋体" w:cs="宋体"/>
          <w:color w:val="auto"/>
        </w:rPr>
        <w:t>2014</w:t>
      </w:r>
      <w:r>
        <w:rPr>
          <w:rFonts w:hint="eastAsia" w:ascii="宋体" w:hAnsi="宋体" w:cs="宋体"/>
          <w:color w:val="auto"/>
        </w:rPr>
        <w:t>〕</w:t>
      </w:r>
      <w:r>
        <w:rPr>
          <w:rFonts w:ascii="宋体" w:hAnsi="宋体" w:cs="宋体"/>
          <w:color w:val="auto"/>
        </w:rPr>
        <w:t>214</w:t>
      </w:r>
      <w:r>
        <w:rPr>
          <w:rFonts w:hint="eastAsia" w:ascii="宋体" w:hAnsi="宋体" w:cs="宋体"/>
          <w:color w:val="auto"/>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21</w:t>
      </w:r>
      <w:r>
        <w:rPr>
          <w:rFonts w:hint="eastAsia" w:ascii="宋体" w:hAnsi="宋体" w:cs="宋体"/>
          <w:b/>
          <w:bCs/>
          <w:color w:val="auto"/>
          <w:sz w:val="24"/>
          <w:szCs w:val="24"/>
        </w:rPr>
        <w:t>、解释权</w:t>
      </w:r>
    </w:p>
    <w:p>
      <w:pPr>
        <w:adjustRightInd w:val="0"/>
        <w:spacing w:line="336" w:lineRule="auto"/>
        <w:ind w:firstLine="480" w:firstLineChars="200"/>
        <w:rPr>
          <w:rFonts w:ascii="宋体"/>
          <w:color w:val="auto"/>
          <w:sz w:val="24"/>
          <w:szCs w:val="24"/>
        </w:rPr>
      </w:pPr>
      <w:r>
        <w:rPr>
          <w:rFonts w:hint="eastAsia" w:ascii="宋体" w:hAnsi="宋体" w:cs="宋体"/>
          <w:color w:val="auto"/>
          <w:sz w:val="24"/>
          <w:szCs w:val="24"/>
        </w:rPr>
        <w:t>磋商文件的解释权均属于</w:t>
      </w:r>
      <w:r>
        <w:rPr>
          <w:rFonts w:hint="eastAsia" w:ascii="宋体" w:hAnsi="宋体" w:cs="宋体"/>
          <w:color w:val="auto"/>
          <w:sz w:val="24"/>
          <w:u w:val="single"/>
          <w:lang w:eastAsia="zh-CN"/>
        </w:rPr>
        <w:t>绍兴市上虞区市场监督管理局</w:t>
      </w:r>
      <w:r>
        <w:rPr>
          <w:rFonts w:hint="eastAsia" w:ascii="宋体" w:hAnsi="宋体" w:cs="宋体"/>
          <w:color w:val="auto"/>
          <w:sz w:val="24"/>
          <w:szCs w:val="24"/>
        </w:rPr>
        <w:t>和</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浙江省成套工程有限公司</w:t>
      </w:r>
      <w:r>
        <w:rPr>
          <w:rFonts w:ascii="宋体" w:hAnsi="宋体" w:cs="宋体"/>
          <w:color w:val="auto"/>
          <w:sz w:val="24"/>
          <w:szCs w:val="24"/>
          <w:u w:val="single"/>
        </w:rPr>
        <w:t xml:space="preserve"> </w:t>
      </w:r>
      <w:r>
        <w:rPr>
          <w:rFonts w:hint="eastAsia" w:ascii="宋体" w:hAnsi="宋体" w:cs="宋体"/>
          <w:color w:val="auto"/>
          <w:sz w:val="24"/>
          <w:szCs w:val="24"/>
        </w:rPr>
        <w:t>。</w:t>
      </w:r>
    </w:p>
    <w:p>
      <w:pPr>
        <w:pStyle w:val="5"/>
        <w:jc w:val="center"/>
        <w:rPr>
          <w:rFonts w:cs="Times New Roman"/>
          <w:color w:val="auto"/>
          <w:sz w:val="36"/>
          <w:szCs w:val="36"/>
        </w:rPr>
      </w:pPr>
      <w:r>
        <w:rPr>
          <w:color w:val="auto"/>
          <w:sz w:val="36"/>
          <w:szCs w:val="36"/>
        </w:rPr>
        <w:br w:type="page"/>
      </w:r>
      <w:bookmarkStart w:id="81" w:name="_Toc17731"/>
      <w:bookmarkStart w:id="82" w:name="_Toc6387"/>
      <w:bookmarkStart w:id="83" w:name="_Toc21248"/>
      <w:r>
        <w:rPr>
          <w:rFonts w:hint="eastAsia"/>
          <w:color w:val="auto"/>
          <w:sz w:val="36"/>
          <w:szCs w:val="36"/>
        </w:rPr>
        <w:t xml:space="preserve">第三部分 </w:t>
      </w:r>
      <w:r>
        <w:rPr>
          <w:rFonts w:hint="eastAsia" w:cs="宋体"/>
          <w:color w:val="auto"/>
          <w:sz w:val="36"/>
          <w:szCs w:val="36"/>
        </w:rPr>
        <w:t>采购内容及要求</w:t>
      </w:r>
      <w:bookmarkEnd w:id="81"/>
      <w:bookmarkEnd w:id="82"/>
      <w:bookmarkEnd w:id="83"/>
    </w:p>
    <w:p>
      <w:pPr>
        <w:pStyle w:val="6"/>
        <w:bidi w:val="0"/>
        <w:jc w:val="center"/>
        <w:rPr>
          <w:color w:val="auto"/>
          <w:sz w:val="28"/>
          <w:szCs w:val="28"/>
        </w:rPr>
      </w:pPr>
      <w:bookmarkStart w:id="84" w:name="_Toc27160"/>
      <w:bookmarkStart w:id="85" w:name="_Toc15284"/>
      <w:r>
        <w:rPr>
          <w:rFonts w:hint="eastAsia"/>
          <w:color w:val="auto"/>
          <w:sz w:val="28"/>
          <w:szCs w:val="28"/>
        </w:rPr>
        <w:t>第</w:t>
      </w:r>
      <w:r>
        <w:rPr>
          <w:rFonts w:hint="eastAsia"/>
          <w:color w:val="auto"/>
          <w:sz w:val="28"/>
          <w:szCs w:val="28"/>
          <w:lang w:val="en-US" w:eastAsia="zh-CN"/>
        </w:rPr>
        <w:t>一</w:t>
      </w:r>
      <w:r>
        <w:rPr>
          <w:rFonts w:hint="eastAsia"/>
          <w:color w:val="auto"/>
          <w:sz w:val="28"/>
          <w:szCs w:val="28"/>
        </w:rPr>
        <w:t>章　采购内容及要求</w:t>
      </w:r>
      <w:bookmarkEnd w:id="84"/>
    </w:p>
    <w:p>
      <w:pPr>
        <w:pStyle w:val="5"/>
        <w:numPr>
          <w:ilvl w:val="0"/>
          <w:numId w:val="16"/>
        </w:numPr>
        <w:bidi w:val="0"/>
        <w:spacing w:line="360" w:lineRule="auto"/>
        <w:rPr>
          <w:rFonts w:hint="eastAsia" w:ascii="宋体" w:hAnsi="宋体" w:eastAsia="宋体" w:cs="宋体"/>
          <w:sz w:val="24"/>
          <w:szCs w:val="24"/>
          <w:lang w:val="en-US" w:eastAsia="zh-CN"/>
        </w:rPr>
      </w:pPr>
      <w:bookmarkStart w:id="86" w:name="_Toc21724"/>
      <w:bookmarkStart w:id="87" w:name="_Toc18895"/>
      <w:r>
        <w:rPr>
          <w:rFonts w:hint="eastAsia" w:ascii="宋体" w:hAnsi="宋体" w:eastAsia="宋体" w:cs="宋体"/>
          <w:sz w:val="24"/>
          <w:szCs w:val="24"/>
          <w:lang w:val="en-US" w:eastAsia="zh-CN"/>
        </w:rPr>
        <w:t>背景</w:t>
      </w:r>
    </w:p>
    <w:p>
      <w:pPr>
        <w:pStyle w:val="25"/>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作为浙江省企业融资风险防范机制体制创新试点区，绍兴市上虞区在全省率先探索“以企业信用征信运用体系为基础，以资产抵押、融资性担保、融资结构优化、融资风险稳控、困难企业处置五大机制为支撑”的”1+5“企业融资风险防范体制机制。通过整合政府部门间的企业经营与信用信息，依托大数据技术与分析，在解决跨部门信息共享的基础上，有效降低金融信贷风险与企业融资成本，并初步建立起企业信用评价体系，更好地服务于上虞区的区域经济与重点行业扶持，并探索出全省企业融资风险体制机制新路子。</w:t>
      </w:r>
    </w:p>
    <w:p>
      <w:pPr>
        <w:pStyle w:val="5"/>
        <w:numPr>
          <w:ilvl w:val="0"/>
          <w:numId w:val="16"/>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建设意义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以各部门在日常监管中所产生的业务数据与各平台运营产生的数据为基础，建立起资源共享、互联互通的“企业信用信息云服务平台”，实现政府部门间的数据交互与共享，为社会诚信、商务诚信的建设提供支撑。通过对数据的清洗、比对、入库、分析与挖掘，构建面向金融融资风险管理与控制的“金融信贷风险警示系统”，通过担保圈、关系圈的锁定与追踪省内与本企业相关的警示信息，降低采信成本与区域融资风险，提升区域预警防范能力。通过上虞区防范企业融资风险体制机制创新试点与成果应用，在大力促进区域经济持续健康发展的同时，率先在全省范围内做出改革示范效应。</w:t>
      </w:r>
    </w:p>
    <w:p>
      <w:pPr>
        <w:pStyle w:val="5"/>
        <w:numPr>
          <w:ilvl w:val="0"/>
          <w:numId w:val="16"/>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功能简介</w:t>
      </w:r>
    </w:p>
    <w:p>
      <w:p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信用上虞项目主要包含APP端和web网页。其中APP端包括IOS，安卓两大平台。另外还提供接口给银行</w:t>
      </w:r>
    </w:p>
    <w:p>
      <w:pPr>
        <w:pStyle w:val="5"/>
        <w:numPr>
          <w:ilvl w:val="0"/>
          <w:numId w:val="16"/>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运维内容</w:t>
      </w:r>
    </w:p>
    <w:p>
      <w:pPr>
        <w:pStyle w:val="6"/>
        <w:numPr>
          <w:ilvl w:val="0"/>
          <w:numId w:val="17"/>
        </w:numPr>
        <w:bidi w:val="0"/>
        <w:spacing w:line="360" w:lineRule="auto"/>
        <w:ind w:left="0" w:leftChars="0" w:firstLine="420" w:firstLineChars="0"/>
        <w:rPr>
          <w:rFonts w:hint="eastAsia" w:ascii="宋体" w:hAnsi="宋体" w:eastAsia="宋体" w:cs="宋体"/>
          <w:sz w:val="24"/>
          <w:szCs w:val="24"/>
        </w:rPr>
      </w:pPr>
      <w:bookmarkStart w:id="88" w:name="_Toc108776333"/>
      <w:bookmarkStart w:id="89" w:name="_Toc29921"/>
      <w:r>
        <w:rPr>
          <w:rFonts w:hint="eastAsia" w:ascii="宋体" w:hAnsi="宋体" w:eastAsia="宋体" w:cs="宋体"/>
          <w:sz w:val="24"/>
          <w:szCs w:val="24"/>
        </w:rPr>
        <w:t>软件运维服务内容</w:t>
      </w:r>
      <w:bookmarkEnd w:id="88"/>
      <w:bookmarkEnd w:id="89"/>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软件运维服务主要包括系统更新升级维护、中间件维护、数据库系统维护、性能优化服务、信息系统安全维护各项相关内容。</w:t>
      </w:r>
    </w:p>
    <w:p>
      <w:pPr>
        <w:spacing w:line="360" w:lineRule="auto"/>
        <w:ind w:firstLine="420" w:firstLineChars="0"/>
        <w:rPr>
          <w:rFonts w:hint="eastAsia" w:ascii="宋体" w:hAnsi="宋体" w:eastAsia="宋体" w:cs="宋体"/>
          <w:sz w:val="24"/>
          <w:szCs w:val="24"/>
          <w:lang w:val="en-US" w:eastAsia="zh-CN"/>
        </w:rPr>
      </w:pPr>
    </w:p>
    <w:p>
      <w:pPr>
        <w:pStyle w:val="8"/>
        <w:numPr>
          <w:ilvl w:val="1"/>
          <w:numId w:val="1"/>
        </w:numPr>
        <w:tabs>
          <w:tab w:val="clear" w:pos="1335"/>
        </w:tabs>
        <w:bidi w:val="0"/>
        <w:spacing w:line="360" w:lineRule="auto"/>
        <w:ind w:left="960" w:leftChars="0" w:hanging="360" w:firstLineChars="0"/>
        <w:rPr>
          <w:rFonts w:hint="eastAsia" w:ascii="宋体" w:hAnsi="宋体" w:eastAsia="宋体" w:cs="宋体"/>
          <w:sz w:val="24"/>
          <w:szCs w:val="24"/>
        </w:rPr>
      </w:pPr>
      <w:bookmarkStart w:id="90" w:name="_Toc108776334"/>
      <w:bookmarkStart w:id="91" w:name="_Hlk108765866"/>
      <w:r>
        <w:rPr>
          <w:rFonts w:hint="eastAsia" w:ascii="宋体" w:hAnsi="宋体" w:eastAsia="宋体" w:cs="宋体"/>
          <w:sz w:val="24"/>
          <w:szCs w:val="24"/>
        </w:rPr>
        <w:t>系统更新升级维护</w:t>
      </w:r>
      <w:bookmarkEnd w:id="90"/>
    </w:p>
    <w:bookmarkEnd w:id="91"/>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根据业务需求，或者更新升级计划等，进行系统更新升级的安装部署工作，并提供系统的对接联调技术支持服务，以及在上线后提供短期内的系统监控技术支持服务。</w:t>
      </w:r>
    </w:p>
    <w:p>
      <w:pPr>
        <w:pStyle w:val="8"/>
        <w:numPr>
          <w:ilvl w:val="1"/>
          <w:numId w:val="1"/>
        </w:numPr>
        <w:tabs>
          <w:tab w:val="clear" w:pos="1335"/>
        </w:tabs>
        <w:bidi w:val="0"/>
        <w:spacing w:line="360" w:lineRule="auto"/>
        <w:ind w:left="960" w:leftChars="0" w:hanging="360" w:firstLineChars="0"/>
        <w:rPr>
          <w:rFonts w:hint="eastAsia" w:ascii="宋体" w:hAnsi="宋体" w:eastAsia="宋体" w:cs="宋体"/>
          <w:sz w:val="24"/>
          <w:szCs w:val="24"/>
        </w:rPr>
      </w:pPr>
      <w:bookmarkStart w:id="92" w:name="_Toc108776335"/>
      <w:r>
        <w:rPr>
          <w:rFonts w:hint="eastAsia" w:ascii="宋体" w:hAnsi="宋体" w:eastAsia="宋体" w:cs="宋体"/>
          <w:sz w:val="24"/>
          <w:szCs w:val="24"/>
        </w:rPr>
        <w:t>中间件维护</w:t>
      </w:r>
      <w:bookmarkEnd w:id="92"/>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中间件升级而对应用软件进行适应性更新与调测服务。</w:t>
      </w:r>
    </w:p>
    <w:p>
      <w:pPr>
        <w:pStyle w:val="8"/>
        <w:numPr>
          <w:ilvl w:val="1"/>
          <w:numId w:val="1"/>
        </w:numPr>
        <w:tabs>
          <w:tab w:val="clear" w:pos="1335"/>
        </w:tabs>
        <w:bidi w:val="0"/>
        <w:spacing w:line="360" w:lineRule="auto"/>
        <w:ind w:left="960" w:leftChars="0" w:hanging="360" w:firstLineChars="0"/>
        <w:rPr>
          <w:rFonts w:hint="eastAsia" w:ascii="宋体" w:hAnsi="宋体" w:eastAsia="宋体" w:cs="宋体"/>
          <w:i w:val="0"/>
          <w:iCs w:val="0"/>
          <w:sz w:val="24"/>
          <w:szCs w:val="24"/>
        </w:rPr>
      </w:pPr>
      <w:bookmarkStart w:id="93" w:name="_Toc108776336"/>
      <w:r>
        <w:rPr>
          <w:rFonts w:hint="eastAsia" w:ascii="宋体" w:hAnsi="宋体" w:eastAsia="宋体" w:cs="宋体"/>
          <w:i w:val="0"/>
          <w:iCs w:val="0"/>
          <w:sz w:val="24"/>
          <w:szCs w:val="24"/>
        </w:rPr>
        <w:t>数据库系统维护</w:t>
      </w:r>
      <w:bookmarkEnd w:id="93"/>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数据库实例状态检查、数据库表空间使用情况、监控查看数据库的连接情况、表空间使用情况和性能检查、数据库告警日志检查分析、数据库备份检查。</w:t>
      </w:r>
    </w:p>
    <w:p>
      <w:pPr>
        <w:pStyle w:val="8"/>
        <w:numPr>
          <w:ilvl w:val="1"/>
          <w:numId w:val="1"/>
        </w:numPr>
        <w:tabs>
          <w:tab w:val="clear" w:pos="1335"/>
        </w:tabs>
        <w:bidi w:val="0"/>
        <w:spacing w:line="360" w:lineRule="auto"/>
        <w:ind w:left="960" w:leftChars="0" w:hanging="360" w:firstLineChars="0"/>
        <w:rPr>
          <w:rFonts w:hint="eastAsia" w:ascii="宋体" w:hAnsi="宋体" w:eastAsia="宋体" w:cs="宋体"/>
          <w:i w:val="0"/>
          <w:iCs w:val="0"/>
          <w:sz w:val="24"/>
          <w:szCs w:val="24"/>
        </w:rPr>
      </w:pPr>
      <w:bookmarkStart w:id="94" w:name="_Toc108776337"/>
      <w:r>
        <w:rPr>
          <w:rFonts w:hint="eastAsia" w:ascii="宋体" w:hAnsi="宋体" w:eastAsia="宋体" w:cs="宋体"/>
          <w:i w:val="0"/>
          <w:iCs w:val="0"/>
          <w:sz w:val="24"/>
          <w:szCs w:val="24"/>
        </w:rPr>
        <w:t>性能优化服务</w:t>
      </w:r>
      <w:bookmarkEnd w:id="94"/>
    </w:p>
    <w:p>
      <w:pPr>
        <w:spacing w:line="360" w:lineRule="auto"/>
        <w:ind w:firstLine="480" w:firstLineChars="20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对</w:t>
      </w:r>
      <w:r>
        <w:rPr>
          <w:rFonts w:hint="eastAsia" w:ascii="宋体" w:hAnsi="宋体" w:eastAsia="宋体" w:cs="宋体"/>
          <w:i w:val="0"/>
          <w:iCs w:val="0"/>
          <w:color w:val="000000"/>
          <w:sz w:val="24"/>
          <w:szCs w:val="24"/>
          <w:lang w:val="en-US" w:eastAsia="zh-CN"/>
        </w:rPr>
        <w:t>上虞企业信用信息服务云平台</w:t>
      </w:r>
      <w:r>
        <w:rPr>
          <w:rFonts w:hint="eastAsia" w:ascii="宋体" w:hAnsi="宋体" w:eastAsia="宋体" w:cs="宋体"/>
          <w:i w:val="0"/>
          <w:iCs w:val="0"/>
          <w:color w:val="000000"/>
          <w:sz w:val="24"/>
          <w:szCs w:val="24"/>
        </w:rPr>
        <w:t>的性能进行优化，以满足高并发下市场主体的正常使用，主要内容包括应用资源</w:t>
      </w:r>
      <w:r>
        <w:rPr>
          <w:rFonts w:hint="eastAsia" w:ascii="宋体" w:hAnsi="宋体" w:eastAsia="宋体" w:cs="宋体"/>
          <w:i w:val="0"/>
          <w:iCs w:val="0"/>
          <w:color w:val="000000"/>
          <w:sz w:val="24"/>
          <w:szCs w:val="24"/>
          <w:lang w:val="en-US" w:eastAsia="zh-CN"/>
        </w:rPr>
        <w:t>扩容</w:t>
      </w:r>
      <w:r>
        <w:rPr>
          <w:rFonts w:hint="eastAsia" w:ascii="宋体" w:hAnsi="宋体" w:eastAsia="宋体" w:cs="宋体"/>
          <w:i w:val="0"/>
          <w:iCs w:val="0"/>
          <w:color w:val="000000"/>
          <w:sz w:val="24"/>
          <w:szCs w:val="24"/>
        </w:rPr>
        <w:t>、应用服务优化、数据库优化。</w:t>
      </w:r>
    </w:p>
    <w:p>
      <w:pPr>
        <w:pStyle w:val="8"/>
        <w:numPr>
          <w:ilvl w:val="1"/>
          <w:numId w:val="1"/>
        </w:numPr>
        <w:tabs>
          <w:tab w:val="clear" w:pos="1335"/>
        </w:tabs>
        <w:bidi w:val="0"/>
        <w:spacing w:line="360" w:lineRule="auto"/>
        <w:ind w:left="960" w:leftChars="0" w:hanging="360" w:firstLineChars="0"/>
        <w:rPr>
          <w:rFonts w:hint="eastAsia" w:ascii="宋体" w:hAnsi="宋体" w:eastAsia="宋体" w:cs="宋体"/>
          <w:i w:val="0"/>
          <w:iCs w:val="0"/>
          <w:sz w:val="24"/>
          <w:szCs w:val="24"/>
        </w:rPr>
      </w:pPr>
      <w:bookmarkStart w:id="95" w:name="_Toc108776341"/>
      <w:r>
        <w:rPr>
          <w:rFonts w:hint="eastAsia" w:ascii="宋体" w:hAnsi="宋体" w:eastAsia="宋体" w:cs="宋体"/>
          <w:i w:val="0"/>
          <w:iCs w:val="0"/>
          <w:sz w:val="24"/>
          <w:szCs w:val="24"/>
        </w:rPr>
        <w:t>信息系统安全维护</w:t>
      </w:r>
      <w:bookmarkEnd w:id="95"/>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提供漏洞修复、日志审计、系统数据备份和恢复相关服务，保障系统的信息系统安全。</w:t>
      </w:r>
    </w:p>
    <w:p>
      <w:pPr>
        <w:pStyle w:val="6"/>
        <w:numPr>
          <w:ilvl w:val="0"/>
          <w:numId w:val="17"/>
        </w:numPr>
        <w:bidi w:val="0"/>
        <w:spacing w:line="360" w:lineRule="auto"/>
        <w:ind w:left="0" w:leftChars="0" w:firstLine="420" w:firstLineChars="0"/>
        <w:rPr>
          <w:rFonts w:hint="eastAsia" w:ascii="宋体" w:hAnsi="宋体" w:eastAsia="宋体" w:cs="宋体"/>
          <w:sz w:val="24"/>
          <w:szCs w:val="24"/>
        </w:rPr>
      </w:pPr>
      <w:bookmarkStart w:id="96" w:name="_Toc108776345"/>
      <w:bookmarkStart w:id="97" w:name="_Toc30071"/>
      <w:r>
        <w:rPr>
          <w:rFonts w:hint="eastAsia" w:ascii="宋体" w:hAnsi="宋体" w:eastAsia="宋体" w:cs="宋体"/>
          <w:sz w:val="24"/>
          <w:szCs w:val="24"/>
        </w:rPr>
        <w:t>数据运维服务内容</w:t>
      </w:r>
      <w:bookmarkEnd w:id="96"/>
      <w:bookmarkEnd w:id="97"/>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数据运维服务主要包括数据归集、清洗服务、数据开发服务、数据目录维护服务、数据上报服务、数据对接保障服务、数据核查服务、数据导出服务、数据统计服务、数据匹配服务、业务异常数据监测服务各项内容。</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98" w:name="_Toc108776346"/>
      <w:bookmarkStart w:id="99" w:name="_Hlk108180301"/>
      <w:r>
        <w:rPr>
          <w:rFonts w:hint="eastAsia" w:ascii="宋体" w:hAnsi="宋体" w:eastAsia="宋体" w:cs="宋体"/>
          <w:sz w:val="24"/>
          <w:szCs w:val="24"/>
        </w:rPr>
        <w:t>数据归集、清洗服务</w:t>
      </w:r>
      <w:bookmarkEnd w:id="98"/>
    </w:p>
    <w:bookmarkEnd w:id="99"/>
    <w:p>
      <w:pPr>
        <w:spacing w:line="360" w:lineRule="auto"/>
        <w:ind w:firstLine="560"/>
        <w:rPr>
          <w:rFonts w:hint="eastAsia"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rPr>
        <w:t>通过数据归集、清洗服务支持业务系统的相关功能，对大数据局，同步数据到到前置库，按照指定规则抽取、清洗、转换后，数据进入业务数据库，并在ODPS平台通过调度定时更新数据。</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0" w:name="_Toc108776348"/>
      <w:r>
        <w:rPr>
          <w:rFonts w:hint="eastAsia" w:ascii="宋体" w:hAnsi="宋体" w:eastAsia="宋体" w:cs="宋体"/>
          <w:sz w:val="24"/>
          <w:szCs w:val="24"/>
        </w:rPr>
        <w:t>数据目录维护服务</w:t>
      </w:r>
      <w:bookmarkEnd w:id="100"/>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数字化改革过程中，大数据局负责信息化统筹和管理，对各业务系统平台的数据进行整合，不断优化调整相关数据规范要求。数据目录维护服务不定期地按照大数据局规范要求，维护目录数据及异常数据修复，协助市监局完成新数据的编目及数据归集。</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1" w:name="_Toc108776350"/>
      <w:r>
        <w:rPr>
          <w:rFonts w:hint="eastAsia" w:ascii="宋体" w:hAnsi="宋体" w:eastAsia="宋体" w:cs="宋体"/>
          <w:sz w:val="24"/>
          <w:szCs w:val="24"/>
        </w:rPr>
        <w:t>数据对接保障服务</w:t>
      </w:r>
      <w:bookmarkEnd w:id="101"/>
    </w:p>
    <w:p>
      <w:pPr>
        <w:spacing w:line="360" w:lineRule="auto"/>
        <w:ind w:firstLine="480" w:firstLineChars="200"/>
        <w:rPr>
          <w:rFonts w:hint="eastAsia" w:ascii="宋体" w:hAnsi="宋体" w:eastAsia="宋体" w:cs="宋体"/>
          <w:i w:val="0"/>
          <w:iCs w:val="0"/>
          <w:color w:val="000000"/>
          <w:sz w:val="24"/>
          <w:szCs w:val="24"/>
          <w:shd w:val="clear" w:color="auto" w:fill="FFFFFF"/>
        </w:rPr>
      </w:pPr>
      <w:r>
        <w:rPr>
          <w:rFonts w:hint="eastAsia" w:ascii="宋体" w:hAnsi="宋体" w:eastAsia="宋体" w:cs="宋体"/>
          <w:i w:val="0"/>
          <w:iCs w:val="0"/>
          <w:color w:val="000000"/>
          <w:sz w:val="24"/>
          <w:szCs w:val="24"/>
          <w:shd w:val="clear" w:color="auto" w:fill="FFFFFF"/>
          <w:lang w:val="en-US" w:eastAsia="zh-CN"/>
        </w:rPr>
        <w:t>上虞企业信用信息云服务平台</w:t>
      </w:r>
      <w:r>
        <w:rPr>
          <w:rFonts w:hint="eastAsia" w:ascii="宋体" w:hAnsi="宋体" w:eastAsia="宋体" w:cs="宋体"/>
          <w:i w:val="0"/>
          <w:iCs w:val="0"/>
          <w:color w:val="000000"/>
          <w:sz w:val="24"/>
          <w:szCs w:val="24"/>
          <w:shd w:val="clear" w:color="auto" w:fill="FFFFFF"/>
        </w:rPr>
        <w:t>已开发</w:t>
      </w:r>
      <w:r>
        <w:rPr>
          <w:rFonts w:hint="eastAsia" w:ascii="宋体" w:hAnsi="宋体" w:eastAsia="宋体" w:cs="宋体"/>
          <w:i w:val="0"/>
          <w:iCs w:val="0"/>
          <w:color w:val="000000"/>
          <w:sz w:val="24"/>
          <w:szCs w:val="24"/>
          <w:shd w:val="clear" w:color="auto" w:fill="FFFFFF"/>
          <w:lang w:val="en-US" w:eastAsia="zh-CN"/>
        </w:rPr>
        <w:t>4</w:t>
      </w:r>
      <w:r>
        <w:rPr>
          <w:rFonts w:hint="eastAsia" w:ascii="宋体" w:hAnsi="宋体" w:eastAsia="宋体" w:cs="宋体"/>
          <w:i w:val="0"/>
          <w:iCs w:val="0"/>
          <w:color w:val="000000"/>
          <w:sz w:val="24"/>
          <w:szCs w:val="24"/>
          <w:shd w:val="clear" w:color="auto" w:fill="FFFFFF"/>
        </w:rPr>
        <w:t>类系统对接接口，数据对接保障服务通过日常数据对账、问题数据识别反馈、下发问题处理等相关工作。保障</w:t>
      </w:r>
      <w:r>
        <w:rPr>
          <w:rFonts w:hint="eastAsia" w:ascii="宋体" w:hAnsi="宋体" w:eastAsia="宋体" w:cs="宋体"/>
          <w:i w:val="0"/>
          <w:iCs w:val="0"/>
          <w:color w:val="000000"/>
          <w:sz w:val="24"/>
          <w:szCs w:val="24"/>
          <w:shd w:val="clear" w:color="auto" w:fill="FFFFFF"/>
          <w:lang w:val="en-US" w:eastAsia="zh-CN"/>
        </w:rPr>
        <w:t>上虞企业信用信息云服务平台</w:t>
      </w:r>
      <w:r>
        <w:rPr>
          <w:rFonts w:hint="eastAsia" w:ascii="宋体" w:hAnsi="宋体" w:eastAsia="宋体" w:cs="宋体"/>
          <w:i w:val="0"/>
          <w:iCs w:val="0"/>
          <w:color w:val="000000"/>
          <w:sz w:val="24"/>
          <w:szCs w:val="24"/>
          <w:shd w:val="clear" w:color="auto" w:fill="FFFFFF"/>
        </w:rPr>
        <w:t>和实现对接的系统的数据及时性和准确性。</w:t>
      </w:r>
    </w:p>
    <w:p>
      <w:pPr>
        <w:spacing w:line="360" w:lineRule="auto"/>
        <w:ind w:firstLine="560"/>
        <w:rPr>
          <w:rFonts w:hint="eastAsia" w:ascii="宋体" w:hAnsi="宋体" w:eastAsia="宋体" w:cs="宋体"/>
          <w:i w:val="0"/>
          <w:iCs w:val="0"/>
          <w:color w:val="000000"/>
          <w:sz w:val="24"/>
          <w:szCs w:val="24"/>
          <w:shd w:val="clear" w:color="auto" w:fill="FFFFFF"/>
        </w:rPr>
      </w:pPr>
      <w:r>
        <w:rPr>
          <w:rFonts w:hint="eastAsia" w:ascii="宋体" w:hAnsi="宋体" w:eastAsia="宋体" w:cs="宋体"/>
          <w:i w:val="0"/>
          <w:iCs w:val="0"/>
          <w:color w:val="000000"/>
          <w:sz w:val="24"/>
          <w:szCs w:val="24"/>
          <w:shd w:val="clear" w:color="auto" w:fill="FFFFFF"/>
        </w:rPr>
        <w:t>相关接口情况如下表：</w:t>
      </w:r>
    </w:p>
    <w:tbl>
      <w:tblPr>
        <w:tblStyle w:val="26"/>
        <w:tblW w:w="5000" w:type="pct"/>
        <w:tblInd w:w="0" w:type="dxa"/>
        <w:tblLayout w:type="fixed"/>
        <w:tblCellMar>
          <w:top w:w="0" w:type="dxa"/>
          <w:left w:w="108" w:type="dxa"/>
          <w:bottom w:w="0" w:type="dxa"/>
          <w:right w:w="108" w:type="dxa"/>
        </w:tblCellMar>
      </w:tblPr>
      <w:tblGrid>
        <w:gridCol w:w="869"/>
        <w:gridCol w:w="5243"/>
        <w:gridCol w:w="2410"/>
      </w:tblGrid>
      <w:tr>
        <w:tblPrEx>
          <w:tblCellMar>
            <w:top w:w="0" w:type="dxa"/>
            <w:left w:w="108" w:type="dxa"/>
            <w:bottom w:w="0" w:type="dxa"/>
            <w:right w:w="108" w:type="dxa"/>
          </w:tblCellMar>
        </w:tblPrEx>
        <w:trPr>
          <w:trHeight w:val="270" w:hRule="atLeast"/>
          <w:tblHeader/>
        </w:trPr>
        <w:tc>
          <w:tcPr>
            <w:tcW w:w="50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076"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接口地址</w:t>
            </w:r>
          </w:p>
        </w:tc>
        <w:tc>
          <w:tcPr>
            <w:tcW w:w="1413"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接口用途说明</w:t>
            </w:r>
          </w:p>
        </w:tc>
      </w:tr>
      <w:tr>
        <w:tblPrEx>
          <w:tblCellMar>
            <w:top w:w="0" w:type="dxa"/>
            <w:left w:w="108" w:type="dxa"/>
            <w:bottom w:w="0" w:type="dxa"/>
            <w:right w:w="108" w:type="dxa"/>
          </w:tblCellMar>
        </w:tblPrEx>
        <w:trPr>
          <w:trHeight w:val="54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"http://***.***.***.***:****/crgrant/doEditCrGrant.do"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http://***.***.***.***:****/crgrant/doEditCrGrant.do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授权接口</w:t>
            </w:r>
          </w:p>
        </w:tc>
      </w:tr>
      <w:tr>
        <w:tblPrEx>
          <w:tblCellMar>
            <w:top w:w="0" w:type="dxa"/>
            <w:left w:w="108" w:type="dxa"/>
            <w:bottom w:w="0" w:type="dxa"/>
            <w:right w:w="108" w:type="dxa"/>
          </w:tblCellMar>
        </w:tblPrEx>
        <w:trPr>
          <w:trHeight w:val="54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"http://***.***.***.***:****/crgrant/upload.do"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http://***.***.***.***:****/crgrant/upload.do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授权文件上传接口</w:t>
            </w:r>
          </w:p>
        </w:tc>
      </w:tr>
      <w:tr>
        <w:tblPrEx>
          <w:tblCellMar>
            <w:top w:w="0" w:type="dxa"/>
            <w:left w:w="108" w:type="dxa"/>
            <w:bottom w:w="0" w:type="dxa"/>
            <w:right w:w="108" w:type="dxa"/>
          </w:tblCellMar>
        </w:tblPrEx>
        <w:trPr>
          <w:trHeight w:val="27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"http://***.***.***.***:****/appsearch/doGetAll.do"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http://***.***.***.***:****/appsearch/doGetAll.do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企业信息查询接口</w:t>
            </w:r>
          </w:p>
        </w:tc>
      </w:tr>
      <w:tr>
        <w:tblPrEx>
          <w:tblCellMar>
            <w:top w:w="0" w:type="dxa"/>
            <w:left w:w="108" w:type="dxa"/>
            <w:bottom w:w="0" w:type="dxa"/>
            <w:right w:w="108" w:type="dxa"/>
          </w:tblCellMar>
        </w:tblPrEx>
        <w:trPr>
          <w:trHeight w:val="27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"http://***.***.***.***:****/appsearch/doGetPersonalInfo.do"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http://***.***.***.***:****/appsearch/doGetPersonalInfo.do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个人信息查询接口</w:t>
            </w:r>
          </w:p>
        </w:tc>
      </w:tr>
    </w:tbl>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2" w:name="_Toc108776351"/>
      <w:r>
        <w:rPr>
          <w:rFonts w:hint="eastAsia" w:ascii="宋体" w:hAnsi="宋体" w:eastAsia="宋体" w:cs="宋体"/>
          <w:sz w:val="24"/>
          <w:szCs w:val="24"/>
        </w:rPr>
        <w:t>数据核查服务</w:t>
      </w:r>
      <w:bookmarkEnd w:id="102"/>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平台涉及与内外各类业务系统的数据共享交换，由于客观上数据类型多、接口多、交换量大等实际情况，加之各类系统存在升级迭代对数据的影响，在正常对接情况下，各部门在数据（自动或人工）上传或下发过程中，仍可能存在的数据缺失或错误等问题。</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通过数据核查服务，由服务单位对数据进行排查筛选，发现错误源头和原因，对错误数据进行修正，并通过系统对接调试、参数修改、模板调整等方式进行同类问题的避免，暂时无法通过技术手段避免的，则由服务单进行人工核查与修正。</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3" w:name="_Toc108776352"/>
      <w:r>
        <w:rPr>
          <w:rFonts w:hint="eastAsia" w:ascii="宋体" w:hAnsi="宋体" w:eastAsia="宋体" w:cs="宋体"/>
          <w:sz w:val="24"/>
          <w:szCs w:val="24"/>
        </w:rPr>
        <w:t>数据导出服务</w:t>
      </w:r>
      <w:bookmarkEnd w:id="103"/>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不定期根据市监领域条线部门的数据收集需求，对系统内涉及的数据进行导出，并根据要求的字段项，对数据进行整理与核对。</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4" w:name="_Toc108776353"/>
      <w:r>
        <w:rPr>
          <w:rFonts w:hint="eastAsia" w:ascii="宋体" w:hAnsi="宋体" w:eastAsia="宋体" w:cs="宋体"/>
          <w:sz w:val="24"/>
          <w:szCs w:val="24"/>
        </w:rPr>
        <w:t>数据统计服务</w:t>
      </w:r>
      <w:bookmarkEnd w:id="104"/>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不定期根据市监领域条线部门的数据统计需求，输出相关的数据统计结果，对平台已有的统计结果进行汇总梳理，涉及不能通过系统自动统计的数据结果，由人工筛查统计后进行统计结果的补充。</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5" w:name="_Toc108776354"/>
      <w:r>
        <w:rPr>
          <w:rFonts w:hint="eastAsia" w:ascii="宋体" w:hAnsi="宋体" w:eastAsia="宋体" w:cs="宋体"/>
          <w:sz w:val="24"/>
          <w:szCs w:val="24"/>
        </w:rPr>
        <w:t>数据匹配服务</w:t>
      </w:r>
      <w:bookmarkEnd w:id="105"/>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按照市监领域条线部门提交的相关数据格式要求，对需要匹配的数据进行填充。“数据匹配服务”与“数据导出服务”的按格式要求导出所需数据不同，数据匹配服务更多的是需求部门针对已有数据进行的特定数据的补充，运营服务单位除了实现字段要求内容的匹配，还需实现需补充数据与已有数据内容的精准匹配。</w:t>
      </w:r>
    </w:p>
    <w:p>
      <w:pPr>
        <w:pStyle w:val="8"/>
        <w:numPr>
          <w:ilvl w:val="1"/>
          <w:numId w:val="18"/>
        </w:numPr>
        <w:tabs>
          <w:tab w:val="left" w:pos="1335"/>
        </w:tabs>
        <w:bidi w:val="0"/>
        <w:spacing w:line="360" w:lineRule="auto"/>
        <w:ind w:left="960" w:leftChars="0" w:hanging="360" w:firstLineChars="0"/>
        <w:rPr>
          <w:rFonts w:hint="eastAsia" w:ascii="宋体" w:hAnsi="宋体" w:eastAsia="宋体" w:cs="宋体"/>
          <w:sz w:val="24"/>
          <w:szCs w:val="24"/>
        </w:rPr>
      </w:pPr>
      <w:bookmarkStart w:id="106" w:name="_Toc108776355"/>
      <w:r>
        <w:rPr>
          <w:rFonts w:hint="eastAsia" w:ascii="宋体" w:hAnsi="宋体" w:eastAsia="宋体" w:cs="宋体"/>
          <w:sz w:val="24"/>
          <w:szCs w:val="24"/>
        </w:rPr>
        <w:t>业务异常数据监测服务</w:t>
      </w:r>
      <w:bookmarkEnd w:id="106"/>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根据市监领域条线部门的实际需求，对业务异常数据进行监测，区别于“异常错误数据”，业务异常数据主要指数据技术层面无错误，而是在业务层面上与常识相悖的内容，通过对各类异常数据的监测，及时发现可能存在的违规操作、业务异常等情况。</w:t>
      </w:r>
    </w:p>
    <w:p>
      <w:pPr>
        <w:pStyle w:val="6"/>
        <w:numPr>
          <w:ilvl w:val="0"/>
          <w:numId w:val="17"/>
        </w:numPr>
        <w:bidi w:val="0"/>
        <w:spacing w:line="360" w:lineRule="auto"/>
        <w:ind w:left="0" w:leftChars="0" w:firstLine="420" w:firstLineChars="0"/>
        <w:rPr>
          <w:rFonts w:hint="eastAsia" w:ascii="宋体" w:hAnsi="宋体" w:eastAsia="宋体" w:cs="宋体"/>
          <w:sz w:val="24"/>
          <w:szCs w:val="24"/>
        </w:rPr>
      </w:pPr>
      <w:bookmarkStart w:id="107" w:name="_Toc108776356"/>
      <w:bookmarkStart w:id="108" w:name="_Toc30118"/>
      <w:r>
        <w:rPr>
          <w:rFonts w:hint="eastAsia" w:ascii="宋体" w:hAnsi="宋体" w:eastAsia="宋体" w:cs="宋体"/>
          <w:sz w:val="24"/>
          <w:szCs w:val="24"/>
        </w:rPr>
        <w:t>日常系统保障服务内容</w:t>
      </w:r>
      <w:bookmarkEnd w:id="107"/>
      <w:bookmarkEnd w:id="108"/>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日常系统保障服务包括日常系统监控、运行环境检查、系统参数配置和调整、故障发现和处理、周期性项目报告各项内容。</w:t>
      </w:r>
    </w:p>
    <w:p>
      <w:pPr>
        <w:pStyle w:val="8"/>
        <w:numPr>
          <w:ilvl w:val="1"/>
          <w:numId w:val="19"/>
        </w:numPr>
        <w:tabs>
          <w:tab w:val="left" w:pos="1335"/>
        </w:tabs>
        <w:bidi w:val="0"/>
        <w:spacing w:line="360" w:lineRule="auto"/>
        <w:ind w:left="960" w:leftChars="0" w:hanging="360" w:firstLineChars="0"/>
        <w:rPr>
          <w:rFonts w:hint="eastAsia" w:ascii="宋体" w:hAnsi="宋体" w:eastAsia="宋体" w:cs="宋体"/>
          <w:sz w:val="24"/>
          <w:szCs w:val="24"/>
        </w:rPr>
      </w:pPr>
      <w:bookmarkStart w:id="109" w:name="_Toc108776357"/>
      <w:r>
        <w:rPr>
          <w:rFonts w:hint="eastAsia" w:ascii="宋体" w:hAnsi="宋体" w:eastAsia="宋体" w:cs="宋体"/>
          <w:sz w:val="24"/>
          <w:szCs w:val="24"/>
        </w:rPr>
        <w:t>日常系统监控</w:t>
      </w:r>
      <w:bookmarkEnd w:id="109"/>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每天进行</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的运行状况的巡检工作，每天工作第一时间巡检服务器端各软件系统、密码设备等系统的运行情况，遇到故障及时处理，收集客户的反馈信息，并及时处理上报。</w:t>
      </w:r>
    </w:p>
    <w:p>
      <w:pPr>
        <w:pStyle w:val="8"/>
        <w:numPr>
          <w:ilvl w:val="1"/>
          <w:numId w:val="19"/>
        </w:numPr>
        <w:tabs>
          <w:tab w:val="left" w:pos="1335"/>
        </w:tabs>
        <w:bidi w:val="0"/>
        <w:spacing w:line="360" w:lineRule="auto"/>
        <w:ind w:left="960" w:leftChars="0" w:hanging="360" w:firstLineChars="0"/>
        <w:rPr>
          <w:rFonts w:hint="eastAsia" w:ascii="宋体" w:hAnsi="宋体" w:eastAsia="宋体" w:cs="宋体"/>
          <w:sz w:val="24"/>
          <w:szCs w:val="24"/>
        </w:rPr>
      </w:pPr>
      <w:bookmarkStart w:id="110" w:name="_Toc108776358"/>
      <w:r>
        <w:rPr>
          <w:rFonts w:hint="eastAsia" w:ascii="宋体" w:hAnsi="宋体" w:eastAsia="宋体" w:cs="宋体"/>
          <w:sz w:val="24"/>
          <w:szCs w:val="24"/>
        </w:rPr>
        <w:t>运行环境检查</w:t>
      </w:r>
      <w:bookmarkEnd w:id="110"/>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每月对</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运行的服务器、数据库服务器设备进行运转情况检查，包括服务运行状态、数据库运行状态、网络连通情况、CPU使用率、可用内存、硬盘空间剩余等。</w:t>
      </w:r>
    </w:p>
    <w:p>
      <w:pPr>
        <w:pStyle w:val="8"/>
        <w:numPr>
          <w:ilvl w:val="1"/>
          <w:numId w:val="19"/>
        </w:numPr>
        <w:tabs>
          <w:tab w:val="left" w:pos="1335"/>
        </w:tabs>
        <w:bidi w:val="0"/>
        <w:spacing w:line="360" w:lineRule="auto"/>
        <w:ind w:left="960" w:leftChars="0" w:hanging="360" w:firstLineChars="0"/>
        <w:rPr>
          <w:rFonts w:hint="eastAsia" w:ascii="宋体" w:hAnsi="宋体" w:eastAsia="宋体" w:cs="宋体"/>
          <w:sz w:val="24"/>
          <w:szCs w:val="24"/>
        </w:rPr>
      </w:pPr>
      <w:bookmarkStart w:id="111" w:name="_Toc108776359"/>
      <w:r>
        <w:rPr>
          <w:rFonts w:hint="eastAsia" w:ascii="宋体" w:hAnsi="宋体" w:eastAsia="宋体" w:cs="宋体"/>
          <w:sz w:val="24"/>
          <w:szCs w:val="24"/>
        </w:rPr>
        <w:t>系统参数配置和调整</w:t>
      </w:r>
      <w:bookmarkEnd w:id="111"/>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根据系统维护及应用需要，对相关</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参数进行优化配置和调整，满足应用需求，提高系统稳定性。</w:t>
      </w:r>
    </w:p>
    <w:p>
      <w:pPr>
        <w:pStyle w:val="8"/>
        <w:numPr>
          <w:ilvl w:val="1"/>
          <w:numId w:val="19"/>
        </w:numPr>
        <w:tabs>
          <w:tab w:val="left" w:pos="1335"/>
        </w:tabs>
        <w:bidi w:val="0"/>
        <w:spacing w:line="360" w:lineRule="auto"/>
        <w:ind w:left="960" w:leftChars="0" w:hanging="360" w:firstLineChars="0"/>
        <w:rPr>
          <w:rFonts w:hint="eastAsia" w:ascii="宋体" w:hAnsi="宋体" w:eastAsia="宋体" w:cs="宋体"/>
          <w:sz w:val="24"/>
          <w:szCs w:val="24"/>
        </w:rPr>
      </w:pPr>
      <w:bookmarkStart w:id="112" w:name="_Toc108776360"/>
      <w:r>
        <w:rPr>
          <w:rFonts w:hint="eastAsia" w:ascii="宋体" w:hAnsi="宋体" w:eastAsia="宋体" w:cs="宋体"/>
          <w:sz w:val="24"/>
          <w:szCs w:val="24"/>
        </w:rPr>
        <w:t>故障发现和处理</w:t>
      </w:r>
      <w:bookmarkEnd w:id="112"/>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提供</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故障的诊断、分析并解决系统故障，对其程序错误及缺陷进行排错。</w:t>
      </w:r>
    </w:p>
    <w:p>
      <w:pPr>
        <w:pStyle w:val="8"/>
        <w:numPr>
          <w:ilvl w:val="1"/>
          <w:numId w:val="19"/>
        </w:numPr>
        <w:tabs>
          <w:tab w:val="left" w:pos="1335"/>
        </w:tabs>
        <w:bidi w:val="0"/>
        <w:spacing w:line="360" w:lineRule="auto"/>
        <w:ind w:left="960" w:leftChars="0" w:hanging="360" w:firstLineChars="0"/>
        <w:rPr>
          <w:rFonts w:hint="eastAsia" w:ascii="宋体" w:hAnsi="宋体" w:eastAsia="宋体" w:cs="宋体"/>
          <w:sz w:val="24"/>
          <w:szCs w:val="24"/>
        </w:rPr>
      </w:pPr>
      <w:bookmarkStart w:id="113" w:name="_Toc108776361"/>
      <w:bookmarkStart w:id="114" w:name="_Toc16474"/>
      <w:r>
        <w:rPr>
          <w:rFonts w:hint="eastAsia" w:ascii="宋体" w:hAnsi="宋体" w:eastAsia="宋体" w:cs="宋体"/>
          <w:sz w:val="24"/>
          <w:szCs w:val="24"/>
        </w:rPr>
        <w:t>周期性项目报告</w:t>
      </w:r>
      <w:bookmarkEnd w:id="113"/>
      <w:bookmarkEnd w:id="114"/>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提交各系统应用的运维、运行的周报、月报及半年度报告，包括预防性维护各项内容报告、纠正性维护各项内容报告。</w:t>
      </w:r>
    </w:p>
    <w:p>
      <w:pPr>
        <w:pStyle w:val="6"/>
        <w:numPr>
          <w:ilvl w:val="0"/>
          <w:numId w:val="17"/>
        </w:numPr>
        <w:bidi w:val="0"/>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其他内容与服务</w:t>
      </w:r>
    </w:p>
    <w:p>
      <w:pPr>
        <w:pStyle w:val="86"/>
        <w:spacing w:line="360" w:lineRule="auto"/>
        <w:ind w:left="0" w:leftChars="0"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其他技术支持服务，包括配合</w:t>
      </w:r>
      <w:r>
        <w:rPr>
          <w:rFonts w:hint="eastAsia" w:ascii="宋体" w:hAnsi="宋体" w:eastAsia="宋体" w:cs="宋体"/>
          <w:i w:val="0"/>
          <w:iCs w:val="0"/>
          <w:sz w:val="24"/>
          <w:szCs w:val="24"/>
          <w:lang w:val="en-US" w:eastAsia="zh-CN"/>
        </w:rPr>
        <w:t>市监部门</w:t>
      </w:r>
      <w:r>
        <w:rPr>
          <w:rFonts w:hint="eastAsia" w:ascii="宋体" w:hAnsi="宋体" w:eastAsia="宋体" w:cs="宋体"/>
          <w:i w:val="0"/>
          <w:iCs w:val="0"/>
          <w:sz w:val="24"/>
          <w:szCs w:val="24"/>
        </w:rPr>
        <w:t>处理进行相关问题、需求、相关工作事项的沟通、讨论和分析，如：对于不能明确是否是由软件系统引起的故障，应尽力配合其它系统供应商进行检查，并在规定响应时间内到达现场协助排除故障。</w:t>
      </w:r>
    </w:p>
    <w:p>
      <w:pPr>
        <w:pStyle w:val="86"/>
        <w:spacing w:line="360" w:lineRule="auto"/>
        <w:ind w:left="0" w:leftChars="0" w:firstLine="482" w:firstLineChars="200"/>
        <w:rPr>
          <w:rFonts w:hint="eastAsia" w:ascii="宋体" w:hAnsi="宋体" w:eastAsia="宋体" w:cs="宋体"/>
          <w:i w:val="0"/>
          <w:iCs w:val="0"/>
          <w:sz w:val="24"/>
          <w:szCs w:val="24"/>
        </w:rPr>
      </w:pPr>
      <w:r>
        <w:rPr>
          <w:rFonts w:hint="eastAsia" w:ascii="宋体" w:hAnsi="宋体" w:eastAsia="宋体" w:cs="宋体"/>
          <w:b/>
          <w:bCs/>
          <w:i w:val="0"/>
          <w:iCs w:val="0"/>
          <w:sz w:val="24"/>
          <w:szCs w:val="24"/>
        </w:rPr>
        <w:t>验收标准</w:t>
      </w:r>
      <w:r>
        <w:rPr>
          <w:rFonts w:hint="eastAsia" w:ascii="宋体" w:hAnsi="宋体" w:eastAsia="宋体" w:cs="宋体"/>
          <w:i w:val="0"/>
          <w:iCs w:val="0"/>
          <w:sz w:val="24"/>
          <w:szCs w:val="24"/>
        </w:rPr>
        <w:t>：成交供应商服务前应对服务作出全面检查和对验收文件进行整理，并列出清单，作为采购人收货验收和使用的技术条件依据，检验的结果应随货物（服务）交采购人。</w:t>
      </w:r>
    </w:p>
    <w:p>
      <w:pPr>
        <w:pStyle w:val="5"/>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第二章</w:t>
      </w:r>
      <w:r>
        <w:rPr>
          <w:rFonts w:hint="eastAsia" w:ascii="宋体" w:hAnsi="宋体" w:cs="宋体"/>
          <w:b/>
          <w:bCs/>
          <w:color w:val="auto"/>
          <w:kern w:val="0"/>
          <w:sz w:val="28"/>
          <w:szCs w:val="28"/>
          <w:lang w:val="en-US" w:eastAsia="zh-CN" w:bidi="ar-SA"/>
        </w:rPr>
        <w:t xml:space="preserve"> </w:t>
      </w:r>
      <w:r>
        <w:rPr>
          <w:rFonts w:hint="eastAsia" w:ascii="宋体" w:hAnsi="宋体" w:eastAsia="宋体" w:cs="宋体"/>
          <w:b/>
          <w:bCs/>
          <w:color w:val="auto"/>
          <w:kern w:val="0"/>
          <w:sz w:val="28"/>
          <w:szCs w:val="28"/>
          <w:lang w:val="en-US" w:eastAsia="zh-CN" w:bidi="ar-SA"/>
        </w:rPr>
        <w:t>支付方式</w:t>
      </w:r>
    </w:p>
    <w:p>
      <w:pPr>
        <w:pStyle w:val="13"/>
        <w:numPr>
          <w:ilvl w:val="0"/>
          <w:numId w:val="0"/>
        </w:numPr>
        <w:shd w:val="clear" w:color="auto" w:fill="auto"/>
        <w:adjustRightInd w:val="0"/>
        <w:snapToGrid w:val="0"/>
        <w:spacing w:before="120" w:after="120" w:line="360" w:lineRule="auto"/>
        <w:ind w:firstLine="480" w:firstLineChars="20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在合同生效以及具备实施条件后7个工作日内，支付合同价</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0%的预付款；</w:t>
      </w:r>
      <w:r>
        <w:rPr>
          <w:rFonts w:hint="eastAsia" w:hAnsi="宋体" w:cs="宋体"/>
          <w:color w:val="auto"/>
          <w:sz w:val="24"/>
          <w:szCs w:val="24"/>
          <w:highlight w:val="none"/>
          <w:lang w:val="en-US" w:eastAsia="zh-CN"/>
        </w:rPr>
        <w:t>履约期限满后，</w:t>
      </w:r>
      <w:r>
        <w:rPr>
          <w:rFonts w:hint="eastAsia" w:ascii="宋体" w:hAnsi="宋体" w:eastAsia="宋体" w:cs="宋体"/>
          <w:color w:val="auto"/>
          <w:sz w:val="24"/>
          <w:szCs w:val="24"/>
          <w:highlight w:val="none"/>
          <w:lang w:val="en-US" w:eastAsia="zh-CN"/>
        </w:rPr>
        <w:t>采购人</w:t>
      </w:r>
      <w:r>
        <w:rPr>
          <w:rFonts w:hint="eastAsia" w:hAnsi="宋体" w:cs="宋体"/>
          <w:color w:val="auto"/>
          <w:sz w:val="24"/>
          <w:szCs w:val="24"/>
          <w:highlight w:val="none"/>
          <w:lang w:val="en-US" w:eastAsia="zh-CN"/>
        </w:rPr>
        <w:t>结合每季度考核情况，支付全部合同款项。</w:t>
      </w:r>
    </w:p>
    <w:p>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pPr>
        <w:pStyle w:val="13"/>
        <w:numPr>
          <w:ilvl w:val="0"/>
          <w:numId w:val="0"/>
        </w:numPr>
        <w:shd w:val="clear" w:color="auto" w:fill="auto"/>
        <w:adjustRightInd w:val="0"/>
        <w:snapToGrid w:val="0"/>
        <w:spacing w:before="120" w:after="120" w:line="360" w:lineRule="auto"/>
        <w:ind w:firstLine="480" w:firstLineChars="200"/>
        <w:rPr>
          <w:rFonts w:hint="default" w:hAnsi="宋体" w:cs="宋体"/>
          <w:color w:val="auto"/>
          <w:sz w:val="24"/>
          <w:szCs w:val="24"/>
          <w:highlight w:val="none"/>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5"/>
        <w:jc w:val="center"/>
        <w:rPr>
          <w:rFonts w:cs="Times New Roman"/>
          <w:color w:val="auto"/>
          <w:sz w:val="36"/>
          <w:szCs w:val="36"/>
        </w:rPr>
      </w:pPr>
      <w:r>
        <w:rPr>
          <w:rFonts w:hint="eastAsia" w:cs="宋体"/>
          <w:color w:val="auto"/>
          <w:sz w:val="36"/>
          <w:szCs w:val="36"/>
        </w:rPr>
        <w:t>第四部分 磋商原则及磋商方法</w:t>
      </w:r>
      <w:bookmarkEnd w:id="85"/>
      <w:bookmarkEnd w:id="86"/>
      <w:bookmarkEnd w:id="87"/>
    </w:p>
    <w:p>
      <w:pPr>
        <w:pStyle w:val="6"/>
        <w:numPr>
          <w:ilvl w:val="0"/>
          <w:numId w:val="20"/>
        </w:numPr>
        <w:jc w:val="center"/>
        <w:rPr>
          <w:rFonts w:cs="Times New Roman"/>
          <w:color w:val="auto"/>
        </w:rPr>
      </w:pPr>
      <w:bookmarkStart w:id="115" w:name="_Toc1265"/>
      <w:r>
        <w:rPr>
          <w:rFonts w:hint="eastAsia"/>
          <w:color w:val="auto"/>
        </w:rPr>
        <w:t xml:space="preserve"> </w:t>
      </w:r>
      <w:bookmarkStart w:id="116" w:name="_Toc24094"/>
      <w:bookmarkStart w:id="117" w:name="_Toc3582"/>
      <w:r>
        <w:rPr>
          <w:rFonts w:hint="eastAsia"/>
          <w:color w:val="auto"/>
        </w:rPr>
        <w:t>磋商原则</w:t>
      </w:r>
      <w:bookmarkEnd w:id="115"/>
      <w:bookmarkEnd w:id="116"/>
      <w:bookmarkEnd w:id="117"/>
    </w:p>
    <w:p>
      <w:pPr>
        <w:pStyle w:val="7"/>
        <w:spacing w:line="336"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、本次竞争性磋商本着公平、公正、科学、择优的原则，邀请各磋商方参加报价。</w:t>
      </w:r>
    </w:p>
    <w:p>
      <w:pPr>
        <w:pStyle w:val="7"/>
        <w:spacing w:line="336"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、磋商小组将严格按照竞争性磋商文件的要求，对供应商的响应性文件进行认真评审；磋商小组对响应性文件的评审仅依据响应性文件本身，而不依据响应性文件以外的任何因素。</w:t>
      </w:r>
    </w:p>
    <w:p>
      <w:pPr>
        <w:pStyle w:val="7"/>
        <w:spacing w:line="336"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、磋商小组按照统一的磋商原则和磋商方法，用同一标准对所有响应性文件进行评审。</w:t>
      </w:r>
    </w:p>
    <w:p>
      <w:pPr>
        <w:pStyle w:val="13"/>
        <w:spacing w:line="336" w:lineRule="auto"/>
        <w:ind w:firstLine="482" w:firstLineChars="200"/>
        <w:rPr>
          <w:rFonts w:hAnsi="宋体" w:cs="Times New Roman"/>
          <w:b/>
          <w:bCs/>
          <w:color w:val="auto"/>
          <w:sz w:val="24"/>
          <w:szCs w:val="24"/>
        </w:rPr>
      </w:pPr>
      <w:r>
        <w:rPr>
          <w:rFonts w:hAnsi="宋体"/>
          <w:b/>
          <w:bCs/>
          <w:color w:val="auto"/>
          <w:sz w:val="24"/>
          <w:szCs w:val="24"/>
        </w:rPr>
        <w:t>4</w:t>
      </w:r>
      <w:r>
        <w:rPr>
          <w:rFonts w:hint="eastAsia" w:hAnsi="宋体"/>
          <w:b/>
          <w:bCs/>
          <w:color w:val="auto"/>
          <w:sz w:val="24"/>
          <w:szCs w:val="24"/>
        </w:rPr>
        <w:t>、评审</w:t>
      </w:r>
    </w:p>
    <w:p>
      <w:pPr>
        <w:pStyle w:val="13"/>
        <w:spacing w:line="336" w:lineRule="auto"/>
        <w:ind w:firstLine="480" w:firstLineChars="200"/>
        <w:rPr>
          <w:rFonts w:hAnsi="宋体" w:cs="Times New Roman"/>
          <w:color w:val="auto"/>
          <w:sz w:val="24"/>
          <w:szCs w:val="24"/>
        </w:rPr>
      </w:pPr>
      <w:r>
        <w:rPr>
          <w:rFonts w:hAnsi="宋体"/>
          <w:color w:val="auto"/>
          <w:sz w:val="24"/>
          <w:szCs w:val="24"/>
        </w:rPr>
        <w:t>4.1</w:t>
      </w:r>
      <w:r>
        <w:rPr>
          <w:rFonts w:hint="eastAsia" w:hAnsi="宋体"/>
          <w:color w:val="auto"/>
          <w:sz w:val="24"/>
          <w:szCs w:val="24"/>
        </w:rPr>
        <w:t>在磋商响应截止时间前按规定提交响应文件的供应商在三家（含）以上的，由采购人或采购代理机构组织进行开标。</w:t>
      </w:r>
    </w:p>
    <w:p>
      <w:pPr>
        <w:pStyle w:val="13"/>
        <w:spacing w:line="336" w:lineRule="auto"/>
        <w:ind w:firstLine="482" w:firstLineChars="200"/>
        <w:rPr>
          <w:rFonts w:hAnsi="宋体" w:cs="Times New Roman"/>
          <w:color w:val="auto"/>
          <w:sz w:val="24"/>
          <w:szCs w:val="24"/>
        </w:rPr>
      </w:pPr>
      <w:r>
        <w:rPr>
          <w:rFonts w:hAnsi="宋体"/>
          <w:b/>
          <w:bCs/>
          <w:color w:val="auto"/>
          <w:sz w:val="24"/>
          <w:szCs w:val="24"/>
        </w:rPr>
        <w:t>4.2</w:t>
      </w:r>
      <w:r>
        <w:rPr>
          <w:rFonts w:hint="eastAsia" w:hAnsi="宋体"/>
          <w:b/>
          <w:bCs/>
          <w:color w:val="auto"/>
          <w:sz w:val="24"/>
          <w:szCs w:val="24"/>
        </w:rPr>
        <w:t>供应商登录政采云平台，用“项目采购</w:t>
      </w:r>
      <w:r>
        <w:rPr>
          <w:rFonts w:hAnsi="宋体"/>
          <w:b/>
          <w:bCs/>
          <w:color w:val="auto"/>
          <w:sz w:val="24"/>
          <w:szCs w:val="24"/>
        </w:rPr>
        <w:t>-</w:t>
      </w:r>
      <w:r>
        <w:rPr>
          <w:rFonts w:hint="eastAsia" w:hAnsi="宋体"/>
          <w:b/>
          <w:bCs/>
          <w:color w:val="auto"/>
          <w:sz w:val="24"/>
          <w:szCs w:val="24"/>
        </w:rPr>
        <w:t>开标评标”功能对电子磋商响应文件进行在线解密。在线解密电子磋商响应文件时间为开标时间起</w:t>
      </w:r>
      <w:r>
        <w:rPr>
          <w:rFonts w:hAnsi="宋体"/>
          <w:b/>
          <w:bCs/>
          <w:color w:val="auto"/>
          <w:sz w:val="24"/>
          <w:szCs w:val="24"/>
        </w:rPr>
        <w:t>30</w:t>
      </w:r>
      <w:r>
        <w:rPr>
          <w:rFonts w:hint="eastAsia" w:hAnsi="宋体"/>
          <w:b/>
          <w:bCs/>
          <w:color w:val="auto"/>
          <w:sz w:val="24"/>
          <w:szCs w:val="24"/>
        </w:rPr>
        <w:t>分钟内。若电子磋商响应文件解密失败，则由采购代理机构工作人员上传供应商提供的备份文件。</w:t>
      </w:r>
      <w:r>
        <w:rPr>
          <w:rFonts w:hint="eastAsia" w:hAnsi="宋体"/>
          <w:color w:val="auto"/>
          <w:sz w:val="24"/>
          <w:szCs w:val="24"/>
        </w:rPr>
        <w:t>备份文件（后缀名为</w:t>
      </w:r>
      <w:r>
        <w:rPr>
          <w:rFonts w:hAnsi="宋体"/>
          <w:color w:val="auto"/>
          <w:sz w:val="24"/>
          <w:szCs w:val="24"/>
        </w:rPr>
        <w:t>.bfbs</w:t>
      </w:r>
      <w:r>
        <w:rPr>
          <w:rFonts w:hint="eastAsia" w:hAnsi="宋体"/>
          <w:color w:val="auto"/>
          <w:sz w:val="24"/>
          <w:szCs w:val="24"/>
        </w:rPr>
        <w:t>）须存储在</w:t>
      </w:r>
      <w:r>
        <w:rPr>
          <w:rFonts w:hAnsi="宋体"/>
          <w:color w:val="auto"/>
          <w:sz w:val="24"/>
          <w:szCs w:val="24"/>
        </w:rPr>
        <w:t>U</w:t>
      </w:r>
      <w:r>
        <w:rPr>
          <w:rFonts w:hint="eastAsia" w:hAnsi="宋体"/>
          <w:color w:val="auto"/>
          <w:sz w:val="24"/>
          <w:szCs w:val="24"/>
        </w:rPr>
        <w:t>盘中，与上传的电子磋商响应文件一致，用信封进行密封并盖章</w:t>
      </w:r>
      <w:r>
        <w:rPr>
          <w:rFonts w:hint="eastAsia" w:hAnsi="宋体"/>
          <w:b/>
          <w:bCs/>
          <w:color w:val="auto"/>
          <w:sz w:val="24"/>
          <w:szCs w:val="24"/>
        </w:rPr>
        <w:t>（信封内仅需放入存储备份文件的</w:t>
      </w:r>
      <w:r>
        <w:rPr>
          <w:rFonts w:hAnsi="宋体"/>
          <w:b/>
          <w:bCs/>
          <w:color w:val="auto"/>
          <w:sz w:val="24"/>
          <w:szCs w:val="24"/>
        </w:rPr>
        <w:t>U</w:t>
      </w:r>
      <w:r>
        <w:rPr>
          <w:rFonts w:hint="eastAsia" w:hAnsi="宋体"/>
          <w:b/>
          <w:bCs/>
          <w:color w:val="auto"/>
          <w:sz w:val="24"/>
          <w:szCs w:val="24"/>
        </w:rPr>
        <w:t>盘）</w:t>
      </w:r>
      <w:r>
        <w:rPr>
          <w:rFonts w:hint="eastAsia" w:hAnsi="宋体"/>
          <w:color w:val="auto"/>
          <w:sz w:val="24"/>
          <w:szCs w:val="24"/>
        </w:rPr>
        <w:t>，由授权代表在磋商响应截止时间前递交至开标地点。</w:t>
      </w:r>
    </w:p>
    <w:p>
      <w:pPr>
        <w:pStyle w:val="13"/>
        <w:spacing w:line="336" w:lineRule="auto"/>
        <w:ind w:firstLine="480" w:firstLineChars="200"/>
        <w:rPr>
          <w:rFonts w:hAnsi="宋体" w:cs="Times New Roman"/>
          <w:color w:val="auto"/>
          <w:sz w:val="24"/>
          <w:szCs w:val="24"/>
        </w:rPr>
      </w:pPr>
      <w:r>
        <w:rPr>
          <w:rFonts w:hAnsi="宋体"/>
          <w:color w:val="auto"/>
          <w:sz w:val="24"/>
          <w:szCs w:val="24"/>
        </w:rPr>
        <w:t>4.3</w:t>
      </w:r>
      <w:r>
        <w:rPr>
          <w:rFonts w:hint="eastAsia" w:hAnsi="宋体"/>
          <w:color w:val="auto"/>
          <w:sz w:val="24"/>
          <w:szCs w:val="24"/>
        </w:rPr>
        <w:t>采购人按磋商文件规定的时间、地点公开开标。开标仪式由采购人或采购代理机构主持及有关人员参加。</w:t>
      </w:r>
    </w:p>
    <w:p>
      <w:pPr>
        <w:pStyle w:val="55"/>
        <w:spacing w:before="0" w:line="336" w:lineRule="auto"/>
        <w:ind w:firstLine="480"/>
        <w:rPr>
          <w:rFonts w:ascii="宋体"/>
          <w:color w:val="auto"/>
        </w:rPr>
      </w:pPr>
      <w:r>
        <w:rPr>
          <w:rFonts w:ascii="宋体" w:hAnsi="宋体" w:cs="宋体"/>
          <w:color w:val="auto"/>
        </w:rPr>
        <w:t>4.4</w:t>
      </w:r>
      <w:r>
        <w:rPr>
          <w:rFonts w:hint="eastAsia" w:ascii="宋体" w:hAnsi="宋体" w:cs="宋体"/>
          <w:color w:val="auto"/>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rPr>
        <w:t>磋商响应</w:t>
      </w:r>
      <w:r>
        <w:rPr>
          <w:rFonts w:hint="eastAsia" w:ascii="宋体" w:hAnsi="宋体" w:cs="宋体"/>
          <w:color w:val="auto"/>
        </w:rPr>
        <w:t>截止时间前到达开标地点递交备份文件。若电子磋商响应文件正常解锁，则</w:t>
      </w:r>
      <w:r>
        <w:rPr>
          <w:rFonts w:ascii="宋体" w:hAnsi="宋体" w:cs="宋体"/>
          <w:color w:val="auto"/>
        </w:rPr>
        <w:t>U</w:t>
      </w:r>
      <w:r>
        <w:rPr>
          <w:rFonts w:hint="eastAsia" w:ascii="宋体" w:hAnsi="宋体" w:cs="宋体"/>
          <w:color w:val="auto"/>
        </w:rPr>
        <w:t>盘退还给供应商；若解锁失败，则由采购代理机构将</w:t>
      </w:r>
      <w:r>
        <w:rPr>
          <w:rFonts w:ascii="宋体" w:hAnsi="宋体" w:cs="宋体"/>
          <w:color w:val="auto"/>
        </w:rPr>
        <w:t>U</w:t>
      </w:r>
      <w:r>
        <w:rPr>
          <w:rFonts w:hint="eastAsia" w:ascii="宋体" w:hAnsi="宋体" w:cs="宋体"/>
          <w:color w:val="auto"/>
        </w:rPr>
        <w:t>盘中的备份文件上传，该</w:t>
      </w:r>
      <w:r>
        <w:rPr>
          <w:rFonts w:ascii="宋体" w:hAnsi="宋体" w:cs="宋体"/>
          <w:color w:val="auto"/>
        </w:rPr>
        <w:t>U</w:t>
      </w:r>
      <w:r>
        <w:rPr>
          <w:rFonts w:hint="eastAsia" w:ascii="宋体" w:hAnsi="宋体" w:cs="宋体"/>
          <w:color w:val="auto"/>
        </w:rPr>
        <w:t>盘将由采购代理机构保存。</w:t>
      </w:r>
    </w:p>
    <w:p>
      <w:pPr>
        <w:pStyle w:val="55"/>
        <w:spacing w:before="0" w:line="336" w:lineRule="auto"/>
        <w:ind w:firstLine="480"/>
        <w:rPr>
          <w:rFonts w:ascii="宋体"/>
          <w:color w:val="auto"/>
        </w:rPr>
      </w:pPr>
      <w:r>
        <w:rPr>
          <w:rFonts w:ascii="宋体" w:hAnsi="宋体" w:cs="宋体"/>
          <w:color w:val="auto"/>
        </w:rPr>
        <w:t>4.5</w:t>
      </w:r>
      <w:r>
        <w:rPr>
          <w:rFonts w:hint="eastAsia" w:ascii="宋体" w:hAnsi="宋体" w:cs="宋体"/>
          <w:color w:val="auto"/>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36" w:lineRule="auto"/>
        <w:ind w:firstLine="48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、组建磋商小组</w:t>
      </w:r>
    </w:p>
    <w:p>
      <w:pPr>
        <w:pStyle w:val="55"/>
        <w:spacing w:before="0" w:line="336" w:lineRule="auto"/>
        <w:ind w:firstLine="480"/>
        <w:rPr>
          <w:rFonts w:ascii="宋体"/>
          <w:color w:val="auto"/>
        </w:rPr>
      </w:pPr>
      <w:r>
        <w:rPr>
          <w:rFonts w:ascii="宋体" w:hAnsi="宋体" w:cs="宋体"/>
          <w:color w:val="auto"/>
        </w:rPr>
        <w:t>5.1</w:t>
      </w:r>
      <w:r>
        <w:rPr>
          <w:rFonts w:hint="eastAsia" w:ascii="宋体" w:hAnsi="宋体" w:cs="宋体"/>
          <w:color w:val="auto"/>
        </w:rPr>
        <w:t>磋商小组由采购人代表和评审专家共</w:t>
      </w:r>
      <w:r>
        <w:rPr>
          <w:rFonts w:ascii="宋体" w:hAnsi="宋体" w:cs="宋体"/>
          <w:color w:val="auto"/>
        </w:rPr>
        <w:t>3</w:t>
      </w:r>
      <w:r>
        <w:rPr>
          <w:rFonts w:hint="eastAsia" w:ascii="宋体" w:hAnsi="宋体" w:cs="宋体"/>
          <w:color w:val="auto"/>
        </w:rPr>
        <w:t>人或以上单数组成，其中评审专家人数不少于磋商小组成员总数的</w:t>
      </w:r>
      <w:r>
        <w:rPr>
          <w:rFonts w:ascii="宋体" w:hAnsi="宋体" w:cs="宋体"/>
          <w:color w:val="auto"/>
        </w:rPr>
        <w:t>2/3</w:t>
      </w:r>
      <w:r>
        <w:rPr>
          <w:rFonts w:hint="eastAsia" w:ascii="宋体" w:hAnsi="宋体" w:cs="宋体"/>
          <w:color w:val="auto"/>
        </w:rPr>
        <w:t>。</w:t>
      </w:r>
    </w:p>
    <w:p>
      <w:pPr>
        <w:pStyle w:val="55"/>
        <w:tabs>
          <w:tab w:val="left" w:pos="0"/>
        </w:tabs>
        <w:spacing w:before="0" w:line="336" w:lineRule="auto"/>
        <w:ind w:firstLine="480"/>
        <w:rPr>
          <w:rFonts w:ascii="宋体"/>
          <w:color w:val="auto"/>
          <w:lang w:val="zh-CN"/>
        </w:rPr>
      </w:pPr>
      <w:r>
        <w:rPr>
          <w:rFonts w:ascii="宋体" w:hAnsi="宋体" w:cs="宋体"/>
          <w:color w:val="auto"/>
        </w:rPr>
        <w:t>5.2</w:t>
      </w:r>
      <w:r>
        <w:rPr>
          <w:rFonts w:hint="eastAsia" w:ascii="宋体" w:hAnsi="宋体" w:cs="宋体"/>
          <w:color w:val="auto"/>
          <w:lang w:val="zh-CN"/>
        </w:rPr>
        <w:t>评标工作由评标委员会负责，并推选产生的组长主持；</w:t>
      </w:r>
    </w:p>
    <w:p>
      <w:pPr>
        <w:pStyle w:val="7"/>
        <w:spacing w:line="336" w:lineRule="auto"/>
        <w:ind w:firstLine="480" w:firstLineChars="200"/>
        <w:rPr>
          <w:rFonts w:ascii="宋体"/>
          <w:color w:val="auto"/>
          <w:sz w:val="24"/>
          <w:szCs w:val="24"/>
        </w:rPr>
      </w:pPr>
      <w:r>
        <w:rPr>
          <w:rFonts w:ascii="宋体" w:hAnsi="宋体" w:cs="宋体"/>
          <w:color w:val="auto"/>
          <w:sz w:val="24"/>
          <w:szCs w:val="24"/>
        </w:rPr>
        <w:t>5.3</w:t>
      </w:r>
      <w:r>
        <w:rPr>
          <w:rFonts w:hint="eastAsia" w:ascii="宋体" w:hAnsi="宋体" w:cs="宋体"/>
          <w:color w:val="auto"/>
          <w:sz w:val="24"/>
          <w:szCs w:val="24"/>
          <w:lang w:val="zh-CN"/>
        </w:rPr>
        <w:t>本次评标为在线评标。</w:t>
      </w:r>
    </w:p>
    <w:p>
      <w:pPr>
        <w:pStyle w:val="6"/>
        <w:numPr>
          <w:ilvl w:val="0"/>
          <w:numId w:val="20"/>
        </w:numPr>
        <w:jc w:val="center"/>
        <w:rPr>
          <w:rFonts w:cs="Times New Roman"/>
          <w:color w:val="auto"/>
        </w:rPr>
      </w:pPr>
      <w:r>
        <w:rPr>
          <w:color w:val="auto"/>
        </w:rPr>
        <w:t xml:space="preserve"> </w:t>
      </w:r>
      <w:bookmarkStart w:id="118" w:name="_Toc10093"/>
      <w:bookmarkStart w:id="119" w:name="_Toc4456"/>
      <w:bookmarkStart w:id="120" w:name="_Toc7206"/>
      <w:r>
        <w:rPr>
          <w:rFonts w:hint="eastAsia"/>
          <w:color w:val="auto"/>
        </w:rPr>
        <w:t>磋商程序</w:t>
      </w:r>
      <w:bookmarkEnd w:id="118"/>
      <w:bookmarkEnd w:id="119"/>
      <w:bookmarkEnd w:id="120"/>
    </w:p>
    <w:p>
      <w:pPr>
        <w:snapToGrid w:val="0"/>
        <w:spacing w:line="336" w:lineRule="auto"/>
        <w:ind w:firstLine="480"/>
        <w:rPr>
          <w:rFonts w:ascii="宋体" w:hAnsi="宋体" w:cs="宋体"/>
          <w:b/>
          <w:bCs/>
          <w:color w:val="auto"/>
          <w:sz w:val="24"/>
          <w:szCs w:val="24"/>
        </w:rPr>
      </w:pPr>
      <w:r>
        <w:rPr>
          <w:rFonts w:hint="eastAsia" w:ascii="宋体" w:hAnsi="宋体" w:cs="宋体"/>
          <w:b/>
          <w:bCs/>
          <w:color w:val="auto"/>
          <w:sz w:val="24"/>
          <w:szCs w:val="24"/>
        </w:rPr>
        <w:t>1、对所有响应文件的初审</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1.1资格审查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（1）开标后，磋商小组将依法对供应商的资格进行审查。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（2）磋商小组依据法律法规和磋商文件的规定，对供应商的基本资格条件、特定资格条件进行审查。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（3）供应商未按照磋商文件要求提供与基本资格条件、特定资格条件相应的有效资格证明材料的，视为供应商不具备磋商文件中规定的资格要求，其磋商无效。并将无效原由告知相关供应商.</w:t>
      </w:r>
    </w:p>
    <w:p>
      <w:pPr>
        <w:wordWrap w:val="0"/>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（1）响应文件无法定代表人或其委托授权代表签名或盖章。</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（2）响应文件内容虚假的。</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（3）响应文件有采购人不能接受的附加条件的。</w:t>
      </w:r>
    </w:p>
    <w:p>
      <w:pPr>
        <w:adjustRightIn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（4）磋商有效期、服务期等商务条款不能满足磋商文件要求的。</w:t>
      </w:r>
    </w:p>
    <w:p>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（5）投标价格超出预算或最高限价，导致采购单位无法支付的。</w:t>
      </w:r>
    </w:p>
    <w:p>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（6）磋商文件明确规定的其他无效条款的。</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5"/>
        <w:tabs>
          <w:tab w:val="left" w:pos="0"/>
        </w:tabs>
        <w:spacing w:before="0" w:line="336" w:lineRule="auto"/>
        <w:ind w:firstLine="480"/>
        <w:rPr>
          <w:rFonts w:ascii="宋体" w:hAnsi="宋体" w:cs="宋体"/>
          <w:color w:val="auto"/>
        </w:rPr>
      </w:pPr>
      <w:r>
        <w:rPr>
          <w:rFonts w:hint="eastAsia" w:ascii="宋体" w:hAnsi="宋体" w:cs="宋体"/>
          <w:color w:val="auto"/>
        </w:rPr>
        <w:t>1.4磋商小组要求供应商澄清、说明或者更正响应文件应当以书面形式发出。供应商的澄清、说明或者更正应当由法定代表人或其授权代表签字或者加盖公章。由授权代表签字的，应当附法定代表人授权书。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2</w:t>
      </w:r>
      <w:r>
        <w:rPr>
          <w:rFonts w:hint="eastAsia" w:ascii="宋体" w:hAnsi="宋体" w:cs="宋体"/>
          <w:b/>
          <w:bCs/>
          <w:color w:val="auto"/>
          <w:sz w:val="24"/>
          <w:szCs w:val="24"/>
          <w:lang w:val="zh-CN"/>
        </w:rPr>
        <w:t>、磋商</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2.1 初审合格的供应商进入下一步的磋商活动。</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2.2 磋商小组所有成员应当集中与单一供应商分别进行磋商，并给予所有参加磋商的供应商平等的磋商机会。</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2.4 在磋商过程中，磋商小组可以根据磋商文件和磋商情况实质性变动采购需求中的技术、服务要求以及合同草案条款。实质性变动的内容，须经采购人代表确认。</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2.5 磋商文件作出的实质性变动是磋商文件的有效组成部分，磋商小组应当及时以书面形式同时通知所有参加磋商的供应商。</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3</w:t>
      </w:r>
      <w:r>
        <w:rPr>
          <w:rFonts w:hint="eastAsia" w:ascii="宋体" w:hAnsi="宋体" w:cs="宋体"/>
          <w:b/>
          <w:bCs/>
          <w:color w:val="auto"/>
          <w:sz w:val="24"/>
          <w:szCs w:val="24"/>
          <w:lang w:val="zh-CN"/>
        </w:rPr>
        <w:t>、最后报价</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3.1商务技术汇总后，供应商开启报价文件，磋商小组应当要求所有实质性响应的供应商在规定时间内提交最后报价。</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3.2最后报价是供应商响应文件的有效组成部分，若最后报价高于响应文件报价文件报价，则以第一次报价计入评分。</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3.3已提交响应文件的供应商，在提交最后报价之前，若因磋商文件实质性变动导致供应商无法满足采购需求的，允许供应商退出磋商。</w:t>
      </w:r>
    </w:p>
    <w:p>
      <w:pPr>
        <w:pStyle w:val="7"/>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4、电子评标</w:t>
      </w:r>
    </w:p>
    <w:p>
      <w:pPr>
        <w:pStyle w:val="7"/>
        <w:spacing w:line="336" w:lineRule="auto"/>
        <w:ind w:firstLine="0"/>
        <w:rPr>
          <w:rFonts w:ascii="宋体" w:hAnsi="宋体" w:cs="宋体"/>
          <w:color w:val="auto"/>
          <w:sz w:val="24"/>
          <w:szCs w:val="24"/>
        </w:rPr>
      </w:pPr>
      <w:r>
        <w:rPr>
          <w:rFonts w:hint="eastAsia" w:ascii="宋体" w:hAnsi="宋体" w:cs="宋体"/>
          <w:color w:val="auto"/>
          <w:sz w:val="24"/>
          <w:szCs w:val="24"/>
        </w:rPr>
        <w:t xml:space="preserve">    4.1磋商活动由采购代理机构主持,磋商响应截止时间后,供应商登录政采云平台对电子响应文件进行在线解密；</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4.2响应文件解密结束,开启响应文件,磋商小组对资格和商务技术响应文件进行资格审查和符合性审查；</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4.3供应商按递交磋商响应文件的前后顺序决定磋商的顺序,就价格、服务等认为需要磋商的内容进行磋商,供应商逐家回答磋商小组的提问,供应商作出最终承诺；</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4.4磋商小组对商务技术响应文件进行评审；</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4.5商务技术汇总后，供应商开启报价文件，进行磋商二次报价（最终报价），</w:t>
      </w:r>
      <w:r>
        <w:rPr>
          <w:rFonts w:hint="eastAsia" w:ascii="宋体" w:hAnsi="宋体" w:cs="宋体"/>
          <w:b/>
          <w:bCs/>
          <w:color w:val="auto"/>
          <w:sz w:val="24"/>
          <w:szCs w:val="24"/>
        </w:rPr>
        <w:t>如果供应商在规定时间30分钟内未提交第二次报价，视该供应商放弃本次投标，作无效标处理</w:t>
      </w:r>
      <w:r>
        <w:rPr>
          <w:rFonts w:hint="eastAsia" w:ascii="宋体" w:hAnsi="宋体" w:cs="宋体"/>
          <w:color w:val="auto"/>
          <w:sz w:val="24"/>
          <w:szCs w:val="24"/>
        </w:rPr>
        <w:t>；</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4.6在系统上开启最终报价情况；</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4.7磋商小组对报价情况进行评审；</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4.8在系统上公开资格和商务技术评审结果；</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4.9在系统上公布评审结果。</w:t>
      </w:r>
    </w:p>
    <w:p>
      <w:pPr>
        <w:pStyle w:val="7"/>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4.10开标会结束。</w:t>
      </w:r>
    </w:p>
    <w:p>
      <w:pPr>
        <w:snapToGrid w:val="0"/>
        <w:spacing w:line="336" w:lineRule="auto"/>
        <w:ind w:firstLine="480" w:firstLineChars="200"/>
        <w:rPr>
          <w:rFonts w:ascii="宋体" w:hAnsi="宋体" w:cs="宋体"/>
          <w:b/>
          <w:bCs/>
          <w:color w:val="auto"/>
          <w:sz w:val="24"/>
          <w:szCs w:val="24"/>
        </w:rPr>
      </w:pPr>
      <w:r>
        <w:rPr>
          <w:rFonts w:hint="eastAsia" w:ascii="宋体" w:hAnsi="宋体" w:cs="宋体"/>
          <w:color w:val="auto"/>
          <w:sz w:val="24"/>
          <w:szCs w:val="24"/>
        </w:rPr>
        <w:t>特别说明:政采云如对电子化开标及评审程序有调整的,按调整后的程序操作。</w:t>
      </w:r>
    </w:p>
    <w:p>
      <w:pPr>
        <w:snapToGrid w:val="0"/>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5.综合评分</w:t>
      </w:r>
    </w:p>
    <w:p>
      <w:pPr>
        <w:tabs>
          <w:tab w:val="left" w:pos="-1080"/>
          <w:tab w:val="left" w:pos="180"/>
          <w:tab w:val="left" w:pos="1080"/>
        </w:tabs>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5.1本评标办法采用综合评标法，由商务技术分和报价分合计组成，其中商务技术分</w:t>
      </w:r>
      <w:r>
        <w:rPr>
          <w:rFonts w:hint="eastAsia" w:ascii="宋体" w:hAnsi="宋体" w:cs="宋体"/>
          <w:color w:val="auto"/>
          <w:sz w:val="24"/>
          <w:szCs w:val="24"/>
          <w:u w:val="single"/>
        </w:rPr>
        <w:t xml:space="preserve"> 80 </w:t>
      </w:r>
      <w:r>
        <w:rPr>
          <w:rFonts w:hint="eastAsia" w:ascii="宋体" w:hAnsi="宋体" w:cs="宋体"/>
          <w:color w:val="auto"/>
          <w:sz w:val="24"/>
          <w:szCs w:val="24"/>
        </w:rPr>
        <w:t>分、报价分</w:t>
      </w:r>
      <w:r>
        <w:rPr>
          <w:rFonts w:hint="eastAsia" w:ascii="宋体" w:hAnsi="宋体" w:cs="宋体"/>
          <w:color w:val="auto"/>
          <w:sz w:val="24"/>
          <w:szCs w:val="24"/>
          <w:u w:val="single"/>
        </w:rPr>
        <w:t xml:space="preserve"> 20 </w:t>
      </w:r>
      <w:r>
        <w:rPr>
          <w:rFonts w:hint="eastAsia" w:ascii="宋体" w:hAnsi="宋体" w:cs="宋体"/>
          <w:color w:val="auto"/>
          <w:sz w:val="24"/>
          <w:szCs w:val="24"/>
        </w:rPr>
        <w:t>分；满分为100分。</w:t>
      </w:r>
    </w:p>
    <w:p>
      <w:pPr>
        <w:spacing w:line="336" w:lineRule="auto"/>
        <w:ind w:firstLine="480"/>
        <w:rPr>
          <w:rFonts w:ascii="宋体" w:hAnsi="宋体" w:cs="宋体"/>
          <w:color w:val="auto"/>
          <w:sz w:val="24"/>
          <w:szCs w:val="24"/>
        </w:rPr>
      </w:pPr>
      <w:r>
        <w:rPr>
          <w:rFonts w:hint="eastAsia" w:ascii="宋体" w:hAnsi="宋体" w:cs="宋体"/>
          <w:color w:val="auto"/>
          <w:sz w:val="24"/>
          <w:szCs w:val="24"/>
        </w:rPr>
        <w:t>5.2经初步评审合格的响应文件，磋商小组根据竞争性磋商文件确定的评审标准和方法，对其商务技术部分作进一步评审、比较、打分。</w:t>
      </w:r>
    </w:p>
    <w:p>
      <w:pPr>
        <w:pStyle w:val="13"/>
        <w:spacing w:line="336" w:lineRule="auto"/>
        <w:ind w:firstLine="480" w:firstLineChars="200"/>
        <w:rPr>
          <w:rFonts w:hAnsi="宋体"/>
          <w:color w:val="auto"/>
          <w:sz w:val="24"/>
          <w:szCs w:val="24"/>
        </w:rPr>
      </w:pPr>
      <w:r>
        <w:rPr>
          <w:rFonts w:hint="eastAsia" w:hAnsi="宋体"/>
          <w:color w:val="auto"/>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3"/>
        <w:spacing w:line="336" w:lineRule="auto"/>
        <w:ind w:left="400" w:leftChars="200"/>
        <w:rPr>
          <w:rFonts w:hAnsi="宋体"/>
          <w:b/>
          <w:bCs/>
          <w:color w:val="auto"/>
          <w:sz w:val="24"/>
          <w:szCs w:val="24"/>
        </w:rPr>
      </w:pPr>
      <w:r>
        <w:rPr>
          <w:rFonts w:hint="eastAsia" w:hAnsi="宋体"/>
          <w:b/>
          <w:bCs/>
          <w:color w:val="auto"/>
          <w:sz w:val="24"/>
          <w:szCs w:val="24"/>
        </w:rPr>
        <w:t>6、修正原则</w:t>
      </w:r>
    </w:p>
    <w:p>
      <w:pPr>
        <w:pStyle w:val="55"/>
        <w:spacing w:before="0" w:line="336" w:lineRule="auto"/>
        <w:ind w:left="400" w:leftChars="200" w:firstLine="0" w:firstLineChars="0"/>
        <w:rPr>
          <w:rFonts w:ascii="宋体" w:hAnsi="宋体" w:cs="宋体"/>
          <w:color w:val="auto"/>
          <w:lang w:val="zh-CN"/>
        </w:rPr>
      </w:pPr>
      <w:r>
        <w:rPr>
          <w:rFonts w:hint="eastAsia" w:ascii="宋体" w:hAnsi="宋体" w:cs="宋体"/>
          <w:color w:val="auto"/>
        </w:rPr>
        <w:t>响应</w:t>
      </w:r>
      <w:r>
        <w:rPr>
          <w:rFonts w:hint="eastAsia" w:ascii="宋体" w:hAnsi="宋体" w:cs="宋体"/>
          <w:color w:val="auto"/>
          <w:lang w:val="zh-CN"/>
        </w:rPr>
        <w:t>文件报价出现前后不一致的，按照下列规定修正：</w:t>
      </w:r>
    </w:p>
    <w:p>
      <w:pPr>
        <w:pStyle w:val="55"/>
        <w:tabs>
          <w:tab w:val="left" w:pos="0"/>
        </w:tabs>
        <w:spacing w:before="0" w:line="336" w:lineRule="auto"/>
        <w:ind w:firstLine="480"/>
        <w:rPr>
          <w:rFonts w:ascii="宋体" w:hAnsi="宋体" w:cs="宋体"/>
          <w:color w:val="auto"/>
          <w:lang w:val="zh-CN"/>
        </w:rPr>
      </w:pPr>
      <w:r>
        <w:rPr>
          <w:rFonts w:hint="eastAsia" w:ascii="宋体" w:hAnsi="宋体" w:cs="宋体"/>
          <w:color w:val="auto"/>
        </w:rPr>
        <w:t>6.1响应</w:t>
      </w:r>
      <w:r>
        <w:rPr>
          <w:rFonts w:hint="eastAsia" w:ascii="宋体" w:hAnsi="宋体" w:cs="宋体"/>
          <w:color w:val="auto"/>
          <w:lang w:val="zh-CN"/>
        </w:rPr>
        <w:t>文件中</w:t>
      </w:r>
      <w:r>
        <w:rPr>
          <w:rFonts w:hint="eastAsia" w:ascii="宋体" w:hAnsi="宋体" w:cs="宋体"/>
          <w:color w:val="auto"/>
        </w:rPr>
        <w:t>报价</w:t>
      </w:r>
      <w:r>
        <w:rPr>
          <w:rFonts w:hint="eastAsia" w:ascii="宋体" w:hAnsi="宋体" w:cs="宋体"/>
          <w:color w:val="auto"/>
          <w:lang w:val="zh-CN"/>
        </w:rPr>
        <w:t>一览表内容与</w:t>
      </w:r>
      <w:r>
        <w:rPr>
          <w:rFonts w:hint="eastAsia" w:ascii="宋体" w:hAnsi="宋体" w:cs="宋体"/>
          <w:color w:val="auto"/>
        </w:rPr>
        <w:t>响应</w:t>
      </w:r>
      <w:r>
        <w:rPr>
          <w:rFonts w:hint="eastAsia" w:ascii="宋体" w:hAnsi="宋体" w:cs="宋体"/>
          <w:color w:val="auto"/>
          <w:lang w:val="zh-CN"/>
        </w:rPr>
        <w:t>文件中相应内容不一致的，以</w:t>
      </w:r>
      <w:r>
        <w:rPr>
          <w:rFonts w:hint="eastAsia" w:ascii="宋体" w:hAnsi="宋体" w:cs="宋体"/>
          <w:color w:val="auto"/>
        </w:rPr>
        <w:t>报价</w:t>
      </w:r>
      <w:r>
        <w:rPr>
          <w:rFonts w:hint="eastAsia" w:ascii="宋体" w:hAnsi="宋体" w:cs="宋体"/>
          <w:color w:val="auto"/>
          <w:lang w:val="zh-CN"/>
        </w:rPr>
        <w:t>一览表为准；</w:t>
      </w:r>
    </w:p>
    <w:p>
      <w:pPr>
        <w:pStyle w:val="55"/>
        <w:tabs>
          <w:tab w:val="left" w:pos="0"/>
        </w:tabs>
        <w:spacing w:before="0" w:line="336" w:lineRule="auto"/>
        <w:ind w:firstLine="480"/>
        <w:rPr>
          <w:rFonts w:ascii="宋体" w:hAnsi="宋体" w:cs="宋体"/>
          <w:color w:val="auto"/>
          <w:lang w:val="zh-CN"/>
        </w:rPr>
      </w:pPr>
      <w:r>
        <w:rPr>
          <w:rFonts w:hint="eastAsia" w:ascii="宋体" w:hAnsi="宋体" w:cs="宋体"/>
          <w:color w:val="auto"/>
        </w:rPr>
        <w:t>6.2</w:t>
      </w:r>
      <w:r>
        <w:rPr>
          <w:rFonts w:hint="eastAsia" w:ascii="宋体" w:hAnsi="宋体" w:cs="宋体"/>
          <w:color w:val="auto"/>
          <w:lang w:val="zh-CN"/>
        </w:rPr>
        <w:t>大写金额和小写金额不一致的，以大写金额为准；</w:t>
      </w:r>
    </w:p>
    <w:p>
      <w:pPr>
        <w:pStyle w:val="55"/>
        <w:tabs>
          <w:tab w:val="left" w:pos="0"/>
        </w:tabs>
        <w:spacing w:before="0" w:line="336" w:lineRule="auto"/>
        <w:ind w:firstLine="480"/>
        <w:rPr>
          <w:rFonts w:ascii="宋体" w:hAnsi="宋体" w:cs="宋体"/>
          <w:color w:val="auto"/>
          <w:lang w:val="zh-CN"/>
        </w:rPr>
      </w:pPr>
      <w:r>
        <w:rPr>
          <w:rFonts w:hint="eastAsia" w:ascii="宋体" w:hAnsi="宋体" w:cs="宋体"/>
          <w:color w:val="auto"/>
        </w:rPr>
        <w:t>6.3</w:t>
      </w:r>
      <w:r>
        <w:rPr>
          <w:rFonts w:hint="eastAsia" w:ascii="宋体" w:hAnsi="宋体" w:cs="宋体"/>
          <w:color w:val="auto"/>
          <w:lang w:val="zh-CN"/>
        </w:rPr>
        <w:t>单价金额小数点或者百分比有明显错位的，以</w:t>
      </w:r>
      <w:r>
        <w:rPr>
          <w:rFonts w:hint="eastAsia" w:ascii="宋体" w:hAnsi="宋体" w:cs="宋体"/>
          <w:color w:val="auto"/>
        </w:rPr>
        <w:t>报价</w:t>
      </w:r>
      <w:r>
        <w:rPr>
          <w:rFonts w:hint="eastAsia" w:ascii="宋体" w:hAnsi="宋体" w:cs="宋体"/>
          <w:color w:val="auto"/>
          <w:lang w:val="zh-CN"/>
        </w:rPr>
        <w:t>一览表的总价为准，并修改单价；</w:t>
      </w:r>
    </w:p>
    <w:p>
      <w:pPr>
        <w:pStyle w:val="55"/>
        <w:tabs>
          <w:tab w:val="left" w:pos="0"/>
        </w:tabs>
        <w:spacing w:before="0" w:line="336" w:lineRule="auto"/>
        <w:ind w:firstLine="480"/>
        <w:rPr>
          <w:rFonts w:ascii="宋体" w:hAnsi="宋体" w:cs="宋体"/>
          <w:color w:val="auto"/>
          <w:lang w:val="zh-CN"/>
        </w:rPr>
      </w:pPr>
      <w:r>
        <w:rPr>
          <w:rFonts w:hint="eastAsia" w:ascii="宋体" w:hAnsi="宋体" w:cs="宋体"/>
          <w:color w:val="auto"/>
        </w:rPr>
        <w:t>6.4</w:t>
      </w:r>
      <w:r>
        <w:rPr>
          <w:rFonts w:hint="eastAsia" w:ascii="宋体" w:hAnsi="宋体" w:cs="宋体"/>
          <w:color w:val="auto"/>
          <w:lang w:val="zh-CN"/>
        </w:rPr>
        <w:t>总价金额与按单价汇总金额不一致的，以单价金额计算结果为准。</w:t>
      </w:r>
    </w:p>
    <w:p>
      <w:pPr>
        <w:pStyle w:val="55"/>
        <w:spacing w:before="0" w:line="336" w:lineRule="auto"/>
        <w:ind w:firstLine="480"/>
        <w:rPr>
          <w:rFonts w:ascii="宋体" w:hAnsi="宋体" w:cs="宋体"/>
          <w:color w:val="auto"/>
          <w:lang w:val="zh-CN"/>
        </w:rPr>
      </w:pPr>
      <w:r>
        <w:rPr>
          <w:rFonts w:hint="eastAsia" w:ascii="宋体" w:hAnsi="宋体" w:cs="宋体"/>
          <w:color w:val="auto"/>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rPr>
        <w:t>供应商</w:t>
      </w:r>
      <w:r>
        <w:rPr>
          <w:rFonts w:hint="eastAsia" w:ascii="宋体" w:hAnsi="宋体" w:cs="宋体"/>
          <w:color w:val="auto"/>
          <w:lang w:val="zh-CN"/>
        </w:rPr>
        <w:t>确认后产生约束力，</w:t>
      </w:r>
      <w:r>
        <w:rPr>
          <w:rFonts w:hint="eastAsia" w:ascii="宋体" w:hAnsi="宋体" w:cs="宋体"/>
          <w:color w:val="auto"/>
        </w:rPr>
        <w:t>供应商</w:t>
      </w:r>
      <w:r>
        <w:rPr>
          <w:rFonts w:hint="eastAsia" w:ascii="宋体" w:hAnsi="宋体" w:cs="宋体"/>
          <w:color w:val="auto"/>
          <w:lang w:val="zh-CN"/>
        </w:rPr>
        <w:t>不确认的，其</w:t>
      </w:r>
      <w:r>
        <w:rPr>
          <w:rFonts w:hint="eastAsia" w:ascii="宋体" w:hAnsi="宋体" w:cs="宋体"/>
          <w:color w:val="auto"/>
        </w:rPr>
        <w:t>磋商</w:t>
      </w:r>
      <w:r>
        <w:rPr>
          <w:rFonts w:hint="eastAsia" w:ascii="宋体" w:hAnsi="宋体" w:cs="宋体"/>
          <w:color w:val="auto"/>
          <w:lang w:val="zh-CN"/>
        </w:rPr>
        <w:t>无效。</w:t>
      </w:r>
    </w:p>
    <w:p>
      <w:pPr>
        <w:pStyle w:val="13"/>
        <w:spacing w:line="336" w:lineRule="auto"/>
        <w:ind w:left="400" w:leftChars="200"/>
        <w:rPr>
          <w:rFonts w:hAnsi="宋体"/>
          <w:b/>
          <w:bCs/>
          <w:color w:val="auto"/>
          <w:sz w:val="24"/>
          <w:szCs w:val="24"/>
        </w:rPr>
      </w:pPr>
      <w:r>
        <w:rPr>
          <w:rFonts w:hint="eastAsia" w:hAnsi="宋体"/>
          <w:b/>
          <w:bCs/>
          <w:color w:val="auto"/>
          <w:sz w:val="24"/>
          <w:szCs w:val="24"/>
        </w:rPr>
        <w:t>7、响应文件的澄清</w:t>
      </w:r>
    </w:p>
    <w:p>
      <w:pPr>
        <w:pStyle w:val="55"/>
        <w:tabs>
          <w:tab w:val="left" w:pos="0"/>
        </w:tabs>
        <w:spacing w:before="0" w:line="336" w:lineRule="auto"/>
        <w:ind w:firstLine="480"/>
        <w:rPr>
          <w:rFonts w:ascii="宋体" w:hAnsi="宋体" w:cs="宋体"/>
          <w:color w:val="auto"/>
          <w:lang w:val="zh-CN"/>
        </w:rPr>
      </w:pPr>
      <w:r>
        <w:rPr>
          <w:rFonts w:hint="eastAsia" w:ascii="宋体" w:hAnsi="宋体" w:cs="宋体"/>
          <w:color w:val="auto"/>
        </w:rPr>
        <w:t>7.1</w:t>
      </w:r>
      <w:r>
        <w:rPr>
          <w:rFonts w:hint="eastAsia" w:ascii="宋体" w:hAnsi="宋体" w:cs="宋体"/>
          <w:color w:val="auto"/>
          <w:lang w:val="zh-CN"/>
        </w:rPr>
        <w:t>评审中因</w:t>
      </w:r>
      <w:r>
        <w:rPr>
          <w:rFonts w:hint="eastAsia" w:ascii="宋体" w:hAnsi="宋体" w:cs="宋体"/>
          <w:color w:val="auto"/>
        </w:rPr>
        <w:t>响应</w:t>
      </w:r>
      <w:r>
        <w:rPr>
          <w:rFonts w:hint="eastAsia" w:ascii="宋体" w:hAnsi="宋体" w:cs="宋体"/>
          <w:color w:val="auto"/>
          <w:lang w:val="zh-CN"/>
        </w:rPr>
        <w:t>文件含义不明、表述不一致或有明显计算错误等内容需要供应商作出澄清、说明或者补正的，</w:t>
      </w:r>
      <w:r>
        <w:rPr>
          <w:rFonts w:hint="eastAsia" w:ascii="宋体" w:hAnsi="宋体" w:cs="宋体"/>
          <w:color w:val="auto"/>
        </w:rPr>
        <w:t>磋商小组</w:t>
      </w:r>
      <w:r>
        <w:rPr>
          <w:rFonts w:hint="eastAsia" w:ascii="宋体" w:hAnsi="宋体" w:cs="宋体"/>
          <w:color w:val="auto"/>
          <w:lang w:val="zh-CN"/>
        </w:rPr>
        <w:t>和供应商应当通过政采云平台交换数据电文，给予供应商提交澄清说明或补正的时间不少于半小时，供应商已经明确表示澄清说明或补正完毕的除外。</w:t>
      </w:r>
    </w:p>
    <w:p>
      <w:pPr>
        <w:spacing w:line="336" w:lineRule="auto"/>
        <w:ind w:firstLine="480" w:firstLineChars="200"/>
        <w:rPr>
          <w:rFonts w:ascii="宋体"/>
          <w:color w:val="auto"/>
          <w:sz w:val="24"/>
          <w:szCs w:val="24"/>
        </w:rPr>
      </w:pPr>
      <w:r>
        <w:rPr>
          <w:rFonts w:hint="eastAsia" w:ascii="宋体" w:hAnsi="宋体" w:cs="宋体"/>
          <w:color w:val="auto"/>
          <w:sz w:val="24"/>
          <w:szCs w:val="24"/>
          <w:lang w:val="zh-CN"/>
        </w:rPr>
        <w:t>供应商通过政采云平台交换的数据电文必须进行电子签章。</w:t>
      </w:r>
    </w:p>
    <w:p>
      <w:pPr>
        <w:pStyle w:val="6"/>
        <w:numPr>
          <w:ilvl w:val="0"/>
          <w:numId w:val="20"/>
        </w:numPr>
        <w:jc w:val="center"/>
        <w:rPr>
          <w:rFonts w:cs="Times New Roman"/>
          <w:color w:val="auto"/>
        </w:rPr>
      </w:pPr>
      <w:r>
        <w:rPr>
          <w:color w:val="auto"/>
        </w:rPr>
        <w:t xml:space="preserve"> </w:t>
      </w:r>
      <w:bookmarkStart w:id="121" w:name="_Toc12816"/>
      <w:bookmarkStart w:id="122" w:name="_Toc1778"/>
      <w:bookmarkStart w:id="123" w:name="_Toc18583"/>
      <w:r>
        <w:rPr>
          <w:rFonts w:hint="eastAsia"/>
          <w:color w:val="auto"/>
        </w:rPr>
        <w:t>注意事项</w:t>
      </w:r>
      <w:bookmarkEnd w:id="121"/>
      <w:bookmarkEnd w:id="122"/>
      <w:bookmarkEnd w:id="123"/>
    </w:p>
    <w:p>
      <w:pPr>
        <w:pStyle w:val="7"/>
        <w:spacing w:line="336" w:lineRule="auto"/>
        <w:rPr>
          <w:b/>
          <w:bCs/>
          <w:color w:val="auto"/>
          <w:sz w:val="24"/>
          <w:szCs w:val="24"/>
        </w:rPr>
      </w:pPr>
      <w:r>
        <w:rPr>
          <w:rFonts w:hint="eastAsia" w:cs="宋体"/>
          <w:b/>
          <w:bCs/>
          <w:color w:val="auto"/>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6"/>
        <w:numPr>
          <w:ilvl w:val="0"/>
          <w:numId w:val="21"/>
        </w:numPr>
        <w:jc w:val="center"/>
        <w:rPr>
          <w:rFonts w:cs="Times New Roman"/>
          <w:color w:val="auto"/>
        </w:rPr>
      </w:pPr>
      <w:r>
        <w:rPr>
          <w:color w:val="auto"/>
        </w:rPr>
        <w:t xml:space="preserve"> </w:t>
      </w:r>
      <w:bookmarkStart w:id="124" w:name="_Toc13782"/>
      <w:bookmarkStart w:id="125" w:name="_Toc29650"/>
      <w:bookmarkStart w:id="126" w:name="_Toc6127"/>
      <w:r>
        <w:rPr>
          <w:rFonts w:hint="eastAsia"/>
          <w:color w:val="auto"/>
        </w:rPr>
        <w:t>评分细则</w:t>
      </w:r>
      <w:bookmarkEnd w:id="124"/>
      <w:bookmarkEnd w:id="125"/>
      <w:bookmarkEnd w:id="126"/>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一、报价文件评分标准（</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20</w:t>
      </w:r>
      <w:r>
        <w:rPr>
          <w:rFonts w:ascii="宋体" w:hAnsi="宋体" w:cs="宋体"/>
          <w:b/>
          <w:bCs/>
          <w:color w:val="auto"/>
          <w:sz w:val="24"/>
          <w:szCs w:val="24"/>
          <w:u w:val="single"/>
        </w:rPr>
        <w:t xml:space="preserve"> </w:t>
      </w:r>
      <w:r>
        <w:rPr>
          <w:rFonts w:hint="eastAsia" w:ascii="宋体" w:hAnsi="宋体" w:cs="宋体"/>
          <w:b/>
          <w:bCs/>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报价文件主要是对供应商的有效报价进行评议，其评分标准及分值设置规则如下：</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、本次采购最高限价规定如下：</w:t>
      </w:r>
    </w:p>
    <w:p>
      <w:pPr>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本项目投标报价的最高限价</w:t>
      </w:r>
      <w:r>
        <w:rPr>
          <w:rFonts w:hint="eastAsia" w:ascii="宋体" w:hAnsi="宋体" w:cs="宋体"/>
          <w:b/>
          <w:bCs/>
          <w:color w:val="auto"/>
          <w:sz w:val="24"/>
          <w:szCs w:val="24"/>
        </w:rPr>
        <w:t>为人民币</w:t>
      </w:r>
      <w:r>
        <w:rPr>
          <w:rFonts w:hint="eastAsia" w:ascii="宋体" w:hAnsi="宋体" w:cs="宋体"/>
          <w:b/>
          <w:bCs/>
          <w:color w:val="auto"/>
          <w:sz w:val="24"/>
          <w:szCs w:val="24"/>
          <w:u w:val="single"/>
          <w:lang w:val="en-US" w:eastAsia="zh-CN"/>
        </w:rPr>
        <w:t>叁拾万元</w:t>
      </w:r>
      <w:r>
        <w:rPr>
          <w:rFonts w:hint="eastAsia" w:ascii="宋体" w:hAnsi="宋体"/>
          <w:b/>
          <w:color w:val="auto"/>
          <w:sz w:val="24"/>
          <w:szCs w:val="21"/>
          <w:u w:val="single"/>
        </w:rPr>
        <w:t>整</w:t>
      </w:r>
      <w:r>
        <w:rPr>
          <w:rFonts w:hint="eastAsia" w:ascii="宋体" w:hAnsi="宋体" w:cs="宋体"/>
          <w:b/>
          <w:bCs/>
          <w:color w:val="auto"/>
          <w:sz w:val="24"/>
          <w:szCs w:val="24"/>
        </w:rPr>
        <w:t>（小写</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300000</w:t>
      </w:r>
      <w:r>
        <w:rPr>
          <w:rFonts w:hint="eastAsia" w:ascii="宋体" w:hAnsi="宋体" w:cs="宋体"/>
          <w:b/>
          <w:bCs/>
          <w:color w:val="auto"/>
          <w:sz w:val="24"/>
          <w:szCs w:val="24"/>
          <w:u w:val="single"/>
        </w:rPr>
        <w:t xml:space="preserve">.00 </w:t>
      </w:r>
      <w:r>
        <w:rPr>
          <w:rFonts w:hint="eastAsia" w:ascii="宋体" w:hAnsi="宋体" w:cs="宋体"/>
          <w:b/>
          <w:bCs/>
          <w:color w:val="auto"/>
          <w:sz w:val="24"/>
          <w:szCs w:val="24"/>
        </w:rPr>
        <w:t>元）。</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、供应商的报价在最高限价内的，为有效报价。</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、本次评标设有最佳报价。最佳报价确定方式：根据所有入围供应商有效报价中的最低报价作为最佳报价。</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、最佳报价者的报价分为满分，其他供应商的有效报价与最佳报价相比，按下列方法计算其报价分：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投标价格分</w:t>
      </w:r>
      <w:r>
        <w:rPr>
          <w:rFonts w:ascii="宋体" w:hAnsi="宋体" w:cs="宋体"/>
          <w:color w:val="auto"/>
          <w:sz w:val="24"/>
          <w:szCs w:val="24"/>
        </w:rPr>
        <w:t>=(</w:t>
      </w:r>
      <w:r>
        <w:rPr>
          <w:rFonts w:hint="eastAsia" w:ascii="宋体" w:hAnsi="宋体" w:cs="宋体"/>
          <w:color w:val="auto"/>
          <w:sz w:val="24"/>
          <w:szCs w:val="24"/>
        </w:rPr>
        <w:t>最佳报价</w:t>
      </w:r>
      <w:r>
        <w:rPr>
          <w:rFonts w:ascii="宋体" w:hAnsi="宋体" w:cs="宋体"/>
          <w:color w:val="auto"/>
          <w:sz w:val="24"/>
          <w:szCs w:val="24"/>
        </w:rPr>
        <w:t>/</w:t>
      </w:r>
      <w:r>
        <w:rPr>
          <w:rFonts w:hint="eastAsia" w:ascii="宋体" w:hAnsi="宋体" w:cs="宋体"/>
          <w:color w:val="auto"/>
          <w:sz w:val="24"/>
          <w:szCs w:val="24"/>
        </w:rPr>
        <w:t>投标报价</w:t>
      </w:r>
      <w:r>
        <w:rPr>
          <w:rFonts w:ascii="宋体" w:hAnsi="宋体" w:cs="宋体"/>
          <w:color w:val="auto"/>
          <w:sz w:val="24"/>
          <w:szCs w:val="24"/>
        </w:rPr>
        <w:t>)*</w:t>
      </w:r>
      <w:r>
        <w:rPr>
          <w:rFonts w:hint="eastAsia" w:ascii="宋体" w:hAnsi="宋体" w:cs="宋体"/>
          <w:color w:val="auto"/>
          <w:sz w:val="24"/>
          <w:szCs w:val="24"/>
        </w:rPr>
        <w:t>价格权值</w:t>
      </w:r>
      <w:r>
        <w:rPr>
          <w:rFonts w:ascii="宋体" w:hAnsi="宋体" w:cs="宋体"/>
          <w:color w:val="auto"/>
          <w:sz w:val="24"/>
          <w:szCs w:val="24"/>
        </w:rPr>
        <w:t>*100</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rPr>
        <w:t>0</w:t>
      </w:r>
      <w:r>
        <w:rPr>
          <w:rFonts w:hint="eastAsia" w:ascii="宋体" w:hAnsi="宋体" w:cs="宋体"/>
          <w:color w:val="auto"/>
          <w:sz w:val="24"/>
          <w:szCs w:val="24"/>
        </w:rPr>
        <w:t>”元，视同赠送）</w:t>
      </w:r>
      <w:r>
        <w:rPr>
          <w:rFonts w:ascii="宋体" w:cs="宋体"/>
          <w:color w:val="auto"/>
          <w:sz w:val="24"/>
          <w:szCs w:val="24"/>
        </w:rPr>
        <w:t>,</w:t>
      </w:r>
      <w:r>
        <w:rPr>
          <w:rFonts w:hint="eastAsia" w:ascii="宋体" w:hAnsi="宋体" w:cs="宋体"/>
          <w:color w:val="auto"/>
          <w:sz w:val="24"/>
          <w:szCs w:val="24"/>
        </w:rPr>
        <w:t>如出现则做</w:t>
      </w:r>
      <w:r>
        <w:rPr>
          <w:rFonts w:hint="eastAsia" w:ascii="宋体" w:hAnsi="宋体" w:cs="宋体"/>
          <w:b/>
          <w:bCs/>
          <w:color w:val="auto"/>
          <w:sz w:val="24"/>
          <w:szCs w:val="24"/>
        </w:rPr>
        <w:t>无效响应</w:t>
      </w:r>
      <w:r>
        <w:rPr>
          <w:rFonts w:hint="eastAsia" w:ascii="宋体" w:hAnsi="宋体" w:cs="宋体"/>
          <w:color w:val="auto"/>
          <w:sz w:val="24"/>
          <w:szCs w:val="24"/>
        </w:rPr>
        <w:t>处理。</w:t>
      </w:r>
    </w:p>
    <w:p>
      <w:pPr>
        <w:autoSpaceDE w:val="0"/>
        <w:autoSpaceDN w:val="0"/>
        <w:spacing w:line="360" w:lineRule="auto"/>
        <w:ind w:firstLine="482"/>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b/>
          <w:bCs/>
          <w:color w:val="auto"/>
          <w:sz w:val="24"/>
          <w:szCs w:val="24"/>
        </w:rPr>
        <w:t>投标价格的合理性</w:t>
      </w:r>
      <w:r>
        <w:rPr>
          <w:rFonts w:hint="eastAsia" w:ascii="宋体" w:hAnsi="宋体" w:cs="宋体"/>
          <w:color w:val="auto"/>
          <w:sz w:val="24"/>
          <w:szCs w:val="24"/>
        </w:rPr>
        <w:t>：</w:t>
      </w:r>
      <w:r>
        <w:rPr>
          <w:rFonts w:hint="eastAsia" w:ascii="Arial" w:hAnsi="Arial" w:cs="宋体"/>
          <w:color w:val="auto"/>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rPr>
        <w:t>8、</w:t>
      </w:r>
      <w:r>
        <w:rPr>
          <w:rFonts w:hint="eastAsia" w:ascii="宋体" w:hAnsi="宋体"/>
          <w:color w:val="auto"/>
          <w:sz w:val="24"/>
          <w:szCs w:val="21"/>
        </w:rPr>
        <w:t>价格扣除：</w:t>
      </w:r>
      <w:bookmarkStart w:id="127" w:name="_Toc29672"/>
      <w:bookmarkStart w:id="128" w:name="_Toc20488"/>
      <w:r>
        <w:rPr>
          <w:rFonts w:hint="eastAsia" w:ascii="宋体" w:hAnsi="宋体" w:cs="宋体"/>
          <w:color w:val="auto"/>
          <w:sz w:val="24"/>
          <w:szCs w:val="24"/>
          <w:highlight w:val="none"/>
        </w:rPr>
        <w:t>根据工信部等部委发布的《关于印发中小企业划型标准规定的通知》（工信部联企业〔2011〕300号），根据具体品目确定相应标准。符合上述条件的中小微型企业应按照招</w:t>
      </w:r>
      <w:bookmarkStart w:id="166" w:name="_GoBack"/>
      <w:r>
        <w:rPr>
          <w:rFonts w:hint="eastAsia" w:ascii="宋体" w:hAnsi="宋体" w:cs="宋体"/>
          <w:color w:val="auto"/>
          <w:sz w:val="24"/>
          <w:szCs w:val="24"/>
          <w:highlight w:val="none"/>
        </w:rPr>
        <w:t>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w:t>
      </w:r>
      <w:bookmarkEnd w:id="166"/>
      <w:r>
        <w:rPr>
          <w:rFonts w:hint="eastAsia" w:ascii="宋体" w:hAnsi="宋体"/>
          <w:color w:val="auto"/>
          <w:sz w:val="24"/>
          <w:szCs w:val="21"/>
          <w:highlight w:val="none"/>
        </w:rPr>
        <w:t>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给予扣除，用扣除后的价格参加评审。（中标价及合同价仍以其投标报价为准）</w:t>
      </w:r>
    </w:p>
    <w:p>
      <w:pPr>
        <w:spacing w:line="360" w:lineRule="auto"/>
        <w:ind w:firstLine="480" w:firstLineChars="200"/>
        <w:rPr>
          <w:color w:val="auto"/>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pPr>
        <w:spacing w:line="360" w:lineRule="auto"/>
        <w:ind w:firstLine="400" w:firstLineChars="200"/>
        <w:rPr>
          <w:color w:val="auto"/>
          <w:highlight w:val="none"/>
        </w:rPr>
      </w:pPr>
    </w:p>
    <w:p>
      <w:pPr>
        <w:numPr>
          <w:ilvl w:val="0"/>
          <w:numId w:val="22"/>
        </w:numPr>
        <w:spacing w:line="360" w:lineRule="auto"/>
        <w:ind w:firstLine="482" w:firstLineChars="200"/>
        <w:outlineLvl w:val="1"/>
        <w:rPr>
          <w:rFonts w:hint="eastAsia" w:ascii="宋体" w:hAnsi="宋体" w:cs="宋体"/>
          <w:b/>
          <w:bCs/>
          <w:color w:val="auto"/>
          <w:sz w:val="24"/>
          <w:szCs w:val="24"/>
        </w:rPr>
      </w:pPr>
      <w:r>
        <w:rPr>
          <w:rFonts w:hint="eastAsia" w:ascii="宋体" w:hAnsi="宋体" w:cs="宋体"/>
          <w:b/>
          <w:bCs/>
          <w:color w:val="auto"/>
          <w:sz w:val="24"/>
          <w:szCs w:val="24"/>
        </w:rPr>
        <w:t>商务技术文件评标内容及标准（</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80</w:t>
      </w:r>
      <w:r>
        <w:rPr>
          <w:rFonts w:ascii="宋体" w:hAnsi="宋体" w:cs="宋体"/>
          <w:b/>
          <w:bCs/>
          <w:color w:val="auto"/>
          <w:sz w:val="24"/>
          <w:szCs w:val="24"/>
          <w:u w:val="single"/>
        </w:rPr>
        <w:t xml:space="preserve"> </w:t>
      </w:r>
      <w:r>
        <w:rPr>
          <w:rFonts w:hint="eastAsia" w:ascii="宋体" w:hAnsi="宋体" w:cs="宋体"/>
          <w:b/>
          <w:bCs/>
          <w:color w:val="auto"/>
          <w:sz w:val="24"/>
          <w:szCs w:val="24"/>
        </w:rPr>
        <w:t>分）</w:t>
      </w:r>
      <w:bookmarkEnd w:id="127"/>
      <w:bookmarkEnd w:id="128"/>
    </w:p>
    <w:p>
      <w:pPr>
        <w:ind w:firstLine="482" w:firstLineChars="200"/>
      </w:pPr>
      <w:r>
        <w:rPr>
          <w:rFonts w:hint="eastAsia" w:ascii="宋体" w:hAnsi="宋体" w:cs="宋体"/>
          <w:b/>
          <w:bCs/>
          <w:color w:val="auto"/>
          <w:sz w:val="24"/>
          <w:szCs w:val="24"/>
        </w:rPr>
        <w:t>1、评分细则</w:t>
      </w:r>
    </w:p>
    <w:tbl>
      <w:tblPr>
        <w:tblStyle w:val="2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61"/>
        <w:gridCol w:w="2915"/>
        <w:gridCol w:w="263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0" w:type="dxa"/>
            <w:noWrap w:val="0"/>
            <w:vAlign w:val="center"/>
          </w:tcPr>
          <w:p>
            <w:pPr>
              <w:widowControl/>
              <w:numPr>
                <w:ilvl w:val="0"/>
                <w:numId w:val="23"/>
              </w:numPr>
              <w:jc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361" w:type="dxa"/>
            <w:noWrap w:val="0"/>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评审内容</w:t>
            </w:r>
          </w:p>
        </w:tc>
        <w:tc>
          <w:tcPr>
            <w:tcW w:w="5545" w:type="dxa"/>
            <w:gridSpan w:val="2"/>
            <w:noWrap w:val="0"/>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评审标准</w:t>
            </w:r>
          </w:p>
        </w:tc>
        <w:tc>
          <w:tcPr>
            <w:tcW w:w="820" w:type="dxa"/>
            <w:noWrap w:val="0"/>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80" w:type="dxa"/>
            <w:vMerge w:val="restart"/>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技术</w:t>
            </w:r>
          </w:p>
        </w:tc>
        <w:tc>
          <w:tcPr>
            <w:tcW w:w="1361" w:type="dxa"/>
            <w:vMerge w:val="restart"/>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对本项目的理解</w:t>
            </w:r>
          </w:p>
        </w:tc>
        <w:tc>
          <w:tcPr>
            <w:tcW w:w="5545" w:type="dxa"/>
            <w:gridSpan w:val="2"/>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根据投标人对项目背景和</w:t>
            </w:r>
            <w:r>
              <w:rPr>
                <w:rFonts w:hint="eastAsia" w:ascii="宋体" w:hAnsi="宋体" w:cs="宋体"/>
                <w:color w:val="000000"/>
                <w:sz w:val="24"/>
                <w:szCs w:val="24"/>
                <w:lang w:val="en-US" w:eastAsia="zh-CN" w:bidi="ar-SA"/>
              </w:rPr>
              <w:t>重点难点</w:t>
            </w:r>
            <w:r>
              <w:rPr>
                <w:rFonts w:hint="eastAsia" w:ascii="宋体" w:hAnsi="宋体" w:eastAsia="宋体" w:cs="宋体"/>
                <w:color w:val="000000"/>
                <w:sz w:val="24"/>
                <w:szCs w:val="24"/>
                <w:lang w:val="en-US" w:eastAsia="zh-CN" w:bidi="ar-SA"/>
              </w:rPr>
              <w:t>的理解程度进行评议。</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0" w:type="dxa"/>
            <w:vMerge w:val="continue"/>
            <w:noWrap w:val="0"/>
            <w:vAlign w:val="center"/>
          </w:tcPr>
          <w:p>
            <w:pPr>
              <w:widowControl/>
              <w:jc w:val="center"/>
              <w:rPr>
                <w:rFonts w:hint="eastAsia" w:ascii="宋体" w:hAnsi="宋体" w:eastAsia="宋体" w:cs="宋体"/>
                <w:sz w:val="24"/>
                <w:szCs w:val="24"/>
              </w:rPr>
            </w:pPr>
          </w:p>
        </w:tc>
        <w:tc>
          <w:tcPr>
            <w:tcW w:w="1361" w:type="dxa"/>
            <w:vMerge w:val="continue"/>
            <w:noWrap w:val="0"/>
            <w:vAlign w:val="center"/>
          </w:tcPr>
          <w:p>
            <w:pPr>
              <w:widowControl/>
              <w:jc w:val="center"/>
              <w:rPr>
                <w:rFonts w:hint="eastAsia" w:ascii="宋体" w:hAnsi="宋体" w:eastAsia="宋体" w:cs="宋体"/>
                <w:color w:val="000000"/>
                <w:sz w:val="24"/>
                <w:szCs w:val="24"/>
              </w:rPr>
            </w:pPr>
          </w:p>
        </w:tc>
        <w:tc>
          <w:tcPr>
            <w:tcW w:w="2915" w:type="dxa"/>
            <w:vMerge w:val="restart"/>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根据投标人对上虞企业信用信息云服务平台的熟悉程度的综合描述进行评议。</w:t>
            </w:r>
          </w:p>
        </w:tc>
        <w:tc>
          <w:tcPr>
            <w:tcW w:w="2630" w:type="dxa"/>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项目背景目标</w:t>
            </w:r>
          </w:p>
        </w:tc>
        <w:tc>
          <w:tcPr>
            <w:tcW w:w="820" w:type="dxa"/>
            <w:noWrap w:val="0"/>
            <w:vAlign w:val="center"/>
          </w:tcPr>
          <w:p>
            <w:pPr>
              <w:widowControl/>
              <w:jc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0" w:type="dxa"/>
            <w:vMerge w:val="continue"/>
            <w:noWrap w:val="0"/>
            <w:vAlign w:val="center"/>
          </w:tcPr>
          <w:p>
            <w:pPr>
              <w:pStyle w:val="3"/>
              <w:bidi w:val="0"/>
              <w:ind w:left="0" w:leftChars="0" w:firstLine="0" w:firstLineChars="0"/>
            </w:pPr>
          </w:p>
        </w:tc>
        <w:tc>
          <w:tcPr>
            <w:tcW w:w="1361" w:type="dxa"/>
            <w:vMerge w:val="continue"/>
            <w:noWrap w:val="0"/>
            <w:vAlign w:val="center"/>
          </w:tcPr>
          <w:p>
            <w:pPr>
              <w:pStyle w:val="3"/>
              <w:bidi w:val="0"/>
              <w:ind w:left="0" w:leftChars="0" w:firstLine="0" w:firstLineChars="0"/>
              <w:jc w:val="center"/>
            </w:pPr>
          </w:p>
        </w:tc>
        <w:tc>
          <w:tcPr>
            <w:tcW w:w="2915" w:type="dxa"/>
            <w:vMerge w:val="continue"/>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p>
        </w:tc>
        <w:tc>
          <w:tcPr>
            <w:tcW w:w="2630" w:type="dxa"/>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总体框架</w:t>
            </w:r>
          </w:p>
        </w:tc>
        <w:tc>
          <w:tcPr>
            <w:tcW w:w="820" w:type="dxa"/>
            <w:noWrap w:val="0"/>
            <w:vAlign w:val="center"/>
          </w:tcPr>
          <w:p>
            <w:pPr>
              <w:pStyle w:val="3"/>
              <w:bidi w:val="0"/>
              <w:ind w:left="0" w:leftChars="0" w:firstLine="0" w:firstLineChars="0"/>
              <w:jc w:val="center"/>
              <w:rPr>
                <w:rFonts w:hint="default"/>
                <w:sz w:val="24"/>
                <w:szCs w:val="24"/>
                <w:lang w:val="en-US" w:eastAsia="zh-CN"/>
              </w:rPr>
            </w:pPr>
            <w:r>
              <w:rPr>
                <w:rFonts w:hint="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0" w:type="dxa"/>
            <w:vMerge w:val="continue"/>
            <w:noWrap w:val="0"/>
            <w:vAlign w:val="center"/>
          </w:tcPr>
          <w:p>
            <w:pPr>
              <w:pStyle w:val="3"/>
              <w:bidi w:val="0"/>
              <w:ind w:left="0" w:leftChars="0" w:firstLine="0" w:firstLineChars="0"/>
              <w:rPr>
                <w:lang w:val="en-US" w:eastAsia="zh-CN"/>
              </w:rPr>
            </w:pPr>
          </w:p>
        </w:tc>
        <w:tc>
          <w:tcPr>
            <w:tcW w:w="1361" w:type="dxa"/>
            <w:vMerge w:val="continue"/>
            <w:noWrap w:val="0"/>
            <w:vAlign w:val="center"/>
          </w:tcPr>
          <w:p>
            <w:pPr>
              <w:pStyle w:val="3"/>
              <w:bidi w:val="0"/>
              <w:ind w:left="0" w:leftChars="0" w:firstLine="0" w:firstLineChars="0"/>
              <w:jc w:val="center"/>
              <w:rPr>
                <w:lang w:val="en-US" w:eastAsia="zh-CN"/>
              </w:rPr>
            </w:pPr>
          </w:p>
        </w:tc>
        <w:tc>
          <w:tcPr>
            <w:tcW w:w="2915" w:type="dxa"/>
            <w:vMerge w:val="continue"/>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p>
        </w:tc>
        <w:tc>
          <w:tcPr>
            <w:tcW w:w="2630" w:type="dxa"/>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核心业务流程</w:t>
            </w:r>
          </w:p>
        </w:tc>
        <w:tc>
          <w:tcPr>
            <w:tcW w:w="820" w:type="dxa"/>
            <w:noWrap w:val="0"/>
            <w:vAlign w:val="center"/>
          </w:tcPr>
          <w:p>
            <w:pPr>
              <w:pStyle w:val="3"/>
              <w:bidi w:val="0"/>
              <w:ind w:left="0" w:leftChars="0" w:firstLine="0" w:firstLineChars="0"/>
              <w:jc w:val="center"/>
              <w:rPr>
                <w:rFonts w:hint="default"/>
                <w:sz w:val="24"/>
                <w:szCs w:val="24"/>
                <w:lang w:val="en-US" w:eastAsia="zh-CN"/>
              </w:rPr>
            </w:pPr>
            <w:r>
              <w:rPr>
                <w:rFonts w:hint="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0" w:type="dxa"/>
            <w:vMerge w:val="continue"/>
            <w:noWrap w:val="0"/>
            <w:vAlign w:val="center"/>
          </w:tcPr>
          <w:p>
            <w:pPr>
              <w:pStyle w:val="3"/>
              <w:bidi w:val="0"/>
              <w:ind w:left="0" w:leftChars="0" w:firstLine="0" w:firstLineChars="0"/>
              <w:rPr>
                <w:lang w:val="en-US" w:eastAsia="zh-CN"/>
              </w:rPr>
            </w:pPr>
          </w:p>
        </w:tc>
        <w:tc>
          <w:tcPr>
            <w:tcW w:w="1361" w:type="dxa"/>
            <w:vMerge w:val="continue"/>
            <w:noWrap w:val="0"/>
            <w:vAlign w:val="center"/>
          </w:tcPr>
          <w:p>
            <w:pPr>
              <w:pStyle w:val="3"/>
              <w:bidi w:val="0"/>
              <w:ind w:left="0" w:leftChars="0" w:firstLine="0" w:firstLineChars="0"/>
              <w:jc w:val="center"/>
              <w:rPr>
                <w:lang w:val="en-US" w:eastAsia="zh-CN"/>
              </w:rPr>
            </w:pPr>
          </w:p>
        </w:tc>
        <w:tc>
          <w:tcPr>
            <w:tcW w:w="2915" w:type="dxa"/>
            <w:vMerge w:val="continue"/>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p>
        </w:tc>
        <w:tc>
          <w:tcPr>
            <w:tcW w:w="2630" w:type="dxa"/>
            <w:noWrap w:val="0"/>
            <w:vAlign w:val="center"/>
          </w:tcPr>
          <w:p>
            <w:pPr>
              <w:pStyle w:val="3"/>
              <w:bidi w:val="0"/>
              <w:ind w:left="0" w:leftChars="0"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平台的功能</w:t>
            </w:r>
          </w:p>
        </w:tc>
        <w:tc>
          <w:tcPr>
            <w:tcW w:w="820" w:type="dxa"/>
            <w:noWrap w:val="0"/>
            <w:vAlign w:val="center"/>
          </w:tcPr>
          <w:p>
            <w:pPr>
              <w:pStyle w:val="3"/>
              <w:bidi w:val="0"/>
              <w:ind w:left="0" w:leftChars="0" w:firstLine="0" w:firstLineChars="0"/>
              <w:jc w:val="center"/>
              <w:rPr>
                <w:rFonts w:hint="default"/>
                <w:sz w:val="24"/>
                <w:szCs w:val="24"/>
                <w:lang w:val="en-US" w:eastAsia="zh-CN"/>
              </w:rPr>
            </w:pPr>
            <w:r>
              <w:rPr>
                <w:rFonts w:hint="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Merge w:val="continue"/>
            <w:noWrap w:val="0"/>
            <w:vAlign w:val="center"/>
          </w:tcPr>
          <w:p>
            <w:pPr>
              <w:widowControl/>
              <w:jc w:val="center"/>
              <w:rPr>
                <w:rFonts w:hint="eastAsia" w:ascii="宋体" w:hAnsi="宋体" w:eastAsia="宋体" w:cs="宋体"/>
                <w:color w:val="000000"/>
                <w:sz w:val="24"/>
                <w:szCs w:val="24"/>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软件运维方案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根据投标人提供的软件运维服务内容的完整、详尽、合理程度进行综合评分。</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日常保障方案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根据投标人提供的日常系统保障服务内容的完整、详尽、合理程度进行综合评分。</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数据运维方案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根据投标人提供的数据运维服务内容的完整、详尽、合理程度进行综合评分。</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对原系统数据标准的理解</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w:t>
            </w:r>
            <w:r>
              <w:rPr>
                <w:rFonts w:hint="eastAsia" w:ascii="宋体" w:hAnsi="宋体" w:cs="宋体"/>
                <w:sz w:val="24"/>
                <w:szCs w:val="24"/>
                <w:lang w:val="en-US" w:eastAsia="zh-CN"/>
              </w:rPr>
              <w:t>对原系统数据标准的理解完整、详尽、合理程度进行综合打分。</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团队人员</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根据项目拟派服务团队的数量，分工合理性，经验等综合情况评定</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应急方案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根据投标人针对本项目提出的应急预案及应急响应能力进行综合评议。</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质量保证措施</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根据投标人提供的项目服务质量保障措施的有效性、可操作性、全面性和项目服务质量保障原则的把握情况进行综合评定。</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pPr>
              <w:widowControl/>
              <w:jc w:val="center"/>
              <w:rPr>
                <w:rFonts w:hint="eastAsia" w:ascii="宋体" w:hAnsi="宋体" w:eastAsia="宋体" w:cs="宋体"/>
                <w:color w:val="000000"/>
                <w:sz w:val="24"/>
                <w:szCs w:val="24"/>
                <w:lang w:val="en-US" w:eastAsia="zh-CN"/>
              </w:rPr>
            </w:pPr>
          </w:p>
        </w:tc>
        <w:tc>
          <w:tcPr>
            <w:tcW w:w="1361" w:type="dx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验收方案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根据投标人提供的项目验收方案的有效性、可操作性、全面性的把握情况进行综合评定。</w:t>
            </w:r>
          </w:p>
        </w:tc>
        <w:tc>
          <w:tcPr>
            <w:tcW w:w="820"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pPr>
              <w:widowControl/>
              <w:jc w:val="center"/>
              <w:rPr>
                <w:rFonts w:hint="default" w:ascii="宋体" w:hAnsi="宋体" w:eastAsia="宋体" w:cs="宋体"/>
                <w:color w:val="000000"/>
                <w:sz w:val="24"/>
                <w:szCs w:val="24"/>
                <w:lang w:val="en-US" w:eastAsia="zh-CN"/>
              </w:rPr>
            </w:pPr>
          </w:p>
        </w:tc>
        <w:tc>
          <w:tcPr>
            <w:tcW w:w="1361"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rPr>
              <w:t>实施方案</w:t>
            </w:r>
          </w:p>
        </w:tc>
        <w:tc>
          <w:tcPr>
            <w:tcW w:w="5545" w:type="dxa"/>
            <w:gridSpan w:val="2"/>
            <w:noWrap w:val="0"/>
            <w:vAlign w:val="center"/>
          </w:tcPr>
          <w:p>
            <w:pPr>
              <w:pStyle w:val="3"/>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根据投标人提供的项目组织实施方案的合理性、可操作性、全面性的把握情况进行综合评分。</w:t>
            </w:r>
          </w:p>
        </w:tc>
        <w:tc>
          <w:tcPr>
            <w:tcW w:w="820" w:type="dxa"/>
            <w:noWrap w:val="0"/>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0" w:type="dxa"/>
            <w:vMerge w:val="restart"/>
            <w:noWrap w:val="0"/>
            <w:vAlign w:val="center"/>
          </w:tcPr>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商务资信</w:t>
            </w:r>
          </w:p>
        </w:tc>
        <w:tc>
          <w:tcPr>
            <w:tcW w:w="1361" w:type="dxa"/>
            <w:noWrap w:val="0"/>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相关著作权</w:t>
            </w:r>
          </w:p>
        </w:tc>
        <w:tc>
          <w:tcPr>
            <w:tcW w:w="5545" w:type="dxa"/>
            <w:gridSpan w:val="2"/>
            <w:noWrap w:val="0"/>
            <w:vAlign w:val="center"/>
          </w:tcPr>
          <w:p>
            <w:pPr>
              <w:spacing w:line="360" w:lineRule="auto"/>
              <w:rPr>
                <w:rFonts w:hint="eastAsia" w:ascii="宋体" w:hAnsi="宋体" w:eastAsia="宋体" w:cs="宋体"/>
                <w:color w:val="000000"/>
                <w:sz w:val="24"/>
                <w:szCs w:val="24"/>
              </w:rPr>
            </w:pPr>
            <w:r>
              <w:rPr>
                <w:rFonts w:hint="eastAsia" w:ascii="Times New Roman" w:hAnsi="Times New Roman" w:cs="Times New Roman"/>
                <w:sz w:val="24"/>
                <w:szCs w:val="24"/>
                <w:lang w:val="en-US" w:eastAsia="zh-CN"/>
              </w:rPr>
              <w:t>投标人具有信用服务平台相关产品著作权的，得2分，需提供著作权证书扫描件并加盖公章。</w:t>
            </w:r>
          </w:p>
        </w:tc>
        <w:tc>
          <w:tcPr>
            <w:tcW w:w="820"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0" w:type="dxa"/>
            <w:vMerge w:val="continue"/>
            <w:noWrap w:val="0"/>
            <w:vAlign w:val="center"/>
          </w:tcPr>
          <w:p>
            <w:pPr>
              <w:widowControl/>
              <w:jc w:val="center"/>
              <w:rPr>
                <w:rFonts w:hint="eastAsia" w:ascii="宋体" w:hAnsi="宋体" w:eastAsia="宋体" w:cs="宋体"/>
                <w:color w:val="000000"/>
                <w:sz w:val="24"/>
                <w:szCs w:val="24"/>
              </w:rPr>
            </w:pPr>
          </w:p>
        </w:tc>
        <w:tc>
          <w:tcPr>
            <w:tcW w:w="1361" w:type="dxa"/>
            <w:vMerge w:val="restart"/>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企业证书</w:t>
            </w:r>
          </w:p>
        </w:tc>
        <w:tc>
          <w:tcPr>
            <w:tcW w:w="5545" w:type="dxa"/>
            <w:gridSpan w:val="2"/>
            <w:noWrap w:val="0"/>
            <w:vAlign w:val="center"/>
          </w:tcPr>
          <w:p>
            <w:pPr>
              <w:spacing w:line="360" w:lineRule="auto"/>
              <w:rPr>
                <w:rFonts w:hint="eastAsia"/>
              </w:rPr>
            </w:pPr>
            <w:r>
              <w:rPr>
                <w:rFonts w:hint="eastAsia" w:ascii="Times New Roman" w:hAnsi="Times New Roman" w:cs="Times New Roman"/>
                <w:sz w:val="24"/>
                <w:szCs w:val="24"/>
                <w:lang w:val="en-US" w:eastAsia="zh-CN"/>
              </w:rPr>
              <w:t>投标人具有有效的ISO20000信息技术服务管理体系认证证书的，ISO27001信息安全管理体系认证证书的，每提供1个得</w:t>
            </w:r>
            <w:r>
              <w:rPr>
                <w:rFonts w:hint="eastAsia" w:cs="Times New Roman"/>
                <w:sz w:val="24"/>
                <w:szCs w:val="24"/>
                <w:lang w:val="en-US" w:eastAsia="zh-CN"/>
              </w:rPr>
              <w:t>1.5</w:t>
            </w:r>
            <w:r>
              <w:rPr>
                <w:rFonts w:hint="eastAsia" w:ascii="Times New Roman" w:hAnsi="Times New Roman" w:cs="Times New Roman"/>
                <w:sz w:val="24"/>
                <w:szCs w:val="24"/>
                <w:lang w:val="en-US" w:eastAsia="zh-CN"/>
              </w:rPr>
              <w:t>分，最高得</w:t>
            </w:r>
            <w:r>
              <w:rPr>
                <w:rFonts w:hint="eastAsia" w:cs="Times New Roman"/>
                <w:sz w:val="24"/>
                <w:szCs w:val="24"/>
                <w:lang w:val="en-US" w:eastAsia="zh-CN"/>
              </w:rPr>
              <w:t>3</w:t>
            </w:r>
            <w:r>
              <w:rPr>
                <w:rFonts w:hint="eastAsia" w:ascii="Times New Roman" w:hAnsi="Times New Roman" w:cs="Times New Roman"/>
                <w:sz w:val="24"/>
                <w:szCs w:val="24"/>
                <w:lang w:val="en-US" w:eastAsia="zh-CN"/>
              </w:rPr>
              <w:t>分。需提供证书扫描件并加盖公章。</w:t>
            </w:r>
          </w:p>
        </w:tc>
        <w:tc>
          <w:tcPr>
            <w:tcW w:w="820"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0" w:type="dxa"/>
            <w:vMerge w:val="continue"/>
            <w:noWrap w:val="0"/>
            <w:vAlign w:val="center"/>
          </w:tcPr>
          <w:p>
            <w:pPr>
              <w:widowControl/>
              <w:jc w:val="center"/>
              <w:rPr>
                <w:rFonts w:hint="eastAsia" w:ascii="宋体" w:hAnsi="宋体" w:eastAsia="宋体" w:cs="宋体"/>
                <w:color w:val="000000"/>
                <w:sz w:val="24"/>
                <w:szCs w:val="24"/>
              </w:rPr>
            </w:pPr>
          </w:p>
        </w:tc>
        <w:tc>
          <w:tcPr>
            <w:tcW w:w="1361" w:type="dxa"/>
            <w:vMerge w:val="continue"/>
            <w:noWrap w:val="0"/>
            <w:vAlign w:val="center"/>
          </w:tcPr>
          <w:p>
            <w:pPr>
              <w:spacing w:line="360" w:lineRule="auto"/>
              <w:rPr>
                <w:rFonts w:hint="eastAsia" w:ascii="宋体" w:hAnsi="宋体" w:eastAsia="宋体" w:cs="宋体"/>
                <w:color w:val="000000"/>
                <w:sz w:val="24"/>
                <w:szCs w:val="24"/>
              </w:rPr>
            </w:pPr>
          </w:p>
        </w:tc>
        <w:tc>
          <w:tcPr>
            <w:tcW w:w="5545" w:type="dxa"/>
            <w:gridSpan w:val="2"/>
            <w:noWrap w:val="0"/>
            <w:vAlign w:val="center"/>
          </w:tcPr>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投标人具有有效的ITSS信息技术服务运行维护标准证书的，得3分，需提供证书扫描件并加盖公章，未提供的不得分。</w:t>
            </w:r>
          </w:p>
        </w:tc>
        <w:tc>
          <w:tcPr>
            <w:tcW w:w="820" w:type="dxa"/>
            <w:noWrap w:val="0"/>
            <w:vAlign w:val="center"/>
          </w:tcPr>
          <w:p>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0" w:type="dxa"/>
            <w:vMerge w:val="continue"/>
            <w:noWrap w:val="0"/>
            <w:vAlign w:val="center"/>
          </w:tcPr>
          <w:p>
            <w:pPr>
              <w:widowControl/>
              <w:jc w:val="center"/>
              <w:rPr>
                <w:rFonts w:hint="eastAsia" w:ascii="宋体" w:hAnsi="宋体" w:eastAsia="宋体" w:cs="宋体"/>
                <w:color w:val="000000"/>
                <w:sz w:val="24"/>
                <w:szCs w:val="24"/>
              </w:rPr>
            </w:pPr>
          </w:p>
        </w:tc>
        <w:tc>
          <w:tcPr>
            <w:tcW w:w="1361"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类似项目业绩</w:t>
            </w:r>
          </w:p>
        </w:tc>
        <w:tc>
          <w:tcPr>
            <w:tcW w:w="5545" w:type="dxa"/>
            <w:gridSpan w:val="2"/>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投标人自2022年1月1日以来（以合同签订时间为准）具有类似项目成功案例，提供2022年以来合同复印件，每提供1个合同得0.5分，最高2分；（附带合作单位的业务联系人及联系方式，否则案例不认可。）</w:t>
            </w:r>
          </w:p>
        </w:tc>
        <w:tc>
          <w:tcPr>
            <w:tcW w:w="820"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r>
    </w:tbl>
    <w:p>
      <w:pPr>
        <w:pStyle w:val="4"/>
        <w:rPr>
          <w:color w:val="auto"/>
        </w:rPr>
      </w:pPr>
    </w:p>
    <w:p>
      <w:pPr>
        <w:spacing w:line="360" w:lineRule="auto"/>
        <w:ind w:firstLine="480" w:firstLineChars="200"/>
        <w:rPr>
          <w:rFonts w:ascii="宋体"/>
          <w:color w:val="auto"/>
          <w:sz w:val="24"/>
          <w:szCs w:val="24"/>
        </w:rPr>
      </w:pPr>
      <w:bookmarkStart w:id="129" w:name="_Toc4517"/>
      <w:bookmarkStart w:id="130" w:name="_Toc8033"/>
      <w:r>
        <w:rPr>
          <w:rFonts w:hint="eastAsia" w:ascii="宋体" w:hAnsi="宋体" w:cs="宋体"/>
          <w:color w:val="auto"/>
          <w:sz w:val="24"/>
          <w:szCs w:val="24"/>
        </w:rPr>
        <w:t>注：</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color w:val="auto"/>
        </w:rPr>
      </w:pPr>
      <w:r>
        <w:rPr>
          <w:rFonts w:ascii="宋体" w:hAnsi="宋体" w:cs="宋体"/>
          <w:color w:val="auto"/>
          <w:sz w:val="24"/>
          <w:szCs w:val="24"/>
        </w:rPr>
        <w:t>2</w:t>
      </w:r>
      <w:r>
        <w:rPr>
          <w:rFonts w:hint="eastAsia" w:ascii="宋体" w:hAnsi="宋体" w:cs="宋体"/>
          <w:color w:val="auto"/>
          <w:sz w:val="24"/>
          <w:szCs w:val="24"/>
        </w:rPr>
        <w:t>、所有文件、合同、证书、资质等需要真实有效。成交供应商在中标后签订合同时需提供以上证明文件原件，若发现资料作假的取消中标资格。</w:t>
      </w:r>
    </w:p>
    <w:p>
      <w:pPr>
        <w:rPr>
          <w:rFonts w:cs="宋体"/>
          <w:color w:val="auto"/>
          <w:sz w:val="36"/>
          <w:szCs w:val="36"/>
        </w:rPr>
      </w:pPr>
      <w:r>
        <w:rPr>
          <w:rFonts w:hint="eastAsia" w:cs="宋体"/>
          <w:color w:val="auto"/>
          <w:sz w:val="36"/>
          <w:szCs w:val="36"/>
        </w:rPr>
        <w:br w:type="page"/>
      </w:r>
    </w:p>
    <w:p>
      <w:pPr>
        <w:pStyle w:val="5"/>
        <w:jc w:val="center"/>
        <w:rPr>
          <w:rFonts w:ascii="宋体" w:cs="Times New Roman"/>
          <w:color w:val="auto"/>
        </w:rPr>
      </w:pPr>
      <w:bookmarkStart w:id="131" w:name="_Toc32092"/>
      <w:bookmarkStart w:id="132" w:name="_Toc29701"/>
      <w:r>
        <w:rPr>
          <w:rFonts w:hint="eastAsia" w:cs="宋体"/>
          <w:color w:val="auto"/>
          <w:sz w:val="36"/>
          <w:szCs w:val="36"/>
        </w:rPr>
        <w:t>第五部分</w:t>
      </w:r>
      <w:r>
        <w:rPr>
          <w:color w:val="auto"/>
          <w:sz w:val="36"/>
          <w:szCs w:val="36"/>
        </w:rPr>
        <w:t xml:space="preserve"> </w:t>
      </w:r>
      <w:r>
        <w:rPr>
          <w:rFonts w:hint="eastAsia" w:cs="宋体"/>
          <w:color w:val="auto"/>
          <w:sz w:val="36"/>
          <w:szCs w:val="36"/>
        </w:rPr>
        <w:t>采购合同</w:t>
      </w:r>
      <w:bookmarkEnd w:id="129"/>
      <w:bookmarkEnd w:id="130"/>
      <w:bookmarkEnd w:id="131"/>
      <w:bookmarkEnd w:id="132"/>
    </w:p>
    <w:p>
      <w:pPr>
        <w:pStyle w:val="5"/>
        <w:jc w:val="both"/>
        <w:rPr>
          <w:rFonts w:hint="eastAsia" w:ascii="宋体" w:hAnsi="宋体" w:eastAsia="宋体" w:cs="宋体"/>
          <w:color w:val="auto"/>
          <w:sz w:val="24"/>
          <w:szCs w:val="24"/>
        </w:rPr>
      </w:pPr>
    </w:p>
    <w:p>
      <w:pPr>
        <w:pStyle w:val="13"/>
        <w:shd w:val="clear" w:color="auto" w:fill="auto"/>
        <w:snapToGrid w:val="0"/>
        <w:spacing w:before="0" w:beforeLines="0" w:after="0" w:afterLines="0"/>
        <w:jc w:val="center"/>
        <w:rPr>
          <w:rFonts w:hint="eastAsia" w:hAnsi="宋体"/>
          <w:b/>
          <w:color w:val="auto"/>
          <w:sz w:val="32"/>
          <w:szCs w:val="32"/>
          <w:highlight w:val="none"/>
        </w:rPr>
      </w:pPr>
    </w:p>
    <w:p>
      <w:pPr>
        <w:shd w:val="clear" w:color="auto" w:fill="auto"/>
        <w:autoSpaceDE w:val="0"/>
        <w:autoSpaceDN w:val="0"/>
        <w:spacing w:line="360" w:lineRule="auto"/>
        <w:textAlignment w:val="bottom"/>
        <w:rPr>
          <w:rFonts w:hint="eastAsia" w:ascii="宋体" w:hAnsi="宋体"/>
          <w:b/>
          <w:color w:val="auto"/>
          <w:szCs w:val="21"/>
          <w:highlight w:val="none"/>
          <w:u w:val="single"/>
        </w:rPr>
      </w:pPr>
      <w:r>
        <w:rPr>
          <w:rFonts w:hint="eastAsia" w:ascii="宋体" w:hAnsi="宋体"/>
          <w:color w:val="auto"/>
          <w:sz w:val="32"/>
          <w:szCs w:val="32"/>
          <w:highlight w:val="none"/>
        </w:rPr>
        <w:t xml:space="preserve"> </w:t>
      </w:r>
      <w:r>
        <w:rPr>
          <w:rFonts w:hint="eastAsia" w:ascii="宋体" w:hAnsi="宋体"/>
          <w:b/>
          <w:color w:val="auto"/>
          <w:szCs w:val="21"/>
          <w:highlight w:val="none"/>
          <w:u w:val="single"/>
        </w:rPr>
        <w:t>备注：合同以双方签字盖章的文本为准，投标文件中各项招标需求均可在签订合同时列入或以更优的投标文件承诺内容列入。</w:t>
      </w:r>
    </w:p>
    <w:p>
      <w:pPr>
        <w:shd w:val="clear" w:color="auto" w:fill="auto"/>
        <w:adjustRightInd w:val="0"/>
        <w:snapToGrid w:val="0"/>
        <w:spacing w:line="360" w:lineRule="auto"/>
        <w:jc w:val="center"/>
        <w:rPr>
          <w:rFonts w:hint="eastAsia" w:ascii="宋体" w:hAnsi="宋体"/>
          <w:color w:val="auto"/>
          <w:sz w:val="32"/>
          <w:szCs w:val="32"/>
          <w:highlight w:val="none"/>
        </w:rPr>
      </w:pPr>
      <w:r>
        <w:rPr>
          <w:rFonts w:hint="eastAsia" w:ascii="宋体" w:hAnsi="宋体" w:cs="宋体"/>
          <w:b/>
          <w:color w:val="auto"/>
          <w:sz w:val="32"/>
          <w:szCs w:val="32"/>
          <w:highlight w:val="none"/>
        </w:rPr>
        <w:t xml:space="preserve"> （以最终合同为准）</w:t>
      </w: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spacing w:line="360" w:lineRule="auto"/>
        <w:ind w:left="2560" w:hanging="2560" w:hangingChars="80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 xml:space="preserve">项 目 名 称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lang w:eastAsia="zh-CN"/>
        </w:rPr>
        <w:t>上虞区企业信用平台软件维保服务</w:t>
      </w:r>
    </w:p>
    <w:p>
      <w:pPr>
        <w:shd w:val="clear" w:color="auto" w:fill="auto"/>
        <w:spacing w:line="360" w:lineRule="auto"/>
        <w:ind w:left="2560" w:hanging="2560" w:hangingChars="800"/>
        <w:rPr>
          <w:rFonts w:ascii="宋体" w:hAnsi="宋体"/>
          <w:color w:val="auto"/>
          <w:sz w:val="32"/>
          <w:szCs w:val="32"/>
          <w:highlight w:val="none"/>
        </w:rPr>
      </w:pPr>
      <w:r>
        <w:rPr>
          <w:rFonts w:hint="eastAsia" w:ascii="宋体" w:hAnsi="宋体"/>
          <w:color w:val="auto"/>
          <w:sz w:val="32"/>
          <w:szCs w:val="32"/>
          <w:highlight w:val="none"/>
        </w:rPr>
        <w:t>项 目 编 号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甲方（采购人）：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乙方（中标人）：</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hint="eastAsia" w:ascii="宋体" w:hAnsi="宋体"/>
          <w:color w:val="auto"/>
          <w:sz w:val="32"/>
          <w:szCs w:val="32"/>
          <w:highlight w:val="none"/>
        </w:rPr>
        <w:t xml:space="preserve">签 订 地 点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ascii="宋体" w:hAnsi="宋体"/>
          <w:color w:val="auto"/>
          <w:sz w:val="32"/>
          <w:szCs w:val="32"/>
          <w:highlight w:val="none"/>
          <w:u w:val="single"/>
        </w:rPr>
        <w:t xml:space="preserve">                           </w:t>
      </w:r>
    </w:p>
    <w:p>
      <w:pPr>
        <w:shd w:val="clear" w:color="auto" w:fill="auto"/>
        <w:adjustRightInd w:val="0"/>
        <w:snapToGrid w:val="0"/>
        <w:spacing w:line="360" w:lineRule="auto"/>
        <w:rPr>
          <w:rFonts w:hint="eastAsia" w:ascii="宋体" w:hAnsi="宋体"/>
          <w:color w:val="auto"/>
          <w:sz w:val="32"/>
          <w:szCs w:val="32"/>
          <w:highlight w:val="none"/>
        </w:rPr>
      </w:pPr>
      <w:r>
        <w:rPr>
          <w:rFonts w:hint="eastAsia" w:ascii="宋体" w:hAnsi="宋体"/>
          <w:color w:val="auto"/>
          <w:sz w:val="32"/>
          <w:szCs w:val="32"/>
          <w:highlight w:val="none"/>
        </w:rPr>
        <w:t xml:space="preserve">签 订 日 期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u w:val="single"/>
        </w:rPr>
        <w:t>202</w:t>
      </w:r>
      <w:r>
        <w:rPr>
          <w:rFonts w:hint="eastAsia" w:ascii="宋体" w:hAnsi="宋体"/>
          <w:color w:val="auto"/>
          <w:sz w:val="32"/>
          <w:szCs w:val="32"/>
          <w:highlight w:val="none"/>
          <w:u w:val="single"/>
          <w:lang w:val="en-US" w:eastAsia="zh-CN"/>
        </w:rPr>
        <w:t>3</w:t>
      </w:r>
      <w:r>
        <w:rPr>
          <w:rFonts w:hint="eastAsia" w:ascii="宋体" w:hAnsi="宋体"/>
          <w:color w:val="auto"/>
          <w:sz w:val="32"/>
          <w:szCs w:val="32"/>
          <w:highlight w:val="none"/>
          <w:u w:val="single"/>
        </w:rPr>
        <w:t xml:space="preserve">年  月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contextualSpacing/>
        <w:rPr>
          <w:rFonts w:ascii="宋体" w:hAnsi="宋体" w:cs="宋体"/>
          <w:b/>
          <w:color w:val="auto"/>
          <w:sz w:val="32"/>
          <w:szCs w:val="32"/>
          <w:highlight w:val="none"/>
        </w:rPr>
      </w:pPr>
    </w:p>
    <w:p>
      <w:pPr>
        <w:pStyle w:val="2"/>
        <w:shd w:val="clear" w:color="auto" w:fill="auto"/>
        <w:rPr>
          <w:rFonts w:hAnsi="宋体" w:cs="宋体"/>
          <w:b/>
          <w:color w:val="auto"/>
          <w:sz w:val="32"/>
          <w:szCs w:val="32"/>
          <w:highlight w:val="none"/>
        </w:rPr>
      </w:pPr>
    </w:p>
    <w:p>
      <w:pPr>
        <w:pStyle w:val="2"/>
        <w:shd w:val="clear" w:color="auto" w:fill="auto"/>
        <w:rPr>
          <w:rFonts w:hAnsi="宋体" w:cs="宋体"/>
          <w:b/>
          <w:color w:val="auto"/>
          <w:sz w:val="32"/>
          <w:szCs w:val="32"/>
          <w:highlight w:val="none"/>
        </w:rPr>
      </w:pPr>
    </w:p>
    <w:p>
      <w:pPr>
        <w:pStyle w:val="3"/>
        <w:rPr>
          <w:rFonts w:hAnsi="宋体" w:cs="宋体"/>
          <w:b/>
          <w:color w:val="auto"/>
          <w:sz w:val="32"/>
          <w:szCs w:val="32"/>
          <w:highlight w:val="none"/>
        </w:rPr>
      </w:pPr>
    </w:p>
    <w:p/>
    <w:p>
      <w:pPr>
        <w:pStyle w:val="3"/>
        <w:rPr>
          <w:color w:val="auto"/>
        </w:rPr>
      </w:pPr>
    </w:p>
    <w:p>
      <w:pPr>
        <w:pStyle w:val="2"/>
        <w:shd w:val="clear" w:color="auto" w:fill="auto"/>
        <w:rPr>
          <w:rFonts w:hAnsi="宋体" w:cs="宋体"/>
          <w:b/>
          <w:color w:val="auto"/>
          <w:sz w:val="32"/>
          <w:szCs w:val="32"/>
          <w:highlight w:val="none"/>
        </w:rPr>
      </w:pPr>
    </w:p>
    <w:p>
      <w:pPr>
        <w:pStyle w:val="2"/>
        <w:shd w:val="clear" w:color="auto" w:fill="auto"/>
        <w:rPr>
          <w:rFonts w:hint="eastAsia" w:ascii="宋体" w:hAnsi="宋体" w:eastAsia="宋体" w:cs="宋体"/>
          <w:b/>
          <w:color w:val="auto"/>
          <w:sz w:val="24"/>
          <w:szCs w:val="24"/>
          <w:highlight w:val="none"/>
        </w:rPr>
      </w:pPr>
    </w:p>
    <w:p>
      <w:pPr>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color w:val="000000"/>
          <w:sz w:val="24"/>
        </w:rPr>
        <w:t>　合同编号：（202</w:t>
      </w:r>
      <w:r>
        <w:rPr>
          <w:rFonts w:ascii="仿宋_GB2312" w:hAnsi="仿宋_GB2312" w:cs="仿宋_GB2312"/>
          <w:color w:val="000000"/>
          <w:sz w:val="24"/>
        </w:rPr>
        <w:t>3</w:t>
      </w:r>
      <w:r>
        <w:rPr>
          <w:rFonts w:hint="eastAsia" w:ascii="仿宋_GB2312" w:hAnsi="仿宋_GB2312" w:cs="仿宋_GB2312"/>
          <w:color w:val="000000"/>
          <w:sz w:val="24"/>
        </w:rPr>
        <w:t>）第</w:t>
      </w:r>
      <w:r>
        <w:rPr>
          <w:rFonts w:hint="eastAsia" w:ascii="仿宋_GB2312" w:hAnsi="仿宋_GB2312" w:cs="仿宋_GB2312"/>
          <w:color w:val="000000"/>
          <w:sz w:val="24"/>
          <w:u w:val="single"/>
        </w:rPr>
        <w:t>　　</w:t>
      </w:r>
      <w:r>
        <w:rPr>
          <w:rFonts w:hint="eastAsia" w:ascii="仿宋_GB2312" w:hAnsi="仿宋_GB2312" w:cs="仿宋_GB2312"/>
          <w:color w:val="000000"/>
          <w:sz w:val="24"/>
        </w:rPr>
        <w:t>号</w:t>
      </w:r>
    </w:p>
    <w:p>
      <w:pPr>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color w:val="000000"/>
          <w:sz w:val="24"/>
        </w:rPr>
        <w:t>　签订日期：202</w:t>
      </w:r>
      <w:r>
        <w:rPr>
          <w:rFonts w:ascii="仿宋_GB2312" w:hAnsi="仿宋_GB2312" w:cs="仿宋_GB2312"/>
          <w:color w:val="000000"/>
          <w:sz w:val="24"/>
        </w:rPr>
        <w:t>3</w:t>
      </w:r>
      <w:r>
        <w:rPr>
          <w:rFonts w:hint="eastAsia" w:ascii="仿宋_GB2312" w:hAnsi="仿宋_GB2312" w:cs="仿宋_GB2312"/>
          <w:color w:val="000000"/>
          <w:sz w:val="24"/>
        </w:rPr>
        <w:t>年</w:t>
      </w:r>
      <w:r>
        <w:rPr>
          <w:rFonts w:hint="eastAsia" w:ascii="仿宋_GB2312" w:hAnsi="仿宋_GB2312" w:cs="仿宋_GB2312"/>
          <w:color w:val="000000"/>
          <w:sz w:val="24"/>
          <w:u w:val="single"/>
        </w:rPr>
        <w:t>　　</w:t>
      </w:r>
      <w:r>
        <w:rPr>
          <w:rFonts w:hint="eastAsia" w:ascii="仿宋_GB2312" w:hAnsi="仿宋_GB2312" w:cs="仿宋_GB2312"/>
          <w:color w:val="000000"/>
          <w:sz w:val="24"/>
        </w:rPr>
        <w:t>月</w:t>
      </w:r>
      <w:r>
        <w:rPr>
          <w:rFonts w:hint="eastAsia" w:ascii="仿宋_GB2312" w:hAnsi="仿宋_GB2312" w:cs="仿宋_GB2312"/>
          <w:color w:val="000000"/>
          <w:sz w:val="24"/>
          <w:u w:val="single"/>
        </w:rPr>
        <w:t>　　</w:t>
      </w:r>
      <w:r>
        <w:rPr>
          <w:rFonts w:hint="eastAsia" w:ascii="仿宋_GB2312" w:hAnsi="仿宋_GB2312" w:cs="仿宋_GB2312"/>
          <w:color w:val="000000"/>
          <w:sz w:val="24"/>
        </w:rPr>
        <w:t>日</w:t>
      </w:r>
    </w:p>
    <w:p>
      <w:pPr>
        <w:spacing w:line="360" w:lineRule="auto"/>
        <w:ind w:firstLine="480" w:firstLineChars="200"/>
        <w:rPr>
          <w:rFonts w:ascii="仿宋_GB2312" w:hAnsi="仿宋_GB2312" w:cs="仿宋_GB2312"/>
          <w:color w:val="000000"/>
          <w:sz w:val="28"/>
          <w:u w:val="single"/>
        </w:rPr>
      </w:pPr>
      <w:r>
        <w:rPr>
          <w:rFonts w:hint="eastAsia" w:ascii="仿宋_GB2312" w:hAnsi="仿宋_GB2312" w:cs="仿宋_GB2312"/>
          <w:color w:val="000000"/>
          <w:sz w:val="24"/>
        </w:rPr>
        <w:t>　甲方</w:t>
      </w:r>
      <w:r>
        <w:rPr>
          <w:rFonts w:hint="eastAsia" w:ascii="仿宋_GB2312" w:hAnsi="仿宋_GB2312" w:cs="仿宋_GB2312"/>
          <w:color w:val="000000"/>
          <w:sz w:val="28"/>
        </w:rPr>
        <w:t>：</w:t>
      </w:r>
      <w:r>
        <w:rPr>
          <w:rFonts w:hint="eastAsia" w:ascii="仿宋_GB2312" w:hAnsi="仿宋_GB2312" w:cs="仿宋_GB2312"/>
          <w:color w:val="000000"/>
          <w:sz w:val="28"/>
          <w:u w:val="single"/>
        </w:rPr>
        <w:t>　　　　　　　　　　　　　　　　　　　　　　　　　</w:t>
      </w:r>
    </w:p>
    <w:p>
      <w:pPr>
        <w:spacing w:line="360" w:lineRule="auto"/>
        <w:ind w:firstLine="720" w:firstLineChars="300"/>
        <w:jc w:val="left"/>
        <w:rPr>
          <w:rFonts w:ascii="仿宋_GB2312" w:hAnsi="仿宋_GB2312" w:cs="仿宋_GB2312"/>
          <w:color w:val="000000"/>
          <w:sz w:val="28"/>
          <w:u w:val="single"/>
        </w:rPr>
      </w:pPr>
      <w:r>
        <w:rPr>
          <w:rFonts w:hint="eastAsia" w:ascii="仿宋_GB2312" w:hAnsi="仿宋_GB2312" w:cs="仿宋_GB2312"/>
          <w:color w:val="000000"/>
          <w:sz w:val="24"/>
        </w:rPr>
        <w:t>乙方</w:t>
      </w:r>
      <w:r>
        <w:rPr>
          <w:rFonts w:hint="eastAsia" w:ascii="仿宋_GB2312" w:hAnsi="仿宋_GB2312" w:cs="仿宋_GB2312"/>
          <w:color w:val="000000"/>
          <w:sz w:val="28"/>
        </w:rPr>
        <w:t>：</w:t>
      </w:r>
      <w:r>
        <w:rPr>
          <w:rFonts w:hint="eastAsia" w:ascii="仿宋_GB2312" w:hAnsi="仿宋_GB2312" w:cs="仿宋_GB2312"/>
          <w:color w:val="000000"/>
          <w:sz w:val="28"/>
          <w:u w:val="single"/>
        </w:rPr>
        <w:t>　　　　　　　　　　　　　　　　　　　　　　　　　</w:t>
      </w:r>
    </w:p>
    <w:p>
      <w:pPr>
        <w:spacing w:line="360" w:lineRule="auto"/>
        <w:ind w:firstLine="480" w:firstLineChars="200"/>
        <w:jc w:val="left"/>
        <w:rPr>
          <w:rFonts w:ascii="仿宋_GB2312" w:hAnsi="仿宋_GB2312" w:cs="仿宋_GB2312"/>
          <w:b/>
          <w:bCs/>
          <w:color w:val="000000"/>
          <w:sz w:val="24"/>
        </w:rPr>
      </w:pPr>
      <w:r>
        <w:rPr>
          <w:rFonts w:hint="eastAsia" w:ascii="仿宋_GB2312" w:hAnsi="仿宋_GB2312" w:cs="仿宋_GB2312"/>
          <w:color w:val="000000"/>
          <w:sz w:val="24"/>
        </w:rPr>
        <w:t>根据《中华人民共和国民法典》、政府采购编号为</w:t>
      </w:r>
      <w:r>
        <w:rPr>
          <w:rFonts w:hint="eastAsia" w:ascii="宋体"/>
          <w:color w:val="auto"/>
          <w:sz w:val="24"/>
          <w:szCs w:val="24"/>
          <w:u w:val="none"/>
          <w:lang w:eastAsia="zh-CN"/>
        </w:rPr>
        <w:t>ZJCTSY-2023-0915</w:t>
      </w:r>
      <w:r>
        <w:rPr>
          <w:rFonts w:hint="eastAsia" w:ascii="仿宋_GB2312" w:hAnsi="仿宋_GB2312" w:cs="仿宋_GB2312"/>
          <w:color w:val="000000"/>
          <w:sz w:val="24"/>
        </w:rPr>
        <w:t>招标文件、乙方投标人文件的规定，经公开招标采购，签订本合同。</w:t>
      </w:r>
      <w:r>
        <w:rPr>
          <w:rFonts w:hint="eastAsia" w:ascii="仿宋_GB2312" w:hAnsi="仿宋_GB2312" w:cs="仿宋_GB2312"/>
          <w:b/>
          <w:bCs/>
          <w:color w:val="000000"/>
          <w:sz w:val="24"/>
        </w:rPr>
        <w:t xml:space="preserve"> </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背景</w:t>
      </w:r>
    </w:p>
    <w:p>
      <w:pPr>
        <w:pStyle w:val="25"/>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作为浙江省企业融资风险防范机制体制创新试点区，绍兴市上虞区在全省率先探索“以企业信用征信运用体系为基础，以资产抵押、融资性担保、融资结构优化、融资风险稳控、困难企业处置五大机制为支撑”的”1+5“企业融资风险防范体制机制。通过整合政府部门间的企业经营与信用信息，依托大数据技术与分析，在解决跨部门信息共享的基础上，有效降低金融信贷风险与企业融资成本，并初步建立起企业信用评价体系，更好地服务于上虞区的区域经济与重点行业扶持，并探索出全省企业融资风险体制机制新路子。</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建设意义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以各部门在日常监管中所产生的业务数据与各平台运营产生的数据为基础，建立起资源共享、互联互通的“企业信用信息云服务平台”，实现政府部门间的数据交互与共享，为社会诚信、商务诚信的建设提供支撑。通过对数据的清洗、比对、入库、分析与挖掘，构建面向金融融资风险管理与控制的“金融信贷风险警示系统”，通过担保圈、关系圈的锁定与追踪省内与本企业相关的警示信息，降低采信成本与区域融资风险，提升区域预警防范能力。通过上虞区防范企业融资风险体制机制创新试点与成果应用，在大力促进区域经济持续健康发展的同时，率先在全省范围内做出改革示范效应。</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功能简介</w:t>
      </w:r>
    </w:p>
    <w:p>
      <w:p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信用上虞项目主要包含APP端和web网页。其中APP端包括IOS，安卓两大平台。另外还提供接口给银行</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运维内容</w:t>
      </w:r>
    </w:p>
    <w:p>
      <w:pPr>
        <w:pStyle w:val="6"/>
        <w:numPr>
          <w:ilvl w:val="0"/>
          <w:numId w:val="25"/>
        </w:numPr>
        <w:bidi w:val="0"/>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软件运维服务内容</w:t>
      </w:r>
    </w:p>
    <w:p>
      <w:pPr>
        <w:spacing w:line="360" w:lineRule="auto"/>
        <w:ind w:firstLine="560"/>
        <w:rPr>
          <w:rFonts w:hint="eastAsia" w:ascii="宋体" w:hAnsi="宋体" w:eastAsia="宋体" w:cs="宋体"/>
          <w:sz w:val="24"/>
          <w:szCs w:val="24"/>
          <w:lang w:val="en-US" w:eastAsia="zh-CN"/>
        </w:rPr>
      </w:pPr>
      <w:r>
        <w:rPr>
          <w:rFonts w:hint="eastAsia" w:ascii="宋体" w:hAnsi="宋体" w:eastAsia="宋体" w:cs="宋体"/>
          <w:i w:val="0"/>
          <w:iCs w:val="0"/>
          <w:sz w:val="24"/>
          <w:szCs w:val="24"/>
        </w:rPr>
        <w:t>软件运维服务主要包括系统更新升级维护、中间件维护、数据库系统维护、性能优化服务、信息系统安全维护各项相关内容。</w:t>
      </w:r>
    </w:p>
    <w:p>
      <w:pPr>
        <w:pStyle w:val="8"/>
        <w:numPr>
          <w:ilvl w:val="1"/>
          <w:numId w:val="26"/>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系统更新升级维护</w:t>
      </w:r>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根据业务需求，或者更新升级计划等，进行系统更新升级的安装部署工作，并提供系统的对接联调技术支持服务，以及在上线后提供短期内的系统监控技术支持服务。</w:t>
      </w:r>
    </w:p>
    <w:p>
      <w:pPr>
        <w:pStyle w:val="8"/>
        <w:numPr>
          <w:ilvl w:val="1"/>
          <w:numId w:val="26"/>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中间件维护</w:t>
      </w:r>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中间件升级而对应用软件进行适应性更新与调测服务。</w:t>
      </w:r>
    </w:p>
    <w:p>
      <w:pPr>
        <w:pStyle w:val="8"/>
        <w:numPr>
          <w:ilvl w:val="1"/>
          <w:numId w:val="26"/>
        </w:numPr>
        <w:tabs>
          <w:tab w:val="left" w:pos="1335"/>
        </w:tabs>
        <w:bidi w:val="0"/>
        <w:spacing w:line="360" w:lineRule="auto"/>
        <w:ind w:left="960" w:leftChars="0" w:hanging="36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数据库系统维护</w:t>
      </w:r>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数据库实例状态检查、数据库表空间使用情况、监控查看数据库的连接情况、表空间使用情况和性能检查、数据库告警日志检查分析、数据库备份检查。</w:t>
      </w:r>
    </w:p>
    <w:p>
      <w:pPr>
        <w:pStyle w:val="8"/>
        <w:numPr>
          <w:ilvl w:val="1"/>
          <w:numId w:val="26"/>
        </w:numPr>
        <w:tabs>
          <w:tab w:val="left" w:pos="1335"/>
        </w:tabs>
        <w:bidi w:val="0"/>
        <w:spacing w:line="360" w:lineRule="auto"/>
        <w:ind w:left="960" w:leftChars="0" w:hanging="36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性能优化服务</w:t>
      </w:r>
    </w:p>
    <w:p>
      <w:pPr>
        <w:spacing w:line="360" w:lineRule="auto"/>
        <w:ind w:firstLine="480" w:firstLineChars="20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对</w:t>
      </w:r>
      <w:r>
        <w:rPr>
          <w:rFonts w:hint="eastAsia" w:ascii="宋体" w:hAnsi="宋体" w:eastAsia="宋体" w:cs="宋体"/>
          <w:i w:val="0"/>
          <w:iCs w:val="0"/>
          <w:color w:val="000000"/>
          <w:sz w:val="24"/>
          <w:szCs w:val="24"/>
          <w:lang w:val="en-US" w:eastAsia="zh-CN"/>
        </w:rPr>
        <w:t>上虞企业信用信息服务云平台</w:t>
      </w:r>
      <w:r>
        <w:rPr>
          <w:rFonts w:hint="eastAsia" w:ascii="宋体" w:hAnsi="宋体" w:eastAsia="宋体" w:cs="宋体"/>
          <w:i w:val="0"/>
          <w:iCs w:val="0"/>
          <w:color w:val="000000"/>
          <w:sz w:val="24"/>
          <w:szCs w:val="24"/>
        </w:rPr>
        <w:t>的性能进行优化，以满足高并发下市场主体的正常使用，主要内容包括应用资源</w:t>
      </w:r>
      <w:r>
        <w:rPr>
          <w:rFonts w:hint="eastAsia" w:ascii="宋体" w:hAnsi="宋体" w:eastAsia="宋体" w:cs="宋体"/>
          <w:i w:val="0"/>
          <w:iCs w:val="0"/>
          <w:color w:val="000000"/>
          <w:sz w:val="24"/>
          <w:szCs w:val="24"/>
          <w:lang w:val="en-US" w:eastAsia="zh-CN"/>
        </w:rPr>
        <w:t>扩容</w:t>
      </w:r>
      <w:r>
        <w:rPr>
          <w:rFonts w:hint="eastAsia" w:ascii="宋体" w:hAnsi="宋体" w:eastAsia="宋体" w:cs="宋体"/>
          <w:i w:val="0"/>
          <w:iCs w:val="0"/>
          <w:color w:val="000000"/>
          <w:sz w:val="24"/>
          <w:szCs w:val="24"/>
        </w:rPr>
        <w:t>、应用服务优化、数据库优化。</w:t>
      </w:r>
    </w:p>
    <w:p>
      <w:pPr>
        <w:pStyle w:val="8"/>
        <w:numPr>
          <w:ilvl w:val="1"/>
          <w:numId w:val="26"/>
        </w:numPr>
        <w:tabs>
          <w:tab w:val="left" w:pos="1335"/>
        </w:tabs>
        <w:bidi w:val="0"/>
        <w:spacing w:line="360" w:lineRule="auto"/>
        <w:ind w:left="960" w:leftChars="0" w:hanging="36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信息系统安全维护</w:t>
      </w:r>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提供漏洞修复、日志审计、系统数据备份和恢复相关服务，保障系统的信息系统安全。</w:t>
      </w:r>
    </w:p>
    <w:p>
      <w:pPr>
        <w:pStyle w:val="6"/>
        <w:numPr>
          <w:ilvl w:val="0"/>
          <w:numId w:val="25"/>
        </w:numPr>
        <w:bidi w:val="0"/>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数据运维服务内容</w:t>
      </w:r>
    </w:p>
    <w:p>
      <w:pPr>
        <w:spacing w:line="360" w:lineRule="auto"/>
        <w:ind w:firstLine="560"/>
        <w:rPr>
          <w:rFonts w:hint="eastAsia" w:ascii="宋体" w:hAnsi="宋体" w:eastAsia="宋体" w:cs="宋体"/>
          <w:i w:val="0"/>
          <w:iCs w:val="0"/>
          <w:sz w:val="24"/>
          <w:szCs w:val="24"/>
        </w:rPr>
      </w:pPr>
      <w:r>
        <w:rPr>
          <w:rFonts w:hint="eastAsia" w:ascii="宋体" w:hAnsi="宋体" w:eastAsia="宋体" w:cs="宋体"/>
          <w:i w:val="0"/>
          <w:iCs w:val="0"/>
          <w:sz w:val="24"/>
          <w:szCs w:val="24"/>
        </w:rPr>
        <w:t>数据运维服务主要包括数据归集、清洗服务、数据开发服务、数据目录维护服务、数据上报服务、数据对接保障服务、数据核查服务、数据导出服务、数据统计服务、数据匹配服务、业务异常数据监测服务各项内容。</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数据归集、清洗服务</w:t>
      </w:r>
    </w:p>
    <w:p>
      <w:pPr>
        <w:spacing w:line="360" w:lineRule="auto"/>
        <w:ind w:firstLine="560"/>
        <w:rPr>
          <w:rFonts w:hint="eastAsia"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rPr>
        <w:t>通过数据归集、清洗服务支持业务系统的相关功能，对大数据局，同步数据到到前置库，按照指定规则抽取、清洗、转换后，数据进入业务数据库，并在ODPS平台通过调度定时更新数据。</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数据目录维护服务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数字化改革过程中，大数据局负责信息化统筹和管理，对各业务系统平台的数据进行整合，不断优化调整相关数据规范要求。数据目录维护服务不定期地按照大数据局规范要求，维护目录数据及异常数据修复，协助市监局完成新数据的编目及数据归集。</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数据对接保障服务</w:t>
      </w:r>
    </w:p>
    <w:p>
      <w:pPr>
        <w:spacing w:line="360" w:lineRule="auto"/>
        <w:ind w:firstLine="480" w:firstLineChars="200"/>
        <w:rPr>
          <w:rFonts w:hint="eastAsia" w:ascii="宋体" w:hAnsi="宋体" w:eastAsia="宋体" w:cs="宋体"/>
          <w:i w:val="0"/>
          <w:iCs w:val="0"/>
          <w:color w:val="000000"/>
          <w:sz w:val="24"/>
          <w:szCs w:val="24"/>
          <w:shd w:val="clear" w:color="auto" w:fill="FFFFFF"/>
        </w:rPr>
      </w:pPr>
      <w:r>
        <w:rPr>
          <w:rFonts w:hint="eastAsia" w:ascii="宋体" w:hAnsi="宋体" w:eastAsia="宋体" w:cs="宋体"/>
          <w:i w:val="0"/>
          <w:iCs w:val="0"/>
          <w:color w:val="000000"/>
          <w:sz w:val="24"/>
          <w:szCs w:val="24"/>
          <w:shd w:val="clear" w:color="auto" w:fill="FFFFFF"/>
          <w:lang w:val="en-US" w:eastAsia="zh-CN"/>
        </w:rPr>
        <w:t>上虞企业信用信息云服务平台</w:t>
      </w:r>
      <w:r>
        <w:rPr>
          <w:rFonts w:hint="eastAsia" w:ascii="宋体" w:hAnsi="宋体" w:eastAsia="宋体" w:cs="宋体"/>
          <w:i w:val="0"/>
          <w:iCs w:val="0"/>
          <w:color w:val="000000"/>
          <w:sz w:val="24"/>
          <w:szCs w:val="24"/>
          <w:shd w:val="clear" w:color="auto" w:fill="FFFFFF"/>
        </w:rPr>
        <w:t>已开发</w:t>
      </w:r>
      <w:r>
        <w:rPr>
          <w:rFonts w:hint="eastAsia" w:ascii="宋体" w:hAnsi="宋体" w:eastAsia="宋体" w:cs="宋体"/>
          <w:i w:val="0"/>
          <w:iCs w:val="0"/>
          <w:color w:val="000000"/>
          <w:sz w:val="24"/>
          <w:szCs w:val="24"/>
          <w:shd w:val="clear" w:color="auto" w:fill="FFFFFF"/>
          <w:lang w:val="en-US" w:eastAsia="zh-CN"/>
        </w:rPr>
        <w:t>4</w:t>
      </w:r>
      <w:r>
        <w:rPr>
          <w:rFonts w:hint="eastAsia" w:ascii="宋体" w:hAnsi="宋体" w:eastAsia="宋体" w:cs="宋体"/>
          <w:i w:val="0"/>
          <w:iCs w:val="0"/>
          <w:color w:val="000000"/>
          <w:sz w:val="24"/>
          <w:szCs w:val="24"/>
          <w:shd w:val="clear" w:color="auto" w:fill="FFFFFF"/>
        </w:rPr>
        <w:t>类系统对接接口，数据对接保障服务通过日常数据对账、问题数据识别反馈、下发问题处理等相关工作。保障</w:t>
      </w:r>
      <w:r>
        <w:rPr>
          <w:rFonts w:hint="eastAsia" w:ascii="宋体" w:hAnsi="宋体" w:eastAsia="宋体" w:cs="宋体"/>
          <w:i w:val="0"/>
          <w:iCs w:val="0"/>
          <w:color w:val="000000"/>
          <w:sz w:val="24"/>
          <w:szCs w:val="24"/>
          <w:shd w:val="clear" w:color="auto" w:fill="FFFFFF"/>
          <w:lang w:val="en-US" w:eastAsia="zh-CN"/>
        </w:rPr>
        <w:t>上虞企业信用信息云服务平台</w:t>
      </w:r>
      <w:r>
        <w:rPr>
          <w:rFonts w:hint="eastAsia" w:ascii="宋体" w:hAnsi="宋体" w:eastAsia="宋体" w:cs="宋体"/>
          <w:i w:val="0"/>
          <w:iCs w:val="0"/>
          <w:color w:val="000000"/>
          <w:sz w:val="24"/>
          <w:szCs w:val="24"/>
          <w:shd w:val="clear" w:color="auto" w:fill="FFFFFF"/>
        </w:rPr>
        <w:t>和实现对接的系统的数据及时性和准确性。</w:t>
      </w:r>
    </w:p>
    <w:p>
      <w:pPr>
        <w:spacing w:line="360" w:lineRule="auto"/>
        <w:ind w:firstLine="560"/>
        <w:rPr>
          <w:rFonts w:hint="eastAsia" w:ascii="宋体" w:hAnsi="宋体" w:eastAsia="宋体" w:cs="宋体"/>
          <w:i w:val="0"/>
          <w:iCs w:val="0"/>
          <w:color w:val="000000"/>
          <w:sz w:val="24"/>
          <w:szCs w:val="24"/>
          <w:shd w:val="clear" w:color="auto" w:fill="FFFFFF"/>
        </w:rPr>
      </w:pPr>
      <w:r>
        <w:rPr>
          <w:rFonts w:hint="eastAsia" w:ascii="宋体" w:hAnsi="宋体" w:eastAsia="宋体" w:cs="宋体"/>
          <w:i w:val="0"/>
          <w:iCs w:val="0"/>
          <w:color w:val="000000"/>
          <w:sz w:val="24"/>
          <w:szCs w:val="24"/>
          <w:shd w:val="clear" w:color="auto" w:fill="FFFFFF"/>
        </w:rPr>
        <w:t>相关接口情况如下表：</w:t>
      </w:r>
    </w:p>
    <w:tbl>
      <w:tblPr>
        <w:tblStyle w:val="26"/>
        <w:tblW w:w="5000" w:type="pct"/>
        <w:tblInd w:w="0" w:type="dxa"/>
        <w:tblLayout w:type="fixed"/>
        <w:tblCellMar>
          <w:top w:w="0" w:type="dxa"/>
          <w:left w:w="108" w:type="dxa"/>
          <w:bottom w:w="0" w:type="dxa"/>
          <w:right w:w="108" w:type="dxa"/>
        </w:tblCellMar>
      </w:tblPr>
      <w:tblGrid>
        <w:gridCol w:w="869"/>
        <w:gridCol w:w="5243"/>
        <w:gridCol w:w="2410"/>
      </w:tblGrid>
      <w:tr>
        <w:trPr>
          <w:trHeight w:val="270" w:hRule="atLeast"/>
          <w:tblHeader/>
        </w:trPr>
        <w:tc>
          <w:tcPr>
            <w:tcW w:w="50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076"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接口地址</w:t>
            </w:r>
          </w:p>
        </w:tc>
        <w:tc>
          <w:tcPr>
            <w:tcW w:w="1413"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接口用途说明</w:t>
            </w:r>
          </w:p>
        </w:tc>
      </w:tr>
      <w:tr>
        <w:tblPrEx>
          <w:tblCellMar>
            <w:top w:w="0" w:type="dxa"/>
            <w:left w:w="108" w:type="dxa"/>
            <w:bottom w:w="0" w:type="dxa"/>
            <w:right w:w="108" w:type="dxa"/>
          </w:tblCellMar>
        </w:tblPrEx>
        <w:trPr>
          <w:trHeight w:val="54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"http://***.***.***.***:****/crgrant/doEditCrGrant.do"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http://***.***.***.***:****/crgrant/doEditCrGrant.do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授权接口</w:t>
            </w:r>
          </w:p>
        </w:tc>
      </w:tr>
      <w:tr>
        <w:tblPrEx>
          <w:tblCellMar>
            <w:top w:w="0" w:type="dxa"/>
            <w:left w:w="108" w:type="dxa"/>
            <w:bottom w:w="0" w:type="dxa"/>
            <w:right w:w="108" w:type="dxa"/>
          </w:tblCellMar>
        </w:tblPrEx>
        <w:trPr>
          <w:trHeight w:val="54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"http://***.***.***.***:****/crgrant/upload.do"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http://***.***.***.***:****/crgrant/upload.do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授权文件上传接口</w:t>
            </w:r>
          </w:p>
        </w:tc>
      </w:tr>
      <w:tr>
        <w:tblPrEx>
          <w:tblCellMar>
            <w:top w:w="0" w:type="dxa"/>
            <w:left w:w="108" w:type="dxa"/>
            <w:bottom w:w="0" w:type="dxa"/>
            <w:right w:w="108" w:type="dxa"/>
          </w:tblCellMar>
        </w:tblPrEx>
        <w:trPr>
          <w:trHeight w:val="27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"http://***.***.***.***:****/appsearch/doGetAll.do"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http://***.***.***.***:****/appsearch/doGetAll.do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企业信息查询接口</w:t>
            </w:r>
          </w:p>
        </w:tc>
      </w:tr>
      <w:tr>
        <w:tblPrEx>
          <w:tblCellMar>
            <w:top w:w="0" w:type="dxa"/>
            <w:left w:w="108" w:type="dxa"/>
            <w:bottom w:w="0" w:type="dxa"/>
            <w:right w:w="108" w:type="dxa"/>
          </w:tblCellMar>
        </w:tblPrEx>
        <w:trPr>
          <w:trHeight w:val="270" w:hRule="atLeast"/>
        </w:trPr>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3076"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"http://***.***.***.***:****/appsearch/doGetPersonalInfo.do" \t "_blank"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http://***.***.***.***:****/appsearch/doGetPersonalInfo.do</w:t>
            </w:r>
            <w:r>
              <w:rPr>
                <w:rFonts w:hint="eastAsia" w:ascii="宋体" w:hAnsi="宋体" w:eastAsia="宋体" w:cs="宋体"/>
                <w:i w:val="0"/>
                <w:iCs w:val="0"/>
                <w:sz w:val="24"/>
                <w:szCs w:val="24"/>
              </w:rPr>
              <w:fldChar w:fldCharType="end"/>
            </w:r>
          </w:p>
        </w:tc>
        <w:tc>
          <w:tcPr>
            <w:tcW w:w="1413" w:type="pct"/>
            <w:tcBorders>
              <w:top w:val="single" w:color="000000" w:sz="4" w:space="0"/>
              <w:left w:val="single" w:color="000000" w:sz="4" w:space="0"/>
              <w:bottom w:val="single" w:color="000000" w:sz="4" w:space="0"/>
              <w:right w:val="single" w:color="000000" w:sz="4" w:space="0"/>
            </w:tcBorders>
            <w:noWrap w:val="0"/>
            <w:vAlign w:val="bottom"/>
          </w:tcPr>
          <w:p>
            <w:pPr>
              <w:pStyle w:val="8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个人信息查询接口</w:t>
            </w:r>
          </w:p>
        </w:tc>
      </w:tr>
    </w:tbl>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数据核查服务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平台涉及与内外各类业务系统的数据共享交换，由于客观上数据类型多、接口多、交换量大等实际情况，加之各类系统存在升级迭代对数据的影响，在正常对接情况下，各部门在数据（自动或人工）上传或下发过程中，仍可能存在的数据缺失或错误等问题。</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通过数据核查服务，由服务单位对数据进行排查筛选，发现错误源头和原因，对错误数据进行修正，并通过系统对接调试、参数修改、模板调整等方式进行同类问题的避免，暂时无法通过技术手段避免的，则由服务单进行人工核查与修正。</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数据导出服务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不定期根据市监领域条线部门的数据收集需求，对系统内涉及的数据进行导出，并根据要求的字段项，对数据进行整理与核对。</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数据统计服务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不定期根据市监领域条线部门的数据统计需求，输出相关的数据统计结果，对平台已有的统计结果进行汇总梳理，涉及不能通过系统自动统计的数据结果，由人工筛查统计后进行统计结果的补充。</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数据匹配服务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按照市监领域条线部门提交的相关数据格式要求，对需要匹配的数据进行填充。“数据匹配服务”与“数据导出服务”的按格式要求导出所需数据不同，数据匹配服务更多的是需求部门针对已有数据进行的特定数据的补充，运营服务单位除了实现字段要求内容的匹配，还需实现需补充数据与已有数据内容的精准匹配。</w:t>
      </w:r>
    </w:p>
    <w:p>
      <w:pPr>
        <w:pStyle w:val="8"/>
        <w:numPr>
          <w:ilvl w:val="1"/>
          <w:numId w:val="27"/>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业务异常数据监测服务</w:t>
      </w:r>
    </w:p>
    <w:p>
      <w:pPr>
        <w:spacing w:line="360" w:lineRule="auto"/>
        <w:ind w:firstLine="56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根据市监领域条线部门的实际需求，对业务异常数据进行监测，区别于“异常错误数据”，业务异常数据主要指数据技术层面无错误，而是在业务层面上与常识相悖的内容，通过对各类异常数据的监测，及时发现可能存在的违规操作、业务异常等情况。</w:t>
      </w:r>
    </w:p>
    <w:p>
      <w:pPr>
        <w:pStyle w:val="6"/>
        <w:numPr>
          <w:ilvl w:val="0"/>
          <w:numId w:val="25"/>
        </w:numPr>
        <w:bidi w:val="0"/>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日常系统保障服务内容</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日常系统保障服务包括日常系统监控、运行环境检查、系统参数配置和调整、故障发现和处理、周期性项目报告各项内容。</w:t>
      </w:r>
    </w:p>
    <w:p>
      <w:pPr>
        <w:pStyle w:val="8"/>
        <w:numPr>
          <w:ilvl w:val="1"/>
          <w:numId w:val="28"/>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日常系统监控</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每天进行</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的运行状况的巡检工作，每天工作第一时间巡检服务器端各软件系统、密码设备等系统的运行情况，遇到故障及时处理，收集客户的反馈信息，并及时处理上报。</w:t>
      </w:r>
    </w:p>
    <w:p>
      <w:pPr>
        <w:pStyle w:val="8"/>
        <w:numPr>
          <w:ilvl w:val="1"/>
          <w:numId w:val="28"/>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运行环境检查</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每月对</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运行的服务器、数据库服务器设备进行运转情况检查，包括服务运行状态、数据库运行状态、网络连通情况、CPU使用率、可用内存、硬盘空间剩余等。</w:t>
      </w:r>
    </w:p>
    <w:p>
      <w:pPr>
        <w:pStyle w:val="8"/>
        <w:numPr>
          <w:ilvl w:val="1"/>
          <w:numId w:val="28"/>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系统参数配置和调整</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根据系统维护及应用需要，对相关</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参数进行优化配置和调整，满足应用需求，提高系统稳定性。</w:t>
      </w:r>
    </w:p>
    <w:p>
      <w:pPr>
        <w:pStyle w:val="8"/>
        <w:numPr>
          <w:ilvl w:val="1"/>
          <w:numId w:val="28"/>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 xml:space="preserve">故障发现和处理 </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提供</w:t>
      </w:r>
      <w:r>
        <w:rPr>
          <w:rFonts w:hint="eastAsia" w:ascii="宋体" w:hAnsi="宋体" w:eastAsia="宋体" w:cs="宋体"/>
          <w:i w:val="0"/>
          <w:iCs w:val="0"/>
          <w:sz w:val="24"/>
          <w:szCs w:val="24"/>
          <w:lang w:val="en-US" w:eastAsia="zh-CN"/>
        </w:rPr>
        <w:t>上虞企业信用信息云服务平台</w:t>
      </w:r>
      <w:r>
        <w:rPr>
          <w:rFonts w:hint="eastAsia" w:ascii="宋体" w:hAnsi="宋体" w:eastAsia="宋体" w:cs="宋体"/>
          <w:i w:val="0"/>
          <w:iCs w:val="0"/>
          <w:sz w:val="24"/>
          <w:szCs w:val="24"/>
        </w:rPr>
        <w:t>故障的诊断、分析并解决系统故障，对其程序错误及缺陷进行排错。</w:t>
      </w:r>
    </w:p>
    <w:p>
      <w:pPr>
        <w:pStyle w:val="8"/>
        <w:numPr>
          <w:ilvl w:val="1"/>
          <w:numId w:val="28"/>
        </w:numPr>
        <w:tabs>
          <w:tab w:val="left" w:pos="1335"/>
        </w:tabs>
        <w:bidi w:val="0"/>
        <w:spacing w:line="360" w:lineRule="auto"/>
        <w:ind w:left="960" w:leftChars="0" w:hanging="360" w:firstLineChars="0"/>
        <w:rPr>
          <w:rFonts w:hint="eastAsia" w:ascii="宋体" w:hAnsi="宋体" w:eastAsia="宋体" w:cs="宋体"/>
          <w:sz w:val="24"/>
          <w:szCs w:val="24"/>
        </w:rPr>
      </w:pPr>
      <w:r>
        <w:rPr>
          <w:rFonts w:hint="eastAsia" w:ascii="宋体" w:hAnsi="宋体" w:eastAsia="宋体" w:cs="宋体"/>
          <w:sz w:val="24"/>
          <w:szCs w:val="24"/>
        </w:rPr>
        <w:t>周期性项目报告</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提交各系统应用的运维、运行的周报、月报及半年度报告，包括预防性维护各项内容报告、纠正性维护各项内容报告。</w:t>
      </w:r>
    </w:p>
    <w:p>
      <w:pPr>
        <w:pStyle w:val="6"/>
        <w:numPr>
          <w:ilvl w:val="0"/>
          <w:numId w:val="25"/>
        </w:numPr>
        <w:bidi w:val="0"/>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其他内容与服务</w:t>
      </w:r>
    </w:p>
    <w:p>
      <w:pPr>
        <w:spacing w:line="360" w:lineRule="auto"/>
        <w:outlineLvl w:val="0"/>
        <w:rPr>
          <w:rFonts w:ascii="仿宋_GB2312" w:hAnsi="仿宋_GB2312" w:cs="仿宋_GB2312"/>
          <w:b/>
          <w:bCs/>
          <w:snapToGrid w:val="0"/>
          <w:color w:val="000000"/>
          <w:sz w:val="24"/>
        </w:rPr>
      </w:pPr>
      <w:r>
        <w:rPr>
          <w:rFonts w:hint="eastAsia" w:ascii="宋体" w:hAnsi="宋体" w:eastAsia="宋体" w:cs="宋体"/>
          <w:i w:val="0"/>
          <w:iCs w:val="0"/>
          <w:sz w:val="24"/>
          <w:szCs w:val="24"/>
        </w:rPr>
        <w:t>其他技术支持服务，包括配合</w:t>
      </w:r>
      <w:r>
        <w:rPr>
          <w:rFonts w:hint="eastAsia" w:ascii="宋体" w:hAnsi="宋体" w:eastAsia="宋体" w:cs="宋体"/>
          <w:i w:val="0"/>
          <w:iCs w:val="0"/>
          <w:sz w:val="24"/>
          <w:szCs w:val="24"/>
          <w:lang w:val="en-US" w:eastAsia="zh-CN"/>
        </w:rPr>
        <w:t>市监部门</w:t>
      </w:r>
      <w:r>
        <w:rPr>
          <w:rFonts w:hint="eastAsia" w:ascii="宋体" w:hAnsi="宋体" w:eastAsia="宋体" w:cs="宋体"/>
          <w:i w:val="0"/>
          <w:iCs w:val="0"/>
          <w:sz w:val="24"/>
          <w:szCs w:val="24"/>
        </w:rPr>
        <w:t>处理进行相关问题、需求、相关工作事项的沟通、讨论和分析，如：对于不能明确是否是由软件系统引起的故障，应尽力配合其它系统供应商进行检查，并在规定响应时间内到达现场协助排除故障。</w:t>
      </w:r>
    </w:p>
    <w:p>
      <w:pPr>
        <w:pStyle w:val="5"/>
        <w:numPr>
          <w:ilvl w:val="0"/>
          <w:numId w:val="24"/>
        </w:numPr>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项目工期及验收</w:t>
      </w:r>
    </w:p>
    <w:p>
      <w:pPr>
        <w:spacing w:line="360" w:lineRule="auto"/>
        <w:ind w:firstLine="480"/>
        <w:rPr>
          <w:rFonts w:hint="eastAsia" w:ascii="仿宋_GB2312" w:hAnsi="仿宋_GB2312" w:cs="仿宋_GB2312"/>
          <w:sz w:val="24"/>
          <w:lang w:val="zh-CN"/>
        </w:rPr>
      </w:pPr>
      <w:r>
        <w:rPr>
          <w:rFonts w:hint="eastAsia" w:ascii="仿宋_GB2312" w:hAnsi="仿宋_GB2312" w:cs="仿宋_GB2312"/>
          <w:sz w:val="24"/>
          <w:lang w:val="en-US" w:eastAsia="zh-CN"/>
        </w:rPr>
        <w:t>工期：</w:t>
      </w:r>
      <w:r>
        <w:rPr>
          <w:rFonts w:hint="eastAsia" w:ascii="仿宋_GB2312" w:hAnsi="仿宋_GB2312" w:cs="仿宋_GB2312"/>
          <w:sz w:val="24"/>
          <w:lang w:val="zh-CN"/>
        </w:rPr>
        <w:t>合同签订之后</w:t>
      </w:r>
      <w:r>
        <w:rPr>
          <w:rFonts w:hint="eastAsia" w:ascii="仿宋_GB2312" w:hAnsi="仿宋_GB2312" w:cs="仿宋_GB2312"/>
          <w:sz w:val="24"/>
        </w:rPr>
        <w:t>满1年</w:t>
      </w:r>
      <w:r>
        <w:rPr>
          <w:rFonts w:hint="eastAsia" w:ascii="仿宋_GB2312" w:hAnsi="仿宋_GB2312" w:cs="仿宋_GB2312"/>
          <w:sz w:val="24"/>
          <w:lang w:val="zh-CN"/>
        </w:rPr>
        <w:t>。</w:t>
      </w:r>
    </w:p>
    <w:p>
      <w:pPr>
        <w:spacing w:line="276" w:lineRule="auto"/>
        <w:ind w:firstLine="480" w:firstLineChars="200"/>
        <w:rPr>
          <w:rFonts w:hint="eastAsia" w:ascii="宋体" w:hAnsi="宋体" w:eastAsia="宋体" w:cs="宋体"/>
          <w:color w:val="auto"/>
          <w:sz w:val="24"/>
          <w:szCs w:val="24"/>
          <w:highlight w:val="none"/>
          <w:lang w:eastAsia="zh-CN"/>
        </w:rPr>
      </w:pPr>
      <w:r>
        <w:rPr>
          <w:rFonts w:hint="eastAsia" w:ascii="仿宋_GB2312" w:hAnsi="仿宋_GB2312" w:cs="仿宋_GB2312"/>
          <w:sz w:val="24"/>
          <w:lang w:val="en-US" w:eastAsia="zh-CN"/>
        </w:rPr>
        <w:t>验收：</w:t>
      </w:r>
      <w:r>
        <w:rPr>
          <w:rFonts w:hint="eastAsia" w:ascii="宋体" w:hAnsi="宋体" w:eastAsia="宋体" w:cs="宋体"/>
          <w:color w:val="auto"/>
          <w:sz w:val="24"/>
          <w:szCs w:val="24"/>
          <w:highlight w:val="none"/>
        </w:rPr>
        <w:t>验收标准：成交供应商服务前应对服务作出全面检查和对验收文件进行整理，并列出清单，作为采购人收货验收和使用的技术条件依据，检验的结果应随货物（服务）交采购人。</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p>
      <w:pPr>
        <w:pStyle w:val="13"/>
        <w:numPr>
          <w:ilvl w:val="0"/>
          <w:numId w:val="0"/>
        </w:numPr>
        <w:shd w:val="clear" w:color="auto" w:fill="auto"/>
        <w:adjustRightInd w:val="0"/>
        <w:snapToGrid w:val="0"/>
        <w:spacing w:before="120" w:after="120" w:line="360" w:lineRule="auto"/>
        <w:ind w:firstLine="480" w:firstLineChars="20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在合同生效以及具备实施条件后7个工作日内，支付合同价</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0%的预付款；</w:t>
      </w:r>
      <w:r>
        <w:rPr>
          <w:rFonts w:hint="eastAsia" w:hAnsi="宋体" w:cs="宋体"/>
          <w:color w:val="auto"/>
          <w:sz w:val="24"/>
          <w:szCs w:val="24"/>
          <w:highlight w:val="none"/>
          <w:lang w:val="en-US" w:eastAsia="zh-CN"/>
        </w:rPr>
        <w:t>履约期限满后，</w:t>
      </w:r>
      <w:r>
        <w:rPr>
          <w:rFonts w:hint="eastAsia" w:ascii="宋体" w:hAnsi="宋体" w:eastAsia="宋体" w:cs="宋体"/>
          <w:color w:val="auto"/>
          <w:sz w:val="24"/>
          <w:szCs w:val="24"/>
          <w:highlight w:val="none"/>
          <w:lang w:val="en-US" w:eastAsia="zh-CN"/>
        </w:rPr>
        <w:t>采购人</w:t>
      </w:r>
      <w:r>
        <w:rPr>
          <w:rFonts w:hint="eastAsia" w:hAnsi="宋体" w:cs="宋体"/>
          <w:color w:val="auto"/>
          <w:sz w:val="24"/>
          <w:szCs w:val="24"/>
          <w:highlight w:val="none"/>
          <w:lang w:val="en-US" w:eastAsia="zh-CN"/>
        </w:rPr>
        <w:t>结合每季度考核情况，支付全部合同款项。</w:t>
      </w:r>
    </w:p>
    <w:p>
      <w:pPr>
        <w:adjustRightInd w:val="0"/>
        <w:spacing w:line="360" w:lineRule="auto"/>
        <w:ind w:firstLine="480" w:firstLineChars="200"/>
        <w:rPr>
          <w:rFonts w:hint="eastAsia"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在收款之前，应向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提供等额、合法、有效的发票，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凭发票付款。如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未按约定提供发票的，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有权拒绝付款，直至收到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提交的相应发票为止，在此情况下，</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不承担逾期付款违约责任。</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合同金额</w:t>
      </w:r>
    </w:p>
    <w:p>
      <w:pPr>
        <w:spacing w:line="360" w:lineRule="auto"/>
        <w:ind w:firstLine="480" w:firstLineChars="200"/>
        <w:rPr>
          <w:rFonts w:ascii="仿宋_GB2312" w:hAnsi="仿宋_GB2312" w:cs="仿宋_GB2312"/>
          <w:bCs/>
          <w:color w:val="000000"/>
          <w:sz w:val="24"/>
        </w:rPr>
      </w:pPr>
      <w:r>
        <w:rPr>
          <w:rFonts w:hint="eastAsia" w:ascii="仿宋_GB2312" w:hAnsi="仿宋_GB2312" w:cs="仿宋_GB2312"/>
          <w:bCs/>
          <w:color w:val="000000"/>
          <w:sz w:val="24"/>
        </w:rPr>
        <w:t>本合同金额为人民币（大写）：________元（￥_______元）。</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违约责任</w:t>
      </w:r>
    </w:p>
    <w:p>
      <w:pPr>
        <w:widowControl/>
        <w:spacing w:line="360" w:lineRule="auto"/>
        <w:ind w:firstLine="480" w:firstLineChars="200"/>
        <w:jc w:val="left"/>
        <w:rPr>
          <w:rFonts w:ascii="仿宋_GB2312" w:hAnsi="仿宋_GB2312" w:cs="仿宋_GB2312"/>
          <w:color w:val="000000"/>
          <w:sz w:val="24"/>
          <w:szCs w:val="24"/>
        </w:rPr>
      </w:pPr>
      <w:r>
        <w:rPr>
          <w:rFonts w:hint="eastAsia" w:ascii="仿宋_GB2312" w:hAnsi="仿宋_GB2312" w:cs="仿宋_GB2312"/>
          <w:color w:val="000000"/>
          <w:sz w:val="24"/>
        </w:rPr>
        <w:t>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w:t>
      </w:r>
      <w:r>
        <w:rPr>
          <w:rFonts w:hint="eastAsia" w:ascii="仿宋_GB2312" w:hAnsi="仿宋_GB2312" w:cs="仿宋_GB2312"/>
          <w:color w:val="000000"/>
          <w:sz w:val="24"/>
          <w:szCs w:val="24"/>
        </w:rPr>
        <w:t>乙方继续承担赔偿责任。</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税费</w:t>
      </w:r>
    </w:p>
    <w:p>
      <w:pPr>
        <w:snapToGrid w:val="0"/>
        <w:spacing w:line="360" w:lineRule="auto"/>
        <w:ind w:firstLine="480" w:firstLineChars="200"/>
        <w:rPr>
          <w:rFonts w:ascii="仿宋_GB2312" w:hAnsi="仿宋_GB2312"/>
          <w:color w:val="000000"/>
          <w:sz w:val="24"/>
          <w:szCs w:val="24"/>
        </w:rPr>
      </w:pPr>
      <w:r>
        <w:rPr>
          <w:rFonts w:hint="eastAsia" w:ascii="仿宋_GB2312" w:hAnsi="仿宋_GB2312"/>
          <w:color w:val="000000"/>
          <w:sz w:val="24"/>
          <w:szCs w:val="24"/>
        </w:rPr>
        <w:t>本合同执行中相关的一切税费均由乙方负担。</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质量保证及售后服务</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1、乙方应按采购文件规定向甲方提供服务。</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2、乙方提供的服务成果在服务质量保质期内发生争议的，乙方应负责免费提供后续服务。对达不到要求者，根据实际情况，经双方协商，可按以下办法处理：</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(1)重做：由乙方承担所发生的全部费用。</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(2)贬值处理：由甲乙双方合议定价。</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(3)解除合同。</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3.如在服务过程中发生问题，乙方在接到甲方通知后在 4 小时内到达甲方现场。</w:t>
      </w:r>
    </w:p>
    <w:p>
      <w:pPr>
        <w:pStyle w:val="13"/>
        <w:snapToGrid w:val="0"/>
        <w:spacing w:line="360" w:lineRule="auto"/>
        <w:ind w:firstLine="480" w:firstLineChars="200"/>
        <w:rPr>
          <w:rFonts w:hAnsi="仿宋_GB2312"/>
          <w:bCs/>
          <w:color w:val="000000"/>
          <w:sz w:val="24"/>
          <w:szCs w:val="24"/>
        </w:rPr>
      </w:pPr>
      <w:r>
        <w:rPr>
          <w:rFonts w:hint="eastAsia" w:hAnsi="仿宋_GB2312"/>
          <w:bCs/>
          <w:color w:val="000000"/>
          <w:sz w:val="24"/>
          <w:szCs w:val="24"/>
        </w:rPr>
        <w:t>4.在服务质量保证期内，乙方应对出现的质量及安全问题负责处理解决并承担一切费用。</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不可抗力事件处理</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1.在合同有效期内，任何一方因不可抗力事件导致不能履行合同，则合同履行期可延长，其延长期与不可抗力影响期相同。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2.不可抗力事件发生后，应立即通知对方，并寄送有关权威机构出具的证明。</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3.不可抗力事件延续120天以上，双方应通过友好协商，确定是否继续履行合同。</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诉讼</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 xml:space="preserve"> 双方在执行合同中所发生的一切争议，应通过协商解决。如协商不成，可向甲方所在地法院起诉。</w:t>
      </w:r>
    </w:p>
    <w:p>
      <w:pPr>
        <w:pStyle w:val="5"/>
        <w:numPr>
          <w:ilvl w:val="0"/>
          <w:numId w:val="2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合同生效及其它</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1. 合同执行中涉及采购资金和采购内容修改或补充的，须经审批，并签书面补充协议备案，方可作为主合同不可分割的一部分。</w:t>
      </w:r>
    </w:p>
    <w:p>
      <w:pPr>
        <w:widowControl/>
        <w:spacing w:line="360" w:lineRule="auto"/>
        <w:ind w:firstLine="480"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2.未经甲方同意，乙方不得在合同期限内将本项目转包。</w:t>
      </w:r>
    </w:p>
    <w:p>
      <w:pPr>
        <w:pStyle w:val="13"/>
        <w:snapToGrid w:val="0"/>
        <w:spacing w:line="360" w:lineRule="auto"/>
        <w:ind w:firstLine="480" w:firstLineChars="200"/>
        <w:rPr>
          <w:rFonts w:hAnsi="仿宋_GB2312"/>
          <w:color w:val="000000"/>
          <w:sz w:val="24"/>
          <w:szCs w:val="24"/>
        </w:rPr>
      </w:pPr>
      <w:r>
        <w:rPr>
          <w:rFonts w:hint="eastAsia" w:hAnsi="仿宋_GB2312"/>
          <w:color w:val="000000"/>
          <w:sz w:val="24"/>
          <w:szCs w:val="24"/>
        </w:rPr>
        <w:t>3.合同期间，乙方所发生或遭遇的一切事故或其它风险，乙方自负，甲方概不负责。</w:t>
      </w:r>
    </w:p>
    <w:p>
      <w:pPr>
        <w:pStyle w:val="13"/>
        <w:snapToGrid w:val="0"/>
        <w:spacing w:line="360" w:lineRule="auto"/>
        <w:ind w:firstLine="480" w:firstLineChars="200"/>
        <w:rPr>
          <w:rFonts w:hint="eastAsia" w:hAnsi="仿宋_GB2312"/>
          <w:color w:val="000000"/>
          <w:sz w:val="24"/>
          <w:szCs w:val="24"/>
        </w:rPr>
      </w:pPr>
      <w:r>
        <w:rPr>
          <w:rFonts w:hint="eastAsia" w:hAnsi="仿宋_GB2312"/>
          <w:color w:val="000000"/>
          <w:sz w:val="24"/>
          <w:szCs w:val="24"/>
        </w:rPr>
        <w:t>4.本合同未尽事宜，遵照《</w:t>
      </w:r>
      <w:r>
        <w:rPr>
          <w:rFonts w:hint="eastAsia" w:ascii="仿宋_GB2312" w:hAnsi="仿宋_GB2312" w:cs="仿宋_GB2312"/>
          <w:color w:val="000000"/>
          <w:sz w:val="24"/>
        </w:rPr>
        <w:t>中华人民共和国民法典</w:t>
      </w:r>
      <w:r>
        <w:rPr>
          <w:rFonts w:hint="eastAsia" w:hAnsi="仿宋_GB2312"/>
          <w:color w:val="000000"/>
          <w:sz w:val="24"/>
          <w:szCs w:val="24"/>
        </w:rPr>
        <w:t>》有关条文执行。</w:t>
      </w:r>
    </w:p>
    <w:p>
      <w:pPr>
        <w:pStyle w:val="13"/>
        <w:snapToGrid w:val="0"/>
        <w:spacing w:line="360" w:lineRule="auto"/>
        <w:ind w:firstLine="480" w:firstLineChars="200"/>
        <w:rPr>
          <w:rFonts w:hint="eastAsia" w:hAnsi="仿宋_GB2312"/>
          <w:color w:val="000000"/>
        </w:rPr>
      </w:pPr>
      <w:r>
        <w:rPr>
          <w:rFonts w:hint="eastAsia" w:hAnsi="仿宋_GB2312"/>
          <w:color w:val="000000"/>
          <w:sz w:val="24"/>
          <w:szCs w:val="24"/>
          <w:lang w:val="en-US" w:eastAsia="zh-CN"/>
        </w:rPr>
        <w:t>5.本项目货物如涉及柴油动力移动源，柴油动力移动源应当符合低排放要求。</w:t>
      </w:r>
    </w:p>
    <w:p>
      <w:pPr>
        <w:spacing w:line="360" w:lineRule="auto"/>
        <w:ind w:firstLine="482" w:firstLineChars="200"/>
        <w:jc w:val="left"/>
        <w:rPr>
          <w:rFonts w:ascii="仿宋_GB2312" w:hAnsi="仿宋_GB2312" w:cs="仿宋_GB2312"/>
          <w:b/>
          <w:color w:val="000000"/>
          <w:sz w:val="24"/>
        </w:rPr>
      </w:pPr>
      <w:r>
        <w:rPr>
          <w:rFonts w:hint="eastAsia" w:ascii="仿宋_GB2312" w:hAnsi="仿宋_GB2312" w:cs="仿宋_GB2312"/>
          <w:b/>
          <w:color w:val="000000"/>
          <w:sz w:val="24"/>
          <w:lang w:val="en-US" w:eastAsia="zh-CN"/>
        </w:rPr>
        <w:t>6</w:t>
      </w:r>
      <w:r>
        <w:rPr>
          <w:rFonts w:hint="eastAsia" w:ascii="仿宋_GB2312" w:hAnsi="仿宋_GB2312" w:cs="仿宋_GB2312"/>
          <w:b/>
          <w:color w:val="000000"/>
          <w:sz w:val="24"/>
        </w:rPr>
        <w:t xml:space="preserve"> 本合同一式</w:t>
      </w:r>
      <w:r>
        <w:rPr>
          <w:rFonts w:hint="eastAsia" w:ascii="仿宋_GB2312" w:hAnsi="仿宋_GB2312" w:cs="仿宋_GB2312"/>
          <w:b/>
          <w:color w:val="000000"/>
          <w:sz w:val="24"/>
          <w:u w:val="single"/>
        </w:rPr>
        <w:t xml:space="preserve">　　　 </w:t>
      </w:r>
      <w:r>
        <w:rPr>
          <w:rFonts w:hint="eastAsia" w:ascii="仿宋_GB2312" w:hAnsi="仿宋_GB2312" w:cs="仿宋_GB2312"/>
          <w:b/>
          <w:color w:val="000000"/>
          <w:sz w:val="24"/>
        </w:rPr>
        <w:t>份，其中正本两份，采购人和中标人各执一份，并由采购人在30日内做好政采云平台网上合同创建及备案。</w:t>
      </w:r>
    </w:p>
    <w:tbl>
      <w:tblPr>
        <w:tblStyle w:val="26"/>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甲方单位</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（盖章）</w:t>
            </w: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乙方单位</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代表签名</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代表签名</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地址</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地址</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电话</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电话</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开户银行</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开户银行</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lang w:val="en-US" w:eastAsia="zh-CN"/>
              </w:rPr>
              <w:t>账号</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lang w:val="en-US" w:eastAsia="zh-CN"/>
              </w:rPr>
              <w:t>账号</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bl>
    <w:p>
      <w:pPr>
        <w:spacing w:line="336" w:lineRule="auto"/>
        <w:ind w:firstLine="723" w:firstLineChars="300"/>
        <w:jc w:val="both"/>
        <w:rPr>
          <w:rFonts w:hint="eastAsia" w:ascii="宋体" w:hAnsi="宋体" w:eastAsia="宋体" w:cs="宋体"/>
          <w:color w:val="auto"/>
          <w:sz w:val="24"/>
          <w:szCs w:val="24"/>
        </w:rPr>
      </w:pPr>
      <w:r>
        <w:rPr>
          <w:rFonts w:hint="eastAsia" w:ascii="宋体" w:hAnsi="宋体" w:eastAsia="宋体" w:cs="宋体"/>
          <w:b/>
          <w:color w:val="auto"/>
          <w:sz w:val="24"/>
          <w:szCs w:val="24"/>
        </w:rPr>
        <w:br w:type="page"/>
      </w:r>
    </w:p>
    <w:p>
      <w:pPr>
        <w:rPr>
          <w:color w:val="auto"/>
        </w:rPr>
      </w:pPr>
    </w:p>
    <w:p>
      <w:pPr>
        <w:pStyle w:val="5"/>
        <w:jc w:val="center"/>
        <w:rPr>
          <w:rFonts w:cs="Times New Roman"/>
          <w:color w:val="auto"/>
          <w:sz w:val="36"/>
          <w:szCs w:val="36"/>
        </w:rPr>
      </w:pPr>
      <w:bookmarkStart w:id="133" w:name="_Toc31834"/>
      <w:bookmarkStart w:id="134" w:name="_Toc4669"/>
      <w:bookmarkStart w:id="135" w:name="_Toc21169"/>
      <w:bookmarkStart w:id="136" w:name="_Toc7690"/>
      <w:r>
        <w:rPr>
          <w:rFonts w:hint="eastAsia" w:cs="宋体"/>
          <w:color w:val="auto"/>
          <w:sz w:val="36"/>
          <w:szCs w:val="36"/>
        </w:rPr>
        <w:t>第六部分</w:t>
      </w:r>
      <w:r>
        <w:rPr>
          <w:color w:val="auto"/>
          <w:sz w:val="36"/>
          <w:szCs w:val="36"/>
        </w:rPr>
        <w:t xml:space="preserve"> </w:t>
      </w:r>
      <w:r>
        <w:rPr>
          <w:rFonts w:hint="eastAsia" w:cs="宋体"/>
          <w:color w:val="auto"/>
          <w:sz w:val="36"/>
          <w:szCs w:val="36"/>
        </w:rPr>
        <w:t>应提交的有关格式范例</w:t>
      </w:r>
      <w:bookmarkEnd w:id="133"/>
      <w:bookmarkEnd w:id="134"/>
      <w:bookmarkEnd w:id="135"/>
      <w:bookmarkEnd w:id="136"/>
    </w:p>
    <w:p>
      <w:pPr>
        <w:spacing w:line="360" w:lineRule="auto"/>
        <w:ind w:firstLine="480" w:firstLineChars="200"/>
        <w:outlineLvl w:val="9"/>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供应商按照以下格式编制响应文件，</w:t>
      </w:r>
      <w:r>
        <w:rPr>
          <w:rFonts w:hint="eastAsia" w:ascii="宋体" w:hAnsi="宋体" w:cs="宋体"/>
          <w:b/>
          <w:bCs/>
          <w:color w:val="auto"/>
          <w:sz w:val="24"/>
          <w:szCs w:val="24"/>
        </w:rPr>
        <w:t>“资格文件”、“商务技术文件”、“报价文件”须分</w:t>
      </w:r>
      <w:r>
        <w:rPr>
          <w:rFonts w:ascii="宋体" w:hAnsi="宋体" w:cs="宋体"/>
          <w:b/>
          <w:bCs/>
          <w:color w:val="auto"/>
          <w:sz w:val="24"/>
          <w:szCs w:val="24"/>
        </w:rPr>
        <w:t>3</w:t>
      </w:r>
      <w:r>
        <w:rPr>
          <w:rFonts w:hint="eastAsia" w:ascii="宋体" w:hAnsi="宋体" w:cs="宋体"/>
          <w:b/>
          <w:bCs/>
          <w:color w:val="auto"/>
          <w:sz w:val="24"/>
          <w:szCs w:val="24"/>
        </w:rPr>
        <w:t>个</w:t>
      </w:r>
      <w:r>
        <w:rPr>
          <w:rFonts w:ascii="宋体" w:hAnsi="宋体" w:cs="宋体"/>
          <w:b/>
          <w:bCs/>
          <w:color w:val="auto"/>
          <w:sz w:val="24"/>
          <w:szCs w:val="24"/>
        </w:rPr>
        <w:t>PDF</w:t>
      </w:r>
      <w:r>
        <w:rPr>
          <w:rFonts w:hint="eastAsia" w:ascii="宋体" w:hAnsi="宋体" w:cs="宋体"/>
          <w:b/>
          <w:bCs/>
          <w:color w:val="auto"/>
          <w:sz w:val="24"/>
          <w:szCs w:val="24"/>
        </w:rPr>
        <w:t>格式分别导入。</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outlineLvl w:val="1"/>
        <w:rPr>
          <w:rFonts w:ascii="宋体"/>
          <w:b/>
          <w:bCs/>
          <w:color w:val="auto"/>
          <w:sz w:val="36"/>
          <w:szCs w:val="36"/>
        </w:rPr>
      </w:pPr>
      <w:r>
        <w:rPr>
          <w:rFonts w:ascii="宋体"/>
          <w:b/>
          <w:bCs/>
          <w:color w:val="auto"/>
          <w:sz w:val="24"/>
          <w:szCs w:val="24"/>
        </w:rPr>
        <w:br w:type="page"/>
      </w:r>
      <w:bookmarkStart w:id="137" w:name="_Toc1492"/>
      <w:bookmarkStart w:id="138" w:name="_Toc6473"/>
      <w:r>
        <w:rPr>
          <w:rFonts w:hint="eastAsia" w:ascii="宋体" w:hAnsi="宋体" w:cs="宋体"/>
          <w:b/>
          <w:bCs/>
          <w:color w:val="auto"/>
          <w:sz w:val="36"/>
          <w:szCs w:val="36"/>
        </w:rPr>
        <w:t>资格文件部分</w:t>
      </w:r>
      <w:bookmarkEnd w:id="137"/>
      <w:bookmarkEnd w:id="138"/>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hint="eastAsia" w:ascii="宋体" w:hAnsi="宋体" w:cs="宋体"/>
          <w:b/>
          <w:bCs/>
          <w:color w:val="auto"/>
          <w:sz w:val="36"/>
          <w:szCs w:val="36"/>
        </w:rPr>
        <w:t>目录</w:t>
      </w:r>
    </w:p>
    <w:p>
      <w:pPr>
        <w:spacing w:line="360" w:lineRule="auto"/>
        <w:ind w:firstLine="480" w:firstLineChars="200"/>
        <w:outlineLvl w:val="1"/>
        <w:rPr>
          <w:rFonts w:ascii="宋体"/>
          <w:color w:val="auto"/>
          <w:sz w:val="24"/>
          <w:szCs w:val="24"/>
        </w:rPr>
      </w:pPr>
      <w:bookmarkStart w:id="139" w:name="_Toc32507"/>
      <w:bookmarkStart w:id="140" w:name="_Toc32046"/>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）法定代表人授权书；（格式见附件）</w:t>
      </w:r>
      <w:bookmarkEnd w:id="139"/>
      <w:bookmarkEnd w:id="140"/>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）营业执照</w:t>
      </w:r>
      <w:r>
        <w:rPr>
          <w:rFonts w:ascii="宋体" w:hAnsi="宋体" w:cs="宋体"/>
          <w:color w:val="auto"/>
          <w:sz w:val="24"/>
          <w:szCs w:val="24"/>
        </w:rPr>
        <w:t>(</w:t>
      </w:r>
      <w:r>
        <w:rPr>
          <w:rFonts w:hint="eastAsia" w:ascii="宋体" w:hAnsi="宋体" w:cs="宋体"/>
          <w:color w:val="auto"/>
          <w:sz w:val="24"/>
          <w:szCs w:val="24"/>
        </w:rPr>
        <w:t>或事业法人登记证或其他工商等登记证明材料</w:t>
      </w:r>
      <w:r>
        <w:rPr>
          <w:rFonts w:ascii="宋体" w:hAnsi="宋体" w:cs="宋体"/>
          <w:color w:val="auto"/>
          <w:sz w:val="24"/>
          <w:szCs w:val="24"/>
        </w:rPr>
        <w:t>)</w:t>
      </w:r>
      <w:r>
        <w:rPr>
          <w:rFonts w:hint="eastAsia" w:ascii="宋体" w:hAnsi="宋体" w:cs="宋体"/>
          <w:color w:val="auto"/>
          <w:sz w:val="24"/>
          <w:szCs w:val="24"/>
        </w:rPr>
        <w:t>复印件、税务登记证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）具有履行合同所必需的产品和专业技术能力的承诺函；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）投标人承诺函（格式见附件）；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）中小企业声明函（格式见附件）；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（6）残疾人福利性单位声明函(如有)（格式见附件）；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（7）监狱企业证明文件(如有)（格式见附件）。</w:t>
      </w:r>
    </w:p>
    <w:p>
      <w:pPr>
        <w:pStyle w:val="2"/>
        <w:ind w:firstLine="486"/>
        <w:rPr>
          <w:rFonts w:cs="Times New Roman"/>
          <w:color w:val="auto"/>
        </w:rPr>
      </w:pPr>
    </w:p>
    <w:p>
      <w:pPr>
        <w:pStyle w:val="2"/>
        <w:ind w:firstLine="486"/>
        <w:rPr>
          <w:rFonts w:cs="Times New Roman"/>
          <w:color w:val="auto"/>
        </w:rPr>
      </w:pPr>
    </w:p>
    <w:p>
      <w:pPr>
        <w:rPr>
          <w:rFonts w:ascii="宋体"/>
          <w:color w:val="auto"/>
        </w:rPr>
      </w:pPr>
      <w:r>
        <w:rPr>
          <w:rFonts w:ascii="宋体"/>
          <w:color w:val="auto"/>
        </w:rPr>
        <w:br w:type="page"/>
      </w:r>
      <w:bookmarkStart w:id="141" w:name="_Toc24699"/>
    </w:p>
    <w:p>
      <w:pPr>
        <w:rPr>
          <w:b/>
          <w:bCs/>
          <w:color w:val="auto"/>
          <w:sz w:val="24"/>
          <w:szCs w:val="24"/>
        </w:rPr>
      </w:pPr>
      <w:r>
        <w:rPr>
          <w:rFonts w:hint="eastAsia" w:cs="宋体"/>
          <w:b/>
          <w:bCs/>
          <w:color w:val="auto"/>
          <w:sz w:val="24"/>
          <w:szCs w:val="24"/>
        </w:rPr>
        <w:t>附件一：</w:t>
      </w:r>
    </w:p>
    <w:p>
      <w:pPr>
        <w:spacing w:line="360" w:lineRule="auto"/>
        <w:jc w:val="center"/>
        <w:rPr>
          <w:rFonts w:ascii="宋体"/>
          <w:b/>
          <w:bCs/>
          <w:color w:val="auto"/>
          <w:sz w:val="32"/>
          <w:szCs w:val="32"/>
        </w:rPr>
      </w:pPr>
      <w:r>
        <w:rPr>
          <w:rFonts w:hint="eastAsia" w:ascii="宋体" w:hAnsi="宋体" w:cs="宋体"/>
          <w:b/>
          <w:bCs/>
          <w:color w:val="auto"/>
          <w:sz w:val="32"/>
          <w:szCs w:val="32"/>
        </w:rPr>
        <w:t>法定代表人授权书</w:t>
      </w:r>
      <w:bookmarkEnd w:id="141"/>
    </w:p>
    <w:p>
      <w:pPr>
        <w:pStyle w:val="7"/>
        <w:spacing w:line="360" w:lineRule="auto"/>
        <w:rPr>
          <w:rFonts w:ascii="宋体"/>
          <w:color w:val="auto"/>
        </w:rPr>
      </w:pPr>
    </w:p>
    <w:p>
      <w:pPr>
        <w:spacing w:line="360" w:lineRule="auto"/>
        <w:ind w:firstLine="480" w:firstLineChars="200"/>
        <w:rPr>
          <w:rFonts w:ascii="宋体"/>
          <w:color w:val="auto"/>
          <w:sz w:val="24"/>
          <w:szCs w:val="24"/>
        </w:rPr>
      </w:pPr>
      <w:r>
        <w:rPr>
          <w:rFonts w:hint="eastAsia" w:ascii="宋体" w:hAnsi="宋体" w:cs="宋体"/>
          <w:color w:val="auto"/>
          <w:sz w:val="24"/>
          <w:lang w:eastAsia="zh-CN"/>
        </w:rPr>
        <w:t>绍兴市上虞区市场监督管理局</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浙江省成套工程有限公司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u w:val="single"/>
        </w:rPr>
        <w:t xml:space="preserve">  </w:t>
      </w:r>
      <w:r>
        <w:rPr>
          <w:rFonts w:hint="eastAsia" w:ascii="宋体" w:hAnsi="宋体" w:cs="宋体"/>
          <w:color w:val="auto"/>
          <w:sz w:val="24"/>
          <w:szCs w:val="24"/>
          <w:u w:val="single"/>
        </w:rPr>
        <w:t>（供应商全称）</w:t>
      </w:r>
      <w:r>
        <w:rPr>
          <w:rFonts w:ascii="宋体" w:hAnsi="宋体" w:cs="宋体"/>
          <w:color w:val="auto"/>
          <w:sz w:val="24"/>
          <w:szCs w:val="24"/>
          <w:u w:val="single"/>
        </w:rPr>
        <w:t xml:space="preserve"> </w:t>
      </w:r>
      <w:r>
        <w:rPr>
          <w:rFonts w:hint="eastAsia" w:ascii="宋体" w:hAnsi="宋体" w:cs="宋体"/>
          <w:color w:val="auto"/>
          <w:sz w:val="24"/>
          <w:szCs w:val="24"/>
        </w:rPr>
        <w:t>法定代表人</w:t>
      </w:r>
      <w:r>
        <w:rPr>
          <w:rFonts w:ascii="宋体" w:hAnsi="宋体" w:cs="宋体"/>
          <w:color w:val="auto"/>
          <w:sz w:val="24"/>
          <w:szCs w:val="24"/>
          <w:u w:val="single"/>
        </w:rPr>
        <w:t xml:space="preserve">         </w:t>
      </w:r>
      <w:r>
        <w:rPr>
          <w:rFonts w:hint="eastAsia" w:ascii="宋体" w:hAnsi="宋体" w:cs="宋体"/>
          <w:color w:val="auto"/>
          <w:sz w:val="24"/>
          <w:szCs w:val="24"/>
        </w:rPr>
        <w:t>授权</w:t>
      </w:r>
      <w:r>
        <w:rPr>
          <w:rFonts w:hint="eastAsia" w:ascii="宋体" w:hAnsi="宋体" w:cs="宋体"/>
          <w:color w:val="auto"/>
          <w:sz w:val="24"/>
          <w:szCs w:val="24"/>
          <w:u w:val="single"/>
        </w:rPr>
        <w:t>（授权代表名称）</w:t>
      </w:r>
      <w:r>
        <w:rPr>
          <w:rFonts w:hint="eastAsia" w:ascii="宋体" w:hAnsi="宋体" w:cs="宋体"/>
          <w:color w:val="auto"/>
          <w:sz w:val="24"/>
          <w:szCs w:val="24"/>
        </w:rPr>
        <w:t>为授权代表，参加贵处组织的</w:t>
      </w:r>
      <w:r>
        <w:rPr>
          <w:rFonts w:ascii="宋体" w:hAnsi="宋体" w:cs="宋体"/>
          <w:color w:val="auto"/>
          <w:sz w:val="24"/>
          <w:szCs w:val="24"/>
          <w:u w:val="single"/>
        </w:rPr>
        <w:t xml:space="preserve">         </w:t>
      </w:r>
      <w:r>
        <w:rPr>
          <w:rFonts w:hint="eastAsia" w:ascii="宋体" w:hAnsi="宋体" w:cs="宋体"/>
          <w:color w:val="auto"/>
          <w:sz w:val="24"/>
          <w:szCs w:val="24"/>
        </w:rPr>
        <w:t>项目</w:t>
      </w:r>
      <w:r>
        <w:rPr>
          <w:rFonts w:hint="eastAsia" w:ascii="宋体" w:hAnsi="宋体" w:cs="宋体"/>
          <w:color w:val="auto"/>
          <w:sz w:val="24"/>
          <w:szCs w:val="24"/>
          <w:u w:val="single"/>
        </w:rPr>
        <w:t>（括号内填写招标编号）</w:t>
      </w:r>
      <w:r>
        <w:rPr>
          <w:rFonts w:hint="eastAsia" w:ascii="宋体" w:hAnsi="宋体" w:cs="宋体"/>
          <w:color w:val="auto"/>
          <w:sz w:val="24"/>
          <w:szCs w:val="24"/>
        </w:rPr>
        <w:t>，授权处理招投标活动中的一切事宜。</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法定代表人签字：</w:t>
      </w:r>
    </w:p>
    <w:p>
      <w:pPr>
        <w:spacing w:line="360" w:lineRule="auto"/>
        <w:ind w:firstLine="480" w:firstLineChars="200"/>
        <w:rPr>
          <w:rFonts w:ascii="宋体"/>
          <w:color w:val="auto"/>
          <w:sz w:val="24"/>
          <w:szCs w:val="24"/>
        </w:rPr>
      </w:pPr>
      <w:r>
        <w:rPr>
          <w:rFonts w:hint="eastAsia" w:ascii="宋体" w:hAnsi="宋体" w:cs="宋体"/>
          <w:color w:val="auto"/>
          <w:sz w:val="24"/>
          <w:szCs w:val="24"/>
        </w:rPr>
        <w:t>供应商全称：（盖章）</w:t>
      </w:r>
    </w:p>
    <w:p>
      <w:pPr>
        <w:spacing w:line="360" w:lineRule="auto"/>
        <w:ind w:firstLine="480" w:firstLineChars="200"/>
        <w:rPr>
          <w:rFonts w:ascii="宋体"/>
          <w:color w:val="auto"/>
          <w:sz w:val="24"/>
          <w:szCs w:val="24"/>
        </w:rPr>
      </w:pPr>
      <w:r>
        <w:rPr>
          <w:rFonts w:hint="eastAsia" w:ascii="宋体" w:hAnsi="宋体" w:cs="宋体"/>
          <w:color w:val="auto"/>
          <w:sz w:val="24"/>
          <w:szCs w:val="24"/>
        </w:rPr>
        <w:t>日期：</w:t>
      </w:r>
    </w:p>
    <w:p>
      <w:pPr>
        <w:spacing w:line="360" w:lineRule="auto"/>
        <w:ind w:firstLine="480" w:firstLineChars="200"/>
        <w:rPr>
          <w:rFonts w:ascii="宋体"/>
          <w:color w:val="auto"/>
          <w:sz w:val="24"/>
          <w:szCs w:val="24"/>
        </w:rPr>
      </w:pPr>
      <w:r>
        <w:rPr>
          <w:rFonts w:hint="eastAsia" w:ascii="宋体" w:hAnsi="宋体" w:cs="宋体"/>
          <w:color w:val="auto"/>
          <w:sz w:val="24"/>
          <w:szCs w:val="24"/>
        </w:rPr>
        <w:t>附：</w:t>
      </w:r>
    </w:p>
    <w:p>
      <w:pPr>
        <w:spacing w:line="360" w:lineRule="auto"/>
        <w:ind w:firstLine="480" w:firstLineChars="200"/>
        <w:rPr>
          <w:rFonts w:ascii="宋体"/>
          <w:color w:val="auto"/>
          <w:sz w:val="24"/>
          <w:szCs w:val="24"/>
        </w:rPr>
      </w:pPr>
      <w:r>
        <w:rPr>
          <w:rFonts w:hint="eastAsia" w:ascii="宋体" w:hAnsi="宋体" w:cs="宋体"/>
          <w:color w:val="auto"/>
          <w:sz w:val="24"/>
          <w:szCs w:val="24"/>
        </w:rPr>
        <w:t>授权代表姓名：</w:t>
      </w:r>
    </w:p>
    <w:p>
      <w:pPr>
        <w:spacing w:line="360" w:lineRule="auto"/>
        <w:ind w:firstLine="480" w:firstLineChars="200"/>
        <w:rPr>
          <w:rFonts w:ascii="宋体"/>
          <w:color w:val="auto"/>
          <w:sz w:val="24"/>
          <w:szCs w:val="24"/>
        </w:rPr>
      </w:pPr>
      <w:r>
        <w:rPr>
          <w:rFonts w:hint="eastAsia" w:ascii="宋体" w:hAnsi="宋体" w:cs="宋体"/>
          <w:color w:val="auto"/>
          <w:sz w:val="24"/>
          <w:szCs w:val="24"/>
        </w:rPr>
        <w:t>职务：</w:t>
      </w:r>
    </w:p>
    <w:p>
      <w:pPr>
        <w:spacing w:line="360" w:lineRule="auto"/>
        <w:ind w:firstLine="480" w:firstLineChars="200"/>
        <w:rPr>
          <w:rFonts w:ascii="宋体"/>
          <w:color w:val="auto"/>
          <w:sz w:val="24"/>
          <w:szCs w:val="24"/>
        </w:rPr>
      </w:pPr>
      <w:r>
        <w:rPr>
          <w:rFonts w:hint="eastAsia" w:ascii="宋体" w:hAnsi="宋体" w:cs="宋体"/>
          <w:color w:val="auto"/>
          <w:sz w:val="24"/>
          <w:szCs w:val="24"/>
        </w:rPr>
        <w:t>详细通讯地址：</w:t>
      </w:r>
    </w:p>
    <w:p>
      <w:pPr>
        <w:spacing w:line="360" w:lineRule="auto"/>
        <w:ind w:firstLine="480" w:firstLineChars="200"/>
        <w:rPr>
          <w:rFonts w:ascii="宋体"/>
          <w:color w:val="auto"/>
          <w:sz w:val="24"/>
          <w:szCs w:val="24"/>
        </w:rPr>
      </w:pPr>
      <w:r>
        <w:rPr>
          <w:rFonts w:hint="eastAsia" w:ascii="宋体" w:hAnsi="宋体" w:cs="宋体"/>
          <w:color w:val="auto"/>
          <w:sz w:val="24"/>
          <w:szCs w:val="24"/>
        </w:rPr>
        <w:t>传真：</w:t>
      </w:r>
    </w:p>
    <w:p>
      <w:pPr>
        <w:spacing w:line="360" w:lineRule="auto"/>
        <w:ind w:firstLine="480" w:firstLineChars="200"/>
        <w:rPr>
          <w:rFonts w:ascii="宋体"/>
          <w:color w:val="auto"/>
          <w:sz w:val="24"/>
          <w:szCs w:val="24"/>
        </w:rPr>
      </w:pPr>
      <w:r>
        <w:rPr>
          <w:rFonts w:hint="eastAsia" w:ascii="宋体" w:hAnsi="宋体" w:cs="宋体"/>
          <w:color w:val="auto"/>
          <w:sz w:val="24"/>
          <w:szCs w:val="24"/>
        </w:rPr>
        <w:t>电话：</w:t>
      </w:r>
    </w:p>
    <w:p>
      <w:pPr>
        <w:spacing w:line="360" w:lineRule="auto"/>
        <w:ind w:firstLine="480" w:firstLineChars="200"/>
        <w:rPr>
          <w:rFonts w:ascii="宋体"/>
          <w:color w:val="auto"/>
          <w:sz w:val="24"/>
          <w:szCs w:val="24"/>
        </w:rPr>
      </w:pPr>
      <w:r>
        <w:rPr>
          <w:rFonts w:hint="eastAsia" w:ascii="宋体" w:hAnsi="宋体" w:cs="宋体"/>
          <w:color w:val="auto"/>
          <w:sz w:val="24"/>
          <w:szCs w:val="24"/>
        </w:rPr>
        <w:t>邮政编码：</w:t>
      </w:r>
    </w:p>
    <w:p>
      <w:pPr>
        <w:pStyle w:val="13"/>
        <w:snapToGrid w:val="0"/>
        <w:spacing w:line="360" w:lineRule="auto"/>
        <w:rPr>
          <w:rFonts w:hAnsi="宋体" w:cs="Times New Roman"/>
          <w:color w:val="auto"/>
          <w:sz w:val="24"/>
          <w:szCs w:val="24"/>
        </w:rPr>
      </w:pPr>
    </w:p>
    <w:p>
      <w:pPr>
        <w:pStyle w:val="13"/>
        <w:snapToGrid w:val="0"/>
        <w:spacing w:line="360" w:lineRule="auto"/>
        <w:rPr>
          <w:rFonts w:hAnsi="宋体" w:cs="Times New Roman"/>
          <w:color w:val="auto"/>
          <w:sz w:val="24"/>
          <w:szCs w:val="24"/>
        </w:rPr>
      </w:pPr>
    </w:p>
    <w:p>
      <w:pPr>
        <w:pStyle w:val="13"/>
        <w:snapToGrid w:val="0"/>
        <w:spacing w:line="360" w:lineRule="auto"/>
        <w:rPr>
          <w:rFonts w:hAnsi="宋体" w:cs="Times New Roman"/>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附：授权代表身份证复印件（正反面）</w:t>
      </w:r>
    </w:p>
    <w:p>
      <w:pPr>
        <w:spacing w:line="360" w:lineRule="auto"/>
        <w:rPr>
          <w:rFonts w:ascii="宋体"/>
          <w:b/>
          <w:bCs/>
          <w:color w:val="auto"/>
          <w:sz w:val="24"/>
          <w:szCs w:val="24"/>
        </w:rPr>
      </w:pPr>
    </w:p>
    <w:p>
      <w:pPr>
        <w:pStyle w:val="2"/>
        <w:ind w:firstLine="486"/>
        <w:rPr>
          <w:rFonts w:cs="Times New Roman"/>
          <w:color w:val="auto"/>
        </w:rPr>
      </w:pPr>
    </w:p>
    <w:p>
      <w:pPr>
        <w:snapToGrid w:val="0"/>
        <w:spacing w:before="50" w:after="120" w:afterLines="50"/>
        <w:jc w:val="left"/>
        <w:rPr>
          <w:rFonts w:ascii="宋体" w:hAnsi="宋体" w:cs="宋体"/>
          <w:b/>
          <w:bCs/>
          <w:color w:val="auto"/>
          <w:sz w:val="24"/>
          <w:lang w:val="zh-CN"/>
        </w:rPr>
      </w:pPr>
      <w:r>
        <w:rPr>
          <w:rFonts w:ascii="宋体"/>
          <w:b/>
          <w:bCs/>
          <w:color w:val="auto"/>
          <w:sz w:val="24"/>
          <w:szCs w:val="24"/>
        </w:rPr>
        <w:br w:type="page"/>
      </w:r>
      <w:r>
        <w:rPr>
          <w:rFonts w:hint="eastAsia" w:ascii="宋体" w:hAnsi="宋体" w:cs="宋体"/>
          <w:b/>
          <w:bCs/>
          <w:color w:val="auto"/>
          <w:sz w:val="24"/>
          <w:lang w:val="zh-CN"/>
        </w:rPr>
        <w:t>附件二：</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 标 人 承 诺 函</w:t>
      </w:r>
    </w:p>
    <w:p>
      <w:pPr>
        <w:rPr>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绍兴市上虞区市场监督管理局</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浙江省成套工程有限公司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1、我方已详细审查全部招标文件，同意招标文件的各项要求。</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60" w:lineRule="auto"/>
        <w:ind w:firstLine="480" w:firstLineChars="200"/>
        <w:rPr>
          <w:rFonts w:ascii="宋体" w:hAnsi="宋体" w:cs="宋体"/>
          <w:color w:val="auto"/>
          <w:sz w:val="24"/>
        </w:rPr>
      </w:pPr>
      <w:r>
        <w:rPr>
          <w:rFonts w:hint="eastAsia" w:ascii="宋体" w:hAnsi="宋体" w:cs="宋体"/>
          <w:color w:val="auto"/>
          <w:sz w:val="24"/>
        </w:rPr>
        <w:t>3、若中标，我方将按招标文件规定履行合同责任和义务。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rPr>
      </w:pPr>
      <w:r>
        <w:rPr>
          <w:rFonts w:hint="eastAsia" w:ascii="宋体" w:hAnsi="宋体" w:cs="宋体"/>
          <w:color w:val="auto"/>
          <w:sz w:val="24"/>
        </w:rPr>
        <w:t>5、投标文件自开标日起有效期为90天。</w:t>
      </w:r>
    </w:p>
    <w:p>
      <w:pPr>
        <w:spacing w:line="360" w:lineRule="auto"/>
        <w:ind w:firstLine="480" w:firstLineChars="200"/>
        <w:rPr>
          <w:rFonts w:ascii="宋体" w:hAnsi="宋体" w:cs="宋体"/>
          <w:color w:val="auto"/>
          <w:sz w:val="24"/>
        </w:rPr>
      </w:pPr>
      <w:r>
        <w:rPr>
          <w:rFonts w:hint="eastAsia" w:ascii="宋体" w:hAnsi="宋体" w:cs="宋体"/>
          <w:color w:val="auto"/>
          <w:sz w:val="24"/>
        </w:rPr>
        <w:t>6、我方参与本项目前3年内的经营活动中没有重大违法记录；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7、我方通过“信用中国”网站（www.creditchina.gov.cn）、中国政府采购网（www.ccgp.gov.cn）查询，未被列入失信被执行人、重大税收违法案件当事人名单、政府采购严重违法失信行为记录名单。</w:t>
      </w:r>
    </w:p>
    <w:p>
      <w:pPr>
        <w:pStyle w:val="55"/>
        <w:spacing w:before="0"/>
        <w:ind w:firstLine="480"/>
        <w:rPr>
          <w:rFonts w:ascii="宋体" w:hAnsi="宋体" w:cs="宋体"/>
          <w:color w:val="auto"/>
        </w:rPr>
      </w:pPr>
      <w:r>
        <w:rPr>
          <w:rFonts w:hint="eastAsia" w:ascii="宋体" w:hAnsi="宋体" w:cs="宋体"/>
          <w:color w:val="auto"/>
        </w:rPr>
        <w:t>8、具有良好的商业信誉和健全的财务会计制度；</w:t>
      </w:r>
    </w:p>
    <w:p>
      <w:pPr>
        <w:spacing w:line="360" w:lineRule="auto"/>
        <w:ind w:firstLine="480" w:firstLineChars="200"/>
        <w:rPr>
          <w:rFonts w:ascii="宋体" w:hAnsi="宋体" w:cs="宋体"/>
          <w:color w:val="auto"/>
          <w:sz w:val="24"/>
        </w:rPr>
      </w:pPr>
      <w:r>
        <w:rPr>
          <w:rFonts w:hint="eastAsia" w:ascii="宋体" w:hAnsi="宋体" w:cs="宋体"/>
          <w:color w:val="auto"/>
          <w:sz w:val="24"/>
        </w:rPr>
        <w:t>9、具有依法缴纳税收和社会保障资金的良好记录；</w:t>
      </w:r>
    </w:p>
    <w:p>
      <w:pPr>
        <w:spacing w:line="360" w:lineRule="auto"/>
        <w:ind w:firstLine="480" w:firstLineChars="200"/>
        <w:rPr>
          <w:rFonts w:ascii="宋体" w:hAnsi="宋体" w:cs="宋体"/>
          <w:color w:val="auto"/>
          <w:sz w:val="24"/>
        </w:rPr>
      </w:pPr>
      <w:r>
        <w:rPr>
          <w:rFonts w:hint="eastAsia" w:ascii="宋体" w:hAnsi="宋体" w:cs="宋体"/>
          <w:color w:val="auto"/>
          <w:sz w:val="24"/>
        </w:rPr>
        <w:t>10、以上事项如有虚假或隐瞒，我方愿意承担一切后果，并不再寻求任何旨在减轻或免除法律责任的辩解。</w:t>
      </w:r>
    </w:p>
    <w:p>
      <w:pPr>
        <w:spacing w:line="360" w:lineRule="auto"/>
        <w:ind w:firstLine="480" w:firstLineChars="200"/>
        <w:rPr>
          <w:rFonts w:ascii="宋体" w:hAnsi="宋体" w:cs="宋体"/>
          <w:color w:val="auto"/>
          <w:sz w:val="24"/>
        </w:rPr>
      </w:pPr>
    </w:p>
    <w:p>
      <w:pPr>
        <w:pStyle w:val="2"/>
        <w:ind w:left="5000"/>
        <w:rPr>
          <w:color w:val="auto"/>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投标人全称（公章）：</w:t>
      </w:r>
    </w:p>
    <w:p>
      <w:pPr>
        <w:spacing w:line="360" w:lineRule="auto"/>
        <w:rPr>
          <w:rFonts w:ascii="宋体"/>
          <w:b/>
          <w:bCs/>
          <w:color w:val="auto"/>
          <w:sz w:val="36"/>
          <w:szCs w:val="36"/>
        </w:rPr>
      </w:pPr>
    </w:p>
    <w:p>
      <w:pPr>
        <w:pStyle w:val="6"/>
        <w:outlineLvl w:val="9"/>
        <w:rPr>
          <w:color w:val="auto"/>
        </w:rPr>
      </w:pPr>
    </w:p>
    <w:p>
      <w:pPr>
        <w:spacing w:line="360" w:lineRule="auto"/>
        <w:jc w:val="left"/>
        <w:rPr>
          <w:rFonts w:ascii="宋体"/>
          <w:b/>
          <w:bCs/>
          <w:color w:val="auto"/>
          <w:sz w:val="32"/>
          <w:szCs w:val="32"/>
        </w:rPr>
      </w:pPr>
      <w:r>
        <w:rPr>
          <w:rFonts w:hint="eastAsia" w:ascii="宋体" w:hAnsi="宋体" w:cs="宋体"/>
          <w:b/>
          <w:bCs/>
          <w:color w:val="auto"/>
          <w:sz w:val="24"/>
          <w:szCs w:val="24"/>
          <w:lang w:val="zh-CN"/>
        </w:rPr>
        <w:t>附件三：</w:t>
      </w:r>
    </w:p>
    <w:p>
      <w:pPr>
        <w:spacing w:line="360" w:lineRule="auto"/>
        <w:jc w:val="center"/>
        <w:rPr>
          <w:rFonts w:ascii="宋体"/>
          <w:b/>
          <w:bCs/>
          <w:color w:val="auto"/>
          <w:sz w:val="32"/>
          <w:szCs w:val="32"/>
        </w:rPr>
      </w:pPr>
      <w:r>
        <w:rPr>
          <w:rFonts w:hint="eastAsia" w:ascii="宋体" w:hAnsi="宋体" w:cs="宋体"/>
          <w:b/>
          <w:bCs/>
          <w:color w:val="auto"/>
          <w:sz w:val="32"/>
          <w:szCs w:val="32"/>
        </w:rPr>
        <w:t>中小企业声明函</w:t>
      </w:r>
    </w:p>
    <w:p>
      <w:pPr>
        <w:widowControl/>
        <w:snapToGrid w:val="0"/>
        <w:spacing w:line="324" w:lineRule="auto"/>
        <w:ind w:firstLine="480" w:firstLineChars="200"/>
        <w:jc w:val="center"/>
        <w:rPr>
          <w:rFonts w:ascii="宋体"/>
          <w:color w:val="auto"/>
          <w:sz w:val="24"/>
          <w:szCs w:val="24"/>
        </w:rPr>
      </w:pPr>
      <w:r>
        <w:rPr>
          <w:rFonts w:hint="eastAsia" w:ascii="宋体" w:hAnsi="宋体" w:cs="宋体"/>
          <w:color w:val="auto"/>
          <w:sz w:val="24"/>
          <w:szCs w:val="24"/>
        </w:rPr>
        <w:t>【不属于中小企业的无需填写、递交】</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 （财库﹝2020﹞46 号）的规定，本公司（联合体）参加</w:t>
      </w:r>
      <w:r>
        <w:rPr>
          <w:rFonts w:hint="eastAsia" w:ascii="宋体" w:hAnsi="宋体" w:cs="宋体"/>
          <w:color w:val="auto"/>
          <w:sz w:val="24"/>
          <w:szCs w:val="24"/>
          <w:u w:val="single"/>
        </w:rPr>
        <w:t xml:space="preserve"> （采购人名称） </w:t>
      </w:r>
      <w:r>
        <w:rPr>
          <w:rFonts w:hint="eastAsia" w:ascii="宋体" w:hAnsi="宋体" w:cs="宋体"/>
          <w:color w:val="auto"/>
          <w:sz w:val="24"/>
          <w:szCs w:val="24"/>
        </w:rPr>
        <w:t>的</w:t>
      </w:r>
      <w:r>
        <w:rPr>
          <w:rFonts w:hint="eastAsia" w:ascii="宋体" w:hAnsi="宋体" w:cs="宋体"/>
          <w:color w:val="auto"/>
          <w:sz w:val="24"/>
          <w:szCs w:val="24"/>
          <w:u w:val="single"/>
        </w:rPr>
        <w:t xml:space="preserve"> （项目名称）     </w:t>
      </w:r>
      <w:r>
        <w:rPr>
          <w:rFonts w:hint="eastAsia" w:ascii="宋体" w:hAnsi="宋体" w:cs="宋体"/>
          <w:color w:val="auto"/>
          <w:sz w:val="24"/>
          <w:szCs w:val="24"/>
        </w:rPr>
        <w:t>采购活动，服务全部由符合政策要求的中小企业承接。相关企业（含联合体中的中小企业、签订分包意向协议的中小企业）的具体情况如下：</w:t>
      </w:r>
    </w:p>
    <w:p>
      <w:pPr>
        <w:spacing w:line="288" w:lineRule="auto"/>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，属于</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；承建（承接）企业为</w:t>
      </w:r>
      <w:r>
        <w:rPr>
          <w:rFonts w:hint="eastAsia" w:ascii="宋体" w:hAnsi="宋体" w:cs="宋体"/>
          <w:color w:val="auto"/>
          <w:sz w:val="24"/>
          <w:szCs w:val="24"/>
          <w:u w:val="single"/>
        </w:rPr>
        <w:t xml:space="preserve">           （企业名称） </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 ，属于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rPr>
        <w:t xml:space="preserve"> ；</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spacing w:line="288" w:lineRule="auto"/>
        <w:ind w:right="420" w:firstLine="4320" w:firstLineChars="1800"/>
        <w:rPr>
          <w:rFonts w:ascii="宋体" w:hAnsi="宋体" w:cs="宋体"/>
          <w:color w:val="auto"/>
          <w:sz w:val="24"/>
          <w:szCs w:val="24"/>
        </w:rPr>
      </w:pPr>
    </w:p>
    <w:p>
      <w:pPr>
        <w:spacing w:line="288" w:lineRule="auto"/>
        <w:ind w:right="420" w:firstLine="4320" w:firstLineChars="1800"/>
        <w:rPr>
          <w:rFonts w:ascii="宋体" w:hAnsi="宋体" w:cs="宋体"/>
          <w:color w:val="auto"/>
          <w:sz w:val="24"/>
          <w:szCs w:val="24"/>
        </w:rPr>
      </w:pPr>
    </w:p>
    <w:p>
      <w:pPr>
        <w:spacing w:line="288" w:lineRule="auto"/>
        <w:ind w:right="420" w:firstLine="4800" w:firstLineChars="2000"/>
        <w:rPr>
          <w:rFonts w:ascii="宋体" w:hAnsi="宋体" w:cs="宋体"/>
          <w:color w:val="auto"/>
          <w:sz w:val="24"/>
          <w:szCs w:val="24"/>
        </w:rPr>
      </w:pPr>
      <w:r>
        <w:rPr>
          <w:rFonts w:hint="eastAsia" w:ascii="宋体" w:hAnsi="宋体" w:cs="宋体"/>
          <w:color w:val="auto"/>
          <w:sz w:val="24"/>
          <w:szCs w:val="24"/>
        </w:rPr>
        <w:t xml:space="preserve">企业名称（盖章）： </w:t>
      </w:r>
    </w:p>
    <w:p>
      <w:pPr>
        <w:spacing w:line="288" w:lineRule="auto"/>
        <w:ind w:left="3600" w:leftChars="1800" w:firstLine="960" w:firstLineChars="400"/>
        <w:rPr>
          <w:rFonts w:ascii="宋体" w:hAnsi="宋体" w:cs="宋体"/>
          <w:color w:val="auto"/>
          <w:sz w:val="24"/>
          <w:szCs w:val="24"/>
        </w:rPr>
      </w:pPr>
      <w:r>
        <w:rPr>
          <w:rFonts w:hint="eastAsia" w:ascii="宋体" w:hAnsi="宋体" w:cs="宋体"/>
          <w:color w:val="auto"/>
          <w:sz w:val="24"/>
          <w:szCs w:val="24"/>
        </w:rPr>
        <w:t>日期：   年     月     日</w:t>
      </w:r>
    </w:p>
    <w:p>
      <w:pPr>
        <w:pStyle w:val="7"/>
        <w:spacing w:line="288" w:lineRule="auto"/>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color w:val="auto"/>
          <w:sz w:val="24"/>
          <w:szCs w:val="24"/>
        </w:rPr>
      </w:pPr>
    </w:p>
    <w:p>
      <w:pPr>
        <w:pStyle w:val="6"/>
        <w:spacing w:line="360" w:lineRule="auto"/>
        <w:jc w:val="center"/>
        <w:outlineLvl w:val="9"/>
        <w:rPr>
          <w:rFonts w:hAnsi="宋体" w:cs="Times New Roman"/>
          <w:color w:val="auto"/>
          <w:sz w:val="24"/>
          <w:szCs w:val="24"/>
        </w:rPr>
      </w:pPr>
    </w:p>
    <w:p>
      <w:pPr>
        <w:pStyle w:val="6"/>
        <w:spacing w:line="360" w:lineRule="auto"/>
        <w:jc w:val="center"/>
        <w:outlineLvl w:val="9"/>
        <w:rPr>
          <w:rFonts w:hAnsi="宋体" w:cs="Times New Roman"/>
          <w:color w:val="auto"/>
          <w:sz w:val="24"/>
          <w:szCs w:val="24"/>
        </w:rPr>
      </w:pPr>
    </w:p>
    <w:p>
      <w:pPr>
        <w:jc w:val="center"/>
        <w:rPr>
          <w:color w:val="auto"/>
          <w:lang w:val="zh-CN"/>
        </w:rPr>
      </w:pPr>
      <w:bookmarkStart w:id="142" w:name="_Toc30916"/>
      <w:bookmarkStart w:id="143" w:name="_Toc2071"/>
      <w:bookmarkStart w:id="144" w:name="_Toc3295"/>
      <w:r>
        <w:rPr>
          <w:rFonts w:hAnsi="宋体"/>
          <w:color w:val="auto"/>
        </w:rPr>
        <w:br w:type="page"/>
      </w:r>
      <w:bookmarkEnd w:id="142"/>
      <w:bookmarkEnd w:id="143"/>
      <w:bookmarkEnd w:id="144"/>
    </w:p>
    <w:p>
      <w:pPr>
        <w:rPr>
          <w:b/>
          <w:bCs/>
          <w:color w:val="auto"/>
          <w:sz w:val="24"/>
          <w:szCs w:val="24"/>
          <w:lang w:val="zh-CN"/>
        </w:rPr>
      </w:pPr>
      <w:bookmarkStart w:id="145" w:name="_Toc16150"/>
      <w:bookmarkStart w:id="146" w:name="_Toc9715"/>
      <w:bookmarkStart w:id="147" w:name="_Toc25017"/>
      <w:bookmarkStart w:id="148" w:name="_Toc31472"/>
      <w:r>
        <w:rPr>
          <w:rFonts w:hint="eastAsia" w:cs="宋体"/>
          <w:b/>
          <w:bCs/>
          <w:color w:val="auto"/>
          <w:sz w:val="24"/>
          <w:szCs w:val="24"/>
          <w:lang w:val="zh-CN"/>
        </w:rPr>
        <w:t>附件四</w:t>
      </w:r>
      <w:r>
        <w:rPr>
          <w:rFonts w:hint="eastAsia" w:cs="宋体"/>
          <w:b/>
          <w:bCs/>
          <w:color w:val="auto"/>
          <w:sz w:val="24"/>
          <w:szCs w:val="24"/>
        </w:rPr>
        <w:t>：</w:t>
      </w:r>
    </w:p>
    <w:p>
      <w:pPr>
        <w:spacing w:line="360" w:lineRule="auto"/>
        <w:jc w:val="center"/>
        <w:rPr>
          <w:rFonts w:ascii="宋体"/>
          <w:b/>
          <w:bCs/>
          <w:color w:val="auto"/>
          <w:sz w:val="32"/>
          <w:szCs w:val="32"/>
        </w:rPr>
      </w:pPr>
      <w:r>
        <w:rPr>
          <w:rFonts w:hint="eastAsia" w:ascii="宋体" w:hAnsi="宋体" w:cs="宋体"/>
          <w:b/>
          <w:bCs/>
          <w:color w:val="auto"/>
          <w:sz w:val="32"/>
          <w:szCs w:val="32"/>
        </w:rPr>
        <w:t>残疾人福利性单位声明函</w:t>
      </w:r>
      <w:bookmarkEnd w:id="145"/>
      <w:bookmarkEnd w:id="146"/>
      <w:bookmarkEnd w:id="147"/>
      <w:bookmarkEnd w:id="148"/>
    </w:p>
    <w:p>
      <w:pPr>
        <w:widowControl/>
        <w:snapToGrid w:val="0"/>
        <w:spacing w:line="324" w:lineRule="auto"/>
        <w:ind w:firstLine="480" w:firstLineChars="200"/>
        <w:jc w:val="center"/>
        <w:rPr>
          <w:rFonts w:ascii="宋体"/>
          <w:color w:val="auto"/>
          <w:sz w:val="24"/>
          <w:szCs w:val="24"/>
        </w:rPr>
      </w:pPr>
      <w:r>
        <w:rPr>
          <w:rFonts w:hint="eastAsia" w:ascii="宋体" w:hAnsi="宋体" w:cs="宋体"/>
          <w:color w:val="auto"/>
          <w:sz w:val="24"/>
          <w:szCs w:val="24"/>
        </w:rPr>
        <w:t>【不属于残疾人福利性单位的无需填写、递交】</w:t>
      </w:r>
    </w:p>
    <w:p>
      <w:pPr>
        <w:spacing w:line="588" w:lineRule="exact"/>
        <w:rPr>
          <w:rFonts w:ascii="宋体"/>
          <w:b/>
          <w:bCs/>
          <w:color w:val="auto"/>
          <w:spacing w:val="6"/>
          <w:sz w:val="30"/>
          <w:szCs w:val="30"/>
        </w:rPr>
      </w:pPr>
    </w:p>
    <w:p>
      <w:pPr>
        <w:spacing w:line="588" w:lineRule="exact"/>
        <w:ind w:firstLine="480" w:firstLineChars="200"/>
        <w:rPr>
          <w:rFonts w:ascii="宋体"/>
          <w:color w:val="auto"/>
          <w:sz w:val="24"/>
          <w:szCs w:val="24"/>
        </w:rPr>
      </w:pPr>
      <w:r>
        <w:rPr>
          <w:rFonts w:hint="eastAsia" w:ascii="宋体" w:hAnsi="宋体" w:cs="宋体"/>
          <w:color w:val="auto"/>
          <w:sz w:val="24"/>
          <w:szCs w:val="24"/>
        </w:rPr>
        <w:t>本单位郑重声明，根据《财政部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 xml:space="preserve"> 141</w:t>
      </w:r>
      <w:r>
        <w:rPr>
          <w:rFonts w:hint="eastAsia" w:ascii="宋体" w:hAnsi="宋体" w:cs="宋体"/>
          <w:color w:val="auto"/>
          <w:sz w:val="24"/>
          <w:szCs w:val="24"/>
        </w:rPr>
        <w:t>号）的规定，本单位为符合条件的残疾人福利性单位，且本单位参加</w:t>
      </w:r>
      <w:r>
        <w:rPr>
          <w:rFonts w:ascii="宋体" w:hAnsi="宋体" w:cs="宋体"/>
          <w:color w:val="auto"/>
          <w:sz w:val="24"/>
          <w:szCs w:val="24"/>
        </w:rPr>
        <w:t>______</w:t>
      </w:r>
      <w:r>
        <w:rPr>
          <w:rFonts w:hint="eastAsia" w:ascii="宋体" w:hAnsi="宋体" w:cs="宋体"/>
          <w:color w:val="auto"/>
          <w:sz w:val="24"/>
          <w:szCs w:val="24"/>
        </w:rPr>
        <w:t>单位的</w:t>
      </w:r>
      <w:r>
        <w:rPr>
          <w:rFonts w:ascii="宋体" w:hAnsi="宋体" w:cs="宋体"/>
          <w:color w:val="auto"/>
          <w:sz w:val="24"/>
          <w:szCs w:val="24"/>
        </w:rPr>
        <w:t>______</w:t>
      </w:r>
      <w:r>
        <w:rPr>
          <w:rFonts w:hint="eastAsia" w:ascii="宋体" w:hAnsi="宋体" w:cs="宋体"/>
          <w:color w:val="auto"/>
          <w:sz w:val="24"/>
          <w:szCs w:val="24"/>
        </w:rPr>
        <w:t>项目采购活动提供本单位服务，或者提供其他残疾人福利性单位提供的服务。本单位对上述声明的真实性负责。如有虚假，将依法承担相应责任。</w:t>
      </w:r>
    </w:p>
    <w:p>
      <w:pPr>
        <w:pStyle w:val="6"/>
        <w:outlineLvl w:val="9"/>
        <w:rPr>
          <w:rFonts w:cs="Times New Roman"/>
          <w:color w:val="auto"/>
        </w:rPr>
      </w:pPr>
    </w:p>
    <w:p>
      <w:pPr>
        <w:pStyle w:val="7"/>
        <w:rPr>
          <w:color w:val="auto"/>
        </w:rPr>
      </w:pPr>
    </w:p>
    <w:p>
      <w:pPr>
        <w:spacing w:line="588" w:lineRule="exact"/>
        <w:rPr>
          <w:rFonts w:ascii="宋体"/>
          <w:color w:val="auto"/>
          <w:sz w:val="24"/>
          <w:szCs w:val="24"/>
        </w:rPr>
      </w:pP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法定代表人签名（或签名章）：</w:t>
      </w:r>
      <w:r>
        <w:rPr>
          <w:rFonts w:ascii="宋体" w:hAnsi="宋体" w:cs="宋体"/>
          <w:color w:val="auto"/>
          <w:sz w:val="24"/>
          <w:szCs w:val="24"/>
        </w:rPr>
        <w:t xml:space="preserve">                       </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pPr>
        <w:rPr>
          <w:b/>
          <w:bCs/>
          <w:color w:val="auto"/>
          <w:sz w:val="24"/>
          <w:szCs w:val="24"/>
          <w:lang w:val="zh-CN"/>
        </w:rPr>
      </w:pPr>
      <w:bookmarkStart w:id="149" w:name="_Toc2386"/>
      <w:bookmarkStart w:id="150" w:name="_Toc15966"/>
      <w:bookmarkStart w:id="151" w:name="_Toc5441"/>
      <w:bookmarkStart w:id="152" w:name="_Toc24"/>
      <w:r>
        <w:rPr>
          <w:color w:val="auto"/>
          <w:sz w:val="24"/>
          <w:szCs w:val="24"/>
          <w:lang w:val="zh-CN"/>
        </w:rPr>
        <w:br w:type="page"/>
      </w:r>
      <w:r>
        <w:rPr>
          <w:rFonts w:hint="eastAsia" w:cs="宋体"/>
          <w:b/>
          <w:bCs/>
          <w:color w:val="auto"/>
          <w:sz w:val="24"/>
          <w:szCs w:val="24"/>
          <w:lang w:val="zh-CN"/>
        </w:rPr>
        <w:t>附件五</w:t>
      </w:r>
      <w:r>
        <w:rPr>
          <w:rFonts w:hint="eastAsia" w:cs="宋体"/>
          <w:b/>
          <w:bCs/>
          <w:color w:val="auto"/>
          <w:sz w:val="24"/>
          <w:szCs w:val="24"/>
        </w:rPr>
        <w:t>：</w:t>
      </w:r>
    </w:p>
    <w:p>
      <w:pPr>
        <w:spacing w:line="360" w:lineRule="auto"/>
        <w:jc w:val="center"/>
        <w:rPr>
          <w:rFonts w:hint="eastAsia" w:ascii="宋体" w:hAnsi="宋体" w:cs="宋体"/>
          <w:b/>
          <w:bCs/>
          <w:color w:val="auto"/>
          <w:sz w:val="32"/>
          <w:szCs w:val="32"/>
        </w:rPr>
      </w:pPr>
    </w:p>
    <w:p>
      <w:pPr>
        <w:spacing w:line="360" w:lineRule="auto"/>
        <w:jc w:val="center"/>
        <w:rPr>
          <w:rFonts w:ascii="宋体"/>
          <w:b/>
          <w:bCs/>
          <w:color w:val="auto"/>
          <w:sz w:val="32"/>
          <w:szCs w:val="32"/>
        </w:rPr>
      </w:pPr>
      <w:r>
        <w:rPr>
          <w:rFonts w:hint="eastAsia" w:ascii="宋体" w:hAnsi="宋体" w:cs="宋体"/>
          <w:b/>
          <w:bCs/>
          <w:color w:val="auto"/>
          <w:sz w:val="32"/>
          <w:szCs w:val="32"/>
        </w:rPr>
        <w:t>监狱企业证明文件</w:t>
      </w:r>
      <w:bookmarkEnd w:id="149"/>
      <w:bookmarkEnd w:id="150"/>
      <w:bookmarkEnd w:id="151"/>
      <w:bookmarkEnd w:id="152"/>
    </w:p>
    <w:p>
      <w:pPr>
        <w:widowControl/>
        <w:snapToGrid w:val="0"/>
        <w:spacing w:line="360" w:lineRule="auto"/>
        <w:jc w:val="center"/>
        <w:rPr>
          <w:rFonts w:ascii="宋体"/>
          <w:color w:val="auto"/>
          <w:sz w:val="28"/>
          <w:szCs w:val="28"/>
        </w:rPr>
      </w:pPr>
      <w:r>
        <w:rPr>
          <w:rFonts w:hint="eastAsia" w:ascii="宋体" w:hAnsi="宋体" w:cs="宋体"/>
          <w:color w:val="auto"/>
          <w:sz w:val="28"/>
          <w:szCs w:val="28"/>
        </w:rPr>
        <w:t>【不属于监狱企业的无需填写、递交】</w:t>
      </w:r>
    </w:p>
    <w:p>
      <w:pPr>
        <w:widowControl/>
        <w:snapToGrid w:val="0"/>
        <w:spacing w:line="324" w:lineRule="auto"/>
        <w:jc w:val="center"/>
        <w:rPr>
          <w:rFonts w:ascii="宋体"/>
          <w:color w:val="auto"/>
          <w:sz w:val="24"/>
          <w:szCs w:val="24"/>
        </w:rPr>
      </w:pPr>
    </w:p>
    <w:p>
      <w:pPr>
        <w:spacing w:line="588" w:lineRule="exact"/>
        <w:ind w:firstLine="480" w:firstLineChars="200"/>
        <w:rPr>
          <w:rFonts w:ascii="宋体"/>
          <w:color w:val="auto"/>
          <w:sz w:val="24"/>
          <w:szCs w:val="24"/>
        </w:rPr>
      </w:pPr>
    </w:p>
    <w:p>
      <w:pPr>
        <w:adjustRightInd w:val="0"/>
        <w:snapToGrid w:val="0"/>
        <w:spacing w:before="156" w:beforeLines="50" w:line="360" w:lineRule="auto"/>
        <w:ind w:firstLine="480" w:firstLineChars="200"/>
        <w:rPr>
          <w:rFonts w:ascii="宋体"/>
          <w:color w:val="auto"/>
          <w:sz w:val="24"/>
          <w:szCs w:val="24"/>
        </w:rPr>
      </w:pPr>
      <w:r>
        <w:rPr>
          <w:rFonts w:hint="eastAsia" w:ascii="宋体" w:hAnsi="宋体" w:cs="宋体"/>
          <w:color w:val="auto"/>
          <w:sz w:val="24"/>
          <w:szCs w:val="24"/>
        </w:rPr>
        <w:t>监狱企业需提供省级以上的监狱管理局、戒毒管理局（含新疆生产建设兵团）出具的属于监狱企业的证明文件。</w:t>
      </w:r>
      <w:r>
        <w:rPr>
          <w:rFonts w:ascii="宋体" w:hAnsi="宋体" w:cs="宋体"/>
          <w:color w:val="auto"/>
          <w:sz w:val="24"/>
          <w:szCs w:val="24"/>
        </w:rPr>
        <w:t xml:space="preserve">  </w:t>
      </w:r>
    </w:p>
    <w:p>
      <w:pPr>
        <w:pStyle w:val="6"/>
        <w:outlineLvl w:val="9"/>
        <w:rPr>
          <w:rFonts w:cs="Times New Roman"/>
          <w:color w:val="auto"/>
        </w:rPr>
      </w:pPr>
    </w:p>
    <w:p>
      <w:pPr>
        <w:pStyle w:val="7"/>
        <w:rPr>
          <w:color w:val="auto"/>
        </w:rPr>
      </w:pP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法定代表人签名（或签名章）：</w:t>
      </w:r>
      <w:r>
        <w:rPr>
          <w:rFonts w:ascii="宋体" w:hAnsi="宋体" w:cs="宋体"/>
          <w:color w:val="auto"/>
          <w:sz w:val="24"/>
          <w:szCs w:val="24"/>
        </w:rPr>
        <w:t xml:space="preserve">                       </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pPr>
        <w:spacing w:line="360" w:lineRule="auto"/>
        <w:jc w:val="center"/>
        <w:rPr>
          <w:rFonts w:ascii="宋体"/>
          <w:b/>
          <w:bCs/>
          <w:color w:val="auto"/>
          <w:sz w:val="24"/>
          <w:szCs w:val="24"/>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widowControl/>
        <w:jc w:val="left"/>
        <w:rPr>
          <w:rFonts w:ascii="宋体"/>
          <w:b/>
          <w:bCs/>
          <w:color w:val="auto"/>
          <w:sz w:val="24"/>
          <w:szCs w:val="24"/>
        </w:rPr>
      </w:pPr>
    </w:p>
    <w:p>
      <w:pPr>
        <w:spacing w:line="360" w:lineRule="auto"/>
        <w:jc w:val="center"/>
        <w:rPr>
          <w:rFonts w:ascii="宋体"/>
          <w:b/>
          <w:bCs/>
          <w:color w:val="auto"/>
          <w:sz w:val="36"/>
          <w:szCs w:val="36"/>
        </w:rPr>
      </w:pPr>
      <w:r>
        <w:rPr>
          <w:rFonts w:hint="eastAsia" w:ascii="宋体" w:hAnsi="宋体" w:cs="宋体"/>
          <w:b/>
          <w:bCs/>
          <w:color w:val="auto"/>
          <w:sz w:val="36"/>
          <w:szCs w:val="36"/>
        </w:rPr>
        <w:t>商务技术文件</w:t>
      </w:r>
    </w:p>
    <w:p>
      <w:pPr>
        <w:spacing w:line="360" w:lineRule="auto"/>
        <w:jc w:val="center"/>
        <w:rPr>
          <w:rFonts w:ascii="宋体"/>
          <w:b/>
          <w:bCs/>
          <w:color w:val="auto"/>
          <w:sz w:val="36"/>
          <w:szCs w:val="36"/>
        </w:rPr>
      </w:pPr>
    </w:p>
    <w:p>
      <w:pPr>
        <w:pStyle w:val="6"/>
        <w:rPr>
          <w:color w:val="auto"/>
        </w:rPr>
      </w:pPr>
    </w:p>
    <w:p>
      <w:pPr>
        <w:spacing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目录</w:t>
      </w:r>
    </w:p>
    <w:p>
      <w:pPr>
        <w:pStyle w:val="6"/>
        <w:rPr>
          <w:color w:val="auto"/>
        </w:rPr>
      </w:pPr>
    </w:p>
    <w:p>
      <w:pPr>
        <w:pStyle w:val="55"/>
        <w:numPr>
          <w:ilvl w:val="0"/>
          <w:numId w:val="29"/>
        </w:numPr>
        <w:spacing w:before="0" w:line="336" w:lineRule="auto"/>
        <w:ind w:left="420" w:leftChars="0"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55"/>
        <w:numPr>
          <w:ilvl w:val="0"/>
          <w:numId w:val="29"/>
        </w:numPr>
        <w:spacing w:before="0" w:line="336" w:lineRule="auto"/>
        <w:ind w:left="420" w:leftChars="0"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55"/>
        <w:numPr>
          <w:ilvl w:val="0"/>
          <w:numId w:val="29"/>
        </w:numPr>
        <w:spacing w:before="0" w:line="336" w:lineRule="auto"/>
        <w:ind w:left="420" w:leftChars="0" w:firstLine="480"/>
        <w:rPr>
          <w:rFonts w:ascii="宋体"/>
          <w:color w:val="auto"/>
          <w:highlight w:val="none"/>
        </w:rPr>
      </w:pPr>
      <w:r>
        <w:rPr>
          <w:rFonts w:hint="eastAsia" w:ascii="宋体" w:hAnsi="宋体" w:cs="宋体"/>
          <w:color w:val="auto"/>
          <w:highlight w:val="none"/>
        </w:rPr>
        <w:t>磋商项目明细清单（格式见附件）；</w:t>
      </w:r>
    </w:p>
    <w:p>
      <w:pPr>
        <w:pStyle w:val="55"/>
        <w:numPr>
          <w:ilvl w:val="0"/>
          <w:numId w:val="29"/>
        </w:numPr>
        <w:spacing w:before="0" w:line="336" w:lineRule="auto"/>
        <w:ind w:left="420" w:leftChars="0" w:firstLine="480"/>
        <w:rPr>
          <w:rFonts w:hint="eastAsia" w:ascii="宋体" w:hAnsi="宋体" w:cs="宋体"/>
          <w:color w:val="auto"/>
          <w:highlight w:val="none"/>
        </w:rPr>
      </w:pPr>
      <w:r>
        <w:rPr>
          <w:rFonts w:hint="eastAsia" w:ascii="宋体" w:hAnsi="宋体" w:cs="宋体"/>
          <w:color w:val="auto"/>
          <w:highlight w:val="none"/>
        </w:rPr>
        <w:t>技术响应及建议表（格式见附件）；</w:t>
      </w:r>
    </w:p>
    <w:p>
      <w:pPr>
        <w:pStyle w:val="55"/>
        <w:numPr>
          <w:ilvl w:val="0"/>
          <w:numId w:val="29"/>
        </w:numPr>
        <w:spacing w:before="0" w:line="336" w:lineRule="auto"/>
        <w:ind w:left="420" w:leftChars="0" w:firstLine="480"/>
        <w:rPr>
          <w:rFonts w:hint="eastAsia" w:ascii="宋体" w:hAnsi="宋体" w:cs="宋体"/>
          <w:color w:val="auto"/>
          <w:highlight w:val="none"/>
        </w:rPr>
      </w:pPr>
      <w:r>
        <w:rPr>
          <w:rFonts w:hint="eastAsia" w:ascii="宋体" w:hAnsi="宋体" w:cs="宋体"/>
          <w:color w:val="auto"/>
          <w:highlight w:val="none"/>
        </w:rPr>
        <w:t>商务响应表（格式见附件）；</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对本项目的理解</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软件运维方案；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日常保障方案；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数据运维方案；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呼叫中心服务方案；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团队人员；</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应急方案；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质量保证措施；</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验收方案；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实施方案；</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相关著作权；</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企业证书；</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类似项目业绩</w:t>
      </w:r>
      <w:r>
        <w:rPr>
          <w:rFonts w:hint="eastAsia" w:ascii="宋体" w:hAnsi="宋体" w:cs="宋体"/>
          <w:color w:val="auto"/>
          <w:highlight w:val="none"/>
          <w:lang w:eastAsia="zh-CN"/>
        </w:rPr>
        <w:t>；</w:t>
      </w:r>
    </w:p>
    <w:p>
      <w:pPr>
        <w:pStyle w:val="55"/>
        <w:numPr>
          <w:ilvl w:val="0"/>
          <w:numId w:val="29"/>
        </w:numPr>
        <w:spacing w:before="0" w:line="336" w:lineRule="auto"/>
        <w:ind w:left="420" w:leftChars="0" w:firstLine="480"/>
        <w:rPr>
          <w:rFonts w:ascii="宋体"/>
          <w:color w:val="auto"/>
        </w:rPr>
      </w:pPr>
      <w:r>
        <w:rPr>
          <w:rFonts w:hint="eastAsia" w:ascii="宋体" w:hAnsi="宋体" w:cs="宋体"/>
          <w:color w:val="auto"/>
          <w:highlight w:val="none"/>
        </w:rPr>
        <w:t>注：以上内容应与评标办法</w:t>
      </w:r>
      <w:r>
        <w:rPr>
          <w:rFonts w:hint="eastAsia" w:ascii="宋体" w:hAnsi="宋体" w:cs="宋体"/>
          <w:color w:val="auto"/>
        </w:rPr>
        <w:t>中内容具有一致性。</w:t>
      </w:r>
    </w:p>
    <w:p>
      <w:pPr>
        <w:pStyle w:val="13"/>
        <w:spacing w:line="500" w:lineRule="exact"/>
        <w:ind w:firstLine="480" w:firstLineChars="200"/>
        <w:rPr>
          <w:rFonts w:hAnsi="宋体" w:cs="Times New Roman"/>
          <w:color w:val="auto"/>
          <w:sz w:val="24"/>
          <w:szCs w:val="24"/>
        </w:rPr>
      </w:pPr>
    </w:p>
    <w:p>
      <w:pPr>
        <w:rPr>
          <w:rFonts w:hAnsi="宋体" w:cs="Times New Roman"/>
          <w:color w:val="auto"/>
          <w:sz w:val="24"/>
          <w:szCs w:val="24"/>
        </w:rPr>
      </w:pPr>
    </w:p>
    <w:p>
      <w:pPr>
        <w:pStyle w:val="6"/>
        <w:outlineLvl w:val="9"/>
        <w:rPr>
          <w:rFonts w:hAnsi="宋体" w:cs="Times New Roman"/>
          <w:color w:val="auto"/>
          <w:sz w:val="24"/>
          <w:szCs w:val="24"/>
        </w:rPr>
      </w:pPr>
    </w:p>
    <w:p>
      <w:pPr>
        <w:rPr>
          <w:color w:val="auto"/>
        </w:rPr>
      </w:pPr>
    </w:p>
    <w:p>
      <w:pPr>
        <w:rPr>
          <w:rFonts w:ascii="宋体"/>
          <w:color w:val="auto"/>
          <w:sz w:val="28"/>
          <w:szCs w:val="28"/>
        </w:rPr>
      </w:pPr>
    </w:p>
    <w:p>
      <w:pPr>
        <w:rPr>
          <w:rFonts w:ascii="宋体"/>
          <w:color w:val="auto"/>
          <w:sz w:val="28"/>
          <w:szCs w:val="28"/>
        </w:rPr>
      </w:pPr>
    </w:p>
    <w:p>
      <w:pPr>
        <w:snapToGrid w:val="0"/>
        <w:spacing w:before="50" w:after="50"/>
        <w:jc w:val="left"/>
        <w:rPr>
          <w:rFonts w:hint="eastAsia" w:ascii="宋体" w:hAnsi="宋体" w:cs="宋体"/>
          <w:b/>
          <w:bCs/>
          <w:color w:val="auto"/>
          <w:sz w:val="24"/>
          <w:lang w:val="zh-CN"/>
        </w:rPr>
      </w:pPr>
      <w:bookmarkStart w:id="153" w:name="_Toc10131"/>
    </w:p>
    <w:p>
      <w:pPr>
        <w:snapToGrid w:val="0"/>
        <w:spacing w:before="50" w:after="50"/>
        <w:jc w:val="left"/>
        <w:rPr>
          <w:rFonts w:ascii="宋体" w:hAnsi="宋体" w:cs="宋体"/>
          <w:b/>
          <w:bCs/>
          <w:color w:val="auto"/>
          <w:sz w:val="24"/>
          <w:lang w:val="zh-CN"/>
        </w:rPr>
      </w:pPr>
      <w:r>
        <w:rPr>
          <w:rFonts w:hint="eastAsia" w:ascii="宋体" w:hAnsi="宋体" w:cs="宋体"/>
          <w:b/>
          <w:bCs/>
          <w:color w:val="auto"/>
          <w:sz w:val="24"/>
          <w:lang w:val="zh-CN"/>
        </w:rPr>
        <w:t>附件六：</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评分对应表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对应评分办法及评分标准</w:t>
            </w:r>
          </w:p>
          <w:p>
            <w:pPr>
              <w:jc w:val="center"/>
              <w:rPr>
                <w:rFonts w:ascii="宋体" w:hAnsi="宋体" w:cs="宋体"/>
                <w:color w:val="auto"/>
                <w:sz w:val="24"/>
              </w:rPr>
            </w:pPr>
            <w:r>
              <w:rPr>
                <w:rFonts w:hint="eastAsia" w:ascii="宋体" w:hAnsi="宋体" w:cs="宋体"/>
                <w:color w:val="auto"/>
                <w:sz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color w:val="auto"/>
          <w:lang w:val="zh-CN"/>
        </w:rPr>
      </w:pPr>
      <w:r>
        <w:rPr>
          <w:rFonts w:hint="eastAsia" w:ascii="宋体" w:hAnsi="宋体" w:cs="宋体"/>
          <w:color w:val="auto"/>
          <w:sz w:val="24"/>
        </w:rPr>
        <w:t>供应商全称（公章）：</w:t>
      </w:r>
      <w:r>
        <w:rPr>
          <w:rFonts w:hint="eastAsia"/>
          <w:color w:val="auto"/>
          <w:lang w:val="zh-CN"/>
        </w:rPr>
        <w:br w:type="page"/>
      </w:r>
    </w:p>
    <w:p>
      <w:pPr>
        <w:rPr>
          <w:b/>
          <w:bCs/>
          <w:color w:val="auto"/>
          <w:sz w:val="24"/>
          <w:szCs w:val="32"/>
          <w:lang w:val="zh-CN"/>
        </w:rPr>
      </w:pPr>
      <w:r>
        <w:rPr>
          <w:rFonts w:hint="eastAsia"/>
          <w:b/>
          <w:bCs/>
          <w:color w:val="auto"/>
          <w:sz w:val="24"/>
          <w:szCs w:val="32"/>
          <w:lang w:val="zh-CN"/>
        </w:rPr>
        <w:t>附件</w:t>
      </w:r>
      <w:r>
        <w:rPr>
          <w:rFonts w:hint="eastAsia"/>
          <w:b/>
          <w:bCs/>
          <w:color w:val="auto"/>
          <w:sz w:val="24"/>
          <w:szCs w:val="32"/>
        </w:rPr>
        <w:t>七：</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供应商商务技术文件中资信分自评表</w:t>
      </w:r>
      <w:bookmarkEnd w:id="153"/>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2387" w:type="dxa"/>
            <w:vAlign w:val="center"/>
          </w:tcPr>
          <w:p>
            <w:pPr>
              <w:jc w:val="center"/>
              <w:rPr>
                <w:rFonts w:ascii="宋体" w:hAnsi="宋体" w:cs="宋体"/>
                <w:color w:val="auto"/>
                <w:sz w:val="24"/>
              </w:rPr>
            </w:pPr>
            <w:r>
              <w:rPr>
                <w:rFonts w:hint="eastAsia" w:ascii="宋体" w:hAnsi="宋体" w:cs="宋体"/>
                <w:color w:val="auto"/>
                <w:sz w:val="24"/>
              </w:rPr>
              <w:t>资信分内容</w:t>
            </w:r>
          </w:p>
        </w:tc>
        <w:tc>
          <w:tcPr>
            <w:tcW w:w="1462" w:type="dxa"/>
            <w:vAlign w:val="center"/>
          </w:tcPr>
          <w:p>
            <w:pPr>
              <w:jc w:val="center"/>
              <w:rPr>
                <w:rFonts w:ascii="宋体" w:hAnsi="宋体" w:cs="宋体"/>
                <w:color w:val="auto"/>
                <w:sz w:val="24"/>
              </w:rPr>
            </w:pPr>
            <w:r>
              <w:rPr>
                <w:rFonts w:hint="eastAsia" w:ascii="宋体" w:hAnsi="宋体" w:cs="宋体"/>
                <w:color w:val="auto"/>
                <w:sz w:val="24"/>
              </w:rPr>
              <w:t>自评得分</w:t>
            </w:r>
          </w:p>
        </w:tc>
        <w:tc>
          <w:tcPr>
            <w:tcW w:w="2415" w:type="dxa"/>
            <w:tcBorders>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响应文件对应资料</w:t>
            </w:r>
          </w:p>
        </w:tc>
        <w:tc>
          <w:tcPr>
            <w:tcW w:w="1746" w:type="dxa"/>
            <w:tcBorders>
              <w:lef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1</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2</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3</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4</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5</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6</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7</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8</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合计</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pStyle w:val="2"/>
        <w:ind w:firstLine="560"/>
        <w:rPr>
          <w:rFonts w:cs="宋体"/>
          <w:color w:val="auto"/>
          <w:sz w:val="28"/>
          <w:szCs w:val="28"/>
        </w:rPr>
      </w:pPr>
    </w:p>
    <w:p>
      <w:pPr>
        <w:snapToGrid w:val="0"/>
        <w:spacing w:before="50" w:after="120" w:afterLines="50"/>
        <w:jc w:val="left"/>
        <w:rPr>
          <w:rFonts w:ascii="宋体" w:hAnsi="宋体" w:cs="宋体"/>
          <w:b/>
          <w:bCs/>
          <w:color w:val="auto"/>
          <w:sz w:val="24"/>
          <w:lang w:val="zh-CN"/>
        </w:rPr>
      </w:pPr>
      <w:r>
        <w:rPr>
          <w:rFonts w:hint="eastAsia" w:ascii="宋体" w:hAnsi="宋体" w:cs="宋体"/>
          <w:b/>
          <w:bCs/>
          <w:color w:val="auto"/>
          <w:sz w:val="30"/>
          <w:szCs w:val="30"/>
        </w:rPr>
        <w:br w:type="page"/>
      </w:r>
      <w:r>
        <w:rPr>
          <w:rFonts w:hint="eastAsia" w:ascii="宋体" w:hAnsi="宋体" w:cs="宋体"/>
          <w:b/>
          <w:bCs/>
          <w:color w:val="auto"/>
          <w:sz w:val="24"/>
          <w:lang w:val="zh-CN"/>
        </w:rPr>
        <w:t>附件八：</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投标项目明细清单</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bl>
    <w:p>
      <w:pPr>
        <w:snapToGrid w:val="0"/>
        <w:spacing w:before="120" w:beforeLines="50" w:line="360" w:lineRule="auto"/>
        <w:ind w:firstLine="480" w:firstLineChars="200"/>
        <w:rPr>
          <w:rFonts w:ascii="宋体" w:hAnsi="宋体" w:cs="宋体"/>
          <w:color w:val="auto"/>
          <w:sz w:val="24"/>
        </w:rPr>
      </w:pPr>
      <w:r>
        <w:rPr>
          <w:rFonts w:hint="eastAsia" w:ascii="宋体" w:hAnsi="宋体" w:cs="宋体"/>
          <w:color w:val="auto"/>
          <w:sz w:val="24"/>
        </w:rPr>
        <w:t>注：在填写时，如上表不适合本项目的实际情况，可在确保投标明细内容完整的情况下，根据上表格式自行划表填写。</w:t>
      </w:r>
    </w:p>
    <w:p>
      <w:pPr>
        <w:pStyle w:val="2"/>
        <w:rPr>
          <w:rFonts w:cs="宋体"/>
          <w:color w:val="auto"/>
        </w:rPr>
      </w:pPr>
    </w:p>
    <w:p>
      <w:pPr>
        <w:pStyle w:val="2"/>
        <w:rPr>
          <w:rFonts w:cs="宋体"/>
          <w:color w:val="auto"/>
        </w:rPr>
      </w:pPr>
    </w:p>
    <w:p>
      <w:pPr>
        <w:pStyle w:val="2"/>
        <w:rPr>
          <w:rFonts w:cs="宋体"/>
          <w:color w:val="auto"/>
        </w:rPr>
      </w:pPr>
    </w:p>
    <w:p>
      <w:pPr>
        <w:snapToGrid w:val="0"/>
        <w:spacing w:before="120" w:beforeLines="5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before="50" w:after="50"/>
        <w:rPr>
          <w:rFonts w:ascii="宋体" w:hAnsi="宋体" w:cs="宋体"/>
          <w:color w:val="auto"/>
          <w:spacing w:val="20"/>
          <w:sz w:val="24"/>
        </w:rPr>
      </w:pPr>
    </w:p>
    <w:p>
      <w:pPr>
        <w:snapToGrid w:val="0"/>
        <w:spacing w:before="50" w:after="50"/>
        <w:rPr>
          <w:rFonts w:ascii="宋体" w:hAnsi="宋体" w:cs="宋体"/>
          <w:color w:val="auto"/>
          <w:spacing w:val="20"/>
          <w:sz w:val="30"/>
          <w:szCs w:val="30"/>
        </w:rPr>
      </w:pPr>
    </w:p>
    <w:p>
      <w:pPr>
        <w:pStyle w:val="2"/>
        <w:ind w:firstLine="680"/>
        <w:rPr>
          <w:rFonts w:cs="宋体"/>
          <w:color w:val="auto"/>
          <w:spacing w:val="20"/>
          <w:sz w:val="30"/>
          <w:szCs w:val="30"/>
        </w:rPr>
      </w:pPr>
    </w:p>
    <w:p>
      <w:pPr>
        <w:pStyle w:val="2"/>
        <w:ind w:firstLine="680"/>
        <w:rPr>
          <w:rFonts w:cs="宋体"/>
          <w:color w:val="auto"/>
          <w:spacing w:val="20"/>
          <w:sz w:val="30"/>
          <w:szCs w:val="30"/>
        </w:rPr>
      </w:pPr>
    </w:p>
    <w:p>
      <w:pPr>
        <w:pStyle w:val="2"/>
        <w:ind w:firstLine="680"/>
        <w:rPr>
          <w:rFonts w:cs="宋体"/>
          <w:color w:val="auto"/>
          <w:spacing w:val="20"/>
          <w:sz w:val="30"/>
          <w:szCs w:val="30"/>
        </w:rPr>
      </w:pPr>
    </w:p>
    <w:p>
      <w:pPr>
        <w:pStyle w:val="2"/>
        <w:ind w:firstLine="680"/>
        <w:rPr>
          <w:rFonts w:cs="宋体"/>
          <w:color w:val="auto"/>
          <w:spacing w:val="20"/>
          <w:sz w:val="30"/>
          <w:szCs w:val="30"/>
        </w:rPr>
      </w:pPr>
    </w:p>
    <w:p>
      <w:pPr>
        <w:rPr>
          <w:color w:val="auto"/>
          <w:sz w:val="24"/>
          <w:szCs w:val="18"/>
        </w:rPr>
      </w:pPr>
      <w:bookmarkStart w:id="154" w:name="_Toc2823"/>
      <w:r>
        <w:rPr>
          <w:rFonts w:hint="eastAsia"/>
          <w:color w:val="auto"/>
          <w:sz w:val="24"/>
          <w:szCs w:val="18"/>
        </w:rPr>
        <w:br w:type="page"/>
      </w:r>
    </w:p>
    <w:p>
      <w:pPr>
        <w:rPr>
          <w:b/>
          <w:bCs/>
          <w:color w:val="auto"/>
          <w:sz w:val="24"/>
          <w:szCs w:val="32"/>
        </w:rPr>
      </w:pPr>
      <w:r>
        <w:rPr>
          <w:rFonts w:hint="eastAsia"/>
          <w:b/>
          <w:bCs/>
          <w:color w:val="auto"/>
          <w:sz w:val="24"/>
          <w:szCs w:val="32"/>
        </w:rPr>
        <w:t>附件九：</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技术响应及建议表</w:t>
      </w:r>
      <w:bookmarkEnd w:id="154"/>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44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名称</w:t>
            </w:r>
          </w:p>
        </w:tc>
        <w:tc>
          <w:tcPr>
            <w:tcW w:w="198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磋商文件要求</w:t>
            </w:r>
          </w:p>
        </w:tc>
        <w:tc>
          <w:tcPr>
            <w:tcW w:w="252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响应文件响应</w:t>
            </w:r>
          </w:p>
        </w:tc>
        <w:tc>
          <w:tcPr>
            <w:tcW w:w="1953"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投标建议</w:t>
            </w:r>
          </w:p>
        </w:tc>
        <w:tc>
          <w:tcPr>
            <w:tcW w:w="6453" w:type="dxa"/>
            <w:gridSpan w:val="3"/>
            <w:vAlign w:val="center"/>
          </w:tcPr>
          <w:p>
            <w:pPr>
              <w:spacing w:line="360" w:lineRule="auto"/>
              <w:jc w:val="center"/>
              <w:rPr>
                <w:rFonts w:ascii="宋体" w:hAnsi="宋体" w:cs="宋体"/>
                <w:color w:val="auto"/>
                <w:sz w:val="24"/>
              </w:rPr>
            </w:pPr>
          </w:p>
        </w:tc>
      </w:tr>
    </w:tbl>
    <w:p>
      <w:pPr>
        <w:snapToGrid w:val="0"/>
        <w:spacing w:line="360" w:lineRule="auto"/>
        <w:rPr>
          <w:rFonts w:ascii="宋体" w:hAnsi="宋体" w:cs="宋体"/>
          <w:color w:val="auto"/>
          <w:sz w:val="24"/>
        </w:rPr>
      </w:pPr>
    </w:p>
    <w:p>
      <w:pPr>
        <w:pStyle w:val="13"/>
        <w:spacing w:line="360" w:lineRule="auto"/>
        <w:rPr>
          <w:rFonts w:hAnsi="宋体" w:cs="宋体"/>
          <w:color w:val="auto"/>
          <w:sz w:val="24"/>
        </w:rPr>
      </w:pPr>
      <w:r>
        <w:rPr>
          <w:rFonts w:hint="eastAsia" w:hAnsi="宋体" w:cs="宋体"/>
          <w:color w:val="auto"/>
          <w:sz w:val="24"/>
        </w:rPr>
        <w:t>注：名称可基于项目清单根据供应商实际情况调整。</w:t>
      </w:r>
    </w:p>
    <w:p>
      <w:pPr>
        <w:rPr>
          <w:rFonts w:ascii="宋体" w:hAnsi="宋体" w:cs="宋体"/>
          <w:color w:val="auto"/>
          <w:sz w:val="24"/>
        </w:rPr>
      </w:pPr>
    </w:p>
    <w:p>
      <w:pPr>
        <w:pStyle w:val="2"/>
        <w:rPr>
          <w:color w:val="auto"/>
        </w:rPr>
      </w:pPr>
    </w:p>
    <w:p>
      <w:pPr>
        <w:snapToGrid w:val="0"/>
        <w:spacing w:line="360" w:lineRule="auto"/>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rPr>
          <w:color w:val="auto"/>
          <w:sz w:val="24"/>
          <w:szCs w:val="18"/>
        </w:rPr>
      </w:pPr>
      <w:r>
        <w:rPr>
          <w:rFonts w:hint="eastAsia"/>
          <w:color w:val="auto"/>
          <w:sz w:val="24"/>
          <w:szCs w:val="18"/>
        </w:rPr>
        <w:br w:type="page"/>
      </w:r>
    </w:p>
    <w:p>
      <w:pPr>
        <w:rPr>
          <w:b/>
          <w:bCs/>
          <w:color w:val="auto"/>
          <w:sz w:val="24"/>
          <w:szCs w:val="32"/>
        </w:rPr>
      </w:pPr>
      <w:r>
        <w:rPr>
          <w:rFonts w:hint="eastAsia"/>
          <w:b/>
          <w:bCs/>
          <w:color w:val="auto"/>
          <w:sz w:val="24"/>
          <w:szCs w:val="32"/>
        </w:rPr>
        <w:t>附件十：</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商务响应表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是否</w:t>
            </w:r>
          </w:p>
          <w:p>
            <w:pPr>
              <w:snapToGrid w:val="0"/>
              <w:spacing w:before="50" w:after="50"/>
              <w:jc w:val="center"/>
              <w:rPr>
                <w:rFonts w:ascii="宋体" w:hAnsi="宋体" w:cs="宋体"/>
                <w:color w:val="auto"/>
                <w:sz w:val="24"/>
              </w:rPr>
            </w:pPr>
            <w:r>
              <w:rPr>
                <w:rFonts w:hint="eastAsia" w:ascii="宋体" w:hAnsi="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bl>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before="50" w:after="50"/>
        <w:rPr>
          <w:rFonts w:ascii="宋体" w:hAnsi="宋体" w:cs="宋体"/>
          <w:b/>
          <w:bCs/>
          <w:color w:val="auto"/>
          <w:sz w:val="24"/>
          <w:lang w:val="zh-CN"/>
        </w:rPr>
      </w:pPr>
      <w:r>
        <w:rPr>
          <w:rFonts w:hint="eastAsia" w:ascii="宋体" w:hAnsi="宋体" w:cs="宋体"/>
          <w:color w:val="auto"/>
          <w:sz w:val="24"/>
        </w:rPr>
        <w:br w:type="page"/>
      </w:r>
      <w:r>
        <w:rPr>
          <w:rFonts w:hint="eastAsia" w:ascii="宋体" w:hAnsi="宋体" w:cs="宋体"/>
          <w:b/>
          <w:bCs/>
          <w:color w:val="auto"/>
          <w:sz w:val="24"/>
          <w:lang w:val="zh-CN"/>
        </w:rPr>
        <w:t>附件十一：</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项目组人员清单</w:t>
      </w:r>
    </w:p>
    <w:p>
      <w:pPr>
        <w:snapToGrid w:val="0"/>
        <w:spacing w:before="120" w:beforeLines="50" w:after="50"/>
        <w:jc w:val="center"/>
        <w:rPr>
          <w:rFonts w:ascii="宋体" w:hAnsi="宋体" w:cs="宋体"/>
          <w:b/>
          <w:color w:val="auto"/>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460" w:lineRule="exact"/>
              <w:ind w:left="5250"/>
              <w:rPr>
                <w:rFonts w:cs="宋体"/>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bl>
    <w:p>
      <w:pPr>
        <w:snapToGrid w:val="0"/>
        <w:spacing w:line="360" w:lineRule="auto"/>
        <w:jc w:val="left"/>
        <w:rPr>
          <w:rFonts w:ascii="宋体" w:hAnsi="宋体" w:cs="宋体"/>
          <w:color w:val="auto"/>
          <w:sz w:val="24"/>
        </w:rPr>
      </w:pP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注：在填写时，如本表格不适合投标单位的实际情况，可根据本表格式自行划表填写。 </w:t>
      </w:r>
    </w:p>
    <w:p>
      <w:pPr>
        <w:snapToGrid w:val="0"/>
        <w:spacing w:before="50" w:after="120" w:afterLines="50" w:line="460" w:lineRule="exact"/>
        <w:jc w:val="left"/>
        <w:rPr>
          <w:rFonts w:ascii="宋体" w:hAnsi="宋体" w:cs="宋体"/>
          <w:color w:val="auto"/>
          <w:sz w:val="24"/>
        </w:rPr>
      </w:pPr>
    </w:p>
    <w:p>
      <w:pPr>
        <w:pStyle w:val="2"/>
        <w:rPr>
          <w:color w:val="auto"/>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pacing w:line="360" w:lineRule="auto"/>
        <w:jc w:val="center"/>
        <w:rPr>
          <w:rFonts w:ascii="宋体"/>
          <w:b/>
          <w:bCs/>
          <w:color w:val="auto"/>
          <w:sz w:val="36"/>
          <w:szCs w:val="36"/>
        </w:rPr>
      </w:pPr>
      <w:r>
        <w:rPr>
          <w:rFonts w:hint="eastAsia" w:ascii="宋体" w:hAnsi="宋体" w:cs="宋体"/>
          <w:color w:val="auto"/>
          <w:spacing w:val="20"/>
          <w:sz w:val="30"/>
          <w:szCs w:val="30"/>
        </w:rPr>
        <w:br w:type="page"/>
      </w:r>
      <w:r>
        <w:rPr>
          <w:rFonts w:hint="eastAsia" w:ascii="宋体" w:hAnsi="宋体" w:cs="宋体"/>
          <w:b/>
          <w:bCs/>
          <w:color w:val="auto"/>
          <w:sz w:val="36"/>
          <w:szCs w:val="36"/>
        </w:rPr>
        <w:t>报价文件</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hint="eastAsia" w:ascii="宋体" w:hAnsi="宋体" w:cs="宋体"/>
          <w:b/>
          <w:bCs/>
          <w:color w:val="auto"/>
          <w:sz w:val="36"/>
          <w:szCs w:val="36"/>
        </w:rPr>
        <w:t>目录</w:t>
      </w:r>
    </w:p>
    <w:p>
      <w:pPr>
        <w:pStyle w:val="2"/>
        <w:ind w:firstLine="723"/>
        <w:rPr>
          <w:rFonts w:cs="Times New Roman"/>
          <w:b/>
          <w:bCs/>
          <w:color w:val="auto"/>
          <w:sz w:val="36"/>
          <w:szCs w:val="36"/>
        </w:rPr>
      </w:pPr>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）磋商函（格式见附件）；</w:t>
      </w:r>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）报价一览表（格式见附件）；</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）磋商报价明细表（格式见附件）。</w:t>
      </w:r>
    </w:p>
    <w:p>
      <w:pPr>
        <w:rPr>
          <w:rFonts w:ascii="宋体"/>
          <w:color w:val="auto"/>
        </w:rPr>
      </w:pPr>
    </w:p>
    <w:p>
      <w:pPr>
        <w:rPr>
          <w:rFonts w:ascii="宋体"/>
          <w:color w:val="auto"/>
        </w:rPr>
      </w:pPr>
      <w:r>
        <w:rPr>
          <w:rFonts w:ascii="宋体"/>
          <w:color w:val="auto"/>
        </w:rPr>
        <w:br w:type="page"/>
      </w:r>
    </w:p>
    <w:p>
      <w:pPr>
        <w:rPr>
          <w:rFonts w:ascii="宋体" w:hAnsi="宋体" w:cs="宋体"/>
          <w:b/>
          <w:bCs/>
          <w:color w:val="auto"/>
          <w:lang w:val="zh-CN"/>
        </w:rPr>
      </w:pPr>
      <w:bookmarkStart w:id="155" w:name="_Toc3094"/>
      <w:bookmarkStart w:id="156" w:name="_Toc12011"/>
      <w:r>
        <w:rPr>
          <w:rFonts w:hint="eastAsia"/>
          <w:b/>
          <w:bCs/>
          <w:color w:val="auto"/>
          <w:sz w:val="24"/>
          <w:szCs w:val="32"/>
          <w:lang w:val="zh-CN"/>
        </w:rPr>
        <w:t>附件</w:t>
      </w:r>
      <w:bookmarkStart w:id="157" w:name="_Toc130094924"/>
      <w:bookmarkStart w:id="158" w:name="_Toc98731770"/>
      <w:r>
        <w:rPr>
          <w:rFonts w:hint="eastAsia"/>
          <w:b/>
          <w:bCs/>
          <w:color w:val="auto"/>
          <w:sz w:val="24"/>
          <w:szCs w:val="32"/>
        </w:rPr>
        <w:t>十二：</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磋 商 函</w:t>
      </w:r>
      <w:bookmarkEnd w:id="155"/>
      <w:bookmarkEnd w:id="157"/>
      <w:bookmarkEnd w:id="158"/>
    </w:p>
    <w:p>
      <w:pPr>
        <w:spacing w:line="360" w:lineRule="auto"/>
        <w:ind w:firstLine="480" w:firstLineChars="200"/>
        <w:rPr>
          <w:rFonts w:ascii="宋体" w:hAnsi="宋体" w:cs="宋体"/>
          <w:color w:val="auto"/>
          <w:sz w:val="24"/>
          <w:u w:val="single"/>
        </w:rPr>
      </w:pP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绍兴市上虞区市场监督管理局</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浙江省成套工程有限公司</w:t>
      </w:r>
      <w:r>
        <w:rPr>
          <w:rFonts w:hint="eastAsia" w:ascii="宋体" w:hAnsi="宋体" w:cs="宋体"/>
          <w:color w:val="auto"/>
          <w:sz w:val="24"/>
        </w:rPr>
        <w:t>：</w:t>
      </w:r>
    </w:p>
    <w:p>
      <w:pPr>
        <w:spacing w:line="360" w:lineRule="auto"/>
        <w:ind w:firstLine="480"/>
        <w:jc w:val="left"/>
        <w:rPr>
          <w:rFonts w:ascii="宋体" w:hAnsi="宋体" w:cs="宋体"/>
          <w:color w:val="auto"/>
          <w:sz w:val="24"/>
        </w:rPr>
      </w:pPr>
      <w:r>
        <w:rPr>
          <w:rFonts w:hint="eastAsia" w:ascii="宋体" w:hAnsi="宋体" w:cs="宋体"/>
          <w:color w:val="auto"/>
          <w:sz w:val="24"/>
        </w:rPr>
        <w:t>我单位认真研究了关于</w:t>
      </w:r>
      <w:r>
        <w:rPr>
          <w:rFonts w:hint="eastAsia" w:ascii="宋体" w:hAnsi="宋体" w:cs="宋体"/>
          <w:color w:val="auto"/>
          <w:sz w:val="24"/>
          <w:u w:val="single"/>
        </w:rPr>
        <w:t xml:space="preserve">                      </w:t>
      </w:r>
      <w:r>
        <w:rPr>
          <w:rFonts w:hint="eastAsia" w:ascii="宋体" w:hAnsi="宋体" w:cs="宋体"/>
          <w:color w:val="auto"/>
          <w:sz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76" w:firstLineChars="24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9pt;margin-top:39pt;height:0pt;width:0.05pt;z-index:251661312;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f&#10;UTwO7QEAAOIDAAAOAAAAAAAAAAEAIAAAACEBAABkcnMvZTJvRG9jLnhtbFBLBQYAAAAABgAGAFkB&#10;AACABQAAAAA=&#10;">
                <v:fill on="f" focussize="0,0"/>
                <v:stroke color="#000000" joinstyle="round"/>
                <v:imagedata o:title=""/>
                <o:lock v:ext="edit" aspectratio="f"/>
              </v:line>
            </w:pict>
          </mc:Fallback>
        </mc:AlternateContent>
      </w:r>
      <w:r>
        <w:rPr>
          <w:rFonts w:hint="eastAsia" w:ascii="宋体" w:hAnsi="宋体" w:cs="宋体"/>
          <w:color w:val="auto"/>
          <w:sz w:val="24"/>
        </w:rPr>
        <w:t>1、一旦我单位中标，我单位愿意承接报价一览表中所列的技术服务，服务期为：</w:t>
      </w:r>
      <w:r>
        <w:rPr>
          <w:rFonts w:hint="eastAsia" w:ascii="宋体" w:hAnsi="宋体" w:cs="宋体"/>
          <w:color w:val="auto"/>
          <w:sz w:val="24"/>
          <w:u w:val="single"/>
        </w:rPr>
        <w:t xml:space="preserve">            </w:t>
      </w:r>
      <w:r>
        <w:rPr>
          <w:rFonts w:hint="eastAsia" w:ascii="宋体" w:hAnsi="宋体" w:cs="宋体"/>
          <w:color w:val="auto"/>
          <w:sz w:val="24"/>
        </w:rPr>
        <w:t>天。</w:t>
      </w:r>
    </w:p>
    <w:p>
      <w:pPr>
        <w:spacing w:line="360" w:lineRule="auto"/>
        <w:ind w:firstLine="480" w:firstLineChars="200"/>
        <w:rPr>
          <w:rFonts w:ascii="宋体" w:hAnsi="宋体" w:cs="宋体"/>
          <w:color w:val="auto"/>
          <w:sz w:val="24"/>
        </w:rPr>
      </w:pPr>
      <w:r>
        <w:rPr>
          <w:rFonts w:hint="eastAsia" w:ascii="宋体" w:hAnsi="宋体" w:cs="宋体"/>
          <w:color w:val="auto"/>
          <w:sz w:val="24"/>
        </w:rPr>
        <w:t>2、我单位同意提供按照</w:t>
      </w:r>
      <w:r>
        <w:rPr>
          <w:rFonts w:hint="eastAsia" w:ascii="宋体" w:hAnsi="宋体" w:cs="宋体"/>
          <w:bCs/>
          <w:color w:val="auto"/>
          <w:sz w:val="24"/>
        </w:rPr>
        <w:t>采购人的可能要求与其投标有关的一切数据和资料，完全理解采购人不一定要接受最低价者作为成交供应商</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3、一旦我单位中标，我们保证按照磋商文件的要求，完成服务。</w:t>
      </w:r>
    </w:p>
    <w:p>
      <w:pPr>
        <w:spacing w:line="360" w:lineRule="auto"/>
        <w:ind w:firstLine="480" w:firstLineChars="200"/>
        <w:rPr>
          <w:rFonts w:ascii="宋体" w:hAnsi="宋体" w:cs="宋体"/>
          <w:color w:val="auto"/>
          <w:sz w:val="24"/>
        </w:rPr>
      </w:pPr>
      <w:r>
        <w:rPr>
          <w:rFonts w:hint="eastAsia" w:ascii="宋体" w:hAnsi="宋体" w:cs="宋体"/>
          <w:color w:val="auto"/>
          <w:sz w:val="24"/>
        </w:rPr>
        <w:t>4、如果我单位中标，我方将按照要求提交履约保证金，严格履行合同义务。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5、除非另行达成协议并生效，你方的成交通知书和本磋商函将构成约束你我双方的合同。</w:t>
      </w:r>
    </w:p>
    <w:p>
      <w:pPr>
        <w:spacing w:line="360" w:lineRule="auto"/>
        <w:ind w:firstLine="480" w:firstLineChars="200"/>
        <w:rPr>
          <w:rFonts w:ascii="宋体" w:hAnsi="宋体" w:cs="宋体"/>
          <w:color w:val="auto"/>
          <w:sz w:val="24"/>
        </w:rPr>
      </w:pPr>
      <w:r>
        <w:rPr>
          <w:rFonts w:hint="eastAsia" w:ascii="宋体" w:hAnsi="宋体" w:cs="宋体"/>
          <w:color w:val="auto"/>
          <w:sz w:val="24"/>
        </w:rPr>
        <w:t>6、我单位承诺，一旦发生磋商文件第二部分第11条规定情形之一的，承担该条款约定的责任。</w:t>
      </w:r>
    </w:p>
    <w:p>
      <w:pPr>
        <w:pStyle w:val="13"/>
        <w:snapToGrid w:val="0"/>
        <w:spacing w:line="360" w:lineRule="auto"/>
        <w:ind w:left="480"/>
        <w:jc w:val="left"/>
        <w:rPr>
          <w:rFonts w:hAnsi="宋体" w:cs="宋体"/>
          <w:color w:val="auto"/>
          <w:sz w:val="24"/>
        </w:rPr>
      </w:pPr>
      <w:r>
        <w:rPr>
          <w:rFonts w:hint="eastAsia" w:hAnsi="宋体" w:cs="宋体"/>
          <w:color w:val="auto"/>
          <w:sz w:val="24"/>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地址：</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邮编：</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u w:val="single"/>
        </w:rPr>
      </w:pPr>
      <w:r>
        <w:rPr>
          <w:rFonts w:hint="eastAsia" w:ascii="宋体" w:hAnsi="宋体" w:cs="宋体"/>
          <w:bCs/>
          <w:color w:val="auto"/>
          <w:sz w:val="24"/>
          <w:szCs w:val="21"/>
        </w:rPr>
        <w:t>电话：</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传真：</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供应商代表姓名：</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职务：</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供应商名称</w:t>
      </w:r>
      <w:r>
        <w:rPr>
          <w:rFonts w:hint="eastAsia" w:ascii="宋体" w:hAnsi="宋体" w:cs="宋体"/>
          <w:bCs/>
          <w:color w:val="auto"/>
          <w:sz w:val="24"/>
          <w:szCs w:val="21"/>
          <w:u w:val="single"/>
        </w:rPr>
        <w:t>：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 xml:space="preserve">（公章）：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rPr>
          <w:rFonts w:hint="eastAsia" w:cs="宋体"/>
          <w:b/>
          <w:bCs/>
          <w:color w:val="auto"/>
          <w:sz w:val="24"/>
          <w:szCs w:val="24"/>
          <w:lang w:val="zh-CN"/>
        </w:rPr>
      </w:pPr>
    </w:p>
    <w:p>
      <w:pPr>
        <w:rPr>
          <w:rFonts w:hint="eastAsia" w:cs="宋体"/>
          <w:b/>
          <w:bCs/>
          <w:color w:val="auto"/>
          <w:sz w:val="24"/>
          <w:szCs w:val="24"/>
          <w:lang w:val="zh-CN"/>
        </w:rPr>
      </w:pPr>
    </w:p>
    <w:p>
      <w:pPr>
        <w:rPr>
          <w:rFonts w:hint="eastAsia" w:cs="宋体"/>
          <w:b/>
          <w:bCs/>
          <w:color w:val="auto"/>
          <w:sz w:val="24"/>
          <w:szCs w:val="24"/>
          <w:lang w:val="zh-CN"/>
        </w:rPr>
      </w:pPr>
    </w:p>
    <w:p>
      <w:pPr>
        <w:rPr>
          <w:rFonts w:hint="eastAsia" w:cs="宋体"/>
          <w:b/>
          <w:bCs/>
          <w:color w:val="auto"/>
          <w:sz w:val="24"/>
          <w:szCs w:val="24"/>
          <w:lang w:val="zh-CN"/>
        </w:rPr>
      </w:pPr>
    </w:p>
    <w:bookmarkEnd w:id="156"/>
    <w:p>
      <w:pPr>
        <w:rPr>
          <w:b/>
          <w:bCs/>
          <w:color w:val="auto"/>
          <w:sz w:val="24"/>
          <w:szCs w:val="32"/>
          <w:lang w:val="zh-CN"/>
        </w:rPr>
      </w:pPr>
      <w:r>
        <w:rPr>
          <w:rFonts w:hint="eastAsia"/>
          <w:b/>
          <w:bCs/>
          <w:color w:val="auto"/>
          <w:sz w:val="24"/>
          <w:szCs w:val="32"/>
          <w:lang w:val="zh-CN"/>
        </w:rPr>
        <w:t>附件</w:t>
      </w:r>
      <w:bookmarkStart w:id="159" w:name="_Toc130094925"/>
      <w:bookmarkStart w:id="160" w:name="_Toc98731771"/>
      <w:r>
        <w:rPr>
          <w:rFonts w:hint="eastAsia"/>
          <w:b/>
          <w:bCs/>
          <w:color w:val="auto"/>
          <w:sz w:val="24"/>
          <w:szCs w:val="32"/>
        </w:rPr>
        <w:t>十三：</w:t>
      </w:r>
    </w:p>
    <w:p>
      <w:pPr>
        <w:spacing w:line="360" w:lineRule="auto"/>
        <w:jc w:val="center"/>
        <w:outlineLvl w:val="0"/>
        <w:rPr>
          <w:rFonts w:ascii="宋体" w:hAnsi="宋体" w:cs="宋体"/>
          <w:b/>
          <w:bCs/>
          <w:color w:val="auto"/>
          <w:sz w:val="32"/>
          <w:szCs w:val="32"/>
        </w:rPr>
      </w:pPr>
      <w:bookmarkStart w:id="161" w:name="_Toc3109"/>
      <w:bookmarkStart w:id="162" w:name="_Toc24380"/>
      <w:r>
        <w:rPr>
          <w:rFonts w:hint="eastAsia" w:ascii="宋体" w:hAnsi="宋体" w:cs="宋体"/>
          <w:b/>
          <w:bCs/>
          <w:color w:val="auto"/>
          <w:sz w:val="32"/>
          <w:szCs w:val="32"/>
        </w:rPr>
        <w:t>报价一览表</w:t>
      </w:r>
      <w:bookmarkEnd w:id="159"/>
      <w:bookmarkEnd w:id="160"/>
      <w:bookmarkEnd w:id="161"/>
      <w:bookmarkEnd w:id="162"/>
    </w:p>
    <w:p>
      <w:pPr>
        <w:pStyle w:val="13"/>
        <w:spacing w:line="360" w:lineRule="auto"/>
        <w:rPr>
          <w:rFonts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3"/>
              <w:spacing w:line="360" w:lineRule="auto"/>
              <w:jc w:val="center"/>
              <w:rPr>
                <w:rFonts w:hAnsi="宋体" w:cs="宋体"/>
                <w:b/>
                <w:bCs/>
                <w:color w:val="auto"/>
                <w:sz w:val="24"/>
              </w:rPr>
            </w:pPr>
            <w:r>
              <w:rPr>
                <w:rFonts w:hint="eastAsia" w:hAnsi="宋体" w:cs="宋体"/>
                <w:b/>
                <w:bCs/>
                <w:color w:val="auto"/>
                <w:sz w:val="24"/>
              </w:rPr>
              <w:t>投标总价</w:t>
            </w:r>
          </w:p>
        </w:tc>
        <w:tc>
          <w:tcPr>
            <w:tcW w:w="6707" w:type="dxa"/>
            <w:vAlign w:val="center"/>
          </w:tcPr>
          <w:p>
            <w:pPr>
              <w:pStyle w:val="13"/>
              <w:spacing w:line="360" w:lineRule="auto"/>
              <w:jc w:val="center"/>
              <w:rPr>
                <w:rFonts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widowControl/>
              <w:jc w:val="left"/>
              <w:rPr>
                <w:rFonts w:hAnsi="宋体"/>
                <w:b/>
                <w:bCs/>
                <w:color w:val="auto"/>
                <w:sz w:val="24"/>
                <w:szCs w:val="24"/>
              </w:rPr>
            </w:pPr>
            <w:r>
              <w:rPr>
                <w:rFonts w:hint="eastAsia" w:hAnsi="宋体"/>
                <w:b/>
                <w:bCs/>
                <w:color w:val="auto"/>
                <w:sz w:val="24"/>
                <w:szCs w:val="24"/>
              </w:rPr>
              <w:t xml:space="preserve">本次报价包括完成本项目所需的所有费用必须包含在总报价中，如以后已实施 </w:t>
            </w:r>
          </w:p>
          <w:p>
            <w:pPr>
              <w:pStyle w:val="13"/>
              <w:spacing w:line="360" w:lineRule="auto"/>
              <w:ind w:firstLine="482" w:firstLineChars="200"/>
              <w:rPr>
                <w:rFonts w:hint="eastAsia" w:hAnsi="宋体" w:eastAsia="宋体" w:cs="宋体"/>
                <w:b/>
                <w:bCs/>
                <w:color w:val="auto"/>
                <w:sz w:val="24"/>
                <w:lang w:eastAsia="zh-CN"/>
              </w:rPr>
            </w:pPr>
            <w:r>
              <w:rPr>
                <w:rFonts w:hint="eastAsia" w:hAnsi="宋体"/>
                <w:b/>
                <w:bCs/>
                <w:color w:val="auto"/>
                <w:sz w:val="24"/>
                <w:szCs w:val="24"/>
              </w:rPr>
              <w:t>而未列入报价的费用将被视为投标人优惠，采购人均不予支付。</w:t>
            </w:r>
          </w:p>
        </w:tc>
      </w:tr>
    </w:tbl>
    <w:p>
      <w:pPr>
        <w:pStyle w:val="13"/>
        <w:spacing w:line="360" w:lineRule="auto"/>
        <w:rPr>
          <w:rFonts w:hAnsi="宋体" w:cs="宋体"/>
          <w:color w:val="auto"/>
          <w:sz w:val="24"/>
        </w:rPr>
      </w:pPr>
    </w:p>
    <w:p>
      <w:pPr>
        <w:pStyle w:val="13"/>
        <w:spacing w:line="360" w:lineRule="auto"/>
        <w:rPr>
          <w:rFonts w:hAnsi="宋体" w:cs="宋体"/>
          <w:color w:val="auto"/>
          <w:sz w:val="24"/>
        </w:rPr>
      </w:pPr>
    </w:p>
    <w:p>
      <w:pPr>
        <w:pStyle w:val="13"/>
        <w:spacing w:line="360" w:lineRule="auto"/>
        <w:rPr>
          <w:rFonts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pacing w:line="360" w:lineRule="auto"/>
        <w:jc w:val="left"/>
        <w:rPr>
          <w:rFonts w:ascii="宋体" w:hAnsi="宋体" w:cs="宋体"/>
          <w:b/>
          <w:bCs/>
          <w:color w:val="auto"/>
          <w:sz w:val="24"/>
          <w:lang w:val="zh-CN"/>
        </w:rPr>
      </w:pPr>
      <w:r>
        <w:rPr>
          <w:rFonts w:ascii="宋体"/>
          <w:color w:val="auto"/>
        </w:rPr>
        <w:br w:type="page"/>
      </w:r>
      <w:bookmarkStart w:id="163" w:name="_Toc7196"/>
      <w:r>
        <w:rPr>
          <w:rFonts w:hint="eastAsia" w:ascii="宋体" w:hAnsi="宋体" w:cs="宋体"/>
          <w:b/>
          <w:bCs/>
          <w:color w:val="auto"/>
          <w:sz w:val="24"/>
          <w:lang w:val="zh-CN"/>
        </w:rPr>
        <w:t>附件十</w:t>
      </w:r>
      <w:r>
        <w:rPr>
          <w:rFonts w:hint="eastAsia" w:hAnsi="宋体" w:cs="宋体"/>
          <w:b/>
          <w:bCs/>
          <w:color w:val="auto"/>
          <w:sz w:val="24"/>
          <w:lang w:val="zh-CN"/>
        </w:rPr>
        <w:t>四</w:t>
      </w:r>
      <w:r>
        <w:rPr>
          <w:rFonts w:hint="eastAsia" w:ascii="宋体" w:hAnsi="宋体" w:cs="宋体"/>
          <w:b/>
          <w:bCs/>
          <w:color w:val="auto"/>
          <w:sz w:val="24"/>
          <w:lang w:val="zh-CN"/>
        </w:rPr>
        <w:t>：</w:t>
      </w:r>
    </w:p>
    <w:p>
      <w:pPr>
        <w:spacing w:line="360" w:lineRule="auto"/>
        <w:jc w:val="center"/>
        <w:outlineLvl w:val="0"/>
        <w:rPr>
          <w:rFonts w:hAnsi="宋体" w:cs="宋体"/>
          <w:color w:val="auto"/>
          <w:sz w:val="24"/>
        </w:rPr>
      </w:pPr>
      <w:bookmarkStart w:id="164" w:name="_Toc10713"/>
      <w:bookmarkStart w:id="165" w:name="_Toc15340"/>
      <w:r>
        <w:rPr>
          <w:rFonts w:hint="eastAsia" w:ascii="宋体" w:hAnsi="宋体" w:cs="宋体"/>
          <w:b/>
          <w:bCs/>
          <w:color w:val="auto"/>
          <w:sz w:val="32"/>
          <w:szCs w:val="32"/>
        </w:rPr>
        <w:t>磋商报价明细表</w:t>
      </w:r>
      <w:bookmarkEnd w:id="164"/>
      <w:bookmarkEnd w:id="165"/>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284"/>
        <w:gridCol w:w="149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序</w:t>
            </w:r>
          </w:p>
          <w:p>
            <w:pPr>
              <w:pStyle w:val="13"/>
              <w:spacing w:line="360" w:lineRule="auto"/>
              <w:jc w:val="center"/>
              <w:rPr>
                <w:rFonts w:hAnsi="宋体" w:cs="宋体"/>
                <w:color w:val="auto"/>
                <w:sz w:val="24"/>
              </w:rPr>
            </w:pPr>
            <w:r>
              <w:rPr>
                <w:rFonts w:hint="eastAsia" w:hAnsi="宋体" w:cs="宋体"/>
                <w:color w:val="auto"/>
                <w:sz w:val="24"/>
              </w:rPr>
              <w:t>号</w:t>
            </w:r>
          </w:p>
        </w:tc>
        <w:tc>
          <w:tcPr>
            <w:tcW w:w="1080"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名称</w:t>
            </w:r>
          </w:p>
        </w:tc>
        <w:tc>
          <w:tcPr>
            <w:tcW w:w="2284"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内容</w:t>
            </w:r>
          </w:p>
        </w:tc>
        <w:tc>
          <w:tcPr>
            <w:tcW w:w="1490"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其他</w:t>
            </w:r>
          </w:p>
        </w:tc>
        <w:tc>
          <w:tcPr>
            <w:tcW w:w="720"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单</w:t>
            </w:r>
          </w:p>
          <w:p>
            <w:pPr>
              <w:pStyle w:val="13"/>
              <w:spacing w:line="360" w:lineRule="auto"/>
              <w:jc w:val="center"/>
              <w:rPr>
                <w:rFonts w:hAnsi="宋体" w:cs="宋体"/>
                <w:color w:val="auto"/>
              </w:rPr>
            </w:pPr>
            <w:r>
              <w:rPr>
                <w:rFonts w:hint="eastAsia" w:hAnsi="宋体" w:cs="宋体"/>
                <w:color w:val="auto"/>
                <w:sz w:val="24"/>
              </w:rPr>
              <w:t>位</w:t>
            </w:r>
          </w:p>
        </w:tc>
        <w:tc>
          <w:tcPr>
            <w:tcW w:w="648" w:type="dxa"/>
            <w:vMerge w:val="restart"/>
            <w:vAlign w:val="center"/>
          </w:tcPr>
          <w:p>
            <w:pPr>
              <w:pStyle w:val="13"/>
              <w:spacing w:line="360" w:lineRule="auto"/>
              <w:jc w:val="center"/>
              <w:rPr>
                <w:rFonts w:hAnsi="宋体" w:cs="宋体"/>
                <w:color w:val="auto"/>
                <w:sz w:val="24"/>
              </w:rPr>
            </w:pPr>
            <w:r>
              <w:rPr>
                <w:rFonts w:hint="eastAsia" w:hAnsi="宋体" w:cs="宋体"/>
                <w:color w:val="auto"/>
                <w:sz w:val="24"/>
              </w:rPr>
              <w:t>数量</w:t>
            </w:r>
          </w:p>
        </w:tc>
        <w:tc>
          <w:tcPr>
            <w:tcW w:w="2270" w:type="dxa"/>
            <w:gridSpan w:val="2"/>
            <w:vAlign w:val="center"/>
          </w:tcPr>
          <w:p>
            <w:pPr>
              <w:pStyle w:val="13"/>
              <w:spacing w:line="360" w:lineRule="auto"/>
              <w:jc w:val="center"/>
              <w:rPr>
                <w:rFonts w:hAnsi="宋体" w:cs="宋体"/>
                <w:color w:val="auto"/>
                <w:sz w:val="24"/>
              </w:rPr>
            </w:pPr>
            <w:r>
              <w:rPr>
                <w:rFonts w:hint="eastAsia" w:hAnsi="宋体" w:cs="宋体"/>
                <w:color w:val="auto"/>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pStyle w:val="13"/>
              <w:spacing w:line="360" w:lineRule="auto"/>
              <w:jc w:val="center"/>
              <w:rPr>
                <w:rFonts w:hAnsi="宋体" w:cs="宋体"/>
                <w:color w:val="auto"/>
                <w:sz w:val="24"/>
              </w:rPr>
            </w:pPr>
          </w:p>
        </w:tc>
        <w:tc>
          <w:tcPr>
            <w:tcW w:w="1080" w:type="dxa"/>
            <w:vMerge w:val="continue"/>
            <w:vAlign w:val="center"/>
          </w:tcPr>
          <w:p>
            <w:pPr>
              <w:pStyle w:val="13"/>
              <w:spacing w:line="360" w:lineRule="auto"/>
              <w:jc w:val="center"/>
              <w:rPr>
                <w:rFonts w:hAnsi="宋体" w:cs="宋体"/>
                <w:color w:val="auto"/>
                <w:sz w:val="24"/>
              </w:rPr>
            </w:pPr>
          </w:p>
        </w:tc>
        <w:tc>
          <w:tcPr>
            <w:tcW w:w="2284" w:type="dxa"/>
            <w:vMerge w:val="continue"/>
            <w:vAlign w:val="center"/>
          </w:tcPr>
          <w:p>
            <w:pPr>
              <w:pStyle w:val="13"/>
              <w:spacing w:line="360" w:lineRule="auto"/>
              <w:jc w:val="center"/>
              <w:rPr>
                <w:rFonts w:hAnsi="宋体" w:cs="宋体"/>
                <w:color w:val="auto"/>
                <w:sz w:val="24"/>
              </w:rPr>
            </w:pPr>
          </w:p>
        </w:tc>
        <w:tc>
          <w:tcPr>
            <w:tcW w:w="1490" w:type="dxa"/>
            <w:vMerge w:val="continue"/>
            <w:vAlign w:val="center"/>
          </w:tcPr>
          <w:p>
            <w:pPr>
              <w:pStyle w:val="13"/>
              <w:spacing w:line="360" w:lineRule="auto"/>
              <w:jc w:val="center"/>
              <w:rPr>
                <w:rFonts w:hAnsi="宋体" w:cs="宋体"/>
                <w:color w:val="auto"/>
                <w:sz w:val="24"/>
              </w:rPr>
            </w:pPr>
          </w:p>
        </w:tc>
        <w:tc>
          <w:tcPr>
            <w:tcW w:w="720" w:type="dxa"/>
            <w:vMerge w:val="continue"/>
            <w:vAlign w:val="center"/>
          </w:tcPr>
          <w:p>
            <w:pPr>
              <w:pStyle w:val="13"/>
              <w:spacing w:line="360" w:lineRule="auto"/>
              <w:jc w:val="center"/>
              <w:rPr>
                <w:rFonts w:hAnsi="宋体" w:cs="宋体"/>
                <w:color w:val="auto"/>
                <w:sz w:val="24"/>
              </w:rPr>
            </w:pPr>
          </w:p>
        </w:tc>
        <w:tc>
          <w:tcPr>
            <w:tcW w:w="648" w:type="dxa"/>
            <w:vMerge w:val="continue"/>
            <w:vAlign w:val="center"/>
          </w:tcPr>
          <w:p>
            <w:pPr>
              <w:pStyle w:val="13"/>
              <w:spacing w:line="360" w:lineRule="auto"/>
              <w:jc w:val="center"/>
              <w:rPr>
                <w:rFonts w:hAnsi="宋体" w:cs="宋体"/>
                <w:color w:val="auto"/>
                <w:sz w:val="24"/>
              </w:rPr>
            </w:pPr>
          </w:p>
        </w:tc>
        <w:tc>
          <w:tcPr>
            <w:tcW w:w="1147" w:type="dxa"/>
            <w:vAlign w:val="center"/>
          </w:tcPr>
          <w:p>
            <w:pPr>
              <w:pStyle w:val="13"/>
              <w:spacing w:line="360" w:lineRule="auto"/>
              <w:jc w:val="center"/>
              <w:rPr>
                <w:rFonts w:hAnsi="宋体" w:cs="宋体"/>
                <w:color w:val="auto"/>
                <w:sz w:val="24"/>
              </w:rPr>
            </w:pPr>
            <w:r>
              <w:rPr>
                <w:rFonts w:hint="eastAsia" w:hAnsi="宋体" w:cs="宋体"/>
                <w:color w:val="auto"/>
                <w:sz w:val="24"/>
              </w:rPr>
              <w:t>单价</w:t>
            </w:r>
          </w:p>
        </w:tc>
        <w:tc>
          <w:tcPr>
            <w:tcW w:w="1123" w:type="dxa"/>
            <w:vAlign w:val="center"/>
          </w:tcPr>
          <w:p>
            <w:pPr>
              <w:pStyle w:val="13"/>
              <w:spacing w:line="360" w:lineRule="auto"/>
              <w:jc w:val="center"/>
              <w:rPr>
                <w:rFonts w:hAnsi="宋体" w:cs="宋体"/>
                <w:color w:val="auto"/>
                <w:sz w:val="24"/>
              </w:rPr>
            </w:pPr>
            <w:r>
              <w:rPr>
                <w:rFonts w:hint="eastAsia" w:hAnsi="宋体" w:cs="宋体"/>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sz w:val="24"/>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sz w:val="24"/>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sz w:val="24"/>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sz w:val="24"/>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sz w:val="24"/>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3"/>
              <w:spacing w:line="360" w:lineRule="auto"/>
              <w:jc w:val="center"/>
              <w:rPr>
                <w:rFonts w:hAnsi="宋体" w:cs="宋体"/>
                <w:b/>
                <w:color w:val="auto"/>
                <w:sz w:val="24"/>
              </w:rPr>
            </w:pPr>
          </w:p>
        </w:tc>
        <w:tc>
          <w:tcPr>
            <w:tcW w:w="1080" w:type="dxa"/>
            <w:vAlign w:val="center"/>
          </w:tcPr>
          <w:p>
            <w:pPr>
              <w:pStyle w:val="13"/>
              <w:spacing w:line="360" w:lineRule="auto"/>
              <w:rPr>
                <w:rFonts w:hAnsi="宋体" w:cs="宋体"/>
                <w:b/>
                <w:color w:val="auto"/>
                <w:sz w:val="24"/>
              </w:rPr>
            </w:pPr>
          </w:p>
        </w:tc>
        <w:tc>
          <w:tcPr>
            <w:tcW w:w="2284" w:type="dxa"/>
            <w:vAlign w:val="center"/>
          </w:tcPr>
          <w:p>
            <w:pPr>
              <w:pStyle w:val="13"/>
              <w:spacing w:line="360" w:lineRule="auto"/>
              <w:rPr>
                <w:rFonts w:hAnsi="宋体" w:cs="宋体"/>
                <w:b/>
                <w:color w:val="auto"/>
              </w:rPr>
            </w:pPr>
          </w:p>
        </w:tc>
        <w:tc>
          <w:tcPr>
            <w:tcW w:w="1490" w:type="dxa"/>
            <w:vAlign w:val="center"/>
          </w:tcPr>
          <w:p>
            <w:pPr>
              <w:pStyle w:val="13"/>
              <w:spacing w:line="360" w:lineRule="auto"/>
              <w:rPr>
                <w:rFonts w:hAnsi="宋体" w:cs="宋体"/>
                <w:b/>
                <w:color w:val="auto"/>
                <w:sz w:val="24"/>
              </w:rPr>
            </w:pPr>
          </w:p>
        </w:tc>
        <w:tc>
          <w:tcPr>
            <w:tcW w:w="720" w:type="dxa"/>
            <w:vAlign w:val="center"/>
          </w:tcPr>
          <w:p>
            <w:pPr>
              <w:pStyle w:val="13"/>
              <w:spacing w:line="360" w:lineRule="auto"/>
              <w:rPr>
                <w:rFonts w:hAnsi="宋体" w:cs="宋体"/>
                <w:b/>
                <w:color w:val="auto"/>
                <w:sz w:val="24"/>
              </w:rPr>
            </w:pPr>
          </w:p>
        </w:tc>
        <w:tc>
          <w:tcPr>
            <w:tcW w:w="648" w:type="dxa"/>
            <w:vAlign w:val="center"/>
          </w:tcPr>
          <w:p>
            <w:pPr>
              <w:pStyle w:val="13"/>
              <w:spacing w:line="360" w:lineRule="auto"/>
              <w:rPr>
                <w:rFonts w:hAnsi="宋体" w:cs="宋体"/>
                <w:b/>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40" w:type="dxa"/>
          </w:tcPr>
          <w:p>
            <w:pPr>
              <w:pStyle w:val="13"/>
              <w:spacing w:line="360" w:lineRule="auto"/>
              <w:rPr>
                <w:rFonts w:hAnsi="宋体" w:cs="宋体"/>
                <w:color w:val="auto"/>
                <w:sz w:val="24"/>
              </w:rPr>
            </w:pPr>
          </w:p>
        </w:tc>
        <w:tc>
          <w:tcPr>
            <w:tcW w:w="1080" w:type="dxa"/>
          </w:tcPr>
          <w:p>
            <w:pPr>
              <w:pStyle w:val="13"/>
              <w:spacing w:line="360" w:lineRule="auto"/>
              <w:rPr>
                <w:rFonts w:hAnsi="宋体" w:cs="宋体"/>
                <w:color w:val="auto"/>
                <w:sz w:val="24"/>
              </w:rPr>
            </w:pPr>
          </w:p>
        </w:tc>
        <w:tc>
          <w:tcPr>
            <w:tcW w:w="2284" w:type="dxa"/>
          </w:tcPr>
          <w:p>
            <w:pPr>
              <w:pStyle w:val="13"/>
              <w:spacing w:line="360" w:lineRule="auto"/>
              <w:rPr>
                <w:rFonts w:hAnsi="宋体" w:cs="宋体"/>
                <w:color w:val="auto"/>
                <w:sz w:val="24"/>
              </w:rPr>
            </w:pPr>
          </w:p>
        </w:tc>
        <w:tc>
          <w:tcPr>
            <w:tcW w:w="1490" w:type="dxa"/>
          </w:tcPr>
          <w:p>
            <w:pPr>
              <w:pStyle w:val="13"/>
              <w:spacing w:line="360" w:lineRule="auto"/>
              <w:rPr>
                <w:rFonts w:hAnsi="宋体" w:cs="宋体"/>
                <w:color w:val="auto"/>
                <w:sz w:val="24"/>
              </w:rPr>
            </w:pPr>
          </w:p>
        </w:tc>
        <w:tc>
          <w:tcPr>
            <w:tcW w:w="720" w:type="dxa"/>
          </w:tcPr>
          <w:p>
            <w:pPr>
              <w:pStyle w:val="13"/>
              <w:spacing w:line="360" w:lineRule="auto"/>
              <w:rPr>
                <w:rFonts w:hAnsi="宋体" w:cs="宋体"/>
                <w:color w:val="auto"/>
                <w:sz w:val="24"/>
              </w:rPr>
            </w:pPr>
          </w:p>
        </w:tc>
        <w:tc>
          <w:tcPr>
            <w:tcW w:w="648" w:type="dxa"/>
          </w:tcPr>
          <w:p>
            <w:pPr>
              <w:pStyle w:val="13"/>
              <w:spacing w:line="360" w:lineRule="auto"/>
              <w:rPr>
                <w:rFonts w:hAnsi="宋体" w:cs="宋体"/>
                <w:color w:val="auto"/>
                <w:sz w:val="24"/>
              </w:rPr>
            </w:pPr>
          </w:p>
        </w:tc>
        <w:tc>
          <w:tcPr>
            <w:tcW w:w="1147" w:type="dxa"/>
          </w:tcPr>
          <w:p>
            <w:pPr>
              <w:pStyle w:val="13"/>
              <w:spacing w:line="360" w:lineRule="auto"/>
              <w:rPr>
                <w:rFonts w:hAnsi="宋体" w:cs="宋体"/>
                <w:color w:val="auto"/>
                <w:sz w:val="24"/>
              </w:rPr>
            </w:pPr>
          </w:p>
        </w:tc>
        <w:tc>
          <w:tcPr>
            <w:tcW w:w="1123" w:type="dxa"/>
          </w:tcPr>
          <w:p>
            <w:pPr>
              <w:pStyle w:val="13"/>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vAlign w:val="center"/>
          </w:tcPr>
          <w:p>
            <w:pPr>
              <w:pStyle w:val="13"/>
              <w:spacing w:line="360" w:lineRule="auto"/>
              <w:jc w:val="center"/>
              <w:rPr>
                <w:rFonts w:hAnsi="宋体" w:cs="宋体"/>
                <w:color w:val="auto"/>
                <w:sz w:val="24"/>
              </w:rPr>
            </w:pPr>
            <w:r>
              <w:rPr>
                <w:rFonts w:hint="eastAsia" w:hAnsi="宋体" w:cs="宋体"/>
                <w:color w:val="auto"/>
                <w:sz w:val="24"/>
              </w:rPr>
              <w:t>投标总价</w:t>
            </w:r>
          </w:p>
        </w:tc>
        <w:tc>
          <w:tcPr>
            <w:tcW w:w="7412" w:type="dxa"/>
            <w:gridSpan w:val="6"/>
            <w:vAlign w:val="center"/>
          </w:tcPr>
          <w:p>
            <w:pPr>
              <w:pStyle w:val="13"/>
              <w:spacing w:line="360" w:lineRule="auto"/>
              <w:jc w:val="center"/>
              <w:rPr>
                <w:rFonts w:hAnsi="宋体" w:cs="宋体"/>
                <w:color w:val="auto"/>
                <w:sz w:val="24"/>
              </w:rPr>
            </w:pPr>
            <w:r>
              <w:rPr>
                <w:rFonts w:hint="eastAsia" w:hAnsi="宋体" w:cs="宋体"/>
                <w:color w:val="auto"/>
                <w:sz w:val="24"/>
              </w:rPr>
              <w:t>大写：</w:t>
            </w:r>
            <w:r>
              <w:rPr>
                <w:rFonts w:hint="eastAsia" w:hAnsi="宋体" w:cs="宋体"/>
                <w:color w:val="auto"/>
                <w:sz w:val="24"/>
                <w:u w:val="single"/>
              </w:rPr>
              <w:t xml:space="preserve">　　　　                </w:t>
            </w:r>
            <w:r>
              <w:rPr>
                <w:rFonts w:hint="eastAsia" w:hAnsi="宋体" w:cs="宋体"/>
                <w:color w:val="auto"/>
                <w:sz w:val="24"/>
              </w:rPr>
              <w:t>元（小写：</w:t>
            </w:r>
            <w:r>
              <w:rPr>
                <w:rFonts w:hint="eastAsia" w:hAnsi="宋体" w:cs="宋体"/>
                <w:color w:val="auto"/>
                <w:sz w:val="24"/>
                <w:u w:val="single"/>
              </w:rPr>
              <w:t>　　　　　</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32" w:type="dxa"/>
            <w:gridSpan w:val="8"/>
            <w:vAlign w:val="center"/>
          </w:tcPr>
          <w:p>
            <w:pPr>
              <w:widowControl/>
              <w:jc w:val="center"/>
              <w:rPr>
                <w:rFonts w:hAnsi="宋体"/>
                <w:b/>
                <w:bCs/>
                <w:color w:val="auto"/>
                <w:sz w:val="24"/>
                <w:szCs w:val="24"/>
              </w:rPr>
            </w:pPr>
            <w:r>
              <w:rPr>
                <w:rFonts w:hint="eastAsia" w:hAnsi="宋体"/>
                <w:b/>
                <w:bCs/>
                <w:color w:val="auto"/>
                <w:sz w:val="24"/>
                <w:szCs w:val="24"/>
              </w:rPr>
              <w:t>本次报价包括完成本项目所需的所有费用必须包含在总报价中，如以后已实施</w:t>
            </w:r>
          </w:p>
          <w:p>
            <w:pPr>
              <w:pStyle w:val="13"/>
              <w:spacing w:line="360" w:lineRule="auto"/>
              <w:ind w:firstLine="482" w:firstLineChars="200"/>
              <w:jc w:val="center"/>
              <w:rPr>
                <w:rFonts w:hint="eastAsia" w:hAnsi="宋体" w:eastAsia="宋体" w:cs="宋体"/>
                <w:color w:val="auto"/>
                <w:sz w:val="24"/>
                <w:lang w:eastAsia="zh-CN"/>
              </w:rPr>
            </w:pPr>
            <w:r>
              <w:rPr>
                <w:rFonts w:hint="eastAsia" w:hAnsi="宋体"/>
                <w:b/>
                <w:bCs/>
                <w:color w:val="auto"/>
                <w:sz w:val="24"/>
                <w:szCs w:val="24"/>
              </w:rPr>
              <w:t>而未列入报价的费用将被视为投标人优惠，采购人均不予支付。</w:t>
            </w:r>
          </w:p>
        </w:tc>
      </w:tr>
    </w:tbl>
    <w:p>
      <w:pPr>
        <w:pStyle w:val="13"/>
        <w:spacing w:line="360" w:lineRule="auto"/>
        <w:ind w:firstLine="480" w:firstLineChars="200"/>
        <w:rPr>
          <w:rFonts w:hAnsi="宋体" w:cs="宋体"/>
          <w:color w:val="auto"/>
          <w:sz w:val="24"/>
        </w:rPr>
      </w:pPr>
      <w:r>
        <w:rPr>
          <w:rFonts w:hint="eastAsia" w:hAnsi="宋体" w:cs="宋体"/>
          <w:color w:val="auto"/>
          <w:sz w:val="24"/>
        </w:rPr>
        <w:t>注：内容可根据供应商实际情况自行调整。</w:t>
      </w:r>
    </w:p>
    <w:p>
      <w:pPr>
        <w:pStyle w:val="13"/>
        <w:spacing w:line="360" w:lineRule="auto"/>
        <w:rPr>
          <w:rFonts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szCs w:val="24"/>
        </w:rPr>
      </w:pPr>
      <w:r>
        <w:rPr>
          <w:rFonts w:hint="eastAsia" w:ascii="宋体" w:hAnsi="宋体" w:cs="宋体"/>
          <w:color w:val="auto"/>
          <w:sz w:val="24"/>
        </w:rPr>
        <w:t>供应商全称（公章）：</w:t>
      </w:r>
      <w:bookmarkEnd w:id="163"/>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9B02"/>
    <w:multiLevelType w:val="singleLevel"/>
    <w:tmpl w:val="8D2F9B02"/>
    <w:lvl w:ilvl="0" w:tentative="0">
      <w:start w:val="1"/>
      <w:numFmt w:val="chineseCounting"/>
      <w:suff w:val="nothing"/>
      <w:lvlText w:val="（%1）"/>
      <w:lvlJc w:val="left"/>
      <w:pPr>
        <w:ind w:left="0" w:firstLine="420"/>
      </w:pPr>
      <w:rPr>
        <w:rFonts w:hint="eastAsia"/>
      </w:rPr>
    </w:lvl>
  </w:abstractNum>
  <w:abstractNum w:abstractNumId="1">
    <w:nsid w:val="A1AEC6AF"/>
    <w:multiLevelType w:val="singleLevel"/>
    <w:tmpl w:val="A1AEC6AF"/>
    <w:lvl w:ilvl="0" w:tentative="0">
      <w:start w:val="1"/>
      <w:numFmt w:val="chineseCounting"/>
      <w:suff w:val="space"/>
      <w:lvlText w:val="%1．"/>
      <w:lvlJc w:val="left"/>
      <w:rPr>
        <w:rFonts w:hint="eastAsia"/>
      </w:rPr>
    </w:lvl>
  </w:abstractNum>
  <w:abstractNum w:abstractNumId="2">
    <w:nsid w:val="EAAD48E1"/>
    <w:multiLevelType w:val="singleLevel"/>
    <w:tmpl w:val="EAAD48E1"/>
    <w:lvl w:ilvl="0" w:tentative="0">
      <w:start w:val="1"/>
      <w:numFmt w:val="chineseCounting"/>
      <w:suff w:val="nothing"/>
      <w:lvlText w:val="%1、"/>
      <w:lvlJc w:val="left"/>
      <w:rPr>
        <w:rFonts w:hint="eastAsia"/>
      </w:rPr>
    </w:lvl>
  </w:abstractNum>
  <w:abstractNum w:abstractNumId="3">
    <w:nsid w:val="FD6EFEA6"/>
    <w:multiLevelType w:val="singleLevel"/>
    <w:tmpl w:val="FD6EFEA6"/>
    <w:lvl w:ilvl="0" w:tentative="0">
      <w:start w:val="2"/>
      <w:numFmt w:val="chineseCounting"/>
      <w:suff w:val="nothing"/>
      <w:lvlText w:val="%1、"/>
      <w:lvlJc w:val="left"/>
      <w:rPr>
        <w:rFonts w:hint="eastAsia"/>
      </w:rPr>
    </w:lvl>
  </w:abstractNum>
  <w:abstractNum w:abstractNumId="4">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5">
    <w:nsid w:val="00000002"/>
    <w:multiLevelType w:val="singleLevel"/>
    <w:tmpl w:val="00000002"/>
    <w:lvl w:ilvl="0" w:tentative="0">
      <w:start w:val="1"/>
      <w:numFmt w:val="chineseCounting"/>
      <w:suff w:val="nothing"/>
      <w:lvlText w:val="%1、"/>
      <w:lvlJc w:val="left"/>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7">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8">
    <w:nsid w:val="00000005"/>
    <w:multiLevelType w:val="singleLevel"/>
    <w:tmpl w:val="00000005"/>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11">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2">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3">
    <w:nsid w:val="0000000A"/>
    <w:multiLevelType w:val="singleLevel"/>
    <w:tmpl w:val="0000000A"/>
    <w:lvl w:ilvl="0" w:tentative="0">
      <w:start w:val="4"/>
      <w:numFmt w:val="chineseCounting"/>
      <w:suff w:val="nothing"/>
      <w:lvlText w:val="%1、"/>
      <w:lvlJc w:val="left"/>
      <w:rPr>
        <w:rFonts w:hint="eastAsia"/>
      </w:rPr>
    </w:lvl>
  </w:abstractNum>
  <w:abstractNum w:abstractNumId="14">
    <w:nsid w:val="0000000C"/>
    <w:multiLevelType w:val="multilevel"/>
    <w:tmpl w:val="0000000C"/>
    <w:lvl w:ilvl="0" w:tentative="0">
      <w:start w:val="1"/>
      <w:numFmt w:val="upperLetter"/>
      <w:pStyle w:val="8"/>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960"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6">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7">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18">
    <w:nsid w:val="07A1B1D7"/>
    <w:multiLevelType w:val="singleLevel"/>
    <w:tmpl w:val="07A1B1D7"/>
    <w:lvl w:ilvl="0" w:tentative="0">
      <w:start w:val="1"/>
      <w:numFmt w:val="chineseCounting"/>
      <w:suff w:val="nothing"/>
      <w:lvlText w:val="（%1）"/>
      <w:lvlJc w:val="left"/>
      <w:pPr>
        <w:ind w:left="0" w:firstLine="420"/>
      </w:pPr>
      <w:rPr>
        <w:rFonts w:hint="eastAsia"/>
      </w:rPr>
    </w:lvl>
  </w:abstractNum>
  <w:abstractNum w:abstractNumId="19">
    <w:nsid w:val="0872D538"/>
    <w:multiLevelType w:val="singleLevel"/>
    <w:tmpl w:val="0872D538"/>
    <w:lvl w:ilvl="0" w:tentative="0">
      <w:start w:val="1"/>
      <w:numFmt w:val="chineseCounting"/>
      <w:suff w:val="nothing"/>
      <w:lvlText w:val="%1、"/>
      <w:lvlJc w:val="left"/>
      <w:rPr>
        <w:rFonts w:hint="eastAsia"/>
      </w:rPr>
    </w:lvl>
  </w:abstractNum>
  <w:abstractNum w:abstractNumId="20">
    <w:nsid w:val="255277B8"/>
    <w:multiLevelType w:val="multilevel"/>
    <w:tmpl w:val="255277B8"/>
    <w:lvl w:ilvl="0" w:tentative="0">
      <w:start w:val="1"/>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3A282CC9"/>
    <w:multiLevelType w:val="singleLevel"/>
    <w:tmpl w:val="3A282CC9"/>
    <w:lvl w:ilvl="0" w:tentative="0">
      <w:start w:val="1"/>
      <w:numFmt w:val="decimalEnclosedCircleChinese"/>
      <w:suff w:val="nothing"/>
      <w:lvlText w:val="%1　"/>
      <w:lvlJc w:val="left"/>
      <w:pPr>
        <w:ind w:left="420" w:firstLine="1134"/>
      </w:pPr>
      <w:rPr>
        <w:rFonts w:hint="eastAsia"/>
      </w:rPr>
    </w:lvl>
  </w:abstractNum>
  <w:abstractNum w:abstractNumId="22">
    <w:nsid w:val="3AFDAC36"/>
    <w:multiLevelType w:val="multilevel"/>
    <w:tmpl w:val="3AFDAC36"/>
    <w:lvl w:ilvl="0" w:tentative="0">
      <w:start w:val="1"/>
      <w:numFmt w:val="chineseCountingThousand"/>
      <w:suff w:val="nothing"/>
      <w:lvlText w:val="第%1章 "/>
      <w:lvlJc w:val="left"/>
      <w:rPr>
        <w:rFonts w:hint="eastAsia" w:cs="Times New Roman"/>
      </w:rPr>
    </w:lvl>
    <w:lvl w:ilvl="1" w:tentative="0">
      <w:start w:val="1"/>
      <w:numFmt w:val="decimal"/>
      <w:isLgl/>
      <w:lvlText w:val="%1.%2"/>
      <w:lvlJc w:val="left"/>
      <w:rPr>
        <w:rFonts w:hint="eastAsia" w:ascii="黑体" w:hAnsi="黑体" w:eastAsia="黑体" w:cs="Times New Roman"/>
        <w:sz w:val="32"/>
        <w:szCs w:val="32"/>
      </w:rPr>
    </w:lvl>
    <w:lvl w:ilvl="2" w:tentative="0">
      <w:start w:val="1"/>
      <w:numFmt w:val="decimal"/>
      <w:isLgl/>
      <w:lvlText w:val="%1.%2.%3."/>
      <w:lvlJc w:val="left"/>
      <w:rPr>
        <w:rFonts w:hint="eastAsia" w:ascii="黑体" w:hAnsi="黑体" w:eastAsia="黑体" w:cs="Times New Roman"/>
      </w:rPr>
    </w:lvl>
    <w:lvl w:ilvl="3" w:tentative="0">
      <w:start w:val="1"/>
      <w:numFmt w:val="decimal"/>
      <w:isLgl/>
      <w:lvlText w:val="%1.%2.%3.%4."/>
      <w:lvlJc w:val="left"/>
      <w:rPr>
        <w:rFonts w:hint="eastAsia" w:ascii="宋体" w:hAnsi="宋体" w:eastAsia="宋体" w:cs="Times New Roman"/>
      </w:rPr>
    </w:lvl>
    <w:lvl w:ilvl="4" w:tentative="0">
      <w:start w:val="1"/>
      <w:numFmt w:val="decimal"/>
      <w:isLgl/>
      <w:lvlText w:val="%1.%2.%3.%4.%5."/>
      <w:lvlJc w:val="left"/>
      <w:rPr>
        <w:rFonts w:hint="eastAsia" w:cs="Times New Roman"/>
        <w:b/>
        <w:bCs w:val="0"/>
        <w:i w:val="0"/>
        <w:iCs w:val="0"/>
        <w:caps w:val="0"/>
        <w:smallCaps w:val="0"/>
        <w:strike w:val="0"/>
        <w:dstrike w:val="0"/>
        <w:vanish w:val="0"/>
        <w:spacing w:val="0"/>
        <w:position w:val="0"/>
        <w:u w:val="none"/>
        <w:vertAlign w:val="baseline"/>
      </w:rPr>
    </w:lvl>
    <w:lvl w:ilvl="5" w:tentative="0">
      <w:start w:val="1"/>
      <w:numFmt w:val="decimal"/>
      <w:pStyle w:val="10"/>
      <w:isLgl/>
      <w:lvlText w:val="%1.%2.%3.%4.%5.%6."/>
      <w:lvlJc w:val="left"/>
    </w:lvl>
    <w:lvl w:ilvl="6" w:tentative="0">
      <w:start w:val="1"/>
      <w:numFmt w:val="decimal"/>
      <w:isLgl/>
      <w:lvlText w:val="%1.%2.%3.%4.%5.%6.%7"/>
      <w:lvlJc w:val="left"/>
      <w:rPr>
        <w:rFonts w:hint="eastAsia" w:cs="Times New Roman"/>
      </w:rPr>
    </w:lvl>
    <w:lvl w:ilvl="7" w:tentative="0">
      <w:start w:val="1"/>
      <w:numFmt w:val="decimal"/>
      <w:isLgl/>
      <w:lvlText w:val="%1.%2.%3.%4.%5.%6.%7.%8."/>
      <w:lvlJc w:val="left"/>
      <w:rPr>
        <w:rFonts w:cs="Times New Roman"/>
        <w:b/>
        <w:bCs w:val="0"/>
        <w:i w:val="0"/>
        <w:iCs w:val="0"/>
        <w:caps w:val="0"/>
        <w:smallCaps w:val="0"/>
        <w:strike w:val="0"/>
        <w:dstrike w:val="0"/>
        <w:vanish w:val="0"/>
        <w:spacing w:val="0"/>
        <w:position w:val="0"/>
        <w:u w:val="none"/>
        <w:vertAlign w:val="baseline"/>
      </w:rPr>
    </w:lvl>
    <w:lvl w:ilvl="8" w:tentative="0">
      <w:start w:val="1"/>
      <w:numFmt w:val="decimal"/>
      <w:isLgl/>
      <w:lvlText w:val="%1.%2.%3.%4.%5.%6.%7.%8.%9."/>
      <w:lvlJc w:val="left"/>
      <w:rPr>
        <w:rFonts w:hint="eastAsia" w:ascii="宋体" w:hAnsi="宋体" w:eastAsia="宋体" w:cs="Times New Roman"/>
      </w:rPr>
    </w:lvl>
  </w:abstractNum>
  <w:abstractNum w:abstractNumId="23">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num w:numId="1">
    <w:abstractNumId w:val="14"/>
  </w:num>
  <w:num w:numId="2">
    <w:abstractNumId w:val="22"/>
  </w:num>
  <w:num w:numId="3">
    <w:abstractNumId w:val="1"/>
  </w:num>
  <w:num w:numId="4">
    <w:abstractNumId w:val="7"/>
  </w:num>
  <w:num w:numId="5">
    <w:abstractNumId w:val="16"/>
  </w:num>
  <w:num w:numId="6">
    <w:abstractNumId w:val="10"/>
  </w:num>
  <w:num w:numId="7">
    <w:abstractNumId w:val="17"/>
  </w:num>
  <w:num w:numId="8">
    <w:abstractNumId w:val="11"/>
  </w:num>
  <w:num w:numId="9">
    <w:abstractNumId w:val="8"/>
  </w:num>
  <w:num w:numId="10">
    <w:abstractNumId w:val="9"/>
  </w:num>
  <w:num w:numId="11">
    <w:abstractNumId w:val="15"/>
  </w:num>
  <w:num w:numId="12">
    <w:abstractNumId w:val="23"/>
  </w:num>
  <w:num w:numId="13">
    <w:abstractNumId w:val="6"/>
  </w:num>
  <w:num w:numId="14">
    <w:abstractNumId w:val="4"/>
  </w:num>
  <w:num w:numId="15">
    <w:abstractNumId w:val="12"/>
  </w:num>
  <w:num w:numId="16">
    <w:abstractNumId w:val="2"/>
  </w:num>
  <w:num w:numId="17">
    <w:abstractNumId w:val="1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3"/>
  </w:num>
  <w:num w:numId="23">
    <w:abstractNumId w:val="20"/>
  </w:num>
  <w:num w:numId="24">
    <w:abstractNumId w:val="19"/>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009238AE"/>
    <w:rsid w:val="00005CCA"/>
    <w:rsid w:val="000203FD"/>
    <w:rsid w:val="00024E8A"/>
    <w:rsid w:val="0006698C"/>
    <w:rsid w:val="0007016B"/>
    <w:rsid w:val="00085977"/>
    <w:rsid w:val="000A118A"/>
    <w:rsid w:val="000A79C7"/>
    <w:rsid w:val="000B3ED2"/>
    <w:rsid w:val="000E253D"/>
    <w:rsid w:val="00104083"/>
    <w:rsid w:val="0011189F"/>
    <w:rsid w:val="0015334C"/>
    <w:rsid w:val="00155EC9"/>
    <w:rsid w:val="00162F4F"/>
    <w:rsid w:val="001B53CA"/>
    <w:rsid w:val="001C462B"/>
    <w:rsid w:val="0020596C"/>
    <w:rsid w:val="00241844"/>
    <w:rsid w:val="0028336A"/>
    <w:rsid w:val="00284BAC"/>
    <w:rsid w:val="002C77B0"/>
    <w:rsid w:val="002D0F58"/>
    <w:rsid w:val="003027E9"/>
    <w:rsid w:val="00303700"/>
    <w:rsid w:val="0032770A"/>
    <w:rsid w:val="003410EC"/>
    <w:rsid w:val="00370C7E"/>
    <w:rsid w:val="003A688A"/>
    <w:rsid w:val="003B0FBD"/>
    <w:rsid w:val="003E654D"/>
    <w:rsid w:val="00421375"/>
    <w:rsid w:val="00440364"/>
    <w:rsid w:val="00444CA1"/>
    <w:rsid w:val="0044577A"/>
    <w:rsid w:val="00451447"/>
    <w:rsid w:val="004762C8"/>
    <w:rsid w:val="0047670C"/>
    <w:rsid w:val="0048177D"/>
    <w:rsid w:val="004E31A0"/>
    <w:rsid w:val="004F00E1"/>
    <w:rsid w:val="004F5BEC"/>
    <w:rsid w:val="00505860"/>
    <w:rsid w:val="00515DC6"/>
    <w:rsid w:val="00521AD2"/>
    <w:rsid w:val="005672F4"/>
    <w:rsid w:val="005A38CC"/>
    <w:rsid w:val="005B4B0B"/>
    <w:rsid w:val="005C4CFE"/>
    <w:rsid w:val="005C7898"/>
    <w:rsid w:val="00637E3F"/>
    <w:rsid w:val="00664F5E"/>
    <w:rsid w:val="00697B9C"/>
    <w:rsid w:val="006D79B5"/>
    <w:rsid w:val="00702E43"/>
    <w:rsid w:val="00705638"/>
    <w:rsid w:val="00715EF9"/>
    <w:rsid w:val="00716322"/>
    <w:rsid w:val="00723887"/>
    <w:rsid w:val="007455BE"/>
    <w:rsid w:val="00754D5C"/>
    <w:rsid w:val="0078092C"/>
    <w:rsid w:val="00796F9A"/>
    <w:rsid w:val="007B2EAC"/>
    <w:rsid w:val="007B3B5A"/>
    <w:rsid w:val="007D144C"/>
    <w:rsid w:val="00802745"/>
    <w:rsid w:val="00845C29"/>
    <w:rsid w:val="008578AA"/>
    <w:rsid w:val="00867CCF"/>
    <w:rsid w:val="00873316"/>
    <w:rsid w:val="0087730C"/>
    <w:rsid w:val="0088699A"/>
    <w:rsid w:val="008B3887"/>
    <w:rsid w:val="008C5044"/>
    <w:rsid w:val="008C72CC"/>
    <w:rsid w:val="008E34EF"/>
    <w:rsid w:val="009050C0"/>
    <w:rsid w:val="009238AE"/>
    <w:rsid w:val="009443F5"/>
    <w:rsid w:val="00981653"/>
    <w:rsid w:val="00994F88"/>
    <w:rsid w:val="009D13B3"/>
    <w:rsid w:val="009E2834"/>
    <w:rsid w:val="00A1456B"/>
    <w:rsid w:val="00A15D82"/>
    <w:rsid w:val="00A230E7"/>
    <w:rsid w:val="00A56072"/>
    <w:rsid w:val="00A82D20"/>
    <w:rsid w:val="00A830A7"/>
    <w:rsid w:val="00A87EB2"/>
    <w:rsid w:val="00A97C7C"/>
    <w:rsid w:val="00AC29B4"/>
    <w:rsid w:val="00AE4A15"/>
    <w:rsid w:val="00B023F7"/>
    <w:rsid w:val="00B07915"/>
    <w:rsid w:val="00B248A9"/>
    <w:rsid w:val="00B2593F"/>
    <w:rsid w:val="00B7326F"/>
    <w:rsid w:val="00BD7BC2"/>
    <w:rsid w:val="00BF24EF"/>
    <w:rsid w:val="00BF782E"/>
    <w:rsid w:val="00C071E7"/>
    <w:rsid w:val="00C53929"/>
    <w:rsid w:val="00C62746"/>
    <w:rsid w:val="00C665DD"/>
    <w:rsid w:val="00C66A5A"/>
    <w:rsid w:val="00C82A9E"/>
    <w:rsid w:val="00C93B35"/>
    <w:rsid w:val="00CA05DC"/>
    <w:rsid w:val="00CA116E"/>
    <w:rsid w:val="00CB6D03"/>
    <w:rsid w:val="00CD0983"/>
    <w:rsid w:val="00D1074B"/>
    <w:rsid w:val="00D1598B"/>
    <w:rsid w:val="00D32FE0"/>
    <w:rsid w:val="00D40FE2"/>
    <w:rsid w:val="00D84DC1"/>
    <w:rsid w:val="00DA33C7"/>
    <w:rsid w:val="00DD2C96"/>
    <w:rsid w:val="00DD70BA"/>
    <w:rsid w:val="00DF7FAD"/>
    <w:rsid w:val="00E17F8F"/>
    <w:rsid w:val="00E759DE"/>
    <w:rsid w:val="00E8363E"/>
    <w:rsid w:val="00E863FE"/>
    <w:rsid w:val="00E877D2"/>
    <w:rsid w:val="00EA0CE7"/>
    <w:rsid w:val="00EF3768"/>
    <w:rsid w:val="00F031A7"/>
    <w:rsid w:val="00F11E73"/>
    <w:rsid w:val="00F37C15"/>
    <w:rsid w:val="00F40FD7"/>
    <w:rsid w:val="00F41FDC"/>
    <w:rsid w:val="00F66B7B"/>
    <w:rsid w:val="012D1043"/>
    <w:rsid w:val="03871DC7"/>
    <w:rsid w:val="040218DF"/>
    <w:rsid w:val="04932222"/>
    <w:rsid w:val="058D5735"/>
    <w:rsid w:val="06AD4B41"/>
    <w:rsid w:val="0750564C"/>
    <w:rsid w:val="076A3D53"/>
    <w:rsid w:val="07D07BCF"/>
    <w:rsid w:val="084D079F"/>
    <w:rsid w:val="0857273B"/>
    <w:rsid w:val="093A1985"/>
    <w:rsid w:val="095C7F3B"/>
    <w:rsid w:val="0A785CAB"/>
    <w:rsid w:val="0A7D68CB"/>
    <w:rsid w:val="0AED4CFD"/>
    <w:rsid w:val="0C5F0057"/>
    <w:rsid w:val="0C947E70"/>
    <w:rsid w:val="10345524"/>
    <w:rsid w:val="10DA3734"/>
    <w:rsid w:val="10E93D4E"/>
    <w:rsid w:val="11610104"/>
    <w:rsid w:val="11A32626"/>
    <w:rsid w:val="11A752F3"/>
    <w:rsid w:val="12136E27"/>
    <w:rsid w:val="12F820F0"/>
    <w:rsid w:val="134F021D"/>
    <w:rsid w:val="13A55A1C"/>
    <w:rsid w:val="15246428"/>
    <w:rsid w:val="153638BB"/>
    <w:rsid w:val="15855928"/>
    <w:rsid w:val="15E16D29"/>
    <w:rsid w:val="163A0A31"/>
    <w:rsid w:val="166F652A"/>
    <w:rsid w:val="174D20CC"/>
    <w:rsid w:val="177E0A01"/>
    <w:rsid w:val="178076FA"/>
    <w:rsid w:val="19304397"/>
    <w:rsid w:val="19697EAD"/>
    <w:rsid w:val="19AC7D2F"/>
    <w:rsid w:val="19D246EC"/>
    <w:rsid w:val="19FB0881"/>
    <w:rsid w:val="1B3277E5"/>
    <w:rsid w:val="1C220782"/>
    <w:rsid w:val="1C527621"/>
    <w:rsid w:val="1CE77446"/>
    <w:rsid w:val="1D9D670D"/>
    <w:rsid w:val="1E256A0D"/>
    <w:rsid w:val="1E6B472F"/>
    <w:rsid w:val="1EC154C0"/>
    <w:rsid w:val="1F715EB6"/>
    <w:rsid w:val="21D52DE3"/>
    <w:rsid w:val="22237002"/>
    <w:rsid w:val="23434D46"/>
    <w:rsid w:val="242A0B1C"/>
    <w:rsid w:val="24B77ED6"/>
    <w:rsid w:val="27062E70"/>
    <w:rsid w:val="2A4E5C47"/>
    <w:rsid w:val="2AA25646"/>
    <w:rsid w:val="2BA8213A"/>
    <w:rsid w:val="2BAD08B5"/>
    <w:rsid w:val="2C163734"/>
    <w:rsid w:val="2C38632B"/>
    <w:rsid w:val="2D6649A5"/>
    <w:rsid w:val="2EBD0E37"/>
    <w:rsid w:val="2F17377A"/>
    <w:rsid w:val="2F1E5313"/>
    <w:rsid w:val="2FAB58C1"/>
    <w:rsid w:val="31F94EEB"/>
    <w:rsid w:val="327505AE"/>
    <w:rsid w:val="335608C6"/>
    <w:rsid w:val="34907349"/>
    <w:rsid w:val="36E37651"/>
    <w:rsid w:val="37FE3BB5"/>
    <w:rsid w:val="39463128"/>
    <w:rsid w:val="395843EC"/>
    <w:rsid w:val="3A4257C1"/>
    <w:rsid w:val="3A7022ED"/>
    <w:rsid w:val="3C0E3BCD"/>
    <w:rsid w:val="3E5F0BC8"/>
    <w:rsid w:val="3EF94CDF"/>
    <w:rsid w:val="3F0338BD"/>
    <w:rsid w:val="3F1921C0"/>
    <w:rsid w:val="3F6D089B"/>
    <w:rsid w:val="401D2662"/>
    <w:rsid w:val="408918AE"/>
    <w:rsid w:val="413C1A16"/>
    <w:rsid w:val="41E77D4E"/>
    <w:rsid w:val="427B2750"/>
    <w:rsid w:val="4293772E"/>
    <w:rsid w:val="42AE6605"/>
    <w:rsid w:val="43AE2740"/>
    <w:rsid w:val="46AB2EEC"/>
    <w:rsid w:val="47463507"/>
    <w:rsid w:val="47B47B3D"/>
    <w:rsid w:val="4891224F"/>
    <w:rsid w:val="490E445B"/>
    <w:rsid w:val="491134DD"/>
    <w:rsid w:val="4B212CAE"/>
    <w:rsid w:val="4BC6475E"/>
    <w:rsid w:val="4C2F1992"/>
    <w:rsid w:val="4C981AC7"/>
    <w:rsid w:val="4CBC4222"/>
    <w:rsid w:val="4DDA5E53"/>
    <w:rsid w:val="4F6E05EC"/>
    <w:rsid w:val="4FFC6C46"/>
    <w:rsid w:val="50316AFD"/>
    <w:rsid w:val="50611726"/>
    <w:rsid w:val="50E753FB"/>
    <w:rsid w:val="50F70163"/>
    <w:rsid w:val="512630B2"/>
    <w:rsid w:val="5139014B"/>
    <w:rsid w:val="514359C6"/>
    <w:rsid w:val="520E2829"/>
    <w:rsid w:val="524A0E47"/>
    <w:rsid w:val="539841AD"/>
    <w:rsid w:val="53BE6DFC"/>
    <w:rsid w:val="54696A0D"/>
    <w:rsid w:val="551C775D"/>
    <w:rsid w:val="555315B8"/>
    <w:rsid w:val="55A25EB5"/>
    <w:rsid w:val="560B7461"/>
    <w:rsid w:val="566C4D15"/>
    <w:rsid w:val="57ED39CE"/>
    <w:rsid w:val="5839498E"/>
    <w:rsid w:val="5A5E2E5F"/>
    <w:rsid w:val="5AB21CD6"/>
    <w:rsid w:val="5D582069"/>
    <w:rsid w:val="5FCA7075"/>
    <w:rsid w:val="60C76BAD"/>
    <w:rsid w:val="6129252B"/>
    <w:rsid w:val="617032A7"/>
    <w:rsid w:val="62A766D6"/>
    <w:rsid w:val="63A24205"/>
    <w:rsid w:val="64C0117D"/>
    <w:rsid w:val="64D64FF8"/>
    <w:rsid w:val="655874CF"/>
    <w:rsid w:val="66402691"/>
    <w:rsid w:val="667D5043"/>
    <w:rsid w:val="66FF570B"/>
    <w:rsid w:val="670755B5"/>
    <w:rsid w:val="670D42A8"/>
    <w:rsid w:val="67270AFC"/>
    <w:rsid w:val="67DD5273"/>
    <w:rsid w:val="685327C0"/>
    <w:rsid w:val="6A740BDF"/>
    <w:rsid w:val="6AAE36B0"/>
    <w:rsid w:val="6AC12A02"/>
    <w:rsid w:val="6B480E55"/>
    <w:rsid w:val="6B551715"/>
    <w:rsid w:val="6D0D4676"/>
    <w:rsid w:val="6DFE6BFE"/>
    <w:rsid w:val="6E435AAD"/>
    <w:rsid w:val="71B81C2B"/>
    <w:rsid w:val="71DC40DB"/>
    <w:rsid w:val="72480C3E"/>
    <w:rsid w:val="72A723C4"/>
    <w:rsid w:val="72FF44EF"/>
    <w:rsid w:val="731410BE"/>
    <w:rsid w:val="739130AC"/>
    <w:rsid w:val="75B50E95"/>
    <w:rsid w:val="767809CC"/>
    <w:rsid w:val="76C577E3"/>
    <w:rsid w:val="77EB2CC5"/>
    <w:rsid w:val="7835388F"/>
    <w:rsid w:val="79F15C6F"/>
    <w:rsid w:val="7B1C223C"/>
    <w:rsid w:val="7B835FAF"/>
    <w:rsid w:val="7BD34156"/>
    <w:rsid w:val="7C2B5911"/>
    <w:rsid w:val="7D0970D9"/>
    <w:rsid w:val="7D431C3D"/>
    <w:rsid w:val="7D8775BA"/>
    <w:rsid w:val="7DE06322"/>
    <w:rsid w:val="7E0A192A"/>
    <w:rsid w:val="7E512856"/>
    <w:rsid w:val="7EFE3F33"/>
    <w:rsid w:val="7FB0104A"/>
    <w:rsid w:val="7FB349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43"/>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6">
    <w:name w:val="heading 2"/>
    <w:basedOn w:val="1"/>
    <w:next w:val="7"/>
    <w:link w:val="44"/>
    <w:qFormat/>
    <w:uiPriority w:val="99"/>
    <w:pPr>
      <w:keepNext/>
      <w:spacing w:line="216" w:lineRule="auto"/>
      <w:outlineLvl w:val="1"/>
    </w:pPr>
    <w:rPr>
      <w:rFonts w:ascii="宋体" w:hAnsi="宋体" w:cs="宋体"/>
      <w:b/>
      <w:bCs/>
      <w:sz w:val="24"/>
      <w:szCs w:val="28"/>
    </w:rPr>
  </w:style>
  <w:style w:type="paragraph" w:styleId="8">
    <w:name w:val="heading 3"/>
    <w:basedOn w:val="1"/>
    <w:next w:val="1"/>
    <w:link w:val="45"/>
    <w:qFormat/>
    <w:uiPriority w:val="99"/>
    <w:pPr>
      <w:keepNext/>
      <w:numPr>
        <w:ilvl w:val="0"/>
        <w:numId w:val="1"/>
      </w:numPr>
      <w:spacing w:line="216" w:lineRule="auto"/>
      <w:outlineLvl w:val="2"/>
    </w:pPr>
    <w:rPr>
      <w:rFonts w:ascii="宋体" w:hAnsi="宋体" w:cs="宋体"/>
      <w:b/>
      <w:bCs/>
      <w:sz w:val="24"/>
      <w:szCs w:val="28"/>
    </w:rPr>
  </w:style>
  <w:style w:type="paragraph" w:styleId="9">
    <w:name w:val="heading 4"/>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paragraph" w:styleId="10">
    <w:name w:val="heading 6"/>
    <w:basedOn w:val="1"/>
    <w:next w:val="1"/>
    <w:qFormat/>
    <w:uiPriority w:val="0"/>
    <w:pPr>
      <w:numPr>
        <w:ilvl w:val="5"/>
        <w:numId w:val="2"/>
      </w:numPr>
      <w:tabs>
        <w:tab w:val="left" w:pos="0"/>
        <w:tab w:val="left" w:leader="dot" w:pos="420"/>
      </w:tabs>
      <w:adjustRightInd w:val="0"/>
      <w:spacing w:before="64" w:after="64" w:line="317" w:lineRule="auto"/>
      <w:ind w:firstLine="0" w:firstLineChars="0"/>
      <w:outlineLvl w:val="5"/>
    </w:pPr>
    <w:rPr>
      <w:rFonts w:ascii="Arial" w:hAnsi="Arial"/>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8"/>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3">
    <w:name w:val="Body Text First Indent 2"/>
    <w:basedOn w:val="4"/>
    <w:next w:val="1"/>
    <w:qFormat/>
    <w:uiPriority w:val="0"/>
    <w:pPr>
      <w:ind w:firstLine="420"/>
    </w:pPr>
  </w:style>
  <w:style w:type="paragraph" w:styleId="4">
    <w:name w:val="Body Text"/>
    <w:basedOn w:val="1"/>
    <w:link w:val="46"/>
    <w:qFormat/>
    <w:uiPriority w:val="99"/>
    <w:rPr>
      <w:rFonts w:ascii="Times New Roman" w:hAnsi="Times New Roman" w:eastAsia="宋体" w:cs="Times New Roman"/>
      <w:lang w:val="en-US" w:eastAsia="zh-CN" w:bidi="ar-SA"/>
    </w:rPr>
  </w:style>
  <w:style w:type="paragraph" w:styleId="7">
    <w:name w:val="Normal Indent"/>
    <w:basedOn w:val="1"/>
    <w:next w:val="2"/>
    <w:qFormat/>
    <w:uiPriority w:val="0"/>
    <w:pPr>
      <w:ind w:firstLine="420"/>
    </w:pPr>
    <w:rPr>
      <w:rFonts w:ascii="Times New Roman" w:hAnsi="Times New Roman" w:eastAsia="宋体" w:cs="Times New Roman"/>
      <w:lang w:val="en-US" w:eastAsia="zh-CN" w:bidi="ar-SA"/>
    </w:rPr>
  </w:style>
  <w:style w:type="paragraph" w:styleId="11">
    <w:name w:val="annotation text"/>
    <w:basedOn w:val="1"/>
    <w:qFormat/>
    <w:uiPriority w:val="0"/>
    <w:pPr>
      <w:adjustRightInd/>
      <w:jc w:val="left"/>
    </w:pPr>
  </w:style>
  <w:style w:type="paragraph" w:styleId="12">
    <w:name w:val="toc 3"/>
    <w:next w:val="1"/>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link w:val="49"/>
    <w:qFormat/>
    <w:uiPriority w:val="0"/>
    <w:rPr>
      <w:rFonts w:ascii="宋体" w:hAnsi="Courier New" w:eastAsia="宋体" w:cs="宋体"/>
      <w:lang w:val="en-US" w:eastAsia="zh-CN" w:bidi="ar-SA"/>
    </w:rPr>
  </w:style>
  <w:style w:type="paragraph" w:styleId="14">
    <w:name w:val="Date"/>
    <w:basedOn w:val="1"/>
    <w:next w:val="1"/>
    <w:link w:val="50"/>
    <w:qFormat/>
    <w:uiPriority w:val="99"/>
    <w:pPr>
      <w:ind w:left="100" w:leftChars="2500"/>
    </w:pPr>
    <w:rPr>
      <w:rFonts w:ascii="宋体" w:hAnsi="宋体" w:eastAsia="宋体" w:cs="宋体"/>
      <w:color w:val="000000"/>
      <w:sz w:val="24"/>
      <w:szCs w:val="24"/>
      <w:lang w:val="en-US" w:eastAsia="zh-CN" w:bidi="ar-SA"/>
    </w:rPr>
  </w:style>
  <w:style w:type="paragraph" w:styleId="15">
    <w:name w:val="Balloon Text"/>
    <w:link w:val="51"/>
    <w:qFormat/>
    <w:uiPriority w:val="99"/>
    <w:rPr>
      <w:rFonts w:ascii="Times New Roman" w:hAnsi="Times New Roman" w:eastAsia="宋体" w:cs="Times New Roman"/>
      <w:sz w:val="18"/>
      <w:szCs w:val="18"/>
      <w:lang w:val="en-US" w:eastAsia="zh-CN" w:bidi="ar-SA"/>
    </w:rPr>
  </w:style>
  <w:style w:type="paragraph" w:styleId="16">
    <w:name w:val="footer"/>
    <w:basedOn w:val="1"/>
    <w:link w:val="52"/>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7">
    <w:name w:val="header"/>
    <w:link w:val="53"/>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8">
    <w:name w:val="toc 1"/>
    <w:next w:val="1"/>
    <w:qFormat/>
    <w:uiPriority w:val="99"/>
    <w:rPr>
      <w:rFonts w:ascii="Times New Roman" w:hAnsi="Times New Roman" w:eastAsia="宋体" w:cs="Times New Roman"/>
      <w:lang w:val="en-US" w:eastAsia="zh-CN" w:bidi="ar-SA"/>
    </w:rPr>
  </w:style>
  <w:style w:type="paragraph" w:styleId="19">
    <w:name w:val="toc 4"/>
    <w:basedOn w:val="1"/>
    <w:next w:val="1"/>
    <w:qFormat/>
    <w:uiPriority w:val="39"/>
    <w:pPr>
      <w:ind w:left="1260" w:leftChars="600"/>
    </w:pPr>
    <w:rPr>
      <w:szCs w:val="24"/>
    </w:rPr>
  </w:style>
  <w:style w:type="paragraph" w:styleId="20">
    <w:name w:val="Subtitle"/>
    <w:basedOn w:val="1"/>
    <w:next w:val="1"/>
    <w:link w:val="74"/>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1">
    <w:name w:val="toc 6"/>
    <w:basedOn w:val="1"/>
    <w:next w:val="1"/>
    <w:qFormat/>
    <w:uiPriority w:val="0"/>
    <w:pPr>
      <w:ind w:left="2100" w:leftChars="1000"/>
    </w:pPr>
    <w:rPr>
      <w:kern w:val="2"/>
      <w:sz w:val="21"/>
      <w:szCs w:val="24"/>
    </w:rPr>
  </w:style>
  <w:style w:type="paragraph" w:styleId="22">
    <w:name w:val="toc 2"/>
    <w:next w:val="1"/>
    <w:qFormat/>
    <w:uiPriority w:val="99"/>
    <w:pPr>
      <w:ind w:left="420" w:leftChars="200"/>
    </w:pPr>
    <w:rPr>
      <w:rFonts w:ascii="Times New Roman" w:hAnsi="Times New Roman" w:eastAsia="宋体" w:cs="Times New Roman"/>
      <w:lang w:val="en-US" w:eastAsia="zh-CN" w:bidi="ar-SA"/>
    </w:rPr>
  </w:style>
  <w:style w:type="paragraph" w:styleId="23">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paragraph" w:styleId="24">
    <w:name w:val="Title"/>
    <w:basedOn w:val="1"/>
    <w:qFormat/>
    <w:uiPriority w:val="0"/>
    <w:pPr>
      <w:widowControl/>
      <w:overflowPunct w:val="0"/>
      <w:autoSpaceDE w:val="0"/>
      <w:autoSpaceDN w:val="0"/>
      <w:adjustRightInd w:val="0"/>
      <w:jc w:val="center"/>
      <w:textAlignment w:val="baseline"/>
    </w:pPr>
    <w:rPr>
      <w:b/>
      <w:sz w:val="24"/>
      <w:lang w:val="en-GB"/>
    </w:rPr>
  </w:style>
  <w:style w:type="paragraph" w:styleId="25">
    <w:name w:val="Body Text First Indent"/>
    <w:basedOn w:val="4"/>
    <w:next w:val="21"/>
    <w:link w:val="54"/>
    <w:qFormat/>
    <w:uiPriority w:val="99"/>
    <w:pPr>
      <w:ind w:firstLine="420" w:firstLineChars="100"/>
    </w:pPr>
  </w:style>
  <w:style w:type="table" w:styleId="27">
    <w:name w:val="Table Grid"/>
    <w:basedOn w:val="26"/>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paragraph" w:customStyle="1" w:styleId="32">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3">
    <w:name w:val="正文1"/>
    <w:next w:val="34"/>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34">
    <w:name w:val="自动更正"/>
    <w:next w:val="3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xl39"/>
    <w:next w:val="36"/>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36">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paragraph" w:styleId="37">
    <w:name w:val="List Paragraph"/>
    <w:basedOn w:val="1"/>
    <w:qFormat/>
    <w:uiPriority w:val="99"/>
    <w:pPr>
      <w:ind w:firstLine="420" w:firstLineChars="200"/>
    </w:pPr>
  </w:style>
  <w:style w:type="paragraph" w:customStyle="1" w:styleId="3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9">
    <w:name w:val="Quote"/>
    <w:basedOn w:val="1"/>
    <w:next w:val="1"/>
    <w:qFormat/>
    <w:uiPriority w:val="0"/>
    <w:pPr>
      <w:wordWrap w:val="0"/>
      <w:spacing w:before="200" w:after="160"/>
      <w:ind w:left="864" w:right="864"/>
      <w:jc w:val="center"/>
    </w:pPr>
    <w:rPr>
      <w:i/>
    </w:rPr>
  </w:style>
  <w:style w:type="paragraph" w:customStyle="1" w:styleId="40">
    <w:name w:val="Body Text First Indent1"/>
    <w:basedOn w:val="4"/>
    <w:qFormat/>
    <w:uiPriority w:val="0"/>
    <w:pPr>
      <w:tabs>
        <w:tab w:val="left" w:pos="1275"/>
      </w:tabs>
      <w:ind w:firstLine="420" w:firstLineChars="100"/>
    </w:pPr>
  </w:style>
  <w:style w:type="paragraph" w:customStyle="1" w:styleId="41">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42">
    <w:name w:val="表格文字"/>
    <w:basedOn w:val="2"/>
    <w:next w:val="4"/>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43">
    <w:name w:val="标题 1 字符"/>
    <w:basedOn w:val="28"/>
    <w:link w:val="5"/>
    <w:qFormat/>
    <w:uiPriority w:val="99"/>
    <w:rPr>
      <w:b/>
      <w:bCs/>
      <w:kern w:val="44"/>
      <w:sz w:val="44"/>
      <w:szCs w:val="44"/>
    </w:rPr>
  </w:style>
  <w:style w:type="character" w:customStyle="1" w:styleId="44">
    <w:name w:val="标题 2 字符"/>
    <w:basedOn w:val="28"/>
    <w:link w:val="6"/>
    <w:qFormat/>
    <w:uiPriority w:val="99"/>
    <w:rPr>
      <w:rFonts w:ascii="宋体" w:hAnsi="宋体" w:eastAsia="宋体" w:cs="宋体"/>
      <w:b/>
      <w:bCs/>
      <w:kern w:val="2"/>
      <w:sz w:val="24"/>
      <w:szCs w:val="28"/>
    </w:rPr>
  </w:style>
  <w:style w:type="character" w:customStyle="1" w:styleId="45">
    <w:name w:val="标题 3 字符"/>
    <w:basedOn w:val="28"/>
    <w:link w:val="8"/>
    <w:qFormat/>
    <w:uiPriority w:val="99"/>
    <w:rPr>
      <w:rFonts w:ascii="宋体" w:hAnsi="宋体" w:eastAsia="宋体" w:cs="宋体"/>
      <w:b/>
      <w:bCs/>
      <w:kern w:val="2"/>
      <w:sz w:val="24"/>
      <w:szCs w:val="28"/>
    </w:rPr>
  </w:style>
  <w:style w:type="character" w:customStyle="1" w:styleId="46">
    <w:name w:val="正文文本 字符"/>
    <w:basedOn w:val="28"/>
    <w:link w:val="4"/>
    <w:qFormat/>
    <w:uiPriority w:val="99"/>
    <w:rPr>
      <w:rFonts w:ascii="Times New Roman" w:hAnsi="Times New Roman"/>
      <w:szCs w:val="21"/>
    </w:rPr>
  </w:style>
  <w:style w:type="paragraph" w:customStyle="1" w:styleId="47">
    <w:name w:val="样式 表格正文 + 两端对齐"/>
    <w:next w:val="33"/>
    <w:qFormat/>
    <w:uiPriority w:val="99"/>
    <w:pPr>
      <w:spacing w:line="300" w:lineRule="auto"/>
    </w:pPr>
    <w:rPr>
      <w:rFonts w:ascii="Times New Roman" w:hAnsi="Times New Roman" w:eastAsia="宋体" w:cs="Times New Roman"/>
      <w:sz w:val="24"/>
      <w:szCs w:val="24"/>
      <w:lang w:val="en-US" w:eastAsia="zh-CN" w:bidi="ar-SA"/>
    </w:rPr>
  </w:style>
  <w:style w:type="character" w:customStyle="1" w:styleId="48">
    <w:name w:val="正文文本缩进 字符"/>
    <w:basedOn w:val="28"/>
    <w:link w:val="2"/>
    <w:qFormat/>
    <w:uiPriority w:val="99"/>
    <w:rPr>
      <w:rFonts w:ascii="Times New Roman" w:hAnsi="Times New Roman"/>
      <w:szCs w:val="21"/>
    </w:rPr>
  </w:style>
  <w:style w:type="character" w:customStyle="1" w:styleId="49">
    <w:name w:val="纯文本 字符"/>
    <w:basedOn w:val="28"/>
    <w:link w:val="13"/>
    <w:qFormat/>
    <w:uiPriority w:val="99"/>
    <w:rPr>
      <w:rFonts w:ascii="宋体" w:hAnsi="Courier New" w:cs="Courier New"/>
      <w:szCs w:val="21"/>
    </w:rPr>
  </w:style>
  <w:style w:type="character" w:customStyle="1" w:styleId="50">
    <w:name w:val="日期 字符"/>
    <w:basedOn w:val="28"/>
    <w:link w:val="14"/>
    <w:qFormat/>
    <w:uiPriority w:val="99"/>
    <w:rPr>
      <w:rFonts w:ascii="Times New Roman" w:hAnsi="Times New Roman"/>
      <w:szCs w:val="21"/>
    </w:rPr>
  </w:style>
  <w:style w:type="character" w:customStyle="1" w:styleId="51">
    <w:name w:val="批注框文本 字符"/>
    <w:basedOn w:val="28"/>
    <w:link w:val="15"/>
    <w:qFormat/>
    <w:uiPriority w:val="99"/>
    <w:rPr>
      <w:kern w:val="2"/>
      <w:sz w:val="18"/>
      <w:szCs w:val="18"/>
    </w:rPr>
  </w:style>
  <w:style w:type="character" w:customStyle="1" w:styleId="52">
    <w:name w:val="页脚 字符"/>
    <w:basedOn w:val="28"/>
    <w:link w:val="16"/>
    <w:qFormat/>
    <w:uiPriority w:val="99"/>
    <w:rPr>
      <w:rFonts w:ascii="Times New Roman" w:hAnsi="Times New Roman"/>
      <w:sz w:val="18"/>
      <w:szCs w:val="18"/>
    </w:rPr>
  </w:style>
  <w:style w:type="character" w:customStyle="1" w:styleId="53">
    <w:name w:val="页眉 字符"/>
    <w:basedOn w:val="28"/>
    <w:link w:val="17"/>
    <w:qFormat/>
    <w:uiPriority w:val="99"/>
    <w:rPr>
      <w:rFonts w:ascii="Times New Roman" w:hAnsi="Times New Roman"/>
      <w:sz w:val="18"/>
      <w:szCs w:val="18"/>
    </w:rPr>
  </w:style>
  <w:style w:type="character" w:customStyle="1" w:styleId="54">
    <w:name w:val="正文文本首行缩进 字符"/>
    <w:basedOn w:val="46"/>
    <w:link w:val="25"/>
    <w:qFormat/>
    <w:uiPriority w:val="99"/>
    <w:rPr>
      <w:rFonts w:ascii="Times New Roman" w:hAnsi="Times New Roman"/>
      <w:szCs w:val="21"/>
    </w:rPr>
  </w:style>
  <w:style w:type="paragraph" w:customStyle="1" w:styleId="55">
    <w:name w:val="正文2"/>
    <w:link w:val="77"/>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6">
    <w:name w:val="List Paragraph1"/>
    <w:qFormat/>
    <w:uiPriority w:val="99"/>
    <w:pPr>
      <w:ind w:firstLine="420" w:firstLineChars="200"/>
    </w:pPr>
    <w:rPr>
      <w:rFonts w:ascii="Calibri" w:hAnsi="Calibri" w:eastAsia="宋体" w:cs="Calibri"/>
      <w:lang w:val="en-US" w:eastAsia="zh-CN" w:bidi="ar-SA"/>
    </w:rPr>
  </w:style>
  <w:style w:type="character" w:customStyle="1" w:styleId="57">
    <w:name w:val="style81"/>
    <w:qFormat/>
    <w:uiPriority w:val="99"/>
    <w:rPr>
      <w:sz w:val="20"/>
      <w:szCs w:val="20"/>
    </w:rPr>
  </w:style>
  <w:style w:type="paragraph" w:customStyle="1" w:styleId="58">
    <w:name w:val="列出段落1"/>
    <w:qFormat/>
    <w:uiPriority w:val="99"/>
    <w:pPr>
      <w:ind w:firstLine="420"/>
    </w:pPr>
    <w:rPr>
      <w:rFonts w:ascii="Times New Roman" w:hAnsi="Times New Roman" w:eastAsia="宋体" w:cs="Times New Roman"/>
      <w:lang w:val="en-US" w:eastAsia="zh-CN" w:bidi="ar-SA"/>
    </w:rPr>
  </w:style>
  <w:style w:type="paragraph" w:customStyle="1" w:styleId="59">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0">
    <w:name w:val="02 Char"/>
    <w:link w:val="61"/>
    <w:qFormat/>
    <w:uiPriority w:val="99"/>
    <w:rPr>
      <w:rFonts w:ascii="宋体" w:cs="宋体"/>
      <w:b/>
      <w:bCs/>
      <w:color w:val="FF0000"/>
      <w:kern w:val="2"/>
      <w:sz w:val="28"/>
      <w:szCs w:val="28"/>
    </w:rPr>
  </w:style>
  <w:style w:type="paragraph" w:customStyle="1" w:styleId="61">
    <w:name w:val="02"/>
    <w:basedOn w:val="6"/>
    <w:link w:val="60"/>
    <w:qFormat/>
    <w:uiPriority w:val="99"/>
    <w:pPr>
      <w:jc w:val="center"/>
    </w:pPr>
    <w:rPr>
      <w:color w:val="FF0000"/>
    </w:rPr>
  </w:style>
  <w:style w:type="character" w:customStyle="1" w:styleId="62">
    <w:name w:val="03 Char"/>
    <w:link w:val="63"/>
    <w:qFormat/>
    <w:uiPriority w:val="99"/>
    <w:rPr>
      <w:rFonts w:ascii="宋体" w:cs="宋体"/>
      <w:b/>
      <w:bCs/>
      <w:kern w:val="2"/>
      <w:sz w:val="28"/>
      <w:szCs w:val="28"/>
    </w:rPr>
  </w:style>
  <w:style w:type="paragraph" w:customStyle="1" w:styleId="63">
    <w:name w:val="03"/>
    <w:basedOn w:val="8"/>
    <w:link w:val="62"/>
    <w:qFormat/>
    <w:uiPriority w:val="99"/>
    <w:pPr>
      <w:numPr>
        <w:ilvl w:val="0"/>
        <w:numId w:val="0"/>
      </w:numPr>
    </w:pPr>
  </w:style>
  <w:style w:type="character" w:customStyle="1" w:styleId="64">
    <w:name w:val="宋体小四 Char"/>
    <w:link w:val="65"/>
    <w:qFormat/>
    <w:uiPriority w:val="99"/>
    <w:rPr>
      <w:rFonts w:ascii="宋体" w:eastAsia="宋体" w:cs="宋体"/>
      <w:kern w:val="2"/>
      <w:sz w:val="24"/>
      <w:szCs w:val="24"/>
    </w:rPr>
  </w:style>
  <w:style w:type="paragraph" w:customStyle="1" w:styleId="65">
    <w:name w:val="宋体小四"/>
    <w:link w:val="64"/>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6">
    <w:name w:val="fontstyle01"/>
    <w:basedOn w:val="28"/>
    <w:qFormat/>
    <w:uiPriority w:val="99"/>
    <w:rPr>
      <w:rFonts w:ascii="宋体" w:eastAsia="宋体" w:cs="宋体"/>
      <w:color w:val="000000"/>
      <w:sz w:val="22"/>
      <w:szCs w:val="22"/>
    </w:rPr>
  </w:style>
  <w:style w:type="paragraph" w:customStyle="1" w:styleId="67">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8">
    <w:name w:val="居中表格内容标题"/>
    <w:basedOn w:val="69"/>
    <w:qFormat/>
    <w:uiPriority w:val="0"/>
    <w:pPr>
      <w:jc w:val="center"/>
    </w:pPr>
    <w:rPr>
      <w:b/>
    </w:rPr>
  </w:style>
  <w:style w:type="paragraph" w:customStyle="1" w:styleId="69">
    <w:name w:val="居中表格内容"/>
    <w:qFormat/>
    <w:uiPriority w:val="0"/>
    <w:rPr>
      <w:rFonts w:ascii="Times New Roman" w:hAnsi="Times New Roman" w:eastAsia="宋体" w:cs="Times New Roman"/>
      <w:szCs w:val="28"/>
      <w:lang w:val="en-US" w:eastAsia="zh-CN" w:bidi="ar-SA"/>
    </w:rPr>
  </w:style>
  <w:style w:type="paragraph" w:customStyle="1" w:styleId="70">
    <w:name w:val="列表段落1"/>
    <w:link w:val="71"/>
    <w:qFormat/>
    <w:uiPriority w:val="34"/>
    <w:pPr>
      <w:ind w:firstLine="420" w:firstLineChars="200"/>
    </w:pPr>
    <w:rPr>
      <w:rFonts w:ascii="Times New Roman" w:hAnsi="Times New Roman" w:eastAsia="宋体" w:cs="Times New Roman"/>
      <w:lang w:val="en-US" w:eastAsia="zh-CN" w:bidi="ar-SA"/>
    </w:rPr>
  </w:style>
  <w:style w:type="character" w:customStyle="1" w:styleId="71">
    <w:name w:val="列表段落 字符"/>
    <w:basedOn w:val="28"/>
    <w:link w:val="70"/>
    <w:qFormat/>
    <w:uiPriority w:val="34"/>
  </w:style>
  <w:style w:type="table" w:customStyle="1" w:styleId="72">
    <w:name w:val="网格型浅色1"/>
    <w:basedOn w:val="26"/>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3">
    <w:name w:val="正文（首行缩进2字符）"/>
    <w:basedOn w:val="1"/>
    <w:qFormat/>
    <w:uiPriority w:val="0"/>
    <w:pPr>
      <w:spacing w:line="360" w:lineRule="auto"/>
      <w:ind w:firstLine="480" w:firstLineChars="200"/>
    </w:pPr>
    <w:rPr>
      <w:kern w:val="2"/>
      <w:sz w:val="24"/>
    </w:rPr>
  </w:style>
  <w:style w:type="character" w:customStyle="1" w:styleId="74">
    <w:name w:val="副标题 字符"/>
    <w:basedOn w:val="28"/>
    <w:link w:val="20"/>
    <w:qFormat/>
    <w:uiPriority w:val="0"/>
    <w:rPr>
      <w:rFonts w:ascii="等线 Light" w:hAnsi="等线 Light"/>
      <w:b/>
      <w:bCs/>
      <w:snapToGrid w:val="0"/>
      <w:kern w:val="28"/>
      <w:sz w:val="32"/>
      <w:szCs w:val="32"/>
    </w:rPr>
  </w:style>
  <w:style w:type="paragraph" w:customStyle="1" w:styleId="75">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6">
    <w:name w:val="样式x"/>
    <w:basedOn w:val="8"/>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7">
    <w:name w:val="正文2 Char Char"/>
    <w:link w:val="55"/>
    <w:qFormat/>
    <w:uiPriority w:val="0"/>
    <w:rPr>
      <w:sz w:val="24"/>
      <w:szCs w:val="24"/>
    </w:rPr>
  </w:style>
  <w:style w:type="paragraph" w:customStyle="1" w:styleId="78">
    <w:name w:val="WPSOffice手动目录 1"/>
    <w:qFormat/>
    <w:uiPriority w:val="0"/>
    <w:pPr>
      <w:ind w:leftChars="0"/>
    </w:pPr>
    <w:rPr>
      <w:rFonts w:ascii="Times New Roman" w:hAnsi="Times New Roman" w:eastAsia="宋体" w:cs="Times New Roman"/>
      <w:sz w:val="20"/>
      <w:szCs w:val="20"/>
    </w:rPr>
  </w:style>
  <w:style w:type="paragraph" w:customStyle="1" w:styleId="79">
    <w:name w:val="WPSOffice手动目录 2"/>
    <w:qFormat/>
    <w:uiPriority w:val="0"/>
    <w:pPr>
      <w:ind w:leftChars="200"/>
    </w:pPr>
    <w:rPr>
      <w:rFonts w:ascii="Times New Roman" w:hAnsi="Times New Roman" w:eastAsia="宋体" w:cs="Times New Roman"/>
      <w:sz w:val="20"/>
      <w:szCs w:val="20"/>
    </w:rPr>
  </w:style>
  <w:style w:type="character" w:customStyle="1" w:styleId="80">
    <w:name w:val="NormalCharacter"/>
    <w:qFormat/>
    <w:uiPriority w:val="0"/>
    <w:rPr>
      <w:rFonts w:ascii="Tahoma" w:hAnsi="Tahoma"/>
      <w:sz w:val="24"/>
      <w:szCs w:val="20"/>
    </w:rPr>
  </w:style>
  <w:style w:type="paragraph" w:customStyle="1" w:styleId="81">
    <w:name w:val="表格正文"/>
    <w:basedOn w:val="1"/>
    <w:qFormat/>
    <w:uiPriority w:val="0"/>
    <w:pPr>
      <w:spacing w:before="0" w:beforeLines="0" w:line="240" w:lineRule="auto"/>
      <w:ind w:firstLine="0" w:firstLineChars="0"/>
      <w:jc w:val="center"/>
    </w:pPr>
    <w:rPr>
      <w:sz w:val="21"/>
      <w:szCs w:val="24"/>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内容"/>
    <w:basedOn w:val="1"/>
    <w:qFormat/>
    <w:uiPriority w:val="0"/>
    <w:pPr>
      <w:spacing w:line="560" w:lineRule="exact"/>
      <w:ind w:left="141" w:leftChars="67" w:firstLine="480" w:firstLineChars="200"/>
    </w:pPr>
    <w:rPr>
      <w:rFonts w:ascii="楷体_GB2312" w:hAnsi="楷体_GB2312" w:eastAsia="楷体_GB2312"/>
      <w:kern w:val="0"/>
      <w:sz w:val="24"/>
    </w:rPr>
  </w:style>
  <w:style w:type="character" w:customStyle="1" w:styleId="84">
    <w:name w:val="font01"/>
    <w:basedOn w:val="28"/>
    <w:uiPriority w:val="0"/>
    <w:rPr>
      <w:rFonts w:hint="eastAsia" w:ascii="宋体" w:hAnsi="宋体" w:eastAsia="宋体" w:cs="宋体"/>
      <w:color w:val="000000"/>
      <w:sz w:val="22"/>
      <w:szCs w:val="22"/>
      <w:u w:val="none"/>
    </w:rPr>
  </w:style>
  <w:style w:type="paragraph" w:styleId="85">
    <w:name w:val="No Spacing"/>
    <w:qFormat/>
    <w:uiPriority w:val="1"/>
    <w:pPr>
      <w:widowControl w:val="0"/>
      <w:jc w:val="both"/>
    </w:pPr>
    <w:rPr>
      <w:rFonts w:ascii="Times New Roman" w:hAnsi="Times New Roman" w:eastAsia="仿宋_GB2312" w:cs="Times New Roman"/>
      <w:kern w:val="2"/>
      <w:sz w:val="28"/>
      <w:lang w:val="en-US" w:eastAsia="zh-CN" w:bidi="ar-SA"/>
    </w:rPr>
  </w:style>
  <w:style w:type="paragraph" w:customStyle="1" w:styleId="86">
    <w:name w:val="正文文字"/>
    <w:basedOn w:val="1"/>
    <w:qFormat/>
    <w:uiPriority w:val="0"/>
    <w:pPr>
      <w:ind w:firstLine="200" w:firstLineChars="200"/>
    </w:pPr>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28029</Words>
  <Characters>29591</Characters>
  <Lines>243</Lines>
  <Paragraphs>68</Paragraphs>
  <TotalTime>33</TotalTime>
  <ScaleCrop>false</ScaleCrop>
  <LinksUpToDate>false</LinksUpToDate>
  <CharactersWithSpaces>30842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2021-11-22T08:07:00Z</dcterms:created>
  <dc:creator>陈圣楠</dc:creator>
  <cp:lastModifiedBy>hh</cp:lastModifiedBy>
  <cp:lastPrinted>2022-08-22T10:21:00Z</cp:lastPrinted>
  <dcterms:modified xsi:type="dcterms:W3CDTF">2023-11-09T06:52:58Z</dcterms:modified>
  <dc:title>浙江绍兴上虞人民调解服务标准化</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6466A15B383E4C388F280A39AC69A332_13</vt:lpwstr>
  </property>
</Properties>
</file>