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adjustRightInd/>
        <w:spacing w:line="360" w:lineRule="auto"/>
        <w:jc w:val="center"/>
        <w:rPr>
          <w:rFonts w:ascii="宋体" w:hAnsi="宋体" w:cs="宋体"/>
          <w:b/>
          <w:color w:val="auto"/>
          <w:sz w:val="44"/>
          <w:szCs w:val="44"/>
          <w:highlight w:val="none"/>
        </w:rPr>
      </w:pPr>
    </w:p>
    <w:p>
      <w:pPr>
        <w:spacing w:line="360" w:lineRule="auto"/>
        <w:jc w:val="center"/>
        <w:rPr>
          <w:rFonts w:ascii="宋体" w:hAnsi="宋体" w:cs="宋体"/>
          <w:b/>
          <w:color w:val="auto"/>
          <w:sz w:val="44"/>
          <w:szCs w:val="44"/>
          <w:highlight w:val="none"/>
        </w:rPr>
      </w:pPr>
    </w:p>
    <w:p>
      <w:pPr>
        <w:adjustRightInd/>
        <w:spacing w:line="360" w:lineRule="auto"/>
        <w:jc w:val="center"/>
        <w:rPr>
          <w:rFonts w:hint="eastAsia" w:ascii="宋体" w:hAnsi="宋体" w:cs="宋体"/>
          <w:color w:val="auto"/>
          <w:sz w:val="48"/>
          <w:szCs w:val="48"/>
          <w:highlight w:val="none"/>
          <w:lang w:eastAsia="zh-CN"/>
        </w:rPr>
      </w:pPr>
    </w:p>
    <w:p>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杭州市城市运行“一网统管”迭代升级项目</w:t>
      </w:r>
    </w:p>
    <w:p>
      <w:pPr>
        <w:adjustRightInd/>
        <w:spacing w:line="360" w:lineRule="auto"/>
        <w:jc w:val="center"/>
        <w:rPr>
          <w:rFonts w:hint="eastAsia" w:ascii="宋体" w:hAnsi="宋体" w:cs="宋体"/>
          <w:color w:val="auto"/>
          <w:sz w:val="48"/>
          <w:szCs w:val="48"/>
          <w:highlight w:val="none"/>
        </w:rPr>
      </w:pPr>
    </w:p>
    <w:p>
      <w:pPr>
        <w:adjustRightInd/>
        <w:spacing w:line="360" w:lineRule="auto"/>
        <w:jc w:val="center"/>
        <w:rPr>
          <w:rFonts w:hint="eastAsia" w:ascii="宋体" w:hAnsi="宋体" w:cs="宋体"/>
          <w:color w:val="auto"/>
          <w:sz w:val="48"/>
          <w:szCs w:val="48"/>
          <w:highlight w:val="none"/>
        </w:rPr>
      </w:pPr>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pPr>
        <w:snapToGrid w:val="0"/>
        <w:spacing w:line="360" w:lineRule="auto"/>
        <w:jc w:val="center"/>
        <w:rPr>
          <w:rFonts w:ascii="宋体" w:hAnsi="宋体" w:cs="宋体"/>
          <w:color w:val="auto"/>
          <w:sz w:val="30"/>
          <w:szCs w:val="30"/>
          <w:highlight w:val="none"/>
        </w:rPr>
      </w:pPr>
    </w:p>
    <w:p>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CTZB-2023080442</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color w:val="auto"/>
          <w:sz w:val="24"/>
          <w:highlight w:val="none"/>
        </w:rPr>
      </w:pPr>
      <w:r>
        <w:rPr>
          <w:rFonts w:hint="eastAsia" w:ascii="宋体" w:hAnsi="宋体" w:cs="宋体"/>
          <w:b/>
          <w:color w:val="auto"/>
          <w:sz w:val="44"/>
          <w:szCs w:val="44"/>
          <w:highlight w:val="none"/>
        </w:rPr>
        <w:t xml:space="preserve"> </w:t>
      </w:r>
    </w:p>
    <w:p>
      <w:pPr>
        <w:spacing w:line="360" w:lineRule="auto"/>
        <w:rPr>
          <w:rFonts w:ascii="宋体" w:hAnsi="宋体" w:cs="宋体"/>
          <w:color w:val="auto"/>
          <w:sz w:val="32"/>
          <w:szCs w:val="32"/>
          <w:highlight w:val="none"/>
        </w:rPr>
      </w:pPr>
    </w:p>
    <w:p>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采购单位：</w:t>
      </w:r>
      <w:r>
        <w:rPr>
          <w:rFonts w:hint="eastAsia" w:ascii="宋体" w:hAnsi="宋体" w:cs="宋体"/>
          <w:color w:val="auto"/>
          <w:sz w:val="32"/>
          <w:szCs w:val="32"/>
          <w:highlight w:val="none"/>
          <w:lang w:eastAsia="zh-CN"/>
        </w:rPr>
        <w:t>杭州市城市管理局</w:t>
      </w:r>
    </w:p>
    <w:p>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采购代理机构：浙江省成套招标代理有限公司</w:t>
      </w:r>
    </w:p>
    <w:p>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二〇二三年</w:t>
      </w:r>
      <w:r>
        <w:rPr>
          <w:rFonts w:hint="eastAsia" w:ascii="宋体" w:hAnsi="宋体" w:cs="宋体"/>
          <w:bCs/>
          <w:color w:val="auto"/>
          <w:sz w:val="32"/>
          <w:szCs w:val="32"/>
          <w:highlight w:val="none"/>
          <w:lang w:val="en-US" w:eastAsia="zh-CN"/>
        </w:rPr>
        <w:t>九</w:t>
      </w:r>
      <w:r>
        <w:rPr>
          <w:rFonts w:hint="eastAsia" w:ascii="宋体" w:hAnsi="宋体" w:cs="宋体"/>
          <w:bCs/>
          <w:color w:val="auto"/>
          <w:sz w:val="32"/>
          <w:szCs w:val="32"/>
          <w:highlight w:val="none"/>
        </w:rPr>
        <w:t>月</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pPr>
        <w:pStyle w:val="635"/>
        <w:rPr>
          <w:color w:val="auto"/>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649545"/>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杭州市城市运行“一网统管”迭代升级项目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w:t>
      </w:r>
      <w:r>
        <w:rPr>
          <w:rStyle w:val="77"/>
          <w:rFonts w:hint="eastAsia" w:ascii="宋体" w:hAnsi="宋体" w:eastAsia="宋体" w:cs="宋体"/>
          <w:snapToGrid/>
          <w:color w:val="auto"/>
          <w:kern w:val="2"/>
          <w:sz w:val="24"/>
          <w:szCs w:val="24"/>
          <w:highlight w:val="none"/>
          <w:u w:val="single"/>
        </w:rPr>
        <w:t>202</w:t>
      </w:r>
      <w:r>
        <w:rPr>
          <w:rStyle w:val="77"/>
          <w:rFonts w:hint="eastAsia" w:ascii="宋体" w:hAnsi="宋体" w:cs="宋体"/>
          <w:snapToGrid/>
          <w:color w:val="auto"/>
          <w:kern w:val="2"/>
          <w:sz w:val="24"/>
          <w:szCs w:val="24"/>
          <w:highlight w:val="none"/>
          <w:u w:val="single"/>
        </w:rPr>
        <w:t>3</w:t>
      </w:r>
      <w:r>
        <w:rPr>
          <w:rStyle w:val="77"/>
          <w:rFonts w:hint="eastAsia" w:ascii="宋体" w:hAnsi="宋体" w:eastAsia="宋体" w:cs="宋体"/>
          <w:snapToGrid/>
          <w:color w:val="auto"/>
          <w:kern w:val="2"/>
          <w:sz w:val="24"/>
          <w:szCs w:val="24"/>
          <w:highlight w:val="none"/>
        </w:rPr>
        <w:t>年</w:t>
      </w:r>
      <w:r>
        <w:rPr>
          <w:rStyle w:val="77"/>
          <w:rFonts w:hint="eastAsia" w:ascii="宋体" w:hAnsi="宋体" w:eastAsia="黑体" w:cs="宋体"/>
          <w:snapToGrid/>
          <w:color w:val="auto"/>
          <w:kern w:val="2"/>
          <w:sz w:val="24"/>
          <w:szCs w:val="24"/>
          <w:highlight w:val="none"/>
          <w:u w:val="single"/>
          <w:lang w:val="en-US" w:eastAsia="zh-CN"/>
        </w:rPr>
        <w:t>10</w:t>
      </w:r>
      <w:r>
        <w:rPr>
          <w:rStyle w:val="77"/>
          <w:rFonts w:hint="eastAsia" w:ascii="宋体" w:hAnsi="宋体" w:eastAsia="宋体" w:cs="宋体"/>
          <w:snapToGrid/>
          <w:color w:val="auto"/>
          <w:kern w:val="2"/>
          <w:sz w:val="24"/>
          <w:szCs w:val="24"/>
          <w:highlight w:val="none"/>
        </w:rPr>
        <w:t>月</w:t>
      </w:r>
      <w:r>
        <w:rPr>
          <w:rStyle w:val="77"/>
          <w:rFonts w:hint="eastAsia" w:ascii="宋体" w:hAnsi="宋体" w:eastAsia="黑体" w:cs="宋体"/>
          <w:snapToGrid/>
          <w:color w:val="auto"/>
          <w:kern w:val="2"/>
          <w:sz w:val="24"/>
          <w:szCs w:val="24"/>
          <w:highlight w:val="none"/>
          <w:u w:val="single"/>
          <w:lang w:val="en-US" w:eastAsia="zh-CN"/>
        </w:rPr>
        <w:t>19</w:t>
      </w:r>
      <w:r>
        <w:rPr>
          <w:rStyle w:val="77"/>
          <w:rFonts w:hint="eastAsia" w:ascii="宋体" w:hAnsi="宋体" w:eastAsia="宋体" w:cs="宋体"/>
          <w:snapToGrid/>
          <w:color w:val="auto"/>
          <w:kern w:val="2"/>
          <w:sz w:val="24"/>
          <w:szCs w:val="24"/>
          <w:highlight w:val="none"/>
        </w:rPr>
        <w:t>日</w:t>
      </w:r>
      <w:r>
        <w:rPr>
          <w:rStyle w:val="77"/>
          <w:rFonts w:hint="eastAsia" w:ascii="宋体" w:hAnsi="宋体" w:eastAsia="黑体" w:cs="宋体"/>
          <w:snapToGrid/>
          <w:color w:val="auto"/>
          <w:kern w:val="2"/>
          <w:sz w:val="24"/>
          <w:szCs w:val="24"/>
          <w:highlight w:val="none"/>
          <w:u w:val="single"/>
          <w:lang w:val="en-US" w:eastAsia="zh-CN"/>
        </w:rPr>
        <w:t>9</w:t>
      </w:r>
      <w:r>
        <w:rPr>
          <w:rStyle w:val="77"/>
          <w:rFonts w:hint="eastAsia" w:ascii="宋体" w:hAnsi="宋体" w:eastAsia="宋体" w:cs="宋体"/>
          <w:snapToGrid/>
          <w:color w:val="auto"/>
          <w:kern w:val="2"/>
          <w:sz w:val="24"/>
          <w:szCs w:val="24"/>
          <w:highlight w:val="none"/>
        </w:rPr>
        <w:t>点</w:t>
      </w:r>
      <w:r>
        <w:rPr>
          <w:rStyle w:val="77"/>
          <w:rFonts w:hint="eastAsia" w:ascii="宋体" w:hAnsi="宋体" w:eastAsia="黑体" w:cs="宋体"/>
          <w:snapToGrid/>
          <w:color w:val="auto"/>
          <w:kern w:val="2"/>
          <w:sz w:val="24"/>
          <w:szCs w:val="24"/>
          <w:highlight w:val="none"/>
          <w:u w:val="single"/>
          <w:lang w:val="en-US" w:eastAsia="zh-CN"/>
        </w:rPr>
        <w:t>30</w:t>
      </w:r>
      <w:r>
        <w:rPr>
          <w:rStyle w:val="77"/>
          <w:rFonts w:hint="eastAsia" w:ascii="宋体" w:hAnsi="宋体" w:eastAsia="宋体" w:cs="宋体"/>
          <w:snapToGrid/>
          <w:color w:val="auto"/>
          <w:kern w:val="2"/>
          <w:sz w:val="24"/>
          <w:szCs w:val="24"/>
          <w:highlight w:val="none"/>
        </w:rPr>
        <w:t>分</w:t>
      </w:r>
      <w:r>
        <w:rPr>
          <w:rStyle w:val="77"/>
          <w:rFonts w:hint="eastAsia" w:ascii="宋体" w:hAnsi="宋体" w:cs="宋体"/>
          <w:bCs/>
          <w:snapToGrid/>
          <w:color w:val="auto"/>
          <w:kern w:val="2"/>
          <w:sz w:val="24"/>
          <w:szCs w:val="24"/>
          <w:highlight w:val="none"/>
          <w:lang w:val="en-US" w:eastAsia="zh-CN"/>
        </w:rPr>
        <w:t>00</w:t>
      </w:r>
      <w:r>
        <w:rPr>
          <w:rStyle w:val="77"/>
          <w:rFonts w:hint="eastAsia" w:ascii="宋体" w:hAnsi="宋体" w:eastAsia="宋体" w:cs="宋体"/>
          <w:bCs/>
          <w:snapToGrid/>
          <w:color w:val="auto"/>
          <w:kern w:val="2"/>
          <w:sz w:val="24"/>
          <w:szCs w:val="24"/>
          <w:highlight w:val="none"/>
        </w:rPr>
        <w:t>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CTZB-2023080442</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杭州市城市运行“一网统管”迭代升级项目</w:t>
      </w:r>
    </w:p>
    <w:p>
      <w:pPr>
        <w:pStyle w:val="25"/>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ascii="宋体" w:hAnsi="宋体" w:cs="宋体"/>
          <w:color w:val="auto"/>
          <w:sz w:val="24"/>
          <w:highlight w:val="none"/>
        </w:rPr>
        <w:t xml:space="preserve"> </w:t>
      </w:r>
      <w:r>
        <w:rPr>
          <w:rFonts w:hint="eastAsia" w:ascii="宋体" w:hAnsi="宋体" w:cs="宋体"/>
          <w:color w:val="auto"/>
          <w:sz w:val="24"/>
          <w:highlight w:val="none"/>
          <w:lang w:eastAsia="zh-CN"/>
        </w:rPr>
        <w:t>13170000.00</w:t>
      </w:r>
    </w:p>
    <w:p>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最高限价（元）：</w:t>
      </w:r>
      <w:r>
        <w:rPr>
          <w:rFonts w:ascii="宋体" w:hAnsi="宋体" w:cs="宋体"/>
          <w:color w:val="auto"/>
          <w:sz w:val="24"/>
          <w:highlight w:val="none"/>
        </w:rPr>
        <w:t xml:space="preserve"> </w:t>
      </w:r>
      <w:r>
        <w:rPr>
          <w:rFonts w:hint="eastAsia" w:ascii="宋体" w:hAnsi="宋体" w:cs="宋体"/>
          <w:color w:val="auto"/>
          <w:sz w:val="24"/>
          <w:highlight w:val="none"/>
          <w:lang w:eastAsia="zh-CN"/>
        </w:rPr>
        <w:t>13170000.00</w:t>
      </w:r>
    </w:p>
    <w:p>
      <w:pPr>
        <w:pStyle w:val="17"/>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cs="Times New Roman" w:asciiTheme="minorEastAsia" w:hAnsiTheme="minorEastAsia" w:eastAsiaTheme="minorEastAsia"/>
          <w:b w:val="0"/>
          <w:bCs w:val="0"/>
          <w:snapToGrid/>
          <w:color w:val="auto"/>
          <w:kern w:val="2"/>
          <w:sz w:val="24"/>
          <w:szCs w:val="24"/>
          <w:highlight w:val="none"/>
          <w:lang w:eastAsia="zh-CN"/>
        </w:rPr>
        <w:t>杭州市城市运行“一网统管”迭代升级项目</w:t>
      </w:r>
      <w:r>
        <w:rPr>
          <w:rFonts w:hint="eastAsia" w:cs="Times New Roman" w:asciiTheme="minorEastAsia" w:hAnsiTheme="minorEastAsia" w:eastAsiaTheme="minorEastAsia"/>
          <w:b w:val="0"/>
          <w:bCs w:val="0"/>
          <w:snapToGrid/>
          <w:color w:val="auto"/>
          <w:kern w:val="2"/>
          <w:sz w:val="24"/>
          <w:szCs w:val="24"/>
          <w:highlight w:val="none"/>
        </w:rPr>
        <w:t>主要内容：</w:t>
      </w:r>
      <w:r>
        <w:rPr>
          <w:rFonts w:hint="eastAsia" w:cs="Times New Roman" w:asciiTheme="minorEastAsia" w:hAnsiTheme="minorEastAsia" w:eastAsiaTheme="minorEastAsia"/>
          <w:b w:val="0"/>
          <w:bCs w:val="0"/>
          <w:snapToGrid/>
          <w:color w:val="auto"/>
          <w:kern w:val="2"/>
          <w:sz w:val="24"/>
          <w:szCs w:val="24"/>
          <w:highlight w:val="none"/>
          <w:lang w:val="en-US" w:eastAsia="zh-CN"/>
        </w:rPr>
        <w:t>构建</w:t>
      </w:r>
      <w:r>
        <w:rPr>
          <w:rFonts w:hint="eastAsia" w:asciiTheme="minorEastAsia" w:hAnsiTheme="minorEastAsia" w:eastAsiaTheme="minorEastAsia"/>
          <w:b w:val="0"/>
          <w:bCs w:val="0"/>
          <w:snapToGrid/>
          <w:color w:val="auto"/>
          <w:kern w:val="2"/>
          <w:sz w:val="24"/>
          <w:szCs w:val="24"/>
          <w:highlight w:val="none"/>
        </w:rPr>
        <w:t>城市运行生命体征</w:t>
      </w:r>
      <w:r>
        <w:rPr>
          <w:rFonts w:hint="eastAsia" w:asciiTheme="minorEastAsia" w:hAnsiTheme="minorEastAsia" w:eastAsiaTheme="minorEastAsia"/>
          <w:b w:val="0"/>
          <w:bCs w:val="0"/>
          <w:snapToGrid/>
          <w:color w:val="auto"/>
          <w:kern w:val="2"/>
          <w:sz w:val="24"/>
          <w:szCs w:val="24"/>
          <w:highlight w:val="none"/>
          <w:lang w:eastAsia="zh-CN"/>
        </w:rPr>
        <w:t>、</w:t>
      </w:r>
      <w:r>
        <w:rPr>
          <w:rFonts w:hint="eastAsia" w:asciiTheme="minorEastAsia" w:hAnsiTheme="minorEastAsia" w:eastAsiaTheme="minorEastAsia"/>
          <w:b w:val="0"/>
          <w:bCs w:val="0"/>
          <w:snapToGrid/>
          <w:color w:val="auto"/>
          <w:kern w:val="2"/>
          <w:sz w:val="24"/>
          <w:szCs w:val="24"/>
          <w:highlight w:val="none"/>
        </w:rPr>
        <w:t>城市管理多跨协同“一件事”</w:t>
      </w:r>
      <w:r>
        <w:rPr>
          <w:rFonts w:hint="eastAsia" w:asciiTheme="minorEastAsia" w:hAnsiTheme="minorEastAsia" w:eastAsiaTheme="minorEastAsia"/>
          <w:b w:val="0"/>
          <w:bCs w:val="0"/>
          <w:snapToGrid/>
          <w:color w:val="auto"/>
          <w:kern w:val="2"/>
          <w:sz w:val="24"/>
          <w:szCs w:val="24"/>
          <w:highlight w:val="none"/>
          <w:lang w:eastAsia="zh-CN"/>
        </w:rPr>
        <w:t>、</w:t>
      </w:r>
      <w:r>
        <w:rPr>
          <w:rFonts w:hint="eastAsia" w:asciiTheme="minorEastAsia" w:hAnsiTheme="minorEastAsia" w:eastAsiaTheme="minorEastAsia"/>
          <w:b w:val="0"/>
          <w:bCs w:val="0"/>
          <w:snapToGrid/>
          <w:color w:val="auto"/>
          <w:kern w:val="2"/>
          <w:sz w:val="24"/>
          <w:szCs w:val="24"/>
          <w:highlight w:val="none"/>
        </w:rPr>
        <w:t>城市便民服务</w:t>
      </w:r>
      <w:r>
        <w:rPr>
          <w:rFonts w:hint="eastAsia" w:asciiTheme="minorEastAsia" w:hAnsiTheme="minorEastAsia" w:eastAsiaTheme="minorEastAsia"/>
          <w:b w:val="0"/>
          <w:bCs w:val="0"/>
          <w:snapToGrid/>
          <w:color w:val="auto"/>
          <w:kern w:val="2"/>
          <w:sz w:val="24"/>
          <w:szCs w:val="24"/>
          <w:highlight w:val="none"/>
          <w:lang w:eastAsia="zh-CN"/>
        </w:rPr>
        <w:t>、</w:t>
      </w:r>
      <w:r>
        <w:rPr>
          <w:rFonts w:hint="eastAsia" w:asciiTheme="minorEastAsia" w:hAnsiTheme="minorEastAsia" w:eastAsiaTheme="minorEastAsia"/>
          <w:b w:val="0"/>
          <w:bCs w:val="0"/>
          <w:snapToGrid/>
          <w:color w:val="auto"/>
          <w:kern w:val="2"/>
          <w:sz w:val="24"/>
          <w:szCs w:val="24"/>
          <w:highlight w:val="none"/>
        </w:rPr>
        <w:t>分析研判</w:t>
      </w:r>
      <w:r>
        <w:rPr>
          <w:rFonts w:hint="eastAsia" w:asciiTheme="minorEastAsia" w:hAnsiTheme="minorEastAsia" w:eastAsiaTheme="minorEastAsia"/>
          <w:b w:val="0"/>
          <w:bCs w:val="0"/>
          <w:snapToGrid/>
          <w:color w:val="auto"/>
          <w:kern w:val="2"/>
          <w:sz w:val="24"/>
          <w:szCs w:val="24"/>
          <w:highlight w:val="none"/>
          <w:lang w:eastAsia="zh-CN"/>
        </w:rPr>
        <w:t>、</w:t>
      </w:r>
      <w:r>
        <w:rPr>
          <w:rFonts w:hint="eastAsia" w:asciiTheme="minorEastAsia" w:hAnsiTheme="minorEastAsia" w:eastAsiaTheme="minorEastAsia"/>
          <w:b w:val="0"/>
          <w:bCs w:val="0"/>
          <w:snapToGrid/>
          <w:color w:val="auto"/>
          <w:kern w:val="2"/>
          <w:sz w:val="24"/>
          <w:szCs w:val="24"/>
          <w:highlight w:val="none"/>
        </w:rPr>
        <w:t>平战指挥（平时）</w:t>
      </w:r>
      <w:r>
        <w:rPr>
          <w:rFonts w:hint="eastAsia" w:asciiTheme="minorEastAsia" w:hAnsiTheme="minorEastAsia" w:eastAsiaTheme="minorEastAsia"/>
          <w:b w:val="0"/>
          <w:bCs w:val="0"/>
          <w:snapToGrid/>
          <w:color w:val="auto"/>
          <w:kern w:val="2"/>
          <w:sz w:val="24"/>
          <w:szCs w:val="24"/>
          <w:highlight w:val="none"/>
          <w:lang w:eastAsia="zh-CN"/>
        </w:rPr>
        <w:t>、</w:t>
      </w:r>
      <w:r>
        <w:rPr>
          <w:rFonts w:hint="eastAsia" w:asciiTheme="minorEastAsia" w:hAnsiTheme="minorEastAsia" w:eastAsiaTheme="minorEastAsia"/>
          <w:b w:val="0"/>
          <w:bCs w:val="0"/>
          <w:snapToGrid/>
          <w:color w:val="auto"/>
          <w:kern w:val="2"/>
          <w:sz w:val="24"/>
          <w:szCs w:val="24"/>
          <w:highlight w:val="none"/>
        </w:rPr>
        <w:t>综合评价</w:t>
      </w:r>
      <w:r>
        <w:rPr>
          <w:rFonts w:hint="eastAsia" w:asciiTheme="minorEastAsia" w:hAnsiTheme="minorEastAsia" w:eastAsiaTheme="minorEastAsia"/>
          <w:b w:val="0"/>
          <w:bCs w:val="0"/>
          <w:snapToGrid/>
          <w:color w:val="auto"/>
          <w:kern w:val="2"/>
          <w:sz w:val="24"/>
          <w:szCs w:val="24"/>
          <w:highlight w:val="none"/>
          <w:lang w:val="en-US" w:eastAsia="zh-CN"/>
        </w:rPr>
        <w:t>模块、</w:t>
      </w:r>
      <w:r>
        <w:rPr>
          <w:rFonts w:hint="eastAsia" w:asciiTheme="minorEastAsia" w:hAnsiTheme="minorEastAsia" w:eastAsiaTheme="minorEastAsia"/>
          <w:b w:val="0"/>
          <w:bCs w:val="0"/>
          <w:snapToGrid/>
          <w:color w:val="auto"/>
          <w:kern w:val="2"/>
          <w:sz w:val="24"/>
          <w:szCs w:val="24"/>
          <w:highlight w:val="none"/>
        </w:rPr>
        <w:t>行业应用拓展</w:t>
      </w:r>
      <w:r>
        <w:rPr>
          <w:rFonts w:hint="eastAsia" w:asciiTheme="minorEastAsia" w:hAnsiTheme="minorEastAsia" w:eastAsiaTheme="minorEastAsia"/>
          <w:b w:val="0"/>
          <w:bCs w:val="0"/>
          <w:snapToGrid/>
          <w:color w:val="auto"/>
          <w:kern w:val="2"/>
          <w:sz w:val="24"/>
          <w:szCs w:val="24"/>
          <w:highlight w:val="none"/>
          <w:lang w:eastAsia="zh-CN"/>
        </w:rPr>
        <w:t>、</w:t>
      </w:r>
      <w:r>
        <w:rPr>
          <w:rFonts w:hint="eastAsia" w:asciiTheme="minorEastAsia" w:hAnsiTheme="minorEastAsia" w:eastAsiaTheme="minorEastAsia"/>
          <w:b w:val="0"/>
          <w:bCs w:val="0"/>
          <w:snapToGrid/>
          <w:color w:val="auto"/>
          <w:kern w:val="2"/>
          <w:sz w:val="24"/>
          <w:szCs w:val="24"/>
          <w:highlight w:val="none"/>
        </w:rPr>
        <w:t>驾驶舱</w:t>
      </w:r>
      <w:r>
        <w:rPr>
          <w:rFonts w:hint="eastAsia" w:asciiTheme="minorEastAsia" w:hAnsiTheme="minorEastAsia" w:eastAsiaTheme="minorEastAsia"/>
          <w:b w:val="0"/>
          <w:bCs w:val="0"/>
          <w:snapToGrid/>
          <w:color w:val="auto"/>
          <w:kern w:val="2"/>
          <w:sz w:val="24"/>
          <w:szCs w:val="24"/>
          <w:highlight w:val="none"/>
          <w:lang w:eastAsia="zh-CN"/>
        </w:rPr>
        <w:t>、</w:t>
      </w:r>
      <w:r>
        <w:rPr>
          <w:rFonts w:hint="eastAsia" w:asciiTheme="minorEastAsia" w:hAnsiTheme="minorEastAsia" w:eastAsiaTheme="minorEastAsia"/>
          <w:b w:val="0"/>
          <w:bCs w:val="0"/>
          <w:snapToGrid/>
          <w:color w:val="auto"/>
          <w:kern w:val="2"/>
          <w:sz w:val="24"/>
          <w:szCs w:val="24"/>
          <w:highlight w:val="none"/>
        </w:rPr>
        <w:t>工作台</w:t>
      </w:r>
      <w:r>
        <w:rPr>
          <w:rFonts w:hint="eastAsia" w:asciiTheme="minorEastAsia" w:hAnsiTheme="minorEastAsia" w:eastAsiaTheme="minorEastAsia"/>
          <w:b w:val="0"/>
          <w:bCs w:val="0"/>
          <w:snapToGrid/>
          <w:color w:val="auto"/>
          <w:kern w:val="2"/>
          <w:sz w:val="24"/>
          <w:szCs w:val="24"/>
          <w:highlight w:val="none"/>
          <w:lang w:eastAsia="zh-CN"/>
        </w:rPr>
        <w:t>、</w:t>
      </w:r>
      <w:r>
        <w:rPr>
          <w:rFonts w:hint="eastAsia" w:asciiTheme="minorEastAsia" w:hAnsiTheme="minorEastAsia" w:eastAsiaTheme="minorEastAsia"/>
          <w:b w:val="0"/>
          <w:bCs w:val="0"/>
          <w:snapToGrid/>
          <w:color w:val="auto"/>
          <w:kern w:val="2"/>
          <w:sz w:val="24"/>
          <w:szCs w:val="24"/>
          <w:highlight w:val="none"/>
        </w:rPr>
        <w:t>数据仓</w:t>
      </w:r>
      <w:r>
        <w:rPr>
          <w:rFonts w:hint="eastAsia" w:asciiTheme="minorEastAsia" w:hAnsiTheme="minorEastAsia" w:eastAsiaTheme="minorEastAsia"/>
          <w:b w:val="0"/>
          <w:bCs w:val="0"/>
          <w:snapToGrid/>
          <w:color w:val="auto"/>
          <w:kern w:val="2"/>
          <w:sz w:val="24"/>
          <w:szCs w:val="24"/>
          <w:highlight w:val="none"/>
          <w:lang w:eastAsia="zh-CN"/>
        </w:rPr>
        <w:t>、</w:t>
      </w:r>
      <w:r>
        <w:rPr>
          <w:rFonts w:hint="eastAsia" w:asciiTheme="minorEastAsia" w:hAnsiTheme="minorEastAsia" w:eastAsiaTheme="minorEastAsia"/>
          <w:b w:val="0"/>
          <w:bCs w:val="0"/>
          <w:snapToGrid/>
          <w:color w:val="auto"/>
          <w:kern w:val="2"/>
          <w:sz w:val="24"/>
          <w:szCs w:val="24"/>
          <w:highlight w:val="none"/>
        </w:rPr>
        <w:t>服务采购</w:t>
      </w:r>
      <w:r>
        <w:rPr>
          <w:rFonts w:hint="eastAsia" w:asciiTheme="minorEastAsia" w:hAnsiTheme="minorEastAsia" w:eastAsiaTheme="minorEastAsia"/>
          <w:b w:val="0"/>
          <w:bCs w:val="0"/>
          <w:snapToGrid/>
          <w:color w:val="auto"/>
          <w:kern w:val="2"/>
          <w:sz w:val="24"/>
          <w:szCs w:val="24"/>
          <w:highlight w:val="none"/>
          <w:lang w:eastAsia="zh-CN"/>
        </w:rPr>
        <w:t>、</w:t>
      </w:r>
      <w:r>
        <w:rPr>
          <w:rFonts w:hint="eastAsia" w:asciiTheme="minorEastAsia" w:hAnsiTheme="minorEastAsia" w:eastAsiaTheme="minorEastAsia"/>
          <w:b w:val="0"/>
          <w:bCs w:val="0"/>
          <w:snapToGrid/>
          <w:color w:val="auto"/>
          <w:kern w:val="2"/>
          <w:sz w:val="24"/>
          <w:szCs w:val="24"/>
          <w:highlight w:val="none"/>
          <w:lang w:val="en-US" w:eastAsia="zh-CN"/>
        </w:rPr>
        <w:t>数据对接等</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pPr>
        <w:pStyle w:val="131"/>
        <w:ind w:firstLine="482"/>
        <w:outlineLvl w:val="2"/>
        <w:rPr>
          <w:rFonts w:hint="eastAsia" w:cs="Times New Roman" w:asciiTheme="minorEastAsia" w:hAnsiTheme="minorEastAsia" w:eastAsiaTheme="minorEastAsia"/>
          <w:color w:val="auto"/>
          <w:szCs w:val="24"/>
          <w:highlight w:val="none"/>
        </w:rPr>
      </w:pPr>
      <w:r>
        <w:rPr>
          <w:rFonts w:hint="eastAsia" w:ascii="宋体" w:hAnsi="宋体" w:cs="宋体"/>
          <w:b/>
          <w:color w:val="auto"/>
          <w:highlight w:val="none"/>
        </w:rPr>
        <w:t>合同履约期限：</w:t>
      </w:r>
      <w:r>
        <w:rPr>
          <w:rFonts w:hint="eastAsia" w:asciiTheme="minorEastAsia" w:hAnsiTheme="minorEastAsia" w:eastAsiaTheme="minorEastAsia"/>
          <w:color w:val="auto"/>
          <w:sz w:val="24"/>
          <w:szCs w:val="24"/>
          <w:highlight w:val="none"/>
        </w:rPr>
        <w:t>在202</w:t>
      </w:r>
      <w:r>
        <w:rPr>
          <w:rFonts w:hint="eastAsia" w:asciiTheme="minorEastAsia" w:hAnsiTheme="minorEastAsia" w:eastAsiaTheme="minorEastAsia"/>
          <w:color w:val="auto"/>
          <w:sz w:val="24"/>
          <w:szCs w:val="24"/>
          <w:highlight w:val="none"/>
          <w:lang w:val="en-US" w:eastAsia="zh-CN"/>
        </w:rPr>
        <w:t>4</w:t>
      </w:r>
      <w:r>
        <w:rPr>
          <w:rFonts w:hint="eastAsia" w:asciiTheme="minorEastAsia" w:hAnsiTheme="minorEastAsia" w:eastAsiaTheme="minorEastAsia"/>
          <w:color w:val="auto"/>
          <w:sz w:val="24"/>
          <w:szCs w:val="24"/>
          <w:highlight w:val="none"/>
        </w:rPr>
        <w:t>年</w:t>
      </w:r>
      <w:r>
        <w:rPr>
          <w:rFonts w:hint="eastAsia" w:asciiTheme="minorEastAsia" w:hAnsiTheme="minorEastAsia" w:eastAsiaTheme="minorEastAsia"/>
          <w:color w:val="auto"/>
          <w:sz w:val="24"/>
          <w:szCs w:val="24"/>
          <w:highlight w:val="none"/>
          <w:lang w:val="en-US" w:eastAsia="zh-CN"/>
        </w:rPr>
        <w:t>2</w:t>
      </w:r>
      <w:r>
        <w:rPr>
          <w:rFonts w:hint="eastAsia" w:asciiTheme="minorEastAsia" w:hAnsiTheme="minorEastAsia" w:eastAsiaTheme="minorEastAsia"/>
          <w:color w:val="auto"/>
          <w:sz w:val="24"/>
          <w:szCs w:val="24"/>
          <w:highlight w:val="none"/>
        </w:rPr>
        <w:t>月</w:t>
      </w:r>
      <w:r>
        <w:rPr>
          <w:rFonts w:hint="eastAsia" w:asciiTheme="minorEastAsia" w:hAnsiTheme="minorEastAsia" w:eastAsiaTheme="minorEastAsia"/>
          <w:color w:val="auto"/>
          <w:sz w:val="24"/>
          <w:szCs w:val="24"/>
          <w:highlight w:val="none"/>
          <w:lang w:eastAsia="zh-CN"/>
        </w:rPr>
        <w:t>下</w:t>
      </w:r>
      <w:r>
        <w:rPr>
          <w:rFonts w:hint="eastAsia" w:asciiTheme="minorEastAsia" w:hAnsiTheme="minorEastAsia" w:eastAsiaTheme="minorEastAsia"/>
          <w:color w:val="auto"/>
          <w:sz w:val="24"/>
          <w:szCs w:val="24"/>
          <w:highlight w:val="none"/>
        </w:rPr>
        <w:t>旬完成初验，试运行1个月正常后，</w:t>
      </w:r>
      <w:r>
        <w:rPr>
          <w:rFonts w:hint="eastAsia" w:asciiTheme="minorEastAsia" w:hAnsiTheme="minorEastAsia" w:eastAsiaTheme="minorEastAsia"/>
          <w:color w:val="auto"/>
          <w:sz w:val="24"/>
          <w:szCs w:val="24"/>
          <w:highlight w:val="none"/>
          <w:lang w:val="en-US" w:eastAsia="zh-CN"/>
        </w:rPr>
        <w:t>3</w:t>
      </w:r>
      <w:r>
        <w:rPr>
          <w:rFonts w:hint="eastAsia" w:asciiTheme="minorEastAsia" w:hAnsiTheme="minorEastAsia" w:eastAsiaTheme="minorEastAsia"/>
          <w:color w:val="auto"/>
          <w:sz w:val="24"/>
          <w:szCs w:val="24"/>
          <w:highlight w:val="none"/>
        </w:rPr>
        <w:t>月</w:t>
      </w:r>
      <w:r>
        <w:rPr>
          <w:rFonts w:hint="eastAsia" w:asciiTheme="minorEastAsia" w:hAnsiTheme="minorEastAsia" w:eastAsiaTheme="minorEastAsia"/>
          <w:color w:val="auto"/>
          <w:sz w:val="24"/>
          <w:szCs w:val="24"/>
          <w:highlight w:val="none"/>
          <w:lang w:eastAsia="zh-CN"/>
        </w:rPr>
        <w:t>下</w:t>
      </w:r>
      <w:r>
        <w:rPr>
          <w:rFonts w:hint="eastAsia" w:asciiTheme="minorEastAsia" w:hAnsiTheme="minorEastAsia" w:eastAsiaTheme="minorEastAsia"/>
          <w:color w:val="auto"/>
          <w:sz w:val="24"/>
          <w:szCs w:val="24"/>
          <w:highlight w:val="none"/>
        </w:rPr>
        <w:t>旬完成终验，免费运维期3年。</w:t>
      </w:r>
    </w:p>
    <w:p>
      <w:pPr>
        <w:pStyle w:val="17"/>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25"/>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26"/>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napToGrid w:val="0"/>
          <w:color w:val="auto"/>
          <w:kern w:val="28"/>
          <w:sz w:val="24"/>
          <w:szCs w:val="24"/>
          <w:highlight w:val="none"/>
        </w:rPr>
        <w:t>3.落实政府采购政策需满足的资格要求：</w:t>
      </w:r>
      <w:r>
        <w:rPr>
          <w:rFonts w:hint="eastAsia" w:ascii="宋体" w:hAnsi="宋体" w:eastAsia="宋体" w:cs="宋体"/>
          <w:color w:val="auto"/>
          <w:spacing w:val="8"/>
          <w:kern w:val="0"/>
          <w:sz w:val="24"/>
          <w:szCs w:val="24"/>
          <w:highlight w:val="none"/>
        </w:rPr>
        <w:br w:type="textWrapping"/>
      </w:r>
      <w:r>
        <w:rPr>
          <w:rFonts w:hint="eastAsia" w:ascii="宋体" w:hAnsi="宋体" w:eastAsia="宋体" w:cs="宋体"/>
          <w:color w:val="auto"/>
          <w:spacing w:val="8"/>
          <w:kern w:val="0"/>
          <w:sz w:val="24"/>
          <w:szCs w:val="24"/>
          <w:highlight w:val="none"/>
          <w:lang w:val="en-US" w:eastAsia="zh-CN"/>
        </w:rPr>
        <w:tab/>
      </w:r>
      <w:sdt>
        <w:sdtPr>
          <w:rPr>
            <w:rFonts w:hint="eastAsia" w:ascii="宋体" w:hAnsi="宋体" w:eastAsia="宋体" w:cs="宋体"/>
            <w:color w:val="auto"/>
            <w:kern w:val="0"/>
            <w:sz w:val="24"/>
            <w:szCs w:val="24"/>
            <w:highlight w:val="none"/>
          </w:rPr>
          <w:id w:val="1928616923"/>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sz w:val="24"/>
          <w:szCs w:val="24"/>
          <w:highlight w:val="none"/>
        </w:rPr>
        <w:t>无；</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sym w:font="Wingdings" w:char="00A8"/>
      </w:r>
      <w:r>
        <w:rPr>
          <w:rFonts w:hint="eastAsia" w:ascii="宋体" w:hAnsi="宋体" w:eastAsia="宋体" w:cs="宋体"/>
          <w:color w:val="auto"/>
          <w:kern w:val="0"/>
          <w:sz w:val="24"/>
          <w:szCs w:val="24"/>
          <w:highlight w:val="none"/>
        </w:rPr>
        <w:t>专</w:t>
      </w:r>
      <w:r>
        <w:rPr>
          <w:rFonts w:hint="eastAsia" w:ascii="宋体" w:hAnsi="宋体" w:eastAsia="宋体" w:cs="宋体"/>
          <w:color w:val="auto"/>
          <w:sz w:val="24"/>
          <w:szCs w:val="24"/>
          <w:highlight w:val="none"/>
        </w:rPr>
        <w:t>门面向中小企业</w:t>
      </w:r>
    </w:p>
    <w:p>
      <w:pPr>
        <w:spacing w:line="360" w:lineRule="auto"/>
        <w:ind w:firstLine="897" w:firstLineChars="374"/>
        <w:rPr>
          <w:rFonts w:hint="eastAsia" w:ascii="宋体" w:hAnsi="宋体" w:eastAsia="宋体" w:cs="宋体"/>
          <w:color w:val="auto"/>
          <w:sz w:val="24"/>
          <w:szCs w:val="24"/>
          <w:highlight w:val="none"/>
          <w:u w:val="single"/>
        </w:rPr>
      </w:pPr>
      <w:sdt>
        <w:sdtPr>
          <w:rPr>
            <w:rFonts w:hint="eastAsia" w:ascii="宋体" w:hAnsi="宋体" w:eastAsia="宋体" w:cs="宋体"/>
            <w:color w:val="auto"/>
            <w:kern w:val="0"/>
            <w:sz w:val="24"/>
            <w:szCs w:val="24"/>
            <w:highlight w:val="none"/>
          </w:rPr>
          <w:id w:val="28"/>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sz w:val="24"/>
          <w:szCs w:val="24"/>
          <w:highlight w:val="none"/>
        </w:rPr>
        <w:t>货物全部由符合政策要求的中小企业制造，提供中小企业声明函；</w:t>
      </w:r>
    </w:p>
    <w:p>
      <w:pPr>
        <w:spacing w:line="360" w:lineRule="auto"/>
        <w:ind w:firstLine="897" w:firstLineChars="374"/>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29"/>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sz w:val="24"/>
          <w:szCs w:val="24"/>
          <w:highlight w:val="none"/>
        </w:rPr>
        <w:t>货物全部由符合政策要求的小微企业制造，提供中小企业声明函；</w:t>
      </w:r>
    </w:p>
    <w:p>
      <w:pPr>
        <w:spacing w:line="360" w:lineRule="auto"/>
        <w:ind w:firstLine="897" w:firstLineChars="374"/>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sym w:font="Wingdings" w:char="00A8"/>
      </w:r>
      <w:r>
        <w:rPr>
          <w:rFonts w:hint="eastAsia" w:ascii="宋体" w:hAnsi="宋体" w:eastAsia="宋体" w:cs="宋体"/>
          <w:color w:val="auto"/>
          <w:sz w:val="24"/>
          <w:szCs w:val="24"/>
          <w:highlight w:val="none"/>
        </w:rPr>
        <w:t>服务全部由符合政策要求的中小企业承接，提供中小企业声明函；</w:t>
      </w:r>
    </w:p>
    <w:p>
      <w:pPr>
        <w:spacing w:line="360" w:lineRule="auto"/>
        <w:ind w:firstLine="897" w:firstLineChars="374"/>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30"/>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sz w:val="24"/>
          <w:szCs w:val="24"/>
          <w:highlight w:val="none"/>
        </w:rPr>
        <w:t>服务全部由符合政策要求的小微企业承接，提供中小企业声明函；</w:t>
      </w:r>
    </w:p>
    <w:p>
      <w:pPr>
        <w:spacing w:line="360" w:lineRule="auto"/>
        <w:ind w:firstLine="480" w:firstLineChars="200"/>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31"/>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szCs w:val="24"/>
          <w:highlight w:val="none"/>
        </w:rPr>
        <w:t>要求以联合体形式参加，提供联合协议和中小企业声明函，联合协议中中小企业合同金额应当达到</w:t>
      </w:r>
      <w:r>
        <w:rPr>
          <w:rFonts w:hint="eastAsia" w:ascii="宋体" w:hAnsi="宋体" w:cs="宋体"/>
          <w:color w:val="auto"/>
          <w:sz w:val="24"/>
          <w:szCs w:val="24"/>
          <w:highlight w:val="none"/>
          <w:u w:val="single"/>
          <w:lang w:val="en-US" w:eastAsia="zh-CN"/>
        </w:rPr>
        <w:t>40</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其中</w:t>
      </w:r>
      <w:r>
        <w:rPr>
          <w:rFonts w:hint="eastAsia" w:ascii="宋体" w:hAnsi="宋体" w:eastAsia="宋体" w:cs="宋体"/>
          <w:color w:val="auto"/>
          <w:sz w:val="24"/>
          <w:szCs w:val="24"/>
          <w:highlight w:val="none"/>
        </w:rPr>
        <w:t>小微企业合同金额应当达到</w:t>
      </w:r>
      <w:r>
        <w:rPr>
          <w:rFonts w:hint="eastAsia" w:ascii="宋体" w:hAnsi="宋体" w:cs="宋体"/>
          <w:color w:val="auto"/>
          <w:sz w:val="24"/>
          <w:szCs w:val="24"/>
          <w:highlight w:val="none"/>
          <w:u w:val="single"/>
          <w:lang w:val="en-US" w:eastAsia="zh-CN"/>
        </w:rPr>
        <w:t>70</w:t>
      </w:r>
      <w:r>
        <w:rPr>
          <w:rFonts w:hint="eastAsia" w:ascii="宋体" w:hAnsi="宋体" w:eastAsia="宋体" w:cs="宋体"/>
          <w:color w:val="auto"/>
          <w:sz w:val="24"/>
          <w:szCs w:val="24"/>
          <w:highlight w:val="none"/>
        </w:rPr>
        <w:t>%;</w:t>
      </w:r>
      <w:r>
        <w:rPr>
          <w:rFonts w:hint="eastAsia" w:ascii="宋体" w:hAnsi="宋体" w:eastAsia="宋体" w:cs="宋体"/>
          <w:color w:val="auto"/>
          <w:spacing w:val="8"/>
          <w:kern w:val="0"/>
          <w:sz w:val="24"/>
          <w:szCs w:val="24"/>
          <w:highlight w:val="none"/>
        </w:rPr>
        <w:t>如果供应商本身提供所有标的均由中小企业制造、承建或承接，视同符合了资格条件，无需再与其他中小企业组成联合体参加政府采购活动，无需提供联合协议</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34630645"/>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sz w:val="24"/>
          <w:szCs w:val="24"/>
          <w:highlight w:val="none"/>
        </w:rPr>
        <w:t>要求合同分包，提供分包意向协议和中小企业声明函，分包意向协议中中小企业合同金额应当达到达到</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其中</w:t>
      </w:r>
      <w:r>
        <w:rPr>
          <w:rFonts w:hint="eastAsia" w:ascii="宋体" w:hAnsi="宋体" w:eastAsia="宋体" w:cs="宋体"/>
          <w:color w:val="auto"/>
          <w:sz w:val="24"/>
          <w:szCs w:val="24"/>
          <w:highlight w:val="none"/>
        </w:rPr>
        <w:t>小微企业合同金额应当达到</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w:t>
      </w:r>
      <w:r>
        <w:rPr>
          <w:rFonts w:hint="eastAsia" w:ascii="宋体" w:hAnsi="宋体" w:eastAsia="宋体" w:cs="宋体"/>
          <w:color w:val="auto"/>
          <w:spacing w:val="8"/>
          <w:kern w:val="0"/>
          <w:sz w:val="24"/>
          <w:szCs w:val="24"/>
          <w:highlight w:val="none"/>
        </w:rPr>
        <w:t>如果供应商本身提供所有标的均由中小企业制造、承建或承接，视同符合了资格条件，无需再向中小企业分包，无需提供分包意向协议</w:t>
      </w:r>
      <w:r>
        <w:rPr>
          <w:rFonts w:hint="eastAsia" w:ascii="宋体" w:hAnsi="宋体" w:eastAsia="宋体" w:cs="宋体"/>
          <w:color w:val="auto"/>
          <w:sz w:val="24"/>
          <w:szCs w:val="24"/>
          <w:highlight w:val="none"/>
        </w:rPr>
        <w:t>；</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lang w:val="en-US" w:eastAsia="zh-CN"/>
        </w:rPr>
        <w:t>无</w:t>
      </w:r>
      <w:r>
        <w:rPr>
          <w:rFonts w:hint="eastAsia" w:ascii="宋体" w:hAnsi="宋体" w:cs="宋体"/>
          <w:color w:val="auto"/>
          <w:sz w:val="24"/>
          <w:highlight w:val="none"/>
        </w:rPr>
        <w:t>。</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2023年</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19</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2023年</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19</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2023年</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19</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秒</w:t>
      </w:r>
      <w:r>
        <w:rPr>
          <w:rFonts w:hint="eastAsia" w:ascii="宋体" w:hAnsi="宋体" w:cs="宋体"/>
          <w:bCs/>
          <w:color w:val="auto"/>
          <w:sz w:val="24"/>
          <w:highlight w:val="none"/>
          <w:u w:val="singl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1）单位负责人为同一人或者存在直接控股、管理关系的不同供应商，不得参加同一合同项下的政府采购活动；为采购项目提供整体设计、规范编制或者项目管理、监理、检测等服务后不得再参加该采购项目的其他采购活动</w:t>
      </w:r>
      <w:r>
        <w:rPr>
          <w:rFonts w:hint="eastAsia" w:ascii="宋体" w:hAnsi="宋体" w:cs="宋体"/>
          <w:color w:val="auto"/>
          <w:sz w:val="24"/>
          <w:highlight w:val="none"/>
          <w:lang w:eastAsia="zh-CN"/>
        </w:rPr>
        <w:t>；公益一类事业单位、使用事业编制且由财政拨款保障的群团组织不属于政府购买服务的承接主体，不得参与承接购买服务。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（2）需要落实的政府采购政策：包括节约资源、保护环境、支持创新、促进中小企业发展等。详见招标文件的第二部分总则。</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（3）电子招投标的说明：</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①电子招投标：本项目以数据电文形式，依托“政府采购云平台（www.zcygov.cn）”进行招投标活动，不接受纸质投标文件；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③招标文件的获取：使用账号登录或者使用CA登录政采云平台；进入“项目采购”应用，在获取采购文件菜单中选择项目，获取招标文件；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④投标文件的制作：在“政采云电子交易客户端”中完成“填写基本信息”、“导入投标文件”、“标书关联”、“标书检查”、“电子签名”、“生成电子标书”等操作；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⑤采购人、采购代理机构将依托政采云平台完成本项目的电子交易活动，平台不接受未按上述方式获取招标文件的供应商进行投标活动；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⑥对未按上述方式获取招标文件的供应商对该文件提出的质疑，采购人或采购代理机构将不予处理；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⑦不提供招标文件纸质版；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⑩具体操作指南：详见政采云平台“服务中心-帮助文档-项目采购-操作流程-电子招投标-政府采购项目电子交易管理操作指南-供应商”。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（4）招标文件公告期限与招标公告的公告期限一致。</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spacing w:line="360" w:lineRule="auto"/>
        <w:rPr>
          <w:rFonts w:ascii="宋体" w:hAnsi="宋体" w:cs="宋体"/>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ab/>
      </w:r>
      <w:r>
        <w:rPr>
          <w:rFonts w:hint="eastAsia" w:ascii="宋体" w:hAnsi="宋体" w:cs="宋体"/>
          <w:color w:val="auto"/>
          <w:sz w:val="24"/>
          <w:highlight w:val="none"/>
          <w:lang w:val="en-US" w:eastAsia="zh-CN"/>
        </w:rPr>
        <w:t xml:space="preserve"> </w:t>
      </w:r>
      <w:r>
        <w:rPr>
          <w:rFonts w:hint="eastAsia" w:ascii="宋体" w:hAnsi="宋体" w:cs="宋体"/>
          <w:sz w:val="24"/>
          <w:highlight w:val="none"/>
        </w:rPr>
        <w:t>1.采购人信息</w:t>
      </w:r>
    </w:p>
    <w:p>
      <w:pPr>
        <w:spacing w:line="360" w:lineRule="auto"/>
        <w:rPr>
          <w:rFonts w:ascii="宋体" w:hAnsi="宋体" w:cs="宋体"/>
          <w:sz w:val="24"/>
          <w:highlight w:val="none"/>
        </w:rPr>
      </w:pPr>
      <w:r>
        <w:rPr>
          <w:rFonts w:hint="eastAsia" w:ascii="宋体" w:hAnsi="宋体" w:cs="宋体"/>
          <w:sz w:val="24"/>
          <w:highlight w:val="none"/>
        </w:rPr>
        <w:t xml:space="preserve">    名    称：杭州市城市管理局 </w:t>
      </w:r>
    </w:p>
    <w:p>
      <w:pPr>
        <w:spacing w:line="360" w:lineRule="auto"/>
        <w:rPr>
          <w:rFonts w:ascii="宋体" w:hAnsi="宋体" w:cs="宋体"/>
          <w:sz w:val="24"/>
          <w:highlight w:val="none"/>
        </w:rPr>
      </w:pPr>
      <w:r>
        <w:rPr>
          <w:rFonts w:hint="eastAsia" w:ascii="宋体" w:hAnsi="宋体" w:cs="宋体"/>
          <w:sz w:val="24"/>
          <w:highlight w:val="none"/>
        </w:rPr>
        <w:t xml:space="preserve">    地    址：</w:t>
      </w:r>
      <w:r>
        <w:rPr>
          <w:rFonts w:hint="eastAsia" w:asciiTheme="minorEastAsia" w:hAnsiTheme="minorEastAsia"/>
          <w:sz w:val="24"/>
          <w:highlight w:val="none"/>
        </w:rPr>
        <w:t>杭州市香积寺路302号</w:t>
      </w:r>
    </w:p>
    <w:p>
      <w:pPr>
        <w:spacing w:line="360" w:lineRule="auto"/>
        <w:ind w:firstLine="480"/>
        <w:rPr>
          <w:rFonts w:ascii="宋体" w:hAnsi="宋体" w:cs="宋体"/>
          <w:sz w:val="24"/>
          <w:highlight w:val="none"/>
        </w:rPr>
      </w:pPr>
      <w:r>
        <w:rPr>
          <w:rFonts w:hint="eastAsia" w:ascii="宋体" w:hAnsi="宋体" w:cs="宋体"/>
          <w:sz w:val="24"/>
          <w:highlight w:val="none"/>
        </w:rPr>
        <w:t>传    真：/</w:t>
      </w:r>
    </w:p>
    <w:p>
      <w:pPr>
        <w:spacing w:line="360" w:lineRule="auto"/>
        <w:ind w:firstLine="480"/>
        <w:rPr>
          <w:rFonts w:ascii="宋体" w:hAnsi="宋体" w:cs="宋体"/>
          <w:sz w:val="24"/>
          <w:highlight w:val="none"/>
        </w:rPr>
      </w:pPr>
      <w:r>
        <w:rPr>
          <w:rFonts w:hint="eastAsia" w:ascii="宋体" w:hAnsi="宋体" w:cs="宋体"/>
          <w:sz w:val="24"/>
          <w:highlight w:val="none"/>
        </w:rPr>
        <w:t>项目联系人（询问）：童振宇</w:t>
      </w:r>
    </w:p>
    <w:p>
      <w:pPr>
        <w:spacing w:line="360" w:lineRule="auto"/>
        <w:rPr>
          <w:rFonts w:ascii="宋体" w:hAnsi="宋体" w:cs="宋体"/>
          <w:sz w:val="24"/>
          <w:highlight w:val="none"/>
        </w:rPr>
      </w:pPr>
      <w:r>
        <w:rPr>
          <w:rFonts w:hint="eastAsia" w:ascii="宋体" w:hAnsi="宋体" w:cs="宋体"/>
          <w:sz w:val="24"/>
          <w:highlight w:val="none"/>
        </w:rPr>
        <w:t xml:space="preserve">    项目联系方式（询问）：0571-86961611</w:t>
      </w:r>
    </w:p>
    <w:p>
      <w:pPr>
        <w:spacing w:line="360" w:lineRule="auto"/>
        <w:rPr>
          <w:rFonts w:ascii="宋体" w:hAnsi="宋体" w:cs="宋体"/>
          <w:sz w:val="24"/>
          <w:highlight w:val="none"/>
        </w:rPr>
      </w:pPr>
      <w:r>
        <w:rPr>
          <w:rFonts w:hint="eastAsia" w:ascii="宋体" w:hAnsi="宋体" w:cs="宋体"/>
          <w:sz w:val="24"/>
          <w:highlight w:val="none"/>
        </w:rPr>
        <w:t xml:space="preserve">    质疑联系人： 汪洋</w:t>
      </w:r>
    </w:p>
    <w:p>
      <w:pPr>
        <w:spacing w:line="360" w:lineRule="auto"/>
        <w:rPr>
          <w:rFonts w:hint="eastAsia" w:ascii="宋体" w:hAnsi="宋体" w:eastAsia="宋体" w:cs="宋体"/>
          <w:color w:val="auto"/>
          <w:sz w:val="24"/>
          <w:highlight w:val="none"/>
          <w:lang w:eastAsia="zh-CN"/>
        </w:rPr>
      </w:pPr>
      <w:r>
        <w:rPr>
          <w:rFonts w:hint="eastAsia" w:ascii="宋体" w:hAnsi="宋体" w:cs="宋体"/>
          <w:sz w:val="24"/>
          <w:highlight w:val="none"/>
        </w:rPr>
        <w:t xml:space="preserve">    质疑联系方式：0571-86961611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r>
        <w:rPr>
          <w:rFonts w:hint="eastAsia" w:ascii="宋体" w:hAnsi="宋体" w:cs="宋体"/>
          <w:color w:val="auto"/>
          <w:sz w:val="24"/>
          <w:highlight w:val="none"/>
        </w:rPr>
        <w:tab/>
      </w:r>
      <w:r>
        <w:rPr>
          <w:rFonts w:hint="eastAsia" w:ascii="宋体" w:hAnsi="宋体" w:cs="宋体"/>
          <w:color w:val="auto"/>
          <w:sz w:val="24"/>
          <w:highlight w:val="none"/>
        </w:rPr>
        <w:t xml:space="preserve">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称：浙江省成套招标代理有限公司</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地    址：杭州市文晖路42号现代置业大厦西楼18层1802室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真：4008-266-163转08156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项目联系人（询问）：邱能晖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项目联系方式（询问）：0571-85830113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质疑联系人：冯东东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质疑联系方式：0571-85331293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址：杭州市上城区四季青街道新业路市民之家G03办公室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监督投诉电话：电话：0571-85252453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33"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（1）标的：</w:t>
            </w:r>
            <w:r>
              <w:rPr>
                <w:rFonts w:hint="eastAsia" w:ascii="宋体" w:hAnsi="宋体" w:cs="宋体"/>
                <w:color w:val="auto"/>
                <w:sz w:val="24"/>
                <w:highlight w:val="none"/>
                <w:u w:val="single"/>
                <w:lang w:eastAsia="zh-CN"/>
              </w:rPr>
              <w:t>杭州市城市运行“一网统管”迭代升级项目</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lang w:eastAsia="zh-CN"/>
              </w:rPr>
              <w:t>软件和信息技术服务</w:t>
            </w:r>
            <w:r>
              <w:rPr>
                <w:rFonts w:hint="eastAsia" w:ascii="宋体" w:hAnsi="宋体" w:cs="宋体"/>
                <w:color w:val="auto"/>
                <w:kern w:val="0"/>
                <w:sz w:val="24"/>
                <w:highlight w:val="none"/>
              </w:rPr>
              <w:t>行业；</w:t>
            </w:r>
            <w:r>
              <w:rPr>
                <w:rFonts w:hint="eastAsia" w:ascii="宋体" w:hAnsi="宋体" w:cs="宋体"/>
                <w:color w:val="auto"/>
                <w:kern w:val="0"/>
                <w:sz w:val="24"/>
                <w:highlight w:val="none"/>
              </w:rPr>
              <w:br w:type="textWrapping"/>
            </w:r>
            <w:r>
              <w:rPr>
                <w:rFonts w:hint="eastAsia" w:cs="宋体" w:asciiTheme="minorEastAsia" w:hAnsiTheme="minorEastAsia"/>
                <w:kern w:val="0"/>
                <w:sz w:val="24"/>
                <w:highlight w:val="none"/>
              </w:rPr>
              <w:t>说明：</w:t>
            </w:r>
            <w:r>
              <w:rPr>
                <w:rFonts w:hint="eastAsia" w:ascii="宋体" w:hAnsi="宋体" w:cs="宋体"/>
                <w:kern w:val="0"/>
                <w:sz w:val="24"/>
                <w:highlight w:val="none"/>
              </w:rPr>
              <w:t>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3"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sym w:font="Wingdings" w:char="00FE"/>
            </w:r>
            <w:r>
              <w:rPr>
                <w:rFonts w:hint="eastAsia" w:ascii="宋体" w:hAnsi="宋体" w:cs="宋体"/>
                <w:color w:val="auto"/>
                <w:kern w:val="0"/>
                <w:sz w:val="24"/>
                <w:highlight w:val="none"/>
              </w:rPr>
              <w:t>本项目不允许采购进口产品。</w:t>
            </w:r>
          </w:p>
          <w:p>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3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3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lang w:val="en-US" w:eastAsia="zh-CN"/>
              </w:rPr>
              <w:t>系统培训、硬件采购等</w:t>
            </w:r>
            <w:r>
              <w:rPr>
                <w:rFonts w:hint="eastAsia" w:ascii="宋体" w:hAnsi="宋体" w:cs="宋体"/>
                <w:color w:val="auto"/>
                <w:sz w:val="24"/>
                <w:highlight w:val="none"/>
              </w:rPr>
              <w:t>工作分包。</w:t>
            </w:r>
          </w:p>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3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3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3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4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B组织。</w:t>
            </w:r>
          </w:p>
          <w:p>
            <w:pPr>
              <w:snapToGrid w:val="0"/>
              <w:spacing w:line="360" w:lineRule="auto"/>
              <w:rPr>
                <w:rFonts w:ascii="宋体" w:hAnsi="宋体" w:cs="宋体"/>
                <w:kern w:val="0"/>
                <w:sz w:val="24"/>
                <w:highlight w:val="none"/>
              </w:rPr>
            </w:pPr>
            <w:r>
              <w:rPr>
                <w:rFonts w:hint="eastAsia" w:ascii="宋体" w:hAnsi="宋体" w:cs="宋体"/>
                <w:kern w:val="0"/>
                <w:sz w:val="24"/>
                <w:highlight w:val="none"/>
              </w:rPr>
              <w:t>1）在评标时安排每个投标人进行方案讲解演示。每个投标人提供时间不超过</w:t>
            </w:r>
            <w:r>
              <w:rPr>
                <w:rFonts w:ascii="宋体" w:hAnsi="宋体" w:cs="宋体"/>
                <w:kern w:val="0"/>
                <w:sz w:val="24"/>
                <w:highlight w:val="none"/>
                <w:u w:val="single"/>
              </w:rPr>
              <w:t>1</w:t>
            </w:r>
            <w:r>
              <w:rPr>
                <w:rFonts w:hint="eastAsia" w:ascii="宋体" w:hAnsi="宋体" w:cs="宋体"/>
                <w:kern w:val="0"/>
                <w:sz w:val="24"/>
                <w:highlight w:val="none"/>
                <w:u w:val="single"/>
                <w:lang w:val="en-US" w:eastAsia="zh-CN"/>
              </w:rPr>
              <w:t>5</w:t>
            </w:r>
            <w:r>
              <w:rPr>
                <w:rFonts w:hint="eastAsia" w:ascii="宋体" w:hAnsi="宋体" w:cs="宋体"/>
                <w:kern w:val="0"/>
                <w:sz w:val="24"/>
                <w:highlight w:val="none"/>
              </w:rPr>
              <w:t>分钟的演示视频，</w:t>
            </w:r>
            <w:r>
              <w:rPr>
                <w:rFonts w:hint="eastAsia" w:asciiTheme="minorEastAsia" w:hAnsiTheme="minorEastAsia"/>
                <w:kern w:val="0"/>
                <w:sz w:val="24"/>
                <w:highlight w:val="none"/>
              </w:rPr>
              <w:t>由采购代理机构组织人员现场播放，</w:t>
            </w:r>
            <w:r>
              <w:rPr>
                <w:rFonts w:hint="eastAsia" w:ascii="宋体" w:hAnsi="宋体" w:cs="宋体"/>
                <w:kern w:val="0"/>
                <w:sz w:val="24"/>
                <w:highlight w:val="none"/>
              </w:rPr>
              <w:t>播放次序以投标文件解密时间先后次序为准。</w:t>
            </w:r>
          </w:p>
          <w:p>
            <w:pPr>
              <w:pStyle w:val="5"/>
              <w:ind w:left="0" w:firstLine="0"/>
              <w:rPr>
                <w:highlight w:val="none"/>
              </w:rPr>
            </w:pPr>
            <w:r>
              <w:rPr>
                <w:rFonts w:hint="eastAsia" w:ascii="宋体" w:hAnsi="宋体" w:eastAsia="宋体" w:cs="宋体"/>
                <w:b w:val="0"/>
                <w:bCs w:val="0"/>
                <w:kern w:val="0"/>
                <w:sz w:val="24"/>
                <w:highlight w:val="none"/>
              </w:rPr>
              <w:t>（</w:t>
            </w:r>
            <w:r>
              <w:rPr>
                <w:rFonts w:ascii="宋体" w:hAnsi="宋体" w:eastAsia="宋体" w:cs="宋体"/>
                <w:b w:val="0"/>
                <w:bCs w:val="0"/>
                <w:kern w:val="0"/>
                <w:sz w:val="24"/>
                <w:highlight w:val="none"/>
              </w:rPr>
              <w:t>2）</w:t>
            </w:r>
            <w:r>
              <w:rPr>
                <w:rFonts w:hint="eastAsia" w:ascii="宋体" w:hAnsi="宋体" w:eastAsia="宋体" w:cs="宋体"/>
                <w:b w:val="0"/>
                <w:bCs w:val="0"/>
                <w:kern w:val="0"/>
                <w:sz w:val="24"/>
                <w:szCs w:val="24"/>
                <w:highlight w:val="none"/>
                <w:lang w:val="en-US"/>
              </w:rPr>
              <w:t>演示视频，请按以下方式提交：应当在投标截止时间以前，供应商以介质存储的演示视频文件密封并以邮寄或直接送达等形式提交给采购代理机构联系人（</w:t>
            </w:r>
            <w:r>
              <w:rPr>
                <w:rFonts w:hint="eastAsia" w:ascii="宋体" w:hAnsi="宋体" w:eastAsia="宋体" w:cs="宋体"/>
                <w:b w:val="0"/>
                <w:bCs w:val="0"/>
                <w:kern w:val="0"/>
                <w:sz w:val="24"/>
                <w:szCs w:val="24"/>
                <w:highlight w:val="none"/>
                <w:lang w:val="en-US" w:eastAsia="zh-CN"/>
              </w:rPr>
              <w:t>邱能晖，17826893074</w:t>
            </w:r>
            <w:r>
              <w:rPr>
                <w:rFonts w:hint="eastAsia" w:ascii="宋体" w:hAnsi="宋体" w:eastAsia="宋体" w:cs="宋体"/>
                <w:b w:val="0"/>
                <w:bCs w:val="0"/>
                <w:kern w:val="0"/>
                <w:sz w:val="24"/>
                <w:szCs w:val="24"/>
                <w:highlight w:val="none"/>
                <w:lang w:val="en-US"/>
              </w:rPr>
              <w:t>，杭州市文晖路42号现代置业大厦西楼18层1802室），使其在投标截止时间以前收到。封皮应注明投标人名称、项目名称。</w:t>
            </w:r>
          </w:p>
          <w:p>
            <w:pPr>
              <w:snapToGrid w:val="0"/>
              <w:spacing w:line="360" w:lineRule="auto"/>
              <w:rPr>
                <w:rFonts w:ascii="宋体" w:hAnsi="宋体" w:cs="宋体"/>
                <w:b/>
                <w:color w:val="auto"/>
                <w:kern w:val="0"/>
                <w:sz w:val="24"/>
                <w:highlight w:val="none"/>
                <w:lang w:val="zh-CN"/>
              </w:rPr>
            </w:pPr>
            <w:r>
              <w:rPr>
                <w:rFonts w:hint="eastAsia" w:asciiTheme="minorEastAsia" w:hAnsiTheme="minorEastAsia"/>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76"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备份投标文件</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演示视频</w:t>
            </w:r>
            <w:r>
              <w:rPr>
                <w:rFonts w:hint="eastAsia" w:ascii="宋体" w:hAnsi="宋体" w:cs="宋体"/>
                <w:b/>
                <w:color w:val="auto"/>
                <w:sz w:val="24"/>
                <w:highlight w:val="none"/>
              </w:rPr>
              <w:t xml:space="preserve">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w:t>
            </w:r>
            <w:r>
              <w:rPr>
                <w:rFonts w:hint="eastAsia" w:hAnsi="宋体" w:cs="宋体"/>
                <w:color w:val="auto"/>
                <w:kern w:val="28"/>
                <w:sz w:val="24"/>
                <w:szCs w:val="24"/>
                <w:highlight w:val="none"/>
                <w:lang w:eastAsia="zh-CN"/>
              </w:rPr>
              <w:t>、演示视频</w:t>
            </w:r>
            <w:r>
              <w:rPr>
                <w:rFonts w:hint="eastAsia" w:hAnsi="宋体" w:cs="宋体"/>
                <w:color w:val="auto"/>
                <w:kern w:val="28"/>
                <w:sz w:val="24"/>
                <w:szCs w:val="24"/>
                <w:highlight w:val="none"/>
              </w:rPr>
              <w:t>送达地点：</w:t>
            </w:r>
            <w:r>
              <w:rPr>
                <w:rFonts w:hint="eastAsia" w:hAnsi="宋体" w:cs="宋体"/>
                <w:color w:val="auto"/>
                <w:sz w:val="24"/>
                <w:highlight w:val="none"/>
                <w:u w:val="single"/>
              </w:rPr>
              <w:t>杭州市文晖路42号现代置业大厦西楼18层1802室</w:t>
            </w:r>
            <w:r>
              <w:rPr>
                <w:rFonts w:hint="eastAsia" w:hAnsi="宋体" w:cs="宋体"/>
                <w:color w:val="auto"/>
                <w:kern w:val="28"/>
                <w:sz w:val="24"/>
                <w:szCs w:val="24"/>
                <w:highlight w:val="none"/>
              </w:rPr>
              <w:t>；备份投标文件</w:t>
            </w:r>
            <w:r>
              <w:rPr>
                <w:rFonts w:hint="eastAsia" w:hAnsi="宋体" w:cs="宋体"/>
                <w:color w:val="auto"/>
                <w:kern w:val="28"/>
                <w:sz w:val="24"/>
                <w:szCs w:val="24"/>
                <w:highlight w:val="none"/>
                <w:lang w:eastAsia="zh-CN"/>
              </w:rPr>
              <w:t>、演示视频</w:t>
            </w:r>
            <w:r>
              <w:rPr>
                <w:rFonts w:hint="eastAsia" w:hAnsi="宋体" w:cs="宋体"/>
                <w:color w:val="auto"/>
                <w:kern w:val="28"/>
                <w:sz w:val="24"/>
                <w:szCs w:val="24"/>
                <w:highlight w:val="none"/>
              </w:rPr>
              <w:t>签收人员联系电话：</w:t>
            </w:r>
            <w:r>
              <w:rPr>
                <w:rFonts w:hint="eastAsia" w:hAnsi="宋体" w:cs="宋体"/>
                <w:color w:val="auto"/>
                <w:sz w:val="24"/>
                <w:highlight w:val="none"/>
                <w:u w:val="single"/>
              </w:rPr>
              <w:t>邱能晖，17826893074</w:t>
            </w:r>
            <w:r>
              <w:rPr>
                <w:rFonts w:hint="eastAsia" w:hAnsi="宋体" w:cs="宋体"/>
                <w:color w:val="auto"/>
                <w:sz w:val="24"/>
                <w:szCs w:val="24"/>
                <w:highlight w:val="none"/>
              </w:rPr>
              <w:t>。</w:t>
            </w:r>
            <w:r>
              <w:rPr>
                <w:rFonts w:hint="eastAsia" w:hAnsi="宋体" w:cs="宋体"/>
                <w:b/>
                <w:color w:val="auto"/>
                <w:sz w:val="24"/>
                <w:szCs w:val="24"/>
                <w:highlight w:val="none"/>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45"/>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4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1843" w:type="dxa"/>
            <w:tcBorders>
              <w:top w:val="single" w:color="auto" w:sz="4" w:space="0"/>
              <w:left w:val="single" w:color="000000" w:sz="2" w:space="0"/>
              <w:bottom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eastAsia="宋体" w:cs="宋体"/>
                <w:b/>
                <w:color w:val="auto"/>
                <w:highlight w:val="none"/>
              </w:rPr>
              <w:t>采购代理机构代理费用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1、采购代理服务费：收到成交通知书5个工作日内，中标人需向采购代理机构支付招标代理服务费。</w:t>
            </w:r>
          </w:p>
          <w:p>
            <w:pPr>
              <w:spacing w:line="440" w:lineRule="exact"/>
              <w:ind w:firstLine="0" w:firstLineChars="0"/>
              <w:rPr>
                <w:rFonts w:hint="eastAsia" w:ascii="宋体" w:hAnsi="宋体" w:cs="宋体"/>
                <w:sz w:val="24"/>
                <w:highlight w:val="none"/>
              </w:rPr>
            </w:pPr>
            <w:r>
              <w:rPr>
                <w:rFonts w:hint="eastAsia" w:ascii="宋体" w:hAnsi="宋体" w:cs="宋体"/>
                <w:snapToGrid w:val="0"/>
                <w:color w:val="auto"/>
                <w:kern w:val="28"/>
                <w:sz w:val="24"/>
                <w:highlight w:val="none"/>
              </w:rPr>
              <w:t>2、收费标准如下：</w:t>
            </w:r>
            <w:r>
              <w:rPr>
                <w:rFonts w:hint="eastAsia" w:ascii="宋体" w:hAnsi="宋体" w:cs="宋体"/>
                <w:snapToGrid w:val="0"/>
                <w:color w:val="auto"/>
                <w:kern w:val="0"/>
                <w:sz w:val="24"/>
                <w:highlight w:val="none"/>
              </w:rPr>
              <w:t>以</w:t>
            </w:r>
            <w:r>
              <w:rPr>
                <w:rFonts w:hint="eastAsia" w:ascii="宋体" w:hAnsi="宋体" w:cs="宋体"/>
                <w:snapToGrid w:val="0"/>
                <w:color w:val="auto"/>
                <w:kern w:val="0"/>
                <w:sz w:val="24"/>
                <w:highlight w:val="none"/>
                <w:u w:val="single"/>
                <w:lang w:eastAsia="zh-CN"/>
              </w:rPr>
              <w:t>中标</w:t>
            </w:r>
            <w:r>
              <w:rPr>
                <w:rFonts w:hint="eastAsia" w:ascii="宋体" w:hAnsi="宋体" w:cs="宋体"/>
                <w:snapToGrid w:val="0"/>
                <w:color w:val="auto"/>
                <w:kern w:val="0"/>
                <w:sz w:val="24"/>
                <w:highlight w:val="none"/>
                <w:u w:val="single"/>
              </w:rPr>
              <w:t>金额</w:t>
            </w:r>
            <w:r>
              <w:rPr>
                <w:rFonts w:hint="eastAsia" w:ascii="宋体" w:hAnsi="宋体" w:cs="宋体"/>
                <w:snapToGrid w:val="0"/>
                <w:color w:val="auto"/>
                <w:kern w:val="0"/>
                <w:sz w:val="24"/>
                <w:highlight w:val="none"/>
              </w:rPr>
              <w:t>为计算基数，按以下标准费率计算值的</w:t>
            </w:r>
            <w:r>
              <w:rPr>
                <w:rFonts w:hint="eastAsia" w:ascii="宋体" w:hAnsi="宋体" w:cs="宋体"/>
                <w:snapToGrid w:val="0"/>
                <w:color w:val="auto"/>
                <w:kern w:val="0"/>
                <w:sz w:val="24"/>
                <w:highlight w:val="none"/>
                <w:u w:val="single"/>
                <w:lang w:val="en-US" w:eastAsia="zh-CN"/>
              </w:rPr>
              <w:t>七</w:t>
            </w:r>
            <w:r>
              <w:rPr>
                <w:rFonts w:hint="eastAsia" w:ascii="宋体" w:hAnsi="宋体" w:cs="宋体"/>
                <w:snapToGrid w:val="0"/>
                <w:color w:val="auto"/>
                <w:kern w:val="0"/>
                <w:sz w:val="24"/>
                <w:highlight w:val="none"/>
              </w:rPr>
              <w:t>折收取</w:t>
            </w:r>
            <w:r>
              <w:rPr>
                <w:rFonts w:hint="eastAsia" w:ascii="宋体" w:hAnsi="宋体" w:cs="宋体"/>
                <w:snapToGrid w:val="0"/>
                <w:color w:val="auto"/>
                <w:kern w:val="0"/>
                <w:sz w:val="24"/>
                <w:highlight w:val="none"/>
                <w:lang w:eastAsia="zh-CN"/>
              </w:rPr>
              <w:t>（</w:t>
            </w:r>
            <w:r>
              <w:rPr>
                <w:rFonts w:hint="eastAsia" w:ascii="宋体" w:hAnsi="宋体" w:cs="宋体"/>
                <w:snapToGrid w:val="0"/>
                <w:color w:val="auto"/>
                <w:kern w:val="0"/>
                <w:sz w:val="24"/>
                <w:highlight w:val="none"/>
                <w:lang w:val="en-US" w:eastAsia="zh-CN"/>
              </w:rPr>
              <w:t>最低按5000.00元收取</w:t>
            </w:r>
            <w:r>
              <w:rPr>
                <w:rFonts w:hint="eastAsia" w:ascii="宋体" w:hAnsi="宋体" w:cs="宋体"/>
                <w:snapToGrid w:val="0"/>
                <w:color w:val="auto"/>
                <w:kern w:val="0"/>
                <w:sz w:val="24"/>
                <w:highlight w:val="none"/>
                <w:lang w:eastAsia="zh-CN"/>
              </w:rPr>
              <w:t>）</w:t>
            </w:r>
            <w:r>
              <w:rPr>
                <w:rFonts w:hint="eastAsia" w:ascii="宋体" w:hAnsi="宋体" w:cs="宋体"/>
                <w:snapToGrid w:val="0"/>
                <w:color w:val="auto"/>
                <w:kern w:val="0"/>
                <w:sz w:val="24"/>
                <w:highlight w:val="none"/>
              </w:rPr>
              <w:t>，费率标准如下：</w:t>
            </w:r>
          </w:p>
          <w:tbl>
            <w:tblPr>
              <w:tblStyle w:val="63"/>
              <w:tblW w:w="5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0"/>
              <w:gridCol w:w="1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3610" w:type="dxa"/>
                  <w:tcBorders>
                    <w:top w:val="single" w:color="auto" w:sz="4" w:space="0"/>
                    <w:left w:val="single" w:color="auto" w:sz="4" w:space="0"/>
                    <w:right w:val="single" w:color="auto" w:sz="4" w:space="0"/>
                  </w:tcBorders>
                  <w:vAlign w:val="center"/>
                </w:tcPr>
                <w:p>
                  <w:pPr>
                    <w:spacing w:line="400" w:lineRule="exact"/>
                    <w:ind w:firstLine="830" w:firstLineChars="346"/>
                    <w:rPr>
                      <w:rFonts w:hint="eastAsia" w:ascii="宋体" w:hAnsi="宋体" w:cs="宋体"/>
                      <w:sz w:val="24"/>
                      <w:highlight w:val="none"/>
                    </w:rPr>
                  </w:pPr>
                  <w:r>
                    <w:rPr>
                      <w:rFonts w:hint="eastAsia" w:ascii="宋体" w:hAnsi="宋体" w:cs="宋体"/>
                      <w:sz w:val="24"/>
                      <w:highlight w:val="none"/>
                    </w:rPr>
                    <w:t>成交金额(万元)</w:t>
                  </w:r>
                </w:p>
              </w:tc>
              <w:tc>
                <w:tcPr>
                  <w:tcW w:w="1754" w:type="dxa"/>
                  <w:tcBorders>
                    <w:top w:val="single" w:color="auto" w:sz="4" w:space="0"/>
                    <w:right w:val="single" w:color="auto" w:sz="4" w:space="0"/>
                  </w:tcBorders>
                  <w:vAlign w:val="center"/>
                </w:tcPr>
                <w:p>
                  <w:pPr>
                    <w:spacing w:line="400" w:lineRule="exact"/>
                    <w:ind w:firstLine="470" w:firstLineChars="196"/>
                    <w:rPr>
                      <w:rFonts w:hint="eastAsia" w:ascii="宋体" w:hAnsi="宋体" w:cs="宋体"/>
                      <w:sz w:val="24"/>
                      <w:highlight w:val="none"/>
                    </w:rPr>
                  </w:pPr>
                  <w:r>
                    <w:rPr>
                      <w:rFonts w:hint="eastAsia" w:ascii="宋体" w:hAnsi="宋体" w:cs="宋体"/>
                      <w:sz w:val="24"/>
                      <w:highlight w:val="none"/>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3610" w:type="dxa"/>
                  <w:tcBorders>
                    <w:left w:val="single" w:color="auto" w:sz="4" w:space="0"/>
                    <w:right w:val="single" w:color="auto" w:sz="4" w:space="0"/>
                  </w:tcBorders>
                  <w:vAlign w:val="center"/>
                </w:tcPr>
                <w:p>
                  <w:pPr>
                    <w:spacing w:line="400" w:lineRule="exact"/>
                    <w:ind w:firstLine="950" w:firstLineChars="396"/>
                    <w:rPr>
                      <w:rFonts w:hint="eastAsia" w:ascii="宋体" w:hAnsi="宋体" w:cs="宋体"/>
                      <w:sz w:val="24"/>
                      <w:highlight w:val="none"/>
                    </w:rPr>
                  </w:pPr>
                  <w:r>
                    <w:rPr>
                      <w:rFonts w:hint="eastAsia" w:ascii="宋体" w:hAnsi="宋体" w:cs="宋体"/>
                      <w:sz w:val="24"/>
                      <w:highlight w:val="none"/>
                    </w:rPr>
                    <w:t>100以下</w:t>
                  </w:r>
                </w:p>
              </w:tc>
              <w:tc>
                <w:tcPr>
                  <w:tcW w:w="1754" w:type="dxa"/>
                  <w:tcBorders>
                    <w:right w:val="single" w:color="auto" w:sz="4" w:space="0"/>
                  </w:tcBorders>
                  <w:vAlign w:val="center"/>
                </w:tcPr>
                <w:p>
                  <w:pPr>
                    <w:spacing w:line="400" w:lineRule="exact"/>
                    <w:ind w:firstLine="470" w:firstLineChars="196"/>
                    <w:rPr>
                      <w:rFonts w:hint="eastAsia" w:ascii="宋体" w:hAnsi="宋体" w:cs="宋体"/>
                      <w:sz w:val="24"/>
                      <w:highlight w:val="none"/>
                    </w:rPr>
                  </w:pPr>
                  <w:r>
                    <w:rPr>
                      <w:rFonts w:hint="eastAsia" w:ascii="宋体" w:hAnsi="宋体" w:cs="宋体"/>
                      <w:sz w:val="24"/>
                      <w:highlight w:val="none"/>
                    </w:rPr>
                    <w:t>1.</w:t>
                  </w:r>
                  <w:r>
                    <w:rPr>
                      <w:rFonts w:hint="default" w:ascii="宋体" w:hAnsi="宋体" w:cs="宋体"/>
                      <w:sz w:val="24"/>
                      <w:highlight w:val="none"/>
                      <w:lang w:val="en-US"/>
                    </w:rPr>
                    <w:t>5</w:t>
                  </w:r>
                  <w:r>
                    <w:rPr>
                      <w:rFonts w:hint="eastAsia" w:ascii="宋体" w:hAnsi="宋体" w:cs="宋体"/>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3610" w:type="dxa"/>
                  <w:tcBorders>
                    <w:left w:val="single" w:color="auto" w:sz="4" w:space="0"/>
                    <w:right w:val="single" w:color="auto" w:sz="4" w:space="0"/>
                  </w:tcBorders>
                  <w:vAlign w:val="center"/>
                </w:tcPr>
                <w:p>
                  <w:pPr>
                    <w:spacing w:line="400" w:lineRule="exact"/>
                    <w:ind w:firstLine="950" w:firstLineChars="396"/>
                    <w:rPr>
                      <w:rFonts w:hint="eastAsia" w:ascii="宋体" w:hAnsi="宋体" w:cs="宋体"/>
                      <w:sz w:val="24"/>
                      <w:highlight w:val="none"/>
                    </w:rPr>
                  </w:pPr>
                  <w:r>
                    <w:rPr>
                      <w:rFonts w:hint="eastAsia" w:ascii="宋体" w:hAnsi="宋体" w:cs="宋体"/>
                      <w:sz w:val="24"/>
                      <w:highlight w:val="none"/>
                    </w:rPr>
                    <w:t>100-500</w:t>
                  </w:r>
                </w:p>
              </w:tc>
              <w:tc>
                <w:tcPr>
                  <w:tcW w:w="1754" w:type="dxa"/>
                  <w:tcBorders>
                    <w:right w:val="single" w:color="auto" w:sz="4" w:space="0"/>
                  </w:tcBorders>
                  <w:vAlign w:val="center"/>
                </w:tcPr>
                <w:p>
                  <w:pPr>
                    <w:spacing w:line="400" w:lineRule="exact"/>
                    <w:ind w:firstLine="470" w:firstLineChars="196"/>
                    <w:rPr>
                      <w:rFonts w:hint="eastAsia" w:ascii="宋体" w:hAnsi="宋体" w:cs="宋体"/>
                      <w:sz w:val="24"/>
                      <w:highlight w:val="none"/>
                    </w:rPr>
                  </w:pPr>
                  <w:r>
                    <w:rPr>
                      <w:rFonts w:hint="eastAsia" w:ascii="宋体" w:hAnsi="宋体" w:cs="宋体"/>
                      <w:sz w:val="24"/>
                      <w:highlight w:val="none"/>
                    </w:rPr>
                    <w:t>0.</w:t>
                  </w:r>
                  <w:r>
                    <w:rPr>
                      <w:rFonts w:hint="default" w:ascii="宋体" w:hAnsi="宋体" w:cs="宋体"/>
                      <w:sz w:val="24"/>
                      <w:highlight w:val="none"/>
                      <w:lang w:val="en-US"/>
                    </w:rPr>
                    <w:t>8</w:t>
                  </w:r>
                  <w:r>
                    <w:rPr>
                      <w:rFonts w:hint="eastAsia" w:ascii="宋体" w:hAnsi="宋体" w:cs="宋体"/>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3610" w:type="dxa"/>
                  <w:tcBorders>
                    <w:left w:val="single" w:color="auto" w:sz="4" w:space="0"/>
                    <w:right w:val="single" w:color="auto" w:sz="4" w:space="0"/>
                  </w:tcBorders>
                  <w:vAlign w:val="center"/>
                </w:tcPr>
                <w:p>
                  <w:pPr>
                    <w:spacing w:line="400" w:lineRule="exact"/>
                    <w:ind w:firstLine="950" w:firstLineChars="396"/>
                    <w:rPr>
                      <w:rFonts w:hint="eastAsia" w:ascii="宋体" w:hAnsi="宋体" w:cs="宋体"/>
                      <w:sz w:val="24"/>
                      <w:highlight w:val="none"/>
                    </w:rPr>
                  </w:pPr>
                  <w:r>
                    <w:rPr>
                      <w:rFonts w:hint="eastAsia" w:ascii="宋体" w:hAnsi="宋体" w:cs="宋体"/>
                      <w:sz w:val="24"/>
                      <w:highlight w:val="none"/>
                    </w:rPr>
                    <w:t>500-1000</w:t>
                  </w:r>
                </w:p>
              </w:tc>
              <w:tc>
                <w:tcPr>
                  <w:tcW w:w="1754" w:type="dxa"/>
                  <w:tcBorders>
                    <w:right w:val="single" w:color="auto" w:sz="4" w:space="0"/>
                  </w:tcBorders>
                  <w:vAlign w:val="center"/>
                </w:tcPr>
                <w:p>
                  <w:pPr>
                    <w:spacing w:line="400" w:lineRule="exact"/>
                    <w:ind w:firstLine="470" w:firstLineChars="196"/>
                    <w:rPr>
                      <w:rFonts w:hint="eastAsia" w:ascii="宋体" w:hAnsi="宋体" w:cs="宋体"/>
                      <w:sz w:val="24"/>
                      <w:highlight w:val="none"/>
                    </w:rPr>
                  </w:pPr>
                  <w:r>
                    <w:rPr>
                      <w:rFonts w:hint="eastAsia" w:ascii="宋体" w:hAnsi="宋体" w:cs="宋体"/>
                      <w:sz w:val="24"/>
                      <w:highlight w:val="none"/>
                    </w:rPr>
                    <w:t>0.</w:t>
                  </w:r>
                  <w:r>
                    <w:rPr>
                      <w:rFonts w:hint="default" w:ascii="宋体" w:hAnsi="宋体" w:cs="宋体"/>
                      <w:sz w:val="24"/>
                      <w:highlight w:val="none"/>
                      <w:lang w:val="en-US"/>
                    </w:rPr>
                    <w:t>45</w:t>
                  </w:r>
                  <w:r>
                    <w:rPr>
                      <w:rFonts w:hint="eastAsia" w:ascii="宋体" w:hAnsi="宋体" w:cs="宋体"/>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jc w:val="center"/>
              </w:trPr>
              <w:tc>
                <w:tcPr>
                  <w:tcW w:w="3610" w:type="dxa"/>
                  <w:tcBorders>
                    <w:left w:val="single" w:color="auto" w:sz="4" w:space="0"/>
                    <w:right w:val="single" w:color="auto" w:sz="4" w:space="0"/>
                  </w:tcBorders>
                  <w:vAlign w:val="center"/>
                </w:tcPr>
                <w:p>
                  <w:pPr>
                    <w:spacing w:line="400" w:lineRule="exact"/>
                    <w:ind w:firstLine="950" w:firstLineChars="396"/>
                    <w:rPr>
                      <w:rFonts w:hint="eastAsia" w:ascii="宋体" w:hAnsi="宋体" w:cs="宋体"/>
                      <w:sz w:val="24"/>
                      <w:highlight w:val="none"/>
                    </w:rPr>
                  </w:pPr>
                  <w:r>
                    <w:rPr>
                      <w:rFonts w:hint="eastAsia" w:ascii="宋体" w:hAnsi="宋体" w:cs="宋体"/>
                      <w:sz w:val="24"/>
                      <w:highlight w:val="none"/>
                    </w:rPr>
                    <w:t>1000-5000</w:t>
                  </w:r>
                </w:p>
              </w:tc>
              <w:tc>
                <w:tcPr>
                  <w:tcW w:w="1754" w:type="dxa"/>
                  <w:tcBorders>
                    <w:right w:val="single" w:color="auto" w:sz="4" w:space="0"/>
                  </w:tcBorders>
                  <w:vAlign w:val="center"/>
                </w:tcPr>
                <w:p>
                  <w:pPr>
                    <w:spacing w:line="400" w:lineRule="exact"/>
                    <w:ind w:firstLine="470" w:firstLineChars="196"/>
                    <w:rPr>
                      <w:rFonts w:hint="eastAsia" w:ascii="宋体" w:hAnsi="宋体" w:cs="宋体"/>
                      <w:sz w:val="24"/>
                      <w:highlight w:val="none"/>
                    </w:rPr>
                  </w:pPr>
                  <w:r>
                    <w:rPr>
                      <w:rFonts w:hint="eastAsia" w:ascii="宋体" w:hAnsi="宋体" w:cs="宋体"/>
                      <w:sz w:val="24"/>
                      <w:highlight w:val="none"/>
                    </w:rPr>
                    <w:t>0.25%</w:t>
                  </w:r>
                </w:p>
              </w:tc>
            </w:tr>
          </w:tbl>
          <w:p>
            <w:pPr>
              <w:spacing w:line="360" w:lineRule="auto"/>
              <w:ind w:firstLine="0" w:firstLineChars="0"/>
              <w:rPr>
                <w:rFonts w:hint="eastAsia" w:ascii="宋体" w:hAnsi="宋体" w:cs="宋体"/>
                <w:sz w:val="24"/>
                <w:highlight w:val="none"/>
              </w:rPr>
            </w:pPr>
            <w:r>
              <w:rPr>
                <w:rFonts w:hint="eastAsia" w:ascii="宋体" w:hAnsi="宋体" w:cs="宋体"/>
                <w:sz w:val="24"/>
                <w:highlight w:val="none"/>
              </w:rPr>
              <w:t>上表中采购代理服务收费按差额定率累进法计算。</w:t>
            </w:r>
          </w:p>
          <w:p>
            <w:pPr>
              <w:snapToGrid w:val="0"/>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3、收款单位（户名）：浙江省成套招标代理有限公司；</w:t>
            </w:r>
          </w:p>
          <w:p>
            <w:pPr>
              <w:snapToGrid w:val="0"/>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开户银行：中信银行杭州西湖支行；</w:t>
            </w:r>
          </w:p>
          <w:p>
            <w:pPr>
              <w:snapToGrid w:val="0"/>
              <w:spacing w:line="360" w:lineRule="auto"/>
              <w:rPr>
                <w:rFonts w:hint="eastAsia" w:ascii="宋体" w:hAnsi="宋体" w:eastAsia="宋体" w:cs="宋体"/>
                <w:color w:val="auto"/>
                <w:kern w:val="0"/>
                <w:sz w:val="24"/>
                <w:highlight w:val="none"/>
              </w:rPr>
            </w:pPr>
            <w:r>
              <w:rPr>
                <w:rFonts w:hint="eastAsia" w:ascii="宋体" w:hAnsi="宋体" w:cs="宋体"/>
                <w:snapToGrid w:val="0"/>
                <w:color w:val="auto"/>
                <w:kern w:val="28"/>
                <w:sz w:val="24"/>
                <w:highlight w:val="none"/>
              </w:rPr>
              <w:t>银行账号：7331 6101 8260 0126 385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843" w:type="dxa"/>
            <w:tcBorders>
              <w:top w:val="single" w:color="auto" w:sz="4"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highlight w:val="none"/>
                <w:lang w:val="en-US" w:eastAsia="zh-CN"/>
              </w:rPr>
            </w:pPr>
            <w:r>
              <w:rPr>
                <w:rFonts w:hint="eastAsia" w:ascii="宋体" w:hAnsi="宋体" w:eastAsia="宋体" w:cs="宋体"/>
                <w:b/>
                <w:color w:val="auto"/>
                <w:highlight w:val="none"/>
                <w:lang w:val="en-US" w:eastAsia="zh-CN"/>
              </w:rPr>
              <w:t>推荐</w:t>
            </w:r>
            <w:r>
              <w:rPr>
                <w:rFonts w:hint="eastAsia" w:ascii="宋体" w:hAnsi="宋体" w:cs="宋体"/>
                <w:b/>
                <w:color w:val="auto"/>
                <w:highlight w:val="none"/>
                <w:lang w:val="en-US" w:eastAsia="zh-CN"/>
              </w:rPr>
              <w:t>中标候选人</w:t>
            </w:r>
            <w:r>
              <w:rPr>
                <w:rFonts w:hint="eastAsia" w:ascii="宋体" w:hAnsi="宋体" w:cs="宋体"/>
                <w:b/>
                <w:color w:val="auto"/>
                <w:highlight w:val="none"/>
                <w:lang w:val="en-US" w:eastAsia="zh-CN"/>
              </w:rPr>
              <w:br w:type="textWrapping"/>
            </w:r>
            <w:r>
              <w:rPr>
                <w:rFonts w:hint="eastAsia" w:ascii="宋体" w:hAnsi="宋体" w:eastAsia="宋体" w:cs="宋体"/>
                <w:b/>
                <w:color w:val="auto"/>
                <w:highlight w:val="none"/>
                <w:lang w:val="en-US" w:eastAsia="zh-CN"/>
              </w:rPr>
              <w:t>数量</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default" w:ascii="宋体" w:hAnsi="宋体" w:cs="宋体"/>
                <w:snapToGrid w:val="0"/>
                <w:color w:val="auto"/>
                <w:kern w:val="28"/>
                <w:sz w:val="24"/>
                <w:highlight w:val="none"/>
                <w:lang w:val="en-US"/>
              </w:rPr>
            </w:pPr>
            <w:r>
              <w:rPr>
                <w:rFonts w:hint="eastAsia" w:ascii="宋体" w:hAnsi="宋体" w:eastAsia="宋体" w:cs="宋体"/>
                <w:b/>
                <w:color w:val="auto"/>
                <w:highlight w:val="none"/>
                <w:lang w:val="en-US" w:eastAsia="zh-CN"/>
              </w:rPr>
              <w:t>推荐</w:t>
            </w:r>
            <w:r>
              <w:rPr>
                <w:rFonts w:hint="eastAsia" w:ascii="宋体" w:hAnsi="宋体" w:cs="宋体"/>
                <w:b/>
                <w:color w:val="auto"/>
                <w:highlight w:val="none"/>
                <w:lang w:val="en-US" w:eastAsia="zh-CN"/>
              </w:rPr>
              <w:t>中标候选人</w:t>
            </w:r>
            <w:r>
              <w:rPr>
                <w:rFonts w:hint="eastAsia" w:ascii="宋体" w:hAnsi="宋体" w:eastAsia="宋体" w:cs="宋体"/>
                <w:b/>
                <w:color w:val="auto"/>
                <w:highlight w:val="none"/>
                <w:lang w:val="en-US" w:eastAsia="zh-CN"/>
              </w:rPr>
              <w:t>数量</w:t>
            </w:r>
            <w:r>
              <w:rPr>
                <w:rFonts w:hint="eastAsia" w:ascii="宋体" w:hAnsi="宋体" w:cs="宋体"/>
                <w:b/>
                <w:color w:val="auto"/>
                <w:highlight w:val="none"/>
                <w:lang w:val="en-US" w:eastAsia="zh-CN"/>
              </w:rPr>
              <w:t>：1名</w:t>
            </w:r>
          </w:p>
        </w:tc>
      </w:tr>
    </w:tbl>
    <w:p>
      <w:pPr>
        <w:snapToGrid w:val="0"/>
        <w:spacing w:line="360" w:lineRule="auto"/>
        <w:jc w:val="center"/>
        <w:rPr>
          <w:rFonts w:ascii="宋体" w:hAnsi="宋体" w:cs="宋体"/>
          <w:b/>
          <w:color w:val="auto"/>
          <w:sz w:val="32"/>
          <w:szCs w:val="20"/>
          <w:highlight w:val="none"/>
        </w:rPr>
      </w:pPr>
    </w:p>
    <w:bookmarkEnd w:id="10"/>
    <w:p>
      <w:pPr>
        <w:spacing w:line="360" w:lineRule="auto"/>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br w:type="page"/>
      </w:r>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17"/>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pPr>
        <w:pStyle w:val="34"/>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pPr>
        <w:pStyle w:val="34"/>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887"/>
        <w:shd w:val="clear" w:color="auto" w:fill="FFFFFF"/>
        <w:snapToGrid w:val="0"/>
        <w:spacing w:before="0" w:beforeAutospacing="0" w:after="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887"/>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浙江省本级、杭州市本级、拱墅区、富阳区政府采购项目投诉材料可寄送浙江省政府采购行政裁决服务中心（杭州），地址：杭州市上城区四季青街道新业路市民之家G03办公室，收件人：朱女士，电话：15121014815。</w:t>
      </w:r>
    </w:p>
    <w:p>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pPr>
        <w:pStyle w:val="131"/>
        <w:snapToGrid w:val="0"/>
        <w:spacing w:before="0"/>
        <w:ind w:firstLine="360"/>
        <w:rPr>
          <w:rFonts w:ascii="宋体" w:hAnsi="宋体" w:cs="宋体"/>
          <w:color w:val="auto"/>
          <w:sz w:val="18"/>
          <w:szCs w:val="18"/>
          <w:highlight w:val="none"/>
        </w:rPr>
      </w:pPr>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5"/>
        <w:rPr>
          <w:rFonts w:hAnsi="宋体" w:cs="宋体"/>
          <w:color w:val="auto"/>
          <w:sz w:val="18"/>
          <w:szCs w:val="18"/>
          <w:highlight w:val="none"/>
          <w:lang w:val="en-US"/>
        </w:rPr>
      </w:pPr>
      <w:r>
        <w:rPr>
          <w:rFonts w:hint="eastAsia" w:hAnsi="宋体" w:cs="宋体"/>
          <w:color w:val="auto"/>
          <w:szCs w:val="24"/>
          <w:highlight w:val="none"/>
          <w:lang w:val="en-US"/>
        </w:rPr>
        <w:t xml:space="preserve">    </w:t>
      </w:r>
    </w:p>
    <w:p>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17"/>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lang w:val="en-US" w:eastAsia="zh-CN"/>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如果有</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11.3.2中小企业声明函（资格文件中</w:t>
      </w:r>
      <w:r>
        <w:rPr>
          <w:rFonts w:hint="eastAsia" w:ascii="宋体" w:hAnsi="宋体" w:cs="宋体"/>
          <w:color w:val="auto"/>
          <w:sz w:val="24"/>
          <w:highlight w:val="none"/>
          <w:lang w:val="en-US" w:eastAsia="zh-CN"/>
        </w:rPr>
        <w:t>如</w:t>
      </w:r>
      <w:r>
        <w:rPr>
          <w:rFonts w:hint="eastAsia" w:ascii="宋体" w:hAnsi="宋体" w:cs="宋体"/>
          <w:color w:val="auto"/>
          <w:sz w:val="24"/>
          <w:highlight w:val="none"/>
        </w:rPr>
        <w:t>须提供中小企业声明函的，则报价文件中无须提供）。</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pPr>
        <w:pStyle w:val="34"/>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pPr>
        <w:pStyle w:val="34"/>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/U盘等存储介质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2"/>
        <w:spacing w:line="360" w:lineRule="auto"/>
        <w:ind w:firstLine="360" w:firstLineChars="150"/>
        <w:rPr>
          <w:rFonts w:hint="eastAsia" w:eastAsia="宋体" w:cs="宋体"/>
          <w:color w:val="auto"/>
          <w:szCs w:val="21"/>
          <w:highlight w:val="none"/>
          <w:lang w:eastAsia="zh-CN"/>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r>
        <w:rPr>
          <w:rFonts w:hint="eastAsia" w:cs="宋体"/>
          <w:color w:val="auto"/>
          <w:szCs w:val="21"/>
          <w:highlight w:val="none"/>
          <w:lang w:eastAsia="zh-CN"/>
        </w:rPr>
        <w:t>。</w:t>
      </w:r>
    </w:p>
    <w:p>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1"/>
        <w:spacing w:before="0"/>
        <w:ind w:firstLine="643"/>
        <w:rPr>
          <w:rFonts w:ascii="宋体" w:hAnsi="宋体" w:cs="宋体"/>
          <w:b/>
          <w:color w:val="auto"/>
          <w:sz w:val="32"/>
          <w:highlight w:val="none"/>
        </w:rPr>
      </w:pPr>
    </w:p>
    <w:p>
      <w:pPr>
        <w:rPr>
          <w:rFonts w:ascii="宋体" w:hAnsi="宋体" w:cs="宋体"/>
          <w:b/>
          <w:color w:val="auto"/>
          <w:sz w:val="32"/>
          <w:highlight w:val="none"/>
        </w:rPr>
      </w:pPr>
      <w:r>
        <w:rPr>
          <w:rFonts w:hint="eastAsia" w:ascii="宋体" w:hAnsi="宋体" w:cs="宋体"/>
          <w:b/>
          <w:color w:val="auto"/>
          <w:sz w:val="32"/>
          <w:highlight w:val="none"/>
        </w:rPr>
        <w:br w:type="page"/>
      </w:r>
    </w:p>
    <w:p>
      <w:pPr>
        <w:pStyle w:val="131"/>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555"/>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555"/>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0" w:beforeAutospacing="0" w:after="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19.1开标后，采购人或采购代理机构将依法对投标人的资格进行审查。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19.2</w:t>
      </w:r>
      <w:r>
        <w:rPr>
          <w:rFonts w:hint="eastAsia" w:ascii="宋体" w:hAnsi="宋体" w:cs="宋体"/>
          <w:color w:val="auto"/>
          <w:sz w:val="24"/>
          <w:highlight w:val="none"/>
        </w:rPr>
        <w:t>采购人或采购代理机构依据法律法规和招标文件的规定，对投标人的资格进行审查。</w:t>
      </w:r>
    </w:p>
    <w:p>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19.3投标人未按照招标文件要求提供与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4对未通过资格审查的投标人，采购人或采购代理机构告知其未通过的原因。</w:t>
      </w:r>
    </w:p>
    <w:p>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5合格投标人不足3家的，不再评标。</w:t>
      </w:r>
    </w:p>
    <w:p>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20.1信用信息查询渠道及截止时间：采购代理机构将在资格审查时通过“信用中国”网站(www.creditchina.gov.cn)、中国政府采购网(www.ccgp.gov.cn)渠道查询投标人接受资格时的信用记录。</w:t>
      </w:r>
    </w:p>
    <w:p>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131"/>
        <w:spacing w:before="0"/>
        <w:ind w:firstLine="0" w:firstLineChars="0"/>
        <w:rPr>
          <w:rFonts w:ascii="宋体" w:hAnsi="宋体" w:cs="宋体"/>
          <w:color w:val="auto"/>
          <w:kern w:val="0"/>
          <w:szCs w:val="24"/>
          <w:highlight w:val="none"/>
        </w:rPr>
      </w:pPr>
    </w:p>
    <w:p>
      <w:pPr>
        <w:snapToGrid/>
        <w:spacing w:line="240" w:lineRule="auto"/>
        <w:jc w:val="left"/>
        <w:outlineLvl w:val="9"/>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评标委员会（本项目评标委员会由</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人(含)以上单数的人员组成）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pacing w:line="360" w:lineRule="auto"/>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2"/>
        <w:spacing w:line="360" w:lineRule="auto"/>
        <w:ind w:left="479" w:hanging="479" w:hangingChars="199"/>
        <w:rPr>
          <w:rFonts w:cs="宋体"/>
          <w:b/>
          <w:color w:val="auto"/>
          <w:highlight w:val="none"/>
        </w:rPr>
      </w:pPr>
      <w:r>
        <w:rPr>
          <w:rFonts w:hint="eastAsia" w:cs="宋体"/>
          <w:b/>
          <w:color w:val="auto"/>
          <w:highlight w:val="none"/>
        </w:rPr>
        <w:t>22. 确定中标供应商</w:t>
      </w:r>
    </w:p>
    <w:p>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pPr>
        <w:snapToGrid w:val="0"/>
        <w:spacing w:line="360" w:lineRule="auto"/>
        <w:ind w:left="120" w:leftChars="57" w:firstLine="482" w:firstLineChars="150"/>
        <w:jc w:val="center"/>
        <w:rPr>
          <w:rFonts w:ascii="宋体" w:hAnsi="宋体" w:cs="宋体"/>
          <w:b/>
          <w:color w:val="auto"/>
          <w:sz w:val="32"/>
          <w:highlight w:val="none"/>
        </w:rPr>
      </w:pPr>
    </w:p>
    <w:p>
      <w:pPr>
        <w:rPr>
          <w:rFonts w:ascii="宋体" w:hAnsi="宋体" w:cs="宋体"/>
          <w:b/>
          <w:color w:val="auto"/>
          <w:sz w:val="32"/>
          <w:highlight w:val="none"/>
        </w:rPr>
      </w:pPr>
      <w:r>
        <w:rPr>
          <w:rFonts w:hint="eastAsia" w:ascii="宋体" w:hAnsi="宋体" w:cs="宋体"/>
          <w:b/>
          <w:color w:val="auto"/>
          <w:sz w:val="32"/>
          <w:highlight w:val="none"/>
        </w:rPr>
        <w:br w:type="page"/>
      </w: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2"/>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2"/>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2"/>
        <w:spacing w:line="360" w:lineRule="auto"/>
        <w:ind w:left="479" w:hanging="479" w:hangingChars="199"/>
        <w:rPr>
          <w:rFonts w:cs="宋体"/>
          <w:b/>
          <w:color w:val="auto"/>
          <w:highlight w:val="none"/>
        </w:rPr>
      </w:pPr>
      <w:r>
        <w:rPr>
          <w:rFonts w:hint="eastAsia" w:cs="宋体"/>
          <w:b/>
          <w:color w:val="auto"/>
          <w:highlight w:val="none"/>
        </w:rPr>
        <w:t>26. 履约保证金</w:t>
      </w:r>
    </w:p>
    <w:p>
      <w:pPr>
        <w:tabs>
          <w:tab w:val="left" w:pos="0"/>
        </w:tabs>
        <w:spacing w:line="360" w:lineRule="auto"/>
        <w:ind w:firstLine="482"/>
        <w:rPr>
          <w:rFonts w:ascii="宋体" w:hAnsi="宋体" w:cs="宋体"/>
          <w:b/>
          <w:color w:val="auto"/>
          <w:sz w:val="32"/>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rPr>
        <w:t>7.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27.1电子交易平台发生故障而无法登录访问的； </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27.2电子交易平台应用或数据库出现错误，不能进行正常操作的；</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27.3电子交易平台发现严重安全漏洞，有潜在泄密危险的；</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27.4病毒发作导致不能进行正常操作的； </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27.5其他无法保证电子交易的公平、公正和安全的情况。</w:t>
      </w:r>
    </w:p>
    <w:p>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2"/>
        <w:spacing w:line="360" w:lineRule="auto"/>
        <w:ind w:firstLine="0" w:firstLineChars="0"/>
        <w:rPr>
          <w:rFonts w:cs="宋体"/>
          <w:b/>
          <w:color w:val="auto"/>
          <w:highlight w:val="none"/>
        </w:rPr>
      </w:pPr>
      <w:r>
        <w:rPr>
          <w:rFonts w:hint="eastAsia" w:cs="宋体"/>
          <w:b/>
          <w:color w:val="auto"/>
          <w:highlight w:val="none"/>
        </w:rPr>
        <w:t>29.验收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3093"/>
      <w:bookmarkEnd w:id="15"/>
      <w:bookmarkStart w:id="16" w:name="_Hlt74729768"/>
      <w:bookmarkEnd w:id="16"/>
      <w:bookmarkStart w:id="17" w:name="_Hlt75236290"/>
      <w:bookmarkEnd w:id="17"/>
      <w:bookmarkStart w:id="18" w:name="_Hlt74730295"/>
      <w:bookmarkEnd w:id="18"/>
      <w:bookmarkStart w:id="19" w:name="_Hlt68072990"/>
      <w:bookmarkEnd w:id="19"/>
      <w:bookmarkStart w:id="20" w:name="_Hlt75236011"/>
      <w:bookmarkEnd w:id="20"/>
      <w:bookmarkStart w:id="21" w:name="_Hlt68403820"/>
      <w:bookmarkEnd w:id="21"/>
      <w:bookmarkStart w:id="22" w:name="_Hlt74714665"/>
      <w:bookmarkEnd w:id="22"/>
      <w:bookmarkStart w:id="23" w:name="_Hlt68057669"/>
      <w:bookmarkEnd w:id="23"/>
      <w:bookmarkStart w:id="24" w:name="_Hlt74707468"/>
      <w:bookmarkEnd w:id="24"/>
      <w:bookmarkStart w:id="25" w:name="_Hlt68072998"/>
      <w:bookmarkEnd w:id="25"/>
      <w:bookmarkStart w:id="26" w:name="_Hlt75236101"/>
      <w:bookmarkEnd w:id="26"/>
    </w:p>
    <w:bookmarkEnd w:id="11"/>
    <w:bookmarkEnd w:id="12"/>
    <w:p>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pPr>
        <w:pStyle w:val="257"/>
        <w:ind w:firstLine="0" w:firstLineChars="0"/>
        <w:rPr>
          <w:rFonts w:hint="eastAsia" w:ascii="宋体" w:hAnsi="宋体"/>
        </w:rPr>
      </w:pPr>
      <w:r>
        <w:rPr>
          <w:rFonts w:hint="eastAsia" w:ascii="宋体" w:hAnsi="宋体" w:eastAsia="宋体"/>
          <w:b/>
          <w:bCs/>
          <w:sz w:val="28"/>
          <w:szCs w:val="28"/>
        </w:rPr>
        <w:t>一、建设背景</w:t>
      </w:r>
    </w:p>
    <w:p>
      <w:pPr>
        <w:spacing w:line="360" w:lineRule="auto"/>
        <w:ind w:firstLine="482"/>
        <w:rPr>
          <w:rFonts w:hint="eastAsia" w:ascii="宋体" w:hAnsi="宋体"/>
          <w:sz w:val="24"/>
        </w:rPr>
      </w:pPr>
      <w:r>
        <w:rPr>
          <w:rFonts w:hint="eastAsia" w:ascii="宋体" w:hAnsi="宋体"/>
          <w:sz w:val="24"/>
        </w:rPr>
        <w:t>为深入学习贯彻党的二十大精神，进一步落实习近平总书记关于杭州城市大脑重要指示，按照数字中国总体规划，以“重塑数字治理第一城”为目标，坚持以人民为中心，以解决城市发展中的问题为导向，满足杭州城市发展需要、破解大城市病，夯基础、克难点、立标准、树体系，坚持“集成优先、充分利现，非必要不新建”的原则，注重解决问题、沉淀能力，全面迭代升级城市大脑，构建完善“用数据说话、用数据决策、用数据管理、用数据创新”的数智治理模式，提升城市治理体系和治理能力现代化水平，形成特大城市数字治理系统解决方案，争当中国式现代化城市范例。</w:t>
      </w:r>
    </w:p>
    <w:p>
      <w:pPr>
        <w:pStyle w:val="257"/>
        <w:ind w:firstLine="0" w:firstLineChars="0"/>
        <w:rPr>
          <w:rFonts w:ascii="宋体" w:hAnsi="宋体" w:eastAsia="宋体"/>
          <w:b/>
          <w:bCs/>
          <w:sz w:val="28"/>
          <w:szCs w:val="28"/>
        </w:rPr>
      </w:pPr>
      <w:r>
        <w:rPr>
          <w:rFonts w:hint="eastAsia" w:ascii="宋体" w:hAnsi="宋体" w:eastAsia="宋体"/>
          <w:b/>
          <w:bCs/>
          <w:sz w:val="28"/>
          <w:szCs w:val="28"/>
        </w:rPr>
        <w:t>二、建设目标</w:t>
      </w:r>
    </w:p>
    <w:p>
      <w:pPr>
        <w:spacing w:line="360" w:lineRule="auto"/>
        <w:ind w:firstLine="482"/>
        <w:rPr>
          <w:rFonts w:hint="eastAsia" w:ascii="宋体" w:hAnsi="宋体"/>
          <w:sz w:val="24"/>
        </w:rPr>
      </w:pPr>
      <w:r>
        <w:rPr>
          <w:rFonts w:hint="eastAsia" w:ascii="宋体" w:hAnsi="宋体"/>
          <w:sz w:val="24"/>
        </w:rPr>
        <w:t>聚焦城市侧运行运营和指挥处置，围绕平战结合、实用高效的要求，构建城市生命体征指标体系，日常监测感知城市运行现状，科学把脉多维评估运行风险；加强事件与体征数据分析，精准预测洞察城市运行趋势；提升问题智能发现和处置能力，提高疑难多跨事件处置效率，建立平战转换运行机制；快速响应老百姓的诉求，构建动态城市服务体系，实现“一网监测、一库智研、一屏指挥、一键触达”，推动源头治理，助力亚运保障，逐步形成具有杭州特色的城市运行“一网统管”治理和服务体系，提升城市安全风险防控能力和精细化管理服务水平。</w:t>
      </w:r>
    </w:p>
    <w:p>
      <w:pPr>
        <w:pStyle w:val="257"/>
        <w:pageBreakBefore w:val="0"/>
        <w:widowControl w:val="0"/>
        <w:kinsoku/>
        <w:wordWrap/>
        <w:overflowPunct/>
        <w:topLinePunct w:val="0"/>
        <w:autoSpaceDE/>
        <w:autoSpaceDN/>
        <w:bidi w:val="0"/>
        <w:snapToGrid/>
        <w:spacing w:line="360" w:lineRule="auto"/>
        <w:ind w:firstLine="0" w:firstLineChars="0"/>
        <w:textAlignment w:val="auto"/>
        <w:rPr>
          <w:rFonts w:ascii="宋体" w:hAnsi="宋体" w:eastAsia="宋体"/>
          <w:b/>
          <w:bCs/>
          <w:sz w:val="28"/>
          <w:szCs w:val="28"/>
        </w:rPr>
      </w:pPr>
      <w:r>
        <w:rPr>
          <w:rFonts w:hint="eastAsia" w:ascii="宋体" w:hAnsi="宋体" w:eastAsia="宋体"/>
          <w:b/>
          <w:bCs/>
          <w:sz w:val="28"/>
          <w:szCs w:val="28"/>
        </w:rPr>
        <w:t>三、建设原则</w:t>
      </w:r>
    </w:p>
    <w:p>
      <w:pPr>
        <w:pageBreakBefore w:val="0"/>
        <w:widowControl w:val="0"/>
        <w:kinsoku/>
        <w:wordWrap/>
        <w:overflowPunct/>
        <w:topLinePunct w:val="0"/>
        <w:autoSpaceDE/>
        <w:autoSpaceDN/>
        <w:bidi w:val="0"/>
        <w:snapToGrid/>
        <w:spacing w:line="360" w:lineRule="auto"/>
        <w:ind w:firstLine="482"/>
        <w:textAlignment w:val="auto"/>
        <w:rPr>
          <w:rFonts w:hint="eastAsia" w:ascii="宋体" w:hAnsi="宋体"/>
          <w:sz w:val="24"/>
        </w:rPr>
      </w:pPr>
      <w:r>
        <w:rPr>
          <w:rFonts w:hint="eastAsia" w:ascii="宋体" w:hAnsi="宋体"/>
          <w:sz w:val="24"/>
        </w:rPr>
        <w:t>由于杭州市城市运行“一网统管”迭代升级项目建设是一个复杂的过程，在规划和实施过程中，必需立足于现状，着眼于未来，以“遵循标准、因地适宜、创新应用、共建共享、分步实施、注重实效”的原则，通过对数据、应用、系统综合管理，构建标准化、流程化、自动化、一体化的数据管理体系，确保数据架构合理，条理清晰，过程可控，知识积累传承。</w:t>
      </w:r>
    </w:p>
    <w:p>
      <w:pPr>
        <w:pageBreakBefore w:val="0"/>
        <w:widowControl w:val="0"/>
        <w:kinsoku/>
        <w:wordWrap/>
        <w:overflowPunct/>
        <w:topLinePunct w:val="0"/>
        <w:autoSpaceDE/>
        <w:autoSpaceDN/>
        <w:bidi w:val="0"/>
        <w:snapToGrid/>
        <w:spacing w:line="360" w:lineRule="auto"/>
        <w:ind w:firstLine="482"/>
        <w:textAlignment w:val="auto"/>
        <w:rPr>
          <w:rFonts w:hint="eastAsia" w:ascii="宋体" w:hAnsi="宋体"/>
          <w:sz w:val="24"/>
        </w:rPr>
      </w:pPr>
      <w:r>
        <w:rPr>
          <w:rFonts w:hint="eastAsia" w:ascii="宋体" w:hAnsi="宋体"/>
          <w:sz w:val="24"/>
        </w:rPr>
        <w:t>具体建设原则遵循如下几个方面：</w:t>
      </w:r>
    </w:p>
    <w:p>
      <w:pPr>
        <w:pageBreakBefore w:val="0"/>
        <w:widowControl w:val="0"/>
        <w:kinsoku/>
        <w:wordWrap/>
        <w:overflowPunct/>
        <w:topLinePunct w:val="0"/>
        <w:autoSpaceDE/>
        <w:autoSpaceDN/>
        <w:bidi w:val="0"/>
        <w:snapToGrid/>
        <w:spacing w:line="360" w:lineRule="auto"/>
        <w:ind w:firstLine="482"/>
        <w:textAlignment w:val="auto"/>
        <w:rPr>
          <w:rFonts w:hint="eastAsia" w:ascii="宋体" w:hAnsi="宋体"/>
          <w:sz w:val="24"/>
        </w:rPr>
      </w:pPr>
      <w:r>
        <w:rPr>
          <w:rFonts w:hint="eastAsia" w:ascii="宋体" w:hAnsi="宋体"/>
          <w:b/>
          <w:bCs/>
          <w:sz w:val="24"/>
        </w:rPr>
        <w:t>（一）遵循标准、因地制宜。</w:t>
      </w:r>
      <w:r>
        <w:rPr>
          <w:rFonts w:hint="eastAsia" w:ascii="宋体" w:hAnsi="宋体"/>
          <w:b/>
          <w:bCs/>
          <w:sz w:val="24"/>
        </w:rPr>
        <w:br w:type="textWrapping"/>
      </w:r>
      <w:r>
        <w:rPr>
          <w:rFonts w:hint="eastAsia" w:ascii="宋体" w:hAnsi="宋体"/>
          <w:b/>
          <w:bCs/>
          <w:sz w:val="24"/>
        </w:rPr>
        <w:tab/>
      </w:r>
      <w:r>
        <w:rPr>
          <w:rFonts w:hint="eastAsia" w:ascii="宋体" w:hAnsi="宋体"/>
          <w:sz w:val="24"/>
        </w:rPr>
        <w:t>按照杭州市城市运行“一网统管”项目建设有关标准规范，结合杭州智慧城管的建设现状，通过整合、拓展、升级应用系统，引入新模式、新技术，构建符合新时代特色要求的城市运行管理服务平台，并且按照数智杭州建设要求，各场景和系统集成接入数智杭州总门户统一发布，基于一体化智能化公共数据平台开发建设，满足信创要求，助力城市管理治理体系和治理能力现代化。</w:t>
      </w:r>
    </w:p>
    <w:p>
      <w:pPr>
        <w:pageBreakBefore w:val="0"/>
        <w:widowControl w:val="0"/>
        <w:kinsoku/>
        <w:wordWrap/>
        <w:overflowPunct/>
        <w:topLinePunct w:val="0"/>
        <w:autoSpaceDE/>
        <w:autoSpaceDN/>
        <w:bidi w:val="0"/>
        <w:snapToGrid/>
        <w:spacing w:line="360" w:lineRule="auto"/>
        <w:ind w:firstLine="482"/>
        <w:textAlignment w:val="auto"/>
        <w:rPr>
          <w:rFonts w:hint="eastAsia" w:ascii="宋体" w:hAnsi="宋体"/>
          <w:sz w:val="24"/>
        </w:rPr>
      </w:pPr>
      <w:r>
        <w:rPr>
          <w:rFonts w:hint="eastAsia" w:ascii="宋体" w:hAnsi="宋体"/>
          <w:b/>
          <w:bCs/>
          <w:sz w:val="24"/>
        </w:rPr>
        <w:t>（二）创新应用、共建共享。</w:t>
      </w:r>
      <w:r>
        <w:rPr>
          <w:rFonts w:hint="eastAsia" w:ascii="宋体" w:hAnsi="宋体"/>
          <w:b/>
          <w:bCs/>
          <w:sz w:val="24"/>
        </w:rPr>
        <w:br w:type="textWrapping"/>
      </w:r>
      <w:r>
        <w:rPr>
          <w:rFonts w:hint="eastAsia" w:ascii="宋体" w:hAnsi="宋体"/>
          <w:b/>
          <w:bCs/>
          <w:sz w:val="24"/>
        </w:rPr>
        <w:tab/>
      </w:r>
      <w:r>
        <w:rPr>
          <w:rFonts w:hint="eastAsia" w:ascii="宋体" w:hAnsi="宋体"/>
          <w:b/>
          <w:bCs/>
          <w:sz w:val="24"/>
        </w:rPr>
        <w:t xml:space="preserve"> </w:t>
      </w:r>
      <w:r>
        <w:rPr>
          <w:rFonts w:hint="eastAsia" w:ascii="宋体" w:hAnsi="宋体"/>
          <w:sz w:val="24"/>
        </w:rPr>
        <w:t>按照统筹规划、集约高效的原则，以需求为导向，充分利用现有的城市管理信息化基础设施，深化高新技术在行业领域的落地运用，构建业务协同、信息互融、智能高效的城市综合管理服务平台。</w:t>
      </w:r>
    </w:p>
    <w:p>
      <w:pPr>
        <w:pageBreakBefore w:val="0"/>
        <w:widowControl w:val="0"/>
        <w:kinsoku/>
        <w:wordWrap/>
        <w:overflowPunct/>
        <w:topLinePunct w:val="0"/>
        <w:autoSpaceDE/>
        <w:autoSpaceDN/>
        <w:bidi w:val="0"/>
        <w:snapToGrid/>
        <w:spacing w:line="360" w:lineRule="auto"/>
        <w:ind w:firstLine="482"/>
        <w:textAlignment w:val="auto"/>
        <w:rPr>
          <w:rFonts w:hint="eastAsia" w:ascii="宋体" w:hAnsi="宋体"/>
          <w:sz w:val="24"/>
        </w:rPr>
      </w:pPr>
      <w:r>
        <w:rPr>
          <w:rFonts w:hint="eastAsia" w:ascii="宋体" w:hAnsi="宋体"/>
          <w:b/>
          <w:bCs/>
          <w:sz w:val="24"/>
        </w:rPr>
        <w:t>（三）分步实施、注重实效。</w:t>
      </w:r>
      <w:r>
        <w:rPr>
          <w:rFonts w:hint="eastAsia" w:ascii="宋体" w:hAnsi="宋体"/>
          <w:b/>
          <w:bCs/>
          <w:sz w:val="24"/>
        </w:rPr>
        <w:br w:type="textWrapping"/>
      </w:r>
      <w:r>
        <w:rPr>
          <w:rFonts w:hint="eastAsia" w:ascii="宋体" w:hAnsi="宋体"/>
          <w:b/>
          <w:bCs/>
          <w:sz w:val="24"/>
        </w:rPr>
        <w:tab/>
      </w:r>
      <w:r>
        <w:rPr>
          <w:rFonts w:hint="eastAsia" w:ascii="宋体" w:hAnsi="宋体"/>
          <w:b/>
          <w:bCs/>
          <w:sz w:val="24"/>
        </w:rPr>
        <w:t xml:space="preserve"> </w:t>
      </w:r>
      <w:r>
        <w:rPr>
          <w:rFonts w:hint="eastAsia" w:ascii="宋体" w:hAnsi="宋体"/>
          <w:sz w:val="24"/>
        </w:rPr>
        <w:t>围绕建设目标和任务，有序推进。对关系全局的基础设施和平台进行统一建设，同时充分发挥各级城市管理部门和有关单位的积极性，共同推进规划分步实施。并且以解决城市管理问题为导向，充分结合城市管理各职能工作的实际需求，确保业务能力有效、长效的提升。</w:t>
      </w:r>
    </w:p>
    <w:p>
      <w:pPr>
        <w:pageBreakBefore w:val="0"/>
        <w:widowControl w:val="0"/>
        <w:kinsoku/>
        <w:wordWrap/>
        <w:overflowPunct/>
        <w:topLinePunct w:val="0"/>
        <w:autoSpaceDE/>
        <w:autoSpaceDN/>
        <w:bidi w:val="0"/>
        <w:snapToGrid/>
        <w:spacing w:line="360" w:lineRule="auto"/>
        <w:ind w:firstLine="482"/>
        <w:textAlignment w:val="auto"/>
        <w:rPr>
          <w:rFonts w:ascii="宋体" w:hAnsi="宋体"/>
          <w:sz w:val="24"/>
        </w:rPr>
      </w:pPr>
      <w:r>
        <w:rPr>
          <w:rFonts w:hint="eastAsia" w:ascii="宋体" w:hAnsi="宋体"/>
          <w:b/>
          <w:bCs/>
          <w:sz w:val="24"/>
        </w:rPr>
        <w:t>（四）面向未来、适度超前。</w:t>
      </w:r>
      <w:r>
        <w:rPr>
          <w:rFonts w:hint="eastAsia" w:ascii="宋体" w:hAnsi="宋体"/>
          <w:b/>
          <w:bCs/>
          <w:sz w:val="24"/>
        </w:rPr>
        <w:br w:type="textWrapping"/>
      </w:r>
      <w:r>
        <w:rPr>
          <w:rFonts w:hint="eastAsia" w:ascii="宋体" w:hAnsi="宋体"/>
          <w:b/>
          <w:bCs/>
          <w:sz w:val="24"/>
        </w:rPr>
        <w:tab/>
      </w:r>
      <w:r>
        <w:rPr>
          <w:rFonts w:hint="eastAsia" w:ascii="宋体" w:hAnsi="宋体"/>
          <w:b/>
          <w:bCs/>
          <w:sz w:val="24"/>
        </w:rPr>
        <w:t xml:space="preserve"> </w:t>
      </w:r>
      <w:r>
        <w:rPr>
          <w:rFonts w:hint="eastAsia" w:ascii="宋体" w:hAnsi="宋体"/>
          <w:sz w:val="24"/>
        </w:rPr>
        <w:t>结合对杭州城管信息化现状情况，对业务发展、服务支撑等各层面的短板进行针对性补足，结合对未来潜在需求的把握，适度超前谋划及建立IT支撑能力。</w:t>
      </w:r>
    </w:p>
    <w:p>
      <w:pPr>
        <w:pStyle w:val="257"/>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eastAsia="宋体"/>
          <w:b/>
          <w:bCs/>
          <w:sz w:val="28"/>
          <w:szCs w:val="28"/>
        </w:rPr>
      </w:pPr>
      <w:r>
        <w:rPr>
          <w:rFonts w:hint="eastAsia" w:ascii="宋体" w:hAnsi="宋体" w:eastAsia="宋体"/>
          <w:b/>
          <w:bCs/>
          <w:sz w:val="28"/>
          <w:szCs w:val="28"/>
        </w:rPr>
        <w:t>四、采购标的需执行的国家相关标准、行业标准、地方标准或者其他标准、规范等</w:t>
      </w:r>
    </w:p>
    <w:p>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cs="仿宋"/>
          <w:sz w:val="24"/>
        </w:rPr>
      </w:pPr>
      <w:r>
        <w:rPr>
          <w:rFonts w:hint="eastAsia" w:ascii="宋体" w:hAnsi="宋体" w:cs="仿宋"/>
          <w:sz w:val="24"/>
        </w:rPr>
        <w:t>（1）《信息技术软件工程术语》（GB/T 11457-2006）</w:t>
      </w:r>
    </w:p>
    <w:p>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cs="仿宋"/>
          <w:sz w:val="24"/>
        </w:rPr>
      </w:pPr>
      <w:r>
        <w:rPr>
          <w:rFonts w:hint="eastAsia" w:ascii="宋体" w:hAnsi="宋体" w:cs="仿宋"/>
          <w:sz w:val="24"/>
        </w:rPr>
        <w:t>（2）《政务信息资源交换体系》（GB/T 21062-2007）</w:t>
      </w:r>
    </w:p>
    <w:p>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cs="仿宋"/>
          <w:sz w:val="24"/>
        </w:rPr>
      </w:pPr>
      <w:r>
        <w:rPr>
          <w:rFonts w:hint="eastAsia" w:ascii="宋体" w:hAnsi="宋体" w:cs="仿宋"/>
          <w:sz w:val="24"/>
        </w:rPr>
        <w:t>（3）《计算机软件文档编制规范》（GB/T 8567-2006）</w:t>
      </w:r>
    </w:p>
    <w:p>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cs="仿宋"/>
          <w:sz w:val="24"/>
        </w:rPr>
      </w:pPr>
      <w:r>
        <w:rPr>
          <w:rFonts w:hint="eastAsia" w:ascii="宋体" w:hAnsi="宋体" w:cs="仿宋"/>
          <w:sz w:val="24"/>
        </w:rPr>
        <w:t>（4）《计算机软件可靠性和可维护性管理》（GB/T 14394-2008）</w:t>
      </w:r>
    </w:p>
    <w:p>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cs="仿宋"/>
          <w:sz w:val="24"/>
        </w:rPr>
      </w:pPr>
      <w:r>
        <w:rPr>
          <w:rFonts w:hint="eastAsia" w:ascii="宋体" w:hAnsi="宋体" w:cs="仿宋"/>
          <w:sz w:val="24"/>
        </w:rPr>
        <w:t>（5）《信息技术安全技术 信息及安全性评估准则（计算机信息系统安全保护等级划分标准）》（GB 17859-1999）</w:t>
      </w:r>
    </w:p>
    <w:p>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cs="仿宋"/>
          <w:sz w:val="24"/>
        </w:rPr>
      </w:pPr>
      <w:r>
        <w:rPr>
          <w:rFonts w:hint="eastAsia" w:ascii="宋体" w:hAnsi="宋体" w:cs="仿宋"/>
          <w:sz w:val="24"/>
        </w:rPr>
        <w:t>（6）《信息安全技术网络安全等级保护基本要求》（GB/T 22239-2019）</w:t>
      </w:r>
    </w:p>
    <w:p>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cs="仿宋"/>
          <w:sz w:val="24"/>
        </w:rPr>
      </w:pPr>
      <w:r>
        <w:rPr>
          <w:rFonts w:hint="eastAsia" w:ascii="宋体" w:hAnsi="宋体" w:cs="仿宋"/>
          <w:sz w:val="24"/>
        </w:rPr>
        <w:t>（7）《信息安全技术网络安全等级保护评测要求》（GB/T 28448-2019）</w:t>
      </w:r>
    </w:p>
    <w:p>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cs="仿宋"/>
          <w:sz w:val="24"/>
        </w:rPr>
      </w:pPr>
      <w:r>
        <w:rPr>
          <w:rFonts w:hint="eastAsia" w:ascii="宋体" w:hAnsi="宋体" w:cs="仿宋"/>
          <w:sz w:val="24"/>
        </w:rPr>
        <w:t>（8）《计算机软件开发规范》（GB8566-88）</w:t>
      </w:r>
    </w:p>
    <w:p>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cs="仿宋"/>
          <w:sz w:val="24"/>
        </w:rPr>
      </w:pPr>
      <w:r>
        <w:rPr>
          <w:rFonts w:hint="eastAsia" w:ascii="宋体" w:hAnsi="宋体" w:cs="仿宋"/>
          <w:sz w:val="24"/>
        </w:rPr>
        <w:t>（9）《计算机软件产品开发文件编制指南》（GB 8567-88）</w:t>
      </w:r>
    </w:p>
    <w:p>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cs="仿宋"/>
          <w:sz w:val="24"/>
        </w:rPr>
      </w:pPr>
      <w:r>
        <w:rPr>
          <w:rFonts w:hint="eastAsia" w:ascii="宋体" w:hAnsi="宋体" w:cs="仿宋"/>
          <w:sz w:val="24"/>
        </w:rPr>
        <w:t>（10）《软件工程术语》（GB/T 11457—89）</w:t>
      </w:r>
    </w:p>
    <w:p>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cs="仿宋"/>
          <w:sz w:val="24"/>
        </w:rPr>
      </w:pPr>
      <w:r>
        <w:rPr>
          <w:rFonts w:hint="eastAsia" w:ascii="宋体" w:hAnsi="宋体" w:cs="仿宋"/>
          <w:sz w:val="24"/>
        </w:rPr>
        <w:t>（11）《计算机软件配置管理计划规范》（GB/T 12260-90）</w:t>
      </w:r>
    </w:p>
    <w:p>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cs="仿宋"/>
          <w:sz w:val="24"/>
        </w:rPr>
      </w:pPr>
      <w:r>
        <w:rPr>
          <w:rFonts w:hint="eastAsia" w:ascii="宋体" w:hAnsi="宋体" w:cs="仿宋"/>
          <w:sz w:val="24"/>
        </w:rPr>
        <w:t>（12）《计算机软件质量保证计划规范》（GB/T 12504-90）</w:t>
      </w:r>
    </w:p>
    <w:p>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cs="仿宋"/>
          <w:sz w:val="24"/>
        </w:rPr>
      </w:pPr>
      <w:r>
        <w:rPr>
          <w:rFonts w:hint="eastAsia" w:ascii="宋体" w:hAnsi="宋体" w:cs="仿宋"/>
          <w:sz w:val="24"/>
        </w:rPr>
        <w:t>（13）《软件维护指南》（GB/T 14079-93）</w:t>
      </w:r>
    </w:p>
    <w:p>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cs="仿宋"/>
          <w:sz w:val="24"/>
        </w:rPr>
      </w:pPr>
      <w:r>
        <w:rPr>
          <w:rFonts w:hint="eastAsia" w:ascii="宋体" w:hAnsi="宋体" w:cs="仿宋"/>
          <w:sz w:val="24"/>
        </w:rPr>
        <w:t>（14）《计算机软件可靠性和可维护性管理》（GB/T 14394-93）</w:t>
      </w:r>
    </w:p>
    <w:p>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cs="仿宋"/>
          <w:sz w:val="24"/>
        </w:rPr>
      </w:pPr>
      <w:r>
        <w:rPr>
          <w:rFonts w:hint="eastAsia" w:ascii="宋体" w:hAnsi="宋体" w:cs="仿宋"/>
          <w:sz w:val="24"/>
        </w:rPr>
        <w:t>（15）《政务信息资源交换体系》（GB/T 21062-2007）</w:t>
      </w:r>
    </w:p>
    <w:p>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cs="仿宋"/>
          <w:sz w:val="24"/>
        </w:rPr>
      </w:pPr>
      <w:r>
        <w:rPr>
          <w:rFonts w:hint="eastAsia" w:ascii="宋体" w:hAnsi="宋体" w:cs="仿宋"/>
          <w:sz w:val="24"/>
        </w:rPr>
        <w:t>（16）《电子政务系统总体设计要求》（GB/T 21064-2007）</w:t>
      </w:r>
    </w:p>
    <w:p>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cs="仿宋"/>
          <w:sz w:val="24"/>
        </w:rPr>
      </w:pPr>
      <w:r>
        <w:rPr>
          <w:rFonts w:hint="eastAsia" w:ascii="宋体" w:hAnsi="宋体" w:cs="仿宋"/>
          <w:sz w:val="24"/>
        </w:rPr>
        <w:t>（17）《国家基本比例尺地图图式 第1部分：1:500 1:1000 1:2000地形图图式（GB/T 20257.1）</w:t>
      </w:r>
    </w:p>
    <w:p>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cs="仿宋"/>
          <w:sz w:val="24"/>
        </w:rPr>
      </w:pPr>
      <w:r>
        <w:rPr>
          <w:rFonts w:hint="eastAsia" w:ascii="宋体" w:hAnsi="宋体" w:cs="仿宋"/>
          <w:sz w:val="24"/>
        </w:rPr>
        <w:t>（18）《基础地理信息标准数据基本规定》（GB21139-2007）</w:t>
      </w:r>
    </w:p>
    <w:p>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cs="仿宋"/>
          <w:sz w:val="24"/>
        </w:rPr>
      </w:pPr>
      <w:r>
        <w:rPr>
          <w:rFonts w:hint="eastAsia" w:ascii="宋体" w:hAnsi="宋体" w:cs="仿宋"/>
          <w:sz w:val="24"/>
        </w:rPr>
        <w:t>（19）《城市基础地理信息系统技术标准》（CJJ/T100-2017）</w:t>
      </w:r>
    </w:p>
    <w:p>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cs="仿宋"/>
          <w:sz w:val="24"/>
        </w:rPr>
      </w:pPr>
      <w:r>
        <w:rPr>
          <w:rFonts w:hint="eastAsia" w:ascii="宋体" w:hAnsi="宋体" w:cs="仿宋"/>
          <w:sz w:val="24"/>
        </w:rPr>
        <w:t>（20）《城市运行管理服务平台技术标准》</w:t>
      </w:r>
    </w:p>
    <w:p>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cs="仿宋"/>
          <w:sz w:val="24"/>
        </w:rPr>
      </w:pPr>
      <w:r>
        <w:rPr>
          <w:rFonts w:hint="eastAsia" w:ascii="宋体" w:hAnsi="宋体" w:cs="仿宋"/>
          <w:sz w:val="24"/>
        </w:rPr>
        <w:t>（21）《城市运行管理服务平台数据标准》</w:t>
      </w:r>
    </w:p>
    <w:p>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cs="仿宋"/>
          <w:sz w:val="24"/>
        </w:rPr>
      </w:pPr>
      <w:r>
        <w:rPr>
          <w:rFonts w:hint="eastAsia" w:ascii="宋体" w:hAnsi="宋体" w:cs="仿宋"/>
          <w:sz w:val="24"/>
        </w:rPr>
        <w:t>（22）《液化石油气供应工程设计规范》 GB 51142</w:t>
      </w:r>
    </w:p>
    <w:p>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cs="仿宋"/>
          <w:sz w:val="24"/>
        </w:rPr>
      </w:pPr>
      <w:r>
        <w:rPr>
          <w:rFonts w:hint="eastAsia" w:ascii="宋体" w:hAnsi="宋体" w:cs="仿宋"/>
          <w:sz w:val="24"/>
        </w:rPr>
        <w:t>（23）《建筑设计防火规范》 GB50016</w:t>
      </w:r>
    </w:p>
    <w:p>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cs="仿宋"/>
          <w:sz w:val="24"/>
        </w:rPr>
      </w:pPr>
      <w:r>
        <w:rPr>
          <w:rFonts w:hint="eastAsia" w:ascii="宋体" w:hAnsi="宋体" w:cs="仿宋"/>
          <w:sz w:val="24"/>
        </w:rPr>
        <w:t>（24）《微型数字电子计算机通用技术条件》 GB9813-88</w:t>
      </w:r>
    </w:p>
    <w:p>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cs="仿宋"/>
          <w:sz w:val="24"/>
        </w:rPr>
      </w:pPr>
      <w:r>
        <w:rPr>
          <w:rFonts w:hint="eastAsia" w:ascii="宋体" w:hAnsi="宋体" w:cs="仿宋"/>
          <w:sz w:val="24"/>
        </w:rPr>
        <w:t>（25）《电子计算机系统设备的性能表示》 GB3874-83</w:t>
      </w:r>
    </w:p>
    <w:p>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cs="仿宋"/>
          <w:sz w:val="24"/>
        </w:rPr>
      </w:pPr>
      <w:r>
        <w:rPr>
          <w:rFonts w:hint="eastAsia" w:ascii="宋体" w:hAnsi="宋体" w:cs="仿宋"/>
          <w:sz w:val="24"/>
        </w:rPr>
        <w:t>（26）《信息技术设备（包括电气事务设备）的安全》 GB4943-1995</w:t>
      </w:r>
    </w:p>
    <w:p>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cs="仿宋"/>
          <w:sz w:val="24"/>
        </w:rPr>
      </w:pPr>
      <w:r>
        <w:rPr>
          <w:rFonts w:hint="eastAsia" w:ascii="宋体" w:hAnsi="宋体" w:cs="仿宋"/>
          <w:sz w:val="24"/>
        </w:rPr>
        <w:t>（27）《电工电子产品基本环境试验规程  总则》  GB2421-89</w:t>
      </w:r>
    </w:p>
    <w:p>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cs="仿宋"/>
          <w:sz w:val="24"/>
        </w:rPr>
      </w:pPr>
      <w:r>
        <w:rPr>
          <w:rFonts w:hint="eastAsia" w:ascii="宋体" w:hAnsi="宋体" w:cs="仿宋"/>
          <w:sz w:val="24"/>
        </w:rPr>
        <w:t>（28）《LED显示屏通用规范》  SJ/T11141-199</w:t>
      </w:r>
    </w:p>
    <w:p>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cs="仿宋"/>
          <w:sz w:val="24"/>
        </w:rPr>
      </w:pPr>
      <w:r>
        <w:rPr>
          <w:rFonts w:hint="eastAsia" w:ascii="宋体" w:hAnsi="宋体" w:cs="仿宋"/>
          <w:sz w:val="24"/>
        </w:rPr>
        <w:t>（29）《中国电气装置安装工程施工及验收规范》  GBJ232-82</w:t>
      </w:r>
    </w:p>
    <w:p>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cs="仿宋"/>
          <w:sz w:val="24"/>
        </w:rPr>
      </w:pPr>
      <w:r>
        <w:rPr>
          <w:rFonts w:hint="eastAsia" w:ascii="宋体" w:hAnsi="宋体" w:cs="仿宋"/>
          <w:sz w:val="24"/>
        </w:rPr>
        <w:t>（30）《建筑防雷设计规范》  GBJ57-83</w:t>
      </w:r>
    </w:p>
    <w:p>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cs="仿宋"/>
          <w:sz w:val="24"/>
        </w:rPr>
      </w:pPr>
      <w:r>
        <w:rPr>
          <w:rFonts w:hint="eastAsia" w:ascii="宋体" w:hAnsi="宋体" w:cs="仿宋"/>
          <w:sz w:val="24"/>
        </w:rPr>
        <w:t>（31）《建筑智能化系统工程设计标准》（DB32/181-1998）</w:t>
      </w:r>
    </w:p>
    <w:p>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cs="仿宋"/>
          <w:sz w:val="24"/>
        </w:rPr>
      </w:pPr>
      <w:r>
        <w:rPr>
          <w:rFonts w:hint="eastAsia" w:ascii="宋体" w:hAnsi="宋体" w:cs="仿宋"/>
          <w:sz w:val="24"/>
        </w:rPr>
        <w:t>（32）《建筑智能化系统工程检测规范》（DB32/365-1999）</w:t>
      </w:r>
    </w:p>
    <w:p>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cs="仿宋"/>
          <w:sz w:val="24"/>
        </w:rPr>
      </w:pPr>
      <w:r>
        <w:rPr>
          <w:rFonts w:hint="eastAsia" w:ascii="宋体" w:hAnsi="宋体" w:cs="仿宋"/>
          <w:sz w:val="24"/>
        </w:rPr>
        <w:t>（33）《中华人民共和国公共安全行业标准》GA308-2001</w:t>
      </w:r>
    </w:p>
    <w:p>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cs="仿宋"/>
          <w:sz w:val="24"/>
        </w:rPr>
      </w:pPr>
      <w:r>
        <w:rPr>
          <w:rFonts w:hint="eastAsia" w:ascii="宋体" w:hAnsi="宋体" w:cs="仿宋"/>
          <w:sz w:val="24"/>
        </w:rPr>
        <w:t>（34）《建筑智能化系统工程设计规范》DGJ32/D01-2003</w:t>
      </w:r>
    </w:p>
    <w:p>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cs="仿宋"/>
          <w:sz w:val="24"/>
        </w:rPr>
      </w:pPr>
      <w:r>
        <w:rPr>
          <w:rFonts w:hint="eastAsia" w:ascii="宋体" w:hAnsi="宋体" w:cs="仿宋"/>
          <w:sz w:val="24"/>
        </w:rPr>
        <w:t>（35）《地表水环境质量标准》GB 3838—2002</w:t>
      </w:r>
    </w:p>
    <w:p>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cs="仿宋"/>
          <w:sz w:val="24"/>
        </w:rPr>
      </w:pPr>
      <w:r>
        <w:rPr>
          <w:rFonts w:hint="eastAsia" w:ascii="宋体" w:hAnsi="宋体" w:cs="仿宋"/>
          <w:sz w:val="24"/>
        </w:rPr>
        <w:t>（36）《生活饮用水标准检验法》GB 5750—2022</w:t>
      </w:r>
    </w:p>
    <w:p>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cs="仿宋"/>
          <w:sz w:val="24"/>
        </w:rPr>
      </w:pPr>
      <w:r>
        <w:rPr>
          <w:rFonts w:hint="eastAsia" w:ascii="宋体" w:hAnsi="宋体" w:cs="仿宋"/>
          <w:sz w:val="24"/>
        </w:rPr>
        <w:t>（37）《地下水质量标准》GB/T 14848—2017</w:t>
      </w:r>
    </w:p>
    <w:p>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cs="仿宋"/>
          <w:sz w:val="24"/>
        </w:rPr>
      </w:pPr>
      <w:r>
        <w:rPr>
          <w:rFonts w:hint="eastAsia" w:ascii="宋体" w:hAnsi="宋体" w:cs="仿宋"/>
          <w:sz w:val="24"/>
        </w:rPr>
        <w:t>（38）《城市供水应急和备用水源工程技术标准》CJJ/T282—2019</w:t>
      </w:r>
    </w:p>
    <w:p>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cs="仿宋"/>
          <w:sz w:val="24"/>
        </w:rPr>
      </w:pPr>
      <w:r>
        <w:rPr>
          <w:rFonts w:hint="eastAsia" w:ascii="宋体" w:hAnsi="宋体" w:cs="仿宋"/>
          <w:sz w:val="24"/>
        </w:rPr>
        <w:t>（39）《天然气》（GB 17820-2018）</w:t>
      </w:r>
    </w:p>
    <w:p>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cs="仿宋"/>
          <w:sz w:val="24"/>
        </w:rPr>
      </w:pPr>
      <w:r>
        <w:rPr>
          <w:rFonts w:hint="eastAsia" w:ascii="宋体" w:hAnsi="宋体" w:cs="仿宋"/>
          <w:sz w:val="24"/>
        </w:rPr>
        <w:t>（40）《燃气用户设施安全检查标准》DB33/T1251-2021</w:t>
      </w:r>
    </w:p>
    <w:p>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cs="仿宋"/>
          <w:sz w:val="24"/>
        </w:rPr>
      </w:pPr>
      <w:r>
        <w:rPr>
          <w:rFonts w:hint="eastAsia" w:ascii="宋体" w:hAnsi="宋体" w:cs="仿宋"/>
          <w:sz w:val="24"/>
        </w:rPr>
        <w:t>（41）《城镇燃气设施安全检查标准》DB33/T1211-2020</w:t>
      </w:r>
    </w:p>
    <w:p>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cs="仿宋"/>
          <w:sz w:val="24"/>
        </w:rPr>
      </w:pPr>
      <w:r>
        <w:rPr>
          <w:rFonts w:hint="eastAsia" w:ascii="宋体" w:hAnsi="宋体" w:cs="仿宋"/>
          <w:sz w:val="24"/>
        </w:rPr>
        <w:t>（42）《智慧燃气建设技术标准》DBJ33/T 1280-2022</w:t>
      </w:r>
    </w:p>
    <w:p>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cs="仿宋"/>
          <w:sz w:val="24"/>
        </w:rPr>
      </w:pPr>
      <w:r>
        <w:rPr>
          <w:rFonts w:hint="eastAsia" w:ascii="宋体" w:hAnsi="宋体" w:cs="仿宋"/>
          <w:sz w:val="24"/>
        </w:rPr>
        <w:t>（43）《国内卫星通信系统进网技术要求》（GB/T 12364-2007）</w:t>
      </w:r>
    </w:p>
    <w:p>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cs="仿宋"/>
          <w:sz w:val="24"/>
        </w:rPr>
      </w:pPr>
      <w:r>
        <w:rPr>
          <w:rFonts w:hint="eastAsia" w:ascii="宋体" w:hAnsi="宋体" w:cs="仿宋"/>
          <w:sz w:val="24"/>
        </w:rPr>
        <w:t>（44）《警用数字集群（PDT）通信系统总体技术规范》（GA/T 1056-2013）</w:t>
      </w:r>
    </w:p>
    <w:p>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cs="仿宋"/>
          <w:sz w:val="24"/>
        </w:rPr>
      </w:pPr>
      <w:r>
        <w:rPr>
          <w:rFonts w:hint="eastAsia" w:ascii="宋体" w:hAnsi="宋体" w:cs="仿宋"/>
          <w:sz w:val="24"/>
        </w:rPr>
        <w:t>（45）《基于12.5kHz信道的时分多址（TDMA）专用数字集群通信系统空中接口物理层及数据链路层技术规范》（GB/T 34991-2017）</w:t>
      </w:r>
    </w:p>
    <w:p>
      <w:pPr>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仿宋"/>
          <w:sz w:val="24"/>
        </w:rPr>
      </w:pPr>
      <w:r>
        <w:rPr>
          <w:rFonts w:hint="eastAsia" w:ascii="宋体" w:hAnsi="宋体" w:cs="仿宋"/>
          <w:sz w:val="24"/>
        </w:rPr>
        <w:t>（46）《电能计量系统在线监测(核查)技术规范》JJF(浙)1167—2019</w:t>
      </w:r>
    </w:p>
    <w:p>
      <w:pPr>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仿宋"/>
          <w:sz w:val="24"/>
        </w:rPr>
      </w:pPr>
      <w:r>
        <w:rPr>
          <w:rFonts w:hint="eastAsia" w:ascii="宋体" w:hAnsi="宋体" w:cs="仿宋"/>
          <w:sz w:val="24"/>
        </w:rPr>
        <w:t>如有新的标准及规范，按最新的标准及规范执行。</w:t>
      </w:r>
    </w:p>
    <w:p>
      <w:pPr>
        <w:pStyle w:val="257"/>
        <w:pageBreakBefore w:val="0"/>
        <w:widowControl w:val="0"/>
        <w:kinsoku/>
        <w:wordWrap/>
        <w:overflowPunct/>
        <w:topLinePunct w:val="0"/>
        <w:autoSpaceDE/>
        <w:autoSpaceDN/>
        <w:bidi w:val="0"/>
        <w:snapToGrid/>
        <w:spacing w:line="360" w:lineRule="auto"/>
        <w:ind w:firstLine="0" w:firstLineChars="0"/>
        <w:textAlignment w:val="auto"/>
        <w:rPr>
          <w:rFonts w:ascii="宋体" w:hAnsi="宋体" w:eastAsia="宋体"/>
          <w:b/>
          <w:bCs/>
        </w:rPr>
      </w:pPr>
      <w:r>
        <w:rPr>
          <w:rFonts w:hint="eastAsia" w:ascii="宋体" w:hAnsi="宋体" w:eastAsia="宋体"/>
          <w:b/>
          <w:bCs/>
          <w:sz w:val="28"/>
          <w:szCs w:val="28"/>
        </w:rPr>
        <w:t>五、建设内容</w:t>
      </w:r>
    </w:p>
    <w:p>
      <w:pPr>
        <w:pageBreakBefore w:val="0"/>
        <w:widowControl w:val="0"/>
        <w:kinsoku/>
        <w:wordWrap/>
        <w:overflowPunct/>
        <w:topLinePunct w:val="0"/>
        <w:autoSpaceDE/>
        <w:autoSpaceDN/>
        <w:bidi w:val="0"/>
        <w:snapToGrid/>
        <w:spacing w:line="360" w:lineRule="auto"/>
        <w:ind w:firstLine="482" w:firstLineChars="200"/>
        <w:textAlignment w:val="auto"/>
        <w:rPr>
          <w:rFonts w:hint="eastAsia" w:ascii="宋体" w:hAnsi="宋体"/>
          <w:b/>
          <w:bCs/>
          <w:color w:val="000000"/>
          <w:sz w:val="24"/>
          <w:highlight w:val="none"/>
        </w:rPr>
      </w:pPr>
      <w:r>
        <w:rPr>
          <w:rFonts w:hint="eastAsia" w:ascii="宋体" w:hAnsi="宋体"/>
          <w:b/>
          <w:bCs/>
          <w:color w:val="000000"/>
          <w:sz w:val="24"/>
          <w:highlight w:val="none"/>
        </w:rPr>
        <w:t>“杭州市城市运行“一网统管”迭代升级项目”的建设内容包含：</w:t>
      </w:r>
    </w:p>
    <w:p>
      <w:pPr>
        <w:pageBreakBefore w:val="0"/>
        <w:widowControl w:val="0"/>
        <w:kinsoku/>
        <w:wordWrap/>
        <w:overflowPunct/>
        <w:topLinePunct w:val="0"/>
        <w:autoSpaceDE/>
        <w:autoSpaceDN/>
        <w:bidi w:val="0"/>
        <w:snapToGrid/>
        <w:spacing w:line="360" w:lineRule="auto"/>
        <w:ind w:firstLine="482" w:firstLineChars="200"/>
        <w:textAlignment w:val="auto"/>
        <w:rPr>
          <w:rFonts w:hint="eastAsia" w:ascii="宋体" w:hAnsi="宋体"/>
          <w:b/>
          <w:bCs/>
          <w:color w:val="000000"/>
          <w:sz w:val="24"/>
          <w:highlight w:val="none"/>
        </w:rPr>
      </w:pPr>
      <w:r>
        <w:rPr>
          <w:rFonts w:hint="eastAsia" w:ascii="宋体" w:hAnsi="宋体"/>
          <w:b/>
          <w:bCs/>
          <w:color w:val="000000"/>
          <w:sz w:val="24"/>
          <w:highlight w:val="none"/>
        </w:rPr>
        <w:t>（一）城市运行生命体征</w:t>
      </w:r>
    </w:p>
    <w:p>
      <w:pPr>
        <w:pStyle w:val="7"/>
        <w:pageBreakBefore w:val="0"/>
        <w:widowControl w:val="0"/>
        <w:tabs>
          <w:tab w:val="left" w:pos="0"/>
          <w:tab w:val="clear" w:pos="864"/>
        </w:tabs>
        <w:kinsoku/>
        <w:wordWrap/>
        <w:overflowPunct/>
        <w:topLinePunct w:val="0"/>
        <w:autoSpaceDE/>
        <w:autoSpaceDN/>
        <w:bidi w:val="0"/>
        <w:snapToGrid/>
        <w:spacing w:before="0" w:after="0" w:line="360" w:lineRule="auto"/>
        <w:ind w:left="0" w:firstLine="480" w:firstLineChars="200"/>
        <w:textAlignment w:val="auto"/>
        <w:rPr>
          <w:rFonts w:hint="eastAsia" w:ascii="宋体" w:hAnsi="宋体" w:eastAsia="宋体"/>
          <w:b w:val="0"/>
          <w:bCs w:val="0"/>
          <w:color w:val="000000"/>
          <w:sz w:val="24"/>
          <w:szCs w:val="24"/>
          <w:highlight w:val="none"/>
          <w:lang w:val="en-US"/>
        </w:rPr>
      </w:pPr>
      <w:r>
        <w:rPr>
          <w:rFonts w:hint="eastAsia" w:ascii="宋体" w:hAnsi="宋体" w:eastAsia="宋体"/>
          <w:b w:val="0"/>
          <w:bCs w:val="0"/>
          <w:color w:val="000000"/>
          <w:sz w:val="24"/>
          <w:szCs w:val="24"/>
          <w:highlight w:val="none"/>
          <w:lang w:val="en-US"/>
        </w:rPr>
        <w:t>基于城市运行专业安全生产委员会涵盖领域，针对城市安全运行关键点和薄弱环节，围绕城镇燃气体征、市政设施体征、水设施河道体征、地铁运营期保护区体征、固废处置体征、市容景观体征等体征领域梳理提炼总体城市生命体征指标以及各专项场景体征指标，建立科学化、精准化、一体化、数字化的城市运行生命体征监测及指标管理系统，实现“一网监测”。</w:t>
      </w:r>
      <w:r>
        <w:rPr>
          <w:rFonts w:hint="eastAsia" w:ascii="宋体" w:hAnsi="宋体" w:eastAsia="宋体"/>
          <w:color w:val="000000"/>
          <w:sz w:val="24"/>
          <w:szCs w:val="24"/>
          <w:highlight w:val="none"/>
          <w:lang w:val="en-US"/>
        </w:rPr>
        <w:t>具体内容包括：</w:t>
      </w:r>
    </w:p>
    <w:p>
      <w:pPr>
        <w:pageBreakBefore w:val="0"/>
        <w:widowControl w:val="0"/>
        <w:kinsoku/>
        <w:wordWrap/>
        <w:overflowPunct/>
        <w:topLinePunct w:val="0"/>
        <w:autoSpaceDE/>
        <w:autoSpaceDN/>
        <w:bidi w:val="0"/>
        <w:snapToGrid/>
        <w:spacing w:line="360" w:lineRule="auto"/>
        <w:ind w:firstLine="560"/>
        <w:textAlignment w:val="auto"/>
        <w:rPr>
          <w:rFonts w:hint="eastAsia" w:ascii="宋体" w:hAnsi="宋体"/>
          <w:color w:val="000000"/>
          <w:sz w:val="24"/>
          <w:highlight w:val="none"/>
        </w:rPr>
      </w:pPr>
      <w:r>
        <w:rPr>
          <w:rFonts w:hint="eastAsia" w:ascii="宋体" w:hAnsi="宋体"/>
          <w:color w:val="000000"/>
          <w:sz w:val="24"/>
          <w:highlight w:val="none"/>
        </w:rPr>
        <w:t>一是将围绕城市运行运营密切相关的水设施河道、市容景观、城镇燃气、轨道（地铁）运营期保护区、市政设施、固废处置等方面，聚焦核心监测对象，进行体征构建。二是对构建的体征进行管理，对超出正常数值范围的监测指标进行报警，及时提醒管理者进行后续处置工作。体征管理包括指标报警、报警详情、报警列表、报警查询和报警指标下派、指标配置管理、监测规则配置和指标数据质量监测等功能。</w:t>
      </w:r>
    </w:p>
    <w:p>
      <w:pPr>
        <w:pStyle w:val="8"/>
        <w:pageBreakBefore w:val="0"/>
        <w:widowControl w:val="0"/>
        <w:tabs>
          <w:tab w:val="left" w:pos="0"/>
          <w:tab w:val="clear" w:pos="1008"/>
        </w:tabs>
        <w:kinsoku/>
        <w:wordWrap/>
        <w:overflowPunct/>
        <w:topLinePunct w:val="0"/>
        <w:autoSpaceDE/>
        <w:autoSpaceDN/>
        <w:bidi w:val="0"/>
        <w:snapToGrid/>
        <w:spacing w:before="0" w:after="0" w:line="360" w:lineRule="auto"/>
        <w:ind w:left="0"/>
        <w:textAlignment w:val="auto"/>
        <w:rPr>
          <w:rFonts w:hint="eastAsia" w:ascii="宋体" w:hAnsi="宋体"/>
          <w:b w:val="0"/>
          <w:bCs w:val="0"/>
          <w:color w:val="000000"/>
          <w:sz w:val="24"/>
          <w:szCs w:val="24"/>
          <w:highlight w:val="none"/>
        </w:rPr>
      </w:pPr>
      <w:r>
        <w:rPr>
          <w:rFonts w:hint="eastAsia" w:ascii="宋体" w:hAnsi="宋体"/>
          <w:b w:val="0"/>
          <w:bCs w:val="0"/>
          <w:color w:val="000000"/>
          <w:sz w:val="24"/>
          <w:szCs w:val="24"/>
          <w:highlight w:val="none"/>
        </w:rPr>
        <w:tab/>
      </w:r>
      <w:r>
        <w:rPr>
          <w:rFonts w:hint="eastAsia" w:ascii="宋体" w:hAnsi="宋体"/>
          <w:b w:val="0"/>
          <w:bCs w:val="0"/>
          <w:color w:val="000000"/>
          <w:sz w:val="24"/>
          <w:szCs w:val="24"/>
          <w:highlight w:val="none"/>
        </w:rPr>
        <w:tab/>
      </w:r>
      <w:r>
        <w:rPr>
          <w:rFonts w:hint="eastAsia" w:ascii="宋体" w:hAnsi="宋体"/>
          <w:color w:val="000000"/>
          <w:sz w:val="24"/>
          <w:szCs w:val="24"/>
          <w:highlight w:val="none"/>
        </w:rPr>
        <w:t>（1）城镇燃气体征</w:t>
      </w:r>
    </w:p>
    <w:p>
      <w:pPr>
        <w:pageBreakBefore w:val="0"/>
        <w:widowControl w:val="0"/>
        <w:kinsoku/>
        <w:wordWrap/>
        <w:overflowPunct/>
        <w:topLinePunct w:val="0"/>
        <w:autoSpaceDE/>
        <w:autoSpaceDN/>
        <w:bidi w:val="0"/>
        <w:snapToGrid/>
        <w:spacing w:line="360" w:lineRule="auto"/>
        <w:ind w:firstLine="560"/>
        <w:textAlignment w:val="auto"/>
        <w:rPr>
          <w:rFonts w:ascii="宋体" w:hAnsi="宋体"/>
          <w:color w:val="000000"/>
          <w:sz w:val="24"/>
          <w:highlight w:val="none"/>
        </w:rPr>
      </w:pPr>
      <w:r>
        <w:rPr>
          <w:rFonts w:hint="eastAsia" w:ascii="宋体" w:hAnsi="宋体"/>
          <w:color w:val="000000"/>
          <w:sz w:val="24"/>
          <w:highlight w:val="none"/>
        </w:rPr>
        <w:t>城镇燃气监测主要对杭州市内的天然气设施、储配站、钢瓶和餐饮燃气报警装置等对象的运行情况进行监测，对监测对象的基本信息和监测指标信息进行展示，支持地图和列表两种展示形式，支持各类监测指标的多级分析。当监测指标出现异常时，对异常指标进行报警展示。</w:t>
      </w:r>
    </w:p>
    <w:p>
      <w:pPr>
        <w:pageBreakBefore w:val="0"/>
        <w:widowControl w:val="0"/>
        <w:kinsoku/>
        <w:wordWrap/>
        <w:overflowPunct/>
        <w:topLinePunct w:val="0"/>
        <w:autoSpaceDE/>
        <w:autoSpaceDN/>
        <w:bidi w:val="0"/>
        <w:snapToGrid/>
        <w:spacing w:line="360" w:lineRule="auto"/>
        <w:ind w:firstLine="560"/>
        <w:textAlignment w:val="auto"/>
        <w:rPr>
          <w:rFonts w:ascii="宋体" w:hAnsi="宋体"/>
          <w:color w:val="000000"/>
          <w:sz w:val="24"/>
          <w:highlight w:val="none"/>
        </w:rPr>
      </w:pPr>
      <w:r>
        <w:rPr>
          <w:rFonts w:hint="eastAsia" w:ascii="宋体" w:hAnsi="宋体"/>
          <w:color w:val="000000"/>
          <w:sz w:val="24"/>
          <w:highlight w:val="none"/>
        </w:rPr>
        <w:t>天然气设施监测包括对市内门站、高中压调压站、阀室和城市应急气源站的监测，支持地图点位分布展示，并展示监测对象基础信息、相关监测信息、告警信息和处置信息。</w:t>
      </w:r>
    </w:p>
    <w:p>
      <w:pPr>
        <w:pageBreakBefore w:val="0"/>
        <w:widowControl w:val="0"/>
        <w:kinsoku/>
        <w:wordWrap/>
        <w:overflowPunct/>
        <w:topLinePunct w:val="0"/>
        <w:autoSpaceDE/>
        <w:autoSpaceDN/>
        <w:bidi w:val="0"/>
        <w:snapToGrid/>
        <w:spacing w:line="360" w:lineRule="auto"/>
        <w:ind w:firstLine="560"/>
        <w:textAlignment w:val="auto"/>
        <w:rPr>
          <w:rFonts w:hint="eastAsia" w:ascii="宋体" w:hAnsi="宋体"/>
          <w:color w:val="000000"/>
          <w:sz w:val="24"/>
          <w:highlight w:val="none"/>
        </w:rPr>
      </w:pPr>
      <w:r>
        <w:rPr>
          <w:rFonts w:hint="eastAsia" w:ascii="宋体" w:hAnsi="宋体"/>
          <w:color w:val="000000"/>
          <w:sz w:val="24"/>
          <w:highlight w:val="none"/>
        </w:rPr>
        <w:t>储配站监测需支持地图点位分布展示，并展示监测对象基础信息、相关监测信息、告警信息和处置信息。</w:t>
      </w:r>
    </w:p>
    <w:p>
      <w:pPr>
        <w:pageBreakBefore w:val="0"/>
        <w:widowControl w:val="0"/>
        <w:kinsoku/>
        <w:wordWrap/>
        <w:overflowPunct/>
        <w:topLinePunct w:val="0"/>
        <w:autoSpaceDE/>
        <w:autoSpaceDN/>
        <w:bidi w:val="0"/>
        <w:snapToGrid/>
        <w:spacing w:line="360" w:lineRule="auto"/>
        <w:ind w:firstLine="560"/>
        <w:textAlignment w:val="auto"/>
        <w:rPr>
          <w:rFonts w:hint="eastAsia" w:ascii="宋体" w:hAnsi="宋体"/>
          <w:color w:val="000000"/>
          <w:sz w:val="24"/>
          <w:highlight w:val="none"/>
        </w:rPr>
      </w:pPr>
      <w:r>
        <w:rPr>
          <w:rFonts w:hint="eastAsia" w:ascii="宋体" w:hAnsi="宋体"/>
          <w:color w:val="000000"/>
          <w:sz w:val="24"/>
          <w:highlight w:val="none"/>
        </w:rPr>
        <w:t>钢瓶监测需包含瓶装液化气企业基本信息、钢瓶的监测指标信息、告警信息和处置信息，支持地图点位分布展示，并统计红/黄/绿三码气瓶量。</w:t>
      </w:r>
    </w:p>
    <w:p>
      <w:pPr>
        <w:pageBreakBefore w:val="0"/>
        <w:widowControl w:val="0"/>
        <w:kinsoku/>
        <w:wordWrap/>
        <w:overflowPunct/>
        <w:topLinePunct w:val="0"/>
        <w:autoSpaceDE/>
        <w:autoSpaceDN/>
        <w:bidi w:val="0"/>
        <w:snapToGrid/>
        <w:spacing w:line="360" w:lineRule="auto"/>
        <w:ind w:firstLine="560"/>
        <w:textAlignment w:val="auto"/>
        <w:rPr>
          <w:rFonts w:hint="eastAsia" w:ascii="宋体" w:hAnsi="宋体"/>
          <w:color w:val="000000"/>
          <w:sz w:val="24"/>
          <w:highlight w:val="none"/>
        </w:rPr>
      </w:pPr>
      <w:r>
        <w:rPr>
          <w:rFonts w:hint="eastAsia" w:ascii="宋体" w:hAnsi="宋体"/>
          <w:color w:val="000000"/>
          <w:sz w:val="24"/>
          <w:highlight w:val="none"/>
        </w:rPr>
        <w:t>餐饮燃气报警装置检测为燃气餐饮场所的可燃气体泄漏监测，支持地图点位分布展示，展示燃气餐饮场所的基础信息、相关监测信息、告警信息和处置信息，并统计可燃气体泄露问题数。</w:t>
      </w:r>
    </w:p>
    <w:p>
      <w:pPr>
        <w:pStyle w:val="8"/>
        <w:pageBreakBefore w:val="0"/>
        <w:widowControl w:val="0"/>
        <w:tabs>
          <w:tab w:val="left" w:pos="0"/>
          <w:tab w:val="clear" w:pos="1008"/>
        </w:tabs>
        <w:kinsoku/>
        <w:wordWrap/>
        <w:overflowPunct/>
        <w:topLinePunct w:val="0"/>
        <w:autoSpaceDE/>
        <w:autoSpaceDN/>
        <w:bidi w:val="0"/>
        <w:snapToGrid/>
        <w:spacing w:before="0" w:after="0" w:line="360" w:lineRule="auto"/>
        <w:ind w:left="0"/>
        <w:textAlignment w:val="auto"/>
        <w:rPr>
          <w:rFonts w:hint="eastAsia" w:ascii="宋体" w:hAnsi="宋体"/>
          <w:color w:val="000000"/>
          <w:sz w:val="24"/>
          <w:szCs w:val="24"/>
          <w:highlight w:val="none"/>
        </w:rPr>
      </w:pPr>
      <w:r>
        <w:rPr>
          <w:rFonts w:hint="eastAsia" w:ascii="宋体" w:hAnsi="宋体"/>
          <w:color w:val="000000"/>
          <w:sz w:val="24"/>
          <w:szCs w:val="24"/>
          <w:highlight w:val="none"/>
        </w:rPr>
        <w:tab/>
      </w:r>
      <w:r>
        <w:rPr>
          <w:rFonts w:hint="eastAsia" w:ascii="宋体" w:hAnsi="宋体"/>
          <w:color w:val="000000"/>
          <w:sz w:val="24"/>
          <w:szCs w:val="24"/>
          <w:highlight w:val="none"/>
        </w:rPr>
        <w:tab/>
      </w:r>
      <w:r>
        <w:rPr>
          <w:rFonts w:hint="eastAsia" w:ascii="宋体" w:hAnsi="宋体"/>
          <w:color w:val="000000"/>
          <w:sz w:val="24"/>
          <w:szCs w:val="24"/>
          <w:highlight w:val="none"/>
        </w:rPr>
        <w:t>（</w:t>
      </w:r>
      <w:r>
        <w:rPr>
          <w:rFonts w:ascii="宋体" w:hAnsi="宋体"/>
          <w:color w:val="000000"/>
          <w:sz w:val="24"/>
          <w:szCs w:val="24"/>
          <w:highlight w:val="none"/>
        </w:rPr>
        <w:t>2</w:t>
      </w:r>
      <w:r>
        <w:rPr>
          <w:rFonts w:hint="eastAsia" w:ascii="宋体" w:hAnsi="宋体"/>
          <w:color w:val="000000"/>
          <w:sz w:val="24"/>
          <w:szCs w:val="24"/>
          <w:highlight w:val="none"/>
        </w:rPr>
        <w:t>）市政设施体征</w:t>
      </w:r>
    </w:p>
    <w:p>
      <w:pPr>
        <w:pageBreakBefore w:val="0"/>
        <w:widowControl w:val="0"/>
        <w:kinsoku/>
        <w:wordWrap/>
        <w:overflowPunct/>
        <w:topLinePunct w:val="0"/>
        <w:autoSpaceDE/>
        <w:autoSpaceDN/>
        <w:bidi w:val="0"/>
        <w:snapToGrid/>
        <w:spacing w:line="360" w:lineRule="auto"/>
        <w:ind w:firstLine="560"/>
        <w:textAlignment w:val="auto"/>
        <w:rPr>
          <w:rFonts w:hint="eastAsia" w:ascii="宋体" w:hAnsi="宋体"/>
          <w:color w:val="000000"/>
          <w:sz w:val="24"/>
          <w:highlight w:val="none"/>
        </w:rPr>
      </w:pPr>
      <w:r>
        <w:rPr>
          <w:rFonts w:hint="eastAsia" w:ascii="宋体" w:hAnsi="宋体"/>
          <w:color w:val="000000"/>
          <w:sz w:val="24"/>
          <w:highlight w:val="none"/>
        </w:rPr>
        <w:t>市政设施体征监测对城市的地下管廊、桥梁、隧道和地面道路等整体运行情况和状态进行巡检预警。对监测对象的基本信息和监测指标信息进行展示，支持地图和列表两种展示形式，支持各类监测指标的多级分析。当监测指标出现异常时，对异常指标进行报警展示。</w:t>
      </w:r>
    </w:p>
    <w:p>
      <w:pPr>
        <w:pageBreakBefore w:val="0"/>
        <w:widowControl w:val="0"/>
        <w:kinsoku/>
        <w:wordWrap/>
        <w:overflowPunct/>
        <w:topLinePunct w:val="0"/>
        <w:autoSpaceDE/>
        <w:autoSpaceDN/>
        <w:bidi w:val="0"/>
        <w:snapToGrid/>
        <w:spacing w:line="360" w:lineRule="auto"/>
        <w:ind w:firstLine="560"/>
        <w:textAlignment w:val="auto"/>
        <w:rPr>
          <w:rFonts w:ascii="宋体" w:hAnsi="宋体"/>
          <w:color w:val="000000"/>
          <w:sz w:val="24"/>
          <w:highlight w:val="none"/>
        </w:rPr>
      </w:pPr>
      <w:r>
        <w:rPr>
          <w:rFonts w:hint="eastAsia" w:ascii="宋体" w:hAnsi="宋体"/>
          <w:color w:val="000000"/>
          <w:sz w:val="24"/>
          <w:highlight w:val="none"/>
        </w:rPr>
        <w:t>地下管廊监测主要是对燃气舱、电力舱和水信舱的监测，支持在地图对管廊进行分区展示，并展示桥梁的基础信息、相关监测信息。</w:t>
      </w:r>
    </w:p>
    <w:p>
      <w:pPr>
        <w:pageBreakBefore w:val="0"/>
        <w:widowControl w:val="0"/>
        <w:kinsoku/>
        <w:wordWrap/>
        <w:overflowPunct/>
        <w:topLinePunct w:val="0"/>
        <w:autoSpaceDE/>
        <w:autoSpaceDN/>
        <w:bidi w:val="0"/>
        <w:snapToGrid/>
        <w:spacing w:line="360" w:lineRule="auto"/>
        <w:ind w:firstLine="560"/>
        <w:textAlignment w:val="auto"/>
        <w:rPr>
          <w:rFonts w:ascii="宋体" w:hAnsi="宋体"/>
          <w:color w:val="000000"/>
          <w:sz w:val="24"/>
          <w:highlight w:val="none"/>
        </w:rPr>
      </w:pPr>
      <w:r>
        <w:rPr>
          <w:rFonts w:hint="eastAsia" w:ascii="宋体" w:hAnsi="宋体"/>
          <w:color w:val="000000"/>
          <w:sz w:val="24"/>
          <w:highlight w:val="none"/>
        </w:rPr>
        <w:t>桥梁需包含市内接入监测设备的桥梁，包括特大桥梁和中小桥梁，支持地图点位分布展示，并展示桥梁的基础信息、相关监测信息、报警信息和检测报告，并统计桥梁按时检测率。</w:t>
      </w:r>
    </w:p>
    <w:p>
      <w:pPr>
        <w:pageBreakBefore w:val="0"/>
        <w:widowControl w:val="0"/>
        <w:kinsoku/>
        <w:wordWrap/>
        <w:overflowPunct/>
        <w:topLinePunct w:val="0"/>
        <w:autoSpaceDE/>
        <w:autoSpaceDN/>
        <w:bidi w:val="0"/>
        <w:snapToGrid/>
        <w:spacing w:line="360" w:lineRule="auto"/>
        <w:ind w:firstLine="560"/>
        <w:textAlignment w:val="auto"/>
        <w:rPr>
          <w:rFonts w:ascii="宋体" w:hAnsi="宋体"/>
          <w:color w:val="000000"/>
          <w:sz w:val="24"/>
          <w:highlight w:val="none"/>
        </w:rPr>
      </w:pPr>
      <w:r>
        <w:rPr>
          <w:rFonts w:hint="eastAsia" w:ascii="宋体" w:hAnsi="宋体"/>
          <w:color w:val="000000"/>
          <w:sz w:val="24"/>
          <w:highlight w:val="none"/>
        </w:rPr>
        <w:t>隧道包括中长隧道（群）、短隧道、下穿道、地道等类型，支持地图点位分布展示，并展示隧道的基础信息、相关监测信息和报警信息，并展示道路指数。</w:t>
      </w:r>
    </w:p>
    <w:p>
      <w:pPr>
        <w:pageBreakBefore w:val="0"/>
        <w:widowControl w:val="0"/>
        <w:kinsoku/>
        <w:wordWrap/>
        <w:overflowPunct/>
        <w:topLinePunct w:val="0"/>
        <w:autoSpaceDE/>
        <w:autoSpaceDN/>
        <w:bidi w:val="0"/>
        <w:snapToGrid/>
        <w:spacing w:line="360" w:lineRule="auto"/>
        <w:ind w:firstLine="560"/>
        <w:textAlignment w:val="auto"/>
        <w:rPr>
          <w:rFonts w:ascii="宋体" w:hAnsi="宋体"/>
          <w:color w:val="000000"/>
          <w:sz w:val="24"/>
          <w:highlight w:val="none"/>
        </w:rPr>
      </w:pPr>
      <w:r>
        <w:rPr>
          <w:rFonts w:hint="eastAsia" w:ascii="宋体" w:hAnsi="宋体"/>
          <w:color w:val="000000"/>
          <w:sz w:val="24"/>
          <w:highlight w:val="none"/>
        </w:rPr>
        <w:t>道路包括主干路、次干路、支路和快速路等类型，支持在地图对道路进行标记，并展示道路的基础信息、相关监测信息和报警信息，并统计隧道积水数。</w:t>
      </w:r>
    </w:p>
    <w:p>
      <w:pPr>
        <w:pStyle w:val="8"/>
        <w:pageBreakBefore w:val="0"/>
        <w:widowControl w:val="0"/>
        <w:tabs>
          <w:tab w:val="left" w:pos="0"/>
          <w:tab w:val="clear" w:pos="1008"/>
        </w:tabs>
        <w:kinsoku/>
        <w:wordWrap/>
        <w:overflowPunct/>
        <w:topLinePunct w:val="0"/>
        <w:autoSpaceDE/>
        <w:autoSpaceDN/>
        <w:bidi w:val="0"/>
        <w:snapToGrid/>
        <w:spacing w:before="0" w:after="0" w:line="360" w:lineRule="auto"/>
        <w:ind w:left="0"/>
        <w:textAlignment w:val="auto"/>
        <w:rPr>
          <w:rFonts w:hint="eastAsia" w:ascii="宋体" w:hAnsi="宋体"/>
          <w:color w:val="000000"/>
          <w:sz w:val="24"/>
          <w:szCs w:val="24"/>
          <w:highlight w:val="none"/>
        </w:rPr>
      </w:pPr>
      <w:r>
        <w:rPr>
          <w:rFonts w:hint="eastAsia" w:ascii="宋体" w:hAnsi="宋体"/>
          <w:color w:val="000000"/>
          <w:sz w:val="24"/>
          <w:szCs w:val="24"/>
          <w:highlight w:val="none"/>
        </w:rPr>
        <w:tab/>
      </w:r>
      <w:r>
        <w:rPr>
          <w:rFonts w:hint="eastAsia" w:ascii="宋体" w:hAnsi="宋体"/>
          <w:color w:val="000000"/>
          <w:sz w:val="24"/>
          <w:szCs w:val="24"/>
          <w:highlight w:val="none"/>
        </w:rPr>
        <w:tab/>
      </w:r>
      <w:r>
        <w:rPr>
          <w:rFonts w:hint="eastAsia" w:ascii="宋体" w:hAnsi="宋体"/>
          <w:color w:val="000000"/>
          <w:sz w:val="24"/>
          <w:szCs w:val="24"/>
          <w:highlight w:val="none"/>
        </w:rPr>
        <w:t>（</w:t>
      </w:r>
      <w:r>
        <w:rPr>
          <w:rFonts w:ascii="宋体" w:hAnsi="宋体"/>
          <w:color w:val="000000"/>
          <w:sz w:val="24"/>
          <w:szCs w:val="24"/>
          <w:highlight w:val="none"/>
        </w:rPr>
        <w:t>3</w:t>
      </w:r>
      <w:r>
        <w:rPr>
          <w:rFonts w:hint="eastAsia" w:ascii="宋体" w:hAnsi="宋体"/>
          <w:color w:val="000000"/>
          <w:sz w:val="24"/>
          <w:szCs w:val="24"/>
          <w:highlight w:val="none"/>
        </w:rPr>
        <w:t>）水设施河道体征</w:t>
      </w:r>
    </w:p>
    <w:p>
      <w:pPr>
        <w:pageBreakBefore w:val="0"/>
        <w:widowControl w:val="0"/>
        <w:kinsoku/>
        <w:wordWrap/>
        <w:overflowPunct/>
        <w:topLinePunct w:val="0"/>
        <w:autoSpaceDE/>
        <w:autoSpaceDN/>
        <w:bidi w:val="0"/>
        <w:snapToGrid/>
        <w:spacing w:line="360" w:lineRule="auto"/>
        <w:ind w:firstLine="560"/>
        <w:textAlignment w:val="auto"/>
        <w:rPr>
          <w:rFonts w:hint="eastAsia" w:ascii="宋体" w:hAnsi="宋体"/>
          <w:color w:val="000000"/>
          <w:sz w:val="24"/>
          <w:highlight w:val="none"/>
        </w:rPr>
      </w:pPr>
      <w:r>
        <w:rPr>
          <w:rFonts w:hint="eastAsia" w:ascii="宋体" w:hAnsi="宋体"/>
          <w:color w:val="000000"/>
          <w:sz w:val="24"/>
          <w:highlight w:val="none"/>
        </w:rPr>
        <w:t>水设施河道监测主要包括等情城市供水、城市污水、城市河道和城市内涝方面的情况进行巡检预警。对监测对象的基本信息和监测指标信息进行展示，支持地图和列表两种展示形式，支持各类监测指标的多级分析。当监测指标出现异常时，对异常指标进行报警展示。</w:t>
      </w:r>
    </w:p>
    <w:p>
      <w:pPr>
        <w:pageBreakBefore w:val="0"/>
        <w:widowControl w:val="0"/>
        <w:kinsoku/>
        <w:wordWrap/>
        <w:overflowPunct/>
        <w:topLinePunct w:val="0"/>
        <w:autoSpaceDE/>
        <w:autoSpaceDN/>
        <w:bidi w:val="0"/>
        <w:snapToGrid/>
        <w:spacing w:line="360" w:lineRule="auto"/>
        <w:ind w:firstLine="560"/>
        <w:textAlignment w:val="auto"/>
        <w:rPr>
          <w:rFonts w:hint="eastAsia" w:ascii="宋体" w:hAnsi="宋体"/>
          <w:color w:val="000000"/>
          <w:sz w:val="24"/>
          <w:highlight w:val="none"/>
        </w:rPr>
      </w:pPr>
      <w:r>
        <w:rPr>
          <w:rFonts w:hint="eastAsia" w:ascii="宋体" w:hAnsi="宋体"/>
          <w:color w:val="000000"/>
          <w:sz w:val="24"/>
          <w:highlight w:val="none"/>
        </w:rPr>
        <w:t>供水监测包括对取水水源地、制水厂、管网、加压泵站的监测，支持地图点位分布展示，展示监测对象的基础信息、相关监测信息、告警信息和处置信息，并统计今日总供水量和供水负荷。</w:t>
      </w:r>
    </w:p>
    <w:p>
      <w:pPr>
        <w:pageBreakBefore w:val="0"/>
        <w:widowControl w:val="0"/>
        <w:kinsoku/>
        <w:wordWrap/>
        <w:overflowPunct/>
        <w:topLinePunct w:val="0"/>
        <w:autoSpaceDE/>
        <w:autoSpaceDN/>
        <w:bidi w:val="0"/>
        <w:snapToGrid/>
        <w:spacing w:line="360" w:lineRule="auto"/>
        <w:ind w:firstLine="560"/>
        <w:textAlignment w:val="auto"/>
        <w:rPr>
          <w:rFonts w:hint="eastAsia" w:ascii="宋体" w:hAnsi="宋体"/>
          <w:color w:val="000000"/>
          <w:sz w:val="24"/>
          <w:highlight w:val="none"/>
        </w:rPr>
      </w:pPr>
      <w:r>
        <w:rPr>
          <w:rFonts w:hint="eastAsia" w:ascii="宋体" w:hAnsi="宋体"/>
          <w:color w:val="000000"/>
          <w:sz w:val="24"/>
          <w:highlight w:val="none"/>
        </w:rPr>
        <w:t>污水监测包括对污水处理厂、污水泵站、污水管网的监测，支持地图点位分布展示，展示监测对象的基础信息、相关监测信息、告警信息和处置信息，并统计污水处理总量和污水处理负荷。</w:t>
      </w:r>
    </w:p>
    <w:p>
      <w:pPr>
        <w:pageBreakBefore w:val="0"/>
        <w:widowControl w:val="0"/>
        <w:kinsoku/>
        <w:wordWrap/>
        <w:overflowPunct/>
        <w:topLinePunct w:val="0"/>
        <w:autoSpaceDE/>
        <w:autoSpaceDN/>
        <w:bidi w:val="0"/>
        <w:snapToGrid/>
        <w:spacing w:line="360" w:lineRule="auto"/>
        <w:ind w:firstLine="560"/>
        <w:textAlignment w:val="auto"/>
        <w:rPr>
          <w:rFonts w:ascii="宋体" w:hAnsi="宋体"/>
          <w:color w:val="000000"/>
          <w:sz w:val="24"/>
          <w:highlight w:val="none"/>
        </w:rPr>
      </w:pPr>
      <w:r>
        <w:rPr>
          <w:rFonts w:hint="eastAsia" w:ascii="宋体" w:hAnsi="宋体"/>
          <w:color w:val="000000"/>
          <w:sz w:val="24"/>
          <w:highlight w:val="none"/>
        </w:rPr>
        <w:t>河道监测包括对闸泵站、河道的监测，支持地图点位分布展示，展示监测对象的基础信息、相关监测信息、告警信息和处置信息，并统计污水处理总量和污水处理负荷。</w:t>
      </w:r>
    </w:p>
    <w:p>
      <w:pPr>
        <w:pageBreakBefore w:val="0"/>
        <w:widowControl w:val="0"/>
        <w:kinsoku/>
        <w:wordWrap/>
        <w:overflowPunct/>
        <w:topLinePunct w:val="0"/>
        <w:autoSpaceDE/>
        <w:autoSpaceDN/>
        <w:bidi w:val="0"/>
        <w:snapToGrid/>
        <w:spacing w:line="360" w:lineRule="auto"/>
        <w:ind w:firstLine="560"/>
        <w:textAlignment w:val="auto"/>
        <w:rPr>
          <w:rFonts w:hint="eastAsia" w:ascii="宋体" w:hAnsi="宋体"/>
          <w:color w:val="000000"/>
          <w:sz w:val="24"/>
          <w:highlight w:val="none"/>
        </w:rPr>
      </w:pPr>
      <w:r>
        <w:rPr>
          <w:rFonts w:hint="eastAsia" w:ascii="宋体" w:hAnsi="宋体"/>
          <w:color w:val="000000"/>
          <w:sz w:val="24"/>
          <w:highlight w:val="none"/>
        </w:rPr>
        <w:t>内涝监测包括对雨量站、降雨分区、积水监测点的监测。支持地图对雨量站和积水监测点进行点位分布展示，展示监测对象的基础信息、相关监测信息、告警信息和处置信息。支持在地图上对降雨分区进行标记，并对当前降雨情况和降雨趋势分析，对预警情况进行分级展示。</w:t>
      </w:r>
    </w:p>
    <w:p>
      <w:pPr>
        <w:pStyle w:val="8"/>
        <w:pageBreakBefore w:val="0"/>
        <w:widowControl w:val="0"/>
        <w:kinsoku/>
        <w:wordWrap/>
        <w:overflowPunct/>
        <w:topLinePunct w:val="0"/>
        <w:autoSpaceDE/>
        <w:autoSpaceDN/>
        <w:bidi w:val="0"/>
        <w:snapToGrid/>
        <w:spacing w:before="0" w:after="0" w:line="360" w:lineRule="auto"/>
        <w:ind w:left="0"/>
        <w:textAlignment w:val="auto"/>
        <w:rPr>
          <w:rFonts w:hint="eastAsia" w:ascii="宋体" w:hAnsi="宋体"/>
          <w:color w:val="000000"/>
          <w:sz w:val="24"/>
          <w:szCs w:val="24"/>
          <w:highlight w:val="none"/>
        </w:rPr>
      </w:pPr>
      <w:r>
        <w:rPr>
          <w:rFonts w:hint="eastAsia" w:ascii="宋体" w:hAnsi="宋体"/>
          <w:color w:val="000000"/>
          <w:sz w:val="24"/>
          <w:szCs w:val="24"/>
          <w:highlight w:val="none"/>
        </w:rPr>
        <w:tab/>
      </w:r>
      <w:r>
        <w:rPr>
          <w:rFonts w:hint="eastAsia" w:ascii="宋体" w:hAnsi="宋体"/>
          <w:color w:val="000000"/>
          <w:sz w:val="24"/>
          <w:szCs w:val="24"/>
          <w:highlight w:val="none"/>
        </w:rPr>
        <w:t xml:space="preserve">    （</w:t>
      </w:r>
      <w:r>
        <w:rPr>
          <w:rFonts w:ascii="宋体" w:hAnsi="宋体"/>
          <w:color w:val="000000"/>
          <w:sz w:val="24"/>
          <w:szCs w:val="24"/>
          <w:highlight w:val="none"/>
        </w:rPr>
        <w:t>4</w:t>
      </w:r>
      <w:r>
        <w:rPr>
          <w:rFonts w:hint="eastAsia" w:ascii="宋体" w:hAnsi="宋体"/>
          <w:color w:val="000000"/>
          <w:sz w:val="24"/>
          <w:szCs w:val="24"/>
          <w:highlight w:val="none"/>
        </w:rPr>
        <w:t>）地铁运营期保护区体征</w:t>
      </w:r>
    </w:p>
    <w:p>
      <w:pPr>
        <w:pageBreakBefore w:val="0"/>
        <w:widowControl w:val="0"/>
        <w:kinsoku/>
        <w:wordWrap/>
        <w:overflowPunct/>
        <w:topLinePunct w:val="0"/>
        <w:autoSpaceDE/>
        <w:autoSpaceDN/>
        <w:bidi w:val="0"/>
        <w:snapToGrid/>
        <w:spacing w:line="360" w:lineRule="auto"/>
        <w:ind w:firstLine="560"/>
        <w:textAlignment w:val="auto"/>
        <w:rPr>
          <w:rFonts w:hint="eastAsia" w:ascii="宋体" w:hAnsi="宋体"/>
          <w:color w:val="000000"/>
          <w:sz w:val="24"/>
          <w:highlight w:val="none"/>
        </w:rPr>
      </w:pPr>
      <w:r>
        <w:rPr>
          <w:rFonts w:hint="eastAsia" w:ascii="宋体" w:hAnsi="宋体"/>
          <w:color w:val="000000"/>
          <w:sz w:val="24"/>
          <w:highlight w:val="none"/>
        </w:rPr>
        <w:t>地铁运营期保护区监测包括对保护区、作业项目进行监测。对监测对象的基本信息和监测指标信息进行展示，支持地图和列表两种展示形式，支持各类监测指标的多级分析。当监测指标出现异常时，对异常指标进行报警展示。</w:t>
      </w:r>
    </w:p>
    <w:p>
      <w:pPr>
        <w:pageBreakBefore w:val="0"/>
        <w:widowControl w:val="0"/>
        <w:kinsoku/>
        <w:wordWrap/>
        <w:overflowPunct/>
        <w:topLinePunct w:val="0"/>
        <w:autoSpaceDE/>
        <w:autoSpaceDN/>
        <w:bidi w:val="0"/>
        <w:snapToGrid/>
        <w:spacing w:line="360" w:lineRule="auto"/>
        <w:ind w:firstLine="560"/>
        <w:textAlignment w:val="auto"/>
        <w:rPr>
          <w:rFonts w:ascii="宋体" w:hAnsi="宋体"/>
          <w:color w:val="000000"/>
          <w:sz w:val="24"/>
          <w:highlight w:val="none"/>
        </w:rPr>
      </w:pPr>
      <w:r>
        <w:rPr>
          <w:rFonts w:hint="eastAsia" w:ascii="宋体" w:hAnsi="宋体"/>
          <w:color w:val="000000"/>
          <w:sz w:val="24"/>
          <w:highlight w:val="none"/>
        </w:rPr>
        <w:t>保护区监测主要为对打桩机、挖掘机、勘探机等作业类型的报警识别，支持在地图上对地铁保护区进行标记，并统计不同的作业类型的报警数量。</w:t>
      </w:r>
    </w:p>
    <w:p>
      <w:pPr>
        <w:pageBreakBefore w:val="0"/>
        <w:widowControl w:val="0"/>
        <w:kinsoku/>
        <w:wordWrap/>
        <w:overflowPunct/>
        <w:topLinePunct w:val="0"/>
        <w:autoSpaceDE/>
        <w:autoSpaceDN/>
        <w:bidi w:val="0"/>
        <w:snapToGrid/>
        <w:spacing w:line="360" w:lineRule="auto"/>
        <w:ind w:firstLine="560"/>
        <w:textAlignment w:val="auto"/>
        <w:rPr>
          <w:rFonts w:hint="eastAsia" w:ascii="宋体" w:hAnsi="宋体"/>
          <w:color w:val="000000"/>
          <w:sz w:val="24"/>
          <w:highlight w:val="none"/>
        </w:rPr>
      </w:pPr>
      <w:r>
        <w:rPr>
          <w:rFonts w:hint="eastAsia" w:ascii="宋体" w:hAnsi="宋体"/>
          <w:color w:val="000000"/>
          <w:sz w:val="24"/>
          <w:highlight w:val="none"/>
        </w:rPr>
        <w:t>作业项目监测为对地铁保护区项目影响范围内地铁设施的监测，支持地图点位分布展示，展示监测对象的基础信息、相关监测信息、相关单位信息，并统计不同地铁相关项目数及作业报警数。</w:t>
      </w:r>
    </w:p>
    <w:p>
      <w:pPr>
        <w:pStyle w:val="8"/>
        <w:pageBreakBefore w:val="0"/>
        <w:widowControl w:val="0"/>
        <w:tabs>
          <w:tab w:val="left" w:pos="0"/>
          <w:tab w:val="clear" w:pos="1008"/>
        </w:tabs>
        <w:kinsoku/>
        <w:wordWrap/>
        <w:overflowPunct/>
        <w:topLinePunct w:val="0"/>
        <w:autoSpaceDE/>
        <w:autoSpaceDN/>
        <w:bidi w:val="0"/>
        <w:snapToGrid/>
        <w:spacing w:before="0" w:after="0" w:line="360" w:lineRule="auto"/>
        <w:ind w:left="0" w:firstLine="0"/>
        <w:textAlignment w:val="auto"/>
        <w:rPr>
          <w:rFonts w:hint="eastAsia" w:ascii="宋体" w:hAnsi="宋体"/>
          <w:color w:val="000000"/>
          <w:sz w:val="24"/>
          <w:szCs w:val="24"/>
          <w:highlight w:val="none"/>
        </w:rPr>
      </w:pPr>
      <w:r>
        <w:rPr>
          <w:rFonts w:hint="eastAsia" w:ascii="宋体" w:hAnsi="宋体"/>
          <w:color w:val="000000"/>
          <w:sz w:val="24"/>
          <w:szCs w:val="24"/>
          <w:highlight w:val="none"/>
        </w:rPr>
        <w:tab/>
      </w:r>
      <w:r>
        <w:rPr>
          <w:rFonts w:hint="eastAsia" w:ascii="宋体" w:hAnsi="宋体"/>
          <w:color w:val="000000"/>
          <w:sz w:val="24"/>
          <w:szCs w:val="24"/>
          <w:highlight w:val="none"/>
        </w:rPr>
        <w:t xml:space="preserve"> （5）固废处置体征</w:t>
      </w:r>
    </w:p>
    <w:p>
      <w:pPr>
        <w:pageBreakBefore w:val="0"/>
        <w:widowControl w:val="0"/>
        <w:kinsoku/>
        <w:wordWrap/>
        <w:overflowPunct/>
        <w:topLinePunct w:val="0"/>
        <w:autoSpaceDE/>
        <w:autoSpaceDN/>
        <w:bidi w:val="0"/>
        <w:snapToGrid/>
        <w:spacing w:line="360" w:lineRule="auto"/>
        <w:ind w:firstLine="560"/>
        <w:textAlignment w:val="auto"/>
        <w:rPr>
          <w:rFonts w:hint="eastAsia" w:ascii="宋体" w:hAnsi="宋体"/>
          <w:color w:val="000000"/>
          <w:sz w:val="24"/>
          <w:highlight w:val="none"/>
        </w:rPr>
      </w:pPr>
      <w:r>
        <w:rPr>
          <w:rFonts w:hint="eastAsia" w:ascii="宋体" w:hAnsi="宋体"/>
          <w:color w:val="000000"/>
          <w:sz w:val="24"/>
          <w:highlight w:val="none"/>
        </w:rPr>
        <w:t>固废处置监测主要是对生活垃圾处置和工程渣土监管情况进行监测。对监测对象的基本信息和监测指标信息进行展示，支持地图和列表两种展示形式，支持各类监测指标的多级分析。当监测指标出现异常时，对异常指标进行报警展示。</w:t>
      </w:r>
    </w:p>
    <w:p>
      <w:pPr>
        <w:pageBreakBefore w:val="0"/>
        <w:widowControl w:val="0"/>
        <w:kinsoku/>
        <w:wordWrap/>
        <w:overflowPunct/>
        <w:topLinePunct w:val="0"/>
        <w:autoSpaceDE/>
        <w:autoSpaceDN/>
        <w:bidi w:val="0"/>
        <w:snapToGrid/>
        <w:spacing w:line="360" w:lineRule="auto"/>
        <w:ind w:firstLine="560"/>
        <w:textAlignment w:val="auto"/>
        <w:rPr>
          <w:rFonts w:hint="eastAsia" w:ascii="宋体" w:hAnsi="宋体"/>
          <w:color w:val="000000"/>
          <w:sz w:val="24"/>
          <w:highlight w:val="none"/>
        </w:rPr>
      </w:pPr>
      <w:r>
        <w:rPr>
          <w:rFonts w:hint="eastAsia" w:ascii="宋体" w:hAnsi="宋体"/>
          <w:color w:val="000000"/>
          <w:sz w:val="24"/>
          <w:highlight w:val="none"/>
        </w:rPr>
        <w:t>生活垃圾处置</w:t>
      </w:r>
      <w:r>
        <w:rPr>
          <w:rFonts w:hint="eastAsia" w:ascii="宋体" w:hAnsi="宋体"/>
          <w:color w:val="000000"/>
          <w:sz w:val="24"/>
          <w:highlight w:val="none"/>
          <w:lang w:eastAsia="zh-CN"/>
        </w:rPr>
        <w:t>监测</w:t>
      </w:r>
      <w:r>
        <w:rPr>
          <w:rFonts w:hint="eastAsia" w:ascii="宋体" w:hAnsi="宋体"/>
          <w:color w:val="000000"/>
          <w:sz w:val="24"/>
          <w:highlight w:val="none"/>
        </w:rPr>
        <w:t>包括对焚烧设施、易腐垃圾资源化利用设施、分类减量综合体、封场填埋场的监测，支持地图点位分布展示，并展示监测对象的基础信息、相关监测信息、告警信息和处置信息。</w:t>
      </w:r>
    </w:p>
    <w:p>
      <w:pPr>
        <w:pageBreakBefore w:val="0"/>
        <w:widowControl w:val="0"/>
        <w:kinsoku/>
        <w:wordWrap/>
        <w:overflowPunct/>
        <w:topLinePunct w:val="0"/>
        <w:autoSpaceDE/>
        <w:autoSpaceDN/>
        <w:bidi w:val="0"/>
        <w:snapToGrid/>
        <w:spacing w:line="360" w:lineRule="auto"/>
        <w:ind w:firstLine="560"/>
        <w:textAlignment w:val="auto"/>
        <w:rPr>
          <w:rFonts w:ascii="宋体" w:hAnsi="宋体"/>
          <w:color w:val="000000"/>
          <w:sz w:val="24"/>
          <w:highlight w:val="none"/>
        </w:rPr>
      </w:pPr>
      <w:r>
        <w:rPr>
          <w:rFonts w:hint="eastAsia" w:ascii="宋体" w:hAnsi="宋体"/>
          <w:color w:val="000000"/>
          <w:sz w:val="24"/>
          <w:highlight w:val="none"/>
        </w:rPr>
        <w:t>工程渣土监管情况的监测包括对工地、消纳场、中转码头的监测，支持地图点位分布展示，并展示监测对象的基础信息、报警信息和处置信息。</w:t>
      </w:r>
    </w:p>
    <w:p>
      <w:pPr>
        <w:pStyle w:val="8"/>
        <w:pageBreakBefore w:val="0"/>
        <w:widowControl w:val="0"/>
        <w:kinsoku/>
        <w:wordWrap/>
        <w:overflowPunct/>
        <w:topLinePunct w:val="0"/>
        <w:autoSpaceDE/>
        <w:autoSpaceDN/>
        <w:bidi w:val="0"/>
        <w:snapToGrid/>
        <w:spacing w:before="0" w:after="0" w:line="360" w:lineRule="auto"/>
        <w:ind w:left="0"/>
        <w:textAlignment w:val="auto"/>
        <w:rPr>
          <w:rFonts w:hint="eastAsia" w:ascii="宋体" w:hAnsi="宋体"/>
          <w:color w:val="000000"/>
          <w:sz w:val="24"/>
          <w:szCs w:val="24"/>
          <w:highlight w:val="none"/>
        </w:rPr>
      </w:pPr>
      <w:r>
        <w:rPr>
          <w:rFonts w:hint="eastAsia" w:ascii="宋体" w:hAnsi="宋体"/>
          <w:color w:val="000000"/>
          <w:sz w:val="24"/>
          <w:szCs w:val="24"/>
          <w:highlight w:val="none"/>
        </w:rPr>
        <w:tab/>
      </w:r>
      <w:r>
        <w:rPr>
          <w:rFonts w:hint="eastAsia" w:ascii="宋体" w:hAnsi="宋体"/>
          <w:color w:val="000000"/>
          <w:sz w:val="24"/>
          <w:szCs w:val="24"/>
          <w:highlight w:val="none"/>
        </w:rPr>
        <w:t xml:space="preserve">    （</w:t>
      </w:r>
      <w:r>
        <w:rPr>
          <w:rFonts w:ascii="宋体" w:hAnsi="宋体"/>
          <w:color w:val="000000"/>
          <w:sz w:val="24"/>
          <w:szCs w:val="24"/>
          <w:highlight w:val="none"/>
        </w:rPr>
        <w:t>6</w:t>
      </w:r>
      <w:r>
        <w:rPr>
          <w:rFonts w:hint="eastAsia" w:ascii="宋体" w:hAnsi="宋体"/>
          <w:color w:val="000000"/>
          <w:sz w:val="24"/>
          <w:szCs w:val="24"/>
          <w:highlight w:val="none"/>
        </w:rPr>
        <w:t>）市容景观体征</w:t>
      </w:r>
    </w:p>
    <w:p>
      <w:pPr>
        <w:pageBreakBefore w:val="0"/>
        <w:widowControl w:val="0"/>
        <w:kinsoku/>
        <w:wordWrap/>
        <w:overflowPunct/>
        <w:topLinePunct w:val="0"/>
        <w:autoSpaceDE/>
        <w:autoSpaceDN/>
        <w:bidi w:val="0"/>
        <w:snapToGrid/>
        <w:spacing w:line="360" w:lineRule="auto"/>
        <w:ind w:firstLine="560"/>
        <w:textAlignment w:val="auto"/>
        <w:rPr>
          <w:rFonts w:ascii="宋体" w:hAnsi="宋体"/>
          <w:color w:val="000000"/>
          <w:sz w:val="24"/>
          <w:highlight w:val="none"/>
        </w:rPr>
      </w:pPr>
      <w:r>
        <w:rPr>
          <w:rFonts w:hint="eastAsia" w:ascii="宋体" w:hAnsi="宋体"/>
          <w:color w:val="000000"/>
          <w:sz w:val="24"/>
          <w:highlight w:val="none"/>
        </w:rPr>
        <w:t>市容景观监测主要是对开关箱、户外广告、户外电子屏的运行情况进行监测。对监测对象的基本信息和监测指标信息进行展示，支持地图和列表两种展示形式，支持各类监测指标的多级分析。当监测指标出现异常时，对异常指标进行报警展示。</w:t>
      </w:r>
    </w:p>
    <w:p>
      <w:pPr>
        <w:pageBreakBefore w:val="0"/>
        <w:widowControl w:val="0"/>
        <w:kinsoku/>
        <w:wordWrap/>
        <w:overflowPunct/>
        <w:topLinePunct w:val="0"/>
        <w:autoSpaceDE/>
        <w:autoSpaceDN/>
        <w:bidi w:val="0"/>
        <w:snapToGrid/>
        <w:spacing w:line="360" w:lineRule="auto"/>
        <w:ind w:firstLine="560"/>
        <w:textAlignment w:val="auto"/>
        <w:rPr>
          <w:rFonts w:ascii="宋体" w:hAnsi="宋体"/>
          <w:color w:val="000000"/>
          <w:sz w:val="24"/>
          <w:highlight w:val="none"/>
        </w:rPr>
      </w:pPr>
      <w:r>
        <w:rPr>
          <w:rFonts w:hint="eastAsia" w:ascii="宋体" w:hAnsi="宋体"/>
          <w:color w:val="000000"/>
          <w:sz w:val="24"/>
          <w:highlight w:val="none"/>
        </w:rPr>
        <w:t>开关箱监测支持地图点位分布展示，并展示监测对象的基础信息、相关监测信息、报警信息和关联灯杆信息。支持按区域和开关箱进行统计分析。</w:t>
      </w:r>
    </w:p>
    <w:p>
      <w:pPr>
        <w:pageBreakBefore w:val="0"/>
        <w:widowControl w:val="0"/>
        <w:kinsoku/>
        <w:wordWrap/>
        <w:overflowPunct/>
        <w:topLinePunct w:val="0"/>
        <w:autoSpaceDE/>
        <w:autoSpaceDN/>
        <w:bidi w:val="0"/>
        <w:snapToGrid/>
        <w:spacing w:line="360" w:lineRule="auto"/>
        <w:ind w:firstLine="560"/>
        <w:textAlignment w:val="auto"/>
        <w:rPr>
          <w:rFonts w:ascii="宋体" w:hAnsi="宋体"/>
          <w:color w:val="000000"/>
          <w:sz w:val="24"/>
          <w:highlight w:val="none"/>
        </w:rPr>
      </w:pPr>
      <w:r>
        <w:rPr>
          <w:rFonts w:hint="eastAsia" w:ascii="宋体" w:hAnsi="宋体"/>
          <w:color w:val="000000"/>
          <w:sz w:val="24"/>
          <w:highlight w:val="none"/>
        </w:rPr>
        <w:t>户外广告监测支持地图点位分布展示，并展示监测对象的基础信息、相关监测信息。支持按区域和户外广告进行统计分析。</w:t>
      </w:r>
    </w:p>
    <w:p>
      <w:pPr>
        <w:pageBreakBefore w:val="0"/>
        <w:widowControl w:val="0"/>
        <w:kinsoku/>
        <w:wordWrap/>
        <w:overflowPunct/>
        <w:topLinePunct w:val="0"/>
        <w:autoSpaceDE/>
        <w:autoSpaceDN/>
        <w:bidi w:val="0"/>
        <w:snapToGrid/>
        <w:spacing w:line="360" w:lineRule="auto"/>
        <w:ind w:firstLine="560"/>
        <w:textAlignment w:val="auto"/>
        <w:rPr>
          <w:rFonts w:ascii="宋体" w:hAnsi="宋体"/>
          <w:color w:val="000000"/>
          <w:sz w:val="24"/>
          <w:highlight w:val="none"/>
        </w:rPr>
      </w:pPr>
      <w:r>
        <w:rPr>
          <w:rFonts w:hint="eastAsia" w:ascii="宋体" w:hAnsi="宋体"/>
          <w:color w:val="000000"/>
          <w:sz w:val="24"/>
          <w:highlight w:val="none"/>
        </w:rPr>
        <w:t>户外电子屏监测支持地图点位分布展示，并展示监测对象的基础信息、相关监测信息。支持按区域和户外电子屏进行统计分析。</w:t>
      </w:r>
    </w:p>
    <w:p>
      <w:pPr>
        <w:pStyle w:val="8"/>
        <w:pageBreakBefore w:val="0"/>
        <w:widowControl w:val="0"/>
        <w:tabs>
          <w:tab w:val="left" w:pos="0"/>
          <w:tab w:val="clear" w:pos="1008"/>
        </w:tabs>
        <w:kinsoku/>
        <w:wordWrap/>
        <w:overflowPunct/>
        <w:topLinePunct w:val="0"/>
        <w:autoSpaceDE/>
        <w:autoSpaceDN/>
        <w:bidi w:val="0"/>
        <w:snapToGrid/>
        <w:spacing w:before="0" w:after="0" w:line="360" w:lineRule="auto"/>
        <w:ind w:left="0"/>
        <w:textAlignment w:val="auto"/>
        <w:rPr>
          <w:rFonts w:hint="eastAsia" w:ascii="宋体" w:hAnsi="宋体"/>
          <w:b w:val="0"/>
          <w:bCs w:val="0"/>
          <w:color w:val="000000"/>
          <w:sz w:val="24"/>
          <w:szCs w:val="24"/>
          <w:highlight w:val="none"/>
        </w:rPr>
      </w:pPr>
      <w:r>
        <w:rPr>
          <w:rFonts w:hint="eastAsia" w:ascii="宋体" w:hAnsi="宋体"/>
          <w:b w:val="0"/>
          <w:bCs w:val="0"/>
          <w:color w:val="000000"/>
          <w:sz w:val="24"/>
          <w:szCs w:val="24"/>
          <w:highlight w:val="none"/>
        </w:rPr>
        <w:tab/>
      </w:r>
      <w:r>
        <w:rPr>
          <w:rFonts w:hint="eastAsia" w:ascii="宋体" w:hAnsi="宋体"/>
          <w:b w:val="0"/>
          <w:bCs w:val="0"/>
          <w:color w:val="000000"/>
          <w:sz w:val="24"/>
          <w:szCs w:val="24"/>
          <w:highlight w:val="none"/>
        </w:rPr>
        <w:tab/>
      </w:r>
      <w:r>
        <w:rPr>
          <w:rFonts w:hint="eastAsia" w:ascii="宋体" w:hAnsi="宋体"/>
          <w:color w:val="000000"/>
          <w:sz w:val="24"/>
          <w:szCs w:val="24"/>
          <w:highlight w:val="none"/>
        </w:rPr>
        <w:t>（</w:t>
      </w:r>
      <w:r>
        <w:rPr>
          <w:rFonts w:ascii="宋体" w:hAnsi="宋体"/>
          <w:color w:val="000000"/>
          <w:sz w:val="24"/>
          <w:szCs w:val="24"/>
          <w:highlight w:val="none"/>
        </w:rPr>
        <w:t>7</w:t>
      </w:r>
      <w:r>
        <w:rPr>
          <w:rFonts w:hint="eastAsia" w:ascii="宋体" w:hAnsi="宋体"/>
          <w:color w:val="000000"/>
          <w:sz w:val="24"/>
          <w:szCs w:val="24"/>
          <w:highlight w:val="none"/>
        </w:rPr>
        <w:t>）其他领域体征</w:t>
      </w:r>
    </w:p>
    <w:p>
      <w:pPr>
        <w:pageBreakBefore w:val="0"/>
        <w:widowControl w:val="0"/>
        <w:kinsoku/>
        <w:wordWrap/>
        <w:overflowPunct/>
        <w:topLinePunct w:val="0"/>
        <w:autoSpaceDE/>
        <w:autoSpaceDN/>
        <w:bidi w:val="0"/>
        <w:snapToGrid/>
        <w:spacing w:line="360" w:lineRule="auto"/>
        <w:ind w:firstLine="560"/>
        <w:textAlignment w:val="auto"/>
        <w:rPr>
          <w:rFonts w:ascii="宋体" w:hAnsi="宋体"/>
          <w:color w:val="000000"/>
          <w:sz w:val="24"/>
          <w:highlight w:val="none"/>
        </w:rPr>
      </w:pPr>
      <w:r>
        <w:rPr>
          <w:rFonts w:hint="eastAsia" w:ascii="宋体" w:hAnsi="宋体"/>
          <w:color w:val="000000"/>
          <w:sz w:val="24"/>
          <w:highlight w:val="none"/>
        </w:rPr>
        <w:t>主要为对用电安全的监测。支持地图和列表两种展示形式，支持各类监测指标的多级分析。当监测指标出现异常时，对异常指标进行报警展示。</w:t>
      </w:r>
    </w:p>
    <w:p>
      <w:pPr>
        <w:pageBreakBefore w:val="0"/>
        <w:widowControl w:val="0"/>
        <w:kinsoku/>
        <w:wordWrap/>
        <w:overflowPunct/>
        <w:topLinePunct w:val="0"/>
        <w:autoSpaceDE/>
        <w:autoSpaceDN/>
        <w:bidi w:val="0"/>
        <w:snapToGrid/>
        <w:spacing w:line="360" w:lineRule="auto"/>
        <w:ind w:firstLine="241" w:firstLineChars="100"/>
        <w:textAlignment w:val="auto"/>
        <w:rPr>
          <w:rFonts w:hint="eastAsia" w:ascii="宋体" w:hAnsi="宋体"/>
          <w:b/>
          <w:bCs/>
          <w:color w:val="000000"/>
          <w:sz w:val="24"/>
          <w:highlight w:val="none"/>
        </w:rPr>
      </w:pPr>
      <w:r>
        <w:rPr>
          <w:rFonts w:hint="eastAsia" w:ascii="宋体" w:hAnsi="宋体"/>
          <w:b/>
          <w:bCs/>
          <w:color w:val="000000"/>
          <w:sz w:val="24"/>
          <w:highlight w:val="none"/>
        </w:rPr>
        <w:t>（二）城市管理多跨协同“一件事”</w:t>
      </w:r>
    </w:p>
    <w:p>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color w:val="000000"/>
          <w:sz w:val="24"/>
          <w:highlight w:val="none"/>
        </w:rPr>
      </w:pPr>
      <w:r>
        <w:rPr>
          <w:rFonts w:hint="eastAsia" w:ascii="宋体" w:hAnsi="宋体"/>
          <w:color w:val="000000"/>
          <w:sz w:val="24"/>
          <w:highlight w:val="none"/>
        </w:rPr>
        <w:t>本项目将构建工程渣土监管“一件事”、桥隧安全“一件事”、平路整治“一件事”、内涝治理“一件事”、地铁保护区监管“一件事”等场景，通过“一件事”的形式，梳理城市运行中的多跨协同问题，以行业应用为基础强化数据运用，细化事项流程，构建跨部门、跨层级、跨区域的城市管理高效处置体系。</w:t>
      </w:r>
    </w:p>
    <w:p>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color w:val="000000"/>
          <w:sz w:val="24"/>
          <w:highlight w:val="none"/>
        </w:rPr>
      </w:pPr>
      <w:r>
        <w:rPr>
          <w:rFonts w:hint="eastAsia" w:ascii="宋体" w:hAnsi="宋体"/>
          <w:color w:val="000000"/>
          <w:sz w:val="24"/>
          <w:highlight w:val="none"/>
        </w:rPr>
        <w:t>一是工程渣土监管“一件事”，对工程渣土监管情况进行可视化展示，具体建设内容包括工程渣土监管总视图、建设工地视图、消纳场视图、运输公司视图、运输车辆视图、预警处理视图、可疑</w:t>
      </w:r>
      <w:r>
        <w:rPr>
          <w:rFonts w:hint="eastAsia" w:ascii="宋体" w:hAnsi="宋体"/>
          <w:color w:val="000000"/>
          <w:sz w:val="24"/>
          <w:highlight w:val="none"/>
          <w:lang w:eastAsia="zh-CN"/>
        </w:rPr>
        <w:t>“</w:t>
      </w:r>
      <w:r>
        <w:rPr>
          <w:rFonts w:hint="eastAsia" w:ascii="宋体" w:hAnsi="宋体"/>
          <w:color w:val="000000"/>
          <w:sz w:val="24"/>
          <w:highlight w:val="none"/>
        </w:rPr>
        <w:t>三黑</w:t>
      </w:r>
      <w:r>
        <w:rPr>
          <w:rFonts w:hint="eastAsia" w:ascii="宋体" w:hAnsi="宋体"/>
          <w:color w:val="000000"/>
          <w:sz w:val="24"/>
          <w:highlight w:val="none"/>
          <w:lang w:eastAsia="zh-CN"/>
        </w:rPr>
        <w:t>”</w:t>
      </w:r>
      <w:r>
        <w:rPr>
          <w:rFonts w:hint="eastAsia" w:ascii="宋体" w:hAnsi="宋体"/>
          <w:color w:val="000000"/>
          <w:sz w:val="24"/>
          <w:highlight w:val="none"/>
        </w:rPr>
        <w:t>视图、工程渣土统计视图，通过各个视图，对相关监管主体的定位、违规情况、物联设备感知情况等进行展示。</w:t>
      </w:r>
    </w:p>
    <w:p>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color w:val="000000"/>
          <w:sz w:val="24"/>
          <w:highlight w:val="none"/>
        </w:rPr>
      </w:pPr>
      <w:r>
        <w:rPr>
          <w:rFonts w:hint="eastAsia" w:ascii="宋体" w:hAnsi="宋体"/>
          <w:color w:val="000000"/>
          <w:sz w:val="24"/>
          <w:highlight w:val="none"/>
        </w:rPr>
        <w:t>二是桥隧安全“一件事”，建设内容包括：</w:t>
      </w:r>
    </w:p>
    <w:p>
      <w:pPr>
        <w:pageBreakBefore w:val="0"/>
        <w:widowControl w:val="0"/>
        <w:numPr>
          <w:ilvl w:val="0"/>
          <w:numId w:val="1"/>
        </w:numPr>
        <w:kinsoku/>
        <w:wordWrap/>
        <w:overflowPunct/>
        <w:topLinePunct w:val="0"/>
        <w:autoSpaceDE/>
        <w:autoSpaceDN/>
        <w:bidi w:val="0"/>
        <w:snapToGrid/>
        <w:spacing w:line="360" w:lineRule="auto"/>
        <w:ind w:firstLine="480" w:firstLineChars="200"/>
        <w:textAlignment w:val="auto"/>
        <w:rPr>
          <w:rFonts w:hint="eastAsia" w:ascii="宋体" w:hAnsi="宋体"/>
          <w:color w:val="000000"/>
          <w:sz w:val="24"/>
          <w:highlight w:val="none"/>
        </w:rPr>
      </w:pPr>
      <w:r>
        <w:rPr>
          <w:rFonts w:hint="eastAsia" w:ascii="宋体" w:hAnsi="宋体"/>
          <w:color w:val="000000"/>
          <w:sz w:val="24"/>
          <w:highlight w:val="none"/>
        </w:rPr>
        <w:t>数据统计分析。支持对设施、案卷和设施维修进行统计，并对桥隧检测维修报告、人员和设备进行管理。</w:t>
      </w:r>
    </w:p>
    <w:p>
      <w:pPr>
        <w:pageBreakBefore w:val="0"/>
        <w:widowControl w:val="0"/>
        <w:numPr>
          <w:ilvl w:val="0"/>
          <w:numId w:val="0"/>
        </w:numPr>
        <w:kinsoku/>
        <w:wordWrap/>
        <w:overflowPunct/>
        <w:topLinePunct w:val="0"/>
        <w:autoSpaceDE/>
        <w:autoSpaceDN/>
        <w:bidi w:val="0"/>
        <w:snapToGrid/>
        <w:spacing w:line="360" w:lineRule="auto"/>
        <w:ind w:firstLine="420" w:firstLineChars="0"/>
        <w:textAlignment w:val="auto"/>
        <w:rPr>
          <w:rFonts w:hint="eastAsia" w:ascii="宋体" w:hAnsi="宋体"/>
          <w:color w:val="000000"/>
          <w:sz w:val="24"/>
          <w:highlight w:val="none"/>
        </w:rPr>
      </w:pPr>
      <w:r>
        <w:rPr>
          <w:rFonts w:hint="eastAsia" w:ascii="宋体" w:hAnsi="宋体"/>
          <w:color w:val="000000"/>
          <w:sz w:val="24"/>
          <w:highlight w:val="none"/>
        </w:rPr>
        <w:t>2</w:t>
      </w:r>
      <w:r>
        <w:rPr>
          <w:rFonts w:hint="eastAsia" w:ascii="宋体" w:hAnsi="宋体"/>
          <w:color w:val="000000"/>
          <w:sz w:val="24"/>
          <w:highlight w:val="none"/>
          <w:lang w:eastAsia="zh-CN"/>
        </w:rPr>
        <w:t>、</w:t>
      </w:r>
      <w:r>
        <w:rPr>
          <w:rFonts w:hint="eastAsia" w:ascii="宋体" w:hAnsi="宋体"/>
          <w:color w:val="000000"/>
          <w:sz w:val="24"/>
          <w:highlight w:val="none"/>
        </w:rPr>
        <w:t>安全管理闭环。支持对桥隧相关未处置案卷进行跟踪管理，提供任务通知和短信提醒功能。</w:t>
      </w:r>
    </w:p>
    <w:p>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color w:val="000000"/>
          <w:sz w:val="24"/>
          <w:highlight w:val="none"/>
        </w:rPr>
      </w:pPr>
      <w:r>
        <w:rPr>
          <w:rFonts w:hint="eastAsia" w:ascii="宋体" w:hAnsi="宋体"/>
          <w:color w:val="000000"/>
          <w:sz w:val="24"/>
          <w:highlight w:val="none"/>
        </w:rPr>
        <w:t>三是平路整治“一件事”，建设内容包括：</w:t>
      </w:r>
    </w:p>
    <w:p>
      <w:pPr>
        <w:pageBreakBefore w:val="0"/>
        <w:widowControl w:val="0"/>
        <w:numPr>
          <w:ilvl w:val="0"/>
          <w:numId w:val="2"/>
        </w:numPr>
        <w:kinsoku/>
        <w:wordWrap/>
        <w:overflowPunct/>
        <w:topLinePunct w:val="0"/>
        <w:autoSpaceDE/>
        <w:autoSpaceDN/>
        <w:bidi w:val="0"/>
        <w:snapToGrid/>
        <w:spacing w:line="360" w:lineRule="auto"/>
        <w:ind w:firstLine="480" w:firstLineChars="200"/>
        <w:textAlignment w:val="auto"/>
        <w:rPr>
          <w:rFonts w:hint="eastAsia" w:ascii="宋体" w:hAnsi="宋体"/>
          <w:color w:val="000000"/>
          <w:sz w:val="24"/>
          <w:highlight w:val="none"/>
        </w:rPr>
      </w:pPr>
      <w:r>
        <w:rPr>
          <w:rFonts w:hint="eastAsia" w:ascii="宋体" w:hAnsi="宋体"/>
          <w:color w:val="000000"/>
          <w:sz w:val="24"/>
          <w:highlight w:val="none"/>
        </w:rPr>
        <w:t>道路三色管理。根据行车颠簸时产生的冲击力和病害面积大小，将道路赋予绿、黄、红三种颜色进行分类管理。在地图上对道路进行实时展示。</w:t>
      </w:r>
    </w:p>
    <w:p>
      <w:pPr>
        <w:pageBreakBefore w:val="0"/>
        <w:widowControl w:val="0"/>
        <w:numPr>
          <w:ilvl w:val="0"/>
          <w:numId w:val="0"/>
        </w:numPr>
        <w:kinsoku/>
        <w:wordWrap/>
        <w:overflowPunct/>
        <w:topLinePunct w:val="0"/>
        <w:autoSpaceDE/>
        <w:autoSpaceDN/>
        <w:bidi w:val="0"/>
        <w:snapToGrid/>
        <w:spacing w:line="360" w:lineRule="auto"/>
        <w:ind w:firstLine="420" w:firstLineChars="0"/>
        <w:textAlignment w:val="auto"/>
        <w:rPr>
          <w:rFonts w:hint="eastAsia" w:ascii="宋体" w:hAnsi="宋体"/>
          <w:color w:val="000000"/>
          <w:sz w:val="24"/>
          <w:highlight w:val="none"/>
        </w:rPr>
      </w:pPr>
      <w:r>
        <w:rPr>
          <w:rFonts w:hint="eastAsia" w:ascii="宋体" w:hAnsi="宋体"/>
          <w:color w:val="000000"/>
          <w:sz w:val="24"/>
          <w:highlight w:val="none"/>
        </w:rPr>
        <w:t>2</w:t>
      </w:r>
      <w:r>
        <w:rPr>
          <w:rFonts w:hint="eastAsia" w:ascii="宋体" w:hAnsi="宋体"/>
          <w:color w:val="000000"/>
          <w:sz w:val="24"/>
          <w:highlight w:val="none"/>
          <w:lang w:eastAsia="zh-CN"/>
        </w:rPr>
        <w:t>、</w:t>
      </w:r>
      <w:r>
        <w:rPr>
          <w:rFonts w:hint="eastAsia" w:ascii="宋体" w:hAnsi="宋体"/>
          <w:color w:val="000000"/>
          <w:sz w:val="24"/>
          <w:highlight w:val="none"/>
        </w:rPr>
        <w:t>道路整治情况跟踪与评分。支持对道路整治项目等整治情况进行跟踪，并根据结果对整治项目进行评分，评分结果可作为相关部门的绩效考核依据。</w:t>
      </w:r>
      <w:r>
        <w:rPr>
          <w:rFonts w:hint="eastAsia" w:ascii="宋体" w:hAnsi="宋体"/>
          <w:color w:val="000000"/>
          <w:sz w:val="24"/>
          <w:highlight w:val="none"/>
        </w:rPr>
        <w:br w:type="textWrapping"/>
      </w:r>
      <w:r>
        <w:rPr>
          <w:rFonts w:hint="eastAsia" w:ascii="宋体" w:hAnsi="宋体"/>
          <w:color w:val="000000"/>
          <w:sz w:val="24"/>
          <w:highlight w:val="none"/>
          <w:lang w:val="en-US" w:eastAsia="zh-CN"/>
        </w:rPr>
        <w:tab/>
      </w:r>
      <w:r>
        <w:rPr>
          <w:rFonts w:hint="eastAsia" w:ascii="宋体" w:hAnsi="宋体"/>
          <w:color w:val="000000"/>
          <w:sz w:val="24"/>
          <w:highlight w:val="none"/>
        </w:rPr>
        <w:t>3</w:t>
      </w:r>
      <w:r>
        <w:rPr>
          <w:rFonts w:hint="eastAsia" w:ascii="宋体" w:hAnsi="宋体"/>
          <w:color w:val="000000"/>
          <w:sz w:val="24"/>
          <w:highlight w:val="none"/>
          <w:lang w:eastAsia="zh-CN"/>
        </w:rPr>
        <w:t>、</w:t>
      </w:r>
      <w:r>
        <w:rPr>
          <w:rFonts w:hint="eastAsia" w:ascii="宋体" w:hAnsi="宋体"/>
          <w:color w:val="000000"/>
          <w:sz w:val="24"/>
          <w:highlight w:val="none"/>
        </w:rPr>
        <w:t>综合查询与统计模块。提供道路设施、巡查、养护等相关数据的查询和统计分析功能。</w:t>
      </w:r>
    </w:p>
    <w:p>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color w:val="000000"/>
          <w:sz w:val="24"/>
          <w:highlight w:val="none"/>
        </w:rPr>
      </w:pPr>
      <w:r>
        <w:rPr>
          <w:rFonts w:hint="eastAsia" w:ascii="宋体" w:hAnsi="宋体"/>
          <w:color w:val="000000"/>
          <w:sz w:val="24"/>
          <w:highlight w:val="none"/>
        </w:rPr>
        <w:t>四是内涝治理“一件事”，将内涝“一件事”接入“一网统管”平台，包括系统和数据的对接。</w:t>
      </w:r>
    </w:p>
    <w:p>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color w:val="000000"/>
          <w:sz w:val="24"/>
          <w:highlight w:val="none"/>
        </w:rPr>
      </w:pPr>
      <w:r>
        <w:rPr>
          <w:rFonts w:hint="eastAsia" w:ascii="宋体" w:hAnsi="宋体"/>
          <w:color w:val="000000"/>
          <w:sz w:val="24"/>
          <w:highlight w:val="none"/>
        </w:rPr>
        <w:t>五是地铁保护区监管“一件事”，设定地铁保护区电子围栏范围，</w:t>
      </w:r>
      <w:r>
        <w:rPr>
          <w:rFonts w:hint="eastAsia" w:ascii="宋体" w:hAnsi="宋体"/>
          <w:color w:val="000000"/>
          <w:sz w:val="24"/>
          <w:highlight w:val="none"/>
          <w:lang w:eastAsia="zh-CN"/>
        </w:rPr>
        <w:t>接入</w:t>
      </w:r>
      <w:r>
        <w:rPr>
          <w:rFonts w:hint="eastAsia" w:ascii="宋体" w:hAnsi="宋体"/>
          <w:color w:val="000000"/>
          <w:sz w:val="24"/>
          <w:highlight w:val="none"/>
        </w:rPr>
        <w:t>地铁保护区标志牌、保护区范围内施工作业信息、特种设备定位信息、无人机面上巡查、视频监控等数据，</w:t>
      </w:r>
      <w:r>
        <w:rPr>
          <w:rFonts w:hint="eastAsia" w:ascii="宋体" w:hAnsi="宋体"/>
          <w:color w:val="000000"/>
          <w:sz w:val="24"/>
          <w:highlight w:val="none"/>
          <w:lang w:eastAsia="zh-CN"/>
        </w:rPr>
        <w:t>展示</w:t>
      </w:r>
      <w:r>
        <w:rPr>
          <w:rFonts w:hint="eastAsia" w:ascii="宋体" w:hAnsi="宋体"/>
          <w:color w:val="000000"/>
          <w:sz w:val="24"/>
          <w:highlight w:val="none"/>
        </w:rPr>
        <w:t>地铁保护区范围内工程施工实时预警和隐患问题闭环整改</w:t>
      </w:r>
      <w:r>
        <w:rPr>
          <w:rFonts w:hint="eastAsia" w:ascii="宋体" w:hAnsi="宋体"/>
          <w:color w:val="000000"/>
          <w:sz w:val="24"/>
          <w:highlight w:val="none"/>
          <w:lang w:eastAsia="zh-CN"/>
        </w:rPr>
        <w:t>情况</w:t>
      </w:r>
      <w:r>
        <w:rPr>
          <w:rFonts w:hint="eastAsia" w:ascii="宋体" w:hAnsi="宋体"/>
          <w:color w:val="000000"/>
          <w:sz w:val="24"/>
          <w:highlight w:val="none"/>
        </w:rPr>
        <w:t>。</w:t>
      </w:r>
    </w:p>
    <w:p>
      <w:pPr>
        <w:pageBreakBefore w:val="0"/>
        <w:widowControl w:val="0"/>
        <w:kinsoku/>
        <w:wordWrap/>
        <w:overflowPunct/>
        <w:topLinePunct w:val="0"/>
        <w:autoSpaceDE/>
        <w:autoSpaceDN/>
        <w:bidi w:val="0"/>
        <w:snapToGrid/>
        <w:spacing w:line="360" w:lineRule="auto"/>
        <w:ind w:firstLine="482" w:firstLineChars="200"/>
        <w:textAlignment w:val="auto"/>
        <w:rPr>
          <w:rFonts w:hint="eastAsia" w:ascii="宋体" w:hAnsi="宋体"/>
          <w:b/>
          <w:bCs/>
          <w:color w:val="000000"/>
          <w:sz w:val="24"/>
          <w:highlight w:val="none"/>
        </w:rPr>
      </w:pPr>
      <w:r>
        <w:rPr>
          <w:rFonts w:hint="eastAsia" w:ascii="宋体" w:hAnsi="宋体"/>
          <w:b/>
          <w:bCs/>
          <w:color w:val="000000"/>
          <w:sz w:val="24"/>
          <w:highlight w:val="none"/>
        </w:rPr>
        <w:t>（三）城市便民服务</w:t>
      </w:r>
    </w:p>
    <w:p>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color w:val="000000"/>
          <w:sz w:val="24"/>
          <w:highlight w:val="none"/>
        </w:rPr>
      </w:pPr>
      <w:r>
        <w:rPr>
          <w:rFonts w:hint="eastAsia" w:ascii="宋体" w:hAnsi="宋体"/>
          <w:color w:val="000000"/>
          <w:sz w:val="24"/>
          <w:highlight w:val="none"/>
        </w:rPr>
        <w:t>在综合集成当前已有便民服务场景的基础上，拓展更多子场景，包括停车服务、城市烟火气服务、惠企服务、有奖举报服务和城市运行信息推送服务等，进一步提高城市管理服务水平。</w:t>
      </w:r>
    </w:p>
    <w:p>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color w:val="000000"/>
          <w:sz w:val="24"/>
          <w:highlight w:val="none"/>
        </w:rPr>
      </w:pPr>
      <w:r>
        <w:rPr>
          <w:rFonts w:hint="eastAsia" w:ascii="宋体" w:hAnsi="宋体"/>
          <w:color w:val="000000"/>
          <w:sz w:val="24"/>
          <w:highlight w:val="none"/>
        </w:rPr>
        <w:t>一是停车服务，实现平台服务一网通，切实提升统一停车服务体验，本次建设：</w:t>
      </w:r>
    </w:p>
    <w:p>
      <w:pPr>
        <w:pageBreakBefore w:val="0"/>
        <w:widowControl w:val="0"/>
        <w:numPr>
          <w:ilvl w:val="0"/>
          <w:numId w:val="0"/>
        </w:numPr>
        <w:kinsoku/>
        <w:wordWrap/>
        <w:overflowPunct/>
        <w:topLinePunct w:val="0"/>
        <w:autoSpaceDE/>
        <w:autoSpaceDN/>
        <w:bidi w:val="0"/>
        <w:snapToGrid/>
        <w:spacing w:line="360" w:lineRule="auto"/>
        <w:ind w:firstLine="480"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1、</w:t>
      </w:r>
      <w:r>
        <w:rPr>
          <w:rFonts w:hint="eastAsia" w:ascii="宋体" w:hAnsi="宋体"/>
          <w:color w:val="000000"/>
          <w:sz w:val="24"/>
          <w:highlight w:val="none"/>
        </w:rPr>
        <w:t>统一C端建设。对原邻里停、杭州道路停车、先离场后付费、人行道违停等多个应用进行整合，对资源展示、用户管理、缴费入口、优惠券使用、发票申请、评价投诉、消息提醒、市民意见处理等模块进行了统一化。</w:t>
      </w:r>
    </w:p>
    <w:p>
      <w:pPr>
        <w:pageBreakBefore w:val="0"/>
        <w:widowControl w:val="0"/>
        <w:numPr>
          <w:ilvl w:val="0"/>
          <w:numId w:val="0"/>
        </w:numPr>
        <w:kinsoku/>
        <w:wordWrap/>
        <w:overflowPunct/>
        <w:topLinePunct w:val="0"/>
        <w:autoSpaceDE/>
        <w:autoSpaceDN/>
        <w:bidi w:val="0"/>
        <w:snapToGrid/>
        <w:spacing w:line="360" w:lineRule="auto"/>
        <w:ind w:firstLine="480"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2、</w:t>
      </w:r>
      <w:r>
        <w:rPr>
          <w:rFonts w:hint="eastAsia" w:ascii="宋体" w:hAnsi="宋体"/>
          <w:color w:val="000000"/>
          <w:sz w:val="24"/>
          <w:highlight w:val="none"/>
        </w:rPr>
        <w:t>市民意见信息中心。整合分散的市民意见，实现停车市民意见的统一分析管理。</w:t>
      </w:r>
    </w:p>
    <w:p>
      <w:pPr>
        <w:pageBreakBefore w:val="0"/>
        <w:widowControl w:val="0"/>
        <w:numPr>
          <w:ilvl w:val="0"/>
          <w:numId w:val="0"/>
        </w:numPr>
        <w:kinsoku/>
        <w:wordWrap/>
        <w:overflowPunct/>
        <w:topLinePunct w:val="0"/>
        <w:autoSpaceDE/>
        <w:autoSpaceDN/>
        <w:bidi w:val="0"/>
        <w:snapToGrid/>
        <w:spacing w:line="360" w:lineRule="auto"/>
        <w:ind w:firstLine="480"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3、</w:t>
      </w:r>
      <w:r>
        <w:rPr>
          <w:rFonts w:hint="eastAsia" w:ascii="宋体" w:hAnsi="宋体"/>
          <w:color w:val="000000"/>
          <w:sz w:val="24"/>
          <w:highlight w:val="none"/>
        </w:rPr>
        <w:t>停车服务在线。对用户数据、停车位资源、缴费情况、重点场景使用情况、道路停车巡管成果和投诉问题等进行展示。</w:t>
      </w:r>
    </w:p>
    <w:p>
      <w:pPr>
        <w:pageBreakBefore w:val="0"/>
        <w:widowControl w:val="0"/>
        <w:numPr>
          <w:ilvl w:val="0"/>
          <w:numId w:val="0"/>
        </w:numPr>
        <w:kinsoku/>
        <w:wordWrap/>
        <w:overflowPunct/>
        <w:topLinePunct w:val="0"/>
        <w:autoSpaceDE/>
        <w:autoSpaceDN/>
        <w:bidi w:val="0"/>
        <w:snapToGrid/>
        <w:spacing w:line="360" w:lineRule="auto"/>
        <w:ind w:firstLine="480" w:firstLineChars="200"/>
        <w:textAlignment w:val="auto"/>
        <w:rPr>
          <w:rFonts w:hint="eastAsia" w:ascii="宋体" w:hAnsi="宋体"/>
          <w:color w:val="000000"/>
          <w:sz w:val="24"/>
          <w:highlight w:val="none"/>
        </w:rPr>
      </w:pPr>
      <w:r>
        <w:rPr>
          <w:rFonts w:hint="eastAsia" w:ascii="宋体" w:hAnsi="宋体"/>
          <w:color w:val="000000"/>
          <w:sz w:val="24"/>
          <w:highlight w:val="none"/>
        </w:rPr>
        <w:t>二是城市烟火气服务，本次建设：</w:t>
      </w:r>
    </w:p>
    <w:p>
      <w:pPr>
        <w:pageBreakBefore w:val="0"/>
        <w:widowControl w:val="0"/>
        <w:numPr>
          <w:ilvl w:val="0"/>
          <w:numId w:val="0"/>
        </w:numPr>
        <w:kinsoku/>
        <w:wordWrap/>
        <w:overflowPunct/>
        <w:topLinePunct w:val="0"/>
        <w:autoSpaceDE/>
        <w:autoSpaceDN/>
        <w:bidi w:val="0"/>
        <w:snapToGrid/>
        <w:spacing w:line="360" w:lineRule="auto"/>
        <w:ind w:firstLine="420" w:firstLineChars="0"/>
        <w:textAlignment w:val="auto"/>
        <w:rPr>
          <w:rFonts w:hint="eastAsia" w:ascii="宋体" w:hAnsi="宋体"/>
          <w:color w:val="000000"/>
          <w:sz w:val="24"/>
          <w:highlight w:val="none"/>
        </w:rPr>
      </w:pPr>
      <w:r>
        <w:rPr>
          <w:rFonts w:hint="eastAsia" w:ascii="宋体" w:hAnsi="宋体"/>
          <w:color w:val="000000"/>
          <w:sz w:val="24"/>
          <w:highlight w:val="none"/>
          <w:lang w:val="en-US" w:eastAsia="zh-CN"/>
        </w:rPr>
        <w:t>1、</w:t>
      </w:r>
      <w:r>
        <w:rPr>
          <w:rFonts w:hint="eastAsia" w:ascii="宋体" w:hAnsi="宋体"/>
          <w:color w:val="000000"/>
          <w:sz w:val="24"/>
          <w:highlight w:val="none"/>
        </w:rPr>
        <w:t>亮灯信息查询。提供路面和景观灯、灯光秀信息开放日期、地点</w:t>
      </w:r>
      <w:r>
        <w:rPr>
          <w:rFonts w:hint="eastAsia" w:ascii="宋体" w:hAnsi="宋体"/>
          <w:color w:val="000000"/>
          <w:sz w:val="24"/>
          <w:highlight w:val="none"/>
          <w:lang w:eastAsia="zh-CN"/>
        </w:rPr>
        <w:t>、</w:t>
      </w:r>
      <w:r>
        <w:rPr>
          <w:rFonts w:hint="eastAsia" w:ascii="宋体" w:hAnsi="宋体"/>
          <w:color w:val="000000"/>
          <w:sz w:val="24"/>
          <w:highlight w:val="none"/>
        </w:rPr>
        <w:t>观赏指南等亮灯信息的查询。</w:t>
      </w:r>
    </w:p>
    <w:p>
      <w:pPr>
        <w:pageBreakBefore w:val="0"/>
        <w:widowControl w:val="0"/>
        <w:numPr>
          <w:ilvl w:val="0"/>
          <w:numId w:val="0"/>
        </w:numPr>
        <w:kinsoku/>
        <w:wordWrap/>
        <w:overflowPunct/>
        <w:topLinePunct w:val="0"/>
        <w:autoSpaceDE/>
        <w:autoSpaceDN/>
        <w:bidi w:val="0"/>
        <w:snapToGrid/>
        <w:spacing w:line="360" w:lineRule="auto"/>
        <w:ind w:firstLine="420" w:firstLineChars="0"/>
        <w:textAlignment w:val="auto"/>
        <w:rPr>
          <w:rFonts w:hint="eastAsia" w:ascii="宋体" w:hAnsi="宋体"/>
          <w:color w:val="000000"/>
          <w:sz w:val="24"/>
          <w:highlight w:val="none"/>
        </w:rPr>
      </w:pPr>
      <w:r>
        <w:rPr>
          <w:rFonts w:hint="eastAsia" w:ascii="宋体" w:hAnsi="宋体"/>
          <w:color w:val="000000"/>
          <w:sz w:val="24"/>
          <w:highlight w:val="none"/>
        </w:rPr>
        <w:t>2</w:t>
      </w:r>
      <w:r>
        <w:rPr>
          <w:rFonts w:hint="eastAsia" w:ascii="宋体" w:hAnsi="宋体"/>
          <w:color w:val="000000"/>
          <w:sz w:val="24"/>
          <w:highlight w:val="none"/>
          <w:lang w:eastAsia="zh-CN"/>
        </w:rPr>
        <w:t>、</w:t>
      </w:r>
      <w:r>
        <w:rPr>
          <w:rFonts w:hint="eastAsia" w:ascii="宋体" w:hAnsi="宋体"/>
          <w:color w:val="000000"/>
          <w:sz w:val="24"/>
          <w:highlight w:val="none"/>
        </w:rPr>
        <w:t>外摆服务升级。将流程优化为街道-区六级审批，增加批量申报、街道经办人续批、取消临时经营点、外摆信息编辑、身份证信息隐藏和短信通知服务等功能，增加外摆续批数、外摆过期数和临时经营点取消数统计分析。</w:t>
      </w:r>
    </w:p>
    <w:p>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color w:val="000000"/>
          <w:sz w:val="24"/>
          <w:highlight w:val="none"/>
        </w:rPr>
      </w:pPr>
      <w:r>
        <w:rPr>
          <w:rFonts w:hint="eastAsia" w:ascii="宋体" w:hAnsi="宋体"/>
          <w:color w:val="000000"/>
          <w:sz w:val="24"/>
          <w:highlight w:val="none"/>
        </w:rPr>
        <w:t>三是惠企服务</w:t>
      </w:r>
      <w:r>
        <w:rPr>
          <w:rFonts w:hint="eastAsia" w:ascii="宋体" w:hAnsi="宋体"/>
          <w:color w:val="000000"/>
          <w:sz w:val="24"/>
          <w:highlight w:val="none"/>
          <w:lang w:eastAsia="zh-CN"/>
        </w:rPr>
        <w:t>。</w:t>
      </w:r>
      <w:r>
        <w:rPr>
          <w:rFonts w:hint="eastAsia" w:ascii="宋体" w:hAnsi="宋体"/>
          <w:color w:val="000000"/>
          <w:sz w:val="24"/>
          <w:highlight w:val="none"/>
        </w:rPr>
        <w:t>一方面将打通浙江省城市建设管理领域在线审批系统，优化审批权力阳光系统资源共享，实现省管事项业务申请数据和材料导入权力阳光系统，提高办事效率，同时助力营商环境优化提升，实施“免审即批”，推行证件校验二维码，服务批后监管与执法。系统优化：①在权力阳光审批系统“城镇污水排入排水管网许可证核发”事项中植入提醒短信推送功能，在排水许可证有效期届满45日前向法定代表人和经办人发送排水许可证延期提醒。②在权力阳光审批系统导入排水许可证发放基本信息，包括许可证编号、单位名称、地址、统一信用代码、法定代表人及联系方式、经办人及联系方式、许可证有效期等信息。③在权力阳光审批系统该事项中设置“违规排水行政处罚案件查询功能”， 供审批人员确认申请人在原许可证有效期内是否因违规行为被查处，以结案为准。案件信息显示单位名称、统一信用代码、法定代表人、地址及简要案情（包括案件编号、案发时间、违法事实、处罚情况、结案时间）等信息。另一方面，针对企业用户在用水过程中由于材料老化、施工破坏等原因导致供水管道发生破裂和漏水等问题，通过节水在线管理系统的相关功能及时发现用水异常的情况，并基于浙里办贴心城管应用，对企业水量异常情况进行信息推送。</w:t>
      </w:r>
    </w:p>
    <w:p>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color w:val="000000"/>
          <w:sz w:val="24"/>
          <w:highlight w:val="none"/>
        </w:rPr>
      </w:pPr>
      <w:r>
        <w:rPr>
          <w:rFonts w:hint="eastAsia" w:ascii="宋体" w:hAnsi="宋体"/>
          <w:color w:val="000000"/>
          <w:sz w:val="24"/>
          <w:highlight w:val="none"/>
        </w:rPr>
        <w:t>四是升级城市治理有奖举报服务，本次优化：</w:t>
      </w:r>
    </w:p>
    <w:p>
      <w:pPr>
        <w:pageBreakBefore w:val="0"/>
        <w:widowControl w:val="0"/>
        <w:numPr>
          <w:ilvl w:val="0"/>
          <w:numId w:val="3"/>
        </w:numPr>
        <w:kinsoku/>
        <w:wordWrap/>
        <w:overflowPunct/>
        <w:topLinePunct w:val="0"/>
        <w:autoSpaceDE/>
        <w:autoSpaceDN/>
        <w:bidi w:val="0"/>
        <w:snapToGrid/>
        <w:spacing w:line="360" w:lineRule="auto"/>
        <w:ind w:firstLine="480" w:firstLineChars="200"/>
        <w:textAlignment w:val="auto"/>
        <w:rPr>
          <w:rFonts w:hint="eastAsia" w:ascii="宋体" w:hAnsi="宋体"/>
          <w:color w:val="000000"/>
          <w:sz w:val="24"/>
          <w:highlight w:val="none"/>
        </w:rPr>
      </w:pPr>
      <w:r>
        <w:rPr>
          <w:rFonts w:hint="eastAsia" w:ascii="宋体" w:hAnsi="宋体"/>
          <w:color w:val="000000"/>
          <w:sz w:val="24"/>
          <w:highlight w:val="none"/>
        </w:rPr>
        <w:t>在事件中心增加差错事件标记、查看重复案卷、查看警告记录、地图定位增加地铁保护区图层等功能。</w:t>
      </w:r>
    </w:p>
    <w:p>
      <w:pPr>
        <w:pageBreakBefore w:val="0"/>
        <w:widowControl w:val="0"/>
        <w:numPr>
          <w:ilvl w:val="0"/>
          <w:numId w:val="3"/>
        </w:numPr>
        <w:kinsoku/>
        <w:wordWrap/>
        <w:overflowPunct/>
        <w:topLinePunct w:val="0"/>
        <w:autoSpaceDE/>
        <w:autoSpaceDN/>
        <w:bidi w:val="0"/>
        <w:snapToGrid/>
        <w:spacing w:line="360" w:lineRule="auto"/>
        <w:ind w:left="0" w:leftChars="0" w:firstLine="480" w:firstLineChars="200"/>
        <w:textAlignment w:val="auto"/>
        <w:rPr>
          <w:rFonts w:hint="eastAsia" w:ascii="宋体" w:hAnsi="宋体"/>
          <w:color w:val="000000"/>
          <w:sz w:val="24"/>
          <w:highlight w:val="none"/>
        </w:rPr>
      </w:pPr>
      <w:r>
        <w:rPr>
          <w:rFonts w:hint="eastAsia" w:ascii="宋体" w:hAnsi="宋体"/>
          <w:color w:val="000000"/>
          <w:sz w:val="24"/>
          <w:highlight w:val="none"/>
        </w:rPr>
        <w:t>移动端接入</w:t>
      </w:r>
      <w:r>
        <w:rPr>
          <w:rFonts w:hint="eastAsia" w:ascii="宋体" w:hAnsi="宋体"/>
          <w:color w:val="000000"/>
          <w:sz w:val="24"/>
          <w:highlight w:val="none"/>
          <w:lang w:eastAsia="zh-CN"/>
        </w:rPr>
        <w:t>“</w:t>
      </w:r>
      <w:r>
        <w:rPr>
          <w:rFonts w:hint="eastAsia" w:ascii="宋体" w:hAnsi="宋体"/>
          <w:color w:val="000000"/>
          <w:sz w:val="24"/>
          <w:highlight w:val="none"/>
        </w:rPr>
        <w:t>杭州市文明帮帮码</w:t>
      </w:r>
      <w:r>
        <w:rPr>
          <w:rFonts w:hint="eastAsia" w:ascii="宋体" w:hAnsi="宋体"/>
          <w:color w:val="000000"/>
          <w:sz w:val="24"/>
          <w:highlight w:val="none"/>
          <w:lang w:eastAsia="zh-CN"/>
        </w:rPr>
        <w:t>”</w:t>
      </w:r>
      <w:r>
        <w:rPr>
          <w:rFonts w:hint="eastAsia" w:ascii="宋体" w:hAnsi="宋体"/>
          <w:color w:val="000000"/>
          <w:sz w:val="24"/>
          <w:highlight w:val="none"/>
        </w:rPr>
        <w:t>的浙里办、支付宝小程序应用中。</w:t>
      </w:r>
    </w:p>
    <w:p>
      <w:pPr>
        <w:pageBreakBefore w:val="0"/>
        <w:widowControl w:val="0"/>
        <w:numPr>
          <w:ilvl w:val="0"/>
          <w:numId w:val="3"/>
        </w:numPr>
        <w:kinsoku/>
        <w:wordWrap/>
        <w:overflowPunct/>
        <w:topLinePunct w:val="0"/>
        <w:autoSpaceDE/>
        <w:autoSpaceDN/>
        <w:bidi w:val="0"/>
        <w:snapToGrid/>
        <w:spacing w:line="360" w:lineRule="auto"/>
        <w:ind w:left="0" w:leftChars="0" w:firstLine="480" w:firstLineChars="200"/>
        <w:textAlignment w:val="auto"/>
        <w:rPr>
          <w:rFonts w:hint="eastAsia" w:ascii="宋体" w:hAnsi="宋体"/>
          <w:color w:val="000000"/>
          <w:sz w:val="24"/>
          <w:highlight w:val="none"/>
        </w:rPr>
      </w:pPr>
      <w:r>
        <w:rPr>
          <w:rFonts w:hint="eastAsia" w:ascii="宋体" w:hAnsi="宋体"/>
          <w:color w:val="000000"/>
          <w:sz w:val="24"/>
          <w:highlight w:val="none"/>
        </w:rPr>
        <w:t>对重复上报进行统计分析，支持对警告惯用语、事件类型的管理，并对城区权限进行拓展。</w:t>
      </w:r>
    </w:p>
    <w:p>
      <w:pPr>
        <w:pageBreakBefore w:val="0"/>
        <w:widowControl w:val="0"/>
        <w:numPr>
          <w:ilvl w:val="0"/>
          <w:numId w:val="0"/>
        </w:numPr>
        <w:kinsoku/>
        <w:wordWrap/>
        <w:overflowPunct/>
        <w:topLinePunct w:val="0"/>
        <w:autoSpaceDE/>
        <w:autoSpaceDN/>
        <w:bidi w:val="0"/>
        <w:snapToGrid/>
        <w:spacing w:line="360" w:lineRule="auto"/>
        <w:ind w:leftChars="200"/>
        <w:textAlignment w:val="auto"/>
        <w:rPr>
          <w:rFonts w:hint="eastAsia" w:ascii="宋体" w:hAnsi="宋体"/>
          <w:color w:val="000000"/>
          <w:sz w:val="24"/>
          <w:highlight w:val="none"/>
        </w:rPr>
      </w:pPr>
      <w:r>
        <w:rPr>
          <w:rFonts w:hint="eastAsia" w:ascii="宋体" w:hAnsi="宋体"/>
          <w:color w:val="000000"/>
          <w:sz w:val="24"/>
          <w:highlight w:val="none"/>
        </w:rPr>
        <w:t>4</w:t>
      </w:r>
      <w:r>
        <w:rPr>
          <w:rFonts w:hint="eastAsia" w:ascii="宋体" w:hAnsi="宋体"/>
          <w:color w:val="000000"/>
          <w:sz w:val="24"/>
          <w:highlight w:val="none"/>
          <w:lang w:eastAsia="zh-CN"/>
        </w:rPr>
        <w:t>、</w:t>
      </w:r>
      <w:r>
        <w:rPr>
          <w:rFonts w:hint="eastAsia" w:ascii="宋体" w:hAnsi="宋体"/>
          <w:color w:val="000000"/>
          <w:sz w:val="24"/>
          <w:highlight w:val="none"/>
        </w:rPr>
        <w:t>有奖举报在线。有奖举报服务关键指标信息进行展示。</w:t>
      </w:r>
    </w:p>
    <w:p>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color w:val="000000"/>
          <w:sz w:val="24"/>
          <w:highlight w:val="none"/>
        </w:rPr>
      </w:pPr>
      <w:r>
        <w:rPr>
          <w:rFonts w:hint="eastAsia" w:ascii="宋体" w:hAnsi="宋体"/>
          <w:color w:val="000000"/>
          <w:sz w:val="24"/>
          <w:highlight w:val="none"/>
        </w:rPr>
        <w:t>五是城市运行信息推送服务，实现信息推送渠道进行拓展，满足浙里办、运营商</w:t>
      </w:r>
      <w:r>
        <w:rPr>
          <w:rFonts w:hint="eastAsia" w:ascii="宋体" w:hAnsi="宋体"/>
          <w:color w:val="000000"/>
          <w:sz w:val="24"/>
          <w:highlight w:val="none"/>
          <w:lang w:eastAsia="zh-CN"/>
        </w:rPr>
        <w:t>、户外电子</w:t>
      </w:r>
      <w:r>
        <w:rPr>
          <w:rFonts w:hint="eastAsia" w:ascii="宋体" w:hAnsi="宋体"/>
          <w:color w:val="000000"/>
          <w:sz w:val="24"/>
          <w:highlight w:val="none"/>
        </w:rPr>
        <w:t>屏</w:t>
      </w:r>
      <w:r>
        <w:rPr>
          <w:rFonts w:hint="eastAsia" w:ascii="宋体" w:hAnsi="宋体"/>
          <w:color w:val="000000"/>
          <w:sz w:val="24"/>
          <w:highlight w:val="none"/>
          <w:lang w:eastAsia="zh-CN"/>
        </w:rPr>
        <w:t>等</w:t>
      </w:r>
      <w:r>
        <w:rPr>
          <w:rFonts w:hint="eastAsia" w:ascii="宋体" w:hAnsi="宋体"/>
          <w:color w:val="000000"/>
          <w:sz w:val="24"/>
          <w:highlight w:val="none"/>
        </w:rPr>
        <w:t>三</w:t>
      </w:r>
      <w:r>
        <w:rPr>
          <w:rFonts w:hint="eastAsia" w:ascii="宋体" w:hAnsi="宋体"/>
          <w:color w:val="000000"/>
          <w:sz w:val="24"/>
          <w:highlight w:val="none"/>
          <w:lang w:eastAsia="zh-CN"/>
        </w:rPr>
        <w:t>个</w:t>
      </w:r>
      <w:r>
        <w:rPr>
          <w:rFonts w:hint="eastAsia" w:ascii="宋体" w:hAnsi="宋体"/>
          <w:color w:val="000000"/>
          <w:sz w:val="24"/>
          <w:highlight w:val="none"/>
        </w:rPr>
        <w:t>渠道的信息推送要求，将紧急和突发事件信息及时传递到受影响区域市民，提升城市管理温度。</w:t>
      </w:r>
    </w:p>
    <w:p>
      <w:pPr>
        <w:pageBreakBefore w:val="0"/>
        <w:widowControl w:val="0"/>
        <w:kinsoku/>
        <w:wordWrap/>
        <w:overflowPunct/>
        <w:topLinePunct w:val="0"/>
        <w:autoSpaceDE/>
        <w:autoSpaceDN/>
        <w:bidi w:val="0"/>
        <w:snapToGrid/>
        <w:spacing w:line="360" w:lineRule="auto"/>
        <w:ind w:firstLine="482" w:firstLineChars="200"/>
        <w:textAlignment w:val="auto"/>
        <w:rPr>
          <w:rFonts w:hint="eastAsia" w:ascii="宋体" w:hAnsi="宋体"/>
          <w:b/>
          <w:bCs/>
          <w:color w:val="000000"/>
          <w:sz w:val="24"/>
          <w:highlight w:val="none"/>
        </w:rPr>
      </w:pPr>
      <w:r>
        <w:rPr>
          <w:rFonts w:hint="eastAsia" w:ascii="宋体" w:hAnsi="宋体"/>
          <w:b/>
          <w:bCs/>
          <w:color w:val="000000"/>
          <w:sz w:val="24"/>
          <w:highlight w:val="none"/>
        </w:rPr>
        <w:t>（四）分析研判</w:t>
      </w:r>
    </w:p>
    <w:p>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color w:val="000000"/>
          <w:sz w:val="24"/>
          <w:highlight w:val="none"/>
        </w:rPr>
      </w:pPr>
      <w:r>
        <w:rPr>
          <w:rFonts w:hint="eastAsia" w:ascii="宋体" w:hAnsi="宋体"/>
          <w:color w:val="000000"/>
          <w:sz w:val="24"/>
          <w:highlight w:val="none"/>
        </w:rPr>
        <w:t>依托分析研判引擎，实现对城市运行“一网统管”中的事件与体征数据分析，发现全域事件，推动源头治理“一库智研”，形成有价值结论，为管理人员科学决策提供数据支撑。</w:t>
      </w:r>
    </w:p>
    <w:p>
      <w:pPr>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olor w:val="000000"/>
          <w:sz w:val="24"/>
          <w:highlight w:val="none"/>
        </w:rPr>
      </w:pPr>
      <w:r>
        <w:rPr>
          <w:rFonts w:hint="eastAsia" w:ascii="宋体" w:hAnsi="宋体"/>
          <w:color w:val="000000"/>
          <w:sz w:val="24"/>
          <w:highlight w:val="none"/>
        </w:rPr>
        <w:t>一是分析研判引擎，基于接入的城市基础数据和多源事件数据，对不同的事件文本进行算法预处理和场景化计算，并根据模型超市内置的模型对城市运行全方位问题扫描，让决策者了解城市整体健康状况、突出问题与风险趋势。本次新建的模型包括突发问题研判分析模型、问题趋势研判分析模型、群体热点研判分析模型、反复投诉分析模型。</w:t>
      </w:r>
    </w:p>
    <w:p>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color w:val="000000"/>
          <w:sz w:val="24"/>
          <w:highlight w:val="none"/>
        </w:rPr>
      </w:pPr>
      <w:r>
        <w:rPr>
          <w:rFonts w:hint="eastAsia" w:ascii="宋体" w:hAnsi="宋体"/>
          <w:color w:val="000000"/>
          <w:sz w:val="24"/>
          <w:highlight w:val="none"/>
        </w:rPr>
        <w:t>二是全域研判分析。通过分析研判引擎对</w:t>
      </w:r>
      <w:r>
        <w:rPr>
          <w:rFonts w:hint="eastAsia" w:ascii="宋体" w:hAnsi="宋体"/>
          <w:color w:val="000000"/>
          <w:sz w:val="24"/>
          <w:highlight w:val="none"/>
          <w:lang w:eastAsia="zh-CN"/>
        </w:rPr>
        <w:t>“</w:t>
      </w:r>
      <w:r>
        <w:rPr>
          <w:rFonts w:hint="eastAsia" w:ascii="宋体" w:hAnsi="宋体"/>
          <w:color w:val="000000"/>
          <w:sz w:val="24"/>
          <w:highlight w:val="none"/>
        </w:rPr>
        <w:t>一网统管</w:t>
      </w:r>
      <w:r>
        <w:rPr>
          <w:rFonts w:hint="eastAsia" w:ascii="宋体" w:hAnsi="宋体"/>
          <w:color w:val="000000"/>
          <w:sz w:val="24"/>
          <w:highlight w:val="none"/>
          <w:lang w:eastAsia="zh-CN"/>
        </w:rPr>
        <w:t>”</w:t>
      </w:r>
      <w:r>
        <w:rPr>
          <w:rFonts w:hint="eastAsia" w:ascii="宋体" w:hAnsi="宋体"/>
          <w:color w:val="000000"/>
          <w:sz w:val="24"/>
          <w:highlight w:val="none"/>
        </w:rPr>
        <w:t>全量事件</w:t>
      </w:r>
      <w:r>
        <w:rPr>
          <w:rFonts w:hint="eastAsia" w:ascii="宋体" w:hAnsi="宋体"/>
          <w:color w:val="000000"/>
          <w:sz w:val="24"/>
          <w:highlight w:val="none"/>
          <w:lang w:eastAsia="zh-CN"/>
        </w:rPr>
        <w:t>（包括数字城管、有奖举报、信访等）</w:t>
      </w:r>
      <w:r>
        <w:rPr>
          <w:rFonts w:hint="eastAsia" w:ascii="宋体" w:hAnsi="宋体"/>
          <w:color w:val="000000"/>
          <w:sz w:val="24"/>
          <w:highlight w:val="none"/>
        </w:rPr>
        <w:t>进行研判分析，分析展示模型发现的风险事件，通过系统分析自动分析及业务人员人为判断，一般较低风险事件可转为风险线索直接进行流转处置，一些关联性强、依赖项多、风险等级高的风险线索由业务人员通过对研判项进行分析后可转为治理任务。同时</w:t>
      </w:r>
      <w:r>
        <w:rPr>
          <w:rFonts w:hint="eastAsia" w:ascii="宋体" w:hAnsi="宋体"/>
          <w:color w:val="000000"/>
          <w:sz w:val="24"/>
          <w:highlight w:val="none"/>
          <w:lang w:eastAsia="zh-CN"/>
        </w:rPr>
        <w:t>，</w:t>
      </w:r>
      <w:r>
        <w:rPr>
          <w:rFonts w:hint="eastAsia" w:ascii="宋体" w:hAnsi="宋体"/>
          <w:color w:val="000000"/>
          <w:sz w:val="24"/>
          <w:highlight w:val="none"/>
        </w:rPr>
        <w:t>按照高频主体专题分析、事项关联专题分析、空间聚集专题分析等场景对事件专题分析。</w:t>
      </w:r>
    </w:p>
    <w:p>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color w:val="000000"/>
          <w:sz w:val="24"/>
          <w:highlight w:val="none"/>
        </w:rPr>
      </w:pPr>
      <w:r>
        <w:rPr>
          <w:rFonts w:hint="eastAsia" w:ascii="宋体" w:hAnsi="宋体"/>
          <w:color w:val="000000"/>
          <w:sz w:val="24"/>
          <w:highlight w:val="none"/>
        </w:rPr>
        <w:t>三是分析研判报告。根据全域研判分析结果，对事件进行统计，并根据事件源分类分析，输出各领域排名前三的重要事件及事件情况报告。支持市区两级分析。</w:t>
      </w:r>
    </w:p>
    <w:p>
      <w:pPr>
        <w:pageBreakBefore w:val="0"/>
        <w:widowControl w:val="0"/>
        <w:kinsoku/>
        <w:wordWrap/>
        <w:overflowPunct/>
        <w:topLinePunct w:val="0"/>
        <w:autoSpaceDE/>
        <w:autoSpaceDN/>
        <w:bidi w:val="0"/>
        <w:snapToGrid/>
        <w:spacing w:line="360" w:lineRule="auto"/>
        <w:ind w:firstLine="482" w:firstLineChars="200"/>
        <w:textAlignment w:val="auto"/>
        <w:rPr>
          <w:rFonts w:hint="eastAsia" w:ascii="宋体" w:hAnsi="宋体"/>
          <w:b/>
          <w:bCs/>
          <w:color w:val="000000"/>
          <w:sz w:val="24"/>
          <w:highlight w:val="none"/>
        </w:rPr>
      </w:pPr>
      <w:r>
        <w:rPr>
          <w:rFonts w:hint="eastAsia" w:ascii="宋体" w:hAnsi="宋体"/>
          <w:b/>
          <w:bCs/>
          <w:color w:val="000000"/>
          <w:sz w:val="24"/>
          <w:highlight w:val="none"/>
        </w:rPr>
        <w:t>（五）平战指挥（平时）</w:t>
      </w:r>
    </w:p>
    <w:p>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color w:val="000000"/>
          <w:sz w:val="24"/>
          <w:highlight w:val="none"/>
        </w:rPr>
      </w:pPr>
      <w:r>
        <w:rPr>
          <w:rFonts w:hint="eastAsia" w:ascii="宋体" w:hAnsi="宋体"/>
          <w:color w:val="000000"/>
          <w:sz w:val="24"/>
          <w:highlight w:val="none"/>
        </w:rPr>
        <w:t>深化各级联动的网格化事件指挥系统，结合综合指挥、执法协同指挥，形成跨部门、跨区域、跨层级的一体化多跨协同指挥体系。</w:t>
      </w:r>
    </w:p>
    <w:p>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color w:val="000000"/>
          <w:sz w:val="24"/>
          <w:highlight w:val="none"/>
        </w:rPr>
      </w:pPr>
      <w:r>
        <w:rPr>
          <w:rFonts w:hint="eastAsia" w:ascii="宋体" w:hAnsi="宋体"/>
          <w:color w:val="000000"/>
          <w:sz w:val="24"/>
          <w:highlight w:val="none"/>
        </w:rPr>
        <w:t>一是事件协同处置，按照“一网统管”事件协同处置的要求，对事件受理、事件分拨、事件督办、运行统计等模块进行功能升级，提升事件流转的智能化水平。</w:t>
      </w:r>
    </w:p>
    <w:p>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color w:val="000000"/>
          <w:sz w:val="24"/>
          <w:highlight w:val="none"/>
        </w:rPr>
      </w:pPr>
      <w:r>
        <w:rPr>
          <w:rFonts w:hint="eastAsia" w:ascii="宋体" w:hAnsi="宋体"/>
          <w:color w:val="000000"/>
          <w:sz w:val="24"/>
          <w:highlight w:val="none"/>
        </w:rPr>
        <w:t>1</w:t>
      </w:r>
      <w:r>
        <w:rPr>
          <w:rFonts w:hint="eastAsia" w:ascii="宋体" w:hAnsi="宋体"/>
          <w:color w:val="000000"/>
          <w:sz w:val="24"/>
          <w:highlight w:val="none"/>
          <w:lang w:eastAsia="zh-CN"/>
        </w:rPr>
        <w:t>、</w:t>
      </w:r>
      <w:r>
        <w:rPr>
          <w:rFonts w:hint="eastAsia" w:ascii="宋体" w:hAnsi="宋体"/>
          <w:color w:val="000000"/>
          <w:sz w:val="24"/>
          <w:highlight w:val="none"/>
        </w:rPr>
        <w:t>事件受理。对统一网格受理进行升级，支持12345热线、运行监测告警、AI智能识别等不同来源渠道上报的事件，新增事件智能分类、智能标注话题、智能标注地址、智能结案预审等功能，支持案件标签管理。</w:t>
      </w:r>
      <w:r>
        <w:rPr>
          <w:rFonts w:hint="eastAsia" w:ascii="宋体" w:hAnsi="宋体"/>
          <w:color w:val="000000"/>
          <w:sz w:val="24"/>
          <w:highlight w:val="none"/>
        </w:rPr>
        <w:br w:type="textWrapping"/>
      </w:r>
      <w:r>
        <w:rPr>
          <w:rFonts w:hint="eastAsia" w:ascii="宋体" w:hAnsi="宋体"/>
          <w:color w:val="000000"/>
          <w:sz w:val="24"/>
          <w:highlight w:val="none"/>
          <w:lang w:val="en-US" w:eastAsia="zh-CN"/>
        </w:rPr>
        <w:tab/>
      </w:r>
      <w:r>
        <w:rPr>
          <w:rFonts w:hint="eastAsia" w:ascii="宋体" w:hAnsi="宋体"/>
          <w:color w:val="000000"/>
          <w:sz w:val="24"/>
          <w:highlight w:val="none"/>
        </w:rPr>
        <w:t>2</w:t>
      </w:r>
      <w:r>
        <w:rPr>
          <w:rFonts w:hint="eastAsia" w:ascii="宋体" w:hAnsi="宋体"/>
          <w:color w:val="000000"/>
          <w:sz w:val="24"/>
          <w:highlight w:val="none"/>
          <w:lang w:eastAsia="zh-CN"/>
        </w:rPr>
        <w:t>、</w:t>
      </w:r>
      <w:r>
        <w:rPr>
          <w:rFonts w:hint="eastAsia" w:ascii="宋体" w:hAnsi="宋体"/>
          <w:color w:val="000000"/>
          <w:sz w:val="24"/>
          <w:highlight w:val="none"/>
        </w:rPr>
        <w:t>事件分拨。依托语义分析和人工智能技术，提供事项分类推荐和处置部门推荐功能。</w:t>
      </w:r>
      <w:r>
        <w:rPr>
          <w:rFonts w:hint="eastAsia" w:ascii="宋体" w:hAnsi="宋体"/>
          <w:color w:val="000000"/>
          <w:sz w:val="24"/>
          <w:highlight w:val="none"/>
        </w:rPr>
        <w:br w:type="textWrapping"/>
      </w:r>
      <w:r>
        <w:rPr>
          <w:rFonts w:hint="eastAsia" w:ascii="宋体" w:hAnsi="宋体"/>
          <w:color w:val="000000"/>
          <w:sz w:val="24"/>
          <w:highlight w:val="none"/>
          <w:lang w:val="en-US" w:eastAsia="zh-CN"/>
        </w:rPr>
        <w:tab/>
      </w:r>
      <w:r>
        <w:rPr>
          <w:rFonts w:hint="eastAsia" w:ascii="宋体" w:hAnsi="宋体"/>
          <w:color w:val="000000"/>
          <w:sz w:val="24"/>
          <w:highlight w:val="none"/>
        </w:rPr>
        <w:t>3</w:t>
      </w:r>
      <w:r>
        <w:rPr>
          <w:rFonts w:hint="eastAsia" w:ascii="宋体" w:hAnsi="宋体"/>
          <w:color w:val="000000"/>
          <w:sz w:val="24"/>
          <w:highlight w:val="none"/>
          <w:lang w:eastAsia="zh-CN"/>
        </w:rPr>
        <w:t>、</w:t>
      </w:r>
      <w:r>
        <w:rPr>
          <w:rFonts w:hint="eastAsia" w:ascii="宋体" w:hAnsi="宋体"/>
          <w:color w:val="000000"/>
          <w:sz w:val="24"/>
          <w:highlight w:val="none"/>
        </w:rPr>
        <w:t>事件督办。支持对单个案件、案件办理经过中某条内容、公文通告、个人等全业务进行督办，支持督办内容自动生成，支持跟踪督办消息是否已读。</w:t>
      </w:r>
      <w:r>
        <w:rPr>
          <w:rFonts w:hint="eastAsia" w:ascii="宋体" w:hAnsi="宋体"/>
          <w:color w:val="000000"/>
          <w:sz w:val="24"/>
          <w:highlight w:val="none"/>
        </w:rPr>
        <w:br w:type="textWrapping"/>
      </w:r>
      <w:r>
        <w:rPr>
          <w:rFonts w:hint="eastAsia" w:ascii="宋体" w:hAnsi="宋体"/>
          <w:color w:val="000000"/>
          <w:sz w:val="24"/>
          <w:highlight w:val="none"/>
          <w:lang w:val="en-US" w:eastAsia="zh-CN"/>
        </w:rPr>
        <w:tab/>
      </w:r>
      <w:r>
        <w:rPr>
          <w:rFonts w:hint="eastAsia" w:ascii="宋体" w:hAnsi="宋体"/>
          <w:color w:val="000000"/>
          <w:sz w:val="24"/>
          <w:highlight w:val="none"/>
        </w:rPr>
        <w:t>4</w:t>
      </w:r>
      <w:r>
        <w:rPr>
          <w:rFonts w:hint="eastAsia" w:ascii="宋体" w:hAnsi="宋体"/>
          <w:color w:val="000000"/>
          <w:sz w:val="24"/>
          <w:highlight w:val="none"/>
          <w:lang w:eastAsia="zh-CN"/>
        </w:rPr>
        <w:t>、</w:t>
      </w:r>
      <w:r>
        <w:rPr>
          <w:rFonts w:hint="eastAsia" w:ascii="宋体" w:hAnsi="宋体"/>
          <w:color w:val="000000"/>
          <w:sz w:val="24"/>
          <w:highlight w:val="none"/>
        </w:rPr>
        <w:t>运行统计。增加智能统计报表能力，能够根据实际工作需要拖拽式选择统计条件和统计方式，自动生成统计报表及时统计分析。</w:t>
      </w:r>
    </w:p>
    <w:p>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color w:val="000000"/>
          <w:sz w:val="24"/>
          <w:highlight w:val="none"/>
        </w:rPr>
      </w:pPr>
      <w:r>
        <w:rPr>
          <w:rFonts w:hint="eastAsia" w:ascii="宋体" w:hAnsi="宋体"/>
          <w:color w:val="000000"/>
          <w:sz w:val="24"/>
          <w:highlight w:val="none"/>
        </w:rPr>
        <w:t>二是高效处置引擎，城市运行“一网统管”业务流转复杂，需要通过自适应、灵活匹配多种场景的流程和规则引擎，支撑城市运行“一网统管”平台在面向多部门、多层级、多领域事项的流转。建设内容包括：</w:t>
      </w:r>
      <w:r>
        <w:rPr>
          <w:rFonts w:hint="eastAsia" w:ascii="宋体" w:hAnsi="宋体"/>
          <w:color w:val="000000"/>
          <w:sz w:val="24"/>
          <w:highlight w:val="none"/>
        </w:rPr>
        <w:br w:type="textWrapping"/>
      </w:r>
      <w:r>
        <w:rPr>
          <w:rFonts w:hint="eastAsia" w:ascii="宋体" w:hAnsi="宋体"/>
          <w:color w:val="000000"/>
          <w:sz w:val="24"/>
          <w:highlight w:val="none"/>
          <w:lang w:val="en-US" w:eastAsia="zh-CN"/>
        </w:rPr>
        <w:tab/>
      </w:r>
      <w:r>
        <w:rPr>
          <w:rFonts w:hint="eastAsia" w:ascii="宋体" w:hAnsi="宋体"/>
          <w:color w:val="000000"/>
          <w:sz w:val="24"/>
          <w:highlight w:val="none"/>
        </w:rPr>
        <w:t>1</w:t>
      </w:r>
      <w:r>
        <w:rPr>
          <w:rFonts w:hint="eastAsia" w:ascii="宋体" w:hAnsi="宋体"/>
          <w:color w:val="000000"/>
          <w:sz w:val="24"/>
          <w:highlight w:val="none"/>
          <w:lang w:eastAsia="zh-CN"/>
        </w:rPr>
        <w:t>、</w:t>
      </w:r>
      <w:r>
        <w:rPr>
          <w:rFonts w:hint="eastAsia" w:ascii="宋体" w:hAnsi="宋体"/>
          <w:color w:val="000000"/>
          <w:sz w:val="24"/>
          <w:highlight w:val="none"/>
        </w:rPr>
        <w:t>事件智能引擎。通过智能知识抽取技术、智能语义匹配技术，准确提取事件要素，为事件处置过程提供精准的事项推荐、部门推荐和相似事件推荐。</w:t>
      </w:r>
      <w:r>
        <w:rPr>
          <w:rFonts w:hint="eastAsia" w:ascii="宋体" w:hAnsi="宋体"/>
          <w:color w:val="000000"/>
          <w:sz w:val="24"/>
          <w:highlight w:val="none"/>
        </w:rPr>
        <w:br w:type="textWrapping"/>
      </w:r>
      <w:r>
        <w:rPr>
          <w:rFonts w:hint="eastAsia" w:ascii="宋体" w:hAnsi="宋体"/>
          <w:color w:val="000000"/>
          <w:sz w:val="24"/>
          <w:highlight w:val="none"/>
          <w:lang w:val="en-US" w:eastAsia="zh-CN"/>
        </w:rPr>
        <w:tab/>
      </w:r>
      <w:r>
        <w:rPr>
          <w:rFonts w:hint="eastAsia" w:ascii="宋体" w:hAnsi="宋体"/>
          <w:color w:val="000000"/>
          <w:sz w:val="24"/>
          <w:highlight w:val="none"/>
        </w:rPr>
        <w:t>2</w:t>
      </w:r>
      <w:r>
        <w:rPr>
          <w:rFonts w:hint="eastAsia" w:ascii="宋体" w:hAnsi="宋体"/>
          <w:color w:val="000000"/>
          <w:sz w:val="24"/>
          <w:highlight w:val="none"/>
          <w:lang w:eastAsia="zh-CN"/>
        </w:rPr>
        <w:t>、</w:t>
      </w:r>
      <w:r>
        <w:rPr>
          <w:rFonts w:hint="eastAsia" w:ascii="宋体" w:hAnsi="宋体"/>
          <w:color w:val="000000"/>
          <w:sz w:val="24"/>
          <w:highlight w:val="none"/>
        </w:rPr>
        <w:t>事项清单管理中心。支持事项清单管理、事项清单确权、事项清单版本管理、市区分级管理和分级映射管理。</w:t>
      </w:r>
      <w:r>
        <w:rPr>
          <w:rFonts w:hint="eastAsia" w:ascii="宋体" w:hAnsi="宋体"/>
          <w:color w:val="000000"/>
          <w:sz w:val="24"/>
          <w:highlight w:val="none"/>
        </w:rPr>
        <w:br w:type="textWrapping"/>
      </w:r>
      <w:r>
        <w:rPr>
          <w:rFonts w:hint="eastAsia" w:ascii="宋体" w:hAnsi="宋体"/>
          <w:color w:val="000000"/>
          <w:sz w:val="24"/>
          <w:highlight w:val="none"/>
          <w:lang w:val="en-US" w:eastAsia="zh-CN"/>
        </w:rPr>
        <w:tab/>
      </w:r>
      <w:r>
        <w:rPr>
          <w:rFonts w:hint="eastAsia" w:ascii="宋体" w:hAnsi="宋体"/>
          <w:color w:val="000000"/>
          <w:sz w:val="24"/>
          <w:highlight w:val="none"/>
        </w:rPr>
        <w:t>3</w:t>
      </w:r>
      <w:r>
        <w:rPr>
          <w:rFonts w:hint="eastAsia" w:ascii="宋体" w:hAnsi="宋体"/>
          <w:color w:val="000000"/>
          <w:sz w:val="24"/>
          <w:highlight w:val="none"/>
          <w:lang w:eastAsia="zh-CN"/>
        </w:rPr>
        <w:t>、</w:t>
      </w:r>
      <w:r>
        <w:rPr>
          <w:rFonts w:hint="eastAsia" w:ascii="宋体" w:hAnsi="宋体"/>
          <w:color w:val="000000"/>
          <w:sz w:val="24"/>
          <w:highlight w:val="none"/>
        </w:rPr>
        <w:t>流程中心。支持对各个阶段工作流业务进行配置，依托核心业务流程按照实际需要可灵活拓展构建新的业务流程，并建设流程引擎服务</w:t>
      </w:r>
      <w:r>
        <w:rPr>
          <w:rFonts w:hint="eastAsia" w:ascii="宋体" w:hAnsi="宋体"/>
          <w:color w:val="000000"/>
          <w:sz w:val="24"/>
          <w:highlight w:val="none"/>
          <w:lang w:eastAsia="zh-CN"/>
        </w:rPr>
        <w:t>，</w:t>
      </w:r>
      <w:r>
        <w:rPr>
          <w:rFonts w:hint="eastAsia" w:ascii="宋体" w:hAnsi="宋体"/>
          <w:color w:val="000000"/>
          <w:sz w:val="24"/>
          <w:highlight w:val="none"/>
        </w:rPr>
        <w:t>提供各新增流程实例获取接口服务。</w:t>
      </w:r>
    </w:p>
    <w:p>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color w:val="000000"/>
          <w:sz w:val="24"/>
          <w:highlight w:val="none"/>
        </w:rPr>
      </w:pPr>
      <w:r>
        <w:rPr>
          <w:rFonts w:hint="eastAsia" w:ascii="宋体" w:hAnsi="宋体"/>
          <w:color w:val="000000"/>
          <w:sz w:val="24"/>
          <w:highlight w:val="none"/>
        </w:rPr>
        <w:t>三是升级综合指挥，本次建设：</w:t>
      </w:r>
      <w:r>
        <w:rPr>
          <w:rFonts w:hint="eastAsia" w:ascii="宋体" w:hAnsi="宋体"/>
          <w:color w:val="000000"/>
          <w:sz w:val="24"/>
          <w:highlight w:val="none"/>
        </w:rPr>
        <w:br w:type="textWrapping"/>
      </w:r>
      <w:r>
        <w:rPr>
          <w:rFonts w:hint="eastAsia" w:ascii="宋体" w:hAnsi="宋体"/>
          <w:color w:val="000000"/>
          <w:sz w:val="24"/>
          <w:highlight w:val="none"/>
          <w:lang w:val="en-US" w:eastAsia="zh-CN"/>
        </w:rPr>
        <w:tab/>
      </w:r>
      <w:r>
        <w:rPr>
          <w:rFonts w:hint="eastAsia" w:ascii="宋体" w:hAnsi="宋体"/>
          <w:color w:val="000000"/>
          <w:sz w:val="24"/>
          <w:highlight w:val="none"/>
        </w:rPr>
        <w:t>1</w:t>
      </w:r>
      <w:r>
        <w:rPr>
          <w:rFonts w:hint="eastAsia" w:ascii="宋体" w:hAnsi="宋体"/>
          <w:color w:val="000000"/>
          <w:sz w:val="24"/>
          <w:highlight w:val="none"/>
          <w:lang w:eastAsia="zh-CN"/>
        </w:rPr>
        <w:t>、</w:t>
      </w:r>
      <w:r>
        <w:rPr>
          <w:rFonts w:hint="eastAsia" w:ascii="宋体" w:hAnsi="宋体"/>
          <w:color w:val="000000"/>
          <w:sz w:val="24"/>
          <w:highlight w:val="none"/>
        </w:rPr>
        <w:t>治理任务指挥。对运行监测和分析研判的问题，支持通过治理任务完成闭环管理，包括任务的发起、接收、反馈、审核、跟踪、审签、超期提醒等功能。</w:t>
      </w:r>
      <w:r>
        <w:rPr>
          <w:rFonts w:hint="eastAsia" w:ascii="宋体" w:hAnsi="宋体"/>
          <w:color w:val="000000"/>
          <w:sz w:val="24"/>
          <w:highlight w:val="none"/>
        </w:rPr>
        <w:br w:type="textWrapping"/>
      </w:r>
      <w:r>
        <w:rPr>
          <w:rFonts w:hint="eastAsia" w:ascii="宋体" w:hAnsi="宋体"/>
          <w:color w:val="000000"/>
          <w:sz w:val="24"/>
          <w:highlight w:val="none"/>
          <w:lang w:val="en-US" w:eastAsia="zh-CN"/>
        </w:rPr>
        <w:tab/>
      </w:r>
      <w:r>
        <w:rPr>
          <w:rFonts w:hint="eastAsia" w:ascii="宋体" w:hAnsi="宋体"/>
          <w:color w:val="000000"/>
          <w:sz w:val="24"/>
          <w:highlight w:val="none"/>
        </w:rPr>
        <w:t>2</w:t>
      </w:r>
      <w:r>
        <w:rPr>
          <w:rFonts w:hint="eastAsia" w:ascii="宋体" w:hAnsi="宋体"/>
          <w:color w:val="000000"/>
          <w:sz w:val="24"/>
          <w:highlight w:val="none"/>
          <w:lang w:eastAsia="zh-CN"/>
        </w:rPr>
        <w:t>、</w:t>
      </w:r>
      <w:r>
        <w:rPr>
          <w:rFonts w:hint="eastAsia" w:ascii="宋体" w:hAnsi="宋体"/>
          <w:color w:val="000000"/>
          <w:sz w:val="24"/>
          <w:highlight w:val="none"/>
        </w:rPr>
        <w:t>预案指令化。支持将预案内容按照指挥的阶段进行细分设置，可将各个阶段与指挥角色进行匹配，实现预案指挥的精细化管理。</w:t>
      </w:r>
    </w:p>
    <w:p>
      <w:pPr>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olor w:val="000000"/>
          <w:sz w:val="24"/>
          <w:highlight w:val="none"/>
        </w:rPr>
      </w:pPr>
      <w:r>
        <w:rPr>
          <w:rFonts w:hint="eastAsia" w:ascii="宋体" w:hAnsi="宋体"/>
          <w:color w:val="000000"/>
          <w:sz w:val="24"/>
          <w:highlight w:val="none"/>
        </w:rPr>
        <w:t>四是赋能智治平台，由于区县及以下主要使用基层智治平台进行事件处置，因此本次平台建设通过数据接口的方式将事件相关信息开放给各区县基层智治平台进行集成。</w:t>
      </w:r>
    </w:p>
    <w:p>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color w:val="000000"/>
          <w:sz w:val="24"/>
          <w:highlight w:val="none"/>
        </w:rPr>
      </w:pPr>
      <w:r>
        <w:rPr>
          <w:rFonts w:hint="eastAsia" w:ascii="宋体" w:hAnsi="宋体"/>
          <w:color w:val="000000"/>
          <w:sz w:val="24"/>
          <w:highlight w:val="none"/>
        </w:rPr>
        <w:t>五是平战转换，根据应急预案的响应要求，当事件达到应急响应要求时，推送给应急局，启动应急响应。</w:t>
      </w:r>
    </w:p>
    <w:p>
      <w:pPr>
        <w:pageBreakBefore w:val="0"/>
        <w:widowControl w:val="0"/>
        <w:kinsoku/>
        <w:wordWrap/>
        <w:overflowPunct/>
        <w:topLinePunct w:val="0"/>
        <w:autoSpaceDE/>
        <w:autoSpaceDN/>
        <w:bidi w:val="0"/>
        <w:snapToGrid/>
        <w:spacing w:line="360" w:lineRule="auto"/>
        <w:ind w:firstLine="482" w:firstLineChars="200"/>
        <w:textAlignment w:val="auto"/>
        <w:rPr>
          <w:rFonts w:hint="eastAsia" w:ascii="宋体" w:hAnsi="宋体"/>
          <w:b/>
          <w:bCs/>
          <w:color w:val="000000"/>
          <w:sz w:val="24"/>
          <w:highlight w:val="none"/>
        </w:rPr>
      </w:pPr>
      <w:r>
        <w:rPr>
          <w:rFonts w:hint="eastAsia" w:ascii="宋体" w:hAnsi="宋体"/>
          <w:b/>
          <w:bCs/>
          <w:color w:val="000000"/>
          <w:sz w:val="24"/>
          <w:highlight w:val="none"/>
        </w:rPr>
        <w:t>（六）综合评价</w:t>
      </w:r>
    </w:p>
    <w:p>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color w:val="000000"/>
          <w:sz w:val="24"/>
          <w:highlight w:val="none"/>
        </w:rPr>
      </w:pPr>
      <w:r>
        <w:rPr>
          <w:rFonts w:hint="eastAsia" w:ascii="宋体" w:hAnsi="宋体"/>
          <w:color w:val="000000"/>
          <w:sz w:val="24"/>
          <w:highlight w:val="none"/>
        </w:rPr>
        <w:t>按照城市运行“一网统管”的总体要求，建立客观、实时、一体化的城市运行指数评价体系及相应的评价系统，对城市运行“一网统管”相关市级部门及区、县（市）进行考核评价。</w:t>
      </w:r>
    </w:p>
    <w:p>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color w:val="000000"/>
          <w:sz w:val="24"/>
          <w:highlight w:val="none"/>
        </w:rPr>
      </w:pPr>
      <w:r>
        <w:rPr>
          <w:rFonts w:hint="eastAsia" w:ascii="宋体" w:hAnsi="宋体"/>
          <w:color w:val="000000"/>
          <w:sz w:val="24"/>
          <w:highlight w:val="none"/>
        </w:rPr>
        <w:t xml:space="preserve">一是评价功能升级，根据“迎亚运，创典范”城市文明大提升要求，对评价功能进行升级，具体包括： </w:t>
      </w:r>
      <w:r>
        <w:rPr>
          <w:rFonts w:hint="eastAsia" w:ascii="宋体" w:hAnsi="宋体"/>
          <w:color w:val="000000"/>
          <w:sz w:val="24"/>
          <w:highlight w:val="none"/>
        </w:rPr>
        <w:br w:type="textWrapping"/>
      </w:r>
      <w:r>
        <w:rPr>
          <w:rFonts w:hint="eastAsia" w:ascii="宋体" w:hAnsi="宋体"/>
          <w:color w:val="000000"/>
          <w:sz w:val="24"/>
          <w:highlight w:val="none"/>
          <w:lang w:val="en-US" w:eastAsia="zh-CN"/>
        </w:rPr>
        <w:tab/>
      </w:r>
      <w:r>
        <w:rPr>
          <w:rFonts w:hint="eastAsia" w:ascii="宋体" w:hAnsi="宋体"/>
          <w:color w:val="000000"/>
          <w:sz w:val="24"/>
          <w:highlight w:val="none"/>
        </w:rPr>
        <w:t>1</w:t>
      </w:r>
      <w:r>
        <w:rPr>
          <w:rFonts w:hint="eastAsia" w:ascii="宋体" w:hAnsi="宋体"/>
          <w:color w:val="000000"/>
          <w:sz w:val="24"/>
          <w:highlight w:val="none"/>
          <w:lang w:eastAsia="zh-CN"/>
        </w:rPr>
        <w:t>、</w:t>
      </w:r>
      <w:r>
        <w:rPr>
          <w:rFonts w:hint="eastAsia" w:ascii="宋体" w:hAnsi="宋体"/>
          <w:color w:val="000000"/>
          <w:sz w:val="24"/>
          <w:highlight w:val="none"/>
        </w:rPr>
        <w:t>区查区改功能。使用“迎亚运 创典范”城市文明大提升专项行动评分细则，对区查区改问题上报和问题类型认定进行优化，并提供重复案卷管理和轻微案卷抽查的功能。</w:t>
      </w:r>
      <w:r>
        <w:rPr>
          <w:rFonts w:hint="eastAsia" w:ascii="宋体" w:hAnsi="宋体"/>
          <w:color w:val="000000"/>
          <w:sz w:val="24"/>
          <w:highlight w:val="none"/>
        </w:rPr>
        <w:br w:type="textWrapping"/>
      </w:r>
      <w:r>
        <w:rPr>
          <w:rFonts w:hint="eastAsia" w:ascii="宋体" w:hAnsi="宋体"/>
          <w:color w:val="000000"/>
          <w:sz w:val="24"/>
          <w:highlight w:val="none"/>
          <w:lang w:val="en-US" w:eastAsia="zh-CN"/>
        </w:rPr>
        <w:tab/>
      </w:r>
      <w:r>
        <w:rPr>
          <w:rFonts w:hint="eastAsia" w:ascii="宋体" w:hAnsi="宋体"/>
          <w:color w:val="000000"/>
          <w:sz w:val="24"/>
          <w:highlight w:val="none"/>
        </w:rPr>
        <w:t>2</w:t>
      </w:r>
      <w:r>
        <w:rPr>
          <w:rFonts w:hint="eastAsia" w:ascii="宋体" w:hAnsi="宋体"/>
          <w:color w:val="000000"/>
          <w:sz w:val="24"/>
          <w:highlight w:val="none"/>
          <w:lang w:eastAsia="zh-CN"/>
        </w:rPr>
        <w:t>、</w:t>
      </w:r>
      <w:r>
        <w:rPr>
          <w:rFonts w:hint="eastAsia" w:ascii="宋体" w:hAnsi="宋体"/>
          <w:color w:val="000000"/>
          <w:sz w:val="24"/>
          <w:highlight w:val="none"/>
        </w:rPr>
        <w:t>行业检查功能。根据专项行动评分细则，对浙政钉行业检查上报和专用手机行业检查上报进行优化。</w:t>
      </w:r>
      <w:r>
        <w:rPr>
          <w:rFonts w:hint="eastAsia" w:ascii="宋体" w:hAnsi="宋体"/>
          <w:color w:val="000000"/>
          <w:sz w:val="24"/>
          <w:highlight w:val="none"/>
        </w:rPr>
        <w:br w:type="textWrapping"/>
      </w:r>
      <w:r>
        <w:rPr>
          <w:rFonts w:hint="eastAsia" w:ascii="宋体" w:hAnsi="宋体"/>
          <w:color w:val="000000"/>
          <w:sz w:val="24"/>
          <w:highlight w:val="none"/>
          <w:lang w:val="en-US" w:eastAsia="zh-CN"/>
        </w:rPr>
        <w:tab/>
      </w:r>
      <w:r>
        <w:rPr>
          <w:rFonts w:hint="eastAsia" w:ascii="宋体" w:hAnsi="宋体"/>
          <w:color w:val="000000"/>
          <w:sz w:val="24"/>
          <w:highlight w:val="none"/>
        </w:rPr>
        <w:t>3</w:t>
      </w:r>
      <w:r>
        <w:rPr>
          <w:rFonts w:hint="eastAsia" w:ascii="宋体" w:hAnsi="宋体"/>
          <w:color w:val="000000"/>
          <w:sz w:val="24"/>
          <w:highlight w:val="none"/>
          <w:lang w:eastAsia="zh-CN"/>
        </w:rPr>
        <w:t>、</w:t>
      </w:r>
      <w:r>
        <w:rPr>
          <w:rFonts w:hint="eastAsia" w:ascii="宋体" w:hAnsi="宋体"/>
          <w:color w:val="000000"/>
          <w:sz w:val="24"/>
          <w:highlight w:val="none"/>
        </w:rPr>
        <w:t>处置反馈与甄别流程功能。对处置流程和甄别流程的时限要求、流程进行调整。</w:t>
      </w:r>
      <w:r>
        <w:rPr>
          <w:rFonts w:hint="eastAsia" w:ascii="宋体" w:hAnsi="宋体"/>
          <w:color w:val="000000"/>
          <w:sz w:val="24"/>
          <w:highlight w:val="none"/>
        </w:rPr>
        <w:br w:type="textWrapping"/>
      </w:r>
      <w:r>
        <w:rPr>
          <w:rFonts w:hint="eastAsia" w:ascii="宋体" w:hAnsi="宋体"/>
          <w:color w:val="000000"/>
          <w:sz w:val="24"/>
          <w:highlight w:val="none"/>
          <w:lang w:val="en-US" w:eastAsia="zh-CN"/>
        </w:rPr>
        <w:tab/>
      </w:r>
      <w:r>
        <w:rPr>
          <w:rFonts w:hint="eastAsia" w:ascii="宋体" w:hAnsi="宋体"/>
          <w:color w:val="000000"/>
          <w:sz w:val="24"/>
          <w:highlight w:val="none"/>
        </w:rPr>
        <w:t>4</w:t>
      </w:r>
      <w:r>
        <w:rPr>
          <w:rFonts w:hint="eastAsia" w:ascii="宋体" w:hAnsi="宋体"/>
          <w:color w:val="000000"/>
          <w:sz w:val="24"/>
          <w:highlight w:val="none"/>
          <w:lang w:eastAsia="zh-CN"/>
        </w:rPr>
        <w:t>、</w:t>
      </w:r>
      <w:r>
        <w:rPr>
          <w:rFonts w:hint="eastAsia" w:ascii="宋体" w:hAnsi="宋体"/>
          <w:color w:val="000000"/>
          <w:sz w:val="24"/>
          <w:highlight w:val="none"/>
        </w:rPr>
        <w:t>综合督查功能。支持对综合督查任务管理，支持浙政钉/专用手机督查上报，支持督查初核。</w:t>
      </w:r>
      <w:r>
        <w:rPr>
          <w:rFonts w:hint="eastAsia" w:ascii="宋体" w:hAnsi="宋体"/>
          <w:color w:val="000000"/>
          <w:sz w:val="24"/>
          <w:highlight w:val="none"/>
        </w:rPr>
        <w:br w:type="textWrapping"/>
      </w:r>
      <w:r>
        <w:rPr>
          <w:rFonts w:hint="eastAsia" w:ascii="宋体" w:hAnsi="宋体"/>
          <w:color w:val="000000"/>
          <w:sz w:val="24"/>
          <w:highlight w:val="none"/>
          <w:lang w:val="en-US" w:eastAsia="zh-CN"/>
        </w:rPr>
        <w:tab/>
      </w:r>
      <w:r>
        <w:rPr>
          <w:rFonts w:hint="eastAsia" w:ascii="宋体" w:hAnsi="宋体"/>
          <w:color w:val="000000"/>
          <w:sz w:val="24"/>
          <w:highlight w:val="none"/>
        </w:rPr>
        <w:t>5</w:t>
      </w:r>
      <w:r>
        <w:rPr>
          <w:rFonts w:hint="eastAsia" w:ascii="宋体" w:hAnsi="宋体"/>
          <w:color w:val="000000"/>
          <w:sz w:val="24"/>
          <w:highlight w:val="none"/>
          <w:lang w:eastAsia="zh-CN"/>
        </w:rPr>
        <w:t>、</w:t>
      </w:r>
      <w:r>
        <w:rPr>
          <w:rFonts w:hint="eastAsia" w:ascii="宋体" w:hAnsi="宋体"/>
          <w:color w:val="000000"/>
          <w:sz w:val="24"/>
          <w:highlight w:val="none"/>
        </w:rPr>
        <w:t>支持对考核细则进行管理，支持对分类数据和考核数据进行统计分析。</w:t>
      </w:r>
    </w:p>
    <w:p>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color w:val="000000"/>
          <w:sz w:val="24"/>
          <w:highlight w:val="none"/>
        </w:rPr>
      </w:pPr>
      <w:r>
        <w:rPr>
          <w:rFonts w:hint="eastAsia" w:ascii="宋体" w:hAnsi="宋体"/>
          <w:color w:val="000000"/>
          <w:sz w:val="24"/>
          <w:highlight w:val="none"/>
        </w:rPr>
        <w:t>二是智能自动评价，新增智能自动评价，选取一些能够被视频自动识别的城市问题作为评价内容，建立综合评价指标。具体评价时，通过规则配置，系统自动选取一定路数的视频监控，在评价时间区间内，利用算法自动发现各类城市问题，并按照设定好的评价行扣分，最终通过视频识别进行智能评价。</w:t>
      </w:r>
    </w:p>
    <w:p>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color w:val="000000"/>
          <w:sz w:val="24"/>
          <w:highlight w:val="none"/>
        </w:rPr>
      </w:pPr>
      <w:r>
        <w:rPr>
          <w:rFonts w:hint="eastAsia" w:ascii="宋体" w:hAnsi="宋体"/>
          <w:color w:val="000000"/>
          <w:sz w:val="24"/>
          <w:highlight w:val="none"/>
        </w:rPr>
        <w:t>三是城市运行评价，基于原有评价功能的评价结果和智能自动评价的评价结果生成城市运行指数，对城市整体运行情况进行评价。</w:t>
      </w:r>
    </w:p>
    <w:p>
      <w:pPr>
        <w:pageBreakBefore w:val="0"/>
        <w:widowControl w:val="0"/>
        <w:kinsoku/>
        <w:wordWrap/>
        <w:overflowPunct/>
        <w:topLinePunct w:val="0"/>
        <w:autoSpaceDE/>
        <w:autoSpaceDN/>
        <w:bidi w:val="0"/>
        <w:snapToGrid/>
        <w:spacing w:line="360" w:lineRule="auto"/>
        <w:ind w:firstLine="482" w:firstLineChars="200"/>
        <w:textAlignment w:val="auto"/>
        <w:rPr>
          <w:rFonts w:hint="eastAsia" w:ascii="宋体" w:hAnsi="宋体"/>
          <w:b/>
          <w:bCs/>
          <w:color w:val="000000"/>
          <w:sz w:val="24"/>
          <w:highlight w:val="none"/>
        </w:rPr>
      </w:pPr>
      <w:r>
        <w:rPr>
          <w:rFonts w:hint="eastAsia" w:ascii="宋体" w:hAnsi="宋体"/>
          <w:b/>
          <w:bCs/>
          <w:color w:val="000000"/>
          <w:sz w:val="24"/>
          <w:highlight w:val="none"/>
        </w:rPr>
        <w:t>（七）行业应用拓展</w:t>
      </w:r>
    </w:p>
    <w:p>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color w:val="000000"/>
          <w:sz w:val="24"/>
          <w:highlight w:val="none"/>
        </w:rPr>
      </w:pPr>
      <w:r>
        <w:rPr>
          <w:rFonts w:hint="eastAsia" w:ascii="宋体" w:hAnsi="宋体"/>
          <w:color w:val="000000"/>
          <w:sz w:val="24"/>
          <w:highlight w:val="none"/>
        </w:rPr>
        <w:t>应用拓展功能本次建设内容：</w:t>
      </w:r>
    </w:p>
    <w:p>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color w:val="000000"/>
          <w:sz w:val="24"/>
          <w:highlight w:val="none"/>
        </w:rPr>
      </w:pPr>
      <w:r>
        <w:rPr>
          <w:rFonts w:hint="eastAsia" w:ascii="宋体" w:hAnsi="宋体"/>
          <w:color w:val="000000"/>
          <w:sz w:val="24"/>
          <w:highlight w:val="none"/>
        </w:rPr>
        <w:t>一是工程渣土监管服务系统，本次优化：</w:t>
      </w:r>
      <w:r>
        <w:rPr>
          <w:rFonts w:hint="eastAsia" w:ascii="宋体" w:hAnsi="宋体"/>
          <w:color w:val="000000"/>
          <w:sz w:val="24"/>
          <w:highlight w:val="none"/>
        </w:rPr>
        <w:br w:type="textWrapping"/>
      </w:r>
      <w:r>
        <w:rPr>
          <w:rFonts w:hint="eastAsia" w:ascii="宋体" w:hAnsi="宋体"/>
          <w:color w:val="000000"/>
          <w:sz w:val="24"/>
          <w:highlight w:val="none"/>
          <w:lang w:val="en-US" w:eastAsia="zh-CN"/>
        </w:rPr>
        <w:tab/>
      </w:r>
      <w:r>
        <w:rPr>
          <w:rFonts w:hint="eastAsia" w:ascii="宋体" w:hAnsi="宋体"/>
          <w:color w:val="000000"/>
          <w:sz w:val="24"/>
          <w:highlight w:val="none"/>
        </w:rPr>
        <w:t>1</w:t>
      </w:r>
      <w:r>
        <w:rPr>
          <w:rFonts w:hint="eastAsia" w:ascii="宋体" w:hAnsi="宋体"/>
          <w:color w:val="000000"/>
          <w:sz w:val="24"/>
          <w:highlight w:val="none"/>
          <w:lang w:eastAsia="zh-CN"/>
        </w:rPr>
        <w:t>、</w:t>
      </w:r>
      <w:r>
        <w:rPr>
          <w:rFonts w:hint="eastAsia" w:ascii="宋体" w:hAnsi="宋体"/>
          <w:color w:val="000000"/>
          <w:sz w:val="24"/>
          <w:highlight w:val="none"/>
        </w:rPr>
        <w:t>预警中心。新增可疑出土预警模型、可疑车辆预警模型和可疑消纳预警模型，对相关异常行为进行监控并展示。</w:t>
      </w:r>
      <w:r>
        <w:rPr>
          <w:rFonts w:hint="eastAsia" w:ascii="宋体" w:hAnsi="宋体"/>
          <w:color w:val="000000"/>
          <w:sz w:val="24"/>
          <w:highlight w:val="none"/>
        </w:rPr>
        <w:br w:type="textWrapping"/>
      </w:r>
      <w:r>
        <w:rPr>
          <w:rFonts w:hint="eastAsia" w:ascii="宋体" w:hAnsi="宋体"/>
          <w:color w:val="000000"/>
          <w:sz w:val="24"/>
          <w:highlight w:val="none"/>
          <w:lang w:val="en-US" w:eastAsia="zh-CN"/>
        </w:rPr>
        <w:tab/>
      </w:r>
      <w:r>
        <w:rPr>
          <w:rFonts w:hint="eastAsia" w:ascii="宋体" w:hAnsi="宋体"/>
          <w:color w:val="000000"/>
          <w:sz w:val="24"/>
          <w:highlight w:val="none"/>
        </w:rPr>
        <w:t>2</w:t>
      </w:r>
      <w:r>
        <w:rPr>
          <w:rFonts w:hint="eastAsia" w:ascii="宋体" w:hAnsi="宋体"/>
          <w:color w:val="000000"/>
          <w:sz w:val="24"/>
          <w:highlight w:val="none"/>
          <w:lang w:eastAsia="zh-CN"/>
        </w:rPr>
        <w:t>、</w:t>
      </w:r>
      <w:r>
        <w:rPr>
          <w:rFonts w:hint="eastAsia" w:ascii="宋体" w:hAnsi="宋体"/>
          <w:color w:val="000000"/>
          <w:sz w:val="24"/>
          <w:highlight w:val="none"/>
        </w:rPr>
        <w:t>统计报表。新增执法案件的统计分析，并对用户使用情况进行监控，建设全市渣土一览表，对渣土建设工地、运输车辆、运输船舶、消纳场地及数字化感知设备接入情况进行统计分析。</w:t>
      </w:r>
      <w:r>
        <w:rPr>
          <w:rFonts w:hint="eastAsia" w:ascii="宋体" w:hAnsi="宋体"/>
          <w:color w:val="000000"/>
          <w:sz w:val="24"/>
          <w:highlight w:val="none"/>
        </w:rPr>
        <w:br w:type="textWrapping"/>
      </w:r>
      <w:r>
        <w:rPr>
          <w:rFonts w:hint="eastAsia" w:ascii="宋体" w:hAnsi="宋体"/>
          <w:color w:val="000000"/>
          <w:sz w:val="24"/>
          <w:highlight w:val="none"/>
          <w:lang w:val="en-US" w:eastAsia="zh-CN"/>
        </w:rPr>
        <w:tab/>
      </w:r>
      <w:r>
        <w:rPr>
          <w:rFonts w:hint="eastAsia" w:ascii="宋体" w:hAnsi="宋体"/>
          <w:color w:val="000000"/>
          <w:sz w:val="24"/>
          <w:highlight w:val="none"/>
        </w:rPr>
        <w:t>3</w:t>
      </w:r>
      <w:r>
        <w:rPr>
          <w:rFonts w:hint="eastAsia" w:ascii="宋体" w:hAnsi="宋体"/>
          <w:color w:val="000000"/>
          <w:sz w:val="24"/>
          <w:highlight w:val="none"/>
          <w:lang w:eastAsia="zh-CN"/>
        </w:rPr>
        <w:t>、</w:t>
      </w:r>
      <w:r>
        <w:rPr>
          <w:rFonts w:hint="eastAsia" w:ascii="宋体" w:hAnsi="宋体"/>
          <w:color w:val="000000"/>
          <w:sz w:val="24"/>
          <w:highlight w:val="none"/>
        </w:rPr>
        <w:t>系统数据对接。根据业务需求，实现与权力阳光系统、卡口系统数据、交通系统数据、港航船舶轨迹数据、统一用户认证体系、清运车GPS数据和IRS相关数据进行对接。</w:t>
      </w:r>
      <w:r>
        <w:rPr>
          <w:rFonts w:hint="eastAsia" w:ascii="宋体" w:hAnsi="宋体"/>
          <w:color w:val="000000"/>
          <w:sz w:val="24"/>
          <w:highlight w:val="none"/>
        </w:rPr>
        <w:br w:type="textWrapping"/>
      </w:r>
      <w:r>
        <w:rPr>
          <w:rFonts w:hint="eastAsia" w:ascii="宋体" w:hAnsi="宋体"/>
          <w:color w:val="000000"/>
          <w:sz w:val="24"/>
          <w:highlight w:val="none"/>
          <w:lang w:val="en-US" w:eastAsia="zh-CN"/>
        </w:rPr>
        <w:tab/>
      </w:r>
      <w:r>
        <w:rPr>
          <w:rFonts w:hint="eastAsia" w:ascii="宋体" w:hAnsi="宋体"/>
          <w:color w:val="000000"/>
          <w:sz w:val="24"/>
          <w:highlight w:val="none"/>
        </w:rPr>
        <w:t>4</w:t>
      </w:r>
      <w:r>
        <w:rPr>
          <w:rFonts w:hint="eastAsia" w:ascii="宋体" w:hAnsi="宋体"/>
          <w:color w:val="000000"/>
          <w:sz w:val="24"/>
          <w:highlight w:val="none"/>
          <w:lang w:eastAsia="zh-CN"/>
        </w:rPr>
        <w:t>、</w:t>
      </w:r>
      <w:r>
        <w:rPr>
          <w:rFonts w:hint="eastAsia" w:ascii="宋体" w:hAnsi="宋体"/>
          <w:color w:val="000000"/>
          <w:sz w:val="24"/>
          <w:highlight w:val="none"/>
        </w:rPr>
        <w:t>渣土考评模块。对建设单位、施工单位、消纳场经营单位、运输公司、驾驶员这五类主体建立综合评价模型，实现评价数据采集获取、评价结果统计输出、评价结果展示的全闭环。</w:t>
      </w:r>
      <w:r>
        <w:rPr>
          <w:rFonts w:hint="eastAsia" w:ascii="宋体" w:hAnsi="宋体"/>
          <w:color w:val="000000"/>
          <w:sz w:val="24"/>
          <w:highlight w:val="none"/>
        </w:rPr>
        <w:br w:type="textWrapping"/>
      </w:r>
      <w:r>
        <w:rPr>
          <w:rFonts w:hint="eastAsia" w:ascii="宋体" w:hAnsi="宋体"/>
          <w:color w:val="000000"/>
          <w:sz w:val="24"/>
          <w:highlight w:val="none"/>
          <w:lang w:val="en-US" w:eastAsia="zh-CN"/>
        </w:rPr>
        <w:tab/>
      </w:r>
      <w:r>
        <w:rPr>
          <w:rFonts w:hint="eastAsia" w:ascii="宋体" w:hAnsi="宋体"/>
          <w:color w:val="000000"/>
          <w:sz w:val="24"/>
          <w:highlight w:val="none"/>
        </w:rPr>
        <w:t>5</w:t>
      </w:r>
      <w:r>
        <w:rPr>
          <w:rFonts w:hint="eastAsia" w:ascii="宋体" w:hAnsi="宋体"/>
          <w:color w:val="000000"/>
          <w:sz w:val="24"/>
          <w:highlight w:val="none"/>
          <w:lang w:eastAsia="zh-CN"/>
        </w:rPr>
        <w:t>、</w:t>
      </w:r>
      <w:r>
        <w:rPr>
          <w:rFonts w:hint="eastAsia" w:ascii="宋体" w:hAnsi="宋体"/>
          <w:color w:val="000000"/>
          <w:sz w:val="24"/>
          <w:highlight w:val="none"/>
        </w:rPr>
        <w:t>装修垃圾管理。归集装修垃圾相关数据，对装修垃圾申报进行管理，并针对各环节上报、接入的数据进行分析。</w:t>
      </w:r>
      <w:r>
        <w:rPr>
          <w:rFonts w:hint="eastAsia" w:ascii="宋体" w:hAnsi="宋体"/>
          <w:color w:val="000000"/>
          <w:sz w:val="24"/>
          <w:highlight w:val="none"/>
        </w:rPr>
        <w:br w:type="textWrapping"/>
      </w:r>
      <w:r>
        <w:rPr>
          <w:rFonts w:hint="eastAsia" w:ascii="宋体" w:hAnsi="宋体"/>
          <w:color w:val="000000"/>
          <w:sz w:val="24"/>
          <w:highlight w:val="none"/>
          <w:lang w:val="en-US" w:eastAsia="zh-CN"/>
        </w:rPr>
        <w:tab/>
      </w:r>
      <w:r>
        <w:rPr>
          <w:rFonts w:hint="eastAsia" w:ascii="宋体" w:hAnsi="宋体"/>
          <w:color w:val="000000"/>
          <w:sz w:val="24"/>
          <w:highlight w:val="none"/>
        </w:rPr>
        <w:t>6</w:t>
      </w:r>
      <w:r>
        <w:rPr>
          <w:rFonts w:hint="eastAsia" w:ascii="宋体" w:hAnsi="宋体"/>
          <w:color w:val="000000"/>
          <w:sz w:val="24"/>
          <w:highlight w:val="none"/>
          <w:lang w:eastAsia="zh-CN"/>
        </w:rPr>
        <w:t>、</w:t>
      </w:r>
      <w:r>
        <w:rPr>
          <w:rFonts w:hint="eastAsia" w:ascii="宋体" w:hAnsi="宋体"/>
          <w:color w:val="000000"/>
          <w:sz w:val="24"/>
          <w:highlight w:val="none"/>
        </w:rPr>
        <w:t>感知设备接入管理。制定工地和消纳场的感知设备的接入流程及技术标准，对接入的设备进行统一管理，支持统计设备的接入率。</w:t>
      </w:r>
      <w:r>
        <w:rPr>
          <w:rFonts w:hint="eastAsia" w:ascii="宋体" w:hAnsi="宋体"/>
          <w:color w:val="000000"/>
          <w:sz w:val="24"/>
          <w:highlight w:val="none"/>
        </w:rPr>
        <w:br w:type="textWrapping"/>
      </w:r>
      <w:r>
        <w:rPr>
          <w:rFonts w:hint="eastAsia" w:ascii="宋体" w:hAnsi="宋体"/>
          <w:color w:val="000000"/>
          <w:sz w:val="24"/>
          <w:highlight w:val="none"/>
          <w:lang w:val="en-US" w:eastAsia="zh-CN"/>
        </w:rPr>
        <w:tab/>
      </w:r>
      <w:r>
        <w:rPr>
          <w:rFonts w:ascii="宋体" w:hAnsi="宋体"/>
          <w:color w:val="000000"/>
          <w:sz w:val="24"/>
          <w:highlight w:val="none"/>
        </w:rPr>
        <w:t>7</w:t>
      </w:r>
      <w:r>
        <w:rPr>
          <w:rFonts w:hint="eastAsia" w:ascii="宋体" w:hAnsi="宋体"/>
          <w:color w:val="000000"/>
          <w:sz w:val="24"/>
          <w:highlight w:val="none"/>
          <w:lang w:eastAsia="zh-CN"/>
        </w:rPr>
        <w:t>、</w:t>
      </w:r>
      <w:r>
        <w:rPr>
          <w:rFonts w:hint="eastAsia" w:ascii="宋体" w:hAnsi="宋体"/>
          <w:color w:val="000000"/>
          <w:sz w:val="24"/>
          <w:highlight w:val="none"/>
        </w:rPr>
        <w:t>渣土交易移动端。建设渣土交易移动端小程序，支持查看渣土市场动态、渣土行情，查找附近工地、消纳场，查看场地基本信息等操作。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olor w:val="000000"/>
          <w:sz w:val="24"/>
          <w:highlight w:val="none"/>
        </w:rPr>
      </w:pPr>
      <w:r>
        <w:rPr>
          <w:rFonts w:hint="eastAsia" w:ascii="宋体" w:hAnsi="宋体"/>
          <w:color w:val="000000"/>
          <w:sz w:val="24"/>
          <w:highlight w:val="none"/>
        </w:rPr>
        <w:t>二是智慧市政系统，本次优化：</w:t>
      </w:r>
      <w:r>
        <w:rPr>
          <w:rFonts w:hint="eastAsia" w:ascii="宋体" w:hAnsi="宋体"/>
          <w:color w:val="000000"/>
          <w:sz w:val="24"/>
          <w:highlight w:val="none"/>
        </w:rPr>
        <w:br w:type="textWrapping"/>
      </w:r>
      <w:r>
        <w:rPr>
          <w:rFonts w:hint="eastAsia" w:ascii="宋体" w:hAnsi="宋体"/>
          <w:color w:val="000000"/>
          <w:sz w:val="24"/>
          <w:highlight w:val="none"/>
          <w:lang w:val="en-US" w:eastAsia="zh-CN"/>
        </w:rPr>
        <w:tab/>
      </w:r>
      <w:r>
        <w:rPr>
          <w:rFonts w:hint="eastAsia" w:ascii="宋体" w:hAnsi="宋体"/>
          <w:color w:val="000000"/>
          <w:sz w:val="24"/>
          <w:highlight w:val="none"/>
        </w:rPr>
        <w:t>1</w:t>
      </w:r>
      <w:r>
        <w:rPr>
          <w:rFonts w:hint="eastAsia" w:ascii="宋体" w:hAnsi="宋体"/>
          <w:color w:val="000000"/>
          <w:sz w:val="24"/>
          <w:highlight w:val="none"/>
          <w:lang w:eastAsia="zh-CN"/>
        </w:rPr>
        <w:t>、</w:t>
      </w:r>
      <w:r>
        <w:rPr>
          <w:rFonts w:hint="eastAsia" w:ascii="宋体" w:hAnsi="宋体"/>
          <w:color w:val="000000"/>
          <w:sz w:val="24"/>
          <w:highlight w:val="none"/>
        </w:rPr>
        <w:t>设施安全风险三色评价模块。通过结构安全、检测巡查、设施完好率、车行道指数等多评价维度构建设施三色风险模型，按红/黄/绿三色对设施进行评价。</w:t>
      </w:r>
      <w:r>
        <w:rPr>
          <w:rFonts w:hint="eastAsia" w:ascii="宋体" w:hAnsi="宋体"/>
          <w:color w:val="000000"/>
          <w:sz w:val="24"/>
          <w:highlight w:val="none"/>
        </w:rPr>
        <w:br w:type="textWrapping"/>
      </w:r>
      <w:r>
        <w:rPr>
          <w:rFonts w:hint="eastAsia" w:ascii="宋体" w:hAnsi="宋体"/>
          <w:color w:val="000000"/>
          <w:sz w:val="24"/>
          <w:highlight w:val="none"/>
          <w:lang w:val="en-US" w:eastAsia="zh-CN"/>
        </w:rPr>
        <w:tab/>
      </w:r>
      <w:r>
        <w:rPr>
          <w:rFonts w:hint="eastAsia" w:ascii="宋体" w:hAnsi="宋体"/>
          <w:color w:val="000000"/>
          <w:sz w:val="24"/>
          <w:highlight w:val="none"/>
        </w:rPr>
        <w:t>2</w:t>
      </w:r>
      <w:r>
        <w:rPr>
          <w:rFonts w:hint="eastAsia" w:ascii="宋体" w:hAnsi="宋体"/>
          <w:color w:val="000000"/>
          <w:sz w:val="24"/>
          <w:highlight w:val="none"/>
          <w:lang w:eastAsia="zh-CN"/>
        </w:rPr>
        <w:t>、</w:t>
      </w:r>
      <w:r>
        <w:rPr>
          <w:rFonts w:hint="eastAsia" w:ascii="宋体" w:hAnsi="宋体"/>
          <w:color w:val="000000"/>
          <w:sz w:val="24"/>
          <w:highlight w:val="none"/>
        </w:rPr>
        <w:t>健康监测模块。支持桥梁的环境监测、变形监测、结构响应监测、三维展示、预警处置和桩基冲刷监测，并通过可视化形式体现结构安全算法，包括算法的依据、形式、形成、结论等。</w:t>
      </w:r>
      <w:r>
        <w:rPr>
          <w:rFonts w:hint="eastAsia" w:ascii="宋体" w:hAnsi="宋体"/>
          <w:color w:val="000000"/>
          <w:sz w:val="24"/>
          <w:highlight w:val="none"/>
        </w:rPr>
        <w:br w:type="textWrapping"/>
      </w:r>
      <w:r>
        <w:rPr>
          <w:rFonts w:hint="eastAsia" w:ascii="宋体" w:hAnsi="宋体"/>
          <w:color w:val="000000"/>
          <w:sz w:val="24"/>
          <w:highlight w:val="none"/>
          <w:lang w:val="en-US" w:eastAsia="zh-CN"/>
        </w:rPr>
        <w:tab/>
      </w:r>
      <w:r>
        <w:rPr>
          <w:rFonts w:hint="eastAsia" w:ascii="宋体" w:hAnsi="宋体"/>
          <w:color w:val="000000"/>
          <w:sz w:val="24"/>
          <w:highlight w:val="none"/>
        </w:rPr>
        <w:t>3</w:t>
      </w:r>
      <w:r>
        <w:rPr>
          <w:rFonts w:hint="eastAsia" w:ascii="宋体" w:hAnsi="宋体"/>
          <w:color w:val="000000"/>
          <w:sz w:val="24"/>
          <w:highlight w:val="none"/>
          <w:lang w:eastAsia="zh-CN"/>
        </w:rPr>
        <w:t>、</w:t>
      </w:r>
      <w:r>
        <w:rPr>
          <w:rFonts w:hint="eastAsia" w:ascii="宋体" w:hAnsi="宋体"/>
          <w:color w:val="000000"/>
          <w:sz w:val="24"/>
          <w:highlight w:val="none"/>
        </w:rPr>
        <w:t>桥梁超高防撞。对部分老桥、天桥、隧道等实施超高防撞监测，支持超高统计分析、超高预警和地图展示，并将数据共享给交通、运管等部门。</w:t>
      </w:r>
      <w:r>
        <w:rPr>
          <w:rFonts w:hint="eastAsia" w:ascii="宋体" w:hAnsi="宋体"/>
          <w:color w:val="000000"/>
          <w:sz w:val="24"/>
          <w:highlight w:val="none"/>
        </w:rPr>
        <w:br w:type="textWrapping"/>
      </w:r>
      <w:r>
        <w:rPr>
          <w:rFonts w:hint="eastAsia" w:ascii="宋体" w:hAnsi="宋体"/>
          <w:color w:val="000000"/>
          <w:sz w:val="24"/>
          <w:highlight w:val="none"/>
          <w:lang w:val="en-US" w:eastAsia="zh-CN"/>
        </w:rPr>
        <w:tab/>
      </w:r>
      <w:r>
        <w:rPr>
          <w:rFonts w:hint="eastAsia" w:ascii="宋体" w:hAnsi="宋体"/>
          <w:color w:val="000000"/>
          <w:sz w:val="24"/>
          <w:highlight w:val="none"/>
        </w:rPr>
        <w:t>4</w:t>
      </w:r>
      <w:r>
        <w:rPr>
          <w:rFonts w:hint="eastAsia" w:ascii="宋体" w:hAnsi="宋体"/>
          <w:color w:val="000000"/>
          <w:sz w:val="24"/>
          <w:highlight w:val="none"/>
          <w:lang w:eastAsia="zh-CN"/>
        </w:rPr>
        <w:t>、</w:t>
      </w:r>
      <w:r>
        <w:rPr>
          <w:rFonts w:hint="eastAsia" w:ascii="宋体" w:hAnsi="宋体"/>
          <w:color w:val="000000"/>
          <w:sz w:val="24"/>
          <w:highlight w:val="none"/>
        </w:rPr>
        <w:t>人行地道管理。接入杭州市范围内38座人行地道监测、电梯运行数据，建立维养处置模块支持二三维展示、设备管理、状态管理和预警管理。</w:t>
      </w:r>
      <w:r>
        <w:rPr>
          <w:rFonts w:hint="eastAsia" w:ascii="宋体" w:hAnsi="宋体"/>
          <w:color w:val="000000"/>
          <w:sz w:val="24"/>
          <w:highlight w:val="none"/>
        </w:rPr>
        <w:br w:type="textWrapping"/>
      </w:r>
      <w:r>
        <w:rPr>
          <w:rFonts w:hint="eastAsia" w:ascii="宋体" w:hAnsi="宋体"/>
          <w:color w:val="000000"/>
          <w:sz w:val="24"/>
          <w:highlight w:val="none"/>
          <w:lang w:val="en-US" w:eastAsia="zh-CN"/>
        </w:rPr>
        <w:tab/>
      </w:r>
      <w:r>
        <w:rPr>
          <w:rFonts w:hint="eastAsia" w:ascii="宋体" w:hAnsi="宋体"/>
          <w:color w:val="000000"/>
          <w:sz w:val="24"/>
          <w:highlight w:val="none"/>
        </w:rPr>
        <w:t>5</w:t>
      </w:r>
      <w:r>
        <w:rPr>
          <w:rFonts w:hint="eastAsia" w:ascii="宋体" w:hAnsi="宋体"/>
          <w:color w:val="000000"/>
          <w:sz w:val="24"/>
          <w:highlight w:val="none"/>
          <w:lang w:eastAsia="zh-CN"/>
        </w:rPr>
        <w:t>、</w:t>
      </w:r>
      <w:r>
        <w:rPr>
          <w:rFonts w:hint="eastAsia" w:ascii="宋体" w:hAnsi="宋体"/>
          <w:color w:val="000000"/>
          <w:sz w:val="24"/>
          <w:highlight w:val="none"/>
        </w:rPr>
        <w:t>综合管廊管理。打造管廊运维监控统一管理平台，支持管廊的空间可视化、综合监控、视频监控、设备管理、资产管理、能耗管理、事件管理、巡检管理、维修管理、移动终端管理和风险评估，支持统计各类数据并形成相关报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olor w:val="000000"/>
          <w:sz w:val="24"/>
          <w:highlight w:val="none"/>
        </w:rPr>
      </w:pPr>
      <w:r>
        <w:rPr>
          <w:rFonts w:hint="eastAsia" w:ascii="宋体" w:hAnsi="宋体"/>
          <w:color w:val="000000"/>
          <w:sz w:val="24"/>
          <w:highlight w:val="none"/>
        </w:rPr>
        <w:t>6</w:t>
      </w:r>
      <w:r>
        <w:rPr>
          <w:rFonts w:hint="eastAsia" w:ascii="宋体" w:hAnsi="宋体"/>
          <w:color w:val="000000"/>
          <w:sz w:val="24"/>
          <w:highlight w:val="none"/>
          <w:lang w:eastAsia="zh-CN"/>
        </w:rPr>
        <w:t>、</w:t>
      </w:r>
      <w:r>
        <w:rPr>
          <w:rFonts w:hint="eastAsia" w:ascii="宋体" w:hAnsi="宋体"/>
          <w:color w:val="000000"/>
          <w:sz w:val="24"/>
          <w:highlight w:val="none"/>
        </w:rPr>
        <w:t>道路塌陷风险管理。对城市道路的雷达扫描检测项目进行管理，支持项目信息、扫描结果、道路病害案卷和维修计划进行管理，输出风险预警报告，支持通过可视化展示道路雷达扫描结果和病害管理数据。</w:t>
      </w:r>
      <w:r>
        <w:rPr>
          <w:rFonts w:hint="eastAsia" w:ascii="宋体" w:hAnsi="宋体"/>
          <w:color w:val="000000"/>
          <w:sz w:val="24"/>
          <w:highlight w:val="none"/>
        </w:rPr>
        <w:br w:type="textWrapping"/>
      </w:r>
      <w:r>
        <w:rPr>
          <w:rFonts w:hint="eastAsia" w:ascii="宋体" w:hAnsi="宋体"/>
          <w:color w:val="000000"/>
          <w:sz w:val="24"/>
          <w:highlight w:val="none"/>
          <w:lang w:val="en-US" w:eastAsia="zh-CN"/>
        </w:rPr>
        <w:tab/>
      </w:r>
      <w:r>
        <w:rPr>
          <w:rFonts w:hint="eastAsia" w:ascii="宋体" w:hAnsi="宋体"/>
          <w:color w:val="000000"/>
          <w:sz w:val="24"/>
          <w:highlight w:val="none"/>
          <w:lang w:val="en-US" w:eastAsia="zh-CN"/>
        </w:rPr>
        <w:t>7、</w:t>
      </w:r>
      <w:r>
        <w:rPr>
          <w:rFonts w:hint="eastAsia" w:ascii="宋体" w:hAnsi="宋体"/>
          <w:color w:val="000000"/>
          <w:sz w:val="24"/>
          <w:highlight w:val="none"/>
        </w:rPr>
        <w:t>设施管理模块新增市政路网界限范围标注描画功能、信息数据更新提醒功能、界限范围展示功能等；设定道路坦途指数，以红/黄/绿三色评价道路；在环境呵护模块，对试点隧道开发调光模块，实现隧道内灯光的自动调节。</w:t>
      </w:r>
    </w:p>
    <w:p>
      <w:pPr>
        <w:pStyle w:val="2"/>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lang w:val="en-US" w:eastAsia="zh-CN"/>
        </w:rPr>
      </w:pPr>
      <w:r>
        <w:rPr>
          <w:rFonts w:hint="eastAsia"/>
          <w:lang w:val="en-US" w:eastAsia="zh-CN"/>
        </w:rPr>
        <w:t>8、项目绩效评价模块。基于项目合同标段数据库，联动监管部门、监理企业、养护企业，对合同项目规定的设施、范围、企业、人员等进行管理审核，按合同规定内容条款进行解析形成任务目标，并根据目标完成情况对履约形成周期绩效评价，实现线上监管，闭环管控。</w:t>
      </w:r>
    </w:p>
    <w:p>
      <w:pPr>
        <w:pStyle w:val="2"/>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eastAsia="宋体"/>
          <w:lang w:val="en-US" w:eastAsia="zh-CN"/>
        </w:rPr>
      </w:pPr>
      <w:r>
        <w:rPr>
          <w:rFonts w:hint="eastAsia"/>
          <w:lang w:val="en-US" w:eastAsia="zh-CN"/>
        </w:rPr>
        <w:t>9、养护类工程管理模块。旨在有效提高养护工程管理的效率和质量，确保养护工程的顺利进行和安全完成，同时方便管理人员实时了解养护工程的情况，及时作出决策和调整。该模块的建设开发内容包括：沥青混凝土采购管理、沥青混凝土运输管理、养护工程信息管理、材料设备溯源、监理信息管理和第三方检测管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olor w:val="000000"/>
          <w:sz w:val="24"/>
          <w:highlight w:val="none"/>
        </w:rPr>
      </w:pPr>
      <w:r>
        <w:rPr>
          <w:rFonts w:hint="eastAsia" w:ascii="宋体" w:hAnsi="宋体"/>
          <w:color w:val="000000"/>
          <w:sz w:val="24"/>
          <w:highlight w:val="none"/>
        </w:rPr>
        <w:t>三是智慧水设施系统。</w:t>
      </w:r>
      <w:r>
        <w:rPr>
          <w:rFonts w:hint="eastAsia" w:ascii="宋体" w:hAnsi="宋体"/>
          <w:color w:val="000000"/>
          <w:sz w:val="24"/>
          <w:highlight w:val="none"/>
        </w:rPr>
        <w:br w:type="textWrapping"/>
      </w:r>
      <w:r>
        <w:rPr>
          <w:rFonts w:hint="eastAsia" w:ascii="宋体" w:hAnsi="宋体"/>
          <w:color w:val="000000"/>
          <w:sz w:val="24"/>
          <w:highlight w:val="none"/>
          <w:lang w:val="en-US" w:eastAsia="zh-CN"/>
        </w:rPr>
        <w:tab/>
      </w:r>
      <w:r>
        <w:rPr>
          <w:rFonts w:hint="eastAsia" w:ascii="宋体" w:hAnsi="宋体"/>
          <w:color w:val="000000"/>
          <w:sz w:val="24"/>
          <w:highlight w:val="none"/>
        </w:rPr>
        <w:t>1</w:t>
      </w:r>
      <w:r>
        <w:rPr>
          <w:rFonts w:hint="eastAsia" w:ascii="宋体" w:hAnsi="宋体"/>
          <w:color w:val="000000"/>
          <w:sz w:val="24"/>
          <w:highlight w:val="none"/>
          <w:lang w:eastAsia="zh-CN"/>
        </w:rPr>
        <w:t>、</w:t>
      </w:r>
      <w:r>
        <w:rPr>
          <w:rFonts w:hint="eastAsia" w:ascii="宋体" w:hAnsi="宋体"/>
          <w:color w:val="000000"/>
          <w:sz w:val="24"/>
          <w:highlight w:val="none"/>
        </w:rPr>
        <w:t>城市供水，按照省建设厅城市供水市县级标准版要求建设杭州城市供水模块，包括系统和区、县（市）数据对接；</w:t>
      </w:r>
      <w:r>
        <w:rPr>
          <w:rFonts w:hint="eastAsia" w:ascii="宋体" w:hAnsi="宋体"/>
          <w:color w:val="000000"/>
          <w:sz w:val="24"/>
          <w:highlight w:val="none"/>
        </w:rPr>
        <w:br w:type="textWrapping"/>
      </w:r>
      <w:r>
        <w:rPr>
          <w:rFonts w:hint="eastAsia" w:ascii="宋体" w:hAnsi="宋体"/>
          <w:color w:val="000000"/>
          <w:sz w:val="24"/>
          <w:highlight w:val="none"/>
          <w:lang w:val="en-US" w:eastAsia="zh-CN"/>
        </w:rPr>
        <w:tab/>
      </w:r>
      <w:r>
        <w:rPr>
          <w:rFonts w:hint="eastAsia" w:ascii="宋体" w:hAnsi="宋体"/>
          <w:color w:val="000000"/>
          <w:sz w:val="24"/>
          <w:highlight w:val="none"/>
        </w:rPr>
        <w:t>2</w:t>
      </w:r>
      <w:r>
        <w:rPr>
          <w:rFonts w:hint="eastAsia" w:ascii="宋体" w:hAnsi="宋体"/>
          <w:color w:val="000000"/>
          <w:sz w:val="24"/>
          <w:highlight w:val="none"/>
          <w:lang w:eastAsia="zh-CN"/>
        </w:rPr>
        <w:t>、</w:t>
      </w:r>
      <w:r>
        <w:rPr>
          <w:rFonts w:hint="eastAsia" w:ascii="宋体" w:hAnsi="宋体"/>
          <w:color w:val="000000"/>
          <w:sz w:val="24"/>
          <w:highlight w:val="none"/>
        </w:rPr>
        <w:t>城镇生活污水治理，按照省建设厅城镇生活污水治理市县级标准版要求建设杭州城镇生活污水治理模块，包括系统和区、县（市）数据对接；</w:t>
      </w:r>
      <w:r>
        <w:rPr>
          <w:rFonts w:hint="eastAsia" w:ascii="宋体" w:hAnsi="宋体"/>
          <w:color w:val="000000"/>
          <w:sz w:val="24"/>
          <w:highlight w:val="none"/>
        </w:rPr>
        <w:br w:type="textWrapping"/>
      </w:r>
      <w:r>
        <w:rPr>
          <w:rFonts w:hint="eastAsia" w:ascii="宋体" w:hAnsi="宋体"/>
          <w:color w:val="000000"/>
          <w:sz w:val="24"/>
          <w:highlight w:val="none"/>
          <w:lang w:val="en-US" w:eastAsia="zh-CN"/>
        </w:rPr>
        <w:tab/>
      </w:r>
      <w:r>
        <w:rPr>
          <w:rFonts w:hint="eastAsia" w:ascii="宋体" w:hAnsi="宋体"/>
          <w:color w:val="000000"/>
          <w:sz w:val="24"/>
          <w:highlight w:val="none"/>
        </w:rPr>
        <w:t>3</w:t>
      </w:r>
      <w:r>
        <w:rPr>
          <w:rFonts w:hint="eastAsia" w:ascii="宋体" w:hAnsi="宋体"/>
          <w:color w:val="000000"/>
          <w:sz w:val="24"/>
          <w:highlight w:val="none"/>
          <w:lang w:eastAsia="zh-CN"/>
        </w:rPr>
        <w:t>、</w:t>
      </w:r>
      <w:r>
        <w:rPr>
          <w:rFonts w:hint="eastAsia" w:ascii="宋体" w:hAnsi="宋体"/>
          <w:color w:val="000000"/>
          <w:sz w:val="24"/>
          <w:highlight w:val="none"/>
        </w:rPr>
        <w:t>二次供水管理，包括二次供水项目立项、建设、竣工、结算、巡视等项目全生命周期管理；</w:t>
      </w:r>
      <w:r>
        <w:rPr>
          <w:rFonts w:hint="eastAsia" w:ascii="宋体" w:hAnsi="宋体"/>
          <w:color w:val="000000"/>
          <w:sz w:val="24"/>
          <w:highlight w:val="none"/>
        </w:rPr>
        <w:br w:type="textWrapping"/>
      </w:r>
      <w:r>
        <w:rPr>
          <w:rFonts w:hint="eastAsia" w:ascii="宋体" w:hAnsi="宋体"/>
          <w:color w:val="000000"/>
          <w:sz w:val="24"/>
          <w:highlight w:val="none"/>
          <w:lang w:val="en-US" w:eastAsia="zh-CN"/>
        </w:rPr>
        <w:tab/>
      </w:r>
      <w:r>
        <w:rPr>
          <w:rFonts w:hint="eastAsia" w:ascii="宋体" w:hAnsi="宋体"/>
          <w:color w:val="000000"/>
          <w:sz w:val="24"/>
          <w:highlight w:val="none"/>
        </w:rPr>
        <w:t>4</w:t>
      </w:r>
      <w:r>
        <w:rPr>
          <w:rFonts w:hint="eastAsia" w:ascii="宋体" w:hAnsi="宋体"/>
          <w:color w:val="000000"/>
          <w:sz w:val="24"/>
          <w:highlight w:val="none"/>
          <w:lang w:eastAsia="zh-CN"/>
        </w:rPr>
        <w:t>、</w:t>
      </w:r>
      <w:r>
        <w:rPr>
          <w:rFonts w:hint="eastAsia" w:ascii="宋体" w:hAnsi="宋体"/>
          <w:color w:val="000000"/>
          <w:sz w:val="24"/>
          <w:highlight w:val="none"/>
        </w:rPr>
        <w:t>水设施综合集成，包括河道、供水、污水等水设施相关模块的集成和综合展示。</w:t>
      </w:r>
    </w:p>
    <w:p>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color w:val="000000"/>
          <w:sz w:val="24"/>
          <w:highlight w:val="none"/>
        </w:rPr>
      </w:pPr>
      <w:r>
        <w:rPr>
          <w:rFonts w:hint="eastAsia" w:ascii="宋体" w:hAnsi="宋体"/>
          <w:color w:val="000000"/>
          <w:sz w:val="24"/>
          <w:highlight w:val="none"/>
        </w:rPr>
        <w:t>四是智能化数字城管升级，基于事件协同处置功能和高效处置引擎，按照实际业务需求对数字城管部分功能进行升级，本次优化：</w:t>
      </w:r>
    </w:p>
    <w:p>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color w:val="000000"/>
          <w:sz w:val="24"/>
          <w:highlight w:val="none"/>
        </w:rPr>
      </w:pPr>
      <w:r>
        <w:rPr>
          <w:rFonts w:hint="eastAsia" w:ascii="宋体" w:hAnsi="宋体"/>
          <w:color w:val="000000"/>
          <w:sz w:val="24"/>
          <w:highlight w:val="none"/>
        </w:rPr>
        <w:t>1</w:t>
      </w:r>
      <w:r>
        <w:rPr>
          <w:rFonts w:hint="eastAsia" w:ascii="宋体" w:hAnsi="宋体"/>
          <w:color w:val="000000"/>
          <w:sz w:val="24"/>
          <w:highlight w:val="none"/>
          <w:lang w:eastAsia="zh-CN"/>
        </w:rPr>
        <w:t>、</w:t>
      </w:r>
      <w:r>
        <w:rPr>
          <w:rFonts w:hint="eastAsia" w:ascii="宋体" w:hAnsi="宋体"/>
          <w:color w:val="000000"/>
          <w:sz w:val="24"/>
          <w:highlight w:val="none"/>
        </w:rPr>
        <w:t>空间分析功能。支持在地图上自定义划定区域，支持案卷与地标区域关联，并对区域内问题进行统计分析。</w:t>
      </w:r>
      <w:r>
        <w:rPr>
          <w:rFonts w:hint="eastAsia" w:ascii="宋体" w:hAnsi="宋体"/>
          <w:color w:val="000000"/>
          <w:sz w:val="24"/>
          <w:highlight w:val="none"/>
        </w:rPr>
        <w:br w:type="textWrapping"/>
      </w:r>
      <w:r>
        <w:rPr>
          <w:rFonts w:hint="eastAsia" w:ascii="宋体" w:hAnsi="宋体"/>
          <w:color w:val="000000"/>
          <w:sz w:val="24"/>
          <w:highlight w:val="none"/>
          <w:lang w:val="en-US" w:eastAsia="zh-CN"/>
        </w:rPr>
        <w:tab/>
      </w:r>
      <w:r>
        <w:rPr>
          <w:rFonts w:hint="eastAsia" w:ascii="宋体" w:hAnsi="宋体"/>
          <w:color w:val="000000"/>
          <w:sz w:val="24"/>
          <w:highlight w:val="none"/>
        </w:rPr>
        <w:t>2</w:t>
      </w:r>
      <w:r>
        <w:rPr>
          <w:rFonts w:hint="eastAsia" w:ascii="宋体" w:hAnsi="宋体"/>
          <w:color w:val="000000"/>
          <w:sz w:val="24"/>
          <w:highlight w:val="none"/>
          <w:lang w:eastAsia="zh-CN"/>
        </w:rPr>
        <w:t>、</w:t>
      </w:r>
      <w:r>
        <w:rPr>
          <w:rFonts w:hint="eastAsia" w:ascii="宋体" w:hAnsi="宋体"/>
          <w:color w:val="000000"/>
          <w:sz w:val="24"/>
          <w:highlight w:val="none"/>
        </w:rPr>
        <w:t>无线数据采集功能。案卷上报页面增加问题属性字段；重复案卷上报提醒(相似案卷上报提醒)优化，避免出现案卷缓办超过一个月后不再提醒重复；采集器支持查看采集员轨迹界面增加责任网格显示。</w:t>
      </w:r>
      <w:r>
        <w:rPr>
          <w:rFonts w:hint="eastAsia" w:ascii="宋体" w:hAnsi="宋体"/>
          <w:color w:val="000000"/>
          <w:sz w:val="24"/>
          <w:highlight w:val="none"/>
        </w:rPr>
        <w:br w:type="textWrapping"/>
      </w:r>
      <w:r>
        <w:rPr>
          <w:rFonts w:hint="eastAsia" w:ascii="宋体" w:hAnsi="宋体"/>
          <w:color w:val="000000"/>
          <w:sz w:val="24"/>
          <w:highlight w:val="none"/>
          <w:lang w:val="en-US" w:eastAsia="zh-CN"/>
        </w:rPr>
        <w:tab/>
      </w:r>
      <w:r>
        <w:rPr>
          <w:rFonts w:hint="eastAsia" w:ascii="宋体" w:hAnsi="宋体"/>
          <w:color w:val="000000"/>
          <w:sz w:val="24"/>
          <w:highlight w:val="none"/>
        </w:rPr>
        <w:t>3</w:t>
      </w:r>
      <w:r>
        <w:rPr>
          <w:rFonts w:hint="eastAsia" w:ascii="宋体" w:hAnsi="宋体"/>
          <w:color w:val="000000"/>
          <w:sz w:val="24"/>
          <w:highlight w:val="none"/>
          <w:lang w:eastAsia="zh-CN"/>
        </w:rPr>
        <w:t>、</w:t>
      </w:r>
      <w:r>
        <w:rPr>
          <w:rFonts w:hint="eastAsia" w:ascii="宋体" w:hAnsi="宋体"/>
          <w:color w:val="000000"/>
          <w:sz w:val="24"/>
          <w:highlight w:val="none"/>
        </w:rPr>
        <w:t>监督受理功能。对紧急案件突出展示，改进案件多媒体排序功能。4）综合查询功能。增加反选功能；对于经常用到的查询，增加锁定/存储查询条件的功能。</w:t>
      </w:r>
      <w:r>
        <w:rPr>
          <w:rFonts w:hint="eastAsia" w:ascii="宋体" w:hAnsi="宋体"/>
          <w:color w:val="000000"/>
          <w:sz w:val="24"/>
          <w:highlight w:val="none"/>
        </w:rPr>
        <w:br w:type="textWrapping"/>
      </w:r>
      <w:r>
        <w:rPr>
          <w:rFonts w:hint="eastAsia" w:ascii="宋体" w:hAnsi="宋体"/>
          <w:color w:val="000000"/>
          <w:sz w:val="24"/>
          <w:highlight w:val="none"/>
          <w:lang w:val="en-US" w:eastAsia="zh-CN"/>
        </w:rPr>
        <w:tab/>
      </w:r>
      <w:r>
        <w:rPr>
          <w:rFonts w:hint="eastAsia" w:ascii="宋体" w:hAnsi="宋体"/>
          <w:color w:val="000000"/>
          <w:sz w:val="24"/>
          <w:highlight w:val="none"/>
        </w:rPr>
        <w:t>5</w:t>
      </w:r>
      <w:r>
        <w:rPr>
          <w:rFonts w:hint="eastAsia" w:ascii="宋体" w:hAnsi="宋体"/>
          <w:color w:val="000000"/>
          <w:sz w:val="24"/>
          <w:highlight w:val="none"/>
          <w:lang w:eastAsia="zh-CN"/>
        </w:rPr>
        <w:t>、</w:t>
      </w:r>
      <w:r>
        <w:rPr>
          <w:rFonts w:hint="eastAsia" w:ascii="宋体" w:hAnsi="宋体"/>
          <w:color w:val="000000"/>
          <w:sz w:val="24"/>
          <w:highlight w:val="none"/>
        </w:rPr>
        <w:t>资料库。将原有的资料库升级为融合人工智能和大数据技术的智能知识库管理模块，主要功能包括知识检索、知识变更、知识详情、知识图谱和智能问答功能。</w:t>
      </w:r>
    </w:p>
    <w:p>
      <w:pPr>
        <w:pageBreakBefore w:val="0"/>
        <w:widowControl w:val="0"/>
        <w:kinsoku/>
        <w:wordWrap/>
        <w:overflowPunct/>
        <w:topLinePunct w:val="0"/>
        <w:autoSpaceDE/>
        <w:autoSpaceDN/>
        <w:bidi w:val="0"/>
        <w:snapToGrid/>
        <w:spacing w:line="360" w:lineRule="auto"/>
        <w:ind w:firstLine="482" w:firstLineChars="200"/>
        <w:textAlignment w:val="auto"/>
        <w:rPr>
          <w:rFonts w:hint="eastAsia" w:ascii="宋体" w:hAnsi="宋体"/>
          <w:b/>
          <w:bCs/>
          <w:color w:val="000000"/>
          <w:sz w:val="24"/>
          <w:highlight w:val="none"/>
        </w:rPr>
      </w:pPr>
      <w:r>
        <w:rPr>
          <w:rFonts w:hint="eastAsia" w:ascii="宋体" w:hAnsi="宋体"/>
          <w:b/>
          <w:bCs/>
          <w:color w:val="000000"/>
          <w:sz w:val="24"/>
          <w:highlight w:val="none"/>
        </w:rPr>
        <w:t>（八）驾驶舱</w:t>
      </w:r>
    </w:p>
    <w:p>
      <w:pPr>
        <w:spacing w:line="360" w:lineRule="auto"/>
        <w:ind w:firstLine="480" w:firstLineChars="200"/>
        <w:rPr>
          <w:rFonts w:ascii="宋体" w:hAnsi="宋体"/>
          <w:color w:val="000000"/>
          <w:sz w:val="24"/>
        </w:rPr>
      </w:pPr>
      <w:r>
        <w:rPr>
          <w:rFonts w:hint="eastAsia" w:ascii="宋体" w:hAnsi="宋体"/>
          <w:color w:val="000000"/>
          <w:sz w:val="24"/>
        </w:rPr>
        <w:t>根据城市运行“一网统管”新建内容，构建对应“一网统管”驾驶舱，包括大屏和移动端。</w:t>
      </w:r>
    </w:p>
    <w:p>
      <w:pPr>
        <w:spacing w:line="360" w:lineRule="auto"/>
        <w:ind w:firstLine="480" w:firstLineChars="200"/>
        <w:rPr>
          <w:rFonts w:ascii="宋体" w:hAnsi="宋体"/>
          <w:color w:val="000000"/>
          <w:sz w:val="24"/>
        </w:rPr>
      </w:pPr>
      <w:r>
        <w:rPr>
          <w:rFonts w:hint="eastAsia" w:ascii="宋体" w:hAnsi="宋体"/>
          <w:color w:val="000000"/>
          <w:sz w:val="24"/>
        </w:rPr>
        <w:t>大屏驾驶舱包括：</w:t>
      </w:r>
    </w:p>
    <w:p>
      <w:pPr>
        <w:spacing w:line="360" w:lineRule="auto"/>
        <w:ind w:firstLine="420"/>
        <w:rPr>
          <w:rFonts w:ascii="宋体" w:hAnsi="宋体"/>
          <w:color w:val="000000"/>
          <w:sz w:val="24"/>
        </w:rPr>
      </w:pPr>
      <w:r>
        <w:rPr>
          <w:rFonts w:hint="eastAsia" w:ascii="宋体" w:hAnsi="宋体"/>
          <w:color w:val="000000"/>
          <w:sz w:val="24"/>
        </w:rPr>
        <w:t>1、城市生命体征屏。展示城镇燃气体征、市政设施体征、水设施河道体征、地铁运营期保护区体征、固废处置体征、市容景观体征和其他领域的核心指标及其报警情况，统计城市体征指数，展示关键设施数、核心指标数、今日报警数；</w:t>
      </w:r>
    </w:p>
    <w:p>
      <w:pPr>
        <w:spacing w:line="360" w:lineRule="auto"/>
        <w:ind w:firstLine="420"/>
        <w:rPr>
          <w:rFonts w:ascii="宋体" w:hAnsi="宋体"/>
          <w:color w:val="000000"/>
          <w:sz w:val="24"/>
        </w:rPr>
      </w:pPr>
      <w:r>
        <w:rPr>
          <w:rFonts w:ascii="宋体" w:hAnsi="宋体"/>
          <w:color w:val="000000"/>
          <w:sz w:val="24"/>
        </w:rPr>
        <w:t>2</w:t>
      </w:r>
      <w:r>
        <w:rPr>
          <w:rFonts w:hint="eastAsia" w:ascii="宋体" w:hAnsi="宋体"/>
          <w:color w:val="000000"/>
          <w:sz w:val="24"/>
        </w:rPr>
        <w:t>、多跨协同一件事屏。一是建设一件事总屏，提供所以一件事的快速入口。二是基于城市大脑2.0新的设计规范和要求，迭代升级权力阳光屏、公共慢行屏、生活垃圾屏3个行业驾驶舱；</w:t>
      </w:r>
    </w:p>
    <w:p>
      <w:pPr>
        <w:spacing w:line="360" w:lineRule="auto"/>
        <w:ind w:firstLine="420"/>
        <w:rPr>
          <w:rFonts w:ascii="宋体" w:hAnsi="宋体"/>
          <w:color w:val="000000"/>
          <w:sz w:val="24"/>
        </w:rPr>
      </w:pPr>
      <w:r>
        <w:rPr>
          <w:rFonts w:hint="eastAsia" w:ascii="宋体" w:hAnsi="宋体"/>
          <w:color w:val="000000"/>
          <w:sz w:val="24"/>
        </w:rPr>
        <w:t>3、城市便民服务屏。统计便民服务数、注册用户数、月活跃用户数和累计服务人次等数据，并展示有奖举报、停车服务、营商环境（城市烟火气和惠企服务）、信息推送的核心指标；</w:t>
      </w:r>
    </w:p>
    <w:p>
      <w:pPr>
        <w:spacing w:line="360" w:lineRule="auto"/>
        <w:ind w:firstLine="420"/>
        <w:rPr>
          <w:rFonts w:ascii="宋体" w:hAnsi="宋体"/>
          <w:color w:val="000000"/>
          <w:sz w:val="24"/>
        </w:rPr>
      </w:pPr>
      <w:r>
        <w:rPr>
          <w:rFonts w:ascii="宋体" w:hAnsi="宋体"/>
          <w:color w:val="000000"/>
          <w:sz w:val="24"/>
        </w:rPr>
        <w:t>4</w:t>
      </w:r>
      <w:r>
        <w:rPr>
          <w:rFonts w:hint="eastAsia" w:ascii="宋体" w:hAnsi="宋体"/>
          <w:color w:val="000000"/>
          <w:sz w:val="24"/>
        </w:rPr>
        <w:t>、管理在线屏。一是建设管理在线总屏，对分析研判、平战结合、考核评价的重要数据进行展示。二是建设分析研判分屏，对分析研判的来源和结果进行可视化展示。三是建设平战指挥（平时）分屏，实现对人、事、物的指挥，并对指挥态势进行分析。四是考核评价分屏，对一网统管的考核结果进行展示。</w:t>
      </w:r>
    </w:p>
    <w:p>
      <w:pPr>
        <w:spacing w:line="360" w:lineRule="auto"/>
        <w:ind w:left="479" w:leftChars="228"/>
        <w:rPr>
          <w:rFonts w:ascii="宋体" w:hAnsi="宋体"/>
          <w:color w:val="000000"/>
          <w:sz w:val="24"/>
        </w:rPr>
      </w:pPr>
      <w:r>
        <w:rPr>
          <w:rFonts w:hint="eastAsia" w:ascii="宋体" w:hAnsi="宋体"/>
          <w:color w:val="000000"/>
          <w:sz w:val="24"/>
        </w:rPr>
        <w:t>移动端驾驶舱包括：</w:t>
      </w:r>
      <w:r>
        <w:rPr>
          <w:rFonts w:hint="eastAsia" w:ascii="宋体" w:hAnsi="宋体"/>
          <w:color w:val="000000"/>
          <w:sz w:val="24"/>
        </w:rPr>
        <w:br w:type="textWrapping"/>
      </w:r>
      <w:r>
        <w:rPr>
          <w:rFonts w:hint="eastAsia" w:ascii="宋体" w:hAnsi="宋体"/>
          <w:color w:val="000000"/>
          <w:sz w:val="24"/>
        </w:rPr>
        <w:t>1、城市生命体征驾驶舱，对城市生命体征监测信息和报警信息进行展示；</w:t>
      </w:r>
    </w:p>
    <w:p>
      <w:pPr>
        <w:spacing w:line="360" w:lineRule="auto"/>
        <w:ind w:left="479" w:leftChars="228"/>
        <w:rPr>
          <w:rFonts w:ascii="宋体" w:hAnsi="宋体"/>
          <w:color w:val="000000"/>
          <w:sz w:val="24"/>
        </w:rPr>
      </w:pPr>
      <w:r>
        <w:rPr>
          <w:rFonts w:hint="eastAsia" w:ascii="宋体" w:hAnsi="宋体"/>
          <w:color w:val="000000"/>
          <w:sz w:val="24"/>
        </w:rPr>
        <w:t>2、分析研判驾驶舱，对分析研判的结果进行展示；</w:t>
      </w:r>
      <w:r>
        <w:rPr>
          <w:rFonts w:hint="eastAsia" w:ascii="宋体" w:hAnsi="宋体"/>
          <w:color w:val="000000"/>
          <w:sz w:val="24"/>
        </w:rPr>
        <w:br w:type="textWrapping"/>
      </w:r>
      <w:r>
        <w:rPr>
          <w:rFonts w:ascii="宋体" w:hAnsi="宋体"/>
          <w:color w:val="000000"/>
          <w:sz w:val="24"/>
        </w:rPr>
        <w:t>3</w:t>
      </w:r>
      <w:r>
        <w:rPr>
          <w:rFonts w:hint="eastAsia" w:ascii="宋体" w:hAnsi="宋体"/>
          <w:color w:val="000000"/>
          <w:sz w:val="24"/>
        </w:rPr>
        <w:t>、平战指挥（平时）驾驶舱，对平时指挥的核心数据进行展示；</w:t>
      </w:r>
    </w:p>
    <w:p>
      <w:pPr>
        <w:spacing w:line="360" w:lineRule="auto"/>
        <w:ind w:left="479" w:leftChars="228"/>
        <w:rPr>
          <w:rFonts w:ascii="宋体" w:hAnsi="宋体"/>
          <w:color w:val="000000"/>
          <w:sz w:val="24"/>
        </w:rPr>
      </w:pPr>
      <w:r>
        <w:rPr>
          <w:rFonts w:ascii="宋体" w:hAnsi="宋体"/>
          <w:color w:val="000000"/>
          <w:sz w:val="24"/>
        </w:rPr>
        <w:t>4</w:t>
      </w:r>
      <w:r>
        <w:rPr>
          <w:rFonts w:hint="eastAsia" w:ascii="宋体" w:hAnsi="宋体"/>
          <w:color w:val="000000"/>
          <w:sz w:val="24"/>
        </w:rPr>
        <w:t>、综合评价驾驶舱，对一网统管的考核结果进行展示。</w:t>
      </w:r>
    </w:p>
    <w:p>
      <w:pPr>
        <w:pageBreakBefore w:val="0"/>
        <w:widowControl w:val="0"/>
        <w:kinsoku/>
        <w:wordWrap/>
        <w:overflowPunct/>
        <w:topLinePunct w:val="0"/>
        <w:autoSpaceDE/>
        <w:autoSpaceDN/>
        <w:bidi w:val="0"/>
        <w:snapToGrid/>
        <w:spacing w:line="360" w:lineRule="auto"/>
        <w:ind w:firstLine="482" w:firstLineChars="200"/>
        <w:textAlignment w:val="auto"/>
        <w:rPr>
          <w:rFonts w:hint="eastAsia" w:ascii="宋体" w:hAnsi="宋体"/>
          <w:b/>
          <w:bCs/>
          <w:color w:val="000000"/>
          <w:sz w:val="24"/>
          <w:highlight w:val="none"/>
        </w:rPr>
      </w:pPr>
      <w:r>
        <w:rPr>
          <w:rFonts w:hint="eastAsia" w:ascii="宋体" w:hAnsi="宋体"/>
          <w:b/>
          <w:bCs/>
          <w:color w:val="000000"/>
          <w:sz w:val="24"/>
          <w:highlight w:val="none"/>
        </w:rPr>
        <w:t>（九）工作台</w:t>
      </w:r>
    </w:p>
    <w:p>
      <w:pPr>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olor w:val="000000"/>
          <w:sz w:val="24"/>
          <w:highlight w:val="none"/>
        </w:rPr>
      </w:pPr>
      <w:r>
        <w:rPr>
          <w:rFonts w:hint="eastAsia" w:ascii="宋体" w:hAnsi="宋体"/>
          <w:color w:val="000000"/>
          <w:sz w:val="24"/>
          <w:highlight w:val="none"/>
        </w:rPr>
        <w:t>“一网统管”工作台包括PC端和移动端的建设。</w:t>
      </w:r>
    </w:p>
    <w:p>
      <w:pPr>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olor w:val="000000"/>
          <w:sz w:val="24"/>
          <w:highlight w:val="none"/>
        </w:rPr>
      </w:pPr>
      <w:r>
        <w:rPr>
          <w:rFonts w:hint="eastAsia" w:ascii="宋体" w:hAnsi="宋体"/>
          <w:color w:val="000000"/>
          <w:sz w:val="24"/>
          <w:highlight w:val="none"/>
        </w:rPr>
        <w:t>PC端工作台建设迭代升级“一网统管”工作台，提供生命体征、多跨协同一件事、城市服务、综合评价等多个应用的快捷入口，集成相关事件闭环、任务闭环、指挥闭环的待办信息。并按照市、区县、镇街等不同层级进行权限配置，实现工作台千人千面,提高运行工作效率。同时建设事件处置推荐，通过记录城管事件的建议使用情况，构建事件知识库、事件标签体系、事件因果推理模型，为每一类事件分析出对应场景中的最优解，形成标准化的结论建议，并在实际的事件处置中，将事件与处置建议相匹配，相关的处置建议需要在处置终端进行展示。</w:t>
      </w:r>
    </w:p>
    <w:p>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color w:val="000000"/>
          <w:sz w:val="24"/>
          <w:highlight w:val="none"/>
        </w:rPr>
      </w:pPr>
      <w:r>
        <w:rPr>
          <w:rFonts w:hint="eastAsia" w:ascii="宋体" w:hAnsi="宋体"/>
          <w:color w:val="000000"/>
          <w:sz w:val="24"/>
          <w:highlight w:val="none"/>
        </w:rPr>
        <w:t>移动端工作台建设迭代升级“一网统管”移动端工作台，包括应用入口集成和工作待办统计展示功能。同时</w:t>
      </w:r>
      <w:r>
        <w:rPr>
          <w:rFonts w:hint="eastAsia" w:ascii="宋体" w:hAnsi="宋体"/>
          <w:color w:val="000000"/>
          <w:sz w:val="24"/>
          <w:highlight w:val="none"/>
          <w:lang w:eastAsia="zh-CN"/>
        </w:rPr>
        <w:t>，</w:t>
      </w:r>
      <w:r>
        <w:rPr>
          <w:rFonts w:hint="eastAsia" w:ascii="宋体" w:hAnsi="宋体"/>
          <w:color w:val="000000"/>
          <w:sz w:val="24"/>
          <w:highlight w:val="none"/>
        </w:rPr>
        <w:t>提供城市家具随手拍随手查，随手拍支持在地图上选取某一家具进行问题的上报，需要拍摄近景、远景照片，随手查支持查看某一家具的基础信息和审批信息。</w:t>
      </w:r>
    </w:p>
    <w:p>
      <w:pPr>
        <w:pageBreakBefore w:val="0"/>
        <w:widowControl w:val="0"/>
        <w:kinsoku/>
        <w:wordWrap/>
        <w:overflowPunct/>
        <w:topLinePunct w:val="0"/>
        <w:autoSpaceDE/>
        <w:autoSpaceDN/>
        <w:bidi w:val="0"/>
        <w:snapToGrid/>
        <w:spacing w:line="360" w:lineRule="auto"/>
        <w:ind w:firstLine="482" w:firstLineChars="200"/>
        <w:textAlignment w:val="auto"/>
        <w:rPr>
          <w:rFonts w:hint="eastAsia" w:ascii="宋体" w:hAnsi="宋体"/>
          <w:b/>
          <w:bCs/>
          <w:color w:val="000000"/>
          <w:sz w:val="24"/>
          <w:highlight w:val="none"/>
        </w:rPr>
      </w:pPr>
      <w:r>
        <w:rPr>
          <w:rFonts w:hint="eastAsia" w:ascii="宋体" w:hAnsi="宋体"/>
          <w:b/>
          <w:bCs/>
          <w:color w:val="000000"/>
          <w:sz w:val="24"/>
          <w:highlight w:val="none"/>
        </w:rPr>
        <w:t>（十）数据仓</w:t>
      </w:r>
    </w:p>
    <w:p>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color w:val="000000"/>
          <w:sz w:val="24"/>
          <w:highlight w:val="none"/>
        </w:rPr>
      </w:pPr>
      <w:r>
        <w:rPr>
          <w:rFonts w:hint="eastAsia" w:ascii="宋体" w:hAnsi="宋体"/>
          <w:color w:val="000000"/>
          <w:sz w:val="24"/>
          <w:highlight w:val="none"/>
        </w:rPr>
        <w:t>按照城市大脑2.0数据“共享共用、全市一盘棋”的要求，基于城市大脑数据底座，形成“一网统管”大数据仓。</w:t>
      </w:r>
    </w:p>
    <w:p>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color w:val="000000"/>
          <w:sz w:val="24"/>
          <w:highlight w:val="none"/>
        </w:rPr>
      </w:pPr>
      <w:r>
        <w:rPr>
          <w:rFonts w:hint="eastAsia" w:ascii="宋体" w:hAnsi="宋体"/>
          <w:color w:val="000000"/>
          <w:sz w:val="24"/>
          <w:highlight w:val="none"/>
        </w:rPr>
        <w:t>一是基于省IRS系统和市一体化公共数据平台，结合“一网统管”场景建设实际需求，梳理市</w:t>
      </w:r>
      <w:r>
        <w:rPr>
          <w:rFonts w:hint="eastAsia" w:ascii="宋体" w:hAnsi="宋体"/>
          <w:color w:val="000000"/>
          <w:sz w:val="24"/>
          <w:highlight w:val="none"/>
          <w:lang w:eastAsia="zh-CN"/>
        </w:rPr>
        <w:t>委</w:t>
      </w:r>
      <w:r>
        <w:rPr>
          <w:rFonts w:hint="eastAsia" w:ascii="宋体" w:hAnsi="宋体"/>
          <w:color w:val="000000"/>
          <w:sz w:val="24"/>
          <w:highlight w:val="none"/>
        </w:rPr>
        <w:t>政法委、建委、公安局、数据局、城投集团等单位涉及的事件、感知、体征等相关的业务数据，并提供数据归集服务。</w:t>
      </w:r>
    </w:p>
    <w:p>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color w:val="000000"/>
          <w:sz w:val="24"/>
          <w:highlight w:val="none"/>
        </w:rPr>
      </w:pPr>
      <w:r>
        <w:rPr>
          <w:rFonts w:hint="eastAsia" w:ascii="宋体" w:hAnsi="宋体"/>
          <w:color w:val="000000"/>
          <w:sz w:val="24"/>
          <w:highlight w:val="none"/>
        </w:rPr>
        <w:t>二是对原始数据进行数据治理，包括数据质量保证、数据清洗和数据标准化等；</w:t>
      </w:r>
    </w:p>
    <w:p>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color w:val="000000"/>
          <w:sz w:val="24"/>
          <w:highlight w:val="none"/>
        </w:rPr>
      </w:pPr>
      <w:r>
        <w:rPr>
          <w:rFonts w:hint="eastAsia" w:ascii="宋体" w:hAnsi="宋体"/>
          <w:color w:val="000000"/>
          <w:sz w:val="24"/>
          <w:highlight w:val="none"/>
        </w:rPr>
        <w:t>三是专题库，通过将原始库数据进行二次抽取装载的方法重新组织数据，并按照不同事件专题应用的需重新整合形成专题库，包括城市管理人员专题库、城市全量事件专题库、城市管理物件专题库、城市运行生命体征专题库和城市态势分析专题库；</w:t>
      </w:r>
    </w:p>
    <w:p>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color w:val="000000"/>
          <w:sz w:val="24"/>
          <w:highlight w:val="none"/>
        </w:rPr>
      </w:pPr>
      <w:r>
        <w:rPr>
          <w:rFonts w:hint="eastAsia" w:ascii="宋体" w:hAnsi="宋体"/>
          <w:color w:val="000000"/>
          <w:sz w:val="24"/>
          <w:highlight w:val="none"/>
        </w:rPr>
        <w:t>四是数据共享，数据共享建设包括数据的分级分类和数据的编目；</w:t>
      </w:r>
    </w:p>
    <w:p>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color w:val="000000"/>
          <w:sz w:val="24"/>
          <w:highlight w:val="none"/>
        </w:rPr>
      </w:pPr>
      <w:r>
        <w:rPr>
          <w:rFonts w:hint="eastAsia" w:ascii="宋体" w:hAnsi="宋体"/>
          <w:color w:val="000000"/>
          <w:sz w:val="24"/>
          <w:highlight w:val="none"/>
        </w:rPr>
        <w:t>五是数据指标开发，按照驾驶舱和业务系统的需求，对专题库中的数据进行数据指标开发。</w:t>
      </w:r>
    </w:p>
    <w:p>
      <w:pPr>
        <w:pageBreakBefore w:val="0"/>
        <w:widowControl w:val="0"/>
        <w:kinsoku/>
        <w:wordWrap/>
        <w:overflowPunct/>
        <w:topLinePunct w:val="0"/>
        <w:autoSpaceDE/>
        <w:autoSpaceDN/>
        <w:bidi w:val="0"/>
        <w:snapToGrid/>
        <w:spacing w:line="360" w:lineRule="auto"/>
        <w:ind w:firstLine="482" w:firstLineChars="200"/>
        <w:textAlignment w:val="auto"/>
        <w:rPr>
          <w:rFonts w:hint="eastAsia" w:ascii="宋体" w:hAnsi="宋体"/>
          <w:b/>
          <w:bCs/>
          <w:color w:val="000000"/>
          <w:sz w:val="24"/>
          <w:highlight w:val="none"/>
        </w:rPr>
      </w:pPr>
      <w:r>
        <w:rPr>
          <w:rFonts w:hint="eastAsia" w:ascii="宋体" w:hAnsi="宋体"/>
          <w:b/>
          <w:bCs/>
          <w:color w:val="000000"/>
          <w:sz w:val="24"/>
          <w:highlight w:val="none"/>
        </w:rPr>
        <w:t>（十一）服务采购</w:t>
      </w:r>
    </w:p>
    <w:p>
      <w:pPr>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olor w:val="000000"/>
          <w:sz w:val="24"/>
          <w:highlight w:val="none"/>
        </w:rPr>
      </w:pPr>
      <w:r>
        <w:rPr>
          <w:rFonts w:hint="eastAsia" w:ascii="宋体" w:hAnsi="宋体"/>
          <w:color w:val="000000"/>
          <w:sz w:val="24"/>
          <w:highlight w:val="none"/>
        </w:rPr>
        <w:t>包括一年的数据安全服务和一年的云资源服务。</w:t>
      </w:r>
    </w:p>
    <w:p>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color w:val="000000"/>
          <w:sz w:val="24"/>
          <w:highlight w:val="none"/>
        </w:rPr>
      </w:pPr>
      <w:r>
        <w:rPr>
          <w:rFonts w:hint="eastAsia" w:ascii="宋体" w:hAnsi="宋体"/>
          <w:color w:val="000000"/>
          <w:sz w:val="24"/>
          <w:highlight w:val="none"/>
        </w:rPr>
        <w:t>数据安全服务需结合现有政务云网络安全防护能力，以重要数据为核心，围绕数据业务场景，构建应用监测、数据交换脱敏的防护能力。具体内容包含数据库权限管控、基于接口安全的应用防护审计系统、分类分级服务。数据库权限管控：能够保证敏感数据资产可管、用户访问行为可控、返回结果可遮盖的数据库运维安全风险。管控产品，集成了敏感数据的快速发现和管理、严密的身份准入机制、资产细粒度管控、动态访问控制、误操作恢复、合规审计等核心功能，解决当下数据库运维场景下面临的越权访问数据、非法/无意操纵数据、敏感数据外泄的难题，全方位保障数据的安全。应用防护审计系统：从网络流量中还原业务系统的操作账号，对操作行为的记录，对用户的画像进行分析，对数据行为建立基线：包括用户基线、系统基线、接口基线。并对用户划群，IP划段，系统分类，使用聚群分析，历史行为对比分析，提升风险报告准确度。分类分级服务：根据公共数据现状，制定数据安全分类分级规则，及时将新增的数据进行分类分级打标，对已接入数据定期完成分类分级检查，按照规范/标准更新标签。对接目录系统将分类分级结果推送至数源单位进行复核，为数据的高效流转使用和安全防护提供依据。</w:t>
      </w:r>
    </w:p>
    <w:p>
      <w:pPr>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olor w:val="000000"/>
          <w:sz w:val="24"/>
          <w:highlight w:val="none"/>
        </w:rPr>
      </w:pPr>
      <w:r>
        <w:rPr>
          <w:rFonts w:hint="eastAsia" w:ascii="宋体" w:hAnsi="宋体"/>
          <w:color w:val="000000"/>
          <w:sz w:val="24"/>
          <w:highlight w:val="none"/>
        </w:rPr>
        <w:t>云资源服务包含：</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1"/>
        <w:gridCol w:w="1068"/>
        <w:gridCol w:w="1193"/>
        <w:gridCol w:w="992"/>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691" w:type="dxa"/>
            <w:noWrap w:val="0"/>
            <w:vAlign w:val="top"/>
          </w:tcPr>
          <w:p>
            <w:pPr>
              <w:pageBreakBefore w:val="0"/>
              <w:widowControl w:val="0"/>
              <w:kinsoku/>
              <w:wordWrap/>
              <w:overflowPunct/>
              <w:topLinePunct w:val="0"/>
              <w:autoSpaceDE/>
              <w:autoSpaceDN/>
              <w:bidi w:val="0"/>
              <w:snapToGrid/>
              <w:spacing w:line="360" w:lineRule="auto"/>
              <w:textAlignment w:val="auto"/>
              <w:rPr>
                <w:rFonts w:ascii="宋体" w:hAnsi="宋体"/>
                <w:b/>
                <w:bCs/>
                <w:color w:val="000000"/>
                <w:sz w:val="24"/>
                <w:highlight w:val="none"/>
              </w:rPr>
            </w:pPr>
            <w:r>
              <w:rPr>
                <w:rFonts w:hint="eastAsia" w:ascii="宋体" w:hAnsi="宋体"/>
                <w:b/>
                <w:bCs/>
                <w:color w:val="000000"/>
                <w:sz w:val="24"/>
                <w:highlight w:val="none"/>
              </w:rPr>
              <w:t>产品名称</w:t>
            </w:r>
          </w:p>
        </w:tc>
        <w:tc>
          <w:tcPr>
            <w:tcW w:w="1068" w:type="dxa"/>
            <w:noWrap w:val="0"/>
            <w:vAlign w:val="top"/>
          </w:tcPr>
          <w:p>
            <w:pPr>
              <w:pageBreakBefore w:val="0"/>
              <w:widowControl w:val="0"/>
              <w:kinsoku/>
              <w:wordWrap/>
              <w:overflowPunct/>
              <w:topLinePunct w:val="0"/>
              <w:autoSpaceDE/>
              <w:autoSpaceDN/>
              <w:bidi w:val="0"/>
              <w:snapToGrid/>
              <w:spacing w:line="360" w:lineRule="auto"/>
              <w:textAlignment w:val="auto"/>
              <w:rPr>
                <w:rFonts w:hint="eastAsia" w:ascii="宋体" w:hAnsi="宋体"/>
                <w:b/>
                <w:bCs/>
                <w:color w:val="000000"/>
                <w:sz w:val="24"/>
                <w:highlight w:val="none"/>
              </w:rPr>
            </w:pPr>
            <w:r>
              <w:rPr>
                <w:rFonts w:hint="eastAsia" w:ascii="宋体" w:hAnsi="宋体"/>
                <w:b/>
                <w:bCs/>
                <w:color w:val="000000"/>
                <w:sz w:val="24"/>
                <w:highlight w:val="none"/>
              </w:rPr>
              <w:t>CPU（核）</w:t>
            </w:r>
          </w:p>
        </w:tc>
        <w:tc>
          <w:tcPr>
            <w:tcW w:w="1193" w:type="dxa"/>
            <w:noWrap w:val="0"/>
            <w:vAlign w:val="top"/>
          </w:tcPr>
          <w:p>
            <w:pPr>
              <w:pageBreakBefore w:val="0"/>
              <w:widowControl w:val="0"/>
              <w:kinsoku/>
              <w:wordWrap/>
              <w:overflowPunct/>
              <w:topLinePunct w:val="0"/>
              <w:autoSpaceDE/>
              <w:autoSpaceDN/>
              <w:bidi w:val="0"/>
              <w:snapToGrid/>
              <w:spacing w:line="360" w:lineRule="auto"/>
              <w:textAlignment w:val="auto"/>
              <w:rPr>
                <w:rFonts w:hint="eastAsia" w:ascii="宋体" w:hAnsi="宋体"/>
                <w:b/>
                <w:bCs/>
                <w:color w:val="000000"/>
                <w:sz w:val="24"/>
                <w:highlight w:val="none"/>
              </w:rPr>
            </w:pPr>
            <w:r>
              <w:rPr>
                <w:rFonts w:hint="eastAsia" w:ascii="宋体" w:hAnsi="宋体"/>
                <w:b/>
                <w:bCs/>
                <w:color w:val="000000"/>
                <w:sz w:val="24"/>
                <w:highlight w:val="none"/>
              </w:rPr>
              <w:t>内存（G）</w:t>
            </w:r>
          </w:p>
        </w:tc>
        <w:tc>
          <w:tcPr>
            <w:tcW w:w="992" w:type="dxa"/>
            <w:noWrap w:val="0"/>
            <w:vAlign w:val="top"/>
          </w:tcPr>
          <w:p>
            <w:pPr>
              <w:pageBreakBefore w:val="0"/>
              <w:widowControl w:val="0"/>
              <w:kinsoku/>
              <w:wordWrap/>
              <w:overflowPunct/>
              <w:topLinePunct w:val="0"/>
              <w:autoSpaceDE/>
              <w:autoSpaceDN/>
              <w:bidi w:val="0"/>
              <w:snapToGrid/>
              <w:spacing w:line="360" w:lineRule="auto"/>
              <w:textAlignment w:val="auto"/>
              <w:rPr>
                <w:rFonts w:hint="eastAsia" w:ascii="宋体" w:hAnsi="宋体"/>
                <w:b/>
                <w:bCs/>
                <w:color w:val="000000"/>
                <w:sz w:val="24"/>
                <w:highlight w:val="none"/>
              </w:rPr>
            </w:pPr>
            <w:r>
              <w:rPr>
                <w:rFonts w:hint="eastAsia" w:ascii="宋体" w:hAnsi="宋体"/>
                <w:b/>
                <w:bCs/>
                <w:color w:val="000000"/>
                <w:sz w:val="24"/>
                <w:highlight w:val="none"/>
              </w:rPr>
              <w:t>存储</w:t>
            </w:r>
          </w:p>
        </w:tc>
        <w:tc>
          <w:tcPr>
            <w:tcW w:w="850" w:type="dxa"/>
            <w:noWrap w:val="0"/>
            <w:vAlign w:val="top"/>
          </w:tcPr>
          <w:p>
            <w:pPr>
              <w:pageBreakBefore w:val="0"/>
              <w:widowControl w:val="0"/>
              <w:kinsoku/>
              <w:wordWrap/>
              <w:overflowPunct/>
              <w:topLinePunct w:val="0"/>
              <w:autoSpaceDE/>
              <w:autoSpaceDN/>
              <w:bidi w:val="0"/>
              <w:snapToGrid/>
              <w:spacing w:line="360" w:lineRule="auto"/>
              <w:textAlignment w:val="auto"/>
              <w:rPr>
                <w:rFonts w:hint="eastAsia" w:ascii="宋体" w:hAnsi="宋体"/>
                <w:b/>
                <w:bCs/>
                <w:color w:val="000000"/>
                <w:sz w:val="24"/>
                <w:highlight w:val="none"/>
              </w:rPr>
            </w:pPr>
            <w:r>
              <w:rPr>
                <w:rFonts w:hint="eastAsia" w:ascii="宋体" w:hAnsi="宋体"/>
                <w:b/>
                <w:bCs/>
                <w:color w:val="000000"/>
                <w:sz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691" w:type="dxa"/>
            <w:noWrap w:val="0"/>
            <w:vAlign w:val="top"/>
          </w:tcPr>
          <w:p>
            <w:pPr>
              <w:pageBreakBefore w:val="0"/>
              <w:widowControl w:val="0"/>
              <w:kinsoku/>
              <w:wordWrap/>
              <w:overflowPunct/>
              <w:topLinePunct w:val="0"/>
              <w:autoSpaceDE/>
              <w:autoSpaceDN/>
              <w:bidi w:val="0"/>
              <w:snapToGrid/>
              <w:spacing w:line="360" w:lineRule="auto"/>
              <w:textAlignment w:val="auto"/>
              <w:rPr>
                <w:rFonts w:hint="eastAsia" w:ascii="宋体" w:hAnsi="宋体"/>
                <w:color w:val="000000"/>
                <w:sz w:val="24"/>
                <w:highlight w:val="none"/>
              </w:rPr>
            </w:pPr>
            <w:r>
              <w:rPr>
                <w:rFonts w:hint="eastAsia" w:ascii="宋体" w:hAnsi="宋体"/>
                <w:color w:val="000000"/>
                <w:sz w:val="24"/>
                <w:highlight w:val="none"/>
              </w:rPr>
              <w:t>ECS</w:t>
            </w:r>
          </w:p>
        </w:tc>
        <w:tc>
          <w:tcPr>
            <w:tcW w:w="1068" w:type="dxa"/>
            <w:noWrap w:val="0"/>
            <w:vAlign w:val="top"/>
          </w:tcPr>
          <w:p>
            <w:pPr>
              <w:pageBreakBefore w:val="0"/>
              <w:widowControl w:val="0"/>
              <w:kinsoku/>
              <w:wordWrap/>
              <w:overflowPunct/>
              <w:topLinePunct w:val="0"/>
              <w:autoSpaceDE/>
              <w:autoSpaceDN/>
              <w:bidi w:val="0"/>
              <w:snapToGrid/>
              <w:spacing w:line="360" w:lineRule="auto"/>
              <w:textAlignment w:val="auto"/>
              <w:rPr>
                <w:rFonts w:hint="eastAsia" w:ascii="宋体" w:hAnsi="宋体"/>
                <w:color w:val="000000"/>
                <w:sz w:val="24"/>
                <w:highlight w:val="none"/>
              </w:rPr>
            </w:pPr>
            <w:r>
              <w:rPr>
                <w:rFonts w:hint="eastAsia" w:ascii="宋体" w:hAnsi="宋体"/>
                <w:color w:val="000000"/>
                <w:sz w:val="24"/>
                <w:highlight w:val="none"/>
              </w:rPr>
              <w:t>2</w:t>
            </w:r>
          </w:p>
        </w:tc>
        <w:tc>
          <w:tcPr>
            <w:tcW w:w="1193" w:type="dxa"/>
            <w:noWrap w:val="0"/>
            <w:vAlign w:val="top"/>
          </w:tcPr>
          <w:p>
            <w:pPr>
              <w:pageBreakBefore w:val="0"/>
              <w:widowControl w:val="0"/>
              <w:kinsoku/>
              <w:wordWrap/>
              <w:overflowPunct/>
              <w:topLinePunct w:val="0"/>
              <w:autoSpaceDE/>
              <w:autoSpaceDN/>
              <w:bidi w:val="0"/>
              <w:snapToGrid/>
              <w:spacing w:line="360" w:lineRule="auto"/>
              <w:textAlignment w:val="auto"/>
              <w:rPr>
                <w:rFonts w:hint="eastAsia" w:ascii="宋体" w:hAnsi="宋体"/>
                <w:color w:val="000000"/>
                <w:sz w:val="24"/>
                <w:highlight w:val="none"/>
              </w:rPr>
            </w:pPr>
            <w:r>
              <w:rPr>
                <w:rFonts w:hint="eastAsia" w:ascii="宋体" w:hAnsi="宋体"/>
                <w:color w:val="000000"/>
                <w:sz w:val="24"/>
                <w:highlight w:val="none"/>
              </w:rPr>
              <w:t>4</w:t>
            </w:r>
          </w:p>
        </w:tc>
        <w:tc>
          <w:tcPr>
            <w:tcW w:w="992" w:type="dxa"/>
            <w:noWrap w:val="0"/>
            <w:vAlign w:val="top"/>
          </w:tcPr>
          <w:p>
            <w:pPr>
              <w:pageBreakBefore w:val="0"/>
              <w:widowControl w:val="0"/>
              <w:kinsoku/>
              <w:wordWrap/>
              <w:overflowPunct/>
              <w:topLinePunct w:val="0"/>
              <w:autoSpaceDE/>
              <w:autoSpaceDN/>
              <w:bidi w:val="0"/>
              <w:snapToGrid/>
              <w:spacing w:line="360" w:lineRule="auto"/>
              <w:textAlignment w:val="auto"/>
              <w:rPr>
                <w:rFonts w:hint="eastAsia" w:ascii="宋体" w:hAnsi="宋体"/>
                <w:color w:val="000000"/>
                <w:sz w:val="24"/>
                <w:highlight w:val="none"/>
              </w:rPr>
            </w:pPr>
            <w:r>
              <w:rPr>
                <w:rFonts w:hint="eastAsia" w:ascii="宋体" w:hAnsi="宋体"/>
                <w:color w:val="000000"/>
                <w:sz w:val="24"/>
                <w:highlight w:val="none"/>
              </w:rPr>
              <w:t>200G</w:t>
            </w:r>
          </w:p>
        </w:tc>
        <w:tc>
          <w:tcPr>
            <w:tcW w:w="850" w:type="dxa"/>
            <w:noWrap w:val="0"/>
            <w:vAlign w:val="top"/>
          </w:tcPr>
          <w:p>
            <w:pPr>
              <w:pageBreakBefore w:val="0"/>
              <w:widowControl w:val="0"/>
              <w:kinsoku/>
              <w:wordWrap/>
              <w:overflowPunct/>
              <w:topLinePunct w:val="0"/>
              <w:autoSpaceDE/>
              <w:autoSpaceDN/>
              <w:bidi w:val="0"/>
              <w:snapToGrid/>
              <w:spacing w:line="360" w:lineRule="auto"/>
              <w:textAlignment w:val="auto"/>
              <w:rPr>
                <w:rFonts w:hint="eastAsia" w:ascii="宋体" w:hAnsi="宋体"/>
                <w:color w:val="000000"/>
                <w:sz w:val="24"/>
                <w:highlight w:val="none"/>
              </w:rPr>
            </w:pPr>
            <w:r>
              <w:rPr>
                <w:rFonts w:hint="eastAsia" w:ascii="宋体" w:hAnsi="宋体"/>
                <w:color w:val="000000"/>
                <w:sz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691" w:type="dxa"/>
            <w:noWrap w:val="0"/>
            <w:vAlign w:val="top"/>
          </w:tcPr>
          <w:p>
            <w:pPr>
              <w:pageBreakBefore w:val="0"/>
              <w:widowControl w:val="0"/>
              <w:kinsoku/>
              <w:wordWrap/>
              <w:overflowPunct/>
              <w:topLinePunct w:val="0"/>
              <w:autoSpaceDE/>
              <w:autoSpaceDN/>
              <w:bidi w:val="0"/>
              <w:snapToGrid/>
              <w:spacing w:line="360" w:lineRule="auto"/>
              <w:textAlignment w:val="auto"/>
              <w:rPr>
                <w:rFonts w:hint="eastAsia" w:ascii="宋体" w:hAnsi="宋体"/>
                <w:color w:val="000000"/>
                <w:sz w:val="24"/>
                <w:highlight w:val="none"/>
              </w:rPr>
            </w:pPr>
            <w:r>
              <w:rPr>
                <w:rFonts w:hint="eastAsia" w:ascii="宋体" w:hAnsi="宋体"/>
                <w:color w:val="000000"/>
                <w:sz w:val="24"/>
                <w:highlight w:val="none"/>
              </w:rPr>
              <w:t>ECS</w:t>
            </w:r>
          </w:p>
        </w:tc>
        <w:tc>
          <w:tcPr>
            <w:tcW w:w="1068" w:type="dxa"/>
            <w:noWrap w:val="0"/>
            <w:vAlign w:val="top"/>
          </w:tcPr>
          <w:p>
            <w:pPr>
              <w:pageBreakBefore w:val="0"/>
              <w:widowControl w:val="0"/>
              <w:kinsoku/>
              <w:wordWrap/>
              <w:overflowPunct/>
              <w:topLinePunct w:val="0"/>
              <w:autoSpaceDE/>
              <w:autoSpaceDN/>
              <w:bidi w:val="0"/>
              <w:snapToGrid/>
              <w:spacing w:line="360" w:lineRule="auto"/>
              <w:textAlignment w:val="auto"/>
              <w:rPr>
                <w:rFonts w:hint="eastAsia" w:ascii="宋体" w:hAnsi="宋体"/>
                <w:color w:val="000000"/>
                <w:sz w:val="24"/>
                <w:highlight w:val="none"/>
              </w:rPr>
            </w:pPr>
            <w:r>
              <w:rPr>
                <w:rFonts w:hint="eastAsia" w:ascii="宋体" w:hAnsi="宋体"/>
                <w:color w:val="000000"/>
                <w:sz w:val="24"/>
                <w:highlight w:val="none"/>
              </w:rPr>
              <w:t>4</w:t>
            </w:r>
          </w:p>
        </w:tc>
        <w:tc>
          <w:tcPr>
            <w:tcW w:w="1193" w:type="dxa"/>
            <w:noWrap w:val="0"/>
            <w:vAlign w:val="top"/>
          </w:tcPr>
          <w:p>
            <w:pPr>
              <w:pageBreakBefore w:val="0"/>
              <w:widowControl w:val="0"/>
              <w:kinsoku/>
              <w:wordWrap/>
              <w:overflowPunct/>
              <w:topLinePunct w:val="0"/>
              <w:autoSpaceDE/>
              <w:autoSpaceDN/>
              <w:bidi w:val="0"/>
              <w:snapToGrid/>
              <w:spacing w:line="360" w:lineRule="auto"/>
              <w:textAlignment w:val="auto"/>
              <w:rPr>
                <w:rFonts w:hint="eastAsia" w:ascii="宋体" w:hAnsi="宋体"/>
                <w:color w:val="000000"/>
                <w:sz w:val="24"/>
                <w:highlight w:val="none"/>
              </w:rPr>
            </w:pPr>
            <w:r>
              <w:rPr>
                <w:rFonts w:hint="eastAsia" w:ascii="宋体" w:hAnsi="宋体"/>
                <w:color w:val="000000"/>
                <w:sz w:val="24"/>
                <w:highlight w:val="none"/>
              </w:rPr>
              <w:t>8</w:t>
            </w:r>
          </w:p>
        </w:tc>
        <w:tc>
          <w:tcPr>
            <w:tcW w:w="992" w:type="dxa"/>
            <w:noWrap w:val="0"/>
            <w:vAlign w:val="top"/>
          </w:tcPr>
          <w:p>
            <w:pPr>
              <w:pageBreakBefore w:val="0"/>
              <w:widowControl w:val="0"/>
              <w:kinsoku/>
              <w:wordWrap/>
              <w:overflowPunct/>
              <w:topLinePunct w:val="0"/>
              <w:autoSpaceDE/>
              <w:autoSpaceDN/>
              <w:bidi w:val="0"/>
              <w:snapToGrid/>
              <w:spacing w:line="360" w:lineRule="auto"/>
              <w:textAlignment w:val="auto"/>
              <w:rPr>
                <w:rFonts w:hint="eastAsia" w:ascii="宋体" w:hAnsi="宋体"/>
                <w:color w:val="000000"/>
                <w:sz w:val="24"/>
                <w:highlight w:val="none"/>
              </w:rPr>
            </w:pPr>
            <w:r>
              <w:rPr>
                <w:rFonts w:hint="eastAsia" w:ascii="宋体" w:hAnsi="宋体"/>
                <w:color w:val="000000"/>
                <w:sz w:val="24"/>
                <w:highlight w:val="none"/>
              </w:rPr>
              <w:t>100G</w:t>
            </w:r>
          </w:p>
        </w:tc>
        <w:tc>
          <w:tcPr>
            <w:tcW w:w="850" w:type="dxa"/>
            <w:noWrap w:val="0"/>
            <w:vAlign w:val="top"/>
          </w:tcPr>
          <w:p>
            <w:pPr>
              <w:pageBreakBefore w:val="0"/>
              <w:widowControl w:val="0"/>
              <w:kinsoku/>
              <w:wordWrap/>
              <w:overflowPunct/>
              <w:topLinePunct w:val="0"/>
              <w:autoSpaceDE/>
              <w:autoSpaceDN/>
              <w:bidi w:val="0"/>
              <w:snapToGrid/>
              <w:spacing w:line="360" w:lineRule="auto"/>
              <w:textAlignment w:val="auto"/>
              <w:rPr>
                <w:rFonts w:hint="eastAsia" w:ascii="宋体" w:hAnsi="宋体"/>
                <w:color w:val="000000"/>
                <w:sz w:val="24"/>
                <w:highlight w:val="none"/>
              </w:rPr>
            </w:pPr>
            <w:r>
              <w:rPr>
                <w:rFonts w:hint="eastAsia" w:ascii="宋体" w:hAnsi="宋体"/>
                <w:color w:val="000000"/>
                <w:sz w:val="24"/>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691" w:type="dxa"/>
            <w:noWrap w:val="0"/>
            <w:vAlign w:val="top"/>
          </w:tcPr>
          <w:p>
            <w:pPr>
              <w:pageBreakBefore w:val="0"/>
              <w:widowControl w:val="0"/>
              <w:kinsoku/>
              <w:wordWrap/>
              <w:overflowPunct/>
              <w:topLinePunct w:val="0"/>
              <w:autoSpaceDE/>
              <w:autoSpaceDN/>
              <w:bidi w:val="0"/>
              <w:snapToGrid/>
              <w:spacing w:line="360" w:lineRule="auto"/>
              <w:textAlignment w:val="auto"/>
              <w:rPr>
                <w:rFonts w:hint="eastAsia" w:ascii="宋体" w:hAnsi="宋体"/>
                <w:color w:val="000000"/>
                <w:sz w:val="24"/>
                <w:highlight w:val="none"/>
              </w:rPr>
            </w:pPr>
            <w:r>
              <w:rPr>
                <w:rFonts w:hint="eastAsia" w:ascii="宋体" w:hAnsi="宋体"/>
                <w:color w:val="000000"/>
                <w:sz w:val="24"/>
                <w:highlight w:val="none"/>
              </w:rPr>
              <w:t>ECS</w:t>
            </w:r>
          </w:p>
        </w:tc>
        <w:tc>
          <w:tcPr>
            <w:tcW w:w="1068" w:type="dxa"/>
            <w:noWrap w:val="0"/>
            <w:vAlign w:val="top"/>
          </w:tcPr>
          <w:p>
            <w:pPr>
              <w:pageBreakBefore w:val="0"/>
              <w:widowControl w:val="0"/>
              <w:kinsoku/>
              <w:wordWrap/>
              <w:overflowPunct/>
              <w:topLinePunct w:val="0"/>
              <w:autoSpaceDE/>
              <w:autoSpaceDN/>
              <w:bidi w:val="0"/>
              <w:snapToGrid/>
              <w:spacing w:line="360" w:lineRule="auto"/>
              <w:textAlignment w:val="auto"/>
              <w:rPr>
                <w:rFonts w:hint="eastAsia" w:ascii="宋体" w:hAnsi="宋体"/>
                <w:color w:val="000000"/>
                <w:sz w:val="24"/>
                <w:highlight w:val="none"/>
              </w:rPr>
            </w:pPr>
            <w:r>
              <w:rPr>
                <w:rFonts w:hint="eastAsia" w:ascii="宋体" w:hAnsi="宋体"/>
                <w:color w:val="000000"/>
                <w:sz w:val="24"/>
                <w:highlight w:val="none"/>
              </w:rPr>
              <w:t>4</w:t>
            </w:r>
          </w:p>
        </w:tc>
        <w:tc>
          <w:tcPr>
            <w:tcW w:w="1193" w:type="dxa"/>
            <w:noWrap w:val="0"/>
            <w:vAlign w:val="top"/>
          </w:tcPr>
          <w:p>
            <w:pPr>
              <w:pageBreakBefore w:val="0"/>
              <w:widowControl w:val="0"/>
              <w:kinsoku/>
              <w:wordWrap/>
              <w:overflowPunct/>
              <w:topLinePunct w:val="0"/>
              <w:autoSpaceDE/>
              <w:autoSpaceDN/>
              <w:bidi w:val="0"/>
              <w:snapToGrid/>
              <w:spacing w:line="360" w:lineRule="auto"/>
              <w:textAlignment w:val="auto"/>
              <w:rPr>
                <w:rFonts w:hint="eastAsia" w:ascii="宋体" w:hAnsi="宋体"/>
                <w:color w:val="000000"/>
                <w:sz w:val="24"/>
                <w:highlight w:val="none"/>
              </w:rPr>
            </w:pPr>
            <w:r>
              <w:rPr>
                <w:rFonts w:hint="eastAsia" w:ascii="宋体" w:hAnsi="宋体"/>
                <w:color w:val="000000"/>
                <w:sz w:val="24"/>
                <w:highlight w:val="none"/>
              </w:rPr>
              <w:t>8</w:t>
            </w:r>
          </w:p>
        </w:tc>
        <w:tc>
          <w:tcPr>
            <w:tcW w:w="992" w:type="dxa"/>
            <w:noWrap w:val="0"/>
            <w:vAlign w:val="top"/>
          </w:tcPr>
          <w:p>
            <w:pPr>
              <w:pageBreakBefore w:val="0"/>
              <w:widowControl w:val="0"/>
              <w:kinsoku/>
              <w:wordWrap/>
              <w:overflowPunct/>
              <w:topLinePunct w:val="0"/>
              <w:autoSpaceDE/>
              <w:autoSpaceDN/>
              <w:bidi w:val="0"/>
              <w:snapToGrid/>
              <w:spacing w:line="360" w:lineRule="auto"/>
              <w:textAlignment w:val="auto"/>
              <w:rPr>
                <w:rFonts w:hint="eastAsia" w:ascii="宋体" w:hAnsi="宋体"/>
                <w:color w:val="000000"/>
                <w:sz w:val="24"/>
                <w:highlight w:val="none"/>
              </w:rPr>
            </w:pPr>
            <w:r>
              <w:rPr>
                <w:rFonts w:hint="eastAsia" w:ascii="宋体" w:hAnsi="宋体"/>
                <w:color w:val="000000"/>
                <w:sz w:val="24"/>
                <w:highlight w:val="none"/>
              </w:rPr>
              <w:t>300G</w:t>
            </w:r>
          </w:p>
        </w:tc>
        <w:tc>
          <w:tcPr>
            <w:tcW w:w="850" w:type="dxa"/>
            <w:noWrap w:val="0"/>
            <w:vAlign w:val="top"/>
          </w:tcPr>
          <w:p>
            <w:pPr>
              <w:pageBreakBefore w:val="0"/>
              <w:widowControl w:val="0"/>
              <w:kinsoku/>
              <w:wordWrap/>
              <w:overflowPunct/>
              <w:topLinePunct w:val="0"/>
              <w:autoSpaceDE/>
              <w:autoSpaceDN/>
              <w:bidi w:val="0"/>
              <w:snapToGrid/>
              <w:spacing w:line="360" w:lineRule="auto"/>
              <w:textAlignment w:val="auto"/>
              <w:rPr>
                <w:rFonts w:hint="eastAsia" w:ascii="宋体" w:hAnsi="宋体"/>
                <w:color w:val="000000"/>
                <w:sz w:val="24"/>
                <w:highlight w:val="none"/>
              </w:rPr>
            </w:pPr>
            <w:r>
              <w:rPr>
                <w:rFonts w:hint="eastAsia" w:ascii="宋体" w:hAnsi="宋体"/>
                <w:color w:val="000000"/>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691" w:type="dxa"/>
            <w:noWrap w:val="0"/>
            <w:vAlign w:val="top"/>
          </w:tcPr>
          <w:p>
            <w:pPr>
              <w:pageBreakBefore w:val="0"/>
              <w:widowControl w:val="0"/>
              <w:kinsoku/>
              <w:wordWrap/>
              <w:overflowPunct/>
              <w:topLinePunct w:val="0"/>
              <w:autoSpaceDE/>
              <w:autoSpaceDN/>
              <w:bidi w:val="0"/>
              <w:snapToGrid/>
              <w:spacing w:line="360" w:lineRule="auto"/>
              <w:textAlignment w:val="auto"/>
              <w:rPr>
                <w:rFonts w:hint="eastAsia" w:ascii="宋体" w:hAnsi="宋体"/>
                <w:color w:val="000000"/>
                <w:sz w:val="24"/>
                <w:highlight w:val="none"/>
              </w:rPr>
            </w:pPr>
            <w:r>
              <w:rPr>
                <w:rFonts w:hint="eastAsia" w:ascii="宋体" w:hAnsi="宋体"/>
                <w:color w:val="000000"/>
                <w:sz w:val="24"/>
                <w:highlight w:val="none"/>
              </w:rPr>
              <w:t>ECS</w:t>
            </w:r>
          </w:p>
        </w:tc>
        <w:tc>
          <w:tcPr>
            <w:tcW w:w="1068" w:type="dxa"/>
            <w:noWrap w:val="0"/>
            <w:vAlign w:val="top"/>
          </w:tcPr>
          <w:p>
            <w:pPr>
              <w:pageBreakBefore w:val="0"/>
              <w:widowControl w:val="0"/>
              <w:kinsoku/>
              <w:wordWrap/>
              <w:overflowPunct/>
              <w:topLinePunct w:val="0"/>
              <w:autoSpaceDE/>
              <w:autoSpaceDN/>
              <w:bidi w:val="0"/>
              <w:snapToGrid/>
              <w:spacing w:line="360" w:lineRule="auto"/>
              <w:textAlignment w:val="auto"/>
              <w:rPr>
                <w:rFonts w:hint="eastAsia" w:ascii="宋体" w:hAnsi="宋体"/>
                <w:color w:val="000000"/>
                <w:sz w:val="24"/>
                <w:highlight w:val="none"/>
              </w:rPr>
            </w:pPr>
            <w:r>
              <w:rPr>
                <w:rFonts w:hint="eastAsia" w:ascii="宋体" w:hAnsi="宋体"/>
                <w:color w:val="000000"/>
                <w:sz w:val="24"/>
                <w:highlight w:val="none"/>
              </w:rPr>
              <w:t>4</w:t>
            </w:r>
          </w:p>
        </w:tc>
        <w:tc>
          <w:tcPr>
            <w:tcW w:w="1193" w:type="dxa"/>
            <w:noWrap w:val="0"/>
            <w:vAlign w:val="top"/>
          </w:tcPr>
          <w:p>
            <w:pPr>
              <w:pageBreakBefore w:val="0"/>
              <w:widowControl w:val="0"/>
              <w:kinsoku/>
              <w:wordWrap/>
              <w:overflowPunct/>
              <w:topLinePunct w:val="0"/>
              <w:autoSpaceDE/>
              <w:autoSpaceDN/>
              <w:bidi w:val="0"/>
              <w:snapToGrid/>
              <w:spacing w:line="360" w:lineRule="auto"/>
              <w:textAlignment w:val="auto"/>
              <w:rPr>
                <w:rFonts w:hint="eastAsia" w:ascii="宋体" w:hAnsi="宋体"/>
                <w:color w:val="000000"/>
                <w:sz w:val="24"/>
                <w:highlight w:val="none"/>
              </w:rPr>
            </w:pPr>
            <w:r>
              <w:rPr>
                <w:rFonts w:hint="eastAsia" w:ascii="宋体" w:hAnsi="宋体"/>
                <w:color w:val="000000"/>
                <w:sz w:val="24"/>
                <w:highlight w:val="none"/>
              </w:rPr>
              <w:t>8</w:t>
            </w:r>
          </w:p>
        </w:tc>
        <w:tc>
          <w:tcPr>
            <w:tcW w:w="992" w:type="dxa"/>
            <w:noWrap w:val="0"/>
            <w:vAlign w:val="top"/>
          </w:tcPr>
          <w:p>
            <w:pPr>
              <w:pageBreakBefore w:val="0"/>
              <w:widowControl w:val="0"/>
              <w:kinsoku/>
              <w:wordWrap/>
              <w:overflowPunct/>
              <w:topLinePunct w:val="0"/>
              <w:autoSpaceDE/>
              <w:autoSpaceDN/>
              <w:bidi w:val="0"/>
              <w:snapToGrid/>
              <w:spacing w:line="360" w:lineRule="auto"/>
              <w:textAlignment w:val="auto"/>
              <w:rPr>
                <w:rFonts w:hint="eastAsia" w:ascii="宋体" w:hAnsi="宋体"/>
                <w:color w:val="000000"/>
                <w:sz w:val="24"/>
                <w:highlight w:val="none"/>
              </w:rPr>
            </w:pPr>
            <w:r>
              <w:rPr>
                <w:rFonts w:hint="eastAsia" w:ascii="宋体" w:hAnsi="宋体"/>
                <w:color w:val="000000"/>
                <w:sz w:val="24"/>
                <w:highlight w:val="none"/>
              </w:rPr>
              <w:t>500G</w:t>
            </w:r>
          </w:p>
        </w:tc>
        <w:tc>
          <w:tcPr>
            <w:tcW w:w="850" w:type="dxa"/>
            <w:noWrap w:val="0"/>
            <w:vAlign w:val="top"/>
          </w:tcPr>
          <w:p>
            <w:pPr>
              <w:pageBreakBefore w:val="0"/>
              <w:widowControl w:val="0"/>
              <w:kinsoku/>
              <w:wordWrap/>
              <w:overflowPunct/>
              <w:topLinePunct w:val="0"/>
              <w:autoSpaceDE/>
              <w:autoSpaceDN/>
              <w:bidi w:val="0"/>
              <w:snapToGrid/>
              <w:spacing w:line="360" w:lineRule="auto"/>
              <w:textAlignment w:val="auto"/>
              <w:rPr>
                <w:rFonts w:hint="eastAsia" w:ascii="宋体" w:hAnsi="宋体"/>
                <w:color w:val="000000"/>
                <w:sz w:val="24"/>
                <w:highlight w:val="none"/>
              </w:rPr>
            </w:pPr>
            <w:r>
              <w:rPr>
                <w:rFonts w:hint="eastAsia" w:ascii="宋体" w:hAnsi="宋体"/>
                <w:color w:val="000000"/>
                <w:sz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691" w:type="dxa"/>
            <w:noWrap w:val="0"/>
            <w:vAlign w:val="top"/>
          </w:tcPr>
          <w:p>
            <w:pPr>
              <w:pageBreakBefore w:val="0"/>
              <w:widowControl w:val="0"/>
              <w:kinsoku/>
              <w:wordWrap/>
              <w:overflowPunct/>
              <w:topLinePunct w:val="0"/>
              <w:autoSpaceDE/>
              <w:autoSpaceDN/>
              <w:bidi w:val="0"/>
              <w:snapToGrid/>
              <w:spacing w:line="360" w:lineRule="auto"/>
              <w:textAlignment w:val="auto"/>
              <w:rPr>
                <w:rFonts w:hint="eastAsia" w:ascii="宋体" w:hAnsi="宋体"/>
                <w:color w:val="000000"/>
                <w:sz w:val="24"/>
                <w:highlight w:val="none"/>
              </w:rPr>
            </w:pPr>
            <w:r>
              <w:rPr>
                <w:rFonts w:hint="eastAsia" w:ascii="宋体" w:hAnsi="宋体"/>
                <w:color w:val="000000"/>
                <w:sz w:val="24"/>
                <w:highlight w:val="none"/>
              </w:rPr>
              <w:t>ECS</w:t>
            </w:r>
          </w:p>
        </w:tc>
        <w:tc>
          <w:tcPr>
            <w:tcW w:w="1068" w:type="dxa"/>
            <w:noWrap w:val="0"/>
            <w:vAlign w:val="top"/>
          </w:tcPr>
          <w:p>
            <w:pPr>
              <w:pageBreakBefore w:val="0"/>
              <w:widowControl w:val="0"/>
              <w:kinsoku/>
              <w:wordWrap/>
              <w:overflowPunct/>
              <w:topLinePunct w:val="0"/>
              <w:autoSpaceDE/>
              <w:autoSpaceDN/>
              <w:bidi w:val="0"/>
              <w:snapToGrid/>
              <w:spacing w:line="360" w:lineRule="auto"/>
              <w:textAlignment w:val="auto"/>
              <w:rPr>
                <w:rFonts w:hint="eastAsia" w:ascii="宋体" w:hAnsi="宋体"/>
                <w:color w:val="000000"/>
                <w:sz w:val="24"/>
                <w:highlight w:val="none"/>
              </w:rPr>
            </w:pPr>
            <w:r>
              <w:rPr>
                <w:rFonts w:hint="eastAsia" w:ascii="宋体" w:hAnsi="宋体"/>
                <w:color w:val="000000"/>
                <w:sz w:val="24"/>
                <w:highlight w:val="none"/>
              </w:rPr>
              <w:t>4</w:t>
            </w:r>
          </w:p>
        </w:tc>
        <w:tc>
          <w:tcPr>
            <w:tcW w:w="1193" w:type="dxa"/>
            <w:noWrap w:val="0"/>
            <w:vAlign w:val="top"/>
          </w:tcPr>
          <w:p>
            <w:pPr>
              <w:pageBreakBefore w:val="0"/>
              <w:widowControl w:val="0"/>
              <w:kinsoku/>
              <w:wordWrap/>
              <w:overflowPunct/>
              <w:topLinePunct w:val="0"/>
              <w:autoSpaceDE/>
              <w:autoSpaceDN/>
              <w:bidi w:val="0"/>
              <w:snapToGrid/>
              <w:spacing w:line="360" w:lineRule="auto"/>
              <w:textAlignment w:val="auto"/>
              <w:rPr>
                <w:rFonts w:hint="eastAsia" w:ascii="宋体" w:hAnsi="宋体"/>
                <w:color w:val="000000"/>
                <w:sz w:val="24"/>
                <w:highlight w:val="none"/>
              </w:rPr>
            </w:pPr>
            <w:r>
              <w:rPr>
                <w:rFonts w:hint="eastAsia" w:ascii="宋体" w:hAnsi="宋体"/>
                <w:color w:val="000000"/>
                <w:sz w:val="24"/>
                <w:highlight w:val="none"/>
              </w:rPr>
              <w:t>16</w:t>
            </w:r>
          </w:p>
        </w:tc>
        <w:tc>
          <w:tcPr>
            <w:tcW w:w="992" w:type="dxa"/>
            <w:noWrap w:val="0"/>
            <w:vAlign w:val="top"/>
          </w:tcPr>
          <w:p>
            <w:pPr>
              <w:pageBreakBefore w:val="0"/>
              <w:widowControl w:val="0"/>
              <w:kinsoku/>
              <w:wordWrap/>
              <w:overflowPunct/>
              <w:topLinePunct w:val="0"/>
              <w:autoSpaceDE/>
              <w:autoSpaceDN/>
              <w:bidi w:val="0"/>
              <w:snapToGrid/>
              <w:spacing w:line="360" w:lineRule="auto"/>
              <w:textAlignment w:val="auto"/>
              <w:rPr>
                <w:rFonts w:hint="eastAsia" w:ascii="宋体" w:hAnsi="宋体"/>
                <w:color w:val="000000"/>
                <w:sz w:val="24"/>
                <w:highlight w:val="none"/>
              </w:rPr>
            </w:pPr>
            <w:r>
              <w:rPr>
                <w:rFonts w:hint="eastAsia" w:ascii="宋体" w:hAnsi="宋体"/>
                <w:color w:val="000000"/>
                <w:sz w:val="24"/>
                <w:highlight w:val="none"/>
              </w:rPr>
              <w:t>300G</w:t>
            </w:r>
          </w:p>
        </w:tc>
        <w:tc>
          <w:tcPr>
            <w:tcW w:w="850" w:type="dxa"/>
            <w:noWrap w:val="0"/>
            <w:vAlign w:val="top"/>
          </w:tcPr>
          <w:p>
            <w:pPr>
              <w:pageBreakBefore w:val="0"/>
              <w:widowControl w:val="0"/>
              <w:kinsoku/>
              <w:wordWrap/>
              <w:overflowPunct/>
              <w:topLinePunct w:val="0"/>
              <w:autoSpaceDE/>
              <w:autoSpaceDN/>
              <w:bidi w:val="0"/>
              <w:snapToGrid/>
              <w:spacing w:line="360" w:lineRule="auto"/>
              <w:textAlignment w:val="auto"/>
              <w:rPr>
                <w:rFonts w:hint="eastAsia" w:ascii="宋体" w:hAnsi="宋体"/>
                <w:color w:val="000000"/>
                <w:sz w:val="24"/>
                <w:highlight w:val="none"/>
              </w:rPr>
            </w:pPr>
            <w:r>
              <w:rPr>
                <w:rFonts w:hint="eastAsia" w:ascii="宋体" w:hAnsi="宋体"/>
                <w:color w:val="000000"/>
                <w:sz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691" w:type="dxa"/>
            <w:noWrap w:val="0"/>
            <w:vAlign w:val="top"/>
          </w:tcPr>
          <w:p>
            <w:pPr>
              <w:pageBreakBefore w:val="0"/>
              <w:widowControl w:val="0"/>
              <w:kinsoku/>
              <w:wordWrap/>
              <w:overflowPunct/>
              <w:topLinePunct w:val="0"/>
              <w:autoSpaceDE/>
              <w:autoSpaceDN/>
              <w:bidi w:val="0"/>
              <w:snapToGrid/>
              <w:spacing w:line="360" w:lineRule="auto"/>
              <w:textAlignment w:val="auto"/>
              <w:rPr>
                <w:rFonts w:hint="eastAsia" w:ascii="宋体" w:hAnsi="宋体"/>
                <w:color w:val="000000"/>
                <w:sz w:val="24"/>
                <w:highlight w:val="none"/>
              </w:rPr>
            </w:pPr>
            <w:r>
              <w:rPr>
                <w:rFonts w:hint="eastAsia" w:ascii="宋体" w:hAnsi="宋体"/>
                <w:color w:val="000000"/>
                <w:sz w:val="24"/>
                <w:highlight w:val="none"/>
              </w:rPr>
              <w:t>ECS</w:t>
            </w:r>
          </w:p>
        </w:tc>
        <w:tc>
          <w:tcPr>
            <w:tcW w:w="1068" w:type="dxa"/>
            <w:noWrap w:val="0"/>
            <w:vAlign w:val="top"/>
          </w:tcPr>
          <w:p>
            <w:pPr>
              <w:pageBreakBefore w:val="0"/>
              <w:widowControl w:val="0"/>
              <w:kinsoku/>
              <w:wordWrap/>
              <w:overflowPunct/>
              <w:topLinePunct w:val="0"/>
              <w:autoSpaceDE/>
              <w:autoSpaceDN/>
              <w:bidi w:val="0"/>
              <w:snapToGrid/>
              <w:spacing w:line="360" w:lineRule="auto"/>
              <w:textAlignment w:val="auto"/>
              <w:rPr>
                <w:rFonts w:hint="eastAsia" w:ascii="宋体" w:hAnsi="宋体"/>
                <w:color w:val="000000"/>
                <w:sz w:val="24"/>
                <w:highlight w:val="none"/>
              </w:rPr>
            </w:pPr>
            <w:r>
              <w:rPr>
                <w:rFonts w:hint="eastAsia" w:ascii="宋体" w:hAnsi="宋体"/>
                <w:color w:val="000000"/>
                <w:sz w:val="24"/>
                <w:highlight w:val="none"/>
              </w:rPr>
              <w:t>8</w:t>
            </w:r>
          </w:p>
        </w:tc>
        <w:tc>
          <w:tcPr>
            <w:tcW w:w="1193" w:type="dxa"/>
            <w:noWrap w:val="0"/>
            <w:vAlign w:val="top"/>
          </w:tcPr>
          <w:p>
            <w:pPr>
              <w:pageBreakBefore w:val="0"/>
              <w:widowControl w:val="0"/>
              <w:kinsoku/>
              <w:wordWrap/>
              <w:overflowPunct/>
              <w:topLinePunct w:val="0"/>
              <w:autoSpaceDE/>
              <w:autoSpaceDN/>
              <w:bidi w:val="0"/>
              <w:snapToGrid/>
              <w:spacing w:line="360" w:lineRule="auto"/>
              <w:textAlignment w:val="auto"/>
              <w:rPr>
                <w:rFonts w:hint="eastAsia" w:ascii="宋体" w:hAnsi="宋体"/>
                <w:color w:val="000000"/>
                <w:sz w:val="24"/>
                <w:highlight w:val="none"/>
              </w:rPr>
            </w:pPr>
            <w:r>
              <w:rPr>
                <w:rFonts w:hint="eastAsia" w:ascii="宋体" w:hAnsi="宋体"/>
                <w:color w:val="000000"/>
                <w:sz w:val="24"/>
                <w:highlight w:val="none"/>
              </w:rPr>
              <w:t>16</w:t>
            </w:r>
          </w:p>
        </w:tc>
        <w:tc>
          <w:tcPr>
            <w:tcW w:w="992" w:type="dxa"/>
            <w:noWrap w:val="0"/>
            <w:vAlign w:val="top"/>
          </w:tcPr>
          <w:p>
            <w:pPr>
              <w:pageBreakBefore w:val="0"/>
              <w:widowControl w:val="0"/>
              <w:kinsoku/>
              <w:wordWrap/>
              <w:overflowPunct/>
              <w:topLinePunct w:val="0"/>
              <w:autoSpaceDE/>
              <w:autoSpaceDN/>
              <w:bidi w:val="0"/>
              <w:snapToGrid/>
              <w:spacing w:line="360" w:lineRule="auto"/>
              <w:textAlignment w:val="auto"/>
              <w:rPr>
                <w:rFonts w:hint="eastAsia" w:ascii="宋体" w:hAnsi="宋体"/>
                <w:color w:val="000000"/>
                <w:sz w:val="24"/>
                <w:highlight w:val="none"/>
              </w:rPr>
            </w:pPr>
            <w:r>
              <w:rPr>
                <w:rFonts w:hint="eastAsia" w:ascii="宋体" w:hAnsi="宋体"/>
                <w:color w:val="000000"/>
                <w:sz w:val="24"/>
                <w:highlight w:val="none"/>
              </w:rPr>
              <w:t>100G</w:t>
            </w:r>
          </w:p>
        </w:tc>
        <w:tc>
          <w:tcPr>
            <w:tcW w:w="850" w:type="dxa"/>
            <w:noWrap w:val="0"/>
            <w:vAlign w:val="top"/>
          </w:tcPr>
          <w:p>
            <w:pPr>
              <w:pageBreakBefore w:val="0"/>
              <w:widowControl w:val="0"/>
              <w:kinsoku/>
              <w:wordWrap/>
              <w:overflowPunct/>
              <w:topLinePunct w:val="0"/>
              <w:autoSpaceDE/>
              <w:autoSpaceDN/>
              <w:bidi w:val="0"/>
              <w:snapToGrid/>
              <w:spacing w:line="360" w:lineRule="auto"/>
              <w:textAlignment w:val="auto"/>
              <w:rPr>
                <w:rFonts w:hint="eastAsia" w:ascii="宋体" w:hAnsi="宋体"/>
                <w:color w:val="000000"/>
                <w:sz w:val="24"/>
                <w:highlight w:val="none"/>
              </w:rPr>
            </w:pPr>
            <w:r>
              <w:rPr>
                <w:rFonts w:hint="eastAsia" w:ascii="宋体" w:hAnsi="宋体"/>
                <w:color w:val="000000"/>
                <w:sz w:val="24"/>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691" w:type="dxa"/>
            <w:noWrap w:val="0"/>
            <w:vAlign w:val="top"/>
          </w:tcPr>
          <w:p>
            <w:pPr>
              <w:pageBreakBefore w:val="0"/>
              <w:widowControl w:val="0"/>
              <w:kinsoku/>
              <w:wordWrap/>
              <w:overflowPunct/>
              <w:topLinePunct w:val="0"/>
              <w:autoSpaceDE/>
              <w:autoSpaceDN/>
              <w:bidi w:val="0"/>
              <w:snapToGrid/>
              <w:spacing w:line="360" w:lineRule="auto"/>
              <w:textAlignment w:val="auto"/>
              <w:rPr>
                <w:rFonts w:hint="eastAsia" w:ascii="宋体" w:hAnsi="宋体"/>
                <w:color w:val="000000"/>
                <w:sz w:val="24"/>
                <w:highlight w:val="none"/>
              </w:rPr>
            </w:pPr>
            <w:r>
              <w:rPr>
                <w:rFonts w:hint="eastAsia" w:ascii="宋体" w:hAnsi="宋体"/>
                <w:color w:val="000000"/>
                <w:sz w:val="24"/>
                <w:highlight w:val="none"/>
              </w:rPr>
              <w:t>ECS</w:t>
            </w:r>
          </w:p>
        </w:tc>
        <w:tc>
          <w:tcPr>
            <w:tcW w:w="1068" w:type="dxa"/>
            <w:noWrap w:val="0"/>
            <w:vAlign w:val="top"/>
          </w:tcPr>
          <w:p>
            <w:pPr>
              <w:pageBreakBefore w:val="0"/>
              <w:widowControl w:val="0"/>
              <w:kinsoku/>
              <w:wordWrap/>
              <w:overflowPunct/>
              <w:topLinePunct w:val="0"/>
              <w:autoSpaceDE/>
              <w:autoSpaceDN/>
              <w:bidi w:val="0"/>
              <w:snapToGrid/>
              <w:spacing w:line="360" w:lineRule="auto"/>
              <w:textAlignment w:val="auto"/>
              <w:rPr>
                <w:rFonts w:hint="eastAsia" w:ascii="宋体" w:hAnsi="宋体"/>
                <w:color w:val="000000"/>
                <w:sz w:val="24"/>
                <w:highlight w:val="none"/>
              </w:rPr>
            </w:pPr>
            <w:r>
              <w:rPr>
                <w:rFonts w:hint="eastAsia" w:ascii="宋体" w:hAnsi="宋体"/>
                <w:color w:val="000000"/>
                <w:sz w:val="24"/>
                <w:highlight w:val="none"/>
              </w:rPr>
              <w:t>8</w:t>
            </w:r>
          </w:p>
        </w:tc>
        <w:tc>
          <w:tcPr>
            <w:tcW w:w="1193" w:type="dxa"/>
            <w:noWrap w:val="0"/>
            <w:vAlign w:val="top"/>
          </w:tcPr>
          <w:p>
            <w:pPr>
              <w:pageBreakBefore w:val="0"/>
              <w:widowControl w:val="0"/>
              <w:kinsoku/>
              <w:wordWrap/>
              <w:overflowPunct/>
              <w:topLinePunct w:val="0"/>
              <w:autoSpaceDE/>
              <w:autoSpaceDN/>
              <w:bidi w:val="0"/>
              <w:snapToGrid/>
              <w:spacing w:line="360" w:lineRule="auto"/>
              <w:textAlignment w:val="auto"/>
              <w:rPr>
                <w:rFonts w:hint="eastAsia" w:ascii="宋体" w:hAnsi="宋体"/>
                <w:color w:val="000000"/>
                <w:sz w:val="24"/>
                <w:highlight w:val="none"/>
              </w:rPr>
            </w:pPr>
            <w:r>
              <w:rPr>
                <w:rFonts w:hint="eastAsia" w:ascii="宋体" w:hAnsi="宋体"/>
                <w:color w:val="000000"/>
                <w:sz w:val="24"/>
                <w:highlight w:val="none"/>
              </w:rPr>
              <w:t>16</w:t>
            </w:r>
          </w:p>
        </w:tc>
        <w:tc>
          <w:tcPr>
            <w:tcW w:w="992" w:type="dxa"/>
            <w:noWrap w:val="0"/>
            <w:vAlign w:val="top"/>
          </w:tcPr>
          <w:p>
            <w:pPr>
              <w:pageBreakBefore w:val="0"/>
              <w:widowControl w:val="0"/>
              <w:kinsoku/>
              <w:wordWrap/>
              <w:overflowPunct/>
              <w:topLinePunct w:val="0"/>
              <w:autoSpaceDE/>
              <w:autoSpaceDN/>
              <w:bidi w:val="0"/>
              <w:snapToGrid/>
              <w:spacing w:line="360" w:lineRule="auto"/>
              <w:textAlignment w:val="auto"/>
              <w:rPr>
                <w:rFonts w:hint="eastAsia" w:ascii="宋体" w:hAnsi="宋体"/>
                <w:color w:val="000000"/>
                <w:sz w:val="24"/>
                <w:highlight w:val="none"/>
              </w:rPr>
            </w:pPr>
            <w:r>
              <w:rPr>
                <w:rFonts w:hint="eastAsia" w:ascii="宋体" w:hAnsi="宋体"/>
                <w:color w:val="000000"/>
                <w:sz w:val="24"/>
                <w:highlight w:val="none"/>
              </w:rPr>
              <w:t>500G</w:t>
            </w:r>
          </w:p>
        </w:tc>
        <w:tc>
          <w:tcPr>
            <w:tcW w:w="850" w:type="dxa"/>
            <w:noWrap w:val="0"/>
            <w:vAlign w:val="top"/>
          </w:tcPr>
          <w:p>
            <w:pPr>
              <w:pageBreakBefore w:val="0"/>
              <w:widowControl w:val="0"/>
              <w:kinsoku/>
              <w:wordWrap/>
              <w:overflowPunct/>
              <w:topLinePunct w:val="0"/>
              <w:autoSpaceDE/>
              <w:autoSpaceDN/>
              <w:bidi w:val="0"/>
              <w:snapToGrid/>
              <w:spacing w:line="360" w:lineRule="auto"/>
              <w:textAlignment w:val="auto"/>
              <w:rPr>
                <w:rFonts w:hint="eastAsia" w:ascii="宋体" w:hAnsi="宋体"/>
                <w:color w:val="000000"/>
                <w:sz w:val="24"/>
                <w:highlight w:val="none"/>
              </w:rPr>
            </w:pPr>
            <w:r>
              <w:rPr>
                <w:rFonts w:hint="eastAsia" w:ascii="宋体" w:hAnsi="宋体"/>
                <w:color w:val="000000"/>
                <w:sz w:val="24"/>
                <w:highlight w:val="none"/>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691" w:type="dxa"/>
            <w:noWrap w:val="0"/>
            <w:vAlign w:val="top"/>
          </w:tcPr>
          <w:p>
            <w:pPr>
              <w:pageBreakBefore w:val="0"/>
              <w:widowControl w:val="0"/>
              <w:kinsoku/>
              <w:wordWrap/>
              <w:overflowPunct/>
              <w:topLinePunct w:val="0"/>
              <w:autoSpaceDE/>
              <w:autoSpaceDN/>
              <w:bidi w:val="0"/>
              <w:snapToGrid/>
              <w:spacing w:line="360" w:lineRule="auto"/>
              <w:textAlignment w:val="auto"/>
              <w:rPr>
                <w:rFonts w:hint="eastAsia" w:ascii="宋体" w:hAnsi="宋体"/>
                <w:color w:val="000000"/>
                <w:sz w:val="24"/>
                <w:highlight w:val="none"/>
              </w:rPr>
            </w:pPr>
            <w:r>
              <w:rPr>
                <w:rFonts w:hint="eastAsia" w:ascii="宋体" w:hAnsi="宋体"/>
                <w:color w:val="000000"/>
                <w:sz w:val="24"/>
                <w:highlight w:val="none"/>
              </w:rPr>
              <w:t>ECS</w:t>
            </w:r>
          </w:p>
        </w:tc>
        <w:tc>
          <w:tcPr>
            <w:tcW w:w="1068" w:type="dxa"/>
            <w:noWrap w:val="0"/>
            <w:vAlign w:val="top"/>
          </w:tcPr>
          <w:p>
            <w:pPr>
              <w:pageBreakBefore w:val="0"/>
              <w:widowControl w:val="0"/>
              <w:kinsoku/>
              <w:wordWrap/>
              <w:overflowPunct/>
              <w:topLinePunct w:val="0"/>
              <w:autoSpaceDE/>
              <w:autoSpaceDN/>
              <w:bidi w:val="0"/>
              <w:snapToGrid/>
              <w:spacing w:line="360" w:lineRule="auto"/>
              <w:textAlignment w:val="auto"/>
              <w:rPr>
                <w:rFonts w:hint="eastAsia" w:ascii="宋体" w:hAnsi="宋体"/>
                <w:color w:val="000000"/>
                <w:sz w:val="24"/>
                <w:highlight w:val="none"/>
              </w:rPr>
            </w:pPr>
            <w:r>
              <w:rPr>
                <w:rFonts w:hint="eastAsia" w:ascii="宋体" w:hAnsi="宋体"/>
                <w:color w:val="000000"/>
                <w:sz w:val="24"/>
                <w:highlight w:val="none"/>
              </w:rPr>
              <w:t>8</w:t>
            </w:r>
          </w:p>
        </w:tc>
        <w:tc>
          <w:tcPr>
            <w:tcW w:w="1193" w:type="dxa"/>
            <w:noWrap w:val="0"/>
            <w:vAlign w:val="top"/>
          </w:tcPr>
          <w:p>
            <w:pPr>
              <w:pageBreakBefore w:val="0"/>
              <w:widowControl w:val="0"/>
              <w:kinsoku/>
              <w:wordWrap/>
              <w:overflowPunct/>
              <w:topLinePunct w:val="0"/>
              <w:autoSpaceDE/>
              <w:autoSpaceDN/>
              <w:bidi w:val="0"/>
              <w:snapToGrid/>
              <w:spacing w:line="360" w:lineRule="auto"/>
              <w:textAlignment w:val="auto"/>
              <w:rPr>
                <w:rFonts w:hint="eastAsia" w:ascii="宋体" w:hAnsi="宋体"/>
                <w:color w:val="000000"/>
                <w:sz w:val="24"/>
                <w:highlight w:val="none"/>
              </w:rPr>
            </w:pPr>
            <w:r>
              <w:rPr>
                <w:rFonts w:hint="eastAsia" w:ascii="宋体" w:hAnsi="宋体"/>
                <w:color w:val="000000"/>
                <w:sz w:val="24"/>
                <w:highlight w:val="none"/>
              </w:rPr>
              <w:t>32</w:t>
            </w:r>
          </w:p>
        </w:tc>
        <w:tc>
          <w:tcPr>
            <w:tcW w:w="992" w:type="dxa"/>
            <w:noWrap w:val="0"/>
            <w:vAlign w:val="top"/>
          </w:tcPr>
          <w:p>
            <w:pPr>
              <w:pageBreakBefore w:val="0"/>
              <w:widowControl w:val="0"/>
              <w:kinsoku/>
              <w:wordWrap/>
              <w:overflowPunct/>
              <w:topLinePunct w:val="0"/>
              <w:autoSpaceDE/>
              <w:autoSpaceDN/>
              <w:bidi w:val="0"/>
              <w:snapToGrid/>
              <w:spacing w:line="360" w:lineRule="auto"/>
              <w:textAlignment w:val="auto"/>
              <w:rPr>
                <w:rFonts w:hint="eastAsia" w:ascii="宋体" w:hAnsi="宋体"/>
                <w:color w:val="000000"/>
                <w:sz w:val="24"/>
                <w:highlight w:val="none"/>
              </w:rPr>
            </w:pPr>
            <w:r>
              <w:rPr>
                <w:rFonts w:hint="eastAsia" w:ascii="宋体" w:hAnsi="宋体"/>
                <w:color w:val="000000"/>
                <w:sz w:val="24"/>
                <w:highlight w:val="none"/>
              </w:rPr>
              <w:t>500G</w:t>
            </w:r>
          </w:p>
        </w:tc>
        <w:tc>
          <w:tcPr>
            <w:tcW w:w="850" w:type="dxa"/>
            <w:noWrap w:val="0"/>
            <w:vAlign w:val="top"/>
          </w:tcPr>
          <w:p>
            <w:pPr>
              <w:pageBreakBefore w:val="0"/>
              <w:widowControl w:val="0"/>
              <w:kinsoku/>
              <w:wordWrap/>
              <w:overflowPunct/>
              <w:topLinePunct w:val="0"/>
              <w:autoSpaceDE/>
              <w:autoSpaceDN/>
              <w:bidi w:val="0"/>
              <w:snapToGrid/>
              <w:spacing w:line="360" w:lineRule="auto"/>
              <w:textAlignment w:val="auto"/>
              <w:rPr>
                <w:rFonts w:hint="eastAsia" w:ascii="宋体" w:hAnsi="宋体"/>
                <w:color w:val="000000"/>
                <w:sz w:val="24"/>
                <w:highlight w:val="none"/>
              </w:rPr>
            </w:pPr>
            <w:r>
              <w:rPr>
                <w:rFonts w:hint="eastAsia" w:ascii="宋体" w:hAnsi="宋体"/>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691" w:type="dxa"/>
            <w:noWrap w:val="0"/>
            <w:vAlign w:val="top"/>
          </w:tcPr>
          <w:p>
            <w:pPr>
              <w:pageBreakBefore w:val="0"/>
              <w:widowControl w:val="0"/>
              <w:kinsoku/>
              <w:wordWrap/>
              <w:overflowPunct/>
              <w:topLinePunct w:val="0"/>
              <w:autoSpaceDE/>
              <w:autoSpaceDN/>
              <w:bidi w:val="0"/>
              <w:snapToGrid/>
              <w:spacing w:line="360" w:lineRule="auto"/>
              <w:textAlignment w:val="auto"/>
              <w:rPr>
                <w:rFonts w:hint="eastAsia" w:ascii="宋体" w:hAnsi="宋体"/>
                <w:color w:val="000000"/>
                <w:sz w:val="24"/>
                <w:highlight w:val="none"/>
              </w:rPr>
            </w:pPr>
            <w:r>
              <w:rPr>
                <w:rFonts w:hint="eastAsia" w:ascii="宋体" w:hAnsi="宋体"/>
                <w:color w:val="000000"/>
                <w:sz w:val="24"/>
                <w:highlight w:val="none"/>
              </w:rPr>
              <w:t>ECS</w:t>
            </w:r>
          </w:p>
        </w:tc>
        <w:tc>
          <w:tcPr>
            <w:tcW w:w="1068" w:type="dxa"/>
            <w:noWrap w:val="0"/>
            <w:vAlign w:val="top"/>
          </w:tcPr>
          <w:p>
            <w:pPr>
              <w:pageBreakBefore w:val="0"/>
              <w:widowControl w:val="0"/>
              <w:kinsoku/>
              <w:wordWrap/>
              <w:overflowPunct/>
              <w:topLinePunct w:val="0"/>
              <w:autoSpaceDE/>
              <w:autoSpaceDN/>
              <w:bidi w:val="0"/>
              <w:snapToGrid/>
              <w:spacing w:line="360" w:lineRule="auto"/>
              <w:textAlignment w:val="auto"/>
              <w:rPr>
                <w:rFonts w:hint="eastAsia" w:ascii="宋体" w:hAnsi="宋体"/>
                <w:color w:val="000000"/>
                <w:sz w:val="24"/>
                <w:highlight w:val="none"/>
              </w:rPr>
            </w:pPr>
            <w:r>
              <w:rPr>
                <w:rFonts w:hint="eastAsia" w:ascii="宋体" w:hAnsi="宋体"/>
                <w:color w:val="000000"/>
                <w:sz w:val="24"/>
                <w:highlight w:val="none"/>
              </w:rPr>
              <w:t>16</w:t>
            </w:r>
          </w:p>
        </w:tc>
        <w:tc>
          <w:tcPr>
            <w:tcW w:w="1193" w:type="dxa"/>
            <w:noWrap w:val="0"/>
            <w:vAlign w:val="top"/>
          </w:tcPr>
          <w:p>
            <w:pPr>
              <w:pageBreakBefore w:val="0"/>
              <w:widowControl w:val="0"/>
              <w:kinsoku/>
              <w:wordWrap/>
              <w:overflowPunct/>
              <w:topLinePunct w:val="0"/>
              <w:autoSpaceDE/>
              <w:autoSpaceDN/>
              <w:bidi w:val="0"/>
              <w:snapToGrid/>
              <w:spacing w:line="360" w:lineRule="auto"/>
              <w:textAlignment w:val="auto"/>
              <w:rPr>
                <w:rFonts w:hint="eastAsia" w:ascii="宋体" w:hAnsi="宋体"/>
                <w:color w:val="000000"/>
                <w:sz w:val="24"/>
                <w:highlight w:val="none"/>
              </w:rPr>
            </w:pPr>
            <w:r>
              <w:rPr>
                <w:rFonts w:hint="eastAsia" w:ascii="宋体" w:hAnsi="宋体"/>
                <w:color w:val="000000"/>
                <w:sz w:val="24"/>
                <w:highlight w:val="none"/>
              </w:rPr>
              <w:t>64</w:t>
            </w:r>
          </w:p>
        </w:tc>
        <w:tc>
          <w:tcPr>
            <w:tcW w:w="992" w:type="dxa"/>
            <w:noWrap w:val="0"/>
            <w:vAlign w:val="top"/>
          </w:tcPr>
          <w:p>
            <w:pPr>
              <w:pageBreakBefore w:val="0"/>
              <w:widowControl w:val="0"/>
              <w:kinsoku/>
              <w:wordWrap/>
              <w:overflowPunct/>
              <w:topLinePunct w:val="0"/>
              <w:autoSpaceDE/>
              <w:autoSpaceDN/>
              <w:bidi w:val="0"/>
              <w:snapToGrid/>
              <w:spacing w:line="360" w:lineRule="auto"/>
              <w:textAlignment w:val="auto"/>
              <w:rPr>
                <w:rFonts w:hint="eastAsia" w:ascii="宋体" w:hAnsi="宋体"/>
                <w:color w:val="000000"/>
                <w:sz w:val="24"/>
                <w:highlight w:val="none"/>
              </w:rPr>
            </w:pPr>
            <w:r>
              <w:rPr>
                <w:rFonts w:hint="eastAsia" w:ascii="宋体" w:hAnsi="宋体"/>
                <w:color w:val="000000"/>
                <w:sz w:val="24"/>
                <w:highlight w:val="none"/>
              </w:rPr>
              <w:t>1T</w:t>
            </w:r>
          </w:p>
        </w:tc>
        <w:tc>
          <w:tcPr>
            <w:tcW w:w="850" w:type="dxa"/>
            <w:noWrap w:val="0"/>
            <w:vAlign w:val="top"/>
          </w:tcPr>
          <w:p>
            <w:pPr>
              <w:pageBreakBefore w:val="0"/>
              <w:widowControl w:val="0"/>
              <w:kinsoku/>
              <w:wordWrap/>
              <w:overflowPunct/>
              <w:topLinePunct w:val="0"/>
              <w:autoSpaceDE/>
              <w:autoSpaceDN/>
              <w:bidi w:val="0"/>
              <w:snapToGrid/>
              <w:spacing w:line="360" w:lineRule="auto"/>
              <w:textAlignment w:val="auto"/>
              <w:rPr>
                <w:rFonts w:hint="eastAsia" w:ascii="宋体" w:hAnsi="宋体"/>
                <w:color w:val="000000"/>
                <w:sz w:val="24"/>
                <w:highlight w:val="none"/>
              </w:rPr>
            </w:pPr>
            <w:r>
              <w:rPr>
                <w:rFonts w:hint="eastAsia" w:ascii="宋体" w:hAnsi="宋体"/>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691" w:type="dxa"/>
            <w:noWrap w:val="0"/>
            <w:vAlign w:val="top"/>
          </w:tcPr>
          <w:p>
            <w:pPr>
              <w:pageBreakBefore w:val="0"/>
              <w:widowControl w:val="0"/>
              <w:kinsoku/>
              <w:wordWrap/>
              <w:overflowPunct/>
              <w:topLinePunct w:val="0"/>
              <w:autoSpaceDE/>
              <w:autoSpaceDN/>
              <w:bidi w:val="0"/>
              <w:snapToGrid/>
              <w:spacing w:line="360" w:lineRule="auto"/>
              <w:textAlignment w:val="auto"/>
              <w:rPr>
                <w:rFonts w:hint="eastAsia" w:ascii="宋体" w:hAnsi="宋体"/>
                <w:color w:val="000000"/>
                <w:sz w:val="24"/>
                <w:highlight w:val="none"/>
              </w:rPr>
            </w:pPr>
            <w:r>
              <w:rPr>
                <w:rFonts w:hint="eastAsia" w:ascii="宋体" w:hAnsi="宋体"/>
                <w:color w:val="000000"/>
                <w:sz w:val="24"/>
                <w:highlight w:val="none"/>
              </w:rPr>
              <w:t>ECS</w:t>
            </w:r>
          </w:p>
        </w:tc>
        <w:tc>
          <w:tcPr>
            <w:tcW w:w="1068" w:type="dxa"/>
            <w:noWrap w:val="0"/>
            <w:vAlign w:val="top"/>
          </w:tcPr>
          <w:p>
            <w:pPr>
              <w:pageBreakBefore w:val="0"/>
              <w:widowControl w:val="0"/>
              <w:kinsoku/>
              <w:wordWrap/>
              <w:overflowPunct/>
              <w:topLinePunct w:val="0"/>
              <w:autoSpaceDE/>
              <w:autoSpaceDN/>
              <w:bidi w:val="0"/>
              <w:snapToGrid/>
              <w:spacing w:line="360" w:lineRule="auto"/>
              <w:textAlignment w:val="auto"/>
              <w:rPr>
                <w:rFonts w:hint="eastAsia" w:ascii="宋体" w:hAnsi="宋体"/>
                <w:color w:val="000000"/>
                <w:sz w:val="24"/>
                <w:highlight w:val="none"/>
              </w:rPr>
            </w:pPr>
            <w:r>
              <w:rPr>
                <w:rFonts w:hint="eastAsia" w:ascii="宋体" w:hAnsi="宋体"/>
                <w:color w:val="000000"/>
                <w:sz w:val="24"/>
                <w:highlight w:val="none"/>
              </w:rPr>
              <w:t>16</w:t>
            </w:r>
          </w:p>
        </w:tc>
        <w:tc>
          <w:tcPr>
            <w:tcW w:w="1193" w:type="dxa"/>
            <w:noWrap w:val="0"/>
            <w:vAlign w:val="top"/>
          </w:tcPr>
          <w:p>
            <w:pPr>
              <w:pageBreakBefore w:val="0"/>
              <w:widowControl w:val="0"/>
              <w:kinsoku/>
              <w:wordWrap/>
              <w:overflowPunct/>
              <w:topLinePunct w:val="0"/>
              <w:autoSpaceDE/>
              <w:autoSpaceDN/>
              <w:bidi w:val="0"/>
              <w:snapToGrid/>
              <w:spacing w:line="360" w:lineRule="auto"/>
              <w:textAlignment w:val="auto"/>
              <w:rPr>
                <w:rFonts w:hint="eastAsia" w:ascii="宋体" w:hAnsi="宋体"/>
                <w:color w:val="000000"/>
                <w:sz w:val="24"/>
                <w:highlight w:val="none"/>
              </w:rPr>
            </w:pPr>
            <w:r>
              <w:rPr>
                <w:rFonts w:hint="eastAsia" w:ascii="宋体" w:hAnsi="宋体"/>
                <w:color w:val="000000"/>
                <w:sz w:val="24"/>
                <w:highlight w:val="none"/>
              </w:rPr>
              <w:t>64</w:t>
            </w:r>
          </w:p>
        </w:tc>
        <w:tc>
          <w:tcPr>
            <w:tcW w:w="992" w:type="dxa"/>
            <w:noWrap w:val="0"/>
            <w:vAlign w:val="top"/>
          </w:tcPr>
          <w:p>
            <w:pPr>
              <w:pageBreakBefore w:val="0"/>
              <w:widowControl w:val="0"/>
              <w:kinsoku/>
              <w:wordWrap/>
              <w:overflowPunct/>
              <w:topLinePunct w:val="0"/>
              <w:autoSpaceDE/>
              <w:autoSpaceDN/>
              <w:bidi w:val="0"/>
              <w:snapToGrid/>
              <w:spacing w:line="360" w:lineRule="auto"/>
              <w:textAlignment w:val="auto"/>
              <w:rPr>
                <w:rFonts w:hint="eastAsia" w:ascii="宋体" w:hAnsi="宋体"/>
                <w:color w:val="000000"/>
                <w:sz w:val="24"/>
                <w:highlight w:val="none"/>
              </w:rPr>
            </w:pPr>
            <w:r>
              <w:rPr>
                <w:rFonts w:hint="eastAsia" w:ascii="宋体" w:hAnsi="宋体"/>
                <w:color w:val="000000"/>
                <w:sz w:val="24"/>
                <w:highlight w:val="none"/>
              </w:rPr>
              <w:t>2T</w:t>
            </w:r>
          </w:p>
        </w:tc>
        <w:tc>
          <w:tcPr>
            <w:tcW w:w="850" w:type="dxa"/>
            <w:noWrap w:val="0"/>
            <w:vAlign w:val="top"/>
          </w:tcPr>
          <w:p>
            <w:pPr>
              <w:pageBreakBefore w:val="0"/>
              <w:widowControl w:val="0"/>
              <w:kinsoku/>
              <w:wordWrap/>
              <w:overflowPunct/>
              <w:topLinePunct w:val="0"/>
              <w:autoSpaceDE/>
              <w:autoSpaceDN/>
              <w:bidi w:val="0"/>
              <w:snapToGrid/>
              <w:spacing w:line="360" w:lineRule="auto"/>
              <w:textAlignment w:val="auto"/>
              <w:rPr>
                <w:rFonts w:hint="eastAsia" w:ascii="宋体" w:hAnsi="宋体"/>
                <w:color w:val="000000"/>
                <w:sz w:val="24"/>
                <w:highlight w:val="none"/>
              </w:rPr>
            </w:pPr>
            <w:r>
              <w:rPr>
                <w:rFonts w:hint="eastAsia" w:ascii="宋体" w:hAnsi="宋体"/>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691" w:type="dxa"/>
            <w:noWrap w:val="0"/>
            <w:vAlign w:val="top"/>
          </w:tcPr>
          <w:p>
            <w:pPr>
              <w:pageBreakBefore w:val="0"/>
              <w:widowControl w:val="0"/>
              <w:kinsoku/>
              <w:wordWrap/>
              <w:overflowPunct/>
              <w:topLinePunct w:val="0"/>
              <w:autoSpaceDE/>
              <w:autoSpaceDN/>
              <w:bidi w:val="0"/>
              <w:snapToGrid/>
              <w:spacing w:line="360" w:lineRule="auto"/>
              <w:textAlignment w:val="auto"/>
              <w:rPr>
                <w:rFonts w:hint="eastAsia" w:ascii="宋体" w:hAnsi="宋体"/>
                <w:color w:val="000000"/>
                <w:sz w:val="24"/>
                <w:highlight w:val="none"/>
              </w:rPr>
            </w:pPr>
            <w:r>
              <w:rPr>
                <w:rFonts w:hint="eastAsia" w:ascii="宋体" w:hAnsi="宋体"/>
                <w:color w:val="000000"/>
                <w:sz w:val="24"/>
                <w:highlight w:val="none"/>
              </w:rPr>
              <w:t>OSS</w:t>
            </w:r>
          </w:p>
        </w:tc>
        <w:tc>
          <w:tcPr>
            <w:tcW w:w="1068" w:type="dxa"/>
            <w:noWrap w:val="0"/>
            <w:vAlign w:val="top"/>
          </w:tcPr>
          <w:p>
            <w:pPr>
              <w:pageBreakBefore w:val="0"/>
              <w:widowControl w:val="0"/>
              <w:kinsoku/>
              <w:wordWrap/>
              <w:overflowPunct/>
              <w:topLinePunct w:val="0"/>
              <w:autoSpaceDE/>
              <w:autoSpaceDN/>
              <w:bidi w:val="0"/>
              <w:snapToGrid/>
              <w:spacing w:line="360" w:lineRule="auto"/>
              <w:textAlignment w:val="auto"/>
              <w:rPr>
                <w:rFonts w:hint="eastAsia" w:ascii="宋体" w:hAnsi="宋体"/>
                <w:color w:val="000000"/>
                <w:sz w:val="24"/>
                <w:highlight w:val="none"/>
              </w:rPr>
            </w:pPr>
            <w:r>
              <w:rPr>
                <w:rFonts w:hint="eastAsia" w:ascii="宋体" w:hAnsi="宋体"/>
                <w:color w:val="000000"/>
                <w:sz w:val="24"/>
                <w:highlight w:val="none"/>
              </w:rPr>
              <w:t>　</w:t>
            </w:r>
          </w:p>
        </w:tc>
        <w:tc>
          <w:tcPr>
            <w:tcW w:w="1193" w:type="dxa"/>
            <w:noWrap w:val="0"/>
            <w:vAlign w:val="top"/>
          </w:tcPr>
          <w:p>
            <w:pPr>
              <w:pageBreakBefore w:val="0"/>
              <w:widowControl w:val="0"/>
              <w:kinsoku/>
              <w:wordWrap/>
              <w:overflowPunct/>
              <w:topLinePunct w:val="0"/>
              <w:autoSpaceDE/>
              <w:autoSpaceDN/>
              <w:bidi w:val="0"/>
              <w:snapToGrid/>
              <w:spacing w:line="360" w:lineRule="auto"/>
              <w:textAlignment w:val="auto"/>
              <w:rPr>
                <w:rFonts w:hint="eastAsia" w:ascii="宋体" w:hAnsi="宋体"/>
                <w:color w:val="000000"/>
                <w:sz w:val="24"/>
                <w:highlight w:val="none"/>
              </w:rPr>
            </w:pPr>
            <w:r>
              <w:rPr>
                <w:rFonts w:hint="eastAsia" w:ascii="宋体" w:hAnsi="宋体"/>
                <w:color w:val="000000"/>
                <w:sz w:val="24"/>
                <w:highlight w:val="none"/>
              </w:rPr>
              <w:t>　</w:t>
            </w:r>
          </w:p>
        </w:tc>
        <w:tc>
          <w:tcPr>
            <w:tcW w:w="992" w:type="dxa"/>
            <w:noWrap w:val="0"/>
            <w:vAlign w:val="top"/>
          </w:tcPr>
          <w:p>
            <w:pPr>
              <w:pageBreakBefore w:val="0"/>
              <w:widowControl w:val="0"/>
              <w:kinsoku/>
              <w:wordWrap/>
              <w:overflowPunct/>
              <w:topLinePunct w:val="0"/>
              <w:autoSpaceDE/>
              <w:autoSpaceDN/>
              <w:bidi w:val="0"/>
              <w:snapToGrid/>
              <w:spacing w:line="360" w:lineRule="auto"/>
              <w:textAlignment w:val="auto"/>
              <w:rPr>
                <w:rFonts w:hint="eastAsia" w:ascii="宋体" w:hAnsi="宋体"/>
                <w:color w:val="000000"/>
                <w:sz w:val="24"/>
                <w:highlight w:val="none"/>
              </w:rPr>
            </w:pPr>
            <w:r>
              <w:rPr>
                <w:rFonts w:hint="eastAsia" w:ascii="宋体" w:hAnsi="宋体"/>
                <w:color w:val="000000"/>
                <w:sz w:val="24"/>
                <w:highlight w:val="none"/>
              </w:rPr>
              <w:t>100G</w:t>
            </w:r>
          </w:p>
        </w:tc>
        <w:tc>
          <w:tcPr>
            <w:tcW w:w="850" w:type="dxa"/>
            <w:noWrap w:val="0"/>
            <w:vAlign w:val="top"/>
          </w:tcPr>
          <w:p>
            <w:pPr>
              <w:pageBreakBefore w:val="0"/>
              <w:widowControl w:val="0"/>
              <w:kinsoku/>
              <w:wordWrap/>
              <w:overflowPunct/>
              <w:topLinePunct w:val="0"/>
              <w:autoSpaceDE/>
              <w:autoSpaceDN/>
              <w:bidi w:val="0"/>
              <w:snapToGrid/>
              <w:spacing w:line="360" w:lineRule="auto"/>
              <w:textAlignment w:val="auto"/>
              <w:rPr>
                <w:rFonts w:hint="eastAsia" w:ascii="宋体" w:hAnsi="宋体"/>
                <w:color w:val="000000"/>
                <w:sz w:val="24"/>
                <w:highlight w:val="none"/>
              </w:rPr>
            </w:pPr>
            <w:r>
              <w:rPr>
                <w:rFonts w:hint="eastAsia" w:ascii="宋体" w:hAnsi="宋体"/>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691" w:type="dxa"/>
            <w:noWrap w:val="0"/>
            <w:vAlign w:val="top"/>
          </w:tcPr>
          <w:p>
            <w:pPr>
              <w:pageBreakBefore w:val="0"/>
              <w:widowControl w:val="0"/>
              <w:kinsoku/>
              <w:wordWrap/>
              <w:overflowPunct/>
              <w:topLinePunct w:val="0"/>
              <w:autoSpaceDE/>
              <w:autoSpaceDN/>
              <w:bidi w:val="0"/>
              <w:snapToGrid/>
              <w:spacing w:line="360" w:lineRule="auto"/>
              <w:textAlignment w:val="auto"/>
              <w:rPr>
                <w:rFonts w:hint="eastAsia" w:ascii="宋体" w:hAnsi="宋体"/>
                <w:color w:val="000000"/>
                <w:sz w:val="24"/>
                <w:highlight w:val="none"/>
              </w:rPr>
            </w:pPr>
            <w:r>
              <w:rPr>
                <w:rFonts w:hint="eastAsia" w:ascii="宋体" w:hAnsi="宋体"/>
                <w:color w:val="000000"/>
                <w:sz w:val="24"/>
                <w:highlight w:val="none"/>
              </w:rPr>
              <w:t>OSS</w:t>
            </w:r>
          </w:p>
        </w:tc>
        <w:tc>
          <w:tcPr>
            <w:tcW w:w="1068" w:type="dxa"/>
            <w:noWrap w:val="0"/>
            <w:vAlign w:val="top"/>
          </w:tcPr>
          <w:p>
            <w:pPr>
              <w:pageBreakBefore w:val="0"/>
              <w:widowControl w:val="0"/>
              <w:kinsoku/>
              <w:wordWrap/>
              <w:overflowPunct/>
              <w:topLinePunct w:val="0"/>
              <w:autoSpaceDE/>
              <w:autoSpaceDN/>
              <w:bidi w:val="0"/>
              <w:snapToGrid/>
              <w:spacing w:line="360" w:lineRule="auto"/>
              <w:textAlignment w:val="auto"/>
              <w:rPr>
                <w:rFonts w:hint="eastAsia" w:ascii="宋体" w:hAnsi="宋体"/>
                <w:color w:val="000000"/>
                <w:sz w:val="24"/>
                <w:highlight w:val="none"/>
              </w:rPr>
            </w:pPr>
            <w:r>
              <w:rPr>
                <w:rFonts w:hint="eastAsia" w:ascii="宋体" w:hAnsi="宋体"/>
                <w:color w:val="000000"/>
                <w:sz w:val="24"/>
                <w:highlight w:val="none"/>
              </w:rPr>
              <w:t>　</w:t>
            </w:r>
          </w:p>
        </w:tc>
        <w:tc>
          <w:tcPr>
            <w:tcW w:w="1193" w:type="dxa"/>
            <w:noWrap w:val="0"/>
            <w:vAlign w:val="top"/>
          </w:tcPr>
          <w:p>
            <w:pPr>
              <w:pageBreakBefore w:val="0"/>
              <w:widowControl w:val="0"/>
              <w:kinsoku/>
              <w:wordWrap/>
              <w:overflowPunct/>
              <w:topLinePunct w:val="0"/>
              <w:autoSpaceDE/>
              <w:autoSpaceDN/>
              <w:bidi w:val="0"/>
              <w:snapToGrid/>
              <w:spacing w:line="360" w:lineRule="auto"/>
              <w:textAlignment w:val="auto"/>
              <w:rPr>
                <w:rFonts w:hint="eastAsia" w:ascii="宋体" w:hAnsi="宋体"/>
                <w:color w:val="000000"/>
                <w:sz w:val="24"/>
                <w:highlight w:val="none"/>
              </w:rPr>
            </w:pPr>
            <w:r>
              <w:rPr>
                <w:rFonts w:hint="eastAsia" w:ascii="宋体" w:hAnsi="宋体"/>
                <w:color w:val="000000"/>
                <w:sz w:val="24"/>
                <w:highlight w:val="none"/>
              </w:rPr>
              <w:t>　</w:t>
            </w:r>
          </w:p>
        </w:tc>
        <w:tc>
          <w:tcPr>
            <w:tcW w:w="992" w:type="dxa"/>
            <w:noWrap w:val="0"/>
            <w:vAlign w:val="top"/>
          </w:tcPr>
          <w:p>
            <w:pPr>
              <w:pageBreakBefore w:val="0"/>
              <w:widowControl w:val="0"/>
              <w:kinsoku/>
              <w:wordWrap/>
              <w:overflowPunct/>
              <w:topLinePunct w:val="0"/>
              <w:autoSpaceDE/>
              <w:autoSpaceDN/>
              <w:bidi w:val="0"/>
              <w:snapToGrid/>
              <w:spacing w:line="360" w:lineRule="auto"/>
              <w:textAlignment w:val="auto"/>
              <w:rPr>
                <w:rFonts w:hint="eastAsia" w:ascii="宋体" w:hAnsi="宋体"/>
                <w:color w:val="000000"/>
                <w:sz w:val="24"/>
                <w:highlight w:val="none"/>
              </w:rPr>
            </w:pPr>
            <w:r>
              <w:rPr>
                <w:rFonts w:hint="eastAsia" w:ascii="宋体" w:hAnsi="宋体"/>
                <w:color w:val="000000"/>
                <w:sz w:val="24"/>
                <w:highlight w:val="none"/>
              </w:rPr>
              <w:t>300G</w:t>
            </w:r>
          </w:p>
        </w:tc>
        <w:tc>
          <w:tcPr>
            <w:tcW w:w="850" w:type="dxa"/>
            <w:noWrap w:val="0"/>
            <w:vAlign w:val="top"/>
          </w:tcPr>
          <w:p>
            <w:pPr>
              <w:pageBreakBefore w:val="0"/>
              <w:widowControl w:val="0"/>
              <w:kinsoku/>
              <w:wordWrap/>
              <w:overflowPunct/>
              <w:topLinePunct w:val="0"/>
              <w:autoSpaceDE/>
              <w:autoSpaceDN/>
              <w:bidi w:val="0"/>
              <w:snapToGrid/>
              <w:spacing w:line="360" w:lineRule="auto"/>
              <w:textAlignment w:val="auto"/>
              <w:rPr>
                <w:rFonts w:hint="eastAsia" w:ascii="宋体" w:hAnsi="宋体"/>
                <w:color w:val="000000"/>
                <w:sz w:val="24"/>
                <w:highlight w:val="none"/>
              </w:rPr>
            </w:pPr>
            <w:r>
              <w:rPr>
                <w:rFonts w:hint="eastAsia" w:ascii="宋体" w:hAnsi="宋体"/>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691" w:type="dxa"/>
            <w:noWrap w:val="0"/>
            <w:vAlign w:val="top"/>
          </w:tcPr>
          <w:p>
            <w:pPr>
              <w:pageBreakBefore w:val="0"/>
              <w:widowControl w:val="0"/>
              <w:kinsoku/>
              <w:wordWrap/>
              <w:overflowPunct/>
              <w:topLinePunct w:val="0"/>
              <w:autoSpaceDE/>
              <w:autoSpaceDN/>
              <w:bidi w:val="0"/>
              <w:snapToGrid/>
              <w:spacing w:line="360" w:lineRule="auto"/>
              <w:textAlignment w:val="auto"/>
              <w:rPr>
                <w:rFonts w:hint="eastAsia" w:ascii="宋体" w:hAnsi="宋体"/>
                <w:color w:val="000000"/>
                <w:sz w:val="24"/>
                <w:highlight w:val="none"/>
              </w:rPr>
            </w:pPr>
            <w:r>
              <w:rPr>
                <w:rFonts w:hint="eastAsia" w:ascii="宋体" w:hAnsi="宋体"/>
                <w:color w:val="000000"/>
                <w:sz w:val="24"/>
                <w:highlight w:val="none"/>
              </w:rPr>
              <w:t>OSS</w:t>
            </w:r>
          </w:p>
        </w:tc>
        <w:tc>
          <w:tcPr>
            <w:tcW w:w="1068" w:type="dxa"/>
            <w:noWrap w:val="0"/>
            <w:vAlign w:val="top"/>
          </w:tcPr>
          <w:p>
            <w:pPr>
              <w:pageBreakBefore w:val="0"/>
              <w:widowControl w:val="0"/>
              <w:kinsoku/>
              <w:wordWrap/>
              <w:overflowPunct/>
              <w:topLinePunct w:val="0"/>
              <w:autoSpaceDE/>
              <w:autoSpaceDN/>
              <w:bidi w:val="0"/>
              <w:snapToGrid/>
              <w:spacing w:line="360" w:lineRule="auto"/>
              <w:textAlignment w:val="auto"/>
              <w:rPr>
                <w:rFonts w:hint="eastAsia" w:ascii="宋体" w:hAnsi="宋体"/>
                <w:color w:val="000000"/>
                <w:sz w:val="24"/>
                <w:highlight w:val="none"/>
              </w:rPr>
            </w:pPr>
            <w:r>
              <w:rPr>
                <w:rFonts w:hint="eastAsia" w:ascii="宋体" w:hAnsi="宋体"/>
                <w:color w:val="000000"/>
                <w:sz w:val="24"/>
                <w:highlight w:val="none"/>
              </w:rPr>
              <w:t>　</w:t>
            </w:r>
          </w:p>
        </w:tc>
        <w:tc>
          <w:tcPr>
            <w:tcW w:w="1193" w:type="dxa"/>
            <w:noWrap w:val="0"/>
            <w:vAlign w:val="top"/>
          </w:tcPr>
          <w:p>
            <w:pPr>
              <w:pageBreakBefore w:val="0"/>
              <w:widowControl w:val="0"/>
              <w:kinsoku/>
              <w:wordWrap/>
              <w:overflowPunct/>
              <w:topLinePunct w:val="0"/>
              <w:autoSpaceDE/>
              <w:autoSpaceDN/>
              <w:bidi w:val="0"/>
              <w:snapToGrid/>
              <w:spacing w:line="360" w:lineRule="auto"/>
              <w:textAlignment w:val="auto"/>
              <w:rPr>
                <w:rFonts w:hint="eastAsia" w:ascii="宋体" w:hAnsi="宋体"/>
                <w:color w:val="000000"/>
                <w:sz w:val="24"/>
                <w:highlight w:val="none"/>
              </w:rPr>
            </w:pPr>
            <w:r>
              <w:rPr>
                <w:rFonts w:hint="eastAsia" w:ascii="宋体" w:hAnsi="宋体"/>
                <w:color w:val="000000"/>
                <w:sz w:val="24"/>
                <w:highlight w:val="none"/>
              </w:rPr>
              <w:t>　</w:t>
            </w:r>
          </w:p>
        </w:tc>
        <w:tc>
          <w:tcPr>
            <w:tcW w:w="992" w:type="dxa"/>
            <w:noWrap w:val="0"/>
            <w:vAlign w:val="top"/>
          </w:tcPr>
          <w:p>
            <w:pPr>
              <w:pageBreakBefore w:val="0"/>
              <w:widowControl w:val="0"/>
              <w:kinsoku/>
              <w:wordWrap/>
              <w:overflowPunct/>
              <w:topLinePunct w:val="0"/>
              <w:autoSpaceDE/>
              <w:autoSpaceDN/>
              <w:bidi w:val="0"/>
              <w:snapToGrid/>
              <w:spacing w:line="360" w:lineRule="auto"/>
              <w:textAlignment w:val="auto"/>
              <w:rPr>
                <w:rFonts w:hint="eastAsia" w:ascii="宋体" w:hAnsi="宋体"/>
                <w:color w:val="000000"/>
                <w:sz w:val="24"/>
                <w:highlight w:val="none"/>
              </w:rPr>
            </w:pPr>
            <w:r>
              <w:rPr>
                <w:rFonts w:hint="eastAsia" w:ascii="宋体" w:hAnsi="宋体"/>
                <w:color w:val="000000"/>
                <w:sz w:val="24"/>
                <w:highlight w:val="none"/>
              </w:rPr>
              <w:t>500G</w:t>
            </w:r>
          </w:p>
        </w:tc>
        <w:tc>
          <w:tcPr>
            <w:tcW w:w="850" w:type="dxa"/>
            <w:noWrap w:val="0"/>
            <w:vAlign w:val="top"/>
          </w:tcPr>
          <w:p>
            <w:pPr>
              <w:pageBreakBefore w:val="0"/>
              <w:widowControl w:val="0"/>
              <w:kinsoku/>
              <w:wordWrap/>
              <w:overflowPunct/>
              <w:topLinePunct w:val="0"/>
              <w:autoSpaceDE/>
              <w:autoSpaceDN/>
              <w:bidi w:val="0"/>
              <w:snapToGrid/>
              <w:spacing w:line="360" w:lineRule="auto"/>
              <w:textAlignment w:val="auto"/>
              <w:rPr>
                <w:rFonts w:hint="eastAsia" w:ascii="宋体" w:hAnsi="宋体"/>
                <w:color w:val="000000"/>
                <w:sz w:val="24"/>
                <w:highlight w:val="none"/>
              </w:rPr>
            </w:pPr>
            <w:r>
              <w:rPr>
                <w:rFonts w:hint="eastAsia" w:ascii="宋体" w:hAnsi="宋体"/>
                <w:color w:val="000000"/>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691" w:type="dxa"/>
            <w:noWrap w:val="0"/>
            <w:vAlign w:val="top"/>
          </w:tcPr>
          <w:p>
            <w:pPr>
              <w:pageBreakBefore w:val="0"/>
              <w:widowControl w:val="0"/>
              <w:kinsoku/>
              <w:wordWrap/>
              <w:overflowPunct/>
              <w:topLinePunct w:val="0"/>
              <w:autoSpaceDE/>
              <w:autoSpaceDN/>
              <w:bidi w:val="0"/>
              <w:snapToGrid/>
              <w:spacing w:line="360" w:lineRule="auto"/>
              <w:textAlignment w:val="auto"/>
              <w:rPr>
                <w:rFonts w:hint="eastAsia" w:ascii="宋体" w:hAnsi="宋体"/>
                <w:color w:val="000000"/>
                <w:sz w:val="24"/>
                <w:highlight w:val="none"/>
              </w:rPr>
            </w:pPr>
            <w:r>
              <w:rPr>
                <w:rFonts w:hint="eastAsia" w:ascii="宋体" w:hAnsi="宋体"/>
                <w:color w:val="000000"/>
                <w:sz w:val="24"/>
                <w:highlight w:val="none"/>
              </w:rPr>
              <w:t>OSS</w:t>
            </w:r>
          </w:p>
        </w:tc>
        <w:tc>
          <w:tcPr>
            <w:tcW w:w="1068" w:type="dxa"/>
            <w:noWrap w:val="0"/>
            <w:vAlign w:val="top"/>
          </w:tcPr>
          <w:p>
            <w:pPr>
              <w:pageBreakBefore w:val="0"/>
              <w:widowControl w:val="0"/>
              <w:kinsoku/>
              <w:wordWrap/>
              <w:overflowPunct/>
              <w:topLinePunct w:val="0"/>
              <w:autoSpaceDE/>
              <w:autoSpaceDN/>
              <w:bidi w:val="0"/>
              <w:snapToGrid/>
              <w:spacing w:line="360" w:lineRule="auto"/>
              <w:textAlignment w:val="auto"/>
              <w:rPr>
                <w:rFonts w:hint="eastAsia" w:ascii="宋体" w:hAnsi="宋体"/>
                <w:color w:val="000000"/>
                <w:sz w:val="24"/>
                <w:highlight w:val="none"/>
              </w:rPr>
            </w:pPr>
            <w:r>
              <w:rPr>
                <w:rFonts w:hint="eastAsia" w:ascii="宋体" w:hAnsi="宋体"/>
                <w:color w:val="000000"/>
                <w:sz w:val="24"/>
                <w:highlight w:val="none"/>
              </w:rPr>
              <w:t>　</w:t>
            </w:r>
          </w:p>
        </w:tc>
        <w:tc>
          <w:tcPr>
            <w:tcW w:w="1193" w:type="dxa"/>
            <w:noWrap w:val="0"/>
            <w:vAlign w:val="top"/>
          </w:tcPr>
          <w:p>
            <w:pPr>
              <w:pageBreakBefore w:val="0"/>
              <w:widowControl w:val="0"/>
              <w:kinsoku/>
              <w:wordWrap/>
              <w:overflowPunct/>
              <w:topLinePunct w:val="0"/>
              <w:autoSpaceDE/>
              <w:autoSpaceDN/>
              <w:bidi w:val="0"/>
              <w:snapToGrid/>
              <w:spacing w:line="360" w:lineRule="auto"/>
              <w:textAlignment w:val="auto"/>
              <w:rPr>
                <w:rFonts w:hint="eastAsia" w:ascii="宋体" w:hAnsi="宋体"/>
                <w:color w:val="000000"/>
                <w:sz w:val="24"/>
                <w:highlight w:val="none"/>
              </w:rPr>
            </w:pPr>
            <w:r>
              <w:rPr>
                <w:rFonts w:hint="eastAsia" w:ascii="宋体" w:hAnsi="宋体"/>
                <w:color w:val="000000"/>
                <w:sz w:val="24"/>
                <w:highlight w:val="none"/>
              </w:rPr>
              <w:t>　</w:t>
            </w:r>
          </w:p>
        </w:tc>
        <w:tc>
          <w:tcPr>
            <w:tcW w:w="992" w:type="dxa"/>
            <w:noWrap w:val="0"/>
            <w:vAlign w:val="top"/>
          </w:tcPr>
          <w:p>
            <w:pPr>
              <w:pageBreakBefore w:val="0"/>
              <w:widowControl w:val="0"/>
              <w:kinsoku/>
              <w:wordWrap/>
              <w:overflowPunct/>
              <w:topLinePunct w:val="0"/>
              <w:autoSpaceDE/>
              <w:autoSpaceDN/>
              <w:bidi w:val="0"/>
              <w:snapToGrid/>
              <w:spacing w:line="360" w:lineRule="auto"/>
              <w:textAlignment w:val="auto"/>
              <w:rPr>
                <w:rFonts w:hint="eastAsia" w:ascii="宋体" w:hAnsi="宋体"/>
                <w:color w:val="000000"/>
                <w:sz w:val="24"/>
                <w:highlight w:val="none"/>
              </w:rPr>
            </w:pPr>
            <w:r>
              <w:rPr>
                <w:rFonts w:hint="eastAsia" w:ascii="宋体" w:hAnsi="宋体"/>
                <w:color w:val="000000"/>
                <w:sz w:val="24"/>
                <w:highlight w:val="none"/>
              </w:rPr>
              <w:t>25T</w:t>
            </w:r>
          </w:p>
        </w:tc>
        <w:tc>
          <w:tcPr>
            <w:tcW w:w="850" w:type="dxa"/>
            <w:noWrap w:val="0"/>
            <w:vAlign w:val="top"/>
          </w:tcPr>
          <w:p>
            <w:pPr>
              <w:pageBreakBefore w:val="0"/>
              <w:widowControl w:val="0"/>
              <w:kinsoku/>
              <w:wordWrap/>
              <w:overflowPunct/>
              <w:topLinePunct w:val="0"/>
              <w:autoSpaceDE/>
              <w:autoSpaceDN/>
              <w:bidi w:val="0"/>
              <w:snapToGrid/>
              <w:spacing w:line="360" w:lineRule="auto"/>
              <w:textAlignment w:val="auto"/>
              <w:rPr>
                <w:rFonts w:hint="eastAsia" w:ascii="宋体" w:hAnsi="宋体"/>
                <w:color w:val="000000"/>
                <w:sz w:val="24"/>
                <w:highlight w:val="none"/>
              </w:rPr>
            </w:pPr>
            <w:r>
              <w:rPr>
                <w:rFonts w:hint="eastAsia" w:ascii="宋体" w:hAnsi="宋体"/>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691" w:type="dxa"/>
            <w:noWrap w:val="0"/>
            <w:vAlign w:val="top"/>
          </w:tcPr>
          <w:p>
            <w:pPr>
              <w:pageBreakBefore w:val="0"/>
              <w:widowControl w:val="0"/>
              <w:kinsoku/>
              <w:wordWrap/>
              <w:overflowPunct/>
              <w:topLinePunct w:val="0"/>
              <w:autoSpaceDE/>
              <w:autoSpaceDN/>
              <w:bidi w:val="0"/>
              <w:snapToGrid/>
              <w:spacing w:line="360" w:lineRule="auto"/>
              <w:textAlignment w:val="auto"/>
              <w:rPr>
                <w:rFonts w:hint="eastAsia" w:ascii="宋体" w:hAnsi="宋体"/>
                <w:color w:val="000000"/>
                <w:sz w:val="24"/>
                <w:highlight w:val="none"/>
              </w:rPr>
            </w:pPr>
            <w:r>
              <w:rPr>
                <w:rFonts w:hint="eastAsia" w:ascii="宋体" w:hAnsi="宋体"/>
                <w:color w:val="000000"/>
                <w:sz w:val="24"/>
                <w:highlight w:val="none"/>
              </w:rPr>
              <w:t>SLB</w:t>
            </w:r>
          </w:p>
        </w:tc>
        <w:tc>
          <w:tcPr>
            <w:tcW w:w="1068" w:type="dxa"/>
            <w:noWrap w:val="0"/>
            <w:vAlign w:val="top"/>
          </w:tcPr>
          <w:p>
            <w:pPr>
              <w:pageBreakBefore w:val="0"/>
              <w:widowControl w:val="0"/>
              <w:kinsoku/>
              <w:wordWrap/>
              <w:overflowPunct/>
              <w:topLinePunct w:val="0"/>
              <w:autoSpaceDE/>
              <w:autoSpaceDN/>
              <w:bidi w:val="0"/>
              <w:snapToGrid/>
              <w:spacing w:line="360" w:lineRule="auto"/>
              <w:textAlignment w:val="auto"/>
              <w:rPr>
                <w:rFonts w:hint="eastAsia" w:ascii="宋体" w:hAnsi="宋体"/>
                <w:color w:val="000000"/>
                <w:sz w:val="24"/>
                <w:highlight w:val="none"/>
              </w:rPr>
            </w:pPr>
            <w:r>
              <w:rPr>
                <w:rFonts w:hint="eastAsia" w:ascii="宋体" w:hAnsi="宋体"/>
                <w:color w:val="000000"/>
                <w:sz w:val="24"/>
                <w:highlight w:val="none"/>
              </w:rPr>
              <w:t>　</w:t>
            </w:r>
          </w:p>
        </w:tc>
        <w:tc>
          <w:tcPr>
            <w:tcW w:w="1193" w:type="dxa"/>
            <w:noWrap w:val="0"/>
            <w:vAlign w:val="top"/>
          </w:tcPr>
          <w:p>
            <w:pPr>
              <w:pageBreakBefore w:val="0"/>
              <w:widowControl w:val="0"/>
              <w:kinsoku/>
              <w:wordWrap/>
              <w:overflowPunct/>
              <w:topLinePunct w:val="0"/>
              <w:autoSpaceDE/>
              <w:autoSpaceDN/>
              <w:bidi w:val="0"/>
              <w:snapToGrid/>
              <w:spacing w:line="360" w:lineRule="auto"/>
              <w:textAlignment w:val="auto"/>
              <w:rPr>
                <w:rFonts w:hint="eastAsia" w:ascii="宋体" w:hAnsi="宋体"/>
                <w:color w:val="000000"/>
                <w:sz w:val="24"/>
                <w:highlight w:val="none"/>
              </w:rPr>
            </w:pPr>
            <w:r>
              <w:rPr>
                <w:rFonts w:hint="eastAsia" w:ascii="宋体" w:hAnsi="宋体"/>
                <w:color w:val="000000"/>
                <w:sz w:val="24"/>
                <w:highlight w:val="none"/>
              </w:rPr>
              <w:t>　</w:t>
            </w:r>
          </w:p>
        </w:tc>
        <w:tc>
          <w:tcPr>
            <w:tcW w:w="992" w:type="dxa"/>
            <w:noWrap w:val="0"/>
            <w:vAlign w:val="top"/>
          </w:tcPr>
          <w:p>
            <w:pPr>
              <w:pageBreakBefore w:val="0"/>
              <w:widowControl w:val="0"/>
              <w:kinsoku/>
              <w:wordWrap/>
              <w:overflowPunct/>
              <w:topLinePunct w:val="0"/>
              <w:autoSpaceDE/>
              <w:autoSpaceDN/>
              <w:bidi w:val="0"/>
              <w:snapToGrid/>
              <w:spacing w:line="360" w:lineRule="auto"/>
              <w:textAlignment w:val="auto"/>
              <w:rPr>
                <w:rFonts w:hint="eastAsia" w:ascii="宋体" w:hAnsi="宋体"/>
                <w:color w:val="000000"/>
                <w:sz w:val="24"/>
                <w:highlight w:val="none"/>
              </w:rPr>
            </w:pPr>
            <w:r>
              <w:rPr>
                <w:rFonts w:hint="eastAsia" w:ascii="宋体" w:hAnsi="宋体"/>
                <w:color w:val="000000"/>
                <w:sz w:val="24"/>
                <w:highlight w:val="none"/>
              </w:rPr>
              <w:t>　</w:t>
            </w:r>
          </w:p>
        </w:tc>
        <w:tc>
          <w:tcPr>
            <w:tcW w:w="850" w:type="dxa"/>
            <w:noWrap w:val="0"/>
            <w:vAlign w:val="top"/>
          </w:tcPr>
          <w:p>
            <w:pPr>
              <w:pageBreakBefore w:val="0"/>
              <w:widowControl w:val="0"/>
              <w:kinsoku/>
              <w:wordWrap/>
              <w:overflowPunct/>
              <w:topLinePunct w:val="0"/>
              <w:autoSpaceDE/>
              <w:autoSpaceDN/>
              <w:bidi w:val="0"/>
              <w:snapToGrid/>
              <w:spacing w:line="360" w:lineRule="auto"/>
              <w:textAlignment w:val="auto"/>
              <w:rPr>
                <w:rFonts w:hint="eastAsia" w:ascii="宋体" w:hAnsi="宋体"/>
                <w:color w:val="000000"/>
                <w:sz w:val="24"/>
                <w:highlight w:val="none"/>
              </w:rPr>
            </w:pPr>
            <w:r>
              <w:rPr>
                <w:rFonts w:hint="eastAsia" w:ascii="宋体" w:hAnsi="宋体"/>
                <w:color w:val="000000"/>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691" w:type="dxa"/>
            <w:noWrap w:val="0"/>
            <w:vAlign w:val="top"/>
          </w:tcPr>
          <w:p>
            <w:pPr>
              <w:pageBreakBefore w:val="0"/>
              <w:widowControl w:val="0"/>
              <w:kinsoku/>
              <w:wordWrap/>
              <w:overflowPunct/>
              <w:topLinePunct w:val="0"/>
              <w:autoSpaceDE/>
              <w:autoSpaceDN/>
              <w:bidi w:val="0"/>
              <w:snapToGrid/>
              <w:spacing w:line="360" w:lineRule="auto"/>
              <w:textAlignment w:val="auto"/>
              <w:rPr>
                <w:rFonts w:hint="eastAsia" w:ascii="宋体" w:hAnsi="宋体"/>
                <w:color w:val="000000"/>
                <w:sz w:val="24"/>
                <w:highlight w:val="none"/>
              </w:rPr>
            </w:pPr>
            <w:r>
              <w:rPr>
                <w:rFonts w:hint="eastAsia" w:ascii="宋体" w:hAnsi="宋体"/>
                <w:color w:val="000000"/>
                <w:sz w:val="24"/>
                <w:highlight w:val="none"/>
              </w:rPr>
              <w:t>Maxcompute-生产环境</w:t>
            </w:r>
          </w:p>
        </w:tc>
        <w:tc>
          <w:tcPr>
            <w:tcW w:w="2261" w:type="dxa"/>
            <w:gridSpan w:val="2"/>
            <w:noWrap w:val="0"/>
            <w:vAlign w:val="top"/>
          </w:tcPr>
          <w:p>
            <w:pPr>
              <w:pageBreakBefore w:val="0"/>
              <w:widowControl w:val="0"/>
              <w:kinsoku/>
              <w:wordWrap/>
              <w:overflowPunct/>
              <w:topLinePunct w:val="0"/>
              <w:autoSpaceDE/>
              <w:autoSpaceDN/>
              <w:bidi w:val="0"/>
              <w:snapToGrid/>
              <w:spacing w:line="360" w:lineRule="auto"/>
              <w:textAlignment w:val="auto"/>
              <w:rPr>
                <w:rFonts w:hint="eastAsia" w:ascii="宋体" w:hAnsi="宋体"/>
                <w:color w:val="000000"/>
                <w:sz w:val="24"/>
                <w:highlight w:val="none"/>
              </w:rPr>
            </w:pPr>
            <w:r>
              <w:rPr>
                <w:rFonts w:hint="eastAsia" w:ascii="宋体" w:hAnsi="宋体"/>
                <w:color w:val="000000"/>
                <w:sz w:val="24"/>
                <w:highlight w:val="none"/>
              </w:rPr>
              <w:t>40CU</w:t>
            </w:r>
          </w:p>
        </w:tc>
        <w:tc>
          <w:tcPr>
            <w:tcW w:w="992" w:type="dxa"/>
            <w:noWrap w:val="0"/>
            <w:vAlign w:val="top"/>
          </w:tcPr>
          <w:p>
            <w:pPr>
              <w:pageBreakBefore w:val="0"/>
              <w:widowControl w:val="0"/>
              <w:kinsoku/>
              <w:wordWrap/>
              <w:overflowPunct/>
              <w:topLinePunct w:val="0"/>
              <w:autoSpaceDE/>
              <w:autoSpaceDN/>
              <w:bidi w:val="0"/>
              <w:snapToGrid/>
              <w:spacing w:line="360" w:lineRule="auto"/>
              <w:textAlignment w:val="auto"/>
              <w:rPr>
                <w:rFonts w:hint="eastAsia" w:ascii="宋体" w:hAnsi="宋体"/>
                <w:color w:val="000000"/>
                <w:sz w:val="24"/>
                <w:highlight w:val="none"/>
              </w:rPr>
            </w:pPr>
            <w:r>
              <w:rPr>
                <w:rFonts w:hint="eastAsia" w:ascii="宋体" w:hAnsi="宋体"/>
                <w:color w:val="000000"/>
                <w:sz w:val="24"/>
                <w:highlight w:val="none"/>
              </w:rPr>
              <w:t>2048G</w:t>
            </w:r>
          </w:p>
        </w:tc>
        <w:tc>
          <w:tcPr>
            <w:tcW w:w="850" w:type="dxa"/>
            <w:noWrap w:val="0"/>
            <w:vAlign w:val="top"/>
          </w:tcPr>
          <w:p>
            <w:pPr>
              <w:pageBreakBefore w:val="0"/>
              <w:widowControl w:val="0"/>
              <w:kinsoku/>
              <w:wordWrap/>
              <w:overflowPunct/>
              <w:topLinePunct w:val="0"/>
              <w:autoSpaceDE/>
              <w:autoSpaceDN/>
              <w:bidi w:val="0"/>
              <w:snapToGrid/>
              <w:spacing w:line="360" w:lineRule="auto"/>
              <w:textAlignment w:val="auto"/>
              <w:rPr>
                <w:rFonts w:hint="eastAsia" w:ascii="宋体" w:hAnsi="宋体"/>
                <w:color w:val="000000"/>
                <w:sz w:val="24"/>
                <w:highlight w:val="none"/>
              </w:rPr>
            </w:pPr>
            <w:r>
              <w:rPr>
                <w:rFonts w:hint="eastAsia" w:ascii="宋体" w:hAnsi="宋体"/>
                <w:color w:val="00000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691" w:type="dxa"/>
            <w:noWrap w:val="0"/>
            <w:vAlign w:val="top"/>
          </w:tcPr>
          <w:p>
            <w:pPr>
              <w:pageBreakBefore w:val="0"/>
              <w:widowControl w:val="0"/>
              <w:kinsoku/>
              <w:wordWrap/>
              <w:overflowPunct/>
              <w:topLinePunct w:val="0"/>
              <w:autoSpaceDE/>
              <w:autoSpaceDN/>
              <w:bidi w:val="0"/>
              <w:snapToGrid/>
              <w:spacing w:line="360" w:lineRule="auto"/>
              <w:textAlignment w:val="auto"/>
              <w:rPr>
                <w:rFonts w:hint="eastAsia" w:ascii="宋体" w:hAnsi="宋体"/>
                <w:color w:val="000000"/>
                <w:sz w:val="24"/>
                <w:highlight w:val="none"/>
              </w:rPr>
            </w:pPr>
            <w:r>
              <w:rPr>
                <w:rFonts w:hint="eastAsia" w:ascii="宋体" w:hAnsi="宋体"/>
                <w:color w:val="000000"/>
                <w:sz w:val="24"/>
                <w:highlight w:val="none"/>
              </w:rPr>
              <w:t>Maxcompute-开发环境</w:t>
            </w:r>
          </w:p>
        </w:tc>
        <w:tc>
          <w:tcPr>
            <w:tcW w:w="2261" w:type="dxa"/>
            <w:gridSpan w:val="2"/>
            <w:noWrap w:val="0"/>
            <w:vAlign w:val="top"/>
          </w:tcPr>
          <w:p>
            <w:pPr>
              <w:pageBreakBefore w:val="0"/>
              <w:widowControl w:val="0"/>
              <w:kinsoku/>
              <w:wordWrap/>
              <w:overflowPunct/>
              <w:topLinePunct w:val="0"/>
              <w:autoSpaceDE/>
              <w:autoSpaceDN/>
              <w:bidi w:val="0"/>
              <w:snapToGrid/>
              <w:spacing w:line="360" w:lineRule="auto"/>
              <w:textAlignment w:val="auto"/>
              <w:rPr>
                <w:rFonts w:hint="eastAsia" w:ascii="宋体" w:hAnsi="宋体"/>
                <w:color w:val="000000"/>
                <w:sz w:val="24"/>
                <w:highlight w:val="none"/>
              </w:rPr>
            </w:pPr>
            <w:r>
              <w:rPr>
                <w:rFonts w:hint="eastAsia" w:ascii="宋体" w:hAnsi="宋体"/>
                <w:color w:val="000000"/>
                <w:sz w:val="24"/>
                <w:highlight w:val="none"/>
              </w:rPr>
              <w:t>10CU</w:t>
            </w:r>
          </w:p>
        </w:tc>
        <w:tc>
          <w:tcPr>
            <w:tcW w:w="992" w:type="dxa"/>
            <w:noWrap w:val="0"/>
            <w:vAlign w:val="top"/>
          </w:tcPr>
          <w:p>
            <w:pPr>
              <w:pageBreakBefore w:val="0"/>
              <w:widowControl w:val="0"/>
              <w:kinsoku/>
              <w:wordWrap/>
              <w:overflowPunct/>
              <w:topLinePunct w:val="0"/>
              <w:autoSpaceDE/>
              <w:autoSpaceDN/>
              <w:bidi w:val="0"/>
              <w:snapToGrid/>
              <w:spacing w:line="360" w:lineRule="auto"/>
              <w:textAlignment w:val="auto"/>
              <w:rPr>
                <w:rFonts w:hint="eastAsia" w:ascii="宋体" w:hAnsi="宋体"/>
                <w:color w:val="000000"/>
                <w:sz w:val="24"/>
                <w:highlight w:val="none"/>
              </w:rPr>
            </w:pPr>
            <w:r>
              <w:rPr>
                <w:rFonts w:hint="eastAsia" w:ascii="宋体" w:hAnsi="宋体"/>
                <w:color w:val="000000"/>
                <w:sz w:val="24"/>
                <w:highlight w:val="none"/>
              </w:rPr>
              <w:t>1024G</w:t>
            </w:r>
          </w:p>
        </w:tc>
        <w:tc>
          <w:tcPr>
            <w:tcW w:w="850" w:type="dxa"/>
            <w:noWrap w:val="0"/>
            <w:vAlign w:val="top"/>
          </w:tcPr>
          <w:p>
            <w:pPr>
              <w:pageBreakBefore w:val="0"/>
              <w:widowControl w:val="0"/>
              <w:kinsoku/>
              <w:wordWrap/>
              <w:overflowPunct/>
              <w:topLinePunct w:val="0"/>
              <w:autoSpaceDE/>
              <w:autoSpaceDN/>
              <w:bidi w:val="0"/>
              <w:snapToGrid/>
              <w:spacing w:line="360" w:lineRule="auto"/>
              <w:textAlignment w:val="auto"/>
              <w:rPr>
                <w:rFonts w:hint="eastAsia" w:ascii="宋体" w:hAnsi="宋体"/>
                <w:color w:val="000000"/>
                <w:sz w:val="24"/>
                <w:highlight w:val="none"/>
              </w:rPr>
            </w:pPr>
            <w:r>
              <w:rPr>
                <w:rFonts w:hint="eastAsia" w:ascii="宋体" w:hAnsi="宋体"/>
                <w:color w:val="000000"/>
                <w:sz w:val="24"/>
                <w:highlight w:val="none"/>
              </w:rPr>
              <w:t>1</w:t>
            </w:r>
          </w:p>
        </w:tc>
      </w:tr>
    </w:tbl>
    <w:p>
      <w:pPr>
        <w:pageBreakBefore w:val="0"/>
        <w:widowControl w:val="0"/>
        <w:kinsoku/>
        <w:wordWrap/>
        <w:overflowPunct/>
        <w:topLinePunct w:val="0"/>
        <w:autoSpaceDE/>
        <w:autoSpaceDN/>
        <w:bidi w:val="0"/>
        <w:snapToGrid/>
        <w:spacing w:line="360" w:lineRule="auto"/>
        <w:ind w:firstLine="482" w:firstLineChars="200"/>
        <w:textAlignment w:val="auto"/>
        <w:rPr>
          <w:rFonts w:ascii="宋体" w:hAnsi="宋体"/>
          <w:color w:val="000000"/>
          <w:sz w:val="24"/>
          <w:highlight w:val="none"/>
        </w:rPr>
      </w:pPr>
      <w:r>
        <w:rPr>
          <w:rFonts w:hint="eastAsia" w:ascii="宋体" w:hAnsi="宋体"/>
          <w:b/>
          <w:bCs/>
          <w:color w:val="000000"/>
          <w:sz w:val="24"/>
          <w:highlight w:val="none"/>
        </w:rPr>
        <w:t>（十二）数据对接</w:t>
      </w:r>
    </w:p>
    <w:p>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color w:val="000000"/>
          <w:sz w:val="24"/>
          <w:highlight w:val="none"/>
        </w:rPr>
      </w:pPr>
      <w:r>
        <w:rPr>
          <w:rFonts w:hint="eastAsia" w:ascii="宋体" w:hAnsi="宋体"/>
          <w:color w:val="000000"/>
          <w:sz w:val="24"/>
          <w:highlight w:val="none"/>
        </w:rPr>
        <w:t>本项目需获取杭州市生态环境局、杭州市林业水利局、杭州市气象局、杭州市水务集团及各地供水企业或供水主管部门、杭州市地铁运营企业、填埋场运营单位、餐饮油烟在线监测设备供应单位的相关系统和浙江燃气安全在线平台的相关城市生命体征的监测数据，相关单位将监测数据上架IRS，本次项目通过IRS获取该类信息。</w:t>
      </w:r>
    </w:p>
    <w:p>
      <w:pPr>
        <w:pageBreakBefore w:val="0"/>
        <w:widowControl w:val="0"/>
        <w:kinsoku/>
        <w:wordWrap/>
        <w:overflowPunct/>
        <w:topLinePunct w:val="0"/>
        <w:autoSpaceDE/>
        <w:autoSpaceDN/>
        <w:bidi w:val="0"/>
        <w:snapToGrid/>
        <w:spacing w:line="360" w:lineRule="auto"/>
        <w:ind w:firstLine="482" w:firstLineChars="200"/>
        <w:textAlignment w:val="auto"/>
        <w:rPr>
          <w:rFonts w:hint="eastAsia" w:ascii="宋体" w:hAnsi="宋体"/>
          <w:b/>
          <w:bCs/>
          <w:color w:val="000000"/>
          <w:sz w:val="24"/>
          <w:highlight w:val="none"/>
        </w:rPr>
      </w:pPr>
      <w:r>
        <w:rPr>
          <w:rFonts w:hint="eastAsia" w:ascii="宋体" w:hAnsi="宋体"/>
          <w:b/>
          <w:bCs/>
          <w:color w:val="000000"/>
          <w:sz w:val="24"/>
          <w:highlight w:val="none"/>
        </w:rPr>
        <w:t>（十三）硬件采购</w:t>
      </w:r>
    </w:p>
    <w:p>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color w:val="000000"/>
          <w:sz w:val="24"/>
          <w:highlight w:val="none"/>
        </w:rPr>
      </w:pPr>
      <w:r>
        <w:rPr>
          <w:rFonts w:hint="eastAsia" w:ascii="宋体" w:hAnsi="宋体"/>
          <w:color w:val="000000"/>
          <w:sz w:val="24"/>
          <w:highlight w:val="none"/>
        </w:rPr>
        <w:t>本项目采购一台交换机和一台VPN。</w:t>
      </w:r>
    </w:p>
    <w:p>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olor w:val="000000"/>
          <w:sz w:val="24"/>
          <w:highlight w:val="none"/>
          <w:lang w:val="en-US" w:eastAsia="zh-CN"/>
        </w:rPr>
      </w:pPr>
      <w:r>
        <w:rPr>
          <w:rFonts w:hint="eastAsia" w:ascii="宋体" w:hAnsi="宋体"/>
          <w:color w:val="000000"/>
          <w:sz w:val="24"/>
          <w:highlight w:val="none"/>
        </w:rPr>
        <w:t>交换机的配置：48个10/100/1000Base-T自适应以太网端口，4个万兆SFP+口；支持GE端口及10GE端口聚合;支持IPv4/IPv6静态路由;支持IPv4/IPv6双栈;支持OSPFv1/v2，OSPFv3;支持BGP4，BGP4+ for IPv6;支持等价路由，策略路由;支持L2（Layer 2）~L4（Layer 4）；包过滤功能，提供基于源MAC地址、目的MAC地址、源IP(IPv4/IPv6)地址、目的IP(IPv4/IPv6)地址、TCP/UDP端口号、VLAN的流分类；支持时间段（Time Range）ACL;支持入方向和出方向的双向ACL策略。SSL VPN</w:t>
      </w:r>
      <w:r>
        <w:rPr>
          <w:rFonts w:hint="eastAsia" w:ascii="宋体" w:hAnsi="宋体"/>
          <w:color w:val="000000"/>
          <w:sz w:val="24"/>
          <w:highlight w:val="none"/>
          <w:lang w:eastAsia="zh-CN"/>
        </w:rPr>
        <w:t>：</w:t>
      </w:r>
      <w:r>
        <w:rPr>
          <w:rFonts w:hint="eastAsia" w:ascii="宋体" w:hAnsi="宋体"/>
          <w:color w:val="000000"/>
          <w:sz w:val="24"/>
          <w:highlight w:val="none"/>
        </w:rPr>
        <w:t>客户端支持windows最新版(windows11);支持统信UOS等国产化操作系统;配置千兆光口（SFP插槽）数量不低于4个；千兆电口数量不低于6个；IPSEC吞吐率不低于</w:t>
      </w:r>
      <w:r>
        <w:rPr>
          <w:rFonts w:hint="eastAsia" w:ascii="宋体" w:hAnsi="宋体"/>
          <w:color w:val="000000"/>
          <w:sz w:val="24"/>
          <w:highlight w:val="none"/>
          <w:lang w:val="en-US" w:eastAsia="zh-CN"/>
        </w:rPr>
        <w:t>2</w:t>
      </w:r>
      <w:r>
        <w:rPr>
          <w:rFonts w:hint="eastAsia" w:ascii="宋体" w:hAnsi="宋体"/>
          <w:color w:val="000000"/>
          <w:sz w:val="24"/>
          <w:highlight w:val="none"/>
        </w:rPr>
        <w:t>00Mbps；SSL吞吐率不低于1</w:t>
      </w:r>
      <w:r>
        <w:rPr>
          <w:rFonts w:hint="eastAsia" w:ascii="宋体" w:hAnsi="宋体"/>
          <w:color w:val="000000"/>
          <w:sz w:val="24"/>
          <w:highlight w:val="none"/>
          <w:lang w:val="en-US" w:eastAsia="zh-CN"/>
        </w:rPr>
        <w:t>0</w:t>
      </w:r>
      <w:r>
        <w:rPr>
          <w:rFonts w:hint="eastAsia" w:ascii="宋体" w:hAnsi="宋体"/>
          <w:color w:val="000000"/>
          <w:sz w:val="24"/>
          <w:highlight w:val="none"/>
        </w:rPr>
        <w:t>0Mbps；SSL最大并发用户数不低于</w:t>
      </w:r>
      <w:r>
        <w:rPr>
          <w:rFonts w:hint="eastAsia" w:ascii="宋体" w:hAnsi="宋体"/>
          <w:color w:val="000000"/>
          <w:sz w:val="24"/>
          <w:highlight w:val="none"/>
          <w:lang w:val="en-US" w:eastAsia="zh-CN"/>
        </w:rPr>
        <w:t>1</w:t>
      </w:r>
      <w:r>
        <w:rPr>
          <w:rFonts w:hint="eastAsia" w:ascii="宋体" w:hAnsi="宋体"/>
          <w:color w:val="000000"/>
          <w:sz w:val="24"/>
          <w:highlight w:val="none"/>
        </w:rPr>
        <w:t>000；冗余电源。支持国密、国际数字证书认证；支持SSL VPN专线功能;支持基于源</w:t>
      </w:r>
      <w:r>
        <w:rPr>
          <w:rFonts w:hint="eastAsia" w:ascii="宋体" w:hAnsi="宋体"/>
          <w:color w:val="000000"/>
          <w:sz w:val="24"/>
          <w:highlight w:val="none"/>
          <w:lang w:val="en-US" w:eastAsia="zh-CN"/>
        </w:rPr>
        <w:t>/</w:t>
      </w:r>
      <w:r>
        <w:rPr>
          <w:rFonts w:hint="eastAsia" w:ascii="宋体" w:hAnsi="宋体"/>
          <w:color w:val="000000"/>
          <w:sz w:val="24"/>
          <w:highlight w:val="none"/>
        </w:rPr>
        <w:t>目的IP地址、MAC地址、端口和协议、时间、用户、角色的访问控制；支持基于状态检测的动态包过滤</w:t>
      </w:r>
      <w:r>
        <w:rPr>
          <w:rFonts w:hint="eastAsia" w:ascii="宋体" w:hAnsi="宋体"/>
          <w:color w:val="000000"/>
          <w:sz w:val="24"/>
          <w:highlight w:val="none"/>
          <w:lang w:eastAsia="zh-CN"/>
        </w:rPr>
        <w:t>。</w:t>
      </w:r>
    </w:p>
    <w:p>
      <w:pPr>
        <w:pStyle w:val="257"/>
        <w:ind w:firstLine="0" w:firstLineChars="0"/>
        <w:rPr>
          <w:rFonts w:ascii="宋体" w:hAnsi="宋体" w:eastAsia="宋体"/>
          <w:b/>
          <w:bCs/>
          <w:sz w:val="28"/>
          <w:szCs w:val="28"/>
        </w:rPr>
      </w:pPr>
      <w:r>
        <w:rPr>
          <w:rFonts w:hint="eastAsia" w:ascii="宋体" w:hAnsi="宋体" w:eastAsia="宋体"/>
          <w:b/>
          <w:bCs/>
          <w:sz w:val="28"/>
          <w:szCs w:val="28"/>
        </w:rPr>
        <w:t>六、实施要求</w:t>
      </w:r>
    </w:p>
    <w:p>
      <w:pPr>
        <w:spacing w:line="360" w:lineRule="auto"/>
        <w:ind w:firstLine="480" w:firstLineChars="200"/>
        <w:rPr>
          <w:rFonts w:ascii="宋体" w:hAnsi="宋体"/>
          <w:sz w:val="24"/>
        </w:rPr>
      </w:pPr>
      <w:r>
        <w:rPr>
          <w:rFonts w:hint="eastAsia" w:ascii="宋体" w:hAnsi="宋体"/>
          <w:sz w:val="24"/>
        </w:rPr>
        <w:t>投标方需具备完善的项目管理体系，负责项目开发和实施工作，具体包括开发、安装、调试、培训、与其它系统的数据交换接口开发。</w:t>
      </w:r>
    </w:p>
    <w:p>
      <w:pPr>
        <w:tabs>
          <w:tab w:val="left" w:pos="360"/>
        </w:tabs>
        <w:snapToGrid w:val="0"/>
        <w:spacing w:line="360" w:lineRule="auto"/>
        <w:ind w:firstLine="482" w:firstLineChars="200"/>
        <w:rPr>
          <w:rFonts w:ascii="宋体" w:hAnsi="宋体"/>
          <w:b/>
          <w:bCs/>
          <w:sz w:val="24"/>
        </w:rPr>
      </w:pPr>
      <w:r>
        <w:rPr>
          <w:rFonts w:hint="eastAsia" w:ascii="宋体" w:hAnsi="宋体"/>
          <w:b/>
          <w:bCs/>
          <w:sz w:val="24"/>
        </w:rPr>
        <w:t>（一）非功能性要求</w:t>
      </w:r>
    </w:p>
    <w:p>
      <w:pPr>
        <w:snapToGrid w:val="0"/>
        <w:spacing w:line="360" w:lineRule="auto"/>
        <w:ind w:firstLine="480" w:firstLineChars="200"/>
        <w:jc w:val="left"/>
        <w:rPr>
          <w:rFonts w:hint="eastAsia" w:ascii="宋体" w:hAnsi="宋体" w:cs="Calibri"/>
          <w:sz w:val="24"/>
        </w:rPr>
      </w:pPr>
      <w:r>
        <w:rPr>
          <w:rFonts w:hint="eastAsia" w:ascii="宋体" w:hAnsi="宋体" w:cs="Calibri"/>
          <w:sz w:val="24"/>
        </w:rPr>
        <w:t>1</w:t>
      </w:r>
      <w:r>
        <w:rPr>
          <w:rFonts w:ascii="宋体" w:hAnsi="宋体" w:cs="Calibri"/>
          <w:sz w:val="24"/>
        </w:rPr>
        <w:t>.应具有良好的并发响应能力，正常情况下系统应支持不小于1500用户同时操作</w:t>
      </w:r>
      <w:r>
        <w:rPr>
          <w:rFonts w:hint="eastAsia" w:ascii="宋体" w:hAnsi="宋体" w:cs="Calibri"/>
          <w:sz w:val="24"/>
        </w:rPr>
        <w:t>。</w:t>
      </w:r>
    </w:p>
    <w:p>
      <w:pPr>
        <w:snapToGrid w:val="0"/>
        <w:spacing w:line="360" w:lineRule="auto"/>
        <w:ind w:firstLine="480" w:firstLineChars="200"/>
        <w:jc w:val="left"/>
        <w:rPr>
          <w:rFonts w:hint="eastAsia" w:ascii="宋体" w:hAnsi="宋体" w:cs="Calibri"/>
          <w:sz w:val="24"/>
        </w:rPr>
      </w:pPr>
      <w:r>
        <w:rPr>
          <w:rFonts w:hint="eastAsia" w:ascii="宋体" w:hAnsi="宋体" w:cs="Calibri"/>
          <w:sz w:val="24"/>
        </w:rPr>
        <w:t>2.</w:t>
      </w:r>
      <w:r>
        <w:rPr>
          <w:rFonts w:ascii="宋体" w:hAnsi="宋体" w:cs="Calibri"/>
          <w:sz w:val="24"/>
        </w:rPr>
        <w:t>系统的整体登录、案件操作、列表刷新响应性能在1s以内</w:t>
      </w:r>
      <w:r>
        <w:rPr>
          <w:rFonts w:hint="eastAsia" w:ascii="宋体" w:hAnsi="宋体" w:cs="Calibri"/>
          <w:sz w:val="24"/>
        </w:rPr>
        <w:t>。</w:t>
      </w:r>
    </w:p>
    <w:p>
      <w:pPr>
        <w:snapToGrid w:val="0"/>
        <w:spacing w:line="360" w:lineRule="auto"/>
        <w:ind w:firstLine="480" w:firstLineChars="200"/>
        <w:jc w:val="left"/>
        <w:rPr>
          <w:rFonts w:ascii="宋体" w:hAnsi="宋体" w:cs="Calibri"/>
          <w:sz w:val="24"/>
        </w:rPr>
      </w:pPr>
      <w:r>
        <w:rPr>
          <w:rFonts w:hint="eastAsia" w:ascii="宋体" w:hAnsi="宋体" w:cs="Calibri"/>
          <w:sz w:val="24"/>
        </w:rPr>
        <w:t>3.系统</w:t>
      </w:r>
      <w:r>
        <w:rPr>
          <w:rFonts w:ascii="宋体" w:hAnsi="宋体" w:cs="Calibri"/>
          <w:sz w:val="24"/>
        </w:rPr>
        <w:t>查询、统计响应性能要求在3s以内。</w:t>
      </w:r>
    </w:p>
    <w:p>
      <w:pPr>
        <w:snapToGrid w:val="0"/>
        <w:spacing w:line="360" w:lineRule="auto"/>
        <w:ind w:firstLine="480" w:firstLineChars="200"/>
        <w:jc w:val="left"/>
        <w:rPr>
          <w:rFonts w:ascii="宋体" w:hAnsi="宋体" w:cs="Calibri"/>
          <w:sz w:val="24"/>
        </w:rPr>
      </w:pPr>
      <w:r>
        <w:rPr>
          <w:rFonts w:hint="eastAsia" w:ascii="宋体" w:hAnsi="宋体" w:cs="Calibri"/>
          <w:sz w:val="24"/>
        </w:rPr>
        <w:t>4.</w:t>
      </w:r>
      <w:r>
        <w:rPr>
          <w:rFonts w:ascii="宋体" w:hAnsi="宋体" w:cs="Calibri"/>
          <w:sz w:val="24"/>
        </w:rPr>
        <w:t>应具有完备的信息安全体系，能对登录用户的身份进行认证。</w:t>
      </w:r>
    </w:p>
    <w:p>
      <w:pPr>
        <w:snapToGrid w:val="0"/>
        <w:spacing w:line="360" w:lineRule="auto"/>
        <w:ind w:firstLine="480" w:firstLineChars="200"/>
        <w:jc w:val="left"/>
        <w:rPr>
          <w:rFonts w:ascii="宋体" w:hAnsi="宋体" w:cs="Calibri"/>
          <w:sz w:val="24"/>
        </w:rPr>
      </w:pPr>
      <w:r>
        <w:rPr>
          <w:rFonts w:hint="eastAsia" w:ascii="宋体" w:hAnsi="宋体" w:cs="Calibri"/>
          <w:sz w:val="24"/>
        </w:rPr>
        <w:t>5.</w:t>
      </w:r>
      <w:r>
        <w:rPr>
          <w:rFonts w:ascii="宋体" w:hAnsi="宋体" w:cs="Calibri"/>
          <w:sz w:val="24"/>
        </w:rPr>
        <w:t>应具有良好的数据安全保障机制，对数据采取集中管理和存储的模式，数据库结构设计良好，具有迅速的数据检索能力。</w:t>
      </w:r>
    </w:p>
    <w:p>
      <w:pPr>
        <w:snapToGrid w:val="0"/>
        <w:spacing w:line="360" w:lineRule="auto"/>
        <w:ind w:firstLine="480" w:firstLineChars="200"/>
        <w:jc w:val="left"/>
        <w:rPr>
          <w:rFonts w:ascii="宋体" w:hAnsi="宋体" w:cs="Calibri"/>
          <w:sz w:val="24"/>
        </w:rPr>
      </w:pPr>
      <w:r>
        <w:rPr>
          <w:rFonts w:hint="eastAsia" w:ascii="宋体" w:hAnsi="宋体" w:cs="Calibri"/>
          <w:sz w:val="24"/>
        </w:rPr>
        <w:t>6.</w:t>
      </w:r>
      <w:r>
        <w:rPr>
          <w:rFonts w:ascii="宋体" w:hAnsi="宋体" w:cs="Calibri"/>
          <w:sz w:val="24"/>
        </w:rPr>
        <w:t>系统数据实时备份。</w:t>
      </w:r>
    </w:p>
    <w:p>
      <w:pPr>
        <w:snapToGrid w:val="0"/>
        <w:spacing w:line="360" w:lineRule="auto"/>
        <w:ind w:firstLine="480" w:firstLineChars="200"/>
        <w:jc w:val="left"/>
        <w:rPr>
          <w:rFonts w:ascii="宋体" w:hAnsi="宋体" w:cs="Calibri"/>
          <w:sz w:val="24"/>
        </w:rPr>
      </w:pPr>
      <w:r>
        <w:rPr>
          <w:rFonts w:hint="eastAsia" w:ascii="宋体" w:hAnsi="宋体" w:cs="Calibri"/>
          <w:sz w:val="24"/>
        </w:rPr>
        <w:t>7.</w:t>
      </w:r>
      <w:r>
        <w:rPr>
          <w:rFonts w:ascii="宋体" w:hAnsi="宋体" w:cs="Calibri"/>
          <w:sz w:val="24"/>
        </w:rPr>
        <w:t>访问控制须到页面级，具备页面防篡改功能。</w:t>
      </w:r>
    </w:p>
    <w:p>
      <w:pPr>
        <w:snapToGrid w:val="0"/>
        <w:spacing w:line="360" w:lineRule="auto"/>
        <w:ind w:firstLine="480" w:firstLineChars="200"/>
        <w:jc w:val="left"/>
        <w:rPr>
          <w:rFonts w:ascii="宋体" w:hAnsi="宋体" w:cs="Calibri"/>
          <w:sz w:val="24"/>
        </w:rPr>
      </w:pPr>
      <w:r>
        <w:rPr>
          <w:rFonts w:hint="eastAsia" w:ascii="宋体" w:hAnsi="宋体" w:cs="Calibri"/>
          <w:sz w:val="24"/>
        </w:rPr>
        <w:t>8.</w:t>
      </w:r>
      <w:r>
        <w:rPr>
          <w:rFonts w:ascii="宋体" w:hAnsi="宋体" w:cs="Calibri"/>
          <w:sz w:val="24"/>
        </w:rPr>
        <w:t>系统应支持用户及用户组的设置</w:t>
      </w:r>
      <w:r>
        <w:rPr>
          <w:rFonts w:hint="eastAsia" w:ascii="宋体" w:hAnsi="宋体" w:cs="Calibri"/>
          <w:sz w:val="24"/>
        </w:rPr>
        <w:t>；</w:t>
      </w:r>
      <w:r>
        <w:rPr>
          <w:rFonts w:ascii="宋体" w:hAnsi="宋体" w:cs="Calibri"/>
          <w:sz w:val="24"/>
        </w:rPr>
        <w:t>支持功能授权，即不同用户使用不同的功能</w:t>
      </w:r>
      <w:r>
        <w:rPr>
          <w:rFonts w:hint="eastAsia" w:ascii="宋体" w:hAnsi="宋体" w:cs="Calibri"/>
          <w:sz w:val="24"/>
        </w:rPr>
        <w:t>；</w:t>
      </w:r>
      <w:r>
        <w:rPr>
          <w:rFonts w:ascii="宋体" w:hAnsi="宋体" w:cs="Calibri"/>
          <w:sz w:val="24"/>
        </w:rPr>
        <w:t>系统应支持不同部门甚至不同用户之间数据查看的限制。</w:t>
      </w:r>
    </w:p>
    <w:p>
      <w:pPr>
        <w:snapToGrid w:val="0"/>
        <w:spacing w:line="360" w:lineRule="auto"/>
        <w:ind w:firstLine="480" w:firstLineChars="200"/>
        <w:jc w:val="left"/>
      </w:pPr>
      <w:r>
        <w:rPr>
          <w:rFonts w:hint="eastAsia" w:ascii="宋体" w:hAnsi="宋体" w:cs="Calibri"/>
          <w:sz w:val="24"/>
        </w:rPr>
        <w:t>9.</w:t>
      </w:r>
      <w:r>
        <w:rPr>
          <w:rFonts w:ascii="宋体" w:hAnsi="宋体" w:cs="Calibri"/>
          <w:sz w:val="24"/>
        </w:rPr>
        <w:t>WEB应用程序的数据在网络上传输时应该进行加密处理。</w:t>
      </w:r>
    </w:p>
    <w:p>
      <w:pPr>
        <w:pStyle w:val="26"/>
        <w:snapToGrid w:val="0"/>
        <w:spacing w:line="360" w:lineRule="auto"/>
        <w:ind w:firstLine="480" w:firstLineChars="200"/>
        <w:jc w:val="left"/>
        <w:rPr>
          <w:rFonts w:ascii="宋体" w:hAnsi="宋体" w:cs="Calibri"/>
          <w:sz w:val="24"/>
        </w:rPr>
      </w:pPr>
      <w:r>
        <w:rPr>
          <w:rFonts w:hint="eastAsia" w:ascii="宋体" w:hAnsi="宋体" w:cs="Calibri"/>
          <w:sz w:val="24"/>
        </w:rPr>
        <w:t>10.</w:t>
      </w:r>
      <w:r>
        <w:rPr>
          <w:rFonts w:ascii="宋体" w:hAnsi="宋体" w:cs="Calibri"/>
          <w:sz w:val="24"/>
        </w:rPr>
        <w:t>需与系统层、网络层、数据层三方面安全软件进行良好的集成。</w:t>
      </w:r>
    </w:p>
    <w:p>
      <w:pPr>
        <w:snapToGrid w:val="0"/>
        <w:spacing w:line="360" w:lineRule="auto"/>
        <w:ind w:firstLine="482" w:firstLineChars="200"/>
        <w:jc w:val="left"/>
        <w:rPr>
          <w:rFonts w:ascii="宋体" w:hAnsi="宋体" w:cs="Calibri"/>
          <w:b/>
          <w:bCs/>
          <w:sz w:val="24"/>
        </w:rPr>
      </w:pPr>
      <w:r>
        <w:rPr>
          <w:rFonts w:hint="eastAsia" w:ascii="宋体" w:hAnsi="宋体" w:cs="Calibri"/>
          <w:b/>
          <w:bCs/>
          <w:sz w:val="24"/>
        </w:rPr>
        <w:t>（二）对项目组人员的要求</w:t>
      </w:r>
    </w:p>
    <w:p>
      <w:pPr>
        <w:snapToGrid w:val="0"/>
        <w:spacing w:line="360" w:lineRule="auto"/>
        <w:ind w:firstLine="480" w:firstLineChars="200"/>
        <w:jc w:val="left"/>
        <w:rPr>
          <w:rFonts w:ascii="宋体" w:hAnsi="宋体" w:cs="Calibri"/>
        </w:rPr>
      </w:pPr>
      <w:r>
        <w:rPr>
          <w:rFonts w:hint="eastAsia" w:ascii="宋体" w:hAnsi="宋体" w:cs="Calibri"/>
          <w:sz w:val="24"/>
        </w:rPr>
        <w:t>中标方需为本项目组建有实力的团队，</w:t>
      </w:r>
      <w:r>
        <w:rPr>
          <w:rFonts w:hint="eastAsia" w:ascii="宋体" w:hAnsi="宋体" w:cs="Arial"/>
          <w:snapToGrid w:val="0"/>
          <w:kern w:val="0"/>
          <w:sz w:val="24"/>
        </w:rPr>
        <w:t>本项目负责人（项目经理）</w:t>
      </w:r>
      <w:r>
        <w:rPr>
          <w:rFonts w:hint="eastAsia" w:ascii="宋体" w:hAnsi="宋体" w:eastAsia="Times New Roman" w:cs="华文仿宋"/>
          <w:kern w:val="0"/>
          <w:sz w:val="24"/>
          <w:szCs w:val="20"/>
        </w:rPr>
        <w:t>具有信息系统项目管理师（高级）资质证书</w:t>
      </w:r>
      <w:r>
        <w:rPr>
          <w:rFonts w:hint="eastAsia" w:ascii="宋体" w:hAnsi="宋体" w:cs="Calibri"/>
          <w:sz w:val="24"/>
        </w:rPr>
        <w:t>，</w:t>
      </w:r>
      <w:r>
        <w:rPr>
          <w:rFonts w:hint="eastAsia" w:ascii="宋体" w:hAnsi="宋体" w:eastAsia="Times New Roman" w:cs="华文仿宋"/>
          <w:kern w:val="0"/>
          <w:sz w:val="24"/>
          <w:szCs w:val="20"/>
        </w:rPr>
        <w:t>技术负责人</w:t>
      </w:r>
      <w:r>
        <w:rPr>
          <w:rFonts w:hint="eastAsia"/>
          <w:kern w:val="0"/>
          <w:sz w:val="24"/>
        </w:rPr>
        <w:t>具有</w:t>
      </w:r>
      <w:r>
        <w:rPr>
          <w:rFonts w:hint="eastAsia" w:ascii="宋体" w:hAnsi="宋体" w:cs="宋体"/>
          <w:kern w:val="0"/>
          <w:sz w:val="24"/>
        </w:rPr>
        <w:t>国家计算机技术与软件专业技术资格高级资质证书，投标人提供的项目组团队（包括项目负责人和技术负责人）至少配置人员15名，每人具有本科及以上学历，团队人员中需提供不少于2个计算机和软件类高级职称证书</w:t>
      </w:r>
      <w:r>
        <w:rPr>
          <w:rFonts w:hint="eastAsia" w:ascii="宋体" w:hAnsi="宋体" w:cs="仿宋"/>
          <w:bCs/>
          <w:color w:val="000000"/>
          <w:kern w:val="0"/>
          <w:sz w:val="24"/>
          <w:szCs w:val="20"/>
        </w:rPr>
        <w:t>和</w:t>
      </w:r>
      <w:r>
        <w:rPr>
          <w:rFonts w:hint="eastAsia" w:ascii="宋体" w:hAnsi="宋体" w:cs="宋体"/>
          <w:kern w:val="0"/>
          <w:sz w:val="24"/>
        </w:rPr>
        <w:t>计算机和软件类3个中级及以上职称证书</w:t>
      </w:r>
      <w:r>
        <w:rPr>
          <w:rFonts w:hint="eastAsia" w:ascii="宋体" w:hAnsi="宋体" w:cs="Calibri"/>
          <w:sz w:val="24"/>
        </w:rPr>
        <w:t>。提供项目负责人及团队人员</w:t>
      </w:r>
      <w:r>
        <w:rPr>
          <w:rFonts w:hint="eastAsia" w:ascii="宋体" w:hAnsi="宋体" w:cs="仿宋"/>
          <w:sz w:val="24"/>
        </w:rPr>
        <w:t>在投标单位近</w:t>
      </w:r>
      <w:r>
        <w:rPr>
          <w:rFonts w:ascii="宋体" w:hAnsi="宋体" w:cs="仿宋"/>
          <w:sz w:val="24"/>
        </w:rPr>
        <w:t>3</w:t>
      </w:r>
      <w:r>
        <w:rPr>
          <w:rFonts w:hint="eastAsia" w:ascii="宋体" w:hAnsi="宋体" w:cs="仿宋"/>
          <w:sz w:val="24"/>
        </w:rPr>
        <w:t>个月社保缴纳记录。</w:t>
      </w:r>
    </w:p>
    <w:p>
      <w:pPr>
        <w:snapToGrid w:val="0"/>
        <w:spacing w:line="360" w:lineRule="auto"/>
        <w:ind w:firstLine="480" w:firstLineChars="200"/>
        <w:jc w:val="left"/>
        <w:rPr>
          <w:rFonts w:ascii="宋体" w:hAnsi="宋体" w:cs="Calibri"/>
        </w:rPr>
      </w:pPr>
      <w:r>
        <w:rPr>
          <w:rFonts w:hint="eastAsia" w:ascii="宋体" w:hAnsi="宋体" w:cs="Calibri"/>
          <w:sz w:val="24"/>
        </w:rPr>
        <w:t>采购单位可根据需要，要求项目组全体驻场开发。</w:t>
      </w:r>
    </w:p>
    <w:p>
      <w:pPr>
        <w:snapToGrid w:val="0"/>
        <w:spacing w:line="360" w:lineRule="auto"/>
        <w:ind w:firstLine="482" w:firstLineChars="200"/>
        <w:jc w:val="left"/>
        <w:rPr>
          <w:rFonts w:ascii="宋体" w:hAnsi="宋体" w:cs="Calibri"/>
          <w:b/>
          <w:bCs/>
          <w:sz w:val="24"/>
        </w:rPr>
      </w:pPr>
      <w:r>
        <w:rPr>
          <w:rFonts w:hint="eastAsia" w:ascii="宋体" w:hAnsi="宋体" w:cs="Calibri"/>
          <w:b/>
          <w:bCs/>
          <w:sz w:val="24"/>
        </w:rPr>
        <w:t>（三）培训要求</w:t>
      </w:r>
    </w:p>
    <w:p>
      <w:pPr>
        <w:snapToGrid w:val="0"/>
        <w:spacing w:line="360" w:lineRule="auto"/>
        <w:ind w:firstLine="480" w:firstLineChars="200"/>
        <w:jc w:val="left"/>
        <w:rPr>
          <w:rFonts w:ascii="宋体" w:hAnsi="宋体" w:cs="Calibri"/>
          <w:sz w:val="24"/>
        </w:rPr>
      </w:pPr>
      <w:r>
        <w:rPr>
          <w:rFonts w:hint="eastAsia" w:ascii="宋体" w:hAnsi="宋体" w:cs="Calibri"/>
          <w:sz w:val="24"/>
        </w:rPr>
        <w:t>1.投标人应在投标文件中提出培训计划，根据项目的目标和现实情况，对相关人员进行培训，通过培训使技术及业务人员不仅对整个系统有足够的认识，而且可以熟练掌握应用系统的操作等，能够独立完成其操作对象；对核心管理员进行培训，能掌握并熟练运用。需明确培训目标、培训对象、培训方式、培训地点、培训内容等。</w:t>
      </w:r>
    </w:p>
    <w:p>
      <w:pPr>
        <w:snapToGrid w:val="0"/>
        <w:spacing w:line="360" w:lineRule="auto"/>
        <w:ind w:firstLine="480" w:firstLineChars="200"/>
        <w:jc w:val="left"/>
        <w:rPr>
          <w:rFonts w:ascii="宋体" w:hAnsi="宋体" w:cs="Calibri"/>
          <w:sz w:val="24"/>
        </w:rPr>
      </w:pPr>
      <w:r>
        <w:rPr>
          <w:rFonts w:hint="eastAsia" w:ascii="宋体" w:hAnsi="宋体" w:cs="Calibri"/>
          <w:sz w:val="24"/>
        </w:rPr>
        <w:t>培训目标：根据采购人要求，对采购人的管理人员、技术人员、操作人员、运维人员提供培训，以便对项目的实施和运营进行有效的管理。同时，工程验收移交后，能够胜任系统的全部运行操作、故障的分析处理。</w:t>
      </w:r>
    </w:p>
    <w:p>
      <w:pPr>
        <w:snapToGrid w:val="0"/>
        <w:spacing w:line="360" w:lineRule="auto"/>
        <w:ind w:firstLine="480" w:firstLineChars="200"/>
        <w:jc w:val="left"/>
        <w:rPr>
          <w:rFonts w:ascii="宋体" w:hAnsi="宋体" w:cs="Calibri"/>
          <w:sz w:val="24"/>
        </w:rPr>
      </w:pPr>
      <w:r>
        <w:rPr>
          <w:rFonts w:hint="eastAsia" w:ascii="宋体" w:hAnsi="宋体" w:cs="Calibri"/>
          <w:sz w:val="24"/>
        </w:rPr>
        <w:t>培训对象：培训对象包括但不限于以下人员：系统使用人员、系统运行维护管理人员等。</w:t>
      </w:r>
    </w:p>
    <w:p>
      <w:pPr>
        <w:snapToGrid w:val="0"/>
        <w:spacing w:line="360" w:lineRule="auto"/>
        <w:ind w:firstLine="480" w:firstLineChars="200"/>
        <w:jc w:val="left"/>
        <w:rPr>
          <w:rFonts w:ascii="宋体" w:hAnsi="宋体" w:cs="Calibri"/>
          <w:sz w:val="24"/>
        </w:rPr>
      </w:pPr>
      <w:r>
        <w:rPr>
          <w:rFonts w:hint="eastAsia" w:ascii="宋体" w:hAnsi="宋体" w:cs="Calibri"/>
          <w:sz w:val="24"/>
        </w:rPr>
        <w:t>培训方式：集中授课和现场操作应用指导培训，不少于1次，培训天数不少于1天。</w:t>
      </w:r>
    </w:p>
    <w:p>
      <w:pPr>
        <w:snapToGrid w:val="0"/>
        <w:spacing w:line="360" w:lineRule="auto"/>
        <w:ind w:firstLine="480" w:firstLineChars="200"/>
        <w:jc w:val="left"/>
        <w:rPr>
          <w:rFonts w:ascii="宋体" w:hAnsi="宋体" w:cs="Calibri"/>
          <w:sz w:val="24"/>
        </w:rPr>
      </w:pPr>
      <w:r>
        <w:rPr>
          <w:rFonts w:hint="eastAsia" w:ascii="宋体" w:hAnsi="宋体" w:cs="Calibri"/>
          <w:sz w:val="24"/>
        </w:rPr>
        <w:t>培训场地：由采购人提供。</w:t>
      </w:r>
    </w:p>
    <w:p>
      <w:pPr>
        <w:snapToGrid w:val="0"/>
        <w:spacing w:line="360" w:lineRule="auto"/>
        <w:ind w:firstLine="480" w:firstLineChars="200"/>
        <w:jc w:val="left"/>
        <w:rPr>
          <w:rFonts w:ascii="宋体" w:hAnsi="宋体" w:cs="Calibri"/>
          <w:sz w:val="24"/>
        </w:rPr>
      </w:pPr>
      <w:r>
        <w:rPr>
          <w:rFonts w:hint="eastAsia" w:ascii="宋体" w:hAnsi="宋体" w:cs="Calibri"/>
          <w:sz w:val="24"/>
        </w:rPr>
        <w:t>培训内容：内容包含但不限于系统总体情况进行介绍、业务操作、系统功能、简单的系统故障诊断和排除等（所有培训以中文进行）。</w:t>
      </w:r>
    </w:p>
    <w:p>
      <w:pPr>
        <w:snapToGrid w:val="0"/>
        <w:spacing w:line="360" w:lineRule="auto"/>
        <w:ind w:firstLine="480" w:firstLineChars="200"/>
        <w:jc w:val="left"/>
        <w:rPr>
          <w:rFonts w:ascii="宋体" w:hAnsi="宋体" w:cs="Calibri"/>
          <w:sz w:val="24"/>
        </w:rPr>
      </w:pPr>
      <w:r>
        <w:rPr>
          <w:rFonts w:hint="eastAsia" w:ascii="宋体" w:hAnsi="宋体" w:cs="Calibri"/>
          <w:sz w:val="24"/>
        </w:rPr>
        <w:t>2.培训费用计入投标总价。</w:t>
      </w:r>
    </w:p>
    <w:p>
      <w:pPr>
        <w:snapToGrid w:val="0"/>
        <w:spacing w:line="360" w:lineRule="auto"/>
        <w:ind w:firstLine="482" w:firstLineChars="200"/>
        <w:jc w:val="left"/>
        <w:rPr>
          <w:rFonts w:ascii="宋体" w:hAnsi="宋体" w:cs="Calibri"/>
          <w:b/>
          <w:bCs/>
          <w:sz w:val="24"/>
        </w:rPr>
      </w:pPr>
      <w:r>
        <w:rPr>
          <w:rFonts w:hint="eastAsia" w:ascii="宋体" w:hAnsi="宋体" w:cs="Calibri"/>
          <w:b/>
          <w:bCs/>
          <w:sz w:val="24"/>
        </w:rPr>
        <w:t>（四）系统安全要求</w:t>
      </w:r>
    </w:p>
    <w:p>
      <w:pPr>
        <w:snapToGrid w:val="0"/>
        <w:spacing w:line="360" w:lineRule="auto"/>
        <w:ind w:firstLine="480" w:firstLineChars="200"/>
        <w:jc w:val="left"/>
        <w:rPr>
          <w:rFonts w:hint="eastAsia" w:ascii="宋体" w:hAnsi="宋体" w:cs="Calibri"/>
          <w:sz w:val="24"/>
        </w:rPr>
      </w:pPr>
      <w:r>
        <w:rPr>
          <w:rFonts w:hint="eastAsia" w:ascii="宋体" w:hAnsi="宋体" w:cs="Calibri"/>
          <w:sz w:val="24"/>
        </w:rPr>
        <w:t>1</w:t>
      </w:r>
      <w:r>
        <w:rPr>
          <w:rFonts w:ascii="宋体" w:hAnsi="宋体" w:cs="Calibri"/>
          <w:sz w:val="24"/>
        </w:rPr>
        <w:t>.</w:t>
      </w:r>
      <w:r>
        <w:rPr>
          <w:rFonts w:hint="eastAsia" w:ascii="宋体" w:hAnsi="宋体" w:cs="Calibri"/>
          <w:sz w:val="24"/>
        </w:rPr>
        <w:t>根据国家及政府信息安全规范，保证系统及系统数据可用性、完整性、保密性，提供ISO27001信息安全管理体系认证证书、</w:t>
      </w:r>
      <w:r>
        <w:rPr>
          <w:rFonts w:ascii="宋体" w:hAnsi="宋体" w:cs="宋体"/>
          <w:kern w:val="0"/>
          <w:sz w:val="24"/>
        </w:rPr>
        <w:t>ISO20000信息技术服务管理体系认证</w:t>
      </w:r>
      <w:r>
        <w:rPr>
          <w:rFonts w:hint="eastAsia" w:ascii="宋体" w:hAnsi="宋体" w:cs="Calibri"/>
          <w:sz w:val="24"/>
        </w:rPr>
        <w:t>。</w:t>
      </w:r>
    </w:p>
    <w:p>
      <w:pPr>
        <w:snapToGrid w:val="0"/>
        <w:spacing w:line="360" w:lineRule="auto"/>
        <w:ind w:firstLine="480" w:firstLineChars="200"/>
        <w:jc w:val="left"/>
        <w:rPr>
          <w:rFonts w:ascii="宋体" w:hAnsi="宋体" w:cs="Calibri"/>
          <w:sz w:val="24"/>
        </w:rPr>
      </w:pPr>
      <w:r>
        <w:rPr>
          <w:rFonts w:hint="eastAsia" w:ascii="宋体" w:hAnsi="宋体" w:cs="宋体"/>
          <w:sz w:val="24"/>
        </w:rPr>
        <w:t>2</w:t>
      </w:r>
      <w:r>
        <w:rPr>
          <w:rFonts w:ascii="宋体" w:hAnsi="宋体" w:cs="宋体"/>
          <w:sz w:val="24"/>
        </w:rPr>
        <w:t>.</w:t>
      </w:r>
      <w:r>
        <w:rPr>
          <w:rFonts w:hint="eastAsia" w:ascii="宋体" w:hAnsi="宋体" w:cs="Calibri"/>
          <w:sz w:val="24"/>
        </w:rPr>
        <w:t>系统需通过有资质的第三方三级等保测评，系统上线前须进行安全性测试和整体安全评估；系统上线前需通过有资质的第三方系统功能、性能测评；由此产生的等保测评费</w:t>
      </w:r>
      <w:r>
        <w:rPr>
          <w:rFonts w:hint="eastAsia" w:ascii="宋体" w:hAnsi="宋体" w:cs="Calibri"/>
          <w:sz w:val="24"/>
          <w:lang w:eastAsia="zh-CN"/>
        </w:rPr>
        <w:t>、</w:t>
      </w:r>
      <w:r>
        <w:rPr>
          <w:rFonts w:hint="eastAsia" w:ascii="宋体" w:hAnsi="宋体" w:cs="Calibri"/>
          <w:sz w:val="24"/>
        </w:rPr>
        <w:t>第三方测评</w:t>
      </w:r>
      <w:r>
        <w:rPr>
          <w:rFonts w:hint="eastAsia" w:ascii="宋体" w:hAnsi="宋体" w:cs="Calibri"/>
          <w:sz w:val="24"/>
          <w:lang w:eastAsia="zh-CN"/>
        </w:rPr>
        <w:t>、等保安全产品（一年）</w:t>
      </w:r>
      <w:r>
        <w:rPr>
          <w:rFonts w:hint="eastAsia" w:ascii="宋体" w:hAnsi="宋体" w:cs="Calibri"/>
          <w:sz w:val="24"/>
        </w:rPr>
        <w:t>费用由中标单位承担。</w:t>
      </w:r>
    </w:p>
    <w:p>
      <w:pPr>
        <w:snapToGrid w:val="0"/>
        <w:spacing w:line="360" w:lineRule="auto"/>
        <w:ind w:firstLine="480" w:firstLineChars="200"/>
        <w:jc w:val="left"/>
        <w:rPr>
          <w:rFonts w:ascii="宋体" w:hAnsi="宋体" w:cs="Calibri"/>
          <w:sz w:val="24"/>
        </w:rPr>
      </w:pPr>
      <w:r>
        <w:rPr>
          <w:rFonts w:hint="eastAsia" w:ascii="宋体" w:hAnsi="宋体" w:cs="宋体"/>
          <w:sz w:val="24"/>
        </w:rPr>
        <w:t>3</w:t>
      </w:r>
      <w:r>
        <w:rPr>
          <w:rFonts w:ascii="宋体" w:hAnsi="宋体" w:cs="宋体"/>
          <w:sz w:val="24"/>
        </w:rPr>
        <w:t>.</w:t>
      </w:r>
      <w:r>
        <w:rPr>
          <w:rFonts w:hint="eastAsia" w:ascii="宋体" w:hAnsi="宋体" w:cs="Calibri"/>
          <w:sz w:val="24"/>
        </w:rPr>
        <w:t>系统需符合商用密码要求，通过密评测试，</w:t>
      </w:r>
      <w:r>
        <w:rPr>
          <w:rFonts w:hint="eastAsia" w:ascii="宋体" w:hAnsi="宋体" w:cs="Calibri"/>
          <w:sz w:val="24"/>
          <w:lang w:eastAsia="zh-CN"/>
        </w:rPr>
        <w:t>测评和商用密码产品（一年）</w:t>
      </w:r>
      <w:r>
        <w:rPr>
          <w:rFonts w:hint="eastAsia" w:ascii="宋体" w:hAnsi="宋体" w:cs="Calibri"/>
          <w:sz w:val="24"/>
        </w:rPr>
        <w:t>费用由中标单位承担。</w:t>
      </w:r>
    </w:p>
    <w:p>
      <w:pPr>
        <w:snapToGrid w:val="0"/>
        <w:spacing w:line="360" w:lineRule="auto"/>
        <w:ind w:firstLine="482" w:firstLineChars="200"/>
        <w:jc w:val="left"/>
        <w:rPr>
          <w:rFonts w:ascii="宋体" w:hAnsi="宋体" w:cs="Calibri"/>
          <w:b/>
          <w:bCs/>
          <w:sz w:val="24"/>
        </w:rPr>
      </w:pPr>
      <w:r>
        <w:rPr>
          <w:rFonts w:hint="eastAsia" w:ascii="宋体" w:hAnsi="宋体" w:cs="Calibri"/>
          <w:b/>
          <w:bCs/>
          <w:sz w:val="24"/>
        </w:rPr>
        <w:t>（五）技术支持与售后服务要求</w:t>
      </w:r>
    </w:p>
    <w:p>
      <w:pPr>
        <w:snapToGrid w:val="0"/>
        <w:spacing w:line="360" w:lineRule="auto"/>
        <w:ind w:firstLine="480" w:firstLineChars="200"/>
        <w:jc w:val="left"/>
        <w:rPr>
          <w:rFonts w:ascii="宋体" w:hAnsi="宋体" w:cs="Calibri"/>
          <w:sz w:val="24"/>
        </w:rPr>
      </w:pPr>
      <w:r>
        <w:rPr>
          <w:rFonts w:hint="eastAsia" w:ascii="宋体" w:hAnsi="宋体" w:cs="Calibri"/>
          <w:sz w:val="24"/>
        </w:rPr>
        <w:t>本项目需提供3年的免费运维期，运维期从验收合格之日开始计算，运维期内，采购方可要求一名工程师常驻现场，服从工作安排。试运行期间需无条件响应并满足用户对系统的修改，并最迟不超过24小时提供免费服务。3年的免费运维期间需及时响应并满足用户对于系统的问题故障处理和缺陷修正。运维期内所有的服务均为免费服务,提供7×24小时电话或电子邮件服务，1小时内做出明确响应和安排，如需专业工程师现场服务的，具有解决故障能力的技术工程师应在2小时内到场。</w:t>
      </w:r>
    </w:p>
    <w:p>
      <w:pPr>
        <w:snapToGrid w:val="0"/>
        <w:spacing w:line="360" w:lineRule="auto"/>
        <w:ind w:firstLine="482" w:firstLineChars="200"/>
        <w:jc w:val="left"/>
        <w:rPr>
          <w:rFonts w:ascii="宋体" w:hAnsi="宋体" w:cs="Calibri"/>
          <w:b/>
          <w:bCs/>
          <w:sz w:val="24"/>
        </w:rPr>
      </w:pPr>
      <w:r>
        <w:rPr>
          <w:rFonts w:hint="eastAsia" w:ascii="宋体" w:hAnsi="宋体" w:cs="Calibri"/>
          <w:b/>
          <w:bCs/>
          <w:sz w:val="24"/>
        </w:rPr>
        <w:t>（六）质量保证要求</w:t>
      </w:r>
    </w:p>
    <w:p>
      <w:pPr>
        <w:spacing w:line="360" w:lineRule="auto"/>
        <w:ind w:firstLine="480" w:firstLineChars="200"/>
        <w:rPr>
          <w:rFonts w:ascii="宋体" w:hAnsi="宋体" w:cs="仿宋"/>
          <w:sz w:val="24"/>
          <w:lang w:val="zh-CN"/>
        </w:rPr>
      </w:pPr>
      <w:r>
        <w:rPr>
          <w:rFonts w:ascii="宋体" w:hAnsi="宋体" w:cs="仿宋"/>
          <w:sz w:val="24"/>
          <w:lang w:val="zh-CN"/>
        </w:rPr>
        <w:t>1.</w:t>
      </w:r>
      <w:r>
        <w:rPr>
          <w:rFonts w:hint="eastAsia" w:ascii="宋体" w:hAnsi="宋体" w:cs="仿宋"/>
          <w:sz w:val="24"/>
          <w:lang w:val="zh-CN"/>
        </w:rPr>
        <w:t>投标人应建立和完善履行合同的内部质量保证体系，并提供相关内部规章制度给采购人，以便甲方进行监督检查。</w:t>
      </w:r>
    </w:p>
    <w:p>
      <w:pPr>
        <w:spacing w:line="360" w:lineRule="auto"/>
        <w:ind w:firstLine="480" w:firstLineChars="200"/>
        <w:rPr>
          <w:rFonts w:ascii="宋体" w:hAnsi="宋体" w:cs="仿宋"/>
          <w:sz w:val="24"/>
          <w:lang w:val="zh-CN"/>
        </w:rPr>
      </w:pPr>
      <w:r>
        <w:rPr>
          <w:rFonts w:ascii="宋体" w:hAnsi="宋体" w:cs="仿宋"/>
          <w:sz w:val="24"/>
          <w:lang w:val="zh-CN"/>
        </w:rPr>
        <w:t>2.</w:t>
      </w:r>
      <w:r>
        <w:rPr>
          <w:rFonts w:hint="eastAsia" w:ascii="宋体" w:hAnsi="宋体" w:cs="仿宋"/>
          <w:sz w:val="24"/>
          <w:lang w:val="zh-CN"/>
        </w:rPr>
        <w:t>投标人应</w:t>
      </w:r>
      <w:r>
        <w:rPr>
          <w:rFonts w:hint="eastAsia" w:ascii="宋体" w:hAnsi="宋体" w:cs="Calibri"/>
          <w:sz w:val="24"/>
        </w:rPr>
        <w:t>提供质量保证计划，</w:t>
      </w:r>
      <w:r>
        <w:rPr>
          <w:rFonts w:hint="eastAsia" w:ascii="宋体" w:hAnsi="宋体" w:cs="仿宋"/>
          <w:sz w:val="24"/>
          <w:lang w:val="zh-CN"/>
        </w:rPr>
        <w:t>保证履行合同的人员数量和素质、软件和硬件设备的配置、场地、环境和设施等满足全面履行合同的要求，并应接受采购人的监督检查。</w:t>
      </w:r>
    </w:p>
    <w:p>
      <w:pPr>
        <w:pStyle w:val="17"/>
        <w:spacing w:line="360" w:lineRule="auto"/>
        <w:ind w:firstLine="480"/>
        <w:rPr>
          <w:rFonts w:hAnsi="宋体" w:cs="Calibri"/>
          <w:color w:val="auto"/>
          <w:sz w:val="24"/>
        </w:rPr>
      </w:pPr>
      <w:r>
        <w:rPr>
          <w:rFonts w:hAnsi="宋体" w:cs="Calibri"/>
          <w:color w:val="auto"/>
          <w:sz w:val="24"/>
        </w:rPr>
        <w:t>3.</w:t>
      </w:r>
      <w:r>
        <w:rPr>
          <w:rFonts w:hint="eastAsia" w:hAnsi="宋体" w:cs="Calibri"/>
          <w:color w:val="auto"/>
          <w:sz w:val="24"/>
        </w:rPr>
        <w:t>按照省、市、区的相关标准要求，软件系统平台应满足数据安全、数据归集要求。</w:t>
      </w:r>
    </w:p>
    <w:p>
      <w:pPr>
        <w:snapToGrid w:val="0"/>
        <w:spacing w:line="360" w:lineRule="auto"/>
        <w:ind w:firstLine="482" w:firstLineChars="200"/>
        <w:jc w:val="left"/>
        <w:rPr>
          <w:rFonts w:ascii="宋体" w:hAnsi="宋体" w:cs="Calibri"/>
          <w:sz w:val="24"/>
        </w:rPr>
      </w:pPr>
      <w:r>
        <w:rPr>
          <w:rFonts w:hint="eastAsia" w:ascii="宋体" w:hAnsi="宋体" w:cs="Calibri"/>
          <w:b/>
          <w:bCs/>
          <w:sz w:val="24"/>
        </w:rPr>
        <w:t>（七）服务保密要求</w:t>
      </w:r>
    </w:p>
    <w:p>
      <w:pPr>
        <w:snapToGrid w:val="0"/>
        <w:spacing w:line="360" w:lineRule="auto"/>
        <w:ind w:firstLine="480" w:firstLineChars="200"/>
        <w:jc w:val="left"/>
        <w:rPr>
          <w:rFonts w:ascii="宋体" w:hAnsi="宋体" w:cs="Calibri"/>
          <w:sz w:val="24"/>
        </w:rPr>
      </w:pPr>
      <w:r>
        <w:rPr>
          <w:rFonts w:hint="eastAsia" w:ascii="宋体" w:hAnsi="宋体" w:cs="Calibri"/>
          <w:sz w:val="24"/>
        </w:rPr>
        <w:t>中标方须在签订合同时，与采购人签订保密协议。</w:t>
      </w:r>
    </w:p>
    <w:p>
      <w:pPr>
        <w:pStyle w:val="257"/>
        <w:ind w:firstLine="0" w:firstLineChars="0"/>
        <w:rPr>
          <w:rFonts w:ascii="宋体" w:hAnsi="宋体" w:eastAsia="宋体"/>
          <w:b/>
          <w:bCs/>
          <w:sz w:val="28"/>
          <w:szCs w:val="28"/>
        </w:rPr>
      </w:pPr>
      <w:r>
        <w:rPr>
          <w:rFonts w:hint="eastAsia" w:ascii="宋体" w:hAnsi="宋体" w:eastAsia="宋体"/>
          <w:b/>
          <w:bCs/>
          <w:sz w:val="28"/>
          <w:szCs w:val="28"/>
        </w:rPr>
        <w:t>七、建设要求</w:t>
      </w:r>
    </w:p>
    <w:p>
      <w:pPr>
        <w:pStyle w:val="17"/>
        <w:spacing w:line="360" w:lineRule="auto"/>
        <w:ind w:firstLine="480" w:firstLineChars="200"/>
        <w:rPr>
          <w:rFonts w:hAnsi="宋体" w:cs="仿宋"/>
          <w:snapToGrid/>
          <w:color w:val="auto"/>
          <w:kern w:val="0"/>
          <w:sz w:val="24"/>
          <w:szCs w:val="24"/>
        </w:rPr>
      </w:pPr>
      <w:r>
        <w:rPr>
          <w:rFonts w:hint="eastAsia" w:hAnsi="宋体" w:cs="仿宋"/>
          <w:snapToGrid/>
          <w:color w:val="auto"/>
          <w:kern w:val="0"/>
          <w:sz w:val="24"/>
          <w:szCs w:val="24"/>
        </w:rPr>
        <w:t>1</w:t>
      </w:r>
      <w:r>
        <w:rPr>
          <w:rFonts w:hAnsi="宋体" w:cs="仿宋"/>
          <w:snapToGrid/>
          <w:color w:val="auto"/>
          <w:kern w:val="0"/>
          <w:sz w:val="24"/>
          <w:szCs w:val="24"/>
        </w:rPr>
        <w:t>.</w:t>
      </w:r>
      <w:r>
        <w:rPr>
          <w:rFonts w:hint="eastAsia" w:hAnsi="宋体" w:cs="仿宋"/>
          <w:snapToGrid/>
          <w:color w:val="auto"/>
          <w:kern w:val="0"/>
          <w:sz w:val="24"/>
          <w:szCs w:val="24"/>
        </w:rPr>
        <w:t>系统（驾驶舱）界面的布局、文字、颜色、导航等内容应按照市城管局统一规范进行开发。</w:t>
      </w:r>
    </w:p>
    <w:p>
      <w:pPr>
        <w:pStyle w:val="17"/>
        <w:spacing w:line="360" w:lineRule="auto"/>
        <w:ind w:firstLine="480" w:firstLineChars="200"/>
        <w:rPr>
          <w:rFonts w:hAnsi="宋体" w:cs="仿宋"/>
          <w:snapToGrid/>
          <w:color w:val="auto"/>
          <w:kern w:val="0"/>
          <w:sz w:val="24"/>
          <w:szCs w:val="24"/>
        </w:rPr>
      </w:pPr>
      <w:r>
        <w:rPr>
          <w:rFonts w:hint="eastAsia" w:hAnsi="宋体" w:cs="仿宋"/>
          <w:snapToGrid/>
          <w:color w:val="auto"/>
          <w:kern w:val="0"/>
          <w:sz w:val="24"/>
          <w:szCs w:val="24"/>
        </w:rPr>
        <w:t>2.建设系统驾驶舱（包括手机版）应按照市城管局统一规范进行开发。</w:t>
      </w:r>
    </w:p>
    <w:p>
      <w:pPr>
        <w:pStyle w:val="17"/>
        <w:spacing w:line="360" w:lineRule="auto"/>
        <w:ind w:firstLine="480" w:firstLineChars="200"/>
        <w:rPr>
          <w:rFonts w:hAnsi="宋体" w:cs="仿宋"/>
          <w:snapToGrid/>
          <w:color w:val="auto"/>
          <w:kern w:val="0"/>
          <w:sz w:val="24"/>
          <w:szCs w:val="24"/>
        </w:rPr>
      </w:pPr>
      <w:r>
        <w:rPr>
          <w:rFonts w:hint="eastAsia" w:hAnsi="宋体" w:cs="仿宋"/>
          <w:snapToGrid/>
          <w:color w:val="auto"/>
          <w:kern w:val="0"/>
          <w:sz w:val="24"/>
          <w:szCs w:val="24"/>
        </w:rPr>
        <w:t>3.系统包含地图建设内容的，地图服务应统一调用市城管局GIS平台。</w:t>
      </w:r>
    </w:p>
    <w:p>
      <w:pPr>
        <w:pStyle w:val="17"/>
        <w:spacing w:line="360" w:lineRule="auto"/>
        <w:ind w:firstLine="480" w:firstLineChars="200"/>
        <w:rPr>
          <w:rFonts w:hAnsi="宋体" w:cs="仿宋"/>
          <w:snapToGrid/>
          <w:color w:val="auto"/>
          <w:kern w:val="0"/>
          <w:sz w:val="24"/>
          <w:szCs w:val="24"/>
        </w:rPr>
      </w:pPr>
      <w:r>
        <w:rPr>
          <w:rFonts w:hint="eastAsia" w:hAnsi="宋体" w:cs="仿宋"/>
          <w:snapToGrid/>
          <w:color w:val="auto"/>
          <w:kern w:val="0"/>
          <w:sz w:val="24"/>
          <w:szCs w:val="24"/>
        </w:rPr>
        <w:t>4.项目新增物联感知设备应统一先接入到市城管局物联网平台，使用物联感知设备数据应统一通过物联网平台调用。</w:t>
      </w:r>
    </w:p>
    <w:p>
      <w:pPr>
        <w:pStyle w:val="17"/>
        <w:spacing w:line="360" w:lineRule="auto"/>
        <w:ind w:firstLine="480" w:firstLineChars="200"/>
        <w:rPr>
          <w:rFonts w:hAnsi="宋体" w:cs="仿宋"/>
          <w:snapToGrid/>
          <w:color w:val="auto"/>
          <w:kern w:val="0"/>
          <w:sz w:val="24"/>
          <w:szCs w:val="24"/>
        </w:rPr>
      </w:pPr>
      <w:r>
        <w:rPr>
          <w:rFonts w:hint="eastAsia" w:hAnsi="宋体" w:cs="仿宋"/>
          <w:snapToGrid/>
          <w:color w:val="auto"/>
          <w:kern w:val="0"/>
          <w:sz w:val="24"/>
          <w:szCs w:val="24"/>
        </w:rPr>
        <w:t>5.项目新增视频资源应统一先接入到市城管局流媒体平台，同时于VPN2网络环境下采用GB28181协议进行对接交互，使用视频资源统一通过流媒体平台调用。</w:t>
      </w:r>
    </w:p>
    <w:p>
      <w:pPr>
        <w:pStyle w:val="17"/>
        <w:spacing w:line="360" w:lineRule="auto"/>
        <w:ind w:firstLine="480" w:firstLineChars="200"/>
        <w:rPr>
          <w:rFonts w:hAnsi="宋体" w:cs="仿宋"/>
          <w:snapToGrid/>
          <w:color w:val="auto"/>
          <w:kern w:val="0"/>
          <w:sz w:val="24"/>
          <w:szCs w:val="24"/>
        </w:rPr>
      </w:pPr>
      <w:r>
        <w:rPr>
          <w:rFonts w:hint="eastAsia" w:hAnsi="宋体" w:cs="仿宋"/>
          <w:snapToGrid/>
          <w:color w:val="auto"/>
          <w:kern w:val="0"/>
          <w:sz w:val="24"/>
          <w:szCs w:val="24"/>
        </w:rPr>
        <w:t>6</w:t>
      </w:r>
      <w:r>
        <w:rPr>
          <w:rFonts w:hAnsi="宋体" w:cs="仿宋"/>
          <w:snapToGrid/>
          <w:color w:val="auto"/>
          <w:kern w:val="0"/>
          <w:sz w:val="24"/>
          <w:szCs w:val="24"/>
        </w:rPr>
        <w:t>.</w:t>
      </w:r>
      <w:r>
        <w:rPr>
          <w:rFonts w:hint="eastAsia" w:hAnsi="宋体" w:cs="仿宋"/>
          <w:snapToGrid/>
          <w:color w:val="auto"/>
          <w:kern w:val="0"/>
          <w:sz w:val="24"/>
          <w:szCs w:val="24"/>
        </w:rPr>
        <w:t>系统用户体系应统一使用市城管局用户中心，实现用户单点登录。</w:t>
      </w:r>
    </w:p>
    <w:p>
      <w:pPr>
        <w:pStyle w:val="17"/>
        <w:spacing w:line="360" w:lineRule="auto"/>
        <w:ind w:firstLine="480" w:firstLineChars="200"/>
        <w:rPr>
          <w:rFonts w:hAnsi="宋体" w:cs="仿宋"/>
          <w:snapToGrid/>
          <w:color w:val="auto"/>
          <w:kern w:val="0"/>
          <w:sz w:val="24"/>
          <w:szCs w:val="24"/>
        </w:rPr>
      </w:pPr>
      <w:r>
        <w:rPr>
          <w:rFonts w:hint="eastAsia" w:hAnsi="宋体" w:cs="仿宋"/>
          <w:snapToGrid/>
          <w:color w:val="auto"/>
          <w:kern w:val="0"/>
          <w:sz w:val="24"/>
          <w:szCs w:val="24"/>
        </w:rPr>
        <w:t>7.系统建设包含AI识别、图片识别、视频识别等算法应先统一部署至市城管局视频算法平台，再通过算法平台统一调用。</w:t>
      </w:r>
    </w:p>
    <w:p>
      <w:pPr>
        <w:pStyle w:val="17"/>
        <w:spacing w:line="360" w:lineRule="auto"/>
        <w:ind w:firstLine="480" w:firstLineChars="200"/>
        <w:rPr>
          <w:rFonts w:hAnsi="宋体" w:cs="仿宋"/>
          <w:snapToGrid/>
          <w:color w:val="auto"/>
          <w:kern w:val="0"/>
          <w:sz w:val="24"/>
          <w:szCs w:val="24"/>
        </w:rPr>
      </w:pPr>
      <w:r>
        <w:rPr>
          <w:rFonts w:hint="eastAsia" w:hAnsi="宋体" w:cs="仿宋"/>
          <w:snapToGrid/>
          <w:color w:val="auto"/>
          <w:kern w:val="0"/>
          <w:sz w:val="24"/>
          <w:szCs w:val="24"/>
        </w:rPr>
        <w:t>8.系统产生的事件问题应接入市城管局事件中枢，再由事件中枢统一汇聚和分拨。</w:t>
      </w:r>
    </w:p>
    <w:p>
      <w:pPr>
        <w:pStyle w:val="17"/>
        <w:spacing w:line="360" w:lineRule="auto"/>
        <w:ind w:firstLine="480" w:firstLineChars="200"/>
        <w:rPr>
          <w:rFonts w:hAnsi="宋体" w:cs="仿宋"/>
          <w:snapToGrid/>
          <w:color w:val="auto"/>
          <w:kern w:val="0"/>
          <w:sz w:val="24"/>
          <w:szCs w:val="24"/>
        </w:rPr>
      </w:pPr>
      <w:r>
        <w:rPr>
          <w:rFonts w:hint="eastAsia" w:hAnsi="宋体" w:cs="仿宋"/>
          <w:snapToGrid/>
          <w:color w:val="auto"/>
          <w:kern w:val="0"/>
          <w:sz w:val="24"/>
          <w:szCs w:val="24"/>
        </w:rPr>
        <w:t>9.上架浙里办应用，应按照市城管局“贴心城管”应用发布统一规范进行开发。</w:t>
      </w:r>
    </w:p>
    <w:p>
      <w:pPr>
        <w:pStyle w:val="17"/>
        <w:spacing w:line="360" w:lineRule="auto"/>
        <w:ind w:firstLine="480" w:firstLineChars="200"/>
        <w:rPr>
          <w:rFonts w:hAnsi="宋体" w:cs="仿宋"/>
          <w:snapToGrid/>
          <w:color w:val="auto"/>
          <w:kern w:val="0"/>
          <w:sz w:val="24"/>
          <w:szCs w:val="24"/>
        </w:rPr>
      </w:pPr>
      <w:r>
        <w:rPr>
          <w:rFonts w:hint="eastAsia" w:hAnsi="宋体" w:cs="仿宋"/>
          <w:snapToGrid/>
          <w:color w:val="auto"/>
          <w:kern w:val="0"/>
          <w:sz w:val="24"/>
          <w:szCs w:val="24"/>
        </w:rPr>
        <w:t>10.上架浙政钉应用，应按照市城管局“城管工作台”应用发布统一规范进行开发。</w:t>
      </w:r>
    </w:p>
    <w:p>
      <w:pPr>
        <w:pStyle w:val="17"/>
        <w:spacing w:line="360" w:lineRule="auto"/>
        <w:ind w:firstLine="480" w:firstLineChars="200"/>
        <w:rPr>
          <w:rFonts w:hAnsi="宋体" w:cs="仿宋"/>
          <w:snapToGrid/>
          <w:color w:val="auto"/>
          <w:kern w:val="0"/>
          <w:sz w:val="24"/>
          <w:szCs w:val="24"/>
        </w:rPr>
      </w:pPr>
      <w:r>
        <w:rPr>
          <w:rFonts w:hint="eastAsia" w:hAnsi="宋体" w:cs="仿宋"/>
          <w:snapToGrid/>
          <w:color w:val="auto"/>
          <w:kern w:val="0"/>
          <w:sz w:val="24"/>
          <w:szCs w:val="24"/>
        </w:rPr>
        <w:t>11.后台日志管理应按照市城管局统一规范要求进行开发。</w:t>
      </w:r>
    </w:p>
    <w:p>
      <w:pPr>
        <w:pStyle w:val="17"/>
        <w:spacing w:line="360" w:lineRule="auto"/>
        <w:ind w:firstLine="480" w:firstLineChars="200"/>
        <w:rPr>
          <w:rFonts w:hAnsi="宋体" w:cs="仿宋"/>
          <w:snapToGrid/>
          <w:color w:val="auto"/>
          <w:kern w:val="0"/>
          <w:sz w:val="24"/>
          <w:szCs w:val="24"/>
        </w:rPr>
      </w:pPr>
      <w:r>
        <w:rPr>
          <w:rFonts w:hint="eastAsia" w:hAnsi="宋体" w:cs="仿宋"/>
          <w:snapToGrid/>
          <w:color w:val="auto"/>
          <w:kern w:val="0"/>
          <w:sz w:val="24"/>
          <w:szCs w:val="24"/>
        </w:rPr>
        <w:t>12.系统产生的数据应统一编目归集。</w:t>
      </w:r>
    </w:p>
    <w:p>
      <w:pPr>
        <w:pStyle w:val="17"/>
        <w:spacing w:line="360" w:lineRule="auto"/>
        <w:ind w:firstLine="480" w:firstLineChars="200"/>
        <w:rPr>
          <w:rFonts w:hAnsi="宋体" w:cs="仿宋"/>
          <w:snapToGrid/>
          <w:color w:val="auto"/>
          <w:kern w:val="0"/>
          <w:sz w:val="24"/>
          <w:szCs w:val="24"/>
        </w:rPr>
      </w:pPr>
      <w:r>
        <w:rPr>
          <w:rFonts w:hint="eastAsia" w:hAnsi="宋体" w:cs="仿宋"/>
          <w:snapToGrid/>
          <w:color w:val="auto"/>
          <w:kern w:val="0"/>
          <w:sz w:val="24"/>
          <w:szCs w:val="24"/>
        </w:rPr>
        <w:t>13.系统待办事项应统一集成到市城管局统一工作台。</w:t>
      </w:r>
    </w:p>
    <w:p>
      <w:pPr>
        <w:pStyle w:val="17"/>
        <w:spacing w:line="360" w:lineRule="auto"/>
        <w:ind w:firstLine="480" w:firstLineChars="200"/>
        <w:rPr>
          <w:rFonts w:hAnsi="宋体" w:cs="仿宋"/>
          <w:snapToGrid/>
          <w:color w:val="auto"/>
          <w:kern w:val="0"/>
          <w:sz w:val="24"/>
          <w:szCs w:val="24"/>
        </w:rPr>
      </w:pPr>
      <w:r>
        <w:rPr>
          <w:rFonts w:hint="eastAsia" w:hAnsi="宋体" w:cs="仿宋"/>
          <w:snapToGrid/>
          <w:color w:val="auto"/>
          <w:kern w:val="0"/>
          <w:sz w:val="24"/>
          <w:szCs w:val="24"/>
        </w:rPr>
        <w:t>14.系统页面应调用统一水印。</w:t>
      </w:r>
    </w:p>
    <w:p>
      <w:pPr>
        <w:pStyle w:val="17"/>
        <w:spacing w:line="360" w:lineRule="auto"/>
        <w:ind w:firstLine="480" w:firstLineChars="200"/>
        <w:rPr>
          <w:rFonts w:hAnsi="宋体" w:cs="仿宋"/>
          <w:snapToGrid/>
          <w:color w:val="auto"/>
          <w:kern w:val="0"/>
          <w:sz w:val="24"/>
          <w:szCs w:val="24"/>
        </w:rPr>
      </w:pPr>
      <w:r>
        <w:rPr>
          <w:rFonts w:hint="eastAsia" w:hAnsi="宋体" w:cs="仿宋"/>
          <w:snapToGrid/>
          <w:color w:val="auto"/>
          <w:kern w:val="0"/>
          <w:sz w:val="24"/>
          <w:szCs w:val="24"/>
        </w:rPr>
        <w:t>15.系统应部署在政务云平台。</w:t>
      </w:r>
    </w:p>
    <w:p>
      <w:pPr>
        <w:pStyle w:val="17"/>
        <w:spacing w:line="360" w:lineRule="auto"/>
        <w:ind w:firstLine="480" w:firstLineChars="200"/>
        <w:rPr>
          <w:rFonts w:hAnsi="宋体" w:cs="仿宋"/>
          <w:snapToGrid/>
          <w:color w:val="auto"/>
          <w:kern w:val="0"/>
          <w:sz w:val="24"/>
          <w:szCs w:val="24"/>
        </w:rPr>
      </w:pPr>
      <w:r>
        <w:rPr>
          <w:rFonts w:hint="eastAsia" w:hAnsi="宋体" w:cs="仿宋"/>
          <w:snapToGrid/>
          <w:color w:val="auto"/>
          <w:kern w:val="0"/>
          <w:sz w:val="24"/>
          <w:szCs w:val="24"/>
        </w:rPr>
        <w:t>16.系统应满足国产化终端系统要求。</w:t>
      </w:r>
    </w:p>
    <w:p>
      <w:pPr>
        <w:pStyle w:val="257"/>
        <w:ind w:firstLine="0" w:firstLineChars="0"/>
        <w:rPr>
          <w:rFonts w:ascii="宋体" w:hAnsi="宋体" w:eastAsia="宋体"/>
          <w:b/>
          <w:bCs/>
          <w:sz w:val="28"/>
          <w:szCs w:val="28"/>
        </w:rPr>
      </w:pPr>
      <w:r>
        <w:rPr>
          <w:rFonts w:hint="eastAsia" w:ascii="宋体" w:hAnsi="宋体" w:eastAsia="宋体"/>
          <w:b/>
          <w:bCs/>
          <w:sz w:val="28"/>
          <w:szCs w:val="28"/>
        </w:rPr>
        <w:t>八、网络安全要求</w:t>
      </w:r>
    </w:p>
    <w:p>
      <w:pPr>
        <w:pStyle w:val="17"/>
        <w:spacing w:line="360" w:lineRule="auto"/>
        <w:ind w:firstLine="480" w:firstLineChars="200"/>
        <w:rPr>
          <w:rFonts w:hAnsi="宋体" w:cs="仿宋"/>
          <w:snapToGrid/>
          <w:color w:val="auto"/>
          <w:kern w:val="0"/>
          <w:sz w:val="24"/>
          <w:szCs w:val="24"/>
        </w:rPr>
      </w:pPr>
      <w:r>
        <w:rPr>
          <w:rFonts w:hint="eastAsia" w:hAnsi="宋体" w:cs="仿宋"/>
          <w:snapToGrid/>
          <w:color w:val="auto"/>
          <w:kern w:val="0"/>
          <w:sz w:val="24"/>
          <w:szCs w:val="24"/>
        </w:rPr>
        <w:t>1、根据《浙江省信息技术服务外包网络安全管理办法》相关要求，中标方应全面落实《网络安全法》等法规标准，加强对拟派本项目团队的人员管理，设置专门网络安全管理机构和网络安全管理负责人，并对该负责人和关键岗位人员进行安全背景审查；定期对从业人员进行网络安全教育、技术培训和技能考核；制定网络安全事件应急预案并定期进行演练。</w:t>
      </w:r>
    </w:p>
    <w:p>
      <w:pPr>
        <w:pStyle w:val="17"/>
        <w:spacing w:line="360" w:lineRule="auto"/>
        <w:rPr>
          <w:rFonts w:hAnsi="宋体" w:cs="仿宋"/>
          <w:snapToGrid/>
          <w:color w:val="auto"/>
          <w:kern w:val="0"/>
          <w:sz w:val="24"/>
          <w:szCs w:val="24"/>
        </w:rPr>
      </w:pPr>
      <w:r>
        <w:rPr>
          <w:rFonts w:hint="eastAsia" w:hAnsi="宋体" w:cs="仿宋"/>
          <w:snapToGrid/>
          <w:color w:val="auto"/>
          <w:kern w:val="0"/>
          <w:sz w:val="24"/>
          <w:szCs w:val="24"/>
        </w:rPr>
        <w:t>2、中标方不得制造或者故意输入、传播计算机病毒和其他有害数据，不得利用非法手段复制、截收、篡改计算机信息系统中的数据。项目实施人员禁止利用扫描、监听、伪装等工具对网络和服务器进行恶意攻击，禁止非法侵入他人网络和服务器系统，禁止利用计算机和网络干扰他人正常工作行为。</w:t>
      </w:r>
    </w:p>
    <w:p>
      <w:pPr>
        <w:pStyle w:val="17"/>
        <w:spacing w:line="360" w:lineRule="auto"/>
        <w:rPr>
          <w:rFonts w:hAnsi="宋体" w:cs="仿宋"/>
          <w:snapToGrid/>
          <w:color w:val="auto"/>
          <w:kern w:val="0"/>
          <w:sz w:val="24"/>
          <w:szCs w:val="24"/>
        </w:rPr>
      </w:pPr>
      <w:r>
        <w:rPr>
          <w:rFonts w:hint="eastAsia" w:hAnsi="宋体" w:cs="仿宋"/>
          <w:snapToGrid/>
          <w:color w:val="auto"/>
          <w:kern w:val="0"/>
          <w:sz w:val="24"/>
          <w:szCs w:val="24"/>
        </w:rPr>
        <w:t>3、中标方应严格遵守《中华人民共和国网络安全法》《中华人民共和国数据安全法》《中华人民共和国个人信息保护法》《计算机信息网络国际互联网安全保护管理办法》等法律法规，建立健全全流程数据安全管理制度，组织开展数据安全教育培训，保障数据安全；采取技术措施和其他必要措施，保障网络安全、稳定运行，有效应对网络安全事件，防范网络违法犯罪活动，维护网络数据的完整性、保密性和可用性；不得从事危害国家安全、公共利益的信息处理活动。</w:t>
      </w:r>
    </w:p>
    <w:p>
      <w:pPr>
        <w:pStyle w:val="17"/>
        <w:spacing w:line="360" w:lineRule="auto"/>
        <w:rPr>
          <w:rFonts w:hAnsi="宋体" w:cs="仿宋"/>
          <w:snapToGrid/>
          <w:color w:val="auto"/>
          <w:kern w:val="0"/>
          <w:sz w:val="24"/>
          <w:szCs w:val="24"/>
        </w:rPr>
      </w:pPr>
      <w:r>
        <w:rPr>
          <w:rFonts w:hint="eastAsia" w:hAnsi="宋体" w:cs="仿宋"/>
          <w:snapToGrid/>
          <w:color w:val="auto"/>
          <w:kern w:val="0"/>
          <w:sz w:val="24"/>
          <w:szCs w:val="24"/>
        </w:rPr>
        <w:t>4、中标方实施项目时，应提出数据安全控制要求，并提出有效的数据安全技术手段，开发测试环境数据安全管理和数据防泄漏管理的级别不低于生产环境；数据从生产业务环境导入开发、测试环境时，须获得授权；数据从生产环境导入开发、测试环境时，须采取有效措施进行脱敏；数据从生产环境导入开发、测试环境时，在使用移动介质导入时，须使用专用、受控的存储介质，介质上的数据须加密；项目运维人员原则上须在受控终端上开展工作，任何终端未经授权，不得接入开发、测试与生产环境；未经授权，任何人员不得将开发、测试、生产环境中的数据带离开发、测试、生产环境。</w:t>
      </w:r>
    </w:p>
    <w:p>
      <w:pPr>
        <w:pStyle w:val="257"/>
        <w:ind w:firstLine="0" w:firstLineChars="0"/>
        <w:rPr>
          <w:rFonts w:ascii="宋体" w:hAnsi="宋体" w:eastAsia="宋体"/>
          <w:b/>
          <w:bCs/>
          <w:sz w:val="28"/>
          <w:szCs w:val="28"/>
        </w:rPr>
      </w:pPr>
      <w:r>
        <w:rPr>
          <w:rFonts w:hint="eastAsia" w:ascii="宋体" w:hAnsi="宋体" w:eastAsia="宋体"/>
          <w:b/>
          <w:bCs/>
          <w:sz w:val="28"/>
          <w:szCs w:val="28"/>
        </w:rPr>
        <w:t>九、项目进度要求</w:t>
      </w:r>
    </w:p>
    <w:p>
      <w:pPr>
        <w:snapToGrid w:val="0"/>
        <w:spacing w:line="360" w:lineRule="auto"/>
        <w:ind w:firstLine="480" w:firstLineChars="200"/>
        <w:jc w:val="left"/>
        <w:rPr>
          <w:rFonts w:hint="eastAsia" w:ascii="宋体" w:hAnsi="宋体" w:cs="仿宋"/>
          <w:kern w:val="0"/>
          <w:sz w:val="24"/>
        </w:rPr>
      </w:pPr>
      <w:r>
        <w:rPr>
          <w:rFonts w:hint="eastAsia" w:ascii="宋体" w:hAnsi="宋体" w:cs="仿宋"/>
          <w:kern w:val="0"/>
          <w:sz w:val="24"/>
        </w:rPr>
        <w:t>在2024年2月下旬完成初验，试运行1个月正常后，3月下旬完成终验，免费运维期3年。</w:t>
      </w:r>
    </w:p>
    <w:p>
      <w:pPr>
        <w:pStyle w:val="257"/>
        <w:ind w:firstLine="0" w:firstLineChars="0"/>
        <w:rPr>
          <w:rFonts w:ascii="宋体" w:hAnsi="宋体" w:eastAsia="宋体"/>
          <w:b/>
          <w:bCs/>
          <w:sz w:val="28"/>
          <w:szCs w:val="28"/>
        </w:rPr>
      </w:pPr>
      <w:r>
        <w:rPr>
          <w:rFonts w:hint="eastAsia" w:ascii="宋体" w:hAnsi="宋体" w:eastAsia="宋体"/>
          <w:b/>
          <w:bCs/>
          <w:sz w:val="28"/>
          <w:szCs w:val="28"/>
        </w:rPr>
        <w:t>十、付款方式</w:t>
      </w:r>
    </w:p>
    <w:p>
      <w:pPr>
        <w:spacing w:line="360" w:lineRule="auto"/>
        <w:ind w:firstLine="480" w:firstLineChars="200"/>
        <w:rPr>
          <w:rFonts w:ascii="宋体" w:hAnsi="宋体" w:cs="仿宋"/>
          <w:sz w:val="24"/>
          <w:lang w:val="en"/>
        </w:rPr>
      </w:pPr>
      <w:r>
        <w:rPr>
          <w:rFonts w:hint="eastAsia" w:ascii="宋体" w:hAnsi="宋体" w:cs="仿宋"/>
          <w:sz w:val="24"/>
          <w:lang w:val="zh-CN"/>
        </w:rPr>
        <w:t>采用分期付款方式</w:t>
      </w:r>
      <w:r>
        <w:rPr>
          <w:rFonts w:hint="eastAsia" w:ascii="宋体" w:hAnsi="宋体" w:cs="仿宋"/>
          <w:sz w:val="24"/>
          <w:lang w:val="en"/>
        </w:rPr>
        <w:t>：</w:t>
      </w:r>
    </w:p>
    <w:p>
      <w:pPr>
        <w:spacing w:line="360" w:lineRule="auto"/>
        <w:ind w:firstLine="480" w:firstLineChars="200"/>
        <w:rPr>
          <w:rFonts w:ascii="宋体" w:hAnsi="宋体" w:cs="仿宋"/>
          <w:sz w:val="24"/>
          <w:lang w:val="en"/>
        </w:rPr>
      </w:pPr>
      <w:r>
        <w:rPr>
          <w:rFonts w:hint="eastAsia" w:ascii="宋体" w:hAnsi="宋体" w:cs="仿宋"/>
          <w:sz w:val="24"/>
          <w:lang w:val="en"/>
        </w:rPr>
        <w:t>第一期付款：合同签订且采购人收到履约保证金（</w:t>
      </w:r>
      <w:r>
        <w:rPr>
          <w:rFonts w:hint="eastAsia" w:ascii="宋体" w:hAnsi="宋体" w:cs="仿宋"/>
          <w:sz w:val="24"/>
        </w:rPr>
        <w:t>合同金额的0.3%</w:t>
      </w:r>
      <w:r>
        <w:rPr>
          <w:rFonts w:hint="eastAsia" w:ascii="宋体" w:hAnsi="宋体" w:cs="仿宋"/>
          <w:sz w:val="24"/>
          <w:lang w:val="en"/>
        </w:rPr>
        <w:t>）后，收到供应商开具的等额发票和</w:t>
      </w:r>
      <w:r>
        <w:rPr>
          <w:rFonts w:ascii="宋体" w:hAnsi="宋体"/>
          <w:sz w:val="24"/>
        </w:rPr>
        <w:t>预付款保函</w:t>
      </w:r>
      <w:r>
        <w:rPr>
          <w:rFonts w:hint="eastAsia" w:ascii="宋体" w:hAnsi="宋体" w:cs="仿宋"/>
          <w:sz w:val="24"/>
          <w:lang w:val="en"/>
        </w:rPr>
        <w:t>后</w:t>
      </w:r>
      <w:r>
        <w:rPr>
          <w:rFonts w:ascii="宋体" w:hAnsi="宋体" w:cs="仿宋"/>
          <w:sz w:val="24"/>
          <w:lang w:val="en"/>
        </w:rPr>
        <w:t>5</w:t>
      </w:r>
      <w:r>
        <w:rPr>
          <w:rFonts w:hint="eastAsia" w:ascii="宋体" w:hAnsi="宋体" w:cs="仿宋"/>
          <w:sz w:val="24"/>
          <w:lang w:val="en"/>
        </w:rPr>
        <w:t>个工作日内，支付</w:t>
      </w:r>
      <w:r>
        <w:rPr>
          <w:rFonts w:hint="eastAsia" w:ascii="宋体" w:hAnsi="宋体" w:cs="仿宋"/>
          <w:sz w:val="24"/>
        </w:rPr>
        <w:t>338.7万元</w:t>
      </w:r>
      <w:r>
        <w:rPr>
          <w:rFonts w:hint="eastAsia" w:ascii="宋体" w:hAnsi="宋体" w:cs="仿宋"/>
          <w:sz w:val="24"/>
          <w:lang w:val="en"/>
        </w:rPr>
        <w:t>作为项目启动资金；</w:t>
      </w:r>
    </w:p>
    <w:p>
      <w:pPr>
        <w:spacing w:line="360" w:lineRule="auto"/>
        <w:ind w:firstLine="480" w:firstLineChars="200"/>
        <w:rPr>
          <w:rFonts w:ascii="宋体" w:hAnsi="宋体" w:cs="仿宋"/>
          <w:sz w:val="24"/>
          <w:lang w:val="en"/>
        </w:rPr>
      </w:pPr>
      <w:r>
        <w:rPr>
          <w:rFonts w:hint="eastAsia" w:ascii="宋体" w:hAnsi="宋体" w:cs="仿宋"/>
          <w:sz w:val="24"/>
          <w:lang w:val="en"/>
        </w:rPr>
        <w:t>第二期付款：项目通过初验后，供应商可向采购人申请支付合同余款的</w:t>
      </w:r>
      <w:r>
        <w:rPr>
          <w:rFonts w:hint="eastAsia" w:ascii="宋体" w:hAnsi="宋体" w:cs="仿宋"/>
          <w:sz w:val="24"/>
        </w:rPr>
        <w:t>50</w:t>
      </w:r>
      <w:r>
        <w:rPr>
          <w:rFonts w:hint="eastAsia" w:ascii="宋体" w:hAnsi="宋体" w:cs="仿宋"/>
          <w:sz w:val="24"/>
          <w:lang w:val="en"/>
        </w:rPr>
        <w:t>%，采购人收到供应商开具的发票后</w:t>
      </w:r>
      <w:r>
        <w:rPr>
          <w:rFonts w:ascii="宋体" w:hAnsi="宋体" w:cs="仿宋"/>
          <w:sz w:val="24"/>
          <w:lang w:val="en"/>
        </w:rPr>
        <w:t>5</w:t>
      </w:r>
      <w:r>
        <w:rPr>
          <w:rFonts w:hint="eastAsia" w:ascii="宋体" w:hAnsi="宋体" w:cs="仿宋"/>
          <w:sz w:val="24"/>
          <w:lang w:val="en"/>
        </w:rPr>
        <w:t>个工作日内支付款项；</w:t>
      </w:r>
    </w:p>
    <w:p>
      <w:pPr>
        <w:spacing w:line="360" w:lineRule="auto"/>
        <w:ind w:firstLine="480" w:firstLineChars="200"/>
        <w:rPr>
          <w:rFonts w:ascii="宋体" w:hAnsi="宋体" w:cs="仿宋"/>
          <w:sz w:val="24"/>
          <w:lang w:val="en"/>
        </w:rPr>
      </w:pPr>
      <w:r>
        <w:rPr>
          <w:rFonts w:hint="eastAsia" w:ascii="宋体" w:hAnsi="宋体" w:cs="仿宋"/>
          <w:sz w:val="24"/>
          <w:lang w:val="en"/>
        </w:rPr>
        <w:t>第三期付款：项目通过终验后，供应商可向采购人申请支付合同余款，采购人收到供应商开具的发票后</w:t>
      </w:r>
      <w:r>
        <w:rPr>
          <w:rFonts w:ascii="宋体" w:hAnsi="宋体" w:cs="仿宋"/>
          <w:sz w:val="24"/>
          <w:lang w:val="en"/>
        </w:rPr>
        <w:t>5</w:t>
      </w:r>
      <w:r>
        <w:rPr>
          <w:rFonts w:hint="eastAsia" w:ascii="宋体" w:hAnsi="宋体" w:cs="仿宋"/>
          <w:sz w:val="24"/>
          <w:lang w:val="en"/>
        </w:rPr>
        <w:t>个工作日内支付款项。</w:t>
      </w:r>
    </w:p>
    <w:p>
      <w:pPr>
        <w:pStyle w:val="257"/>
        <w:ind w:firstLine="0" w:firstLineChars="0"/>
        <w:rPr>
          <w:rFonts w:ascii="宋体" w:hAnsi="宋体" w:eastAsia="宋体"/>
          <w:b/>
          <w:bCs/>
          <w:sz w:val="28"/>
          <w:szCs w:val="28"/>
        </w:rPr>
      </w:pPr>
      <w:r>
        <w:rPr>
          <w:rFonts w:hint="eastAsia" w:ascii="宋体" w:hAnsi="宋体" w:eastAsia="宋体"/>
          <w:b/>
          <w:bCs/>
          <w:sz w:val="28"/>
          <w:szCs w:val="28"/>
        </w:rPr>
        <w:t>十一、验收要求</w:t>
      </w:r>
    </w:p>
    <w:p>
      <w:pPr>
        <w:spacing w:line="360" w:lineRule="auto"/>
        <w:ind w:firstLine="480" w:firstLineChars="200"/>
        <w:rPr>
          <w:rFonts w:ascii="宋体" w:hAnsi="宋体" w:cs="仿宋"/>
          <w:sz w:val="24"/>
          <w:lang w:val="en"/>
        </w:rPr>
      </w:pPr>
      <w:r>
        <w:rPr>
          <w:rFonts w:hint="eastAsia" w:ascii="宋体" w:hAnsi="宋体" w:cs="仿宋"/>
          <w:sz w:val="24"/>
          <w:lang w:val="en"/>
        </w:rPr>
        <w:t>按照招投标文件和合同要求进行验收。根据《杭州市政府采购履约验收暂行办法》杭财采监〔2019〕10 号规定，进行履约验收，验收合格报告作为项目支付的依据。</w:t>
      </w:r>
    </w:p>
    <w:p>
      <w:pPr>
        <w:spacing w:line="360" w:lineRule="auto"/>
        <w:ind w:firstLine="480" w:firstLineChars="200"/>
        <w:rPr>
          <w:rFonts w:ascii="宋体" w:hAnsi="宋体" w:cs="仿宋"/>
          <w:sz w:val="24"/>
          <w:lang w:val="en"/>
        </w:rPr>
      </w:pPr>
      <w:r>
        <w:rPr>
          <w:rFonts w:ascii="宋体" w:hAnsi="宋体" w:cs="仿宋"/>
          <w:sz w:val="24"/>
        </w:rPr>
        <w:t>1.</w:t>
      </w:r>
      <w:r>
        <w:rPr>
          <w:rFonts w:hint="eastAsia" w:ascii="宋体" w:hAnsi="宋体" w:cs="仿宋"/>
          <w:sz w:val="24"/>
          <w:lang w:val="zh-CN"/>
        </w:rPr>
        <w:t>完成全部系统建设任务，投入试运行前，</w:t>
      </w:r>
      <w:r>
        <w:rPr>
          <w:rFonts w:hint="eastAsia" w:ascii="宋体" w:hAnsi="宋体" w:cs="仿宋"/>
          <w:sz w:val="24"/>
          <w:lang w:val="en"/>
        </w:rPr>
        <w:t>由采购人组织对项目进行初步验收，</w:t>
      </w:r>
      <w:r>
        <w:rPr>
          <w:rFonts w:hint="eastAsia" w:ascii="宋体" w:hAnsi="宋体" w:cs="仿宋"/>
          <w:sz w:val="24"/>
          <w:lang w:val="zh-CN"/>
        </w:rPr>
        <w:t>通过初验后进行试运行。投入试运行后正常运行1个月，</w:t>
      </w:r>
      <w:r>
        <w:rPr>
          <w:rFonts w:hint="eastAsia" w:ascii="宋体" w:hAnsi="宋体" w:cs="仿宋"/>
          <w:sz w:val="24"/>
          <w:lang w:val="en"/>
        </w:rPr>
        <w:t>由采购人会同有关部门对项目进行最终验收。</w:t>
      </w:r>
    </w:p>
    <w:p>
      <w:pPr>
        <w:spacing w:line="360" w:lineRule="auto"/>
        <w:ind w:firstLine="480" w:firstLineChars="200"/>
        <w:rPr>
          <w:rFonts w:ascii="宋体" w:hAnsi="宋体" w:cs="仿宋"/>
          <w:sz w:val="24"/>
          <w:lang w:val="en"/>
        </w:rPr>
      </w:pPr>
      <w:r>
        <w:rPr>
          <w:rFonts w:ascii="宋体" w:hAnsi="宋体" w:cs="仿宋"/>
          <w:sz w:val="24"/>
        </w:rPr>
        <w:t>2.</w:t>
      </w:r>
      <w:r>
        <w:rPr>
          <w:rFonts w:hint="eastAsia" w:ascii="宋体" w:hAnsi="宋体" w:cs="仿宋"/>
          <w:sz w:val="24"/>
          <w:lang w:val="en"/>
        </w:rPr>
        <w:t>如果发现与合同中要求不符，供应商须承担由此发生的一切损失和费用，并承担相应的违约责任。</w:t>
      </w:r>
    </w:p>
    <w:p>
      <w:pPr>
        <w:spacing w:line="360" w:lineRule="auto"/>
        <w:ind w:firstLine="480" w:firstLineChars="200"/>
        <w:rPr>
          <w:rFonts w:ascii="宋体" w:hAnsi="宋体" w:cs="仿宋"/>
          <w:sz w:val="24"/>
          <w:lang w:val="en"/>
        </w:rPr>
      </w:pPr>
      <w:r>
        <w:rPr>
          <w:rFonts w:ascii="宋体" w:hAnsi="宋体" w:cs="仿宋"/>
          <w:sz w:val="24"/>
        </w:rPr>
        <w:t>3.</w:t>
      </w:r>
      <w:r>
        <w:rPr>
          <w:rFonts w:hint="eastAsia" w:ascii="宋体" w:hAnsi="宋体" w:cs="仿宋"/>
          <w:sz w:val="24"/>
          <w:lang w:val="en"/>
        </w:rPr>
        <w:t>验收时供应商必须提供完整的竣工验收资料，验收时需提供的文档包括但不仅限于：项目投标文件电子稿、项目实施方案、系统（软件）安装实施报告、测试方案、测试记录及报告、配置和维护手册、系统试运行报告、项目总结报告、项目用户报告等相关材料。</w:t>
      </w:r>
    </w:p>
    <w:p>
      <w:pPr>
        <w:pStyle w:val="257"/>
        <w:ind w:firstLine="0" w:firstLineChars="0"/>
        <w:rPr>
          <w:rFonts w:ascii="宋体" w:hAnsi="宋体" w:eastAsia="宋体"/>
          <w:b/>
          <w:bCs/>
          <w:sz w:val="28"/>
          <w:szCs w:val="28"/>
        </w:rPr>
      </w:pPr>
      <w:r>
        <w:rPr>
          <w:rFonts w:hint="eastAsia" w:ascii="宋体" w:hAnsi="宋体" w:eastAsia="宋体"/>
          <w:b/>
          <w:bCs/>
          <w:sz w:val="28"/>
          <w:szCs w:val="28"/>
        </w:rPr>
        <w:t>十二、知识产权</w:t>
      </w:r>
      <w:r>
        <w:rPr>
          <w:rFonts w:ascii="宋体" w:hAnsi="宋体" w:eastAsia="宋体"/>
          <w:b/>
          <w:bCs/>
          <w:sz w:val="28"/>
          <w:szCs w:val="28"/>
        </w:rPr>
        <w:t>要求</w:t>
      </w:r>
    </w:p>
    <w:p>
      <w:pPr>
        <w:autoSpaceDE w:val="0"/>
        <w:autoSpaceDN w:val="0"/>
        <w:spacing w:line="360" w:lineRule="auto"/>
        <w:ind w:firstLine="480" w:firstLineChars="200"/>
        <w:rPr>
          <w:rFonts w:ascii="宋体" w:hAnsi="宋体"/>
          <w:bCs/>
          <w:sz w:val="24"/>
        </w:rPr>
      </w:pPr>
      <w:r>
        <w:rPr>
          <w:rFonts w:hint="eastAsia" w:ascii="宋体" w:hAnsi="宋体"/>
          <w:bCs/>
          <w:sz w:val="24"/>
        </w:rPr>
        <w:t>1.本项目的最终用户为杭州市城市管理局。</w:t>
      </w:r>
    </w:p>
    <w:p>
      <w:pPr>
        <w:autoSpaceDE w:val="0"/>
        <w:autoSpaceDN w:val="0"/>
        <w:spacing w:line="360" w:lineRule="auto"/>
        <w:ind w:firstLine="480" w:firstLineChars="200"/>
        <w:rPr>
          <w:rFonts w:ascii="宋体" w:hAnsi="宋体"/>
          <w:bCs/>
          <w:sz w:val="24"/>
        </w:rPr>
      </w:pPr>
      <w:r>
        <w:rPr>
          <w:rFonts w:hint="eastAsia" w:ascii="宋体" w:hAnsi="宋体" w:cs="Calibri"/>
          <w:sz w:val="24"/>
        </w:rPr>
        <w:t>2</w:t>
      </w:r>
      <w:r>
        <w:rPr>
          <w:rFonts w:ascii="宋体" w:hAnsi="宋体" w:cs="Calibri"/>
          <w:sz w:val="24"/>
        </w:rPr>
        <w:t>.</w:t>
      </w:r>
      <w:r>
        <w:rPr>
          <w:rFonts w:hint="eastAsia" w:ascii="宋体" w:hAnsi="宋体" w:cs="Calibri"/>
          <w:sz w:val="24"/>
        </w:rPr>
        <w:t>中标方应保证所提供的系统或其任何一部分均不会侵犯任何第三方的知识产权。</w:t>
      </w:r>
    </w:p>
    <w:p>
      <w:pPr>
        <w:snapToGrid w:val="0"/>
        <w:spacing w:line="360" w:lineRule="auto"/>
        <w:ind w:firstLine="480" w:firstLineChars="200"/>
        <w:jc w:val="left"/>
        <w:rPr>
          <w:rFonts w:ascii="宋体" w:hAnsi="宋体"/>
          <w:bCs/>
          <w:sz w:val="24"/>
        </w:rPr>
      </w:pPr>
      <w:r>
        <w:rPr>
          <w:rFonts w:hint="eastAsia" w:ascii="宋体" w:hAnsi="宋体"/>
          <w:bCs/>
          <w:sz w:val="24"/>
        </w:rPr>
        <w:t>3</w:t>
      </w:r>
      <w:r>
        <w:rPr>
          <w:rFonts w:ascii="宋体" w:hAnsi="宋体"/>
          <w:bCs/>
          <w:sz w:val="24"/>
        </w:rPr>
        <w:t>.</w:t>
      </w:r>
      <w:r>
        <w:rPr>
          <w:rFonts w:hint="eastAsia" w:ascii="宋体" w:hAnsi="宋体"/>
          <w:bCs/>
          <w:sz w:val="24"/>
        </w:rPr>
        <w:t>投标人须保证所提供产品具有合法的版权或使用权，本项目采购的产品，如在本项目范围内使用过程中出现版权或使用权纠纷，应由中标人负责，采购人和采购代理机构不承担责任。</w:t>
      </w:r>
    </w:p>
    <w:p>
      <w:pPr>
        <w:snapToGrid w:val="0"/>
        <w:spacing w:line="360" w:lineRule="auto"/>
        <w:ind w:firstLine="480" w:firstLineChars="200"/>
        <w:jc w:val="left"/>
        <w:rPr>
          <w:rFonts w:ascii="宋体" w:hAnsi="宋体" w:cs="Calibri"/>
          <w:sz w:val="24"/>
        </w:rPr>
      </w:pPr>
      <w:r>
        <w:rPr>
          <w:rFonts w:hint="eastAsia" w:ascii="宋体" w:hAnsi="宋体" w:cs="Calibri"/>
          <w:sz w:val="24"/>
        </w:rPr>
        <w:t>4</w:t>
      </w:r>
      <w:r>
        <w:rPr>
          <w:rFonts w:ascii="宋体" w:hAnsi="宋体" w:cs="Calibri"/>
          <w:sz w:val="24"/>
        </w:rPr>
        <w:t>.</w:t>
      </w:r>
      <w:r>
        <w:rPr>
          <w:rFonts w:hint="eastAsia" w:ascii="宋体" w:hAnsi="宋体" w:cs="Calibri"/>
          <w:sz w:val="24"/>
          <w:lang w:val="en-US" w:eastAsia="zh-CN"/>
        </w:rPr>
        <w:t>无</w:t>
      </w:r>
      <w:r>
        <w:rPr>
          <w:rFonts w:hint="eastAsia" w:ascii="宋体" w:hAnsi="宋体" w:cs="Calibri"/>
          <w:sz w:val="24"/>
        </w:rPr>
        <w:t>论何时，本项目所涉系统中的包含文字、声音、图像等所有的数据信息的所有权、使用权和知识产权等权益都属于甲方。未经甲方书面允许，乙方无权使用、转让或处理系统中所有数据信息。乙方须妥善保存和备份系统中的所有数据信息，使之不被破坏、删除。乙方应该提供合适的技术手段，确保甲方及最终用户能阅读、使用、传送、处理和备份系统中的声音、图像和数据信息。由于甲方原因而导致前述系统数据信息丢失或损坏的，乙方不承担赔偿责任，但乙方应及时进行修复处理。</w:t>
      </w:r>
    </w:p>
    <w:p>
      <w:pPr>
        <w:pStyle w:val="257"/>
        <w:ind w:firstLine="0" w:firstLineChars="0"/>
        <w:rPr>
          <w:rFonts w:ascii="宋体" w:hAnsi="宋体" w:eastAsia="宋体"/>
          <w:b/>
          <w:bCs/>
          <w:sz w:val="28"/>
          <w:szCs w:val="28"/>
        </w:rPr>
      </w:pPr>
      <w:r>
        <w:rPr>
          <w:rFonts w:hint="eastAsia" w:ascii="宋体" w:hAnsi="宋体" w:eastAsia="宋体"/>
          <w:b/>
          <w:bCs/>
          <w:sz w:val="28"/>
          <w:szCs w:val="28"/>
        </w:rPr>
        <w:t>十三、系统</w:t>
      </w:r>
      <w:r>
        <w:rPr>
          <w:rFonts w:ascii="宋体" w:hAnsi="宋体" w:eastAsia="宋体"/>
          <w:b/>
          <w:bCs/>
          <w:sz w:val="28"/>
          <w:szCs w:val="28"/>
        </w:rPr>
        <w:t>演示要求</w:t>
      </w:r>
    </w:p>
    <w:p>
      <w:pPr>
        <w:autoSpaceDE w:val="0"/>
        <w:autoSpaceDN w:val="0"/>
        <w:spacing w:line="360" w:lineRule="auto"/>
        <w:ind w:firstLine="480" w:firstLineChars="200"/>
        <w:rPr>
          <w:rFonts w:ascii="宋体" w:hAnsi="宋体"/>
          <w:bCs/>
          <w:sz w:val="24"/>
        </w:rPr>
      </w:pPr>
      <w:r>
        <w:rPr>
          <w:rFonts w:hint="eastAsia" w:ascii="宋体" w:hAnsi="宋体" w:cs="宋体"/>
          <w:sz w:val="24"/>
        </w:rPr>
        <w:t>▲</w:t>
      </w:r>
      <w:r>
        <w:rPr>
          <w:rFonts w:ascii="宋体" w:hAnsi="宋体"/>
          <w:bCs/>
          <w:sz w:val="24"/>
        </w:rPr>
        <w:t>1.本项目安排</w:t>
      </w:r>
      <w:r>
        <w:rPr>
          <w:rFonts w:hint="eastAsia" w:ascii="宋体" w:hAnsi="宋体"/>
          <w:bCs/>
          <w:sz w:val="24"/>
        </w:rPr>
        <w:t>系统</w:t>
      </w:r>
      <w:r>
        <w:rPr>
          <w:rFonts w:ascii="宋体" w:hAnsi="宋体"/>
          <w:bCs/>
          <w:sz w:val="24"/>
        </w:rPr>
        <w:t>演示介绍环节，投标人需根据设计方案进行演示，</w:t>
      </w:r>
      <w:r>
        <w:rPr>
          <w:rFonts w:hint="eastAsia" w:ascii="宋体" w:hAnsi="宋体" w:cs="宋体"/>
          <w:kern w:val="0"/>
          <w:sz w:val="24"/>
        </w:rPr>
        <w:t>每个投标人提供时间不超过</w:t>
      </w:r>
      <w:r>
        <w:rPr>
          <w:rFonts w:ascii="宋体" w:hAnsi="宋体" w:cs="宋体"/>
          <w:kern w:val="0"/>
          <w:sz w:val="24"/>
          <w:u w:val="single"/>
        </w:rPr>
        <w:t>15</w:t>
      </w:r>
      <w:r>
        <w:rPr>
          <w:rFonts w:hint="eastAsia" w:ascii="宋体" w:hAnsi="宋体" w:cs="宋体"/>
          <w:kern w:val="0"/>
          <w:sz w:val="24"/>
        </w:rPr>
        <w:t>分钟的演示视频，</w:t>
      </w:r>
      <w:r>
        <w:rPr>
          <w:rFonts w:hint="eastAsia" w:ascii="宋体" w:hAnsi="宋体"/>
          <w:kern w:val="0"/>
          <w:sz w:val="24"/>
        </w:rPr>
        <w:t>由采购代理机构组织人员现场播放，</w:t>
      </w:r>
      <w:r>
        <w:rPr>
          <w:rFonts w:hint="eastAsia" w:ascii="宋体" w:hAnsi="宋体" w:cs="宋体"/>
          <w:kern w:val="0"/>
          <w:sz w:val="24"/>
        </w:rPr>
        <w:t>播放次序以投标文件解密时间先后次序为准。</w:t>
      </w:r>
    </w:p>
    <w:p>
      <w:pPr>
        <w:autoSpaceDE w:val="0"/>
        <w:autoSpaceDN w:val="0"/>
        <w:spacing w:line="360" w:lineRule="auto"/>
        <w:ind w:firstLine="480" w:firstLineChars="200"/>
        <w:rPr>
          <w:rFonts w:ascii="宋体" w:hAnsi="宋体"/>
          <w:bCs/>
          <w:sz w:val="24"/>
        </w:rPr>
      </w:pPr>
      <w:r>
        <w:rPr>
          <w:rFonts w:ascii="宋体" w:hAnsi="宋体"/>
          <w:bCs/>
          <w:sz w:val="24"/>
        </w:rPr>
        <w:t>2.演示内容：</w:t>
      </w:r>
      <w:r>
        <w:rPr>
          <w:rFonts w:hint="eastAsia" w:ascii="宋体" w:hAnsi="宋体"/>
          <w:bCs/>
          <w:sz w:val="24"/>
        </w:rPr>
        <w:t>见评分标准。</w:t>
      </w:r>
    </w:p>
    <w:p>
      <w:pPr>
        <w:autoSpaceDE w:val="0"/>
        <w:autoSpaceDN w:val="0"/>
        <w:spacing w:line="360" w:lineRule="auto"/>
        <w:ind w:firstLine="480" w:firstLineChars="200"/>
        <w:rPr>
          <w:rFonts w:ascii="宋体" w:hAnsi="宋体"/>
          <w:bCs/>
          <w:sz w:val="24"/>
          <w:highlight w:val="none"/>
        </w:rPr>
      </w:pPr>
    </w:p>
    <w:p>
      <w:pPr>
        <w:widowControl/>
        <w:adjustRightInd/>
        <w:spacing w:line="360" w:lineRule="auto"/>
        <w:ind w:firstLine="420"/>
        <w:jc w:val="both"/>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lang w:val="en-US" w:eastAsia="zh-CN"/>
        </w:rPr>
        <w:t xml:space="preserve">                       </w:t>
      </w:r>
      <w:r>
        <w:rPr>
          <w:rFonts w:hint="eastAsia" w:ascii="宋体" w:hAnsi="宋体" w:cs="宋体"/>
          <w:b/>
          <w:color w:val="auto"/>
          <w:sz w:val="36"/>
          <w:szCs w:val="36"/>
          <w:highlight w:val="none"/>
        </w:rPr>
        <w:t xml:space="preserve">第四部分   </w:t>
      </w:r>
      <w:bookmarkStart w:id="28" w:name="_Toc184310329"/>
      <w:bookmarkEnd w:id="28"/>
      <w:bookmarkStart w:id="29" w:name="_Toc184308071"/>
      <w:bookmarkEnd w:id="29"/>
      <w:bookmarkStart w:id="30" w:name="_Toc184314425"/>
      <w:bookmarkEnd w:id="30"/>
      <w:bookmarkStart w:id="31" w:name="_Toc184312119"/>
      <w:bookmarkEnd w:id="31"/>
      <w:bookmarkStart w:id="32" w:name="_Toc184312067"/>
      <w:bookmarkEnd w:id="32"/>
      <w:bookmarkStart w:id="33" w:name="_Toc184308103"/>
      <w:bookmarkEnd w:id="33"/>
      <w:bookmarkStart w:id="34" w:name="_Toc184314418"/>
      <w:bookmarkEnd w:id="34"/>
      <w:bookmarkStart w:id="35" w:name="_Toc184308078"/>
      <w:bookmarkEnd w:id="35"/>
      <w:bookmarkStart w:id="36" w:name="_Toc184313268"/>
      <w:bookmarkEnd w:id="36"/>
      <w:bookmarkStart w:id="37" w:name="_Toc184313259"/>
      <w:bookmarkEnd w:id="37"/>
      <w:bookmarkStart w:id="38" w:name="_Toc184310295"/>
      <w:bookmarkEnd w:id="38"/>
      <w:bookmarkStart w:id="39" w:name="_Toc184313295"/>
      <w:bookmarkEnd w:id="39"/>
      <w:bookmarkStart w:id="40" w:name="_Toc184314451"/>
      <w:bookmarkEnd w:id="40"/>
      <w:bookmarkStart w:id="41" w:name="_Toc184308084"/>
      <w:bookmarkEnd w:id="41"/>
      <w:bookmarkStart w:id="42" w:name="_Toc184312091"/>
      <w:bookmarkEnd w:id="42"/>
      <w:bookmarkStart w:id="43" w:name="_Toc184308082"/>
      <w:bookmarkEnd w:id="43"/>
      <w:bookmarkStart w:id="44" w:name="_Toc184312118"/>
      <w:bookmarkEnd w:id="44"/>
      <w:bookmarkStart w:id="45" w:name="_Toc184308081"/>
      <w:bookmarkEnd w:id="45"/>
      <w:bookmarkStart w:id="46" w:name="_Toc184308057"/>
      <w:bookmarkEnd w:id="46"/>
      <w:bookmarkStart w:id="47" w:name="_Toc184310307"/>
      <w:bookmarkEnd w:id="47"/>
      <w:bookmarkStart w:id="48" w:name="_Toc184312069"/>
      <w:bookmarkEnd w:id="48"/>
      <w:bookmarkStart w:id="49" w:name="_Toc184314459"/>
      <w:bookmarkEnd w:id="49"/>
      <w:bookmarkStart w:id="50" w:name="_Toc184312090"/>
      <w:bookmarkEnd w:id="50"/>
      <w:bookmarkStart w:id="51" w:name="_Toc184312075"/>
      <w:bookmarkEnd w:id="51"/>
      <w:bookmarkStart w:id="52" w:name="_Toc184308106"/>
      <w:bookmarkEnd w:id="52"/>
      <w:bookmarkStart w:id="53" w:name="_Toc184308043"/>
      <w:bookmarkEnd w:id="53"/>
      <w:bookmarkStart w:id="54" w:name="_Toc184313297"/>
      <w:bookmarkEnd w:id="54"/>
      <w:bookmarkStart w:id="55" w:name="_Toc184313249"/>
      <w:bookmarkEnd w:id="55"/>
      <w:bookmarkStart w:id="56" w:name="_Toc184312073"/>
      <w:bookmarkEnd w:id="56"/>
      <w:bookmarkStart w:id="57" w:name="_Toc184314436"/>
      <w:bookmarkEnd w:id="57"/>
      <w:bookmarkStart w:id="58" w:name="_Toc184312082"/>
      <w:bookmarkEnd w:id="58"/>
      <w:bookmarkStart w:id="59" w:name="_Toc184312078"/>
      <w:bookmarkEnd w:id="59"/>
      <w:bookmarkStart w:id="60" w:name="_Toc184308044"/>
      <w:bookmarkEnd w:id="60"/>
      <w:bookmarkStart w:id="61" w:name="_Toc184310327"/>
      <w:bookmarkEnd w:id="61"/>
      <w:bookmarkStart w:id="62" w:name="_Toc184312108"/>
      <w:bookmarkEnd w:id="62"/>
      <w:bookmarkStart w:id="63" w:name="_Toc184314469"/>
      <w:bookmarkEnd w:id="63"/>
      <w:bookmarkStart w:id="64" w:name="_Toc184313305"/>
      <w:bookmarkEnd w:id="64"/>
      <w:bookmarkStart w:id="65" w:name="_Toc184308093"/>
      <w:bookmarkEnd w:id="65"/>
      <w:bookmarkStart w:id="66" w:name="_Toc184312110"/>
      <w:bookmarkEnd w:id="66"/>
      <w:bookmarkStart w:id="67" w:name="_Toc184308054"/>
      <w:bookmarkEnd w:id="67"/>
      <w:bookmarkStart w:id="68" w:name="_Toc184308059"/>
      <w:bookmarkEnd w:id="68"/>
      <w:bookmarkStart w:id="69" w:name="_Toc184313283"/>
      <w:bookmarkEnd w:id="69"/>
      <w:bookmarkStart w:id="70" w:name="_Toc184312134"/>
      <w:bookmarkEnd w:id="70"/>
      <w:bookmarkStart w:id="71" w:name="_Toc184314446"/>
      <w:bookmarkEnd w:id="71"/>
      <w:bookmarkStart w:id="72" w:name="_Toc184314432"/>
      <w:bookmarkEnd w:id="72"/>
      <w:bookmarkStart w:id="73" w:name="_Toc184312077"/>
      <w:bookmarkEnd w:id="73"/>
      <w:bookmarkStart w:id="74" w:name="_Toc184312086"/>
      <w:bookmarkEnd w:id="74"/>
      <w:bookmarkStart w:id="75" w:name="_Toc184314456"/>
      <w:bookmarkEnd w:id="75"/>
      <w:bookmarkStart w:id="76" w:name="_Toc184308076"/>
      <w:bookmarkEnd w:id="76"/>
      <w:bookmarkStart w:id="77" w:name="_Toc184314454"/>
      <w:bookmarkEnd w:id="77"/>
      <w:bookmarkStart w:id="78" w:name="_Toc184308055"/>
      <w:bookmarkEnd w:id="78"/>
      <w:bookmarkStart w:id="79" w:name="_Toc184314472"/>
      <w:bookmarkEnd w:id="79"/>
      <w:bookmarkStart w:id="80" w:name="_Toc184313262"/>
      <w:bookmarkEnd w:id="80"/>
      <w:bookmarkStart w:id="81" w:name="_Toc184308064"/>
      <w:bookmarkEnd w:id="81"/>
      <w:bookmarkStart w:id="82" w:name="_Toc184314427"/>
      <w:bookmarkEnd w:id="82"/>
      <w:bookmarkStart w:id="83" w:name="_Toc184314413"/>
      <w:bookmarkEnd w:id="83"/>
      <w:bookmarkStart w:id="84" w:name="_Toc184314450"/>
      <w:bookmarkEnd w:id="84"/>
      <w:bookmarkStart w:id="85" w:name="_Toc184312111"/>
      <w:bookmarkEnd w:id="85"/>
      <w:bookmarkStart w:id="86" w:name="_Toc184310293"/>
      <w:bookmarkEnd w:id="86"/>
      <w:bookmarkStart w:id="87" w:name="_Toc184314466"/>
      <w:bookmarkEnd w:id="87"/>
      <w:bookmarkStart w:id="88" w:name="_Toc184308074"/>
      <w:bookmarkEnd w:id="88"/>
      <w:bookmarkStart w:id="89" w:name="_Toc184312112"/>
      <w:bookmarkEnd w:id="89"/>
      <w:bookmarkStart w:id="90" w:name="_Toc184312113"/>
      <w:bookmarkEnd w:id="90"/>
      <w:bookmarkStart w:id="91" w:name="_Toc184313273"/>
      <w:bookmarkEnd w:id="91"/>
      <w:bookmarkStart w:id="92" w:name="_Toc184308095"/>
      <w:bookmarkEnd w:id="92"/>
      <w:bookmarkStart w:id="93" w:name="_Toc184310275"/>
      <w:bookmarkEnd w:id="93"/>
      <w:bookmarkStart w:id="94" w:name="_Toc184313274"/>
      <w:bookmarkEnd w:id="94"/>
      <w:bookmarkStart w:id="95" w:name="_Toc184313246"/>
      <w:bookmarkEnd w:id="95"/>
      <w:bookmarkStart w:id="96" w:name="_Toc184310299"/>
      <w:bookmarkEnd w:id="96"/>
      <w:bookmarkStart w:id="97" w:name="_Toc184314457"/>
      <w:bookmarkEnd w:id="97"/>
      <w:bookmarkStart w:id="98" w:name="_Toc184313263"/>
      <w:bookmarkEnd w:id="98"/>
      <w:bookmarkStart w:id="99" w:name="_Toc184308105"/>
      <w:bookmarkEnd w:id="99"/>
      <w:bookmarkStart w:id="100" w:name="_Toc184314470"/>
      <w:bookmarkEnd w:id="100"/>
      <w:bookmarkStart w:id="101" w:name="_Toc184314442"/>
      <w:bookmarkEnd w:id="101"/>
      <w:bookmarkStart w:id="102" w:name="_Toc184308063"/>
      <w:bookmarkEnd w:id="102"/>
      <w:bookmarkStart w:id="103" w:name="_Toc184314416"/>
      <w:bookmarkEnd w:id="103"/>
      <w:bookmarkStart w:id="104" w:name="_Toc184312084"/>
      <w:bookmarkEnd w:id="104"/>
      <w:bookmarkStart w:id="105" w:name="_Toc184308088"/>
      <w:bookmarkEnd w:id="105"/>
      <w:bookmarkStart w:id="106" w:name="_Toc184314480"/>
      <w:bookmarkEnd w:id="106"/>
      <w:bookmarkStart w:id="107" w:name="_Toc184314449"/>
      <w:bookmarkEnd w:id="107"/>
      <w:bookmarkStart w:id="108" w:name="_Toc184310292"/>
      <w:bookmarkEnd w:id="108"/>
      <w:bookmarkStart w:id="109" w:name="_Toc184312106"/>
      <w:bookmarkEnd w:id="109"/>
      <w:bookmarkStart w:id="110" w:name="_Toc184312071"/>
      <w:bookmarkEnd w:id="110"/>
      <w:bookmarkStart w:id="111" w:name="_Toc184310279"/>
      <w:bookmarkEnd w:id="111"/>
      <w:bookmarkStart w:id="112" w:name="_Toc184308036"/>
      <w:bookmarkEnd w:id="112"/>
      <w:bookmarkStart w:id="113" w:name="_Toc184312097"/>
      <w:bookmarkEnd w:id="113"/>
      <w:bookmarkStart w:id="114" w:name="_Toc184313304"/>
      <w:bookmarkEnd w:id="114"/>
      <w:bookmarkStart w:id="115" w:name="_Toc184314473"/>
      <w:bookmarkEnd w:id="115"/>
      <w:bookmarkStart w:id="116" w:name="_Toc184313238"/>
      <w:bookmarkEnd w:id="116"/>
      <w:bookmarkStart w:id="117" w:name="_Toc184308079"/>
      <w:bookmarkEnd w:id="117"/>
      <w:bookmarkStart w:id="118" w:name="_Toc184314460"/>
      <w:bookmarkEnd w:id="118"/>
      <w:bookmarkStart w:id="119" w:name="_Toc184308086"/>
      <w:bookmarkEnd w:id="119"/>
      <w:bookmarkStart w:id="120" w:name="_Toc184308101"/>
      <w:bookmarkEnd w:id="120"/>
      <w:bookmarkStart w:id="121" w:name="_Toc184314461"/>
      <w:bookmarkEnd w:id="121"/>
      <w:bookmarkStart w:id="122" w:name="_Toc184312101"/>
      <w:bookmarkEnd w:id="122"/>
      <w:bookmarkStart w:id="123" w:name="_Toc184312120"/>
      <w:bookmarkEnd w:id="123"/>
      <w:bookmarkStart w:id="124" w:name="_Toc184312103"/>
      <w:bookmarkEnd w:id="124"/>
      <w:bookmarkStart w:id="125" w:name="_Toc184312126"/>
      <w:bookmarkEnd w:id="125"/>
      <w:bookmarkStart w:id="126" w:name="_Toc184314430"/>
      <w:bookmarkEnd w:id="126"/>
      <w:bookmarkStart w:id="127" w:name="_Toc184313301"/>
      <w:bookmarkEnd w:id="127"/>
      <w:bookmarkStart w:id="128" w:name="_Toc184313286"/>
      <w:bookmarkEnd w:id="128"/>
      <w:bookmarkStart w:id="129" w:name="_Toc184308107"/>
      <w:bookmarkEnd w:id="129"/>
      <w:bookmarkStart w:id="130" w:name="_Toc184314465"/>
      <w:bookmarkEnd w:id="130"/>
      <w:bookmarkStart w:id="131" w:name="_Toc184308056"/>
      <w:bookmarkEnd w:id="131"/>
      <w:bookmarkStart w:id="132" w:name="_Toc184308072"/>
      <w:bookmarkEnd w:id="132"/>
      <w:bookmarkStart w:id="133" w:name="_Toc184313251"/>
      <w:bookmarkEnd w:id="133"/>
      <w:bookmarkStart w:id="134" w:name="_Toc184312137"/>
      <w:bookmarkEnd w:id="134"/>
      <w:bookmarkStart w:id="135" w:name="_Toc184313278"/>
      <w:bookmarkEnd w:id="135"/>
      <w:bookmarkStart w:id="136" w:name="_Toc184314411"/>
      <w:bookmarkEnd w:id="136"/>
      <w:bookmarkStart w:id="137" w:name="_Toc184312074"/>
      <w:bookmarkEnd w:id="137"/>
      <w:bookmarkStart w:id="138" w:name="_Toc184312095"/>
      <w:bookmarkEnd w:id="138"/>
      <w:bookmarkStart w:id="139" w:name="_Toc184308073"/>
      <w:bookmarkEnd w:id="139"/>
      <w:bookmarkStart w:id="140" w:name="_Toc184310337"/>
      <w:bookmarkEnd w:id="140"/>
      <w:bookmarkStart w:id="141" w:name="_Toc184313253"/>
      <w:bookmarkEnd w:id="141"/>
      <w:bookmarkStart w:id="142" w:name="_Toc184313242"/>
      <w:bookmarkEnd w:id="142"/>
      <w:bookmarkStart w:id="143" w:name="_Toc184313244"/>
      <w:bookmarkEnd w:id="143"/>
      <w:bookmarkStart w:id="144" w:name="_Toc184313271"/>
      <w:bookmarkEnd w:id="144"/>
      <w:bookmarkStart w:id="145" w:name="_Toc184312094"/>
      <w:bookmarkEnd w:id="145"/>
      <w:bookmarkStart w:id="146" w:name="_Toc184308061"/>
      <w:bookmarkEnd w:id="146"/>
      <w:bookmarkStart w:id="147" w:name="_Toc184308047"/>
      <w:bookmarkEnd w:id="147"/>
      <w:bookmarkStart w:id="148" w:name="_Toc184310314"/>
      <w:bookmarkEnd w:id="148"/>
      <w:bookmarkStart w:id="149" w:name="_Toc184313241"/>
      <w:bookmarkEnd w:id="149"/>
      <w:bookmarkStart w:id="150" w:name="_Toc184312109"/>
      <w:bookmarkEnd w:id="150"/>
      <w:bookmarkStart w:id="151" w:name="_Toc184314476"/>
      <w:bookmarkEnd w:id="151"/>
      <w:bookmarkStart w:id="152" w:name="_Toc184312076"/>
      <w:bookmarkEnd w:id="152"/>
      <w:bookmarkStart w:id="153" w:name="_Toc184314482"/>
      <w:bookmarkEnd w:id="153"/>
      <w:bookmarkStart w:id="154" w:name="_Toc184310304"/>
      <w:bookmarkEnd w:id="154"/>
      <w:bookmarkStart w:id="155" w:name="_Toc184314415"/>
      <w:bookmarkEnd w:id="155"/>
      <w:bookmarkStart w:id="156" w:name="_Toc184312107"/>
      <w:bookmarkEnd w:id="156"/>
      <w:bookmarkStart w:id="157" w:name="_Toc184313255"/>
      <w:bookmarkEnd w:id="157"/>
      <w:bookmarkStart w:id="158" w:name="_Toc184308049"/>
      <w:bookmarkEnd w:id="158"/>
      <w:bookmarkStart w:id="159" w:name="_Toc184313258"/>
      <w:bookmarkEnd w:id="159"/>
      <w:bookmarkStart w:id="160" w:name="_Toc184313289"/>
      <w:bookmarkEnd w:id="160"/>
      <w:bookmarkStart w:id="161" w:name="_Toc184313306"/>
      <w:bookmarkEnd w:id="161"/>
      <w:bookmarkStart w:id="162" w:name="_Toc184314420"/>
      <w:bookmarkEnd w:id="162"/>
      <w:bookmarkStart w:id="163" w:name="_Toc184310273"/>
      <w:bookmarkEnd w:id="163"/>
      <w:bookmarkStart w:id="164" w:name="_Toc184313261"/>
      <w:bookmarkEnd w:id="164"/>
      <w:bookmarkStart w:id="165" w:name="_Toc184313277"/>
      <w:bookmarkEnd w:id="165"/>
      <w:bookmarkStart w:id="166" w:name="_Toc184308042"/>
      <w:bookmarkEnd w:id="166"/>
      <w:bookmarkStart w:id="167" w:name="_Toc184310340"/>
      <w:bookmarkEnd w:id="167"/>
      <w:bookmarkStart w:id="168" w:name="_Toc184310290"/>
      <w:bookmarkEnd w:id="168"/>
      <w:bookmarkStart w:id="169" w:name="_Toc184312068"/>
      <w:bookmarkEnd w:id="169"/>
      <w:bookmarkStart w:id="170" w:name="_Toc184313250"/>
      <w:bookmarkEnd w:id="170"/>
      <w:bookmarkStart w:id="171" w:name="_Toc184308050"/>
      <w:bookmarkEnd w:id="171"/>
      <w:bookmarkStart w:id="172" w:name="_Toc184308038"/>
      <w:bookmarkEnd w:id="172"/>
      <w:bookmarkStart w:id="173" w:name="_Toc184313292"/>
      <w:bookmarkEnd w:id="173"/>
      <w:bookmarkStart w:id="174" w:name="_Toc184310280"/>
      <w:bookmarkEnd w:id="174"/>
      <w:bookmarkStart w:id="175" w:name="_Toc184308069"/>
      <w:bookmarkEnd w:id="175"/>
      <w:bookmarkStart w:id="176" w:name="_Toc184313269"/>
      <w:bookmarkEnd w:id="176"/>
      <w:bookmarkStart w:id="177" w:name="_Toc184308102"/>
      <w:bookmarkEnd w:id="177"/>
      <w:bookmarkStart w:id="178" w:name="_Toc184313308"/>
      <w:bookmarkEnd w:id="178"/>
      <w:bookmarkStart w:id="179" w:name="_Toc184308051"/>
      <w:bookmarkEnd w:id="179"/>
      <w:bookmarkStart w:id="180" w:name="_Toc184310274"/>
      <w:bookmarkEnd w:id="180"/>
      <w:bookmarkStart w:id="181" w:name="_Toc184314440"/>
      <w:bookmarkEnd w:id="181"/>
      <w:bookmarkStart w:id="182" w:name="_Toc184310300"/>
      <w:bookmarkEnd w:id="182"/>
      <w:bookmarkStart w:id="183" w:name="_Toc184310331"/>
      <w:bookmarkEnd w:id="183"/>
      <w:bookmarkStart w:id="184" w:name="_Toc184313254"/>
      <w:bookmarkEnd w:id="184"/>
      <w:bookmarkStart w:id="185" w:name="_Toc184314414"/>
      <w:bookmarkEnd w:id="185"/>
      <w:bookmarkStart w:id="186" w:name="_Toc184313282"/>
      <w:bookmarkEnd w:id="186"/>
      <w:bookmarkStart w:id="187" w:name="_Toc184308089"/>
      <w:bookmarkEnd w:id="187"/>
      <w:bookmarkStart w:id="188" w:name="_Toc184308087"/>
      <w:bookmarkEnd w:id="188"/>
      <w:bookmarkStart w:id="189" w:name="_Toc184312117"/>
      <w:bookmarkEnd w:id="189"/>
      <w:bookmarkStart w:id="190" w:name="_Toc184310287"/>
      <w:bookmarkEnd w:id="190"/>
      <w:bookmarkStart w:id="191" w:name="_Toc184310311"/>
      <w:bookmarkEnd w:id="191"/>
      <w:bookmarkStart w:id="192" w:name="_Toc184314426"/>
      <w:bookmarkEnd w:id="192"/>
      <w:bookmarkStart w:id="193" w:name="_Toc184312136"/>
      <w:bookmarkEnd w:id="193"/>
      <w:bookmarkStart w:id="194" w:name="_Toc184312070"/>
      <w:bookmarkEnd w:id="194"/>
      <w:bookmarkStart w:id="195" w:name="_Toc184310298"/>
      <w:bookmarkEnd w:id="195"/>
      <w:bookmarkStart w:id="196" w:name="_Toc184312096"/>
      <w:bookmarkEnd w:id="196"/>
      <w:bookmarkStart w:id="197" w:name="_Toc184312130"/>
      <w:bookmarkEnd w:id="197"/>
      <w:bookmarkStart w:id="198" w:name="_Toc184310308"/>
      <w:bookmarkEnd w:id="198"/>
      <w:bookmarkStart w:id="199" w:name="_Toc184312132"/>
      <w:bookmarkEnd w:id="199"/>
      <w:bookmarkStart w:id="200" w:name="_Toc184313299"/>
      <w:bookmarkEnd w:id="200"/>
      <w:bookmarkStart w:id="201" w:name="_Toc184312125"/>
      <w:bookmarkEnd w:id="201"/>
      <w:bookmarkStart w:id="202" w:name="_Toc184312079"/>
      <w:bookmarkEnd w:id="202"/>
      <w:bookmarkStart w:id="203" w:name="_Toc184310335"/>
      <w:bookmarkEnd w:id="203"/>
      <w:bookmarkStart w:id="204" w:name="_Toc184313288"/>
      <w:bookmarkEnd w:id="204"/>
      <w:bookmarkStart w:id="205" w:name="_Toc184313294"/>
      <w:bookmarkEnd w:id="205"/>
      <w:bookmarkStart w:id="206" w:name="_Toc184314410"/>
      <w:bookmarkEnd w:id="206"/>
      <w:bookmarkStart w:id="207" w:name="_Toc184312133"/>
      <w:bookmarkEnd w:id="207"/>
      <w:bookmarkStart w:id="208" w:name="_Toc184313266"/>
      <w:bookmarkEnd w:id="208"/>
      <w:bookmarkStart w:id="209" w:name="_Toc184308099"/>
      <w:bookmarkEnd w:id="209"/>
      <w:bookmarkStart w:id="210" w:name="_Toc184310277"/>
      <w:bookmarkEnd w:id="210"/>
      <w:bookmarkStart w:id="211" w:name="_Toc184314439"/>
      <w:bookmarkEnd w:id="211"/>
      <w:bookmarkStart w:id="212" w:name="_Toc184308083"/>
      <w:bookmarkEnd w:id="212"/>
      <w:bookmarkStart w:id="213" w:name="_Toc184308090"/>
      <w:bookmarkEnd w:id="213"/>
      <w:bookmarkStart w:id="214" w:name="_Toc184314477"/>
      <w:bookmarkEnd w:id="214"/>
      <w:bookmarkStart w:id="215" w:name="_Toc184313302"/>
      <w:bookmarkEnd w:id="215"/>
      <w:bookmarkStart w:id="216" w:name="_Toc184313307"/>
      <w:bookmarkEnd w:id="216"/>
      <w:bookmarkStart w:id="217" w:name="_Toc184313239"/>
      <w:bookmarkEnd w:id="217"/>
      <w:bookmarkStart w:id="218" w:name="_Toc184313248"/>
      <w:bookmarkEnd w:id="218"/>
      <w:bookmarkStart w:id="219" w:name="_Toc184310336"/>
      <w:bookmarkEnd w:id="219"/>
      <w:bookmarkStart w:id="220" w:name="_Toc184312072"/>
      <w:bookmarkEnd w:id="220"/>
      <w:bookmarkStart w:id="221" w:name="_Toc184310318"/>
      <w:bookmarkEnd w:id="221"/>
      <w:bookmarkStart w:id="222" w:name="_Toc184314453"/>
      <w:bookmarkEnd w:id="222"/>
      <w:bookmarkStart w:id="223" w:name="_Toc184312085"/>
      <w:bookmarkEnd w:id="223"/>
      <w:bookmarkStart w:id="224" w:name="_Toc184310324"/>
      <w:bookmarkEnd w:id="224"/>
      <w:bookmarkStart w:id="225" w:name="_Toc184312102"/>
      <w:bookmarkEnd w:id="225"/>
      <w:bookmarkStart w:id="226" w:name="_Toc184314455"/>
      <w:bookmarkEnd w:id="226"/>
      <w:bookmarkStart w:id="227" w:name="_Toc184308096"/>
      <w:bookmarkEnd w:id="227"/>
      <w:bookmarkStart w:id="228" w:name="_Toc184314464"/>
      <w:bookmarkEnd w:id="228"/>
      <w:bookmarkStart w:id="229" w:name="_Toc184308104"/>
      <w:bookmarkEnd w:id="229"/>
      <w:bookmarkStart w:id="230" w:name="_Toc184312087"/>
      <w:bookmarkEnd w:id="230"/>
      <w:bookmarkStart w:id="231" w:name="_Toc184312138"/>
      <w:bookmarkEnd w:id="231"/>
      <w:bookmarkStart w:id="232" w:name="_Toc184310276"/>
      <w:bookmarkEnd w:id="232"/>
      <w:bookmarkStart w:id="233" w:name="_Toc184308053"/>
      <w:bookmarkEnd w:id="233"/>
      <w:bookmarkStart w:id="234" w:name="_Toc184310305"/>
      <w:bookmarkEnd w:id="234"/>
      <w:bookmarkStart w:id="235" w:name="_Toc184313275"/>
      <w:bookmarkEnd w:id="235"/>
      <w:bookmarkStart w:id="236" w:name="_Toc184310326"/>
      <w:bookmarkEnd w:id="236"/>
      <w:bookmarkStart w:id="237" w:name="_Toc184314437"/>
      <w:bookmarkEnd w:id="237"/>
      <w:bookmarkStart w:id="238" w:name="_Toc184310281"/>
      <w:bookmarkEnd w:id="238"/>
      <w:bookmarkStart w:id="239" w:name="_Toc184310286"/>
      <w:bookmarkEnd w:id="239"/>
      <w:bookmarkStart w:id="240" w:name="_Toc184310303"/>
      <w:bookmarkEnd w:id="240"/>
      <w:bookmarkStart w:id="241" w:name="_Toc184314448"/>
      <w:bookmarkEnd w:id="241"/>
      <w:bookmarkStart w:id="242" w:name="_Toc184314458"/>
      <w:bookmarkEnd w:id="242"/>
      <w:bookmarkStart w:id="243" w:name="_Toc184314452"/>
      <w:bookmarkEnd w:id="243"/>
      <w:bookmarkStart w:id="244" w:name="_Toc184308070"/>
      <w:bookmarkEnd w:id="244"/>
      <w:bookmarkStart w:id="245" w:name="_Toc184308062"/>
      <w:bookmarkEnd w:id="245"/>
      <w:bookmarkStart w:id="246" w:name="_Toc184308108"/>
      <w:bookmarkEnd w:id="246"/>
      <w:bookmarkStart w:id="247" w:name="_Toc184308098"/>
      <w:bookmarkEnd w:id="247"/>
      <w:bookmarkStart w:id="248" w:name="_Toc184314429"/>
      <w:bookmarkEnd w:id="248"/>
      <w:bookmarkStart w:id="249" w:name="_Toc184310330"/>
      <w:bookmarkEnd w:id="249"/>
      <w:bookmarkStart w:id="250" w:name="_Toc184308045"/>
      <w:bookmarkEnd w:id="250"/>
      <w:bookmarkStart w:id="251" w:name="_Toc184312123"/>
      <w:bookmarkEnd w:id="251"/>
      <w:bookmarkStart w:id="252" w:name="_Toc184310319"/>
      <w:bookmarkEnd w:id="252"/>
      <w:bookmarkStart w:id="253" w:name="_Toc184308040"/>
      <w:bookmarkEnd w:id="253"/>
      <w:bookmarkStart w:id="254" w:name="_Toc184314431"/>
      <w:bookmarkEnd w:id="254"/>
      <w:bookmarkStart w:id="255" w:name="_Toc184313264"/>
      <w:bookmarkEnd w:id="255"/>
      <w:bookmarkStart w:id="256" w:name="_Toc184312124"/>
      <w:bookmarkEnd w:id="256"/>
      <w:bookmarkStart w:id="257" w:name="_Toc184313260"/>
      <w:bookmarkEnd w:id="257"/>
      <w:bookmarkStart w:id="258" w:name="_Toc184308075"/>
      <w:bookmarkEnd w:id="258"/>
      <w:bookmarkStart w:id="259" w:name="_Toc184314434"/>
      <w:bookmarkEnd w:id="259"/>
      <w:bookmarkStart w:id="260" w:name="_Toc184310312"/>
      <w:bookmarkEnd w:id="260"/>
      <w:bookmarkStart w:id="261" w:name="_Toc184313300"/>
      <w:bookmarkEnd w:id="261"/>
      <w:bookmarkStart w:id="262" w:name="_Toc184313257"/>
      <w:bookmarkEnd w:id="262"/>
      <w:bookmarkStart w:id="263" w:name="_Toc184314433"/>
      <w:bookmarkEnd w:id="263"/>
      <w:bookmarkStart w:id="264" w:name="_Toc184313290"/>
      <w:bookmarkEnd w:id="264"/>
      <w:bookmarkStart w:id="265" w:name="_Toc184308065"/>
      <w:bookmarkEnd w:id="265"/>
      <w:bookmarkStart w:id="266" w:name="_Toc184310325"/>
      <w:bookmarkEnd w:id="266"/>
      <w:bookmarkStart w:id="267" w:name="_Toc184313272"/>
      <w:bookmarkEnd w:id="267"/>
      <w:bookmarkStart w:id="268" w:name="_Toc184314445"/>
      <w:bookmarkEnd w:id="268"/>
      <w:bookmarkStart w:id="269" w:name="_Toc184310288"/>
      <w:bookmarkEnd w:id="269"/>
      <w:bookmarkStart w:id="270" w:name="_Toc184308080"/>
      <w:bookmarkEnd w:id="270"/>
      <w:bookmarkStart w:id="271" w:name="_Toc184314421"/>
      <w:bookmarkEnd w:id="271"/>
      <w:bookmarkStart w:id="272" w:name="_Toc184310296"/>
      <w:bookmarkEnd w:id="272"/>
      <w:bookmarkStart w:id="273" w:name="_Toc184314443"/>
      <w:bookmarkEnd w:id="273"/>
      <w:bookmarkStart w:id="274" w:name="_Toc184313309"/>
      <w:bookmarkEnd w:id="274"/>
      <w:bookmarkStart w:id="275" w:name="_Toc184314479"/>
      <w:bookmarkEnd w:id="275"/>
      <w:bookmarkStart w:id="276" w:name="_Toc184312122"/>
      <w:bookmarkEnd w:id="276"/>
      <w:bookmarkStart w:id="277" w:name="_Toc184313280"/>
      <w:bookmarkEnd w:id="277"/>
      <w:bookmarkStart w:id="278" w:name="_Toc184314423"/>
      <w:bookmarkEnd w:id="278"/>
      <w:bookmarkStart w:id="279" w:name="_Toc184313296"/>
      <w:bookmarkEnd w:id="279"/>
      <w:bookmarkStart w:id="280" w:name="_Toc184312128"/>
      <w:bookmarkEnd w:id="280"/>
      <w:bookmarkStart w:id="281" w:name="_Toc184314422"/>
      <w:bookmarkEnd w:id="281"/>
      <w:bookmarkStart w:id="282" w:name="_Toc184313252"/>
      <w:bookmarkEnd w:id="282"/>
      <w:bookmarkStart w:id="283" w:name="_Toc184314462"/>
      <w:bookmarkEnd w:id="283"/>
      <w:bookmarkStart w:id="284" w:name="_Toc184308092"/>
      <w:bookmarkEnd w:id="284"/>
      <w:bookmarkStart w:id="285" w:name="_Toc184313285"/>
      <w:bookmarkEnd w:id="285"/>
      <w:bookmarkStart w:id="286" w:name="_Toc184313240"/>
      <w:bookmarkEnd w:id="286"/>
      <w:bookmarkStart w:id="287" w:name="_Toc184313310"/>
      <w:bookmarkEnd w:id="287"/>
      <w:bookmarkStart w:id="288" w:name="_Toc184312081"/>
      <w:bookmarkEnd w:id="288"/>
      <w:bookmarkStart w:id="289" w:name="_Toc184313281"/>
      <w:bookmarkEnd w:id="289"/>
      <w:bookmarkStart w:id="290" w:name="_Toc184310334"/>
      <w:bookmarkEnd w:id="290"/>
      <w:bookmarkStart w:id="291" w:name="_Toc184314463"/>
      <w:bookmarkEnd w:id="291"/>
      <w:bookmarkStart w:id="292" w:name="_Toc184313284"/>
      <w:bookmarkEnd w:id="292"/>
      <w:bookmarkStart w:id="293" w:name="_Toc184312080"/>
      <w:bookmarkEnd w:id="293"/>
      <w:bookmarkStart w:id="294" w:name="_Toc184312100"/>
      <w:bookmarkEnd w:id="294"/>
      <w:bookmarkStart w:id="295" w:name="_Toc184308039"/>
      <w:bookmarkEnd w:id="295"/>
      <w:bookmarkStart w:id="296" w:name="_Toc184308060"/>
      <w:bookmarkEnd w:id="296"/>
      <w:bookmarkStart w:id="297" w:name="_Toc184312083"/>
      <w:bookmarkEnd w:id="297"/>
      <w:bookmarkStart w:id="298" w:name="_Toc184308077"/>
      <w:bookmarkEnd w:id="298"/>
      <w:bookmarkStart w:id="299" w:name="_Toc184314424"/>
      <w:bookmarkEnd w:id="299"/>
      <w:bookmarkStart w:id="300" w:name="_Toc184313270"/>
      <w:bookmarkEnd w:id="300"/>
      <w:bookmarkStart w:id="301" w:name="_Toc184314478"/>
      <w:bookmarkEnd w:id="301"/>
      <w:bookmarkStart w:id="302" w:name="_Toc184310313"/>
      <w:bookmarkEnd w:id="302"/>
      <w:bookmarkStart w:id="303" w:name="_Toc184308097"/>
      <w:bookmarkEnd w:id="303"/>
      <w:bookmarkStart w:id="304" w:name="_Toc184308085"/>
      <w:bookmarkEnd w:id="304"/>
      <w:bookmarkStart w:id="305" w:name="_Toc184310341"/>
      <w:bookmarkEnd w:id="305"/>
      <w:bookmarkStart w:id="306" w:name="_Toc184313245"/>
      <w:bookmarkEnd w:id="306"/>
      <w:bookmarkStart w:id="307" w:name="_Toc184310323"/>
      <w:bookmarkEnd w:id="307"/>
      <w:bookmarkStart w:id="308" w:name="_Toc184310306"/>
      <w:bookmarkEnd w:id="308"/>
      <w:bookmarkStart w:id="309" w:name="_Toc184310291"/>
      <w:bookmarkEnd w:id="309"/>
      <w:bookmarkStart w:id="310" w:name="_Toc184314468"/>
      <w:bookmarkEnd w:id="310"/>
      <w:bookmarkStart w:id="311" w:name="_Toc184310339"/>
      <w:bookmarkEnd w:id="311"/>
      <w:bookmarkStart w:id="312" w:name="_Toc184313291"/>
      <w:bookmarkEnd w:id="312"/>
      <w:bookmarkStart w:id="313" w:name="_Toc184312114"/>
      <w:bookmarkEnd w:id="313"/>
      <w:bookmarkStart w:id="314" w:name="_Toc184314444"/>
      <w:bookmarkEnd w:id="314"/>
      <w:bookmarkStart w:id="315" w:name="_Toc184312093"/>
      <w:bookmarkEnd w:id="315"/>
      <w:bookmarkStart w:id="316" w:name="_Toc184308052"/>
      <w:bookmarkEnd w:id="316"/>
      <w:bookmarkStart w:id="317" w:name="_Toc184310283"/>
      <w:bookmarkEnd w:id="317"/>
      <w:bookmarkStart w:id="318" w:name="_Toc184313276"/>
      <w:bookmarkEnd w:id="318"/>
      <w:bookmarkStart w:id="319" w:name="_Toc184312088"/>
      <w:bookmarkEnd w:id="319"/>
      <w:bookmarkStart w:id="320" w:name="_Toc184314419"/>
      <w:bookmarkEnd w:id="320"/>
      <w:bookmarkStart w:id="321" w:name="_Toc184310338"/>
      <w:bookmarkEnd w:id="321"/>
      <w:bookmarkStart w:id="322" w:name="_Toc184310322"/>
      <w:bookmarkEnd w:id="322"/>
      <w:bookmarkStart w:id="323" w:name="_Toc184310301"/>
      <w:bookmarkEnd w:id="323"/>
      <w:bookmarkStart w:id="324" w:name="_Toc184313298"/>
      <w:bookmarkEnd w:id="324"/>
      <w:bookmarkStart w:id="325" w:name="_Toc184313293"/>
      <w:bookmarkEnd w:id="325"/>
      <w:bookmarkStart w:id="326" w:name="_Toc184314441"/>
      <w:bookmarkEnd w:id="326"/>
      <w:bookmarkStart w:id="327" w:name="_Toc184312115"/>
      <w:bookmarkEnd w:id="327"/>
      <w:bookmarkStart w:id="328" w:name="_Toc184308068"/>
      <w:bookmarkEnd w:id="328"/>
      <w:bookmarkStart w:id="329" w:name="_Toc184313247"/>
      <w:bookmarkEnd w:id="329"/>
      <w:bookmarkStart w:id="330" w:name="_Toc184313256"/>
      <w:bookmarkEnd w:id="330"/>
      <w:bookmarkStart w:id="331" w:name="_Toc184308091"/>
      <w:bookmarkEnd w:id="331"/>
      <w:bookmarkStart w:id="332" w:name="_Toc184308067"/>
      <w:bookmarkEnd w:id="332"/>
      <w:bookmarkStart w:id="333" w:name="_Toc184310344"/>
      <w:bookmarkEnd w:id="333"/>
      <w:bookmarkStart w:id="334" w:name="_Toc184313279"/>
      <w:bookmarkEnd w:id="334"/>
      <w:bookmarkStart w:id="335" w:name="_Toc184312092"/>
      <w:bookmarkEnd w:id="335"/>
      <w:bookmarkStart w:id="336" w:name="_Toc184313243"/>
      <w:bookmarkEnd w:id="336"/>
      <w:bookmarkStart w:id="337" w:name="_Toc184310302"/>
      <w:bookmarkEnd w:id="337"/>
      <w:bookmarkStart w:id="338" w:name="_Toc184308066"/>
      <w:bookmarkEnd w:id="338"/>
      <w:bookmarkStart w:id="339" w:name="_Toc184314475"/>
      <w:bookmarkEnd w:id="339"/>
      <w:bookmarkStart w:id="340" w:name="_Toc184308100"/>
      <w:bookmarkEnd w:id="340"/>
      <w:bookmarkStart w:id="341" w:name="_Toc184308094"/>
      <w:bookmarkEnd w:id="341"/>
      <w:bookmarkStart w:id="342" w:name="_Toc184310297"/>
      <w:bookmarkEnd w:id="342"/>
      <w:bookmarkStart w:id="343" w:name="_Toc184312105"/>
      <w:bookmarkEnd w:id="343"/>
      <w:bookmarkStart w:id="344" w:name="_Toc184314417"/>
      <w:bookmarkEnd w:id="344"/>
      <w:bookmarkStart w:id="345" w:name="_Toc184312099"/>
      <w:bookmarkEnd w:id="345"/>
      <w:bookmarkStart w:id="346" w:name="_Toc184308046"/>
      <w:bookmarkEnd w:id="346"/>
      <w:bookmarkStart w:id="347" w:name="_Toc184312127"/>
      <w:bookmarkEnd w:id="347"/>
      <w:bookmarkStart w:id="348" w:name="_Toc184310310"/>
      <w:bookmarkEnd w:id="348"/>
      <w:bookmarkStart w:id="349" w:name="_Toc184310282"/>
      <w:bookmarkEnd w:id="349"/>
      <w:bookmarkStart w:id="350" w:name="_Toc184312135"/>
      <w:bookmarkEnd w:id="350"/>
      <w:bookmarkStart w:id="351" w:name="_Toc184314412"/>
      <w:bookmarkEnd w:id="351"/>
      <w:bookmarkStart w:id="352" w:name="_Toc184312104"/>
      <w:bookmarkEnd w:id="352"/>
      <w:bookmarkStart w:id="353" w:name="_Toc184310289"/>
      <w:bookmarkEnd w:id="353"/>
      <w:bookmarkStart w:id="354" w:name="_Toc184314438"/>
      <w:bookmarkEnd w:id="354"/>
      <w:bookmarkStart w:id="355" w:name="_Toc184312139"/>
      <w:bookmarkEnd w:id="355"/>
      <w:bookmarkStart w:id="356" w:name="_Toc184313265"/>
      <w:bookmarkEnd w:id="356"/>
      <w:bookmarkStart w:id="357" w:name="_Toc184310317"/>
      <w:bookmarkEnd w:id="357"/>
      <w:bookmarkStart w:id="358" w:name="_Toc184308041"/>
      <w:bookmarkEnd w:id="358"/>
      <w:bookmarkStart w:id="359" w:name="_Toc184312129"/>
      <w:bookmarkEnd w:id="359"/>
      <w:bookmarkStart w:id="360" w:name="_Toc184314435"/>
      <w:bookmarkEnd w:id="360"/>
      <w:bookmarkStart w:id="361" w:name="_Toc184314481"/>
      <w:bookmarkEnd w:id="361"/>
      <w:bookmarkStart w:id="362" w:name="_Toc184310315"/>
      <w:bookmarkEnd w:id="362"/>
      <w:bookmarkStart w:id="363" w:name="_Toc184310285"/>
      <w:bookmarkEnd w:id="363"/>
      <w:bookmarkStart w:id="364" w:name="_Toc184310278"/>
      <w:bookmarkEnd w:id="364"/>
      <w:bookmarkStart w:id="365" w:name="_Toc184310309"/>
      <w:bookmarkEnd w:id="365"/>
      <w:bookmarkStart w:id="366" w:name="_Toc184314471"/>
      <w:bookmarkEnd w:id="366"/>
      <w:bookmarkStart w:id="367" w:name="_Toc184310316"/>
      <w:bookmarkEnd w:id="367"/>
      <w:bookmarkStart w:id="368" w:name="_Toc184313287"/>
      <w:bookmarkEnd w:id="368"/>
      <w:bookmarkStart w:id="369" w:name="_Toc184312089"/>
      <w:bookmarkEnd w:id="369"/>
      <w:bookmarkStart w:id="370" w:name="_Toc184310321"/>
      <w:bookmarkEnd w:id="370"/>
      <w:bookmarkStart w:id="371" w:name="_Toc184312121"/>
      <w:bookmarkEnd w:id="371"/>
      <w:bookmarkStart w:id="372" w:name="_Toc184310272"/>
      <w:bookmarkEnd w:id="372"/>
      <w:bookmarkStart w:id="373" w:name="_Toc184310333"/>
      <w:bookmarkEnd w:id="373"/>
      <w:bookmarkStart w:id="374" w:name="_Toc184314428"/>
      <w:bookmarkEnd w:id="374"/>
      <w:bookmarkStart w:id="375" w:name="_Toc184310284"/>
      <w:bookmarkEnd w:id="375"/>
      <w:bookmarkStart w:id="376" w:name="_Toc184313303"/>
      <w:bookmarkEnd w:id="376"/>
      <w:bookmarkStart w:id="377" w:name="_Toc184310320"/>
      <w:bookmarkEnd w:id="377"/>
      <w:bookmarkStart w:id="378" w:name="_Toc184312116"/>
      <w:bookmarkEnd w:id="378"/>
      <w:bookmarkStart w:id="379" w:name="_Toc184314447"/>
      <w:bookmarkEnd w:id="379"/>
      <w:bookmarkStart w:id="380" w:name="_Toc184312098"/>
      <w:bookmarkEnd w:id="380"/>
      <w:bookmarkStart w:id="381" w:name="_Toc184310294"/>
      <w:bookmarkEnd w:id="381"/>
      <w:bookmarkStart w:id="382" w:name="_Toc184310342"/>
      <w:bookmarkEnd w:id="382"/>
      <w:bookmarkStart w:id="383" w:name="_Toc184308058"/>
      <w:bookmarkEnd w:id="383"/>
      <w:bookmarkStart w:id="384" w:name="_Toc184310343"/>
      <w:bookmarkEnd w:id="384"/>
      <w:bookmarkStart w:id="385" w:name="_Toc184314474"/>
      <w:bookmarkEnd w:id="385"/>
      <w:bookmarkStart w:id="386" w:name="_Toc184308048"/>
      <w:bookmarkEnd w:id="386"/>
      <w:bookmarkStart w:id="387" w:name="_Toc184313267"/>
      <w:bookmarkEnd w:id="387"/>
      <w:bookmarkStart w:id="388" w:name="_Toc184310332"/>
      <w:bookmarkEnd w:id="388"/>
      <w:bookmarkStart w:id="389" w:name="_Toc184312131"/>
      <w:bookmarkEnd w:id="389"/>
      <w:bookmarkStart w:id="390" w:name="_Toc184314467"/>
      <w:bookmarkEnd w:id="390"/>
      <w:bookmarkStart w:id="391" w:name="_Toc184310328"/>
      <w:bookmarkEnd w:id="391"/>
      <w:bookmarkStart w:id="392" w:name="_Toc184308037"/>
      <w:bookmarkEnd w:id="392"/>
      <w:r>
        <w:rPr>
          <w:rFonts w:hint="eastAsia" w:ascii="宋体" w:hAnsi="宋体" w:cs="宋体"/>
          <w:b/>
          <w:color w:val="auto"/>
          <w:sz w:val="36"/>
          <w:szCs w:val="36"/>
          <w:highlight w:val="none"/>
        </w:rPr>
        <w:t>评标办法</w:t>
      </w:r>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96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85"/>
        <w:gridCol w:w="6222"/>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9" w:type="dxa"/>
            <w:vMerge w:val="restart"/>
            <w:vAlign w:val="center"/>
          </w:tcPr>
          <w:p>
            <w:pPr>
              <w:snapToGrid w:val="0"/>
              <w:spacing w:line="360" w:lineRule="auto"/>
              <w:jc w:val="center"/>
              <w:rPr>
                <w:rFonts w:cs="仿宋_GB2312" w:asciiTheme="majorEastAsia" w:hAnsiTheme="majorEastAsia" w:eastAsiaTheme="majorEastAsia"/>
                <w:b/>
                <w:bCs/>
                <w:sz w:val="24"/>
                <w:highlight w:val="none"/>
              </w:rPr>
            </w:pPr>
            <w:r>
              <w:rPr>
                <w:rFonts w:hint="eastAsia" w:cs="仿宋_GB2312" w:asciiTheme="majorEastAsia" w:hAnsiTheme="majorEastAsia" w:eastAsiaTheme="majorEastAsia"/>
                <w:b/>
                <w:bCs/>
                <w:sz w:val="24"/>
                <w:highlight w:val="none"/>
              </w:rPr>
              <w:t>序号</w:t>
            </w:r>
          </w:p>
        </w:tc>
        <w:tc>
          <w:tcPr>
            <w:tcW w:w="1985" w:type="dxa"/>
            <w:vMerge w:val="restart"/>
            <w:vAlign w:val="center"/>
          </w:tcPr>
          <w:p>
            <w:pPr>
              <w:snapToGrid w:val="0"/>
              <w:spacing w:line="360" w:lineRule="auto"/>
              <w:jc w:val="center"/>
              <w:rPr>
                <w:rFonts w:cs="仿宋_GB2312" w:asciiTheme="majorEastAsia" w:hAnsiTheme="majorEastAsia" w:eastAsiaTheme="majorEastAsia"/>
                <w:b/>
                <w:bCs/>
                <w:sz w:val="24"/>
                <w:highlight w:val="none"/>
              </w:rPr>
            </w:pPr>
            <w:r>
              <w:rPr>
                <w:rFonts w:hint="eastAsia" w:cs="仿宋_GB2312" w:asciiTheme="majorEastAsia" w:hAnsiTheme="majorEastAsia" w:eastAsiaTheme="majorEastAsia"/>
                <w:b/>
                <w:bCs/>
                <w:sz w:val="24"/>
                <w:highlight w:val="none"/>
              </w:rPr>
              <w:t>评分因素</w:t>
            </w:r>
          </w:p>
        </w:tc>
        <w:tc>
          <w:tcPr>
            <w:tcW w:w="6222" w:type="dxa"/>
            <w:vAlign w:val="center"/>
          </w:tcPr>
          <w:p>
            <w:pPr>
              <w:snapToGrid w:val="0"/>
              <w:spacing w:line="360" w:lineRule="auto"/>
              <w:jc w:val="center"/>
              <w:rPr>
                <w:rFonts w:cs="仿宋_GB2312" w:asciiTheme="majorEastAsia" w:hAnsiTheme="majorEastAsia" w:eastAsiaTheme="majorEastAsia"/>
                <w:b/>
                <w:bCs/>
                <w:sz w:val="24"/>
                <w:highlight w:val="none"/>
              </w:rPr>
            </w:pPr>
            <w:r>
              <w:rPr>
                <w:rFonts w:hint="eastAsia" w:cs="宋体" w:asciiTheme="minorEastAsia" w:hAnsiTheme="minorEastAsia"/>
                <w:b/>
                <w:bCs/>
                <w:kern w:val="0"/>
                <w:sz w:val="24"/>
                <w:highlight w:val="none"/>
              </w:rPr>
              <w:t>评分细则</w:t>
            </w:r>
          </w:p>
        </w:tc>
        <w:tc>
          <w:tcPr>
            <w:tcW w:w="750" w:type="dxa"/>
            <w:vMerge w:val="restart"/>
            <w:vAlign w:val="center"/>
          </w:tcPr>
          <w:p>
            <w:pPr>
              <w:snapToGrid w:val="0"/>
              <w:spacing w:line="360" w:lineRule="auto"/>
              <w:jc w:val="center"/>
              <w:rPr>
                <w:rFonts w:cs="仿宋_GB2312" w:asciiTheme="majorEastAsia" w:hAnsiTheme="majorEastAsia" w:eastAsiaTheme="majorEastAsia"/>
                <w:b/>
                <w:bCs/>
                <w:sz w:val="24"/>
                <w:highlight w:val="none"/>
              </w:rPr>
            </w:pPr>
            <w:r>
              <w:rPr>
                <w:rFonts w:hint="eastAsia" w:cs="仿宋_GB2312" w:asciiTheme="majorEastAsia" w:hAnsiTheme="majorEastAsia" w:eastAsiaTheme="majorEastAsia"/>
                <w:b/>
                <w:bCs/>
                <w:sz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snapToGrid w:val="0"/>
              <w:spacing w:line="360" w:lineRule="auto"/>
              <w:jc w:val="center"/>
              <w:rPr>
                <w:rFonts w:cs="仿宋_GB2312" w:asciiTheme="majorEastAsia" w:hAnsiTheme="majorEastAsia" w:eastAsiaTheme="majorEastAsia"/>
                <w:b/>
                <w:bCs/>
                <w:sz w:val="24"/>
                <w:highlight w:val="none"/>
              </w:rPr>
            </w:pPr>
          </w:p>
        </w:tc>
        <w:tc>
          <w:tcPr>
            <w:tcW w:w="1985" w:type="dxa"/>
            <w:vMerge w:val="continue"/>
          </w:tcPr>
          <w:p>
            <w:pPr>
              <w:snapToGrid w:val="0"/>
              <w:spacing w:line="360" w:lineRule="auto"/>
              <w:jc w:val="center"/>
              <w:rPr>
                <w:rFonts w:cs="仿宋_GB2312" w:asciiTheme="majorEastAsia" w:hAnsiTheme="majorEastAsia" w:eastAsiaTheme="majorEastAsia"/>
                <w:b/>
                <w:bCs/>
                <w:sz w:val="24"/>
                <w:highlight w:val="none"/>
              </w:rPr>
            </w:pPr>
          </w:p>
        </w:tc>
        <w:tc>
          <w:tcPr>
            <w:tcW w:w="6222" w:type="dxa"/>
            <w:vAlign w:val="center"/>
          </w:tcPr>
          <w:p>
            <w:pPr>
              <w:snapToGrid w:val="0"/>
              <w:spacing w:line="360" w:lineRule="auto"/>
              <w:jc w:val="center"/>
              <w:rPr>
                <w:rFonts w:cs="仿宋_GB2312" w:asciiTheme="majorEastAsia" w:hAnsiTheme="majorEastAsia" w:eastAsiaTheme="majorEastAsia"/>
                <w:b/>
                <w:bCs/>
                <w:sz w:val="24"/>
                <w:highlight w:val="none"/>
              </w:rPr>
            </w:pPr>
            <w:r>
              <w:rPr>
                <w:rFonts w:hint="eastAsia" w:cs="宋体" w:asciiTheme="minorEastAsia" w:hAnsiTheme="minorEastAsia"/>
                <w:b/>
                <w:bCs/>
                <w:kern w:val="0"/>
                <w:sz w:val="24"/>
                <w:highlight w:val="none"/>
              </w:rPr>
              <w:t>（电子投标文件中提供的证明材料（证书、合同等）应清晰可辨，如无法辨识，将不予给分。）</w:t>
            </w:r>
          </w:p>
        </w:tc>
        <w:tc>
          <w:tcPr>
            <w:tcW w:w="750" w:type="dxa"/>
            <w:vMerge w:val="continue"/>
            <w:vAlign w:val="center"/>
          </w:tcPr>
          <w:p>
            <w:pPr>
              <w:snapToGrid w:val="0"/>
              <w:spacing w:line="360" w:lineRule="auto"/>
              <w:jc w:val="center"/>
              <w:rPr>
                <w:rFonts w:cs="仿宋_GB2312" w:asciiTheme="majorEastAsia" w:hAnsiTheme="majorEastAsia" w:eastAsiaTheme="majorEastAsia"/>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napToGrid w:val="0"/>
              <w:spacing w:line="360" w:lineRule="auto"/>
              <w:jc w:val="center"/>
              <w:rPr>
                <w:rFonts w:cs="仿宋_GB2312" w:asciiTheme="majorEastAsia" w:hAnsiTheme="majorEastAsia" w:eastAsiaTheme="majorEastAsia"/>
                <w:b/>
                <w:bCs/>
                <w:sz w:val="24"/>
                <w:highlight w:val="none"/>
              </w:rPr>
            </w:pPr>
            <w:r>
              <w:rPr>
                <w:rFonts w:hint="eastAsia" w:cs="仿宋_GB2312" w:asciiTheme="majorEastAsia" w:hAnsiTheme="majorEastAsia" w:eastAsiaTheme="majorEastAsia"/>
                <w:b/>
                <w:bCs/>
                <w:sz w:val="24"/>
                <w:highlight w:val="none"/>
              </w:rPr>
              <w:t>一</w:t>
            </w:r>
          </w:p>
        </w:tc>
        <w:tc>
          <w:tcPr>
            <w:tcW w:w="8207" w:type="dxa"/>
            <w:gridSpan w:val="2"/>
            <w:vAlign w:val="center"/>
          </w:tcPr>
          <w:p>
            <w:pPr>
              <w:spacing w:line="360" w:lineRule="auto"/>
              <w:rPr>
                <w:rFonts w:asciiTheme="majorEastAsia" w:hAnsiTheme="majorEastAsia" w:eastAsiaTheme="majorEastAsia"/>
                <w:b/>
                <w:bCs/>
                <w:sz w:val="24"/>
                <w:highlight w:val="none"/>
              </w:rPr>
            </w:pPr>
            <w:r>
              <w:rPr>
                <w:rFonts w:hint="eastAsia" w:cs="仿宋_GB2312" w:asciiTheme="majorEastAsia" w:hAnsiTheme="majorEastAsia" w:eastAsiaTheme="majorEastAsia"/>
                <w:b/>
                <w:bCs/>
                <w:sz w:val="24"/>
                <w:highlight w:val="none"/>
              </w:rPr>
              <w:t>投标人资信及业绩情况</w:t>
            </w:r>
          </w:p>
        </w:tc>
        <w:tc>
          <w:tcPr>
            <w:tcW w:w="750" w:type="dxa"/>
            <w:vAlign w:val="center"/>
          </w:tcPr>
          <w:p>
            <w:pPr>
              <w:snapToGrid w:val="0"/>
              <w:spacing w:line="360" w:lineRule="auto"/>
              <w:jc w:val="center"/>
              <w:rPr>
                <w:rFonts w:cs="仿宋_GB2312" w:asciiTheme="majorEastAsia" w:hAnsiTheme="majorEastAsia" w:eastAsiaTheme="majorEastAsia"/>
                <w:b/>
                <w:bCs/>
                <w:sz w:val="24"/>
                <w:highlight w:val="none"/>
              </w:rPr>
            </w:pPr>
            <w:r>
              <w:rPr>
                <w:rFonts w:hint="eastAsia" w:cs="仿宋_GB2312" w:asciiTheme="majorEastAsia" w:hAnsiTheme="majorEastAsia" w:eastAsiaTheme="majorEastAsia"/>
                <w:b/>
                <w:bCs/>
                <w:sz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napToGrid w:val="0"/>
              <w:spacing w:line="360" w:lineRule="auto"/>
              <w:jc w:val="center"/>
              <w:rPr>
                <w:rFonts w:cs="仿宋_GB2312" w:asciiTheme="majorEastAsia" w:hAnsiTheme="majorEastAsia" w:eastAsiaTheme="majorEastAsia"/>
                <w:sz w:val="24"/>
                <w:highlight w:val="none"/>
              </w:rPr>
            </w:pPr>
            <w:r>
              <w:rPr>
                <w:rFonts w:hint="eastAsia" w:cs="仿宋_GB2312" w:asciiTheme="majorEastAsia" w:hAnsiTheme="majorEastAsia" w:eastAsiaTheme="majorEastAsia"/>
                <w:sz w:val="24"/>
                <w:highlight w:val="none"/>
              </w:rPr>
              <w:t>1</w:t>
            </w:r>
          </w:p>
        </w:tc>
        <w:tc>
          <w:tcPr>
            <w:tcW w:w="1985" w:type="dxa"/>
            <w:vAlign w:val="center"/>
          </w:tcPr>
          <w:p>
            <w:pPr>
              <w:spacing w:line="360" w:lineRule="auto"/>
              <w:jc w:val="center"/>
              <w:outlineLvl w:val="0"/>
              <w:rPr>
                <w:rFonts w:cs="仿宋_GB2312" w:asciiTheme="majorEastAsia" w:hAnsiTheme="majorEastAsia" w:eastAsiaTheme="majorEastAsia"/>
                <w:sz w:val="24"/>
                <w:highlight w:val="none"/>
              </w:rPr>
            </w:pPr>
            <w:r>
              <w:rPr>
                <w:rFonts w:hint="eastAsia" w:cs="宋体" w:asciiTheme="minorEastAsia" w:hAnsiTheme="minorEastAsia"/>
                <w:kern w:val="0"/>
                <w:sz w:val="24"/>
                <w:highlight w:val="none"/>
              </w:rPr>
              <w:t>投标人的管理体系</w:t>
            </w:r>
          </w:p>
        </w:tc>
        <w:tc>
          <w:tcPr>
            <w:tcW w:w="6222" w:type="dxa"/>
            <w:vAlign w:val="center"/>
          </w:tcPr>
          <w:p>
            <w:pPr>
              <w:widowControl/>
              <w:spacing w:line="360" w:lineRule="auto"/>
              <w:jc w:val="left"/>
              <w:rPr>
                <w:rFonts w:cs="宋体" w:asciiTheme="minorEastAsia" w:hAnsiTheme="minorEastAsia"/>
                <w:kern w:val="0"/>
                <w:sz w:val="24"/>
                <w:highlight w:val="none"/>
              </w:rPr>
            </w:pPr>
            <w:r>
              <w:rPr>
                <w:rFonts w:hint="eastAsia" w:cs="宋体" w:asciiTheme="minorEastAsia" w:hAnsiTheme="minorEastAsia"/>
                <w:kern w:val="0"/>
                <w:sz w:val="24"/>
                <w:highlight w:val="none"/>
                <w:lang w:eastAsia="zh-CN"/>
              </w:rPr>
              <w:t>【</w:t>
            </w:r>
            <w:r>
              <w:rPr>
                <w:rFonts w:hint="eastAsia" w:cs="宋体" w:asciiTheme="minorEastAsia" w:hAnsiTheme="minorEastAsia"/>
                <w:kern w:val="0"/>
                <w:sz w:val="24"/>
                <w:highlight w:val="none"/>
                <w:lang w:val="en-US" w:eastAsia="zh-CN"/>
              </w:rPr>
              <w:t>客观分</w:t>
            </w:r>
            <w:r>
              <w:rPr>
                <w:rFonts w:hint="eastAsia" w:cs="宋体" w:asciiTheme="minorEastAsia" w:hAnsiTheme="minorEastAsia"/>
                <w:kern w:val="0"/>
                <w:sz w:val="24"/>
                <w:highlight w:val="none"/>
                <w:lang w:eastAsia="zh-CN"/>
              </w:rPr>
              <w:t>】</w:t>
            </w:r>
            <w:r>
              <w:rPr>
                <w:rFonts w:hint="eastAsia" w:cs="宋体" w:asciiTheme="minorEastAsia" w:hAnsiTheme="minorEastAsia"/>
                <w:kern w:val="0"/>
                <w:sz w:val="24"/>
                <w:highlight w:val="none"/>
                <w:lang w:eastAsia="zh-CN"/>
              </w:rPr>
              <w:br w:type="textWrapping"/>
            </w:r>
            <w:r>
              <w:rPr>
                <w:rFonts w:hint="eastAsia" w:cs="宋体" w:asciiTheme="minorEastAsia" w:hAnsiTheme="minorEastAsia"/>
                <w:kern w:val="0"/>
                <w:sz w:val="24"/>
                <w:highlight w:val="none"/>
              </w:rPr>
              <w:t>（</w:t>
            </w:r>
            <w:r>
              <w:rPr>
                <w:rFonts w:cs="宋体" w:asciiTheme="minorEastAsia" w:hAnsiTheme="minorEastAsia"/>
                <w:kern w:val="0"/>
                <w:sz w:val="24"/>
                <w:highlight w:val="none"/>
              </w:rPr>
              <w:t>1）投标人具有ISO27001信息安全管理体系认证证书得1分；</w:t>
            </w:r>
          </w:p>
          <w:p>
            <w:pPr>
              <w:widowControl/>
              <w:spacing w:line="360" w:lineRule="auto"/>
              <w:jc w:val="left"/>
              <w:rPr>
                <w:rFonts w:cs="宋体" w:asciiTheme="minorEastAsia" w:hAnsiTheme="minorEastAsia"/>
                <w:kern w:val="0"/>
                <w:sz w:val="24"/>
                <w:highlight w:val="none"/>
              </w:rPr>
            </w:pPr>
            <w:r>
              <w:rPr>
                <w:rFonts w:hint="eastAsia" w:cs="宋体" w:asciiTheme="minorEastAsia" w:hAnsiTheme="minorEastAsia"/>
                <w:kern w:val="0"/>
                <w:sz w:val="24"/>
                <w:highlight w:val="none"/>
              </w:rPr>
              <w:t>（</w:t>
            </w:r>
            <w:r>
              <w:rPr>
                <w:rFonts w:cs="宋体" w:asciiTheme="minorEastAsia" w:hAnsiTheme="minorEastAsia"/>
                <w:kern w:val="0"/>
                <w:sz w:val="24"/>
                <w:highlight w:val="none"/>
              </w:rPr>
              <w:t>2）投标人具有ISO20000信息技术服务管理体系认证证书得1分；</w:t>
            </w:r>
          </w:p>
          <w:p>
            <w:pPr>
              <w:spacing w:line="360" w:lineRule="auto"/>
              <w:rPr>
                <w:rFonts w:cs="仿宋" w:asciiTheme="majorEastAsia" w:hAnsiTheme="majorEastAsia" w:eastAsiaTheme="majorEastAsia"/>
                <w:bCs/>
                <w:sz w:val="24"/>
                <w:highlight w:val="none"/>
              </w:rPr>
            </w:pPr>
            <w:r>
              <w:rPr>
                <w:rFonts w:hint="eastAsia" w:cs="宋体" w:asciiTheme="minorEastAsia" w:hAnsiTheme="minorEastAsia"/>
                <w:b/>
                <w:bCs/>
                <w:kern w:val="0"/>
                <w:sz w:val="24"/>
                <w:highlight w:val="none"/>
              </w:rPr>
              <w:t>说明：须提供相关证书复印件且证书须在有效期内。</w:t>
            </w:r>
          </w:p>
        </w:tc>
        <w:tc>
          <w:tcPr>
            <w:tcW w:w="750" w:type="dxa"/>
            <w:vAlign w:val="center"/>
          </w:tcPr>
          <w:p>
            <w:pPr>
              <w:snapToGrid w:val="0"/>
              <w:spacing w:line="360" w:lineRule="auto"/>
              <w:jc w:val="center"/>
              <w:rPr>
                <w:rFonts w:cs="仿宋_GB2312" w:asciiTheme="majorEastAsia" w:hAnsiTheme="majorEastAsia" w:eastAsiaTheme="majorEastAsia"/>
                <w:sz w:val="24"/>
                <w:highlight w:val="none"/>
              </w:rPr>
            </w:pPr>
            <w:r>
              <w:rPr>
                <w:rFonts w:cs="仿宋_GB2312" w:asciiTheme="majorEastAsia" w:hAnsiTheme="majorEastAsia" w:eastAsiaTheme="majorEastAsia"/>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napToGrid w:val="0"/>
              <w:spacing w:line="360" w:lineRule="auto"/>
              <w:jc w:val="center"/>
              <w:rPr>
                <w:rFonts w:cs="仿宋_GB2312" w:asciiTheme="majorEastAsia" w:hAnsiTheme="majorEastAsia" w:eastAsiaTheme="majorEastAsia"/>
                <w:sz w:val="24"/>
                <w:highlight w:val="none"/>
              </w:rPr>
            </w:pPr>
            <w:r>
              <w:rPr>
                <w:rFonts w:cs="仿宋_GB2312" w:asciiTheme="majorEastAsia" w:hAnsiTheme="majorEastAsia" w:eastAsiaTheme="majorEastAsia"/>
                <w:sz w:val="24"/>
                <w:highlight w:val="none"/>
              </w:rPr>
              <w:t>2</w:t>
            </w:r>
          </w:p>
        </w:tc>
        <w:tc>
          <w:tcPr>
            <w:tcW w:w="1985" w:type="dxa"/>
            <w:vAlign w:val="center"/>
          </w:tcPr>
          <w:p>
            <w:pPr>
              <w:spacing w:line="360" w:lineRule="auto"/>
              <w:jc w:val="center"/>
              <w:outlineLvl w:val="0"/>
              <w:rPr>
                <w:rFonts w:cs="仿宋_GB2312" w:asciiTheme="majorEastAsia" w:hAnsiTheme="majorEastAsia" w:eastAsiaTheme="majorEastAsia"/>
                <w:sz w:val="24"/>
                <w:highlight w:val="none"/>
              </w:rPr>
            </w:pPr>
            <w:r>
              <w:rPr>
                <w:rFonts w:cs="仿宋_GB2312" w:asciiTheme="majorEastAsia" w:hAnsiTheme="majorEastAsia" w:eastAsiaTheme="majorEastAsia"/>
                <w:sz w:val="24"/>
                <w:highlight w:val="none"/>
              </w:rPr>
              <w:t>投标人业绩</w:t>
            </w:r>
          </w:p>
        </w:tc>
        <w:tc>
          <w:tcPr>
            <w:tcW w:w="6222" w:type="dxa"/>
            <w:vAlign w:val="center"/>
          </w:tcPr>
          <w:p>
            <w:pPr>
              <w:spacing w:line="360" w:lineRule="auto"/>
              <w:rPr>
                <w:rFonts w:hint="eastAsia" w:cs="宋体" w:asciiTheme="minorEastAsia" w:hAnsiTheme="minorEastAsia"/>
                <w:kern w:val="0"/>
                <w:sz w:val="24"/>
                <w:highlight w:val="none"/>
                <w:lang w:eastAsia="zh-CN"/>
              </w:rPr>
            </w:pPr>
            <w:r>
              <w:rPr>
                <w:rFonts w:hint="eastAsia" w:cs="宋体" w:asciiTheme="minorEastAsia" w:hAnsiTheme="minorEastAsia"/>
                <w:kern w:val="0"/>
                <w:sz w:val="24"/>
                <w:highlight w:val="none"/>
                <w:lang w:eastAsia="zh-CN"/>
              </w:rPr>
              <w:t>【</w:t>
            </w:r>
            <w:r>
              <w:rPr>
                <w:rFonts w:hint="eastAsia" w:cs="宋体" w:asciiTheme="minorEastAsia" w:hAnsiTheme="minorEastAsia"/>
                <w:kern w:val="0"/>
                <w:sz w:val="24"/>
                <w:highlight w:val="none"/>
                <w:lang w:val="en-US" w:eastAsia="zh-CN"/>
              </w:rPr>
              <w:t>客观分</w:t>
            </w:r>
            <w:r>
              <w:rPr>
                <w:rFonts w:hint="eastAsia" w:cs="宋体" w:asciiTheme="minorEastAsia" w:hAnsiTheme="minorEastAsia"/>
                <w:kern w:val="0"/>
                <w:sz w:val="24"/>
                <w:highlight w:val="none"/>
                <w:lang w:eastAsia="zh-CN"/>
              </w:rPr>
              <w:t>】</w:t>
            </w:r>
          </w:p>
          <w:p>
            <w:pPr>
              <w:spacing w:line="360" w:lineRule="auto"/>
              <w:rPr>
                <w:rFonts w:ascii="宋体" w:hAnsi="宋体" w:cs="宋体"/>
                <w:kern w:val="0"/>
                <w:sz w:val="24"/>
                <w:highlight w:val="none"/>
                <w:lang w:bidi="ar"/>
              </w:rPr>
            </w:pPr>
            <w:r>
              <w:rPr>
                <w:rFonts w:cs="仿宋" w:asciiTheme="majorEastAsia" w:hAnsiTheme="majorEastAsia" w:eastAsiaTheme="majorEastAsia"/>
                <w:bCs/>
                <w:sz w:val="24"/>
                <w:highlight w:val="none"/>
              </w:rPr>
              <w:t>投标人提供自2020年1月1日（</w:t>
            </w:r>
            <w:r>
              <w:rPr>
                <w:rFonts w:hint="eastAsia" w:cs="仿宋" w:asciiTheme="majorEastAsia" w:hAnsiTheme="majorEastAsia" w:eastAsiaTheme="majorEastAsia"/>
                <w:bCs/>
                <w:sz w:val="24"/>
                <w:highlight w:val="none"/>
              </w:rPr>
              <w:t>以</w:t>
            </w:r>
            <w:r>
              <w:rPr>
                <w:rFonts w:cs="仿宋" w:asciiTheme="majorEastAsia" w:hAnsiTheme="majorEastAsia" w:eastAsiaTheme="majorEastAsia"/>
                <w:bCs/>
                <w:sz w:val="24"/>
                <w:highlight w:val="none"/>
              </w:rPr>
              <w:t>签订合同</w:t>
            </w:r>
            <w:r>
              <w:rPr>
                <w:rFonts w:hint="eastAsia" w:cs="仿宋" w:asciiTheme="majorEastAsia" w:hAnsiTheme="majorEastAsia" w:eastAsiaTheme="majorEastAsia"/>
                <w:bCs/>
                <w:sz w:val="24"/>
                <w:highlight w:val="none"/>
              </w:rPr>
              <w:t>时间为准</w:t>
            </w:r>
            <w:r>
              <w:rPr>
                <w:rFonts w:cs="仿宋" w:asciiTheme="majorEastAsia" w:hAnsiTheme="majorEastAsia" w:eastAsiaTheme="majorEastAsia"/>
                <w:bCs/>
                <w:sz w:val="24"/>
                <w:highlight w:val="none"/>
              </w:rPr>
              <w:t>）至</w:t>
            </w:r>
            <w:r>
              <w:rPr>
                <w:rFonts w:hint="eastAsia" w:cs="仿宋" w:asciiTheme="majorEastAsia" w:hAnsiTheme="majorEastAsia" w:eastAsiaTheme="majorEastAsia"/>
                <w:bCs/>
                <w:sz w:val="24"/>
                <w:highlight w:val="none"/>
              </w:rPr>
              <w:t>今承担过类似项目（类似项目指软件开发</w:t>
            </w:r>
            <w:r>
              <w:rPr>
                <w:rFonts w:hint="eastAsia" w:cs="仿宋" w:asciiTheme="majorEastAsia" w:hAnsiTheme="majorEastAsia" w:eastAsiaTheme="majorEastAsia"/>
                <w:bCs/>
                <w:sz w:val="24"/>
                <w:highlight w:val="none"/>
                <w:lang w:val="en-US" w:eastAsia="zh-CN"/>
              </w:rPr>
              <w:t>或软件升级</w:t>
            </w:r>
            <w:r>
              <w:rPr>
                <w:rFonts w:hint="eastAsia" w:cs="仿宋" w:asciiTheme="majorEastAsia" w:hAnsiTheme="majorEastAsia" w:eastAsiaTheme="majorEastAsia"/>
                <w:bCs/>
                <w:sz w:val="24"/>
                <w:highlight w:val="none"/>
              </w:rPr>
              <w:t>）</w:t>
            </w:r>
            <w:r>
              <w:rPr>
                <w:rFonts w:hint="eastAsia" w:ascii="宋体" w:hAnsi="宋体" w:cs="宋体"/>
                <w:kern w:val="0"/>
                <w:sz w:val="24"/>
                <w:highlight w:val="none"/>
                <w:lang w:bidi="ar"/>
              </w:rPr>
              <w:t>实施的成功经验情况，每个案例得</w:t>
            </w:r>
            <w:r>
              <w:rPr>
                <w:rFonts w:ascii="宋体" w:hAnsi="宋体" w:cs="宋体"/>
                <w:kern w:val="0"/>
                <w:sz w:val="24"/>
                <w:highlight w:val="none"/>
                <w:lang w:bidi="ar"/>
              </w:rPr>
              <w:t>1</w:t>
            </w:r>
            <w:r>
              <w:rPr>
                <w:rFonts w:hint="eastAsia" w:ascii="宋体" w:hAnsi="宋体" w:cs="宋体"/>
                <w:kern w:val="0"/>
                <w:sz w:val="24"/>
                <w:highlight w:val="none"/>
                <w:lang w:bidi="ar"/>
              </w:rPr>
              <w:t>分,最高得</w:t>
            </w:r>
            <w:r>
              <w:rPr>
                <w:rFonts w:hint="eastAsia" w:ascii="宋体" w:hAnsi="宋体" w:cs="宋体"/>
                <w:kern w:val="0"/>
                <w:sz w:val="24"/>
                <w:highlight w:val="none"/>
                <w:lang w:val="en-US" w:eastAsia="zh-CN" w:bidi="ar"/>
              </w:rPr>
              <w:t>1</w:t>
            </w:r>
            <w:r>
              <w:rPr>
                <w:rFonts w:hint="eastAsia" w:ascii="宋体" w:hAnsi="宋体" w:cs="宋体"/>
                <w:kern w:val="0"/>
                <w:sz w:val="24"/>
                <w:highlight w:val="none"/>
                <w:lang w:bidi="ar"/>
              </w:rPr>
              <w:t>分。</w:t>
            </w:r>
          </w:p>
          <w:p>
            <w:pPr>
              <w:spacing w:line="360" w:lineRule="auto"/>
              <w:rPr>
                <w:b/>
                <w:highlight w:val="none"/>
              </w:rPr>
            </w:pPr>
            <w:r>
              <w:rPr>
                <w:rFonts w:hint="eastAsia" w:cs="宋体" w:asciiTheme="minorEastAsia" w:hAnsiTheme="minorEastAsia"/>
                <w:b/>
                <w:bCs/>
                <w:kern w:val="0"/>
                <w:sz w:val="24"/>
                <w:highlight w:val="none"/>
              </w:rPr>
              <w:t>说明：提供投标文件中提供业绩项目的合同及验收报告材料复印件进行评分，未提供或不符合以上条件不得分。</w:t>
            </w:r>
          </w:p>
        </w:tc>
        <w:tc>
          <w:tcPr>
            <w:tcW w:w="750" w:type="dxa"/>
            <w:vAlign w:val="center"/>
          </w:tcPr>
          <w:p>
            <w:pPr>
              <w:snapToGrid w:val="0"/>
              <w:spacing w:line="360" w:lineRule="auto"/>
              <w:jc w:val="center"/>
              <w:rPr>
                <w:rFonts w:cs="仿宋_GB2312" w:asciiTheme="majorEastAsia" w:hAnsiTheme="majorEastAsia" w:eastAsiaTheme="majorEastAsia"/>
                <w:sz w:val="24"/>
                <w:highlight w:val="none"/>
              </w:rPr>
            </w:pPr>
            <w:r>
              <w:rPr>
                <w:rFonts w:hint="eastAsia" w:cs="仿宋_GB2312" w:asciiTheme="majorEastAsia" w:hAnsiTheme="majorEastAsia" w:eastAsiaTheme="majorEastAsia"/>
                <w:sz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napToGrid w:val="0"/>
              <w:spacing w:line="360" w:lineRule="auto"/>
              <w:jc w:val="center"/>
              <w:rPr>
                <w:rFonts w:cs="仿宋_GB2312" w:asciiTheme="majorEastAsia" w:hAnsiTheme="majorEastAsia" w:eastAsiaTheme="majorEastAsia"/>
                <w:b/>
                <w:bCs/>
                <w:sz w:val="24"/>
                <w:highlight w:val="none"/>
              </w:rPr>
            </w:pPr>
            <w:r>
              <w:rPr>
                <w:rFonts w:hint="eastAsia" w:cs="仿宋_GB2312" w:asciiTheme="majorEastAsia" w:hAnsiTheme="majorEastAsia" w:eastAsiaTheme="majorEastAsia"/>
                <w:b/>
                <w:bCs/>
                <w:sz w:val="24"/>
                <w:highlight w:val="none"/>
              </w:rPr>
              <w:t>二</w:t>
            </w:r>
          </w:p>
        </w:tc>
        <w:tc>
          <w:tcPr>
            <w:tcW w:w="8207" w:type="dxa"/>
            <w:gridSpan w:val="2"/>
            <w:vAlign w:val="center"/>
          </w:tcPr>
          <w:p>
            <w:pPr>
              <w:spacing w:line="360" w:lineRule="auto"/>
              <w:rPr>
                <w:rFonts w:asciiTheme="majorEastAsia" w:hAnsiTheme="majorEastAsia" w:eastAsiaTheme="majorEastAsia"/>
                <w:sz w:val="24"/>
                <w:highlight w:val="none"/>
              </w:rPr>
            </w:pPr>
            <w:r>
              <w:rPr>
                <w:rFonts w:cs="仿宋_GB2312" w:asciiTheme="majorEastAsia" w:hAnsiTheme="majorEastAsia" w:eastAsiaTheme="majorEastAsia"/>
                <w:b/>
                <w:bCs/>
                <w:sz w:val="24"/>
                <w:highlight w:val="none"/>
              </w:rPr>
              <w:t>技术</w:t>
            </w:r>
            <w:r>
              <w:rPr>
                <w:rFonts w:hint="eastAsia" w:cs="仿宋_GB2312" w:asciiTheme="majorEastAsia" w:hAnsiTheme="majorEastAsia" w:eastAsiaTheme="majorEastAsia"/>
                <w:b/>
                <w:bCs/>
                <w:sz w:val="24"/>
                <w:highlight w:val="none"/>
              </w:rPr>
              <w:t>服务方案</w:t>
            </w:r>
          </w:p>
        </w:tc>
        <w:tc>
          <w:tcPr>
            <w:tcW w:w="750" w:type="dxa"/>
            <w:vAlign w:val="center"/>
          </w:tcPr>
          <w:p>
            <w:pPr>
              <w:snapToGrid w:val="0"/>
              <w:spacing w:line="360" w:lineRule="auto"/>
              <w:jc w:val="center"/>
              <w:rPr>
                <w:rFonts w:hint="default" w:cs="仿宋_GB2312" w:asciiTheme="majorEastAsia" w:hAnsiTheme="majorEastAsia" w:eastAsiaTheme="majorEastAsia"/>
                <w:b/>
                <w:bCs/>
                <w:sz w:val="24"/>
                <w:highlight w:val="none"/>
                <w:lang w:val="en-US" w:eastAsia="zh-CN"/>
              </w:rPr>
            </w:pPr>
            <w:r>
              <w:rPr>
                <w:rFonts w:hint="eastAsia" w:cs="仿宋_GB2312" w:asciiTheme="majorEastAsia" w:hAnsiTheme="majorEastAsia" w:eastAsiaTheme="majorEastAsia"/>
                <w:b/>
                <w:bCs/>
                <w:sz w:val="24"/>
                <w:highlight w:val="none"/>
                <w:lang w:val="en-US" w:eastAsia="zh-CN"/>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1" w:hRule="atLeast"/>
          <w:jc w:val="center"/>
        </w:trPr>
        <w:tc>
          <w:tcPr>
            <w:tcW w:w="709" w:type="dxa"/>
            <w:vMerge w:val="restart"/>
            <w:vAlign w:val="center"/>
          </w:tcPr>
          <w:p>
            <w:pPr>
              <w:snapToGrid w:val="0"/>
              <w:spacing w:line="360" w:lineRule="auto"/>
              <w:jc w:val="center"/>
              <w:rPr>
                <w:rFonts w:cs="仿宋_GB2312" w:asciiTheme="majorEastAsia" w:hAnsiTheme="majorEastAsia" w:eastAsiaTheme="majorEastAsia"/>
                <w:sz w:val="24"/>
                <w:highlight w:val="none"/>
              </w:rPr>
            </w:pPr>
            <w:r>
              <w:rPr>
                <w:rFonts w:cs="仿宋_GB2312" w:asciiTheme="majorEastAsia" w:hAnsiTheme="majorEastAsia" w:eastAsiaTheme="majorEastAsia"/>
                <w:sz w:val="24"/>
                <w:highlight w:val="none"/>
              </w:rPr>
              <w:t>3</w:t>
            </w:r>
          </w:p>
        </w:tc>
        <w:tc>
          <w:tcPr>
            <w:tcW w:w="1985" w:type="dxa"/>
            <w:vMerge w:val="restart"/>
            <w:vAlign w:val="center"/>
          </w:tcPr>
          <w:p>
            <w:pPr>
              <w:widowControl/>
              <w:snapToGrid w:val="0"/>
              <w:spacing w:line="360" w:lineRule="auto"/>
              <w:textAlignment w:val="center"/>
              <w:rPr>
                <w:rFonts w:ascii="宋体" w:hAnsi="宋体" w:cs="宋体"/>
                <w:b/>
                <w:bCs/>
                <w:sz w:val="24"/>
                <w:highlight w:val="none"/>
              </w:rPr>
            </w:pPr>
            <w:r>
              <w:rPr>
                <w:rFonts w:hint="eastAsia" w:ascii="宋体" w:hAnsi="宋体" w:cs="宋体"/>
                <w:b/>
                <w:bCs/>
                <w:sz w:val="24"/>
                <w:highlight w:val="none"/>
              </w:rPr>
              <w:t>软件开发总体架构及技术路线</w:t>
            </w:r>
          </w:p>
        </w:tc>
        <w:tc>
          <w:tcPr>
            <w:tcW w:w="6222" w:type="dxa"/>
            <w:vAlign w:val="center"/>
          </w:tcPr>
          <w:p>
            <w:pPr>
              <w:widowControl/>
              <w:snapToGrid w:val="0"/>
              <w:spacing w:line="360" w:lineRule="auto"/>
              <w:textAlignment w:val="center"/>
              <w:rPr>
                <w:rFonts w:ascii="宋体" w:hAnsi="宋体" w:cs="宋体"/>
                <w:sz w:val="24"/>
                <w:highlight w:val="none"/>
              </w:rPr>
            </w:pPr>
            <w:r>
              <w:rPr>
                <w:rFonts w:hint="eastAsia" w:cs="宋体" w:asciiTheme="minorEastAsia" w:hAnsiTheme="minorEastAsia"/>
                <w:kern w:val="0"/>
                <w:sz w:val="24"/>
                <w:highlight w:val="none"/>
                <w:lang w:eastAsia="zh-CN"/>
              </w:rPr>
              <w:t>【</w:t>
            </w:r>
            <w:r>
              <w:rPr>
                <w:rFonts w:hint="eastAsia" w:cs="宋体" w:asciiTheme="minorEastAsia" w:hAnsiTheme="minorEastAsia"/>
                <w:kern w:val="0"/>
                <w:sz w:val="24"/>
                <w:highlight w:val="none"/>
                <w:lang w:val="en-US" w:eastAsia="zh-CN"/>
              </w:rPr>
              <w:t>主观分</w:t>
            </w:r>
            <w:r>
              <w:rPr>
                <w:rFonts w:hint="eastAsia" w:cs="宋体" w:asciiTheme="minorEastAsia" w:hAnsiTheme="minorEastAsia"/>
                <w:kern w:val="0"/>
                <w:sz w:val="24"/>
                <w:highlight w:val="none"/>
                <w:lang w:eastAsia="zh-CN"/>
              </w:rPr>
              <w:t>】</w:t>
            </w:r>
          </w:p>
          <w:p>
            <w:pPr>
              <w:widowControl/>
              <w:snapToGrid w:val="0"/>
              <w:spacing w:line="360" w:lineRule="auto"/>
              <w:textAlignment w:val="center"/>
              <w:rPr>
                <w:rFonts w:ascii="宋体" w:hAnsi="宋体" w:cs="宋体"/>
                <w:sz w:val="24"/>
                <w:highlight w:val="none"/>
              </w:rPr>
            </w:pPr>
            <w:r>
              <w:rPr>
                <w:rFonts w:ascii="宋体" w:hAnsi="宋体" w:cs="宋体"/>
                <w:sz w:val="24"/>
                <w:highlight w:val="none"/>
              </w:rPr>
              <w:t>投标方案总体设计、建设方案、详细阐述系统的体系架构、实现思路和关键技术</w:t>
            </w:r>
            <w:r>
              <w:rPr>
                <w:rFonts w:hint="eastAsia" w:ascii="宋体" w:hAnsi="宋体" w:cs="宋体"/>
                <w:sz w:val="24"/>
                <w:highlight w:val="none"/>
              </w:rPr>
              <w:t>，</w:t>
            </w:r>
            <w:r>
              <w:rPr>
                <w:rFonts w:ascii="宋体" w:hAnsi="宋体" w:cs="宋体"/>
                <w:sz w:val="24"/>
                <w:highlight w:val="none"/>
              </w:rPr>
              <w:t>方案对系统实施可能遇到的问题及其应对措施的考虑情况等</w:t>
            </w:r>
            <w:r>
              <w:rPr>
                <w:rFonts w:hint="eastAsia" w:ascii="宋体" w:hAnsi="宋体" w:cs="宋体"/>
                <w:sz w:val="24"/>
                <w:highlight w:val="none"/>
              </w:rPr>
              <w:t>。城市运行生命体征</w:t>
            </w:r>
            <w:r>
              <w:rPr>
                <w:rFonts w:hint="eastAsia" w:ascii="宋体" w:hAnsi="宋体" w:cs="宋体"/>
                <w:sz w:val="24"/>
                <w:highlight w:val="none"/>
                <w:lang w:val="en-US" w:eastAsia="zh-CN"/>
              </w:rPr>
              <w:t>的</w:t>
            </w:r>
            <w:r>
              <w:rPr>
                <w:rFonts w:hint="eastAsia" w:ascii="宋体" w:hAnsi="宋体" w:cs="宋体"/>
                <w:sz w:val="24"/>
                <w:highlight w:val="none"/>
              </w:rPr>
              <w:t>技术解决方案中体现包括：</w:t>
            </w:r>
            <w:r>
              <w:rPr>
                <w:rFonts w:hint="eastAsia" w:ascii="宋体" w:hAnsi="宋体" w:cs="宋体"/>
                <w:sz w:val="24"/>
                <w:highlight w:val="none"/>
              </w:rPr>
              <w:br w:type="textWrapping"/>
            </w:r>
            <w:r>
              <w:rPr>
                <w:rFonts w:hint="eastAsia" w:ascii="宋体" w:hAnsi="宋体" w:cs="宋体"/>
                <w:sz w:val="24"/>
                <w:highlight w:val="none"/>
              </w:rPr>
              <w:t>（1）</w:t>
            </w:r>
            <w:r>
              <w:rPr>
                <w:rFonts w:hint="eastAsia" w:ascii="宋体" w:hAnsi="宋体" w:cs="宋体"/>
                <w:sz w:val="24"/>
                <w:highlight w:val="none"/>
                <w:lang w:val="en-US" w:eastAsia="zh-CN"/>
              </w:rPr>
              <w:t>体征构建总体模块实施方案</w:t>
            </w:r>
            <w:r>
              <w:rPr>
                <w:rFonts w:hint="eastAsia" w:ascii="宋体" w:hAnsi="宋体" w:cs="宋体"/>
                <w:sz w:val="24"/>
                <w:highlight w:val="none"/>
              </w:rPr>
              <w:t>；</w:t>
            </w:r>
          </w:p>
          <w:p>
            <w:pPr>
              <w:widowControl/>
              <w:snapToGrid w:val="0"/>
              <w:spacing w:line="360" w:lineRule="auto"/>
              <w:textAlignment w:val="center"/>
              <w:rPr>
                <w:rFonts w:ascii="宋体" w:hAnsi="宋体" w:cs="宋体"/>
                <w:b w:val="0"/>
                <w:bCs w:val="0"/>
                <w:sz w:val="24"/>
                <w:highlight w:val="none"/>
              </w:rPr>
            </w:pPr>
            <w:r>
              <w:rPr>
                <w:rFonts w:hint="eastAsia" w:ascii="宋体" w:hAnsi="宋体" w:cs="宋体"/>
                <w:b w:val="0"/>
                <w:bCs w:val="0"/>
                <w:sz w:val="24"/>
                <w:highlight w:val="none"/>
              </w:rPr>
              <w:t>（2）城镇燃气体征</w:t>
            </w:r>
            <w:r>
              <w:rPr>
                <w:rFonts w:hint="eastAsia" w:ascii="宋体" w:hAnsi="宋体" w:cs="宋体"/>
                <w:b w:val="0"/>
                <w:bCs w:val="0"/>
                <w:sz w:val="24"/>
                <w:highlight w:val="none"/>
                <w:lang w:val="en-US" w:eastAsia="zh-CN"/>
              </w:rPr>
              <w:t>建设</w:t>
            </w:r>
            <w:r>
              <w:rPr>
                <w:rFonts w:hint="eastAsia" w:ascii="宋体" w:hAnsi="宋体" w:cs="宋体"/>
                <w:b w:val="0"/>
                <w:bCs w:val="0"/>
                <w:sz w:val="24"/>
                <w:highlight w:val="none"/>
              </w:rPr>
              <w:t>方案；</w:t>
            </w:r>
          </w:p>
          <w:p>
            <w:pPr>
              <w:widowControl/>
              <w:snapToGrid w:val="0"/>
              <w:spacing w:line="360" w:lineRule="auto"/>
              <w:textAlignment w:val="center"/>
              <w:rPr>
                <w:rFonts w:ascii="宋体" w:hAnsi="宋体" w:cs="宋体"/>
                <w:b w:val="0"/>
                <w:bCs w:val="0"/>
                <w:sz w:val="24"/>
                <w:highlight w:val="none"/>
              </w:rPr>
            </w:pPr>
            <w:r>
              <w:rPr>
                <w:rFonts w:hint="eastAsia" w:ascii="宋体" w:hAnsi="宋体" w:cs="宋体"/>
                <w:b w:val="0"/>
                <w:bCs w:val="0"/>
                <w:sz w:val="24"/>
                <w:highlight w:val="none"/>
              </w:rPr>
              <w:t>（</w:t>
            </w:r>
            <w:r>
              <w:rPr>
                <w:rFonts w:ascii="宋体" w:hAnsi="宋体" w:cs="宋体"/>
                <w:b w:val="0"/>
                <w:bCs w:val="0"/>
                <w:sz w:val="24"/>
                <w:highlight w:val="none"/>
              </w:rPr>
              <w:t>3</w:t>
            </w:r>
            <w:r>
              <w:rPr>
                <w:rFonts w:hint="eastAsia" w:ascii="宋体" w:hAnsi="宋体" w:cs="宋体"/>
                <w:b w:val="0"/>
                <w:bCs w:val="0"/>
                <w:sz w:val="24"/>
                <w:highlight w:val="none"/>
              </w:rPr>
              <w:t>）</w:t>
            </w:r>
            <w:r>
              <w:rPr>
                <w:rFonts w:hint="eastAsia" w:asciiTheme="minorEastAsia" w:hAnsiTheme="minorEastAsia"/>
                <w:b w:val="0"/>
                <w:bCs w:val="0"/>
                <w:sz w:val="24"/>
                <w:szCs w:val="24"/>
                <w:highlight w:val="none"/>
              </w:rPr>
              <w:t>市政设施体征</w:t>
            </w:r>
            <w:r>
              <w:rPr>
                <w:rFonts w:hint="eastAsia" w:ascii="宋体" w:hAnsi="宋体" w:cs="宋体"/>
                <w:b w:val="0"/>
                <w:bCs w:val="0"/>
                <w:sz w:val="24"/>
                <w:highlight w:val="none"/>
              </w:rPr>
              <w:t>建设方案；</w:t>
            </w:r>
          </w:p>
          <w:p>
            <w:pPr>
              <w:widowControl/>
              <w:snapToGrid w:val="0"/>
              <w:spacing w:line="360" w:lineRule="auto"/>
              <w:textAlignment w:val="center"/>
              <w:rPr>
                <w:rFonts w:ascii="宋体" w:hAnsi="宋体" w:cs="宋体"/>
                <w:b w:val="0"/>
                <w:bCs w:val="0"/>
                <w:sz w:val="24"/>
                <w:highlight w:val="none"/>
              </w:rPr>
            </w:pPr>
            <w:r>
              <w:rPr>
                <w:rFonts w:hint="eastAsia" w:ascii="宋体" w:hAnsi="宋体" w:cs="宋体"/>
                <w:b w:val="0"/>
                <w:bCs w:val="0"/>
                <w:sz w:val="24"/>
                <w:highlight w:val="none"/>
              </w:rPr>
              <w:t>（4）</w:t>
            </w:r>
            <w:r>
              <w:rPr>
                <w:rFonts w:hint="eastAsia" w:asciiTheme="minorEastAsia" w:hAnsiTheme="minorEastAsia"/>
                <w:b w:val="0"/>
                <w:bCs w:val="0"/>
                <w:sz w:val="24"/>
                <w:szCs w:val="24"/>
                <w:highlight w:val="none"/>
              </w:rPr>
              <w:t>水设施河道体征</w:t>
            </w:r>
            <w:r>
              <w:rPr>
                <w:rFonts w:hint="eastAsia" w:ascii="宋体" w:hAnsi="宋体" w:cs="宋体"/>
                <w:b w:val="0"/>
                <w:bCs w:val="0"/>
                <w:sz w:val="24"/>
                <w:highlight w:val="none"/>
              </w:rPr>
              <w:t>建设方案；</w:t>
            </w:r>
          </w:p>
          <w:p>
            <w:pPr>
              <w:widowControl/>
              <w:snapToGrid w:val="0"/>
              <w:spacing w:line="360" w:lineRule="auto"/>
              <w:textAlignment w:val="center"/>
              <w:rPr>
                <w:rFonts w:ascii="宋体" w:hAnsi="宋体" w:cs="宋体"/>
                <w:b w:val="0"/>
                <w:bCs w:val="0"/>
                <w:sz w:val="24"/>
                <w:highlight w:val="none"/>
              </w:rPr>
            </w:pPr>
            <w:r>
              <w:rPr>
                <w:rFonts w:hint="eastAsia" w:ascii="宋体" w:hAnsi="宋体" w:cs="宋体"/>
                <w:b w:val="0"/>
                <w:bCs w:val="0"/>
                <w:sz w:val="24"/>
                <w:highlight w:val="none"/>
              </w:rPr>
              <w:t>（5）</w:t>
            </w:r>
            <w:r>
              <w:rPr>
                <w:rFonts w:hint="eastAsia" w:asciiTheme="minorEastAsia" w:hAnsiTheme="minorEastAsia"/>
                <w:b w:val="0"/>
                <w:bCs w:val="0"/>
                <w:sz w:val="24"/>
                <w:szCs w:val="24"/>
                <w:highlight w:val="none"/>
              </w:rPr>
              <w:t>地铁运营期保护区体征</w:t>
            </w:r>
            <w:r>
              <w:rPr>
                <w:rFonts w:hint="eastAsia" w:ascii="宋体" w:hAnsi="宋体" w:cs="宋体"/>
                <w:b w:val="0"/>
                <w:bCs w:val="0"/>
                <w:sz w:val="24"/>
                <w:highlight w:val="none"/>
              </w:rPr>
              <w:t>建设方案；</w:t>
            </w:r>
          </w:p>
          <w:p>
            <w:pPr>
              <w:widowControl/>
              <w:snapToGrid w:val="0"/>
              <w:spacing w:line="360" w:lineRule="auto"/>
              <w:textAlignment w:val="center"/>
              <w:rPr>
                <w:rFonts w:hint="eastAsia" w:ascii="宋体" w:hAnsi="宋体" w:eastAsia="宋体" w:cs="宋体"/>
                <w:b w:val="0"/>
                <w:bCs w:val="0"/>
                <w:sz w:val="24"/>
                <w:highlight w:val="none"/>
                <w:lang w:eastAsia="zh-CN"/>
              </w:rPr>
            </w:pPr>
            <w:r>
              <w:rPr>
                <w:rFonts w:hint="eastAsia" w:ascii="宋体" w:hAnsi="宋体" w:cs="宋体"/>
                <w:b w:val="0"/>
                <w:bCs w:val="0"/>
                <w:sz w:val="24"/>
                <w:highlight w:val="none"/>
              </w:rPr>
              <w:t>（6）</w:t>
            </w:r>
            <w:r>
              <w:rPr>
                <w:rFonts w:hint="eastAsia" w:asciiTheme="minorEastAsia" w:hAnsiTheme="minorEastAsia"/>
                <w:b w:val="0"/>
                <w:bCs w:val="0"/>
                <w:sz w:val="24"/>
                <w:szCs w:val="24"/>
                <w:highlight w:val="none"/>
              </w:rPr>
              <w:t>固废处置体征</w:t>
            </w:r>
            <w:r>
              <w:rPr>
                <w:rFonts w:hint="eastAsia" w:asciiTheme="minorEastAsia" w:hAnsiTheme="minorEastAsia"/>
                <w:b w:val="0"/>
                <w:bCs w:val="0"/>
                <w:sz w:val="24"/>
                <w:szCs w:val="24"/>
                <w:highlight w:val="none"/>
                <w:lang w:val="en-US" w:eastAsia="zh-CN"/>
              </w:rPr>
              <w:t>建设</w:t>
            </w:r>
            <w:r>
              <w:rPr>
                <w:rFonts w:hint="eastAsia" w:ascii="宋体" w:hAnsi="宋体" w:cs="宋体"/>
                <w:b w:val="0"/>
                <w:bCs w:val="0"/>
                <w:sz w:val="24"/>
                <w:highlight w:val="none"/>
              </w:rPr>
              <w:t>方案；</w:t>
            </w:r>
            <w:r>
              <w:rPr>
                <w:rFonts w:hint="eastAsia" w:ascii="宋体" w:hAnsi="宋体" w:cs="宋体"/>
                <w:b w:val="0"/>
                <w:bCs w:val="0"/>
                <w:sz w:val="24"/>
                <w:highlight w:val="none"/>
              </w:rPr>
              <w:br w:type="textWrapping"/>
            </w:r>
            <w:r>
              <w:rPr>
                <w:rFonts w:hint="eastAsia" w:ascii="宋体" w:hAnsi="宋体" w:cs="宋体"/>
                <w:b w:val="0"/>
                <w:bCs w:val="0"/>
                <w:sz w:val="24"/>
                <w:highlight w:val="none"/>
                <w:lang w:eastAsia="zh-CN"/>
              </w:rPr>
              <w:t>（</w:t>
            </w:r>
            <w:r>
              <w:rPr>
                <w:rFonts w:hint="eastAsia" w:ascii="宋体" w:hAnsi="宋体" w:cs="宋体"/>
                <w:b w:val="0"/>
                <w:bCs w:val="0"/>
                <w:sz w:val="24"/>
                <w:highlight w:val="none"/>
                <w:lang w:val="en-US" w:eastAsia="zh-CN"/>
              </w:rPr>
              <w:t>7</w:t>
            </w:r>
            <w:r>
              <w:rPr>
                <w:rFonts w:hint="eastAsia" w:ascii="宋体" w:hAnsi="宋体" w:cs="宋体"/>
                <w:b w:val="0"/>
                <w:bCs w:val="0"/>
                <w:sz w:val="24"/>
                <w:highlight w:val="none"/>
                <w:lang w:eastAsia="zh-CN"/>
              </w:rPr>
              <w:t>）</w:t>
            </w:r>
            <w:r>
              <w:rPr>
                <w:rFonts w:hint="eastAsia" w:asciiTheme="minorEastAsia" w:hAnsiTheme="minorEastAsia"/>
                <w:b w:val="0"/>
                <w:bCs w:val="0"/>
                <w:sz w:val="24"/>
                <w:szCs w:val="24"/>
                <w:highlight w:val="none"/>
              </w:rPr>
              <w:t>市容景观体征</w:t>
            </w:r>
            <w:r>
              <w:rPr>
                <w:rFonts w:hint="eastAsia" w:asciiTheme="minorEastAsia" w:hAnsiTheme="minorEastAsia"/>
                <w:b w:val="0"/>
                <w:bCs w:val="0"/>
                <w:sz w:val="24"/>
                <w:szCs w:val="24"/>
                <w:highlight w:val="none"/>
                <w:lang w:val="en-US" w:eastAsia="zh-CN"/>
              </w:rPr>
              <w:t>建设</w:t>
            </w:r>
            <w:r>
              <w:rPr>
                <w:rFonts w:hint="eastAsia" w:ascii="宋体" w:hAnsi="宋体" w:cs="宋体"/>
                <w:b w:val="0"/>
                <w:bCs w:val="0"/>
                <w:sz w:val="24"/>
                <w:highlight w:val="none"/>
              </w:rPr>
              <w:t>方案</w:t>
            </w:r>
            <w:r>
              <w:rPr>
                <w:rFonts w:hint="eastAsia" w:ascii="宋体" w:hAnsi="宋体" w:cs="宋体"/>
                <w:b w:val="0"/>
                <w:bCs w:val="0"/>
                <w:sz w:val="24"/>
                <w:highlight w:val="none"/>
                <w:lang w:eastAsia="zh-CN"/>
              </w:rPr>
              <w:t>；</w:t>
            </w:r>
            <w:r>
              <w:rPr>
                <w:rFonts w:hint="eastAsia" w:ascii="宋体" w:hAnsi="宋体" w:cs="宋体"/>
                <w:b w:val="0"/>
                <w:bCs w:val="0"/>
                <w:sz w:val="24"/>
                <w:highlight w:val="none"/>
                <w:lang w:eastAsia="zh-CN"/>
              </w:rPr>
              <w:br w:type="textWrapping"/>
            </w:r>
            <w:r>
              <w:rPr>
                <w:rFonts w:hint="eastAsia" w:ascii="宋体" w:hAnsi="宋体" w:cs="宋体"/>
                <w:b w:val="0"/>
                <w:bCs w:val="0"/>
                <w:sz w:val="24"/>
                <w:highlight w:val="none"/>
                <w:lang w:eastAsia="zh-CN"/>
              </w:rPr>
              <w:t>（</w:t>
            </w:r>
            <w:r>
              <w:rPr>
                <w:rFonts w:hint="eastAsia" w:ascii="宋体" w:hAnsi="宋体" w:cs="宋体"/>
                <w:b w:val="0"/>
                <w:bCs w:val="0"/>
                <w:sz w:val="24"/>
                <w:highlight w:val="none"/>
                <w:lang w:val="en-US" w:eastAsia="zh-CN"/>
              </w:rPr>
              <w:t>8</w:t>
            </w:r>
            <w:r>
              <w:rPr>
                <w:rFonts w:hint="eastAsia" w:ascii="宋体" w:hAnsi="宋体" w:cs="宋体"/>
                <w:b w:val="0"/>
                <w:bCs w:val="0"/>
                <w:sz w:val="24"/>
                <w:highlight w:val="none"/>
                <w:lang w:eastAsia="zh-CN"/>
              </w:rPr>
              <w:t>）</w:t>
            </w:r>
            <w:r>
              <w:rPr>
                <w:rFonts w:hint="eastAsia" w:asciiTheme="minorEastAsia" w:hAnsiTheme="minorEastAsia"/>
                <w:b w:val="0"/>
                <w:bCs w:val="0"/>
                <w:sz w:val="24"/>
                <w:szCs w:val="24"/>
                <w:highlight w:val="none"/>
              </w:rPr>
              <w:t>其他领域体征</w:t>
            </w:r>
            <w:r>
              <w:rPr>
                <w:rFonts w:hint="eastAsia" w:asciiTheme="minorEastAsia" w:hAnsiTheme="minorEastAsia"/>
                <w:b w:val="0"/>
                <w:bCs w:val="0"/>
                <w:sz w:val="24"/>
                <w:szCs w:val="24"/>
                <w:highlight w:val="none"/>
                <w:lang w:val="en-US" w:eastAsia="zh-CN"/>
              </w:rPr>
              <w:t>建设</w:t>
            </w:r>
            <w:r>
              <w:rPr>
                <w:rFonts w:hint="eastAsia" w:ascii="宋体" w:hAnsi="宋体" w:cs="宋体"/>
                <w:b w:val="0"/>
                <w:bCs w:val="0"/>
                <w:sz w:val="24"/>
                <w:highlight w:val="none"/>
              </w:rPr>
              <w:t>方案</w:t>
            </w:r>
            <w:r>
              <w:rPr>
                <w:rFonts w:hint="eastAsia" w:ascii="宋体" w:hAnsi="宋体" w:cs="宋体"/>
                <w:b w:val="0"/>
                <w:bCs w:val="0"/>
                <w:sz w:val="24"/>
                <w:highlight w:val="none"/>
                <w:lang w:eastAsia="zh-CN"/>
              </w:rPr>
              <w:t>；</w:t>
            </w:r>
          </w:p>
          <w:p>
            <w:pPr>
              <w:snapToGrid w:val="0"/>
              <w:spacing w:line="360" w:lineRule="auto"/>
              <w:rPr>
                <w:rFonts w:ascii="宋体" w:hAnsi="宋体" w:cs="宋体"/>
                <w:b/>
                <w:bCs/>
                <w:sz w:val="24"/>
                <w:highlight w:val="none"/>
              </w:rPr>
            </w:pPr>
            <w:r>
              <w:rPr>
                <w:rFonts w:hint="eastAsia" w:ascii="宋体" w:hAnsi="宋体"/>
                <w:b/>
                <w:bCs/>
                <w:sz w:val="24"/>
                <w:highlight w:val="none"/>
              </w:rPr>
              <w:t>说明：每项内容提供完整的技术方案且完全满足采购人要求得</w:t>
            </w:r>
            <w:r>
              <w:rPr>
                <w:rFonts w:hint="eastAsia" w:ascii="宋体" w:hAnsi="宋体"/>
                <w:b/>
                <w:bCs/>
                <w:sz w:val="24"/>
                <w:highlight w:val="none"/>
                <w:lang w:val="en-US" w:eastAsia="zh-CN"/>
              </w:rPr>
              <w:t>2</w:t>
            </w:r>
            <w:r>
              <w:rPr>
                <w:rFonts w:hint="eastAsia" w:ascii="宋体" w:hAnsi="宋体"/>
                <w:b/>
                <w:bCs/>
                <w:sz w:val="24"/>
                <w:highlight w:val="none"/>
              </w:rPr>
              <w:t>分，方案内容存在缺项或部分满足得</w:t>
            </w:r>
            <w:r>
              <w:rPr>
                <w:rFonts w:hint="eastAsia" w:ascii="宋体" w:hAnsi="宋体"/>
                <w:b/>
                <w:bCs/>
                <w:sz w:val="24"/>
                <w:highlight w:val="none"/>
                <w:lang w:val="en-US" w:eastAsia="zh-CN"/>
              </w:rPr>
              <w:t>1</w:t>
            </w:r>
            <w:r>
              <w:rPr>
                <w:rFonts w:hint="eastAsia" w:ascii="宋体" w:hAnsi="宋体"/>
                <w:b/>
                <w:bCs/>
                <w:sz w:val="24"/>
                <w:highlight w:val="none"/>
              </w:rPr>
              <w:t>分，未提供方案或不满足不得分，本项最高</w:t>
            </w:r>
            <w:r>
              <w:rPr>
                <w:rFonts w:hint="eastAsia" w:ascii="宋体" w:hAnsi="宋体"/>
                <w:b/>
                <w:bCs/>
                <w:sz w:val="24"/>
                <w:highlight w:val="none"/>
                <w:lang w:val="en-US" w:eastAsia="zh-CN"/>
              </w:rPr>
              <w:t>16</w:t>
            </w:r>
            <w:r>
              <w:rPr>
                <w:rFonts w:hint="eastAsia" w:ascii="宋体" w:hAnsi="宋体"/>
                <w:b/>
                <w:bCs/>
                <w:sz w:val="24"/>
                <w:highlight w:val="none"/>
              </w:rPr>
              <w:t>分。</w:t>
            </w:r>
          </w:p>
        </w:tc>
        <w:tc>
          <w:tcPr>
            <w:tcW w:w="750" w:type="dxa"/>
            <w:vAlign w:val="center"/>
          </w:tcPr>
          <w:p>
            <w:pPr>
              <w:snapToGrid w:val="0"/>
              <w:spacing w:line="360" w:lineRule="auto"/>
              <w:jc w:val="center"/>
              <w:rPr>
                <w:rFonts w:cs="仿宋_GB2312" w:asciiTheme="minorEastAsia" w:hAnsiTheme="minorEastAsia"/>
                <w:sz w:val="24"/>
                <w:highlight w:val="none"/>
              </w:rPr>
            </w:pPr>
            <w:r>
              <w:rPr>
                <w:rFonts w:hint="eastAsia" w:cs="宋体" w:asciiTheme="minorEastAsia" w:hAnsiTheme="minorEastAsia"/>
                <w:kern w:val="0"/>
                <w:sz w:val="24"/>
                <w:highlight w:val="none"/>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9" w:type="dxa"/>
            <w:vMerge w:val="continue"/>
            <w:vAlign w:val="center"/>
          </w:tcPr>
          <w:p>
            <w:pPr>
              <w:snapToGrid w:val="0"/>
              <w:spacing w:line="360" w:lineRule="auto"/>
              <w:jc w:val="center"/>
              <w:rPr>
                <w:rFonts w:cs="仿宋_GB2312" w:asciiTheme="majorEastAsia" w:hAnsiTheme="majorEastAsia" w:eastAsiaTheme="majorEastAsia"/>
                <w:sz w:val="24"/>
                <w:highlight w:val="none"/>
              </w:rPr>
            </w:pPr>
          </w:p>
        </w:tc>
        <w:tc>
          <w:tcPr>
            <w:tcW w:w="1985" w:type="dxa"/>
            <w:vMerge w:val="continue"/>
            <w:vAlign w:val="center"/>
          </w:tcPr>
          <w:p>
            <w:pPr>
              <w:widowControl/>
              <w:snapToGrid w:val="0"/>
              <w:spacing w:line="360" w:lineRule="auto"/>
              <w:textAlignment w:val="center"/>
              <w:rPr>
                <w:rFonts w:hint="eastAsia" w:ascii="宋体" w:hAnsi="宋体" w:cs="宋体"/>
                <w:b/>
                <w:bCs/>
                <w:sz w:val="24"/>
                <w:highlight w:val="none"/>
              </w:rPr>
            </w:pPr>
          </w:p>
        </w:tc>
        <w:tc>
          <w:tcPr>
            <w:tcW w:w="6222" w:type="dxa"/>
            <w:vAlign w:val="center"/>
          </w:tcPr>
          <w:p>
            <w:pPr>
              <w:widowControl/>
              <w:snapToGrid w:val="0"/>
              <w:spacing w:line="360" w:lineRule="auto"/>
              <w:textAlignment w:val="center"/>
              <w:rPr>
                <w:rFonts w:ascii="宋体" w:hAnsi="宋体" w:cs="宋体"/>
                <w:sz w:val="24"/>
                <w:highlight w:val="none"/>
              </w:rPr>
            </w:pPr>
            <w:r>
              <w:rPr>
                <w:rFonts w:hint="eastAsia" w:cs="宋体" w:asciiTheme="minorEastAsia" w:hAnsiTheme="minorEastAsia"/>
                <w:kern w:val="0"/>
                <w:sz w:val="24"/>
                <w:highlight w:val="none"/>
                <w:lang w:eastAsia="zh-CN"/>
              </w:rPr>
              <w:t>【</w:t>
            </w:r>
            <w:r>
              <w:rPr>
                <w:rFonts w:hint="eastAsia" w:cs="宋体" w:asciiTheme="minorEastAsia" w:hAnsiTheme="minorEastAsia"/>
                <w:kern w:val="0"/>
                <w:sz w:val="24"/>
                <w:highlight w:val="none"/>
                <w:lang w:val="en-US" w:eastAsia="zh-CN"/>
              </w:rPr>
              <w:t>主观分</w:t>
            </w:r>
            <w:r>
              <w:rPr>
                <w:rFonts w:hint="eastAsia" w:cs="宋体" w:asciiTheme="minorEastAsia" w:hAnsiTheme="minorEastAsia"/>
                <w:kern w:val="0"/>
                <w:sz w:val="24"/>
                <w:highlight w:val="none"/>
                <w:lang w:eastAsia="zh-CN"/>
              </w:rPr>
              <w:t>】</w:t>
            </w:r>
          </w:p>
          <w:p>
            <w:pPr>
              <w:snapToGrid w:val="0"/>
              <w:spacing w:line="360" w:lineRule="auto"/>
              <w:rPr>
                <w:rFonts w:hint="eastAsia" w:ascii="宋体" w:hAnsi="宋体" w:eastAsia="宋体"/>
                <w:b/>
                <w:bCs/>
                <w:sz w:val="24"/>
                <w:highlight w:val="none"/>
                <w:lang w:eastAsia="zh-CN"/>
              </w:rPr>
            </w:pPr>
            <w:r>
              <w:rPr>
                <w:rFonts w:ascii="宋体" w:hAnsi="宋体" w:cs="宋体"/>
                <w:sz w:val="24"/>
                <w:highlight w:val="none"/>
              </w:rPr>
              <w:t>投标方案总体设计、建设方案、详细阐述系统的体系架构、实现思路和关键技术</w:t>
            </w:r>
            <w:r>
              <w:rPr>
                <w:rFonts w:hint="eastAsia" w:ascii="宋体" w:hAnsi="宋体" w:cs="宋体"/>
                <w:sz w:val="24"/>
                <w:highlight w:val="none"/>
              </w:rPr>
              <w:t>，</w:t>
            </w:r>
            <w:r>
              <w:rPr>
                <w:rFonts w:ascii="宋体" w:hAnsi="宋体" w:cs="宋体"/>
                <w:sz w:val="24"/>
                <w:highlight w:val="none"/>
              </w:rPr>
              <w:t>方案对系统实施可能遇到的问题及其应对措施的考虑情况等</w:t>
            </w:r>
            <w:r>
              <w:rPr>
                <w:rFonts w:hint="eastAsia" w:ascii="宋体" w:hAnsi="宋体" w:cs="宋体"/>
                <w:sz w:val="24"/>
                <w:highlight w:val="none"/>
              </w:rPr>
              <w:t>。</w:t>
            </w:r>
            <w:r>
              <w:rPr>
                <w:rFonts w:hint="eastAsia" w:asciiTheme="minorEastAsia" w:hAnsiTheme="minorEastAsia"/>
                <w:b w:val="0"/>
                <w:bCs w:val="0"/>
                <w:sz w:val="24"/>
                <w:highlight w:val="none"/>
              </w:rPr>
              <w:t>城市管理多跨协同“一件事”</w:t>
            </w:r>
            <w:r>
              <w:rPr>
                <w:rFonts w:hint="eastAsia" w:asciiTheme="minorEastAsia" w:hAnsiTheme="minorEastAsia"/>
                <w:b w:val="0"/>
                <w:bCs w:val="0"/>
                <w:sz w:val="24"/>
                <w:highlight w:val="none"/>
                <w:lang w:val="en-US" w:eastAsia="zh-CN"/>
              </w:rPr>
              <w:t>的</w:t>
            </w:r>
            <w:r>
              <w:rPr>
                <w:rFonts w:hint="eastAsia" w:ascii="宋体" w:hAnsi="宋体" w:cs="宋体"/>
                <w:sz w:val="24"/>
                <w:highlight w:val="none"/>
              </w:rPr>
              <w:t>技术解决方案中体现包括</w:t>
            </w:r>
            <w:r>
              <w:rPr>
                <w:rFonts w:hint="eastAsia" w:ascii="宋体" w:hAnsi="宋体" w:cs="宋体"/>
                <w:sz w:val="24"/>
                <w:highlight w:val="none"/>
              </w:rPr>
              <w:br w:type="textWrapping"/>
            </w:r>
            <w:r>
              <w:rPr>
                <w:rFonts w:hint="eastAsia" w:ascii="宋体" w:hAnsi="宋体" w:cs="宋体"/>
                <w:sz w:val="24"/>
                <w:highlight w:val="none"/>
                <w:lang w:eastAsia="zh-CN"/>
              </w:rPr>
              <w:t>（</w:t>
            </w:r>
            <w:r>
              <w:rPr>
                <w:rFonts w:hint="eastAsia" w:ascii="宋体" w:hAnsi="宋体" w:cs="宋体"/>
                <w:sz w:val="24"/>
                <w:highlight w:val="none"/>
                <w:lang w:val="en-US" w:eastAsia="zh-CN"/>
              </w:rPr>
              <w:t>1</w:t>
            </w:r>
            <w:r>
              <w:rPr>
                <w:rFonts w:hint="eastAsia" w:ascii="宋体" w:hAnsi="宋体" w:cs="宋体"/>
                <w:sz w:val="24"/>
                <w:highlight w:val="none"/>
                <w:lang w:eastAsia="zh-CN"/>
              </w:rPr>
              <w:t>）</w:t>
            </w:r>
            <w:r>
              <w:rPr>
                <w:rFonts w:hint="eastAsia" w:asciiTheme="minorEastAsia" w:hAnsiTheme="minorEastAsia"/>
                <w:sz w:val="24"/>
                <w:highlight w:val="none"/>
              </w:rPr>
              <w:t>工程渣土监管“一件事”</w:t>
            </w:r>
            <w:r>
              <w:rPr>
                <w:rFonts w:hint="eastAsia" w:asciiTheme="minorEastAsia" w:hAnsiTheme="minorEastAsia"/>
                <w:sz w:val="24"/>
                <w:highlight w:val="none"/>
                <w:lang w:val="en-US" w:eastAsia="zh-CN"/>
              </w:rPr>
              <w:t>实施方案</w:t>
            </w:r>
            <w:r>
              <w:rPr>
                <w:rFonts w:hint="eastAsia" w:asciiTheme="minorEastAsia" w:hAnsiTheme="minorEastAsia"/>
                <w:sz w:val="24"/>
                <w:highlight w:val="none"/>
                <w:lang w:eastAsia="zh-CN"/>
              </w:rPr>
              <w:t>；</w:t>
            </w:r>
            <w:r>
              <w:rPr>
                <w:rFonts w:hint="eastAsia" w:asciiTheme="minorEastAsia" w:hAnsiTheme="minorEastAsia"/>
                <w:sz w:val="24"/>
                <w:highlight w:val="none"/>
                <w:lang w:eastAsia="zh-CN"/>
              </w:rPr>
              <w:br w:type="textWrapping"/>
            </w:r>
            <w:r>
              <w:rPr>
                <w:rFonts w:hint="eastAsia" w:asciiTheme="minorEastAsia" w:hAnsiTheme="minorEastAsia"/>
                <w:sz w:val="24"/>
                <w:highlight w:val="none"/>
                <w:lang w:eastAsia="zh-CN"/>
              </w:rPr>
              <w:t>（</w:t>
            </w:r>
            <w:r>
              <w:rPr>
                <w:rFonts w:hint="eastAsia" w:asciiTheme="minorEastAsia" w:hAnsiTheme="minorEastAsia"/>
                <w:sz w:val="24"/>
                <w:highlight w:val="none"/>
                <w:lang w:val="en-US" w:eastAsia="zh-CN"/>
              </w:rPr>
              <w:t>2</w:t>
            </w:r>
            <w:r>
              <w:rPr>
                <w:rFonts w:hint="eastAsia" w:asciiTheme="minorEastAsia" w:hAnsiTheme="minorEastAsia"/>
                <w:sz w:val="24"/>
                <w:highlight w:val="none"/>
                <w:lang w:eastAsia="zh-CN"/>
              </w:rPr>
              <w:t>）</w:t>
            </w:r>
            <w:r>
              <w:rPr>
                <w:rFonts w:hint="eastAsia" w:asciiTheme="minorEastAsia" w:hAnsiTheme="minorEastAsia"/>
                <w:sz w:val="24"/>
                <w:highlight w:val="none"/>
              </w:rPr>
              <w:t>桥隧安全“一件事”</w:t>
            </w:r>
            <w:r>
              <w:rPr>
                <w:rFonts w:hint="eastAsia" w:asciiTheme="minorEastAsia" w:hAnsiTheme="minorEastAsia"/>
                <w:sz w:val="24"/>
                <w:highlight w:val="none"/>
                <w:lang w:val="en-US" w:eastAsia="zh-CN"/>
              </w:rPr>
              <w:t>实施方案</w:t>
            </w:r>
            <w:r>
              <w:rPr>
                <w:rFonts w:hint="eastAsia" w:asciiTheme="minorEastAsia" w:hAnsiTheme="minorEastAsia"/>
                <w:sz w:val="24"/>
                <w:highlight w:val="none"/>
                <w:lang w:eastAsia="zh-CN"/>
              </w:rPr>
              <w:t>；</w:t>
            </w:r>
            <w:r>
              <w:rPr>
                <w:rFonts w:hint="eastAsia" w:asciiTheme="minorEastAsia" w:hAnsiTheme="minorEastAsia"/>
                <w:sz w:val="24"/>
                <w:highlight w:val="none"/>
              </w:rPr>
              <w:br w:type="textWrapping"/>
            </w:r>
            <w:r>
              <w:rPr>
                <w:rFonts w:hint="eastAsia" w:asciiTheme="minorEastAsia" w:hAnsiTheme="minorEastAsia"/>
                <w:sz w:val="24"/>
                <w:highlight w:val="none"/>
                <w:lang w:eastAsia="zh-CN"/>
              </w:rPr>
              <w:t>（</w:t>
            </w:r>
            <w:r>
              <w:rPr>
                <w:rFonts w:hint="eastAsia" w:asciiTheme="minorEastAsia" w:hAnsiTheme="minorEastAsia"/>
                <w:sz w:val="24"/>
                <w:highlight w:val="none"/>
                <w:lang w:val="en-US" w:eastAsia="zh-CN"/>
              </w:rPr>
              <w:t>3</w:t>
            </w:r>
            <w:r>
              <w:rPr>
                <w:rFonts w:hint="eastAsia" w:asciiTheme="minorEastAsia" w:hAnsiTheme="minorEastAsia"/>
                <w:sz w:val="24"/>
                <w:highlight w:val="none"/>
                <w:lang w:eastAsia="zh-CN"/>
              </w:rPr>
              <w:t>）</w:t>
            </w:r>
            <w:r>
              <w:rPr>
                <w:rFonts w:hint="eastAsia" w:asciiTheme="minorEastAsia" w:hAnsiTheme="minorEastAsia"/>
                <w:sz w:val="24"/>
                <w:highlight w:val="none"/>
              </w:rPr>
              <w:t>平路整治“一件事”</w:t>
            </w:r>
            <w:r>
              <w:rPr>
                <w:rFonts w:hint="eastAsia" w:asciiTheme="minorEastAsia" w:hAnsiTheme="minorEastAsia"/>
                <w:sz w:val="24"/>
                <w:highlight w:val="none"/>
                <w:lang w:val="en-US" w:eastAsia="zh-CN"/>
              </w:rPr>
              <w:t>实施方案</w:t>
            </w:r>
            <w:r>
              <w:rPr>
                <w:rFonts w:hint="eastAsia" w:asciiTheme="minorEastAsia" w:hAnsiTheme="minorEastAsia"/>
                <w:sz w:val="24"/>
                <w:highlight w:val="none"/>
                <w:lang w:eastAsia="zh-CN"/>
              </w:rPr>
              <w:t>；</w:t>
            </w:r>
            <w:r>
              <w:rPr>
                <w:rFonts w:hint="eastAsia" w:asciiTheme="minorEastAsia" w:hAnsiTheme="minorEastAsia"/>
                <w:sz w:val="24"/>
                <w:highlight w:val="none"/>
                <w:lang w:eastAsia="zh-CN"/>
              </w:rPr>
              <w:br w:type="textWrapping"/>
            </w:r>
            <w:r>
              <w:rPr>
                <w:rFonts w:hint="eastAsia" w:asciiTheme="minorEastAsia" w:hAnsiTheme="minorEastAsia"/>
                <w:sz w:val="24"/>
                <w:highlight w:val="none"/>
                <w:lang w:eastAsia="zh-CN"/>
              </w:rPr>
              <w:t>（</w:t>
            </w:r>
            <w:r>
              <w:rPr>
                <w:rFonts w:hint="eastAsia" w:asciiTheme="minorEastAsia" w:hAnsiTheme="minorEastAsia"/>
                <w:sz w:val="24"/>
                <w:highlight w:val="none"/>
                <w:lang w:val="en-US" w:eastAsia="zh-CN"/>
              </w:rPr>
              <w:t>4</w:t>
            </w:r>
            <w:r>
              <w:rPr>
                <w:rFonts w:hint="eastAsia" w:asciiTheme="minorEastAsia" w:hAnsiTheme="minorEastAsia"/>
                <w:sz w:val="24"/>
                <w:highlight w:val="none"/>
                <w:lang w:eastAsia="zh-CN"/>
              </w:rPr>
              <w:t>）</w:t>
            </w:r>
            <w:r>
              <w:rPr>
                <w:rFonts w:hint="eastAsia" w:asciiTheme="minorEastAsia" w:hAnsiTheme="minorEastAsia"/>
                <w:sz w:val="24"/>
                <w:highlight w:val="none"/>
              </w:rPr>
              <w:t>内涝治理“一件事”</w:t>
            </w:r>
            <w:r>
              <w:rPr>
                <w:rFonts w:hint="eastAsia" w:asciiTheme="minorEastAsia" w:hAnsiTheme="minorEastAsia"/>
                <w:sz w:val="24"/>
                <w:highlight w:val="none"/>
                <w:lang w:val="en-US" w:eastAsia="zh-CN"/>
              </w:rPr>
              <w:t>实施方案</w:t>
            </w:r>
            <w:r>
              <w:rPr>
                <w:rFonts w:hint="eastAsia" w:asciiTheme="minorEastAsia" w:hAnsiTheme="minorEastAsia"/>
                <w:sz w:val="24"/>
                <w:highlight w:val="none"/>
                <w:lang w:eastAsia="zh-CN"/>
              </w:rPr>
              <w:t>；</w:t>
            </w:r>
            <w:r>
              <w:rPr>
                <w:rFonts w:hint="eastAsia" w:asciiTheme="minorEastAsia" w:hAnsiTheme="minorEastAsia"/>
                <w:sz w:val="24"/>
                <w:highlight w:val="none"/>
                <w:lang w:eastAsia="zh-CN"/>
              </w:rPr>
              <w:br w:type="textWrapping"/>
            </w:r>
            <w:r>
              <w:rPr>
                <w:rFonts w:hint="eastAsia" w:asciiTheme="minorEastAsia" w:hAnsiTheme="minorEastAsia"/>
                <w:sz w:val="24"/>
                <w:highlight w:val="none"/>
                <w:lang w:eastAsia="zh-CN"/>
              </w:rPr>
              <w:t>（</w:t>
            </w:r>
            <w:r>
              <w:rPr>
                <w:rFonts w:hint="eastAsia" w:asciiTheme="minorEastAsia" w:hAnsiTheme="minorEastAsia"/>
                <w:sz w:val="24"/>
                <w:highlight w:val="none"/>
                <w:lang w:val="en-US" w:eastAsia="zh-CN"/>
              </w:rPr>
              <w:t>5</w:t>
            </w:r>
            <w:r>
              <w:rPr>
                <w:rFonts w:hint="eastAsia" w:asciiTheme="minorEastAsia" w:hAnsiTheme="minorEastAsia"/>
                <w:sz w:val="24"/>
                <w:highlight w:val="none"/>
                <w:lang w:eastAsia="zh-CN"/>
              </w:rPr>
              <w:t>）</w:t>
            </w:r>
            <w:r>
              <w:rPr>
                <w:rFonts w:hint="eastAsia" w:asciiTheme="minorEastAsia" w:hAnsiTheme="minorEastAsia"/>
                <w:sz w:val="24"/>
                <w:highlight w:val="none"/>
              </w:rPr>
              <w:t>地铁保护区监管“一件事”</w:t>
            </w:r>
            <w:r>
              <w:rPr>
                <w:rFonts w:hint="eastAsia" w:asciiTheme="minorEastAsia" w:hAnsiTheme="minorEastAsia"/>
                <w:sz w:val="24"/>
                <w:highlight w:val="none"/>
                <w:lang w:val="en-US" w:eastAsia="zh-CN"/>
              </w:rPr>
              <w:t>实施方案</w:t>
            </w:r>
            <w:r>
              <w:rPr>
                <w:rFonts w:hint="eastAsia" w:asciiTheme="minorEastAsia" w:hAnsiTheme="minorEastAsia"/>
                <w:sz w:val="24"/>
                <w:highlight w:val="none"/>
              </w:rPr>
              <w:br w:type="textWrapping"/>
            </w:r>
            <w:r>
              <w:rPr>
                <w:rFonts w:hint="eastAsia" w:ascii="宋体" w:hAnsi="宋体"/>
                <w:b/>
                <w:bCs/>
                <w:sz w:val="24"/>
                <w:highlight w:val="none"/>
              </w:rPr>
              <w:t>说明：每项内容提供完整的技术方案且完全满足采购人要求得</w:t>
            </w:r>
            <w:r>
              <w:rPr>
                <w:rFonts w:hint="eastAsia" w:ascii="宋体" w:hAnsi="宋体"/>
                <w:b/>
                <w:bCs/>
                <w:sz w:val="24"/>
                <w:highlight w:val="none"/>
                <w:lang w:val="en-US" w:eastAsia="zh-CN"/>
              </w:rPr>
              <w:t>2</w:t>
            </w:r>
            <w:r>
              <w:rPr>
                <w:rFonts w:hint="eastAsia" w:ascii="宋体" w:hAnsi="宋体"/>
                <w:b/>
                <w:bCs/>
                <w:sz w:val="24"/>
                <w:highlight w:val="none"/>
              </w:rPr>
              <w:t>分，方案内容存在缺项或部分满足得</w:t>
            </w:r>
            <w:r>
              <w:rPr>
                <w:rFonts w:hint="eastAsia" w:ascii="宋体" w:hAnsi="宋体"/>
                <w:b/>
                <w:bCs/>
                <w:sz w:val="24"/>
                <w:highlight w:val="none"/>
                <w:lang w:val="en-US" w:eastAsia="zh-CN"/>
              </w:rPr>
              <w:t>1</w:t>
            </w:r>
            <w:r>
              <w:rPr>
                <w:rFonts w:hint="eastAsia" w:ascii="宋体" w:hAnsi="宋体"/>
                <w:b/>
                <w:bCs/>
                <w:sz w:val="24"/>
                <w:highlight w:val="none"/>
              </w:rPr>
              <w:t>分，未提供方案或不满足不得分，本项最高</w:t>
            </w:r>
            <w:r>
              <w:rPr>
                <w:rFonts w:hint="eastAsia" w:ascii="宋体" w:hAnsi="宋体"/>
                <w:b/>
                <w:bCs/>
                <w:sz w:val="24"/>
                <w:highlight w:val="none"/>
                <w:lang w:val="en-US" w:eastAsia="zh-CN"/>
              </w:rPr>
              <w:t>10</w:t>
            </w:r>
            <w:r>
              <w:rPr>
                <w:rFonts w:hint="eastAsia" w:ascii="宋体" w:hAnsi="宋体"/>
                <w:b/>
                <w:bCs/>
                <w:sz w:val="24"/>
                <w:highlight w:val="none"/>
              </w:rPr>
              <w:t>分。</w:t>
            </w:r>
          </w:p>
        </w:tc>
        <w:tc>
          <w:tcPr>
            <w:tcW w:w="750" w:type="dxa"/>
            <w:vAlign w:val="center"/>
          </w:tcPr>
          <w:p>
            <w:pPr>
              <w:snapToGrid w:val="0"/>
              <w:spacing w:line="360" w:lineRule="auto"/>
              <w:jc w:val="center"/>
              <w:rPr>
                <w:rFonts w:hint="default" w:cs="宋体" w:asciiTheme="minorEastAsia" w:hAnsiTheme="minorEastAsia"/>
                <w:kern w:val="0"/>
                <w:sz w:val="24"/>
                <w:highlight w:val="none"/>
                <w:lang w:val="en-US" w:eastAsia="zh-CN"/>
              </w:rPr>
            </w:pPr>
            <w:r>
              <w:rPr>
                <w:rFonts w:hint="eastAsia" w:cs="宋体" w:asciiTheme="minorEastAsia" w:hAnsiTheme="minorEastAsia"/>
                <w:kern w:val="0"/>
                <w:sz w:val="24"/>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709" w:type="dxa"/>
            <w:vMerge w:val="continue"/>
            <w:vAlign w:val="center"/>
          </w:tcPr>
          <w:p>
            <w:pPr>
              <w:snapToGrid w:val="0"/>
              <w:spacing w:line="360" w:lineRule="auto"/>
              <w:jc w:val="center"/>
              <w:rPr>
                <w:rFonts w:cs="仿宋_GB2312" w:asciiTheme="majorEastAsia" w:hAnsiTheme="majorEastAsia" w:eastAsiaTheme="majorEastAsia"/>
                <w:sz w:val="24"/>
                <w:highlight w:val="none"/>
              </w:rPr>
            </w:pPr>
          </w:p>
        </w:tc>
        <w:tc>
          <w:tcPr>
            <w:tcW w:w="1985" w:type="dxa"/>
            <w:vMerge w:val="continue"/>
            <w:vAlign w:val="center"/>
          </w:tcPr>
          <w:p>
            <w:pPr>
              <w:widowControl/>
              <w:snapToGrid w:val="0"/>
              <w:spacing w:line="360" w:lineRule="auto"/>
              <w:textAlignment w:val="center"/>
              <w:rPr>
                <w:rFonts w:hint="eastAsia" w:ascii="宋体" w:hAnsi="宋体" w:cs="宋体"/>
                <w:b/>
                <w:bCs/>
                <w:sz w:val="24"/>
                <w:highlight w:val="none"/>
              </w:rPr>
            </w:pPr>
          </w:p>
        </w:tc>
        <w:tc>
          <w:tcPr>
            <w:tcW w:w="6222" w:type="dxa"/>
            <w:vAlign w:val="center"/>
          </w:tcPr>
          <w:p>
            <w:pPr>
              <w:widowControl/>
              <w:snapToGrid w:val="0"/>
              <w:spacing w:line="360" w:lineRule="auto"/>
              <w:textAlignment w:val="center"/>
              <w:rPr>
                <w:rFonts w:ascii="宋体" w:hAnsi="宋体" w:cs="宋体"/>
                <w:sz w:val="24"/>
                <w:highlight w:val="none"/>
              </w:rPr>
            </w:pPr>
            <w:r>
              <w:rPr>
                <w:rFonts w:hint="eastAsia" w:cs="宋体" w:asciiTheme="minorEastAsia" w:hAnsiTheme="minorEastAsia"/>
                <w:kern w:val="0"/>
                <w:sz w:val="24"/>
                <w:highlight w:val="none"/>
                <w:lang w:eastAsia="zh-CN"/>
              </w:rPr>
              <w:t>【</w:t>
            </w:r>
            <w:r>
              <w:rPr>
                <w:rFonts w:hint="eastAsia" w:cs="宋体" w:asciiTheme="minorEastAsia" w:hAnsiTheme="minorEastAsia"/>
                <w:kern w:val="0"/>
                <w:sz w:val="24"/>
                <w:highlight w:val="none"/>
                <w:lang w:val="en-US" w:eastAsia="zh-CN"/>
              </w:rPr>
              <w:t>主观分</w:t>
            </w:r>
            <w:r>
              <w:rPr>
                <w:rFonts w:hint="eastAsia" w:cs="宋体" w:asciiTheme="minorEastAsia" w:hAnsiTheme="minorEastAsia"/>
                <w:kern w:val="0"/>
                <w:sz w:val="24"/>
                <w:highlight w:val="none"/>
                <w:lang w:eastAsia="zh-CN"/>
              </w:rPr>
              <w:t>】</w:t>
            </w:r>
          </w:p>
          <w:p>
            <w:pPr>
              <w:snapToGrid w:val="0"/>
              <w:spacing w:line="360" w:lineRule="auto"/>
              <w:rPr>
                <w:rFonts w:hint="eastAsia" w:ascii="宋体" w:hAnsi="宋体"/>
                <w:b/>
                <w:bCs/>
                <w:sz w:val="24"/>
                <w:highlight w:val="none"/>
              </w:rPr>
            </w:pPr>
            <w:r>
              <w:rPr>
                <w:rFonts w:ascii="宋体" w:hAnsi="宋体" w:cs="宋体"/>
                <w:sz w:val="24"/>
                <w:highlight w:val="none"/>
              </w:rPr>
              <w:t>投标方案总体设计、建设方案、详细阐述系统的体系架构、实现思路和关键技术</w:t>
            </w:r>
            <w:r>
              <w:rPr>
                <w:rFonts w:hint="eastAsia" w:ascii="宋体" w:hAnsi="宋体" w:cs="宋体"/>
                <w:sz w:val="24"/>
                <w:highlight w:val="none"/>
              </w:rPr>
              <w:t>，</w:t>
            </w:r>
            <w:r>
              <w:rPr>
                <w:rFonts w:ascii="宋体" w:hAnsi="宋体" w:cs="宋体"/>
                <w:sz w:val="24"/>
                <w:highlight w:val="none"/>
              </w:rPr>
              <w:t>方案对系统实施可能遇到的问题及其应对措施的考虑情况等</w:t>
            </w:r>
            <w:r>
              <w:rPr>
                <w:rFonts w:hint="eastAsia" w:ascii="宋体" w:hAnsi="宋体" w:cs="宋体"/>
                <w:sz w:val="24"/>
                <w:highlight w:val="none"/>
              </w:rPr>
              <w:t>。城市便民服务</w:t>
            </w:r>
            <w:r>
              <w:rPr>
                <w:rFonts w:hint="eastAsia" w:ascii="宋体" w:hAnsi="宋体" w:cs="宋体"/>
                <w:sz w:val="24"/>
                <w:highlight w:val="none"/>
                <w:lang w:val="en-US" w:eastAsia="zh-CN"/>
              </w:rPr>
              <w:t>具体的</w:t>
            </w:r>
            <w:r>
              <w:rPr>
                <w:rFonts w:hint="eastAsia" w:ascii="宋体" w:hAnsi="宋体" w:cs="宋体"/>
                <w:sz w:val="24"/>
                <w:highlight w:val="none"/>
              </w:rPr>
              <w:t>技术解决方案中体现包括</w:t>
            </w:r>
            <w:r>
              <w:rPr>
                <w:rFonts w:hint="eastAsia" w:ascii="宋体" w:hAnsi="宋体" w:cs="宋体"/>
                <w:sz w:val="24"/>
                <w:highlight w:val="none"/>
              </w:rPr>
              <w:br w:type="textWrapping"/>
            </w:r>
            <w:r>
              <w:rPr>
                <w:rFonts w:hint="eastAsia" w:ascii="宋体" w:hAnsi="宋体" w:cs="宋体"/>
                <w:sz w:val="24"/>
                <w:highlight w:val="none"/>
                <w:lang w:eastAsia="zh-CN"/>
              </w:rPr>
              <w:t>（</w:t>
            </w:r>
            <w:r>
              <w:rPr>
                <w:rFonts w:hint="eastAsia" w:ascii="宋体" w:hAnsi="宋体" w:cs="宋体"/>
                <w:sz w:val="24"/>
                <w:highlight w:val="none"/>
                <w:lang w:val="en-US" w:eastAsia="zh-CN"/>
              </w:rPr>
              <w:t>1</w:t>
            </w:r>
            <w:r>
              <w:rPr>
                <w:rFonts w:hint="eastAsia" w:ascii="宋体" w:hAnsi="宋体" w:cs="宋体"/>
                <w:sz w:val="24"/>
                <w:highlight w:val="none"/>
                <w:lang w:eastAsia="zh-CN"/>
              </w:rPr>
              <w:t>）</w:t>
            </w:r>
            <w:r>
              <w:rPr>
                <w:rFonts w:hint="eastAsia" w:asciiTheme="minorEastAsia" w:hAnsiTheme="minorEastAsia"/>
                <w:sz w:val="24"/>
                <w:highlight w:val="none"/>
              </w:rPr>
              <w:t>停车服务</w:t>
            </w:r>
            <w:r>
              <w:rPr>
                <w:rFonts w:hint="eastAsia" w:asciiTheme="minorEastAsia" w:hAnsiTheme="minorEastAsia"/>
                <w:sz w:val="24"/>
                <w:highlight w:val="none"/>
                <w:lang w:val="en-US" w:eastAsia="zh-CN"/>
              </w:rPr>
              <w:t>实施方案</w:t>
            </w:r>
            <w:r>
              <w:rPr>
                <w:rFonts w:hint="eastAsia" w:asciiTheme="minorEastAsia" w:hAnsiTheme="minorEastAsia"/>
                <w:sz w:val="24"/>
                <w:highlight w:val="none"/>
                <w:lang w:eastAsia="zh-CN"/>
              </w:rPr>
              <w:t>；</w:t>
            </w:r>
            <w:r>
              <w:rPr>
                <w:rFonts w:hint="eastAsia" w:asciiTheme="minorEastAsia" w:hAnsiTheme="minorEastAsia"/>
                <w:sz w:val="24"/>
                <w:highlight w:val="none"/>
                <w:lang w:eastAsia="zh-CN"/>
              </w:rPr>
              <w:br w:type="textWrapping"/>
            </w:r>
            <w:r>
              <w:rPr>
                <w:rFonts w:hint="eastAsia" w:asciiTheme="minorEastAsia" w:hAnsiTheme="minorEastAsia"/>
                <w:sz w:val="24"/>
                <w:highlight w:val="none"/>
                <w:lang w:eastAsia="zh-CN"/>
              </w:rPr>
              <w:t>（</w:t>
            </w:r>
            <w:r>
              <w:rPr>
                <w:rFonts w:hint="eastAsia" w:asciiTheme="minorEastAsia" w:hAnsiTheme="minorEastAsia"/>
                <w:sz w:val="24"/>
                <w:highlight w:val="none"/>
                <w:lang w:val="en-US" w:eastAsia="zh-CN"/>
              </w:rPr>
              <w:t>2</w:t>
            </w:r>
            <w:r>
              <w:rPr>
                <w:rFonts w:hint="eastAsia" w:asciiTheme="minorEastAsia" w:hAnsiTheme="minorEastAsia"/>
                <w:sz w:val="24"/>
                <w:highlight w:val="none"/>
                <w:lang w:eastAsia="zh-CN"/>
              </w:rPr>
              <w:t>）</w:t>
            </w:r>
            <w:r>
              <w:rPr>
                <w:rFonts w:hint="eastAsia" w:asciiTheme="minorEastAsia" w:hAnsiTheme="minorEastAsia"/>
                <w:sz w:val="24"/>
                <w:highlight w:val="none"/>
              </w:rPr>
              <w:t>城市烟火气服务</w:t>
            </w:r>
            <w:r>
              <w:rPr>
                <w:rFonts w:hint="eastAsia" w:asciiTheme="minorEastAsia" w:hAnsiTheme="minorEastAsia"/>
                <w:sz w:val="24"/>
                <w:highlight w:val="none"/>
                <w:lang w:val="en-US" w:eastAsia="zh-CN"/>
              </w:rPr>
              <w:t>实施方案</w:t>
            </w:r>
            <w:r>
              <w:rPr>
                <w:rFonts w:hint="eastAsia" w:asciiTheme="minorEastAsia" w:hAnsiTheme="minorEastAsia"/>
                <w:sz w:val="24"/>
                <w:highlight w:val="none"/>
                <w:lang w:eastAsia="zh-CN"/>
              </w:rPr>
              <w:t>；</w:t>
            </w:r>
            <w:r>
              <w:rPr>
                <w:rFonts w:hint="eastAsia" w:asciiTheme="minorEastAsia" w:hAnsiTheme="minorEastAsia"/>
                <w:sz w:val="24"/>
                <w:highlight w:val="none"/>
              </w:rPr>
              <w:br w:type="textWrapping"/>
            </w:r>
            <w:r>
              <w:rPr>
                <w:rFonts w:hint="eastAsia" w:asciiTheme="minorEastAsia" w:hAnsiTheme="minorEastAsia"/>
                <w:sz w:val="24"/>
                <w:highlight w:val="none"/>
                <w:lang w:eastAsia="zh-CN"/>
              </w:rPr>
              <w:t>（</w:t>
            </w:r>
            <w:r>
              <w:rPr>
                <w:rFonts w:hint="eastAsia" w:asciiTheme="minorEastAsia" w:hAnsiTheme="minorEastAsia"/>
                <w:sz w:val="24"/>
                <w:highlight w:val="none"/>
                <w:lang w:val="en-US" w:eastAsia="zh-CN"/>
              </w:rPr>
              <w:t>3</w:t>
            </w:r>
            <w:r>
              <w:rPr>
                <w:rFonts w:hint="eastAsia" w:asciiTheme="minorEastAsia" w:hAnsiTheme="minorEastAsia"/>
                <w:sz w:val="24"/>
                <w:highlight w:val="none"/>
                <w:lang w:eastAsia="zh-CN"/>
              </w:rPr>
              <w:t>）</w:t>
            </w:r>
            <w:r>
              <w:rPr>
                <w:rFonts w:hint="eastAsia" w:asciiTheme="minorEastAsia" w:hAnsiTheme="minorEastAsia"/>
                <w:sz w:val="24"/>
                <w:highlight w:val="none"/>
              </w:rPr>
              <w:t>惠企服务</w:t>
            </w:r>
            <w:r>
              <w:rPr>
                <w:rFonts w:hint="eastAsia" w:asciiTheme="minorEastAsia" w:hAnsiTheme="minorEastAsia"/>
                <w:sz w:val="24"/>
                <w:highlight w:val="none"/>
                <w:lang w:val="en-US" w:eastAsia="zh-CN"/>
              </w:rPr>
              <w:t>实施方案</w:t>
            </w:r>
            <w:r>
              <w:rPr>
                <w:rFonts w:hint="eastAsia" w:asciiTheme="minorEastAsia" w:hAnsiTheme="minorEastAsia"/>
                <w:sz w:val="24"/>
                <w:highlight w:val="none"/>
                <w:lang w:eastAsia="zh-CN"/>
              </w:rPr>
              <w:t>；</w:t>
            </w:r>
            <w:r>
              <w:rPr>
                <w:rFonts w:hint="eastAsia" w:asciiTheme="minorEastAsia" w:hAnsiTheme="minorEastAsia"/>
                <w:sz w:val="24"/>
                <w:highlight w:val="none"/>
                <w:lang w:eastAsia="zh-CN"/>
              </w:rPr>
              <w:br w:type="textWrapping"/>
            </w:r>
            <w:r>
              <w:rPr>
                <w:rFonts w:hint="eastAsia" w:asciiTheme="minorEastAsia" w:hAnsiTheme="minorEastAsia"/>
                <w:sz w:val="24"/>
                <w:highlight w:val="none"/>
                <w:lang w:eastAsia="zh-CN"/>
              </w:rPr>
              <w:t>（</w:t>
            </w:r>
            <w:r>
              <w:rPr>
                <w:rFonts w:hint="eastAsia" w:asciiTheme="minorEastAsia" w:hAnsiTheme="minorEastAsia"/>
                <w:sz w:val="24"/>
                <w:highlight w:val="none"/>
                <w:lang w:val="en-US" w:eastAsia="zh-CN"/>
              </w:rPr>
              <w:t>4</w:t>
            </w:r>
            <w:r>
              <w:rPr>
                <w:rFonts w:hint="eastAsia" w:asciiTheme="minorEastAsia" w:hAnsiTheme="minorEastAsia"/>
                <w:sz w:val="24"/>
                <w:highlight w:val="none"/>
                <w:lang w:eastAsia="zh-CN"/>
              </w:rPr>
              <w:t>）</w:t>
            </w:r>
            <w:r>
              <w:rPr>
                <w:rFonts w:hint="eastAsia" w:asciiTheme="minorEastAsia" w:hAnsiTheme="minorEastAsia"/>
                <w:sz w:val="24"/>
                <w:highlight w:val="none"/>
              </w:rPr>
              <w:t>升级城市治理有奖举报服务</w:t>
            </w:r>
            <w:r>
              <w:rPr>
                <w:rFonts w:hint="eastAsia" w:asciiTheme="minorEastAsia" w:hAnsiTheme="minorEastAsia"/>
                <w:sz w:val="24"/>
                <w:highlight w:val="none"/>
                <w:lang w:val="en-US" w:eastAsia="zh-CN"/>
              </w:rPr>
              <w:t>实施方案</w:t>
            </w:r>
            <w:r>
              <w:rPr>
                <w:rFonts w:hint="eastAsia" w:asciiTheme="minorEastAsia" w:hAnsiTheme="minorEastAsia"/>
                <w:sz w:val="24"/>
                <w:highlight w:val="none"/>
                <w:lang w:eastAsia="zh-CN"/>
              </w:rPr>
              <w:t>；</w:t>
            </w:r>
            <w:r>
              <w:rPr>
                <w:rFonts w:hint="eastAsia" w:asciiTheme="minorEastAsia" w:hAnsiTheme="minorEastAsia"/>
                <w:sz w:val="24"/>
                <w:highlight w:val="none"/>
                <w:lang w:eastAsia="zh-CN"/>
              </w:rPr>
              <w:br w:type="textWrapping"/>
            </w:r>
            <w:r>
              <w:rPr>
                <w:rFonts w:hint="eastAsia" w:asciiTheme="minorEastAsia" w:hAnsiTheme="minorEastAsia"/>
                <w:sz w:val="24"/>
                <w:highlight w:val="none"/>
                <w:lang w:eastAsia="zh-CN"/>
              </w:rPr>
              <w:t>（</w:t>
            </w:r>
            <w:r>
              <w:rPr>
                <w:rFonts w:hint="eastAsia" w:asciiTheme="minorEastAsia" w:hAnsiTheme="minorEastAsia"/>
                <w:sz w:val="24"/>
                <w:highlight w:val="none"/>
                <w:lang w:val="en-US" w:eastAsia="zh-CN"/>
              </w:rPr>
              <w:t>5</w:t>
            </w:r>
            <w:r>
              <w:rPr>
                <w:rFonts w:hint="eastAsia" w:asciiTheme="minorEastAsia" w:hAnsiTheme="minorEastAsia"/>
                <w:sz w:val="24"/>
                <w:highlight w:val="none"/>
                <w:lang w:eastAsia="zh-CN"/>
              </w:rPr>
              <w:t>）</w:t>
            </w:r>
            <w:r>
              <w:rPr>
                <w:rFonts w:hint="eastAsia" w:asciiTheme="minorEastAsia" w:hAnsiTheme="minorEastAsia"/>
                <w:sz w:val="24"/>
                <w:highlight w:val="none"/>
              </w:rPr>
              <w:t>城市运行信息推送服务</w:t>
            </w:r>
            <w:r>
              <w:rPr>
                <w:rFonts w:hint="eastAsia" w:asciiTheme="minorEastAsia" w:hAnsiTheme="minorEastAsia"/>
                <w:sz w:val="24"/>
                <w:highlight w:val="none"/>
                <w:lang w:val="en-US" w:eastAsia="zh-CN"/>
              </w:rPr>
              <w:t>实施方案。</w:t>
            </w:r>
            <w:r>
              <w:rPr>
                <w:rFonts w:hint="eastAsia" w:asciiTheme="minorEastAsia" w:hAnsiTheme="minorEastAsia"/>
                <w:sz w:val="24"/>
                <w:highlight w:val="none"/>
              </w:rPr>
              <w:br w:type="textWrapping"/>
            </w:r>
            <w:r>
              <w:rPr>
                <w:rFonts w:hint="eastAsia" w:ascii="宋体" w:hAnsi="宋体"/>
                <w:b/>
                <w:bCs/>
                <w:sz w:val="24"/>
                <w:highlight w:val="none"/>
              </w:rPr>
              <w:t>说明：每项内容提供完整的技术方案且完全满足采购人要求得</w:t>
            </w:r>
            <w:r>
              <w:rPr>
                <w:rFonts w:hint="eastAsia" w:ascii="宋体" w:hAnsi="宋体"/>
                <w:b/>
                <w:bCs/>
                <w:sz w:val="24"/>
                <w:highlight w:val="none"/>
                <w:lang w:val="en-US" w:eastAsia="zh-CN"/>
              </w:rPr>
              <w:t>1</w:t>
            </w:r>
            <w:r>
              <w:rPr>
                <w:rFonts w:hint="eastAsia" w:ascii="宋体" w:hAnsi="宋体"/>
                <w:b/>
                <w:bCs/>
                <w:sz w:val="24"/>
                <w:highlight w:val="none"/>
              </w:rPr>
              <w:t>分，方案内容存在缺项或部分满足得</w:t>
            </w:r>
            <w:r>
              <w:rPr>
                <w:rFonts w:hint="eastAsia" w:ascii="宋体" w:hAnsi="宋体"/>
                <w:b/>
                <w:bCs/>
                <w:sz w:val="24"/>
                <w:highlight w:val="none"/>
                <w:lang w:val="en-US" w:eastAsia="zh-CN"/>
              </w:rPr>
              <w:t>0.5</w:t>
            </w:r>
            <w:r>
              <w:rPr>
                <w:rFonts w:hint="eastAsia" w:ascii="宋体" w:hAnsi="宋体"/>
                <w:b/>
                <w:bCs/>
                <w:sz w:val="24"/>
                <w:highlight w:val="none"/>
              </w:rPr>
              <w:t>分，未提供方案或不满足不得分，本项最高</w:t>
            </w:r>
            <w:r>
              <w:rPr>
                <w:rFonts w:hint="eastAsia" w:ascii="宋体" w:hAnsi="宋体"/>
                <w:b/>
                <w:bCs/>
                <w:sz w:val="24"/>
                <w:highlight w:val="none"/>
                <w:lang w:val="en-US" w:eastAsia="zh-CN"/>
              </w:rPr>
              <w:t>5</w:t>
            </w:r>
            <w:r>
              <w:rPr>
                <w:rFonts w:hint="eastAsia" w:ascii="宋体" w:hAnsi="宋体"/>
                <w:b/>
                <w:bCs/>
                <w:sz w:val="24"/>
                <w:highlight w:val="none"/>
              </w:rPr>
              <w:t>分。</w:t>
            </w:r>
          </w:p>
        </w:tc>
        <w:tc>
          <w:tcPr>
            <w:tcW w:w="750" w:type="dxa"/>
            <w:vAlign w:val="center"/>
          </w:tcPr>
          <w:p>
            <w:pPr>
              <w:snapToGrid w:val="0"/>
              <w:spacing w:line="360" w:lineRule="auto"/>
              <w:jc w:val="center"/>
              <w:rPr>
                <w:rFonts w:hint="default" w:cs="宋体" w:asciiTheme="minorEastAsia" w:hAnsiTheme="minorEastAsia"/>
                <w:kern w:val="0"/>
                <w:sz w:val="24"/>
                <w:highlight w:val="none"/>
                <w:lang w:val="en-US" w:eastAsia="zh-CN"/>
              </w:rPr>
            </w:pPr>
            <w:r>
              <w:rPr>
                <w:rFonts w:hint="eastAsia" w:cs="宋体" w:asciiTheme="minorEastAsia" w:hAnsiTheme="minorEastAsia"/>
                <w:kern w:val="0"/>
                <w:sz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709" w:type="dxa"/>
            <w:vMerge w:val="continue"/>
            <w:vAlign w:val="center"/>
          </w:tcPr>
          <w:p>
            <w:pPr>
              <w:snapToGrid w:val="0"/>
              <w:spacing w:line="360" w:lineRule="auto"/>
              <w:jc w:val="center"/>
              <w:rPr>
                <w:rFonts w:cs="仿宋_GB2312" w:asciiTheme="majorEastAsia" w:hAnsiTheme="majorEastAsia" w:eastAsiaTheme="majorEastAsia"/>
                <w:sz w:val="24"/>
                <w:highlight w:val="none"/>
              </w:rPr>
            </w:pPr>
          </w:p>
        </w:tc>
        <w:tc>
          <w:tcPr>
            <w:tcW w:w="1985" w:type="dxa"/>
            <w:vMerge w:val="continue"/>
            <w:vAlign w:val="center"/>
          </w:tcPr>
          <w:p>
            <w:pPr>
              <w:widowControl/>
              <w:snapToGrid w:val="0"/>
              <w:spacing w:line="360" w:lineRule="auto"/>
              <w:textAlignment w:val="center"/>
              <w:rPr>
                <w:rFonts w:hint="eastAsia" w:ascii="宋体" w:hAnsi="宋体" w:cs="宋体"/>
                <w:b/>
                <w:bCs/>
                <w:sz w:val="24"/>
                <w:highlight w:val="none"/>
              </w:rPr>
            </w:pPr>
          </w:p>
        </w:tc>
        <w:tc>
          <w:tcPr>
            <w:tcW w:w="6222" w:type="dxa"/>
            <w:vAlign w:val="center"/>
          </w:tcPr>
          <w:p>
            <w:pPr>
              <w:widowControl/>
              <w:snapToGrid w:val="0"/>
              <w:spacing w:line="360" w:lineRule="auto"/>
              <w:textAlignment w:val="center"/>
              <w:rPr>
                <w:rFonts w:ascii="宋体" w:hAnsi="宋体" w:cs="宋体"/>
                <w:sz w:val="24"/>
                <w:highlight w:val="none"/>
              </w:rPr>
            </w:pPr>
            <w:r>
              <w:rPr>
                <w:rFonts w:hint="eastAsia" w:cs="宋体" w:asciiTheme="minorEastAsia" w:hAnsiTheme="minorEastAsia"/>
                <w:kern w:val="0"/>
                <w:sz w:val="24"/>
                <w:highlight w:val="none"/>
                <w:lang w:eastAsia="zh-CN"/>
              </w:rPr>
              <w:t>【</w:t>
            </w:r>
            <w:r>
              <w:rPr>
                <w:rFonts w:hint="eastAsia" w:cs="宋体" w:asciiTheme="minorEastAsia" w:hAnsiTheme="minorEastAsia"/>
                <w:kern w:val="0"/>
                <w:sz w:val="24"/>
                <w:highlight w:val="none"/>
                <w:lang w:val="en-US" w:eastAsia="zh-CN"/>
              </w:rPr>
              <w:t>主观分</w:t>
            </w:r>
            <w:r>
              <w:rPr>
                <w:rFonts w:hint="eastAsia" w:cs="宋体" w:asciiTheme="minorEastAsia" w:hAnsiTheme="minorEastAsia"/>
                <w:kern w:val="0"/>
                <w:sz w:val="24"/>
                <w:highlight w:val="none"/>
                <w:lang w:eastAsia="zh-CN"/>
              </w:rPr>
              <w:t>】</w:t>
            </w:r>
          </w:p>
          <w:p>
            <w:pPr>
              <w:snapToGrid w:val="0"/>
              <w:spacing w:line="360" w:lineRule="auto"/>
              <w:rPr>
                <w:rFonts w:hint="eastAsia" w:ascii="宋体" w:hAnsi="宋体"/>
                <w:b/>
                <w:bCs/>
                <w:sz w:val="24"/>
                <w:highlight w:val="none"/>
              </w:rPr>
            </w:pPr>
            <w:r>
              <w:rPr>
                <w:rFonts w:hint="eastAsia" w:ascii="宋体" w:hAnsi="宋体" w:cs="宋体"/>
                <w:sz w:val="24"/>
                <w:highlight w:val="none"/>
                <w:lang w:val="en-US" w:eastAsia="zh-CN"/>
              </w:rPr>
              <w:t>阐述体征数据分析思路、分析路线等</w:t>
            </w:r>
            <w:r>
              <w:rPr>
                <w:rFonts w:hint="eastAsia" w:ascii="宋体" w:hAnsi="宋体" w:cs="宋体"/>
                <w:sz w:val="24"/>
                <w:highlight w:val="none"/>
              </w:rPr>
              <w:t>。</w:t>
            </w:r>
            <w:r>
              <w:rPr>
                <w:rFonts w:hint="eastAsia" w:ascii="宋体" w:hAnsi="宋体" w:cs="宋体"/>
                <w:sz w:val="24"/>
                <w:highlight w:val="none"/>
                <w:lang w:val="en-US" w:eastAsia="zh-CN"/>
              </w:rPr>
              <w:t>内容阐述</w:t>
            </w:r>
            <w:r>
              <w:rPr>
                <w:rFonts w:hint="eastAsia" w:ascii="宋体" w:hAnsi="宋体" w:cs="宋体"/>
                <w:sz w:val="24"/>
                <w:highlight w:val="none"/>
              </w:rPr>
              <w:t>体现包括</w:t>
            </w:r>
            <w:r>
              <w:rPr>
                <w:rFonts w:hint="eastAsia" w:ascii="宋体" w:hAnsi="宋体" w:cs="宋体"/>
                <w:sz w:val="24"/>
                <w:highlight w:val="none"/>
              </w:rPr>
              <w:br w:type="textWrapping"/>
            </w:r>
            <w:r>
              <w:rPr>
                <w:rFonts w:hint="eastAsia" w:ascii="宋体" w:hAnsi="宋体" w:cs="宋体"/>
                <w:sz w:val="24"/>
                <w:highlight w:val="none"/>
                <w:lang w:eastAsia="zh-CN"/>
              </w:rPr>
              <w:t>（</w:t>
            </w:r>
            <w:r>
              <w:rPr>
                <w:rFonts w:hint="eastAsia" w:ascii="宋体" w:hAnsi="宋体" w:cs="宋体"/>
                <w:sz w:val="24"/>
                <w:highlight w:val="none"/>
                <w:lang w:val="en-US" w:eastAsia="zh-CN"/>
              </w:rPr>
              <w:t>1</w:t>
            </w:r>
            <w:r>
              <w:rPr>
                <w:rFonts w:hint="eastAsia" w:ascii="宋体" w:hAnsi="宋体" w:cs="宋体"/>
                <w:sz w:val="24"/>
                <w:highlight w:val="none"/>
                <w:lang w:eastAsia="zh-CN"/>
              </w:rPr>
              <w:t>）</w:t>
            </w:r>
            <w:r>
              <w:rPr>
                <w:rFonts w:hint="eastAsia" w:asciiTheme="minorEastAsia" w:hAnsiTheme="minorEastAsia"/>
                <w:sz w:val="24"/>
                <w:highlight w:val="none"/>
              </w:rPr>
              <w:t>分析研判引擎</w:t>
            </w:r>
            <w:r>
              <w:rPr>
                <w:rFonts w:hint="eastAsia" w:asciiTheme="minorEastAsia" w:hAnsiTheme="minorEastAsia"/>
                <w:sz w:val="24"/>
                <w:highlight w:val="none"/>
                <w:lang w:eastAsia="zh-CN"/>
              </w:rPr>
              <w:t>；</w:t>
            </w:r>
            <w:r>
              <w:rPr>
                <w:rFonts w:hint="eastAsia" w:asciiTheme="minorEastAsia" w:hAnsiTheme="minorEastAsia"/>
                <w:sz w:val="24"/>
                <w:highlight w:val="none"/>
                <w:lang w:eastAsia="zh-CN"/>
              </w:rPr>
              <w:br w:type="textWrapping"/>
            </w:r>
            <w:r>
              <w:rPr>
                <w:rFonts w:hint="eastAsia" w:asciiTheme="minorEastAsia" w:hAnsiTheme="minorEastAsia"/>
                <w:sz w:val="24"/>
                <w:highlight w:val="none"/>
                <w:lang w:eastAsia="zh-CN"/>
              </w:rPr>
              <w:t>（</w:t>
            </w:r>
            <w:r>
              <w:rPr>
                <w:rFonts w:hint="eastAsia" w:asciiTheme="minorEastAsia" w:hAnsiTheme="minorEastAsia"/>
                <w:sz w:val="24"/>
                <w:highlight w:val="none"/>
                <w:lang w:val="en-US" w:eastAsia="zh-CN"/>
              </w:rPr>
              <w:t>2</w:t>
            </w:r>
            <w:r>
              <w:rPr>
                <w:rFonts w:hint="eastAsia" w:asciiTheme="minorEastAsia" w:hAnsiTheme="minorEastAsia"/>
                <w:sz w:val="24"/>
                <w:highlight w:val="none"/>
                <w:lang w:eastAsia="zh-CN"/>
              </w:rPr>
              <w:t>）</w:t>
            </w:r>
            <w:r>
              <w:rPr>
                <w:rFonts w:hint="eastAsia" w:ascii="宋体" w:hAnsi="宋体"/>
                <w:color w:val="000000"/>
                <w:sz w:val="24"/>
                <w:highlight w:val="none"/>
              </w:rPr>
              <w:t>全域研判分析</w:t>
            </w:r>
            <w:r>
              <w:rPr>
                <w:rFonts w:hint="eastAsia" w:asciiTheme="minorEastAsia" w:hAnsiTheme="minorEastAsia"/>
                <w:sz w:val="24"/>
                <w:highlight w:val="none"/>
                <w:lang w:eastAsia="zh-CN"/>
              </w:rPr>
              <w:t>；</w:t>
            </w:r>
            <w:r>
              <w:rPr>
                <w:rFonts w:hint="eastAsia" w:asciiTheme="minorEastAsia" w:hAnsiTheme="minorEastAsia"/>
                <w:sz w:val="24"/>
                <w:highlight w:val="none"/>
              </w:rPr>
              <w:br w:type="textWrapping"/>
            </w:r>
            <w:r>
              <w:rPr>
                <w:rFonts w:hint="eastAsia" w:ascii="宋体" w:hAnsi="宋体"/>
                <w:b/>
                <w:bCs/>
                <w:sz w:val="24"/>
                <w:highlight w:val="none"/>
              </w:rPr>
              <w:t>说明：每项内容</w:t>
            </w:r>
            <w:r>
              <w:rPr>
                <w:rFonts w:hint="eastAsia" w:ascii="宋体" w:hAnsi="宋体"/>
                <w:b/>
                <w:bCs/>
                <w:sz w:val="24"/>
                <w:highlight w:val="none"/>
                <w:lang w:val="en-US" w:eastAsia="zh-CN"/>
              </w:rPr>
              <w:t>阐述完整、合理</w:t>
            </w:r>
            <w:r>
              <w:rPr>
                <w:rFonts w:hint="eastAsia" w:ascii="宋体" w:hAnsi="宋体"/>
                <w:b/>
                <w:bCs/>
                <w:sz w:val="24"/>
                <w:highlight w:val="none"/>
              </w:rPr>
              <w:t>且完全满足采购人要求得</w:t>
            </w:r>
            <w:r>
              <w:rPr>
                <w:rFonts w:hint="eastAsia" w:ascii="宋体" w:hAnsi="宋体"/>
                <w:b/>
                <w:bCs/>
                <w:sz w:val="24"/>
                <w:highlight w:val="none"/>
                <w:lang w:val="en-US" w:eastAsia="zh-CN"/>
              </w:rPr>
              <w:t>1</w:t>
            </w:r>
            <w:r>
              <w:rPr>
                <w:rFonts w:hint="eastAsia" w:ascii="宋体" w:hAnsi="宋体"/>
                <w:b/>
                <w:bCs/>
                <w:sz w:val="24"/>
                <w:highlight w:val="none"/>
              </w:rPr>
              <w:t>分，方案内容存在缺项或部分满足得</w:t>
            </w:r>
            <w:r>
              <w:rPr>
                <w:rFonts w:hint="eastAsia" w:ascii="宋体" w:hAnsi="宋体"/>
                <w:b/>
                <w:bCs/>
                <w:sz w:val="24"/>
                <w:highlight w:val="none"/>
                <w:lang w:val="en-US" w:eastAsia="zh-CN"/>
              </w:rPr>
              <w:t>0.5</w:t>
            </w:r>
            <w:r>
              <w:rPr>
                <w:rFonts w:hint="eastAsia" w:ascii="宋体" w:hAnsi="宋体"/>
                <w:b/>
                <w:bCs/>
                <w:sz w:val="24"/>
                <w:highlight w:val="none"/>
              </w:rPr>
              <w:t>分，未提供方案或不满足不得分，本项最高</w:t>
            </w:r>
            <w:r>
              <w:rPr>
                <w:rFonts w:hint="eastAsia" w:ascii="宋体" w:hAnsi="宋体"/>
                <w:b/>
                <w:bCs/>
                <w:sz w:val="24"/>
                <w:highlight w:val="none"/>
                <w:lang w:val="en-US" w:eastAsia="zh-CN"/>
              </w:rPr>
              <w:t>2</w:t>
            </w:r>
            <w:r>
              <w:rPr>
                <w:rFonts w:hint="eastAsia" w:ascii="宋体" w:hAnsi="宋体"/>
                <w:b/>
                <w:bCs/>
                <w:sz w:val="24"/>
                <w:highlight w:val="none"/>
              </w:rPr>
              <w:t>分。</w:t>
            </w:r>
          </w:p>
        </w:tc>
        <w:tc>
          <w:tcPr>
            <w:tcW w:w="750" w:type="dxa"/>
            <w:vAlign w:val="center"/>
          </w:tcPr>
          <w:p>
            <w:pPr>
              <w:snapToGrid w:val="0"/>
              <w:spacing w:line="360" w:lineRule="auto"/>
              <w:jc w:val="center"/>
              <w:rPr>
                <w:rFonts w:hint="default" w:cs="宋体" w:asciiTheme="minorEastAsia" w:hAnsiTheme="minorEastAsia"/>
                <w:kern w:val="0"/>
                <w:sz w:val="24"/>
                <w:highlight w:val="none"/>
                <w:lang w:val="en-US" w:eastAsia="zh-CN"/>
              </w:rPr>
            </w:pPr>
            <w:r>
              <w:rPr>
                <w:rFonts w:hint="eastAsia" w:cs="宋体" w:asciiTheme="minorEastAsia" w:hAnsiTheme="minorEastAsia"/>
                <w:kern w:val="0"/>
                <w:sz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09" w:type="dxa"/>
            <w:vMerge w:val="continue"/>
            <w:vAlign w:val="center"/>
          </w:tcPr>
          <w:p>
            <w:pPr>
              <w:snapToGrid w:val="0"/>
              <w:spacing w:line="360" w:lineRule="auto"/>
              <w:jc w:val="center"/>
              <w:rPr>
                <w:rFonts w:cs="仿宋_GB2312" w:asciiTheme="majorEastAsia" w:hAnsiTheme="majorEastAsia" w:eastAsiaTheme="majorEastAsia"/>
                <w:sz w:val="24"/>
                <w:highlight w:val="none"/>
              </w:rPr>
            </w:pPr>
          </w:p>
        </w:tc>
        <w:tc>
          <w:tcPr>
            <w:tcW w:w="1985" w:type="dxa"/>
            <w:vMerge w:val="continue"/>
            <w:vAlign w:val="center"/>
          </w:tcPr>
          <w:p>
            <w:pPr>
              <w:widowControl/>
              <w:snapToGrid w:val="0"/>
              <w:spacing w:line="360" w:lineRule="auto"/>
              <w:textAlignment w:val="center"/>
              <w:rPr>
                <w:rFonts w:hint="eastAsia" w:ascii="宋体" w:hAnsi="宋体" w:cs="宋体"/>
                <w:b/>
                <w:bCs/>
                <w:sz w:val="24"/>
                <w:highlight w:val="none"/>
              </w:rPr>
            </w:pPr>
          </w:p>
        </w:tc>
        <w:tc>
          <w:tcPr>
            <w:tcW w:w="6222" w:type="dxa"/>
            <w:vAlign w:val="center"/>
          </w:tcPr>
          <w:p>
            <w:pPr>
              <w:widowControl/>
              <w:snapToGrid w:val="0"/>
              <w:spacing w:line="360" w:lineRule="auto"/>
              <w:textAlignment w:val="center"/>
              <w:rPr>
                <w:rFonts w:ascii="宋体" w:hAnsi="宋体" w:cs="宋体"/>
                <w:sz w:val="24"/>
                <w:highlight w:val="none"/>
              </w:rPr>
            </w:pPr>
            <w:r>
              <w:rPr>
                <w:rFonts w:hint="eastAsia" w:cs="宋体" w:asciiTheme="minorEastAsia" w:hAnsiTheme="minorEastAsia"/>
                <w:kern w:val="0"/>
                <w:sz w:val="24"/>
                <w:highlight w:val="none"/>
                <w:lang w:eastAsia="zh-CN"/>
              </w:rPr>
              <w:t>【</w:t>
            </w:r>
            <w:r>
              <w:rPr>
                <w:rFonts w:hint="eastAsia" w:cs="宋体" w:asciiTheme="minorEastAsia" w:hAnsiTheme="minorEastAsia"/>
                <w:kern w:val="0"/>
                <w:sz w:val="24"/>
                <w:highlight w:val="none"/>
                <w:lang w:val="en-US" w:eastAsia="zh-CN"/>
              </w:rPr>
              <w:t>主观分</w:t>
            </w:r>
            <w:r>
              <w:rPr>
                <w:rFonts w:hint="eastAsia" w:cs="宋体" w:asciiTheme="minorEastAsia" w:hAnsiTheme="minorEastAsia"/>
                <w:kern w:val="0"/>
                <w:sz w:val="24"/>
                <w:highlight w:val="none"/>
                <w:lang w:eastAsia="zh-CN"/>
              </w:rPr>
              <w:t>】</w:t>
            </w:r>
          </w:p>
          <w:p>
            <w:pPr>
              <w:snapToGrid w:val="0"/>
              <w:spacing w:line="360" w:lineRule="auto"/>
              <w:rPr>
                <w:rFonts w:hint="eastAsia" w:ascii="宋体" w:hAnsi="宋体"/>
                <w:b/>
                <w:bCs/>
                <w:sz w:val="24"/>
                <w:highlight w:val="none"/>
              </w:rPr>
            </w:pPr>
            <w:r>
              <w:rPr>
                <w:rFonts w:ascii="宋体" w:hAnsi="宋体" w:cs="宋体"/>
                <w:sz w:val="24"/>
                <w:highlight w:val="none"/>
              </w:rPr>
              <w:t>投标方案总体设计、建设方案、详细阐述系统的体系架构、实现思路和关键技术</w:t>
            </w:r>
            <w:r>
              <w:rPr>
                <w:rFonts w:hint="eastAsia" w:ascii="宋体" w:hAnsi="宋体" w:cs="宋体"/>
                <w:sz w:val="24"/>
                <w:highlight w:val="none"/>
              </w:rPr>
              <w:t>，</w:t>
            </w:r>
            <w:r>
              <w:rPr>
                <w:rFonts w:ascii="宋体" w:hAnsi="宋体" w:cs="宋体"/>
                <w:sz w:val="24"/>
                <w:highlight w:val="none"/>
              </w:rPr>
              <w:t>方案对系统实施可能遇到的问题及其应对措施的考虑情况等</w:t>
            </w:r>
            <w:r>
              <w:rPr>
                <w:rFonts w:hint="eastAsia" w:ascii="宋体" w:hAnsi="宋体" w:cs="宋体"/>
                <w:sz w:val="24"/>
                <w:highlight w:val="none"/>
              </w:rPr>
              <w:t>。平战指挥（平时）</w:t>
            </w:r>
            <w:r>
              <w:rPr>
                <w:rFonts w:hint="eastAsia" w:ascii="宋体" w:hAnsi="宋体" w:cs="宋体"/>
                <w:sz w:val="24"/>
                <w:highlight w:val="none"/>
                <w:lang w:val="en-US" w:eastAsia="zh-CN"/>
              </w:rPr>
              <w:t>的</w:t>
            </w:r>
            <w:r>
              <w:rPr>
                <w:rFonts w:hint="eastAsia" w:ascii="宋体" w:hAnsi="宋体" w:cs="宋体"/>
                <w:sz w:val="24"/>
                <w:highlight w:val="none"/>
              </w:rPr>
              <w:t>技术解决方案中体现包括</w:t>
            </w:r>
            <w:r>
              <w:rPr>
                <w:rFonts w:hint="eastAsia" w:ascii="宋体" w:hAnsi="宋体" w:cs="宋体"/>
                <w:sz w:val="24"/>
                <w:highlight w:val="none"/>
              </w:rPr>
              <w:br w:type="textWrapping"/>
            </w:r>
            <w:r>
              <w:rPr>
                <w:rFonts w:hint="eastAsia" w:ascii="宋体" w:hAnsi="宋体" w:cs="宋体"/>
                <w:sz w:val="24"/>
                <w:highlight w:val="none"/>
                <w:lang w:eastAsia="zh-CN"/>
              </w:rPr>
              <w:t>（</w:t>
            </w:r>
            <w:r>
              <w:rPr>
                <w:rFonts w:hint="eastAsia" w:ascii="宋体" w:hAnsi="宋体" w:cs="宋体"/>
                <w:sz w:val="24"/>
                <w:highlight w:val="none"/>
                <w:lang w:val="en-US" w:eastAsia="zh-CN"/>
              </w:rPr>
              <w:t>1</w:t>
            </w:r>
            <w:r>
              <w:rPr>
                <w:rFonts w:hint="eastAsia" w:ascii="宋体" w:hAnsi="宋体" w:cs="宋体"/>
                <w:sz w:val="24"/>
                <w:highlight w:val="none"/>
                <w:lang w:eastAsia="zh-CN"/>
              </w:rPr>
              <w:t>）</w:t>
            </w:r>
            <w:r>
              <w:rPr>
                <w:rFonts w:hint="eastAsia" w:asciiTheme="minorEastAsia" w:hAnsiTheme="minorEastAsia"/>
                <w:sz w:val="24"/>
                <w:highlight w:val="none"/>
              </w:rPr>
              <w:t>事件协同处置</w:t>
            </w:r>
            <w:r>
              <w:rPr>
                <w:rFonts w:hint="eastAsia" w:asciiTheme="minorEastAsia" w:hAnsiTheme="minorEastAsia"/>
                <w:sz w:val="24"/>
                <w:highlight w:val="none"/>
                <w:lang w:val="en-US" w:eastAsia="zh-CN"/>
              </w:rPr>
              <w:t>实施方案</w:t>
            </w:r>
            <w:r>
              <w:rPr>
                <w:rFonts w:hint="eastAsia" w:asciiTheme="minorEastAsia" w:hAnsiTheme="minorEastAsia"/>
                <w:sz w:val="24"/>
                <w:highlight w:val="none"/>
                <w:lang w:eastAsia="zh-CN"/>
              </w:rPr>
              <w:t>；</w:t>
            </w:r>
            <w:r>
              <w:rPr>
                <w:rFonts w:hint="eastAsia" w:asciiTheme="minorEastAsia" w:hAnsiTheme="minorEastAsia"/>
                <w:sz w:val="24"/>
                <w:highlight w:val="none"/>
                <w:lang w:eastAsia="zh-CN"/>
              </w:rPr>
              <w:br w:type="textWrapping"/>
            </w:r>
            <w:r>
              <w:rPr>
                <w:rFonts w:hint="eastAsia" w:asciiTheme="minorEastAsia" w:hAnsiTheme="minorEastAsia"/>
                <w:sz w:val="24"/>
                <w:highlight w:val="none"/>
                <w:lang w:eastAsia="zh-CN"/>
              </w:rPr>
              <w:t>（</w:t>
            </w:r>
            <w:r>
              <w:rPr>
                <w:rFonts w:hint="eastAsia" w:asciiTheme="minorEastAsia" w:hAnsiTheme="minorEastAsia"/>
                <w:sz w:val="24"/>
                <w:highlight w:val="none"/>
                <w:lang w:val="en-US" w:eastAsia="zh-CN"/>
              </w:rPr>
              <w:t>2</w:t>
            </w:r>
            <w:r>
              <w:rPr>
                <w:rFonts w:hint="eastAsia" w:asciiTheme="minorEastAsia" w:hAnsiTheme="minorEastAsia"/>
                <w:sz w:val="24"/>
                <w:highlight w:val="none"/>
                <w:lang w:eastAsia="zh-CN"/>
              </w:rPr>
              <w:t>）</w:t>
            </w:r>
            <w:r>
              <w:rPr>
                <w:rFonts w:hint="eastAsia" w:asciiTheme="minorEastAsia" w:hAnsiTheme="minorEastAsia"/>
                <w:sz w:val="24"/>
                <w:highlight w:val="none"/>
              </w:rPr>
              <w:t>高效处置引擎</w:t>
            </w:r>
            <w:r>
              <w:rPr>
                <w:rFonts w:hint="eastAsia" w:asciiTheme="minorEastAsia" w:hAnsiTheme="minorEastAsia"/>
                <w:sz w:val="24"/>
                <w:highlight w:val="none"/>
                <w:lang w:val="en-US" w:eastAsia="zh-CN"/>
              </w:rPr>
              <w:t>实施方案</w:t>
            </w:r>
            <w:r>
              <w:rPr>
                <w:rFonts w:hint="eastAsia" w:asciiTheme="minorEastAsia" w:hAnsiTheme="minorEastAsia"/>
                <w:sz w:val="24"/>
                <w:highlight w:val="none"/>
                <w:lang w:eastAsia="zh-CN"/>
              </w:rPr>
              <w:t>；</w:t>
            </w:r>
            <w:r>
              <w:rPr>
                <w:rFonts w:hint="eastAsia" w:asciiTheme="minorEastAsia" w:hAnsiTheme="minorEastAsia"/>
                <w:sz w:val="24"/>
                <w:highlight w:val="none"/>
              </w:rPr>
              <w:br w:type="textWrapping"/>
            </w:r>
            <w:r>
              <w:rPr>
                <w:rFonts w:hint="eastAsia" w:asciiTheme="minorEastAsia" w:hAnsiTheme="minorEastAsia"/>
                <w:sz w:val="24"/>
                <w:highlight w:val="none"/>
                <w:lang w:eastAsia="zh-CN"/>
              </w:rPr>
              <w:t>（</w:t>
            </w:r>
            <w:r>
              <w:rPr>
                <w:rFonts w:hint="eastAsia" w:asciiTheme="minorEastAsia" w:hAnsiTheme="minorEastAsia"/>
                <w:sz w:val="24"/>
                <w:highlight w:val="none"/>
                <w:lang w:val="en-US" w:eastAsia="zh-CN"/>
              </w:rPr>
              <w:t>3</w:t>
            </w:r>
            <w:r>
              <w:rPr>
                <w:rFonts w:hint="eastAsia" w:asciiTheme="minorEastAsia" w:hAnsiTheme="minorEastAsia"/>
                <w:sz w:val="24"/>
                <w:highlight w:val="none"/>
                <w:lang w:eastAsia="zh-CN"/>
              </w:rPr>
              <w:t>）</w:t>
            </w:r>
            <w:r>
              <w:rPr>
                <w:rFonts w:hint="eastAsia" w:asciiTheme="minorEastAsia" w:hAnsiTheme="minorEastAsia"/>
                <w:sz w:val="24"/>
                <w:highlight w:val="none"/>
              </w:rPr>
              <w:t>综合指挥升级</w:t>
            </w:r>
            <w:r>
              <w:rPr>
                <w:rFonts w:hint="eastAsia" w:asciiTheme="minorEastAsia" w:hAnsiTheme="minorEastAsia"/>
                <w:sz w:val="24"/>
                <w:highlight w:val="none"/>
                <w:lang w:val="en-US" w:eastAsia="zh-CN"/>
              </w:rPr>
              <w:t>实施方案</w:t>
            </w:r>
            <w:r>
              <w:rPr>
                <w:rFonts w:hint="eastAsia" w:asciiTheme="minorEastAsia" w:hAnsiTheme="minorEastAsia"/>
                <w:sz w:val="24"/>
                <w:highlight w:val="none"/>
                <w:lang w:eastAsia="zh-CN"/>
              </w:rPr>
              <w:t>；</w:t>
            </w:r>
            <w:r>
              <w:rPr>
                <w:rFonts w:hint="eastAsia" w:asciiTheme="minorEastAsia" w:hAnsiTheme="minorEastAsia"/>
                <w:sz w:val="24"/>
                <w:highlight w:val="none"/>
                <w:lang w:eastAsia="zh-CN"/>
              </w:rPr>
              <w:br w:type="textWrapping"/>
            </w:r>
            <w:r>
              <w:rPr>
                <w:rFonts w:hint="eastAsia" w:asciiTheme="minorEastAsia" w:hAnsiTheme="minorEastAsia"/>
                <w:sz w:val="24"/>
                <w:highlight w:val="none"/>
                <w:lang w:eastAsia="zh-CN"/>
              </w:rPr>
              <w:t>（</w:t>
            </w:r>
            <w:r>
              <w:rPr>
                <w:rFonts w:hint="eastAsia" w:asciiTheme="minorEastAsia" w:hAnsiTheme="minorEastAsia"/>
                <w:sz w:val="24"/>
                <w:highlight w:val="none"/>
                <w:lang w:val="en-US" w:eastAsia="zh-CN"/>
              </w:rPr>
              <w:t>4</w:t>
            </w:r>
            <w:r>
              <w:rPr>
                <w:rFonts w:hint="eastAsia" w:asciiTheme="minorEastAsia" w:hAnsiTheme="minorEastAsia"/>
                <w:sz w:val="24"/>
                <w:highlight w:val="none"/>
                <w:lang w:eastAsia="zh-CN"/>
              </w:rPr>
              <w:t>）</w:t>
            </w:r>
            <w:r>
              <w:rPr>
                <w:rFonts w:hint="eastAsia" w:asciiTheme="minorEastAsia" w:hAnsiTheme="minorEastAsia"/>
                <w:sz w:val="24"/>
                <w:highlight w:val="none"/>
              </w:rPr>
              <w:t>赋能智治平台</w:t>
            </w:r>
            <w:r>
              <w:rPr>
                <w:rFonts w:hint="eastAsia" w:asciiTheme="minorEastAsia" w:hAnsiTheme="minorEastAsia"/>
                <w:sz w:val="24"/>
                <w:highlight w:val="none"/>
                <w:lang w:val="en-US" w:eastAsia="zh-CN"/>
              </w:rPr>
              <w:t>实施方案</w:t>
            </w:r>
            <w:r>
              <w:rPr>
                <w:rFonts w:hint="eastAsia" w:asciiTheme="minorEastAsia" w:hAnsiTheme="minorEastAsia"/>
                <w:sz w:val="24"/>
                <w:highlight w:val="none"/>
                <w:lang w:eastAsia="zh-CN"/>
              </w:rPr>
              <w:t>；</w:t>
            </w:r>
            <w:r>
              <w:rPr>
                <w:rFonts w:hint="eastAsia" w:asciiTheme="minorEastAsia" w:hAnsiTheme="minorEastAsia"/>
                <w:sz w:val="24"/>
                <w:highlight w:val="none"/>
                <w:lang w:eastAsia="zh-CN"/>
              </w:rPr>
              <w:br w:type="textWrapping"/>
            </w:r>
            <w:r>
              <w:rPr>
                <w:rFonts w:hint="eastAsia" w:asciiTheme="minorEastAsia" w:hAnsiTheme="minorEastAsia"/>
                <w:sz w:val="24"/>
                <w:highlight w:val="none"/>
                <w:lang w:eastAsia="zh-CN"/>
              </w:rPr>
              <w:t>（</w:t>
            </w:r>
            <w:r>
              <w:rPr>
                <w:rFonts w:hint="eastAsia" w:asciiTheme="minorEastAsia" w:hAnsiTheme="minorEastAsia"/>
                <w:sz w:val="24"/>
                <w:highlight w:val="none"/>
                <w:lang w:val="en-US" w:eastAsia="zh-CN"/>
              </w:rPr>
              <w:t>5</w:t>
            </w:r>
            <w:r>
              <w:rPr>
                <w:rFonts w:hint="eastAsia" w:asciiTheme="minorEastAsia" w:hAnsiTheme="minorEastAsia"/>
                <w:sz w:val="24"/>
                <w:highlight w:val="none"/>
                <w:lang w:eastAsia="zh-CN"/>
              </w:rPr>
              <w:t>）</w:t>
            </w:r>
            <w:r>
              <w:rPr>
                <w:rFonts w:hint="eastAsia" w:asciiTheme="minorEastAsia" w:hAnsiTheme="minorEastAsia"/>
                <w:sz w:val="24"/>
                <w:highlight w:val="none"/>
              </w:rPr>
              <w:t>平战转换</w:t>
            </w:r>
            <w:r>
              <w:rPr>
                <w:rFonts w:hint="eastAsia" w:asciiTheme="minorEastAsia" w:hAnsiTheme="minorEastAsia"/>
                <w:sz w:val="24"/>
                <w:highlight w:val="none"/>
                <w:lang w:val="en-US" w:eastAsia="zh-CN"/>
              </w:rPr>
              <w:t>实施方案。</w:t>
            </w:r>
            <w:r>
              <w:rPr>
                <w:rFonts w:hint="eastAsia" w:asciiTheme="minorEastAsia" w:hAnsiTheme="minorEastAsia"/>
                <w:sz w:val="24"/>
                <w:highlight w:val="none"/>
              </w:rPr>
              <w:br w:type="textWrapping"/>
            </w:r>
            <w:r>
              <w:rPr>
                <w:rFonts w:hint="eastAsia" w:ascii="宋体" w:hAnsi="宋体"/>
                <w:b/>
                <w:bCs/>
                <w:sz w:val="24"/>
                <w:highlight w:val="none"/>
              </w:rPr>
              <w:t>说明：每项内容提供完整的技术方案且完全满足采购人要求得</w:t>
            </w:r>
            <w:r>
              <w:rPr>
                <w:rFonts w:hint="eastAsia" w:ascii="宋体" w:hAnsi="宋体"/>
                <w:b/>
                <w:bCs/>
                <w:sz w:val="24"/>
                <w:highlight w:val="none"/>
                <w:lang w:val="en-US" w:eastAsia="zh-CN"/>
              </w:rPr>
              <w:t>1</w:t>
            </w:r>
            <w:r>
              <w:rPr>
                <w:rFonts w:hint="eastAsia" w:ascii="宋体" w:hAnsi="宋体"/>
                <w:b/>
                <w:bCs/>
                <w:sz w:val="24"/>
                <w:highlight w:val="none"/>
              </w:rPr>
              <w:t>分，方案内容存在缺项或部分满足得</w:t>
            </w:r>
            <w:r>
              <w:rPr>
                <w:rFonts w:hint="eastAsia" w:ascii="宋体" w:hAnsi="宋体"/>
                <w:b/>
                <w:bCs/>
                <w:sz w:val="24"/>
                <w:highlight w:val="none"/>
                <w:lang w:val="en-US" w:eastAsia="zh-CN"/>
              </w:rPr>
              <w:t>0.5</w:t>
            </w:r>
            <w:r>
              <w:rPr>
                <w:rFonts w:hint="eastAsia" w:ascii="宋体" w:hAnsi="宋体"/>
                <w:b/>
                <w:bCs/>
                <w:sz w:val="24"/>
                <w:highlight w:val="none"/>
              </w:rPr>
              <w:t>分，未提供方案或不满足不得分，本项最高</w:t>
            </w:r>
            <w:r>
              <w:rPr>
                <w:rFonts w:hint="eastAsia" w:ascii="宋体" w:hAnsi="宋体"/>
                <w:b/>
                <w:bCs/>
                <w:sz w:val="24"/>
                <w:highlight w:val="none"/>
                <w:lang w:val="en-US" w:eastAsia="zh-CN"/>
              </w:rPr>
              <w:t>5</w:t>
            </w:r>
            <w:r>
              <w:rPr>
                <w:rFonts w:hint="eastAsia" w:ascii="宋体" w:hAnsi="宋体"/>
                <w:b/>
                <w:bCs/>
                <w:sz w:val="24"/>
                <w:highlight w:val="none"/>
              </w:rPr>
              <w:t>分。</w:t>
            </w:r>
          </w:p>
        </w:tc>
        <w:tc>
          <w:tcPr>
            <w:tcW w:w="750" w:type="dxa"/>
            <w:vAlign w:val="center"/>
          </w:tcPr>
          <w:p>
            <w:pPr>
              <w:snapToGrid w:val="0"/>
              <w:spacing w:line="360" w:lineRule="auto"/>
              <w:jc w:val="center"/>
              <w:rPr>
                <w:rFonts w:hint="default" w:cs="宋体" w:asciiTheme="minorEastAsia" w:hAnsiTheme="minorEastAsia"/>
                <w:kern w:val="0"/>
                <w:sz w:val="24"/>
                <w:highlight w:val="none"/>
                <w:lang w:val="en-US" w:eastAsia="zh-CN"/>
              </w:rPr>
            </w:pPr>
            <w:r>
              <w:rPr>
                <w:rFonts w:hint="eastAsia" w:cs="宋体" w:asciiTheme="minorEastAsia" w:hAnsiTheme="minorEastAsia"/>
                <w:kern w:val="0"/>
                <w:sz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09" w:type="dxa"/>
            <w:vMerge w:val="continue"/>
            <w:vAlign w:val="center"/>
          </w:tcPr>
          <w:p>
            <w:pPr>
              <w:snapToGrid w:val="0"/>
              <w:spacing w:line="360" w:lineRule="auto"/>
              <w:jc w:val="center"/>
              <w:rPr>
                <w:rFonts w:cs="仿宋_GB2312" w:asciiTheme="majorEastAsia" w:hAnsiTheme="majorEastAsia" w:eastAsiaTheme="majorEastAsia"/>
                <w:sz w:val="24"/>
                <w:highlight w:val="none"/>
              </w:rPr>
            </w:pPr>
          </w:p>
        </w:tc>
        <w:tc>
          <w:tcPr>
            <w:tcW w:w="1985" w:type="dxa"/>
            <w:vMerge w:val="continue"/>
            <w:vAlign w:val="center"/>
          </w:tcPr>
          <w:p>
            <w:pPr>
              <w:widowControl/>
              <w:snapToGrid w:val="0"/>
              <w:spacing w:line="360" w:lineRule="auto"/>
              <w:textAlignment w:val="center"/>
              <w:rPr>
                <w:rFonts w:hint="eastAsia" w:ascii="宋体" w:hAnsi="宋体" w:cs="宋体"/>
                <w:b/>
                <w:bCs/>
                <w:sz w:val="24"/>
                <w:highlight w:val="none"/>
              </w:rPr>
            </w:pPr>
          </w:p>
        </w:tc>
        <w:tc>
          <w:tcPr>
            <w:tcW w:w="6222" w:type="dxa"/>
            <w:vAlign w:val="center"/>
          </w:tcPr>
          <w:p>
            <w:pPr>
              <w:widowControl/>
              <w:snapToGrid w:val="0"/>
              <w:spacing w:line="360" w:lineRule="auto"/>
              <w:textAlignment w:val="center"/>
              <w:rPr>
                <w:rFonts w:ascii="宋体" w:hAnsi="宋体" w:cs="宋体"/>
                <w:sz w:val="24"/>
                <w:highlight w:val="none"/>
              </w:rPr>
            </w:pPr>
            <w:r>
              <w:rPr>
                <w:rFonts w:hint="eastAsia" w:cs="宋体" w:asciiTheme="minorEastAsia" w:hAnsiTheme="minorEastAsia"/>
                <w:kern w:val="0"/>
                <w:sz w:val="24"/>
                <w:highlight w:val="none"/>
                <w:lang w:eastAsia="zh-CN"/>
              </w:rPr>
              <w:t>【</w:t>
            </w:r>
            <w:r>
              <w:rPr>
                <w:rFonts w:hint="eastAsia" w:cs="宋体" w:asciiTheme="minorEastAsia" w:hAnsiTheme="minorEastAsia"/>
                <w:kern w:val="0"/>
                <w:sz w:val="24"/>
                <w:highlight w:val="none"/>
                <w:lang w:val="en-US" w:eastAsia="zh-CN"/>
              </w:rPr>
              <w:t>主观分</w:t>
            </w:r>
            <w:r>
              <w:rPr>
                <w:rFonts w:hint="eastAsia" w:cs="宋体" w:asciiTheme="minorEastAsia" w:hAnsiTheme="minorEastAsia"/>
                <w:kern w:val="0"/>
                <w:sz w:val="24"/>
                <w:highlight w:val="none"/>
                <w:lang w:eastAsia="zh-CN"/>
              </w:rPr>
              <w:t>】</w:t>
            </w:r>
          </w:p>
          <w:p>
            <w:pPr>
              <w:snapToGrid w:val="0"/>
              <w:spacing w:line="360" w:lineRule="auto"/>
              <w:rPr>
                <w:rFonts w:hint="eastAsia" w:ascii="宋体" w:hAnsi="宋体" w:eastAsia="宋体" w:cs="宋体"/>
                <w:sz w:val="24"/>
                <w:highlight w:val="none"/>
                <w:lang w:eastAsia="zh-CN"/>
              </w:rPr>
            </w:pPr>
            <w:r>
              <w:rPr>
                <w:rFonts w:ascii="宋体" w:hAnsi="宋体" w:cs="宋体"/>
                <w:sz w:val="24"/>
                <w:highlight w:val="none"/>
              </w:rPr>
              <w:t>投标方案</w:t>
            </w:r>
            <w:r>
              <w:rPr>
                <w:rFonts w:hint="eastAsia" w:ascii="宋体" w:hAnsi="宋体" w:cs="宋体"/>
                <w:sz w:val="24"/>
                <w:highlight w:val="none"/>
                <w:lang w:val="en-US" w:eastAsia="zh-CN"/>
              </w:rPr>
              <w:t>升级</w:t>
            </w:r>
            <w:r>
              <w:rPr>
                <w:rFonts w:ascii="宋体" w:hAnsi="宋体" w:cs="宋体"/>
                <w:sz w:val="24"/>
                <w:highlight w:val="none"/>
              </w:rPr>
              <w:t>、建设方案、详细阐述系统的体系架构、实现思路和关键技术</w:t>
            </w:r>
            <w:r>
              <w:rPr>
                <w:rFonts w:hint="eastAsia" w:ascii="宋体" w:hAnsi="宋体" w:cs="宋体"/>
                <w:sz w:val="24"/>
                <w:highlight w:val="none"/>
              </w:rPr>
              <w:t>，</w:t>
            </w:r>
            <w:r>
              <w:rPr>
                <w:rFonts w:ascii="宋体" w:hAnsi="宋体" w:cs="宋体"/>
                <w:sz w:val="24"/>
                <w:highlight w:val="none"/>
              </w:rPr>
              <w:t>方案对系统实施可能遇到的问题及其应对措施的考虑情况等</w:t>
            </w:r>
            <w:r>
              <w:rPr>
                <w:rFonts w:hint="eastAsia" w:ascii="宋体" w:hAnsi="宋体" w:cs="宋体"/>
                <w:sz w:val="24"/>
                <w:highlight w:val="none"/>
              </w:rPr>
              <w:t>。</w:t>
            </w:r>
            <w:r>
              <w:rPr>
                <w:rFonts w:hint="eastAsia" w:asciiTheme="minorEastAsia" w:hAnsiTheme="minorEastAsia"/>
                <w:b w:val="0"/>
                <w:bCs w:val="0"/>
                <w:sz w:val="24"/>
                <w:highlight w:val="none"/>
              </w:rPr>
              <w:t>综合评价</w:t>
            </w:r>
            <w:r>
              <w:rPr>
                <w:rFonts w:hint="eastAsia" w:ascii="宋体" w:hAnsi="宋体" w:cs="宋体"/>
                <w:sz w:val="24"/>
                <w:highlight w:val="none"/>
                <w:lang w:val="en-US" w:eastAsia="zh-CN"/>
              </w:rPr>
              <w:t>的</w:t>
            </w:r>
            <w:r>
              <w:rPr>
                <w:rFonts w:hint="eastAsia" w:ascii="宋体" w:hAnsi="宋体" w:cs="宋体"/>
                <w:sz w:val="24"/>
                <w:highlight w:val="none"/>
              </w:rPr>
              <w:t>技术解决方案中体现包括</w:t>
            </w:r>
            <w:r>
              <w:rPr>
                <w:rFonts w:hint="eastAsia" w:ascii="宋体" w:hAnsi="宋体" w:cs="宋体"/>
                <w:sz w:val="24"/>
                <w:highlight w:val="none"/>
                <w:lang w:eastAsia="zh-CN"/>
              </w:rPr>
              <w:t>：</w:t>
            </w:r>
            <w:r>
              <w:rPr>
                <w:rFonts w:hint="eastAsia" w:ascii="宋体" w:hAnsi="宋体" w:cs="宋体"/>
                <w:sz w:val="24"/>
                <w:highlight w:val="none"/>
                <w:lang w:eastAsia="zh-CN"/>
              </w:rPr>
              <w:br w:type="textWrapping"/>
            </w:r>
            <w:r>
              <w:rPr>
                <w:rFonts w:hint="eastAsia" w:ascii="宋体" w:hAnsi="宋体" w:cs="宋体"/>
                <w:sz w:val="24"/>
                <w:highlight w:val="none"/>
                <w:lang w:eastAsia="zh-CN"/>
              </w:rPr>
              <w:t>（</w:t>
            </w:r>
            <w:r>
              <w:rPr>
                <w:rFonts w:hint="eastAsia" w:ascii="宋体" w:hAnsi="宋体" w:cs="宋体"/>
                <w:sz w:val="24"/>
                <w:highlight w:val="none"/>
                <w:lang w:val="en-US" w:eastAsia="zh-CN"/>
              </w:rPr>
              <w:t>1</w:t>
            </w:r>
            <w:r>
              <w:rPr>
                <w:rFonts w:hint="eastAsia" w:ascii="宋体" w:hAnsi="宋体" w:cs="宋体"/>
                <w:sz w:val="24"/>
                <w:highlight w:val="none"/>
                <w:lang w:eastAsia="zh-CN"/>
              </w:rPr>
              <w:t>）</w:t>
            </w:r>
            <w:r>
              <w:rPr>
                <w:rFonts w:hint="eastAsia" w:asciiTheme="minorEastAsia" w:hAnsiTheme="minorEastAsia"/>
                <w:sz w:val="24"/>
                <w:highlight w:val="none"/>
              </w:rPr>
              <w:t>评价功能升级</w:t>
            </w:r>
            <w:r>
              <w:rPr>
                <w:rFonts w:hint="eastAsia" w:asciiTheme="minorEastAsia" w:hAnsiTheme="minorEastAsia"/>
                <w:sz w:val="24"/>
                <w:highlight w:val="none"/>
                <w:lang w:val="en-US" w:eastAsia="zh-CN"/>
              </w:rPr>
              <w:t>实施方案</w:t>
            </w:r>
            <w:r>
              <w:rPr>
                <w:rFonts w:hint="eastAsia" w:asciiTheme="minorEastAsia" w:hAnsiTheme="minorEastAsia"/>
                <w:sz w:val="24"/>
                <w:highlight w:val="none"/>
                <w:lang w:eastAsia="zh-CN"/>
              </w:rPr>
              <w:t>；</w:t>
            </w:r>
            <w:r>
              <w:rPr>
                <w:rFonts w:hint="eastAsia" w:asciiTheme="minorEastAsia" w:hAnsiTheme="minorEastAsia"/>
                <w:sz w:val="24"/>
                <w:highlight w:val="none"/>
                <w:lang w:eastAsia="zh-CN"/>
              </w:rPr>
              <w:br w:type="textWrapping"/>
            </w:r>
            <w:r>
              <w:rPr>
                <w:rFonts w:hint="eastAsia" w:asciiTheme="minorEastAsia" w:hAnsiTheme="minorEastAsia"/>
                <w:sz w:val="24"/>
                <w:highlight w:val="none"/>
                <w:lang w:eastAsia="zh-CN"/>
              </w:rPr>
              <w:t>（</w:t>
            </w:r>
            <w:r>
              <w:rPr>
                <w:rFonts w:hint="eastAsia" w:asciiTheme="minorEastAsia" w:hAnsiTheme="minorEastAsia"/>
                <w:sz w:val="24"/>
                <w:highlight w:val="none"/>
                <w:lang w:val="en-US" w:eastAsia="zh-CN"/>
              </w:rPr>
              <w:t>2</w:t>
            </w:r>
            <w:r>
              <w:rPr>
                <w:rFonts w:hint="eastAsia" w:asciiTheme="minorEastAsia" w:hAnsiTheme="minorEastAsia"/>
                <w:sz w:val="24"/>
                <w:highlight w:val="none"/>
                <w:lang w:eastAsia="zh-CN"/>
              </w:rPr>
              <w:t>）</w:t>
            </w:r>
            <w:r>
              <w:rPr>
                <w:rFonts w:hint="eastAsia" w:asciiTheme="minorEastAsia" w:hAnsiTheme="minorEastAsia"/>
                <w:sz w:val="24"/>
                <w:highlight w:val="none"/>
              </w:rPr>
              <w:t>智能自动评价</w:t>
            </w:r>
            <w:r>
              <w:rPr>
                <w:rFonts w:hint="eastAsia" w:asciiTheme="minorEastAsia" w:hAnsiTheme="minorEastAsia"/>
                <w:sz w:val="24"/>
                <w:highlight w:val="none"/>
                <w:lang w:val="en-US" w:eastAsia="zh-CN"/>
              </w:rPr>
              <w:t>实施方案</w:t>
            </w:r>
            <w:r>
              <w:rPr>
                <w:rFonts w:hint="eastAsia" w:asciiTheme="minorEastAsia" w:hAnsiTheme="minorEastAsia"/>
                <w:sz w:val="24"/>
                <w:highlight w:val="none"/>
                <w:lang w:eastAsia="zh-CN"/>
              </w:rPr>
              <w:t>；</w:t>
            </w:r>
            <w:r>
              <w:rPr>
                <w:rFonts w:hint="eastAsia" w:asciiTheme="minorEastAsia" w:hAnsiTheme="minorEastAsia"/>
                <w:sz w:val="24"/>
                <w:highlight w:val="none"/>
              </w:rPr>
              <w:br w:type="textWrapping"/>
            </w:r>
            <w:r>
              <w:rPr>
                <w:rFonts w:hint="eastAsia" w:asciiTheme="minorEastAsia" w:hAnsiTheme="minorEastAsia"/>
                <w:sz w:val="24"/>
                <w:highlight w:val="none"/>
                <w:lang w:eastAsia="zh-CN"/>
              </w:rPr>
              <w:t>（</w:t>
            </w:r>
            <w:r>
              <w:rPr>
                <w:rFonts w:hint="eastAsia" w:asciiTheme="minorEastAsia" w:hAnsiTheme="minorEastAsia"/>
                <w:sz w:val="24"/>
                <w:highlight w:val="none"/>
                <w:lang w:val="en-US" w:eastAsia="zh-CN"/>
              </w:rPr>
              <w:t>3</w:t>
            </w:r>
            <w:r>
              <w:rPr>
                <w:rFonts w:hint="eastAsia" w:asciiTheme="minorEastAsia" w:hAnsiTheme="minorEastAsia"/>
                <w:sz w:val="24"/>
                <w:highlight w:val="none"/>
                <w:lang w:eastAsia="zh-CN"/>
              </w:rPr>
              <w:t>）</w:t>
            </w:r>
            <w:r>
              <w:rPr>
                <w:rFonts w:hint="eastAsia" w:asciiTheme="minorEastAsia" w:hAnsiTheme="minorEastAsia"/>
                <w:sz w:val="24"/>
                <w:highlight w:val="none"/>
              </w:rPr>
              <w:t>城市运行评价</w:t>
            </w:r>
            <w:r>
              <w:rPr>
                <w:rFonts w:hint="eastAsia" w:asciiTheme="minorEastAsia" w:hAnsiTheme="minorEastAsia"/>
                <w:sz w:val="24"/>
                <w:highlight w:val="none"/>
                <w:lang w:val="en-US" w:eastAsia="zh-CN"/>
              </w:rPr>
              <w:t>实施方案</w:t>
            </w:r>
            <w:r>
              <w:rPr>
                <w:rFonts w:hint="eastAsia" w:asciiTheme="minorEastAsia" w:hAnsiTheme="minorEastAsia"/>
                <w:sz w:val="24"/>
                <w:highlight w:val="none"/>
                <w:lang w:eastAsia="zh-CN"/>
              </w:rPr>
              <w:t>；</w:t>
            </w:r>
            <w:r>
              <w:rPr>
                <w:rFonts w:hint="eastAsia" w:asciiTheme="minorEastAsia" w:hAnsiTheme="minorEastAsia"/>
                <w:sz w:val="24"/>
                <w:highlight w:val="none"/>
              </w:rPr>
              <w:br w:type="textWrapping"/>
            </w:r>
            <w:r>
              <w:rPr>
                <w:rFonts w:hint="eastAsia" w:ascii="宋体" w:hAnsi="宋体"/>
                <w:b/>
                <w:bCs/>
                <w:sz w:val="24"/>
                <w:highlight w:val="none"/>
              </w:rPr>
              <w:t>说明：每项内容提供完整的技术方案且完全满足采购人要求得</w:t>
            </w:r>
            <w:r>
              <w:rPr>
                <w:rFonts w:hint="eastAsia" w:ascii="宋体" w:hAnsi="宋体"/>
                <w:b/>
                <w:bCs/>
                <w:sz w:val="24"/>
                <w:highlight w:val="none"/>
                <w:lang w:val="en-US" w:eastAsia="zh-CN"/>
              </w:rPr>
              <w:t>1</w:t>
            </w:r>
            <w:r>
              <w:rPr>
                <w:rFonts w:hint="eastAsia" w:ascii="宋体" w:hAnsi="宋体"/>
                <w:b/>
                <w:bCs/>
                <w:sz w:val="24"/>
                <w:highlight w:val="none"/>
              </w:rPr>
              <w:t>分，方案内容存在缺项或部分满足得</w:t>
            </w:r>
            <w:r>
              <w:rPr>
                <w:rFonts w:hint="eastAsia" w:ascii="宋体" w:hAnsi="宋体"/>
                <w:b/>
                <w:bCs/>
                <w:sz w:val="24"/>
                <w:highlight w:val="none"/>
                <w:lang w:val="en-US" w:eastAsia="zh-CN"/>
              </w:rPr>
              <w:t>0.5</w:t>
            </w:r>
            <w:r>
              <w:rPr>
                <w:rFonts w:hint="eastAsia" w:ascii="宋体" w:hAnsi="宋体"/>
                <w:b/>
                <w:bCs/>
                <w:sz w:val="24"/>
                <w:highlight w:val="none"/>
              </w:rPr>
              <w:t>分，未提供方案或不满足不得分，本项最高</w:t>
            </w:r>
            <w:r>
              <w:rPr>
                <w:rFonts w:hint="eastAsia" w:ascii="宋体" w:hAnsi="宋体"/>
                <w:b/>
                <w:bCs/>
                <w:sz w:val="24"/>
                <w:highlight w:val="none"/>
                <w:lang w:val="en-US" w:eastAsia="zh-CN"/>
              </w:rPr>
              <w:t>3</w:t>
            </w:r>
            <w:r>
              <w:rPr>
                <w:rFonts w:hint="eastAsia" w:ascii="宋体" w:hAnsi="宋体"/>
                <w:b/>
                <w:bCs/>
                <w:sz w:val="24"/>
                <w:highlight w:val="none"/>
              </w:rPr>
              <w:t>分。</w:t>
            </w:r>
          </w:p>
        </w:tc>
        <w:tc>
          <w:tcPr>
            <w:tcW w:w="750" w:type="dxa"/>
            <w:vAlign w:val="center"/>
          </w:tcPr>
          <w:p>
            <w:pPr>
              <w:snapToGrid w:val="0"/>
              <w:spacing w:line="360" w:lineRule="auto"/>
              <w:jc w:val="center"/>
              <w:rPr>
                <w:rFonts w:hint="default" w:cs="宋体" w:asciiTheme="minorEastAsia" w:hAnsiTheme="minorEastAsia"/>
                <w:kern w:val="0"/>
                <w:sz w:val="24"/>
                <w:highlight w:val="none"/>
                <w:lang w:val="en-US" w:eastAsia="zh-CN"/>
              </w:rPr>
            </w:pPr>
            <w:r>
              <w:rPr>
                <w:rFonts w:hint="eastAsia" w:cs="宋体" w:asciiTheme="minorEastAsia" w:hAnsiTheme="minorEastAsia"/>
                <w:kern w:val="0"/>
                <w:sz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709" w:type="dxa"/>
            <w:vMerge w:val="continue"/>
            <w:vAlign w:val="center"/>
          </w:tcPr>
          <w:p>
            <w:pPr>
              <w:snapToGrid w:val="0"/>
              <w:spacing w:line="360" w:lineRule="auto"/>
              <w:jc w:val="center"/>
              <w:rPr>
                <w:rFonts w:cs="仿宋_GB2312" w:asciiTheme="majorEastAsia" w:hAnsiTheme="majorEastAsia" w:eastAsiaTheme="majorEastAsia"/>
                <w:sz w:val="24"/>
                <w:highlight w:val="none"/>
              </w:rPr>
            </w:pPr>
          </w:p>
        </w:tc>
        <w:tc>
          <w:tcPr>
            <w:tcW w:w="1985" w:type="dxa"/>
            <w:vMerge w:val="continue"/>
            <w:vAlign w:val="center"/>
          </w:tcPr>
          <w:p>
            <w:pPr>
              <w:widowControl/>
              <w:snapToGrid w:val="0"/>
              <w:spacing w:line="360" w:lineRule="auto"/>
              <w:textAlignment w:val="center"/>
              <w:rPr>
                <w:rFonts w:hint="eastAsia" w:ascii="宋体" w:hAnsi="宋体" w:cs="宋体"/>
                <w:b/>
                <w:bCs/>
                <w:sz w:val="24"/>
                <w:highlight w:val="none"/>
              </w:rPr>
            </w:pPr>
          </w:p>
        </w:tc>
        <w:tc>
          <w:tcPr>
            <w:tcW w:w="6222" w:type="dxa"/>
            <w:vAlign w:val="center"/>
          </w:tcPr>
          <w:p>
            <w:pPr>
              <w:widowControl/>
              <w:snapToGrid w:val="0"/>
              <w:spacing w:line="360" w:lineRule="auto"/>
              <w:textAlignment w:val="center"/>
              <w:rPr>
                <w:rFonts w:ascii="宋体" w:hAnsi="宋体" w:cs="宋体"/>
                <w:sz w:val="24"/>
                <w:highlight w:val="none"/>
              </w:rPr>
            </w:pPr>
            <w:r>
              <w:rPr>
                <w:rFonts w:hint="eastAsia" w:cs="宋体" w:asciiTheme="minorEastAsia" w:hAnsiTheme="minorEastAsia"/>
                <w:kern w:val="0"/>
                <w:sz w:val="24"/>
                <w:highlight w:val="none"/>
                <w:lang w:eastAsia="zh-CN"/>
              </w:rPr>
              <w:t>【</w:t>
            </w:r>
            <w:r>
              <w:rPr>
                <w:rFonts w:hint="eastAsia" w:cs="宋体" w:asciiTheme="minorEastAsia" w:hAnsiTheme="minorEastAsia"/>
                <w:kern w:val="0"/>
                <w:sz w:val="24"/>
                <w:highlight w:val="none"/>
                <w:lang w:val="en-US" w:eastAsia="zh-CN"/>
              </w:rPr>
              <w:t>主观分</w:t>
            </w:r>
            <w:r>
              <w:rPr>
                <w:rFonts w:hint="eastAsia" w:cs="宋体" w:asciiTheme="minorEastAsia" w:hAnsiTheme="minorEastAsia"/>
                <w:kern w:val="0"/>
                <w:sz w:val="24"/>
                <w:highlight w:val="none"/>
                <w:lang w:eastAsia="zh-CN"/>
              </w:rPr>
              <w:t>】</w:t>
            </w:r>
          </w:p>
          <w:p>
            <w:pPr>
              <w:snapToGrid w:val="0"/>
              <w:spacing w:line="360" w:lineRule="auto"/>
              <w:rPr>
                <w:rFonts w:ascii="宋体" w:hAnsi="宋体" w:cs="宋体"/>
                <w:sz w:val="24"/>
                <w:highlight w:val="none"/>
              </w:rPr>
            </w:pPr>
            <w:r>
              <w:rPr>
                <w:rFonts w:ascii="宋体" w:hAnsi="宋体" w:cs="宋体"/>
                <w:sz w:val="24"/>
                <w:highlight w:val="none"/>
              </w:rPr>
              <w:t>投标方案总体设计、建设方案、详细阐述系统的体系架构、实现思路和关键技术</w:t>
            </w:r>
            <w:r>
              <w:rPr>
                <w:rFonts w:hint="eastAsia" w:ascii="宋体" w:hAnsi="宋体" w:cs="宋体"/>
                <w:sz w:val="24"/>
                <w:highlight w:val="none"/>
              </w:rPr>
              <w:t>，</w:t>
            </w:r>
            <w:r>
              <w:rPr>
                <w:rFonts w:ascii="宋体" w:hAnsi="宋体" w:cs="宋体"/>
                <w:sz w:val="24"/>
                <w:highlight w:val="none"/>
              </w:rPr>
              <w:t>方案对系统实施可能遇到的问题及其应对措施的考虑情况等</w:t>
            </w:r>
            <w:r>
              <w:rPr>
                <w:rFonts w:hint="eastAsia" w:ascii="宋体" w:hAnsi="宋体" w:cs="宋体"/>
                <w:sz w:val="24"/>
                <w:highlight w:val="none"/>
              </w:rPr>
              <w:t>。行业应用拓展</w:t>
            </w:r>
            <w:r>
              <w:rPr>
                <w:rFonts w:hint="eastAsia" w:ascii="宋体" w:hAnsi="宋体" w:cs="宋体"/>
                <w:sz w:val="24"/>
                <w:highlight w:val="none"/>
                <w:lang w:val="en-US" w:eastAsia="zh-CN"/>
              </w:rPr>
              <w:t>的</w:t>
            </w:r>
            <w:r>
              <w:rPr>
                <w:rFonts w:hint="eastAsia" w:ascii="宋体" w:hAnsi="宋体" w:cs="宋体"/>
                <w:sz w:val="24"/>
                <w:highlight w:val="none"/>
              </w:rPr>
              <w:t>技术解决方案中体现包括</w:t>
            </w:r>
            <w:r>
              <w:rPr>
                <w:rFonts w:hint="eastAsia" w:ascii="宋体" w:hAnsi="宋体" w:cs="宋体"/>
                <w:sz w:val="24"/>
                <w:highlight w:val="none"/>
              </w:rPr>
              <w:br w:type="textWrapping"/>
            </w:r>
            <w:r>
              <w:rPr>
                <w:rFonts w:hint="eastAsia" w:ascii="宋体" w:hAnsi="宋体" w:cs="宋体"/>
                <w:sz w:val="24"/>
                <w:highlight w:val="none"/>
                <w:lang w:eastAsia="zh-CN"/>
              </w:rPr>
              <w:t>（</w:t>
            </w:r>
            <w:r>
              <w:rPr>
                <w:rFonts w:hint="eastAsia" w:ascii="宋体" w:hAnsi="宋体" w:cs="宋体"/>
                <w:sz w:val="24"/>
                <w:highlight w:val="none"/>
                <w:lang w:val="en-US" w:eastAsia="zh-CN"/>
              </w:rPr>
              <w:t>1</w:t>
            </w:r>
            <w:r>
              <w:rPr>
                <w:rFonts w:hint="eastAsia" w:ascii="宋体" w:hAnsi="宋体" w:cs="宋体"/>
                <w:sz w:val="24"/>
                <w:highlight w:val="none"/>
                <w:lang w:eastAsia="zh-CN"/>
              </w:rPr>
              <w:t>）</w:t>
            </w:r>
            <w:r>
              <w:rPr>
                <w:rFonts w:hint="eastAsia" w:asciiTheme="minorEastAsia" w:hAnsiTheme="minorEastAsia"/>
                <w:sz w:val="24"/>
                <w:highlight w:val="none"/>
              </w:rPr>
              <w:t>工程渣土监管服务系统</w:t>
            </w:r>
            <w:r>
              <w:rPr>
                <w:rFonts w:hint="eastAsia" w:asciiTheme="minorEastAsia" w:hAnsiTheme="minorEastAsia"/>
                <w:sz w:val="24"/>
                <w:highlight w:val="none"/>
                <w:lang w:val="en-US" w:eastAsia="zh-CN"/>
              </w:rPr>
              <w:t>应用拓展实施方案</w:t>
            </w:r>
            <w:r>
              <w:rPr>
                <w:rFonts w:hint="eastAsia" w:asciiTheme="minorEastAsia" w:hAnsiTheme="minorEastAsia"/>
                <w:sz w:val="24"/>
                <w:highlight w:val="none"/>
                <w:lang w:eastAsia="zh-CN"/>
              </w:rPr>
              <w:t>；</w:t>
            </w:r>
            <w:r>
              <w:rPr>
                <w:rFonts w:hint="eastAsia" w:asciiTheme="minorEastAsia" w:hAnsiTheme="minorEastAsia"/>
                <w:sz w:val="24"/>
                <w:highlight w:val="none"/>
                <w:lang w:eastAsia="zh-CN"/>
              </w:rPr>
              <w:br w:type="textWrapping"/>
            </w:r>
            <w:r>
              <w:rPr>
                <w:rFonts w:hint="eastAsia" w:asciiTheme="minorEastAsia" w:hAnsiTheme="minorEastAsia"/>
                <w:sz w:val="24"/>
                <w:highlight w:val="none"/>
                <w:lang w:eastAsia="zh-CN"/>
              </w:rPr>
              <w:t>（</w:t>
            </w:r>
            <w:r>
              <w:rPr>
                <w:rFonts w:hint="eastAsia" w:asciiTheme="minorEastAsia" w:hAnsiTheme="minorEastAsia"/>
                <w:sz w:val="24"/>
                <w:highlight w:val="none"/>
                <w:lang w:val="en-US" w:eastAsia="zh-CN"/>
              </w:rPr>
              <w:t>2</w:t>
            </w:r>
            <w:r>
              <w:rPr>
                <w:rFonts w:hint="eastAsia" w:asciiTheme="minorEastAsia" w:hAnsiTheme="minorEastAsia"/>
                <w:sz w:val="24"/>
                <w:highlight w:val="none"/>
                <w:lang w:eastAsia="zh-CN"/>
              </w:rPr>
              <w:t>）</w:t>
            </w:r>
            <w:r>
              <w:rPr>
                <w:rFonts w:hint="eastAsia" w:asciiTheme="minorEastAsia" w:hAnsiTheme="minorEastAsia"/>
                <w:sz w:val="24"/>
                <w:highlight w:val="none"/>
              </w:rPr>
              <w:t>智慧市政系统</w:t>
            </w:r>
            <w:r>
              <w:rPr>
                <w:rFonts w:hint="eastAsia" w:asciiTheme="minorEastAsia" w:hAnsiTheme="minorEastAsia"/>
                <w:sz w:val="24"/>
                <w:highlight w:val="none"/>
                <w:lang w:val="en-US" w:eastAsia="zh-CN"/>
              </w:rPr>
              <w:t>应用拓展实施方案</w:t>
            </w:r>
            <w:r>
              <w:rPr>
                <w:rFonts w:hint="eastAsia" w:asciiTheme="minorEastAsia" w:hAnsiTheme="minorEastAsia"/>
                <w:sz w:val="24"/>
                <w:highlight w:val="none"/>
                <w:lang w:eastAsia="zh-CN"/>
              </w:rPr>
              <w:t>；</w:t>
            </w:r>
            <w:r>
              <w:rPr>
                <w:rFonts w:hint="eastAsia" w:asciiTheme="minorEastAsia" w:hAnsiTheme="minorEastAsia"/>
                <w:sz w:val="24"/>
                <w:highlight w:val="none"/>
              </w:rPr>
              <w:br w:type="textWrapping"/>
            </w:r>
            <w:r>
              <w:rPr>
                <w:rFonts w:hint="eastAsia" w:asciiTheme="minorEastAsia" w:hAnsiTheme="minorEastAsia"/>
                <w:sz w:val="24"/>
                <w:highlight w:val="none"/>
                <w:lang w:eastAsia="zh-CN"/>
              </w:rPr>
              <w:t>（</w:t>
            </w:r>
            <w:r>
              <w:rPr>
                <w:rFonts w:hint="eastAsia" w:asciiTheme="minorEastAsia" w:hAnsiTheme="minorEastAsia"/>
                <w:sz w:val="24"/>
                <w:highlight w:val="none"/>
                <w:lang w:val="en-US" w:eastAsia="zh-CN"/>
              </w:rPr>
              <w:t>3</w:t>
            </w:r>
            <w:r>
              <w:rPr>
                <w:rFonts w:hint="eastAsia" w:asciiTheme="minorEastAsia" w:hAnsiTheme="minorEastAsia"/>
                <w:sz w:val="24"/>
                <w:highlight w:val="none"/>
                <w:lang w:eastAsia="zh-CN"/>
              </w:rPr>
              <w:t>）</w:t>
            </w:r>
            <w:r>
              <w:rPr>
                <w:rFonts w:hint="eastAsia" w:asciiTheme="minorEastAsia" w:hAnsiTheme="minorEastAsia"/>
                <w:sz w:val="24"/>
                <w:highlight w:val="none"/>
              </w:rPr>
              <w:t>智慧水设施系统</w:t>
            </w:r>
            <w:r>
              <w:rPr>
                <w:rFonts w:hint="eastAsia" w:asciiTheme="minorEastAsia" w:hAnsiTheme="minorEastAsia"/>
                <w:sz w:val="24"/>
                <w:highlight w:val="none"/>
                <w:lang w:val="en-US" w:eastAsia="zh-CN"/>
              </w:rPr>
              <w:t>应用拓展实施方案</w:t>
            </w:r>
            <w:r>
              <w:rPr>
                <w:rFonts w:hint="eastAsia" w:asciiTheme="minorEastAsia" w:hAnsiTheme="minorEastAsia"/>
                <w:sz w:val="24"/>
                <w:highlight w:val="none"/>
                <w:lang w:eastAsia="zh-CN"/>
              </w:rPr>
              <w:t>；</w:t>
            </w:r>
            <w:r>
              <w:rPr>
                <w:rFonts w:hint="eastAsia" w:asciiTheme="minorEastAsia" w:hAnsiTheme="minorEastAsia"/>
                <w:sz w:val="24"/>
                <w:highlight w:val="none"/>
                <w:lang w:eastAsia="zh-CN"/>
              </w:rPr>
              <w:br w:type="textWrapping"/>
            </w:r>
            <w:r>
              <w:rPr>
                <w:rFonts w:hint="eastAsia" w:asciiTheme="minorEastAsia" w:hAnsiTheme="minorEastAsia"/>
                <w:sz w:val="24"/>
                <w:highlight w:val="none"/>
                <w:lang w:eastAsia="zh-CN"/>
              </w:rPr>
              <w:t>（</w:t>
            </w:r>
            <w:r>
              <w:rPr>
                <w:rFonts w:hint="eastAsia" w:asciiTheme="minorEastAsia" w:hAnsiTheme="minorEastAsia"/>
                <w:sz w:val="24"/>
                <w:highlight w:val="none"/>
                <w:lang w:val="en-US" w:eastAsia="zh-CN"/>
              </w:rPr>
              <w:t>4</w:t>
            </w:r>
            <w:r>
              <w:rPr>
                <w:rFonts w:hint="eastAsia" w:asciiTheme="minorEastAsia" w:hAnsiTheme="minorEastAsia"/>
                <w:sz w:val="24"/>
                <w:highlight w:val="none"/>
                <w:lang w:eastAsia="zh-CN"/>
              </w:rPr>
              <w:t>）</w:t>
            </w:r>
            <w:r>
              <w:rPr>
                <w:rFonts w:hint="eastAsia" w:asciiTheme="minorEastAsia" w:hAnsiTheme="minorEastAsia"/>
                <w:sz w:val="24"/>
                <w:highlight w:val="none"/>
              </w:rPr>
              <w:t>智能化数字城管升级</w:t>
            </w:r>
            <w:r>
              <w:rPr>
                <w:rFonts w:hint="eastAsia" w:asciiTheme="minorEastAsia" w:hAnsiTheme="minorEastAsia"/>
                <w:sz w:val="24"/>
                <w:highlight w:val="none"/>
                <w:lang w:val="en-US" w:eastAsia="zh-CN"/>
              </w:rPr>
              <w:t>应用拓展实施方案</w:t>
            </w:r>
            <w:r>
              <w:rPr>
                <w:rFonts w:hint="eastAsia" w:asciiTheme="minorEastAsia" w:hAnsiTheme="minorEastAsia"/>
                <w:sz w:val="24"/>
                <w:highlight w:val="none"/>
                <w:lang w:eastAsia="zh-CN"/>
              </w:rPr>
              <w:t>；</w:t>
            </w:r>
            <w:r>
              <w:rPr>
                <w:rFonts w:hint="eastAsia" w:asciiTheme="minorEastAsia" w:hAnsiTheme="minorEastAsia"/>
                <w:sz w:val="24"/>
                <w:highlight w:val="none"/>
              </w:rPr>
              <w:br w:type="textWrapping"/>
            </w:r>
            <w:r>
              <w:rPr>
                <w:rFonts w:hint="eastAsia" w:ascii="宋体" w:hAnsi="宋体"/>
                <w:b/>
                <w:bCs/>
                <w:sz w:val="24"/>
                <w:highlight w:val="none"/>
              </w:rPr>
              <w:t>说明：每项内容提供完整的技术方案且完全满足采购人要求得</w:t>
            </w:r>
            <w:r>
              <w:rPr>
                <w:rFonts w:hint="eastAsia" w:ascii="宋体" w:hAnsi="宋体"/>
                <w:b/>
                <w:bCs/>
                <w:sz w:val="24"/>
                <w:highlight w:val="none"/>
                <w:lang w:val="en-US" w:eastAsia="zh-CN"/>
              </w:rPr>
              <w:t>1</w:t>
            </w:r>
            <w:r>
              <w:rPr>
                <w:rFonts w:hint="eastAsia" w:ascii="宋体" w:hAnsi="宋体"/>
                <w:b/>
                <w:bCs/>
                <w:sz w:val="24"/>
                <w:highlight w:val="none"/>
              </w:rPr>
              <w:t>分，方案内容存在缺项或部分满足得</w:t>
            </w:r>
            <w:r>
              <w:rPr>
                <w:rFonts w:hint="eastAsia" w:ascii="宋体" w:hAnsi="宋体"/>
                <w:b/>
                <w:bCs/>
                <w:sz w:val="24"/>
                <w:highlight w:val="none"/>
                <w:lang w:val="en-US" w:eastAsia="zh-CN"/>
              </w:rPr>
              <w:t>0.5</w:t>
            </w:r>
            <w:r>
              <w:rPr>
                <w:rFonts w:hint="eastAsia" w:ascii="宋体" w:hAnsi="宋体"/>
                <w:b/>
                <w:bCs/>
                <w:sz w:val="24"/>
                <w:highlight w:val="none"/>
              </w:rPr>
              <w:t>分，未提供方案或不满足不得分，本项最高</w:t>
            </w:r>
            <w:r>
              <w:rPr>
                <w:rFonts w:hint="eastAsia" w:ascii="宋体" w:hAnsi="宋体"/>
                <w:b/>
                <w:bCs/>
                <w:sz w:val="24"/>
                <w:highlight w:val="none"/>
                <w:lang w:val="en-US" w:eastAsia="zh-CN"/>
              </w:rPr>
              <w:t>4</w:t>
            </w:r>
            <w:r>
              <w:rPr>
                <w:rFonts w:hint="eastAsia" w:ascii="宋体" w:hAnsi="宋体"/>
                <w:b/>
                <w:bCs/>
                <w:sz w:val="24"/>
                <w:highlight w:val="none"/>
              </w:rPr>
              <w:t>分。</w:t>
            </w:r>
          </w:p>
        </w:tc>
        <w:tc>
          <w:tcPr>
            <w:tcW w:w="750" w:type="dxa"/>
            <w:vAlign w:val="center"/>
          </w:tcPr>
          <w:p>
            <w:pPr>
              <w:snapToGrid w:val="0"/>
              <w:spacing w:line="360" w:lineRule="auto"/>
              <w:jc w:val="center"/>
              <w:rPr>
                <w:rFonts w:hint="default" w:cs="宋体" w:asciiTheme="minorEastAsia" w:hAnsiTheme="minorEastAsia"/>
                <w:kern w:val="0"/>
                <w:sz w:val="24"/>
                <w:highlight w:val="none"/>
                <w:lang w:val="en-US" w:eastAsia="zh-CN"/>
              </w:rPr>
            </w:pPr>
            <w:r>
              <w:rPr>
                <w:rFonts w:hint="eastAsia" w:cs="宋体" w:asciiTheme="minorEastAsia" w:hAnsiTheme="minorEastAsia"/>
                <w:kern w:val="0"/>
                <w:sz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8" w:hRule="atLeast"/>
          <w:jc w:val="center"/>
        </w:trPr>
        <w:tc>
          <w:tcPr>
            <w:tcW w:w="709" w:type="dxa"/>
            <w:vMerge w:val="continue"/>
            <w:vAlign w:val="center"/>
          </w:tcPr>
          <w:p>
            <w:pPr>
              <w:snapToGrid w:val="0"/>
              <w:spacing w:line="360" w:lineRule="auto"/>
              <w:jc w:val="center"/>
              <w:rPr>
                <w:rFonts w:cs="仿宋_GB2312" w:asciiTheme="majorEastAsia" w:hAnsiTheme="majorEastAsia" w:eastAsiaTheme="majorEastAsia"/>
                <w:sz w:val="24"/>
                <w:highlight w:val="none"/>
              </w:rPr>
            </w:pPr>
          </w:p>
        </w:tc>
        <w:tc>
          <w:tcPr>
            <w:tcW w:w="1985" w:type="dxa"/>
            <w:vMerge w:val="continue"/>
            <w:vAlign w:val="center"/>
          </w:tcPr>
          <w:p>
            <w:pPr>
              <w:widowControl/>
              <w:snapToGrid w:val="0"/>
              <w:spacing w:line="360" w:lineRule="auto"/>
              <w:textAlignment w:val="center"/>
              <w:rPr>
                <w:rFonts w:hint="eastAsia" w:ascii="宋体" w:hAnsi="宋体" w:cs="宋体"/>
                <w:b/>
                <w:bCs/>
                <w:sz w:val="24"/>
                <w:highlight w:val="none"/>
              </w:rPr>
            </w:pPr>
          </w:p>
        </w:tc>
        <w:tc>
          <w:tcPr>
            <w:tcW w:w="6222" w:type="dxa"/>
            <w:vAlign w:val="center"/>
          </w:tcPr>
          <w:p>
            <w:pPr>
              <w:widowControl/>
              <w:snapToGrid w:val="0"/>
              <w:spacing w:line="360" w:lineRule="auto"/>
              <w:textAlignment w:val="center"/>
              <w:rPr>
                <w:rFonts w:ascii="宋体" w:hAnsi="宋体" w:cs="宋体"/>
                <w:sz w:val="24"/>
                <w:highlight w:val="none"/>
              </w:rPr>
            </w:pPr>
            <w:r>
              <w:rPr>
                <w:rFonts w:hint="eastAsia" w:cs="宋体" w:asciiTheme="minorEastAsia" w:hAnsiTheme="minorEastAsia"/>
                <w:kern w:val="0"/>
                <w:sz w:val="24"/>
                <w:highlight w:val="none"/>
                <w:lang w:eastAsia="zh-CN"/>
              </w:rPr>
              <w:t>【</w:t>
            </w:r>
            <w:r>
              <w:rPr>
                <w:rFonts w:hint="eastAsia" w:cs="宋体" w:asciiTheme="minorEastAsia" w:hAnsiTheme="minorEastAsia"/>
                <w:kern w:val="0"/>
                <w:sz w:val="24"/>
                <w:highlight w:val="none"/>
                <w:lang w:val="en-US" w:eastAsia="zh-CN"/>
              </w:rPr>
              <w:t>主观分</w:t>
            </w:r>
            <w:r>
              <w:rPr>
                <w:rFonts w:hint="eastAsia" w:cs="宋体" w:asciiTheme="minorEastAsia" w:hAnsiTheme="minorEastAsia"/>
                <w:kern w:val="0"/>
                <w:sz w:val="24"/>
                <w:highlight w:val="none"/>
                <w:lang w:eastAsia="zh-CN"/>
              </w:rPr>
              <w:t>】</w:t>
            </w:r>
          </w:p>
          <w:p>
            <w:pPr>
              <w:snapToGrid w:val="0"/>
              <w:spacing w:line="360" w:lineRule="auto"/>
              <w:rPr>
                <w:rFonts w:ascii="宋体" w:hAnsi="宋体" w:cs="宋体"/>
                <w:sz w:val="24"/>
                <w:highlight w:val="none"/>
              </w:rPr>
            </w:pPr>
            <w:r>
              <w:rPr>
                <w:rFonts w:ascii="宋体" w:hAnsi="宋体" w:cs="宋体"/>
                <w:sz w:val="24"/>
                <w:highlight w:val="none"/>
              </w:rPr>
              <w:t>投标方案总体设计、建设方案、详细阐述系统的体系架构、实现思路和关键技术</w:t>
            </w:r>
            <w:r>
              <w:rPr>
                <w:rFonts w:hint="eastAsia" w:ascii="宋体" w:hAnsi="宋体" w:cs="宋体"/>
                <w:sz w:val="24"/>
                <w:highlight w:val="none"/>
              </w:rPr>
              <w:t>，</w:t>
            </w:r>
            <w:r>
              <w:rPr>
                <w:rFonts w:ascii="宋体" w:hAnsi="宋体" w:cs="宋体"/>
                <w:sz w:val="24"/>
                <w:highlight w:val="none"/>
              </w:rPr>
              <w:t>方案对系统实施可能遇到的问题及其应对措施的考虑情况等</w:t>
            </w:r>
            <w:r>
              <w:rPr>
                <w:rFonts w:hint="eastAsia" w:ascii="宋体" w:hAnsi="宋体" w:cs="宋体"/>
                <w:sz w:val="24"/>
                <w:highlight w:val="none"/>
              </w:rPr>
              <w:t>。</w:t>
            </w:r>
            <w:r>
              <w:rPr>
                <w:rFonts w:hint="eastAsia" w:ascii="宋体" w:hAnsi="宋体"/>
                <w:b w:val="0"/>
                <w:bCs w:val="0"/>
                <w:color w:val="000000"/>
                <w:sz w:val="24"/>
                <w:highlight w:val="none"/>
              </w:rPr>
              <w:t>驾驶舱</w:t>
            </w:r>
            <w:r>
              <w:rPr>
                <w:rFonts w:hint="eastAsia" w:ascii="宋体" w:hAnsi="宋体" w:cs="宋体"/>
                <w:sz w:val="24"/>
                <w:highlight w:val="none"/>
                <w:lang w:val="en-US" w:eastAsia="zh-CN"/>
              </w:rPr>
              <w:t>模块的</w:t>
            </w:r>
            <w:r>
              <w:rPr>
                <w:rFonts w:hint="eastAsia" w:ascii="宋体" w:hAnsi="宋体" w:cs="宋体"/>
                <w:sz w:val="24"/>
                <w:highlight w:val="none"/>
              </w:rPr>
              <w:t>技术解决方案中体现包括</w:t>
            </w:r>
            <w:r>
              <w:rPr>
                <w:rFonts w:hint="eastAsia" w:ascii="宋体" w:hAnsi="宋体" w:cs="宋体"/>
                <w:sz w:val="24"/>
                <w:highlight w:val="none"/>
              </w:rPr>
              <w:br w:type="textWrapping"/>
            </w:r>
            <w:r>
              <w:rPr>
                <w:rFonts w:hint="eastAsia" w:ascii="宋体" w:hAnsi="宋体" w:cs="宋体"/>
                <w:b w:val="0"/>
                <w:bCs w:val="0"/>
                <w:sz w:val="24"/>
                <w:highlight w:val="none"/>
                <w:lang w:eastAsia="zh-CN"/>
              </w:rPr>
              <w:t>（</w:t>
            </w:r>
            <w:r>
              <w:rPr>
                <w:rFonts w:hint="eastAsia" w:ascii="宋体" w:hAnsi="宋体" w:cs="宋体"/>
                <w:b w:val="0"/>
                <w:bCs w:val="0"/>
                <w:sz w:val="24"/>
                <w:highlight w:val="none"/>
                <w:lang w:val="en-US" w:eastAsia="zh-CN"/>
              </w:rPr>
              <w:t>1</w:t>
            </w:r>
            <w:r>
              <w:rPr>
                <w:rFonts w:hint="eastAsia" w:ascii="宋体" w:hAnsi="宋体" w:cs="宋体"/>
                <w:b w:val="0"/>
                <w:bCs w:val="0"/>
                <w:sz w:val="24"/>
                <w:highlight w:val="none"/>
                <w:lang w:eastAsia="zh-CN"/>
              </w:rPr>
              <w:t>）</w:t>
            </w:r>
            <w:r>
              <w:rPr>
                <w:rFonts w:hint="eastAsia" w:ascii="宋体" w:hAnsi="宋体"/>
                <w:color w:val="000000"/>
                <w:sz w:val="24"/>
                <w:highlight w:val="none"/>
              </w:rPr>
              <w:t>大屏驾驶舱</w:t>
            </w:r>
            <w:r>
              <w:rPr>
                <w:rFonts w:hint="eastAsia" w:ascii="宋体" w:hAnsi="宋体"/>
                <w:color w:val="000000"/>
                <w:sz w:val="24"/>
                <w:highlight w:val="none"/>
                <w:lang w:val="en-US" w:eastAsia="zh-CN"/>
              </w:rPr>
              <w:t>建设</w:t>
            </w:r>
            <w:r>
              <w:rPr>
                <w:rFonts w:hint="eastAsia" w:asciiTheme="minorEastAsia" w:hAnsiTheme="minorEastAsia"/>
                <w:b w:val="0"/>
                <w:bCs w:val="0"/>
                <w:sz w:val="24"/>
                <w:highlight w:val="none"/>
                <w:lang w:val="en-US" w:eastAsia="zh-CN"/>
              </w:rPr>
              <w:t>实施方案</w:t>
            </w:r>
            <w:r>
              <w:rPr>
                <w:rFonts w:hint="eastAsia" w:asciiTheme="minorEastAsia" w:hAnsiTheme="minorEastAsia"/>
                <w:b w:val="0"/>
                <w:bCs w:val="0"/>
                <w:sz w:val="24"/>
                <w:highlight w:val="none"/>
                <w:lang w:eastAsia="zh-CN"/>
              </w:rPr>
              <w:t>；</w:t>
            </w:r>
            <w:r>
              <w:rPr>
                <w:rFonts w:hint="eastAsia" w:asciiTheme="minorEastAsia" w:hAnsiTheme="minorEastAsia"/>
                <w:b w:val="0"/>
                <w:bCs w:val="0"/>
                <w:sz w:val="24"/>
                <w:highlight w:val="none"/>
              </w:rPr>
              <w:br w:type="textWrapping"/>
            </w:r>
            <w:r>
              <w:rPr>
                <w:rFonts w:hint="eastAsia" w:asciiTheme="minorEastAsia" w:hAnsiTheme="minorEastAsia"/>
                <w:b w:val="0"/>
                <w:bCs w:val="0"/>
                <w:sz w:val="24"/>
                <w:highlight w:val="none"/>
                <w:lang w:eastAsia="zh-CN"/>
              </w:rPr>
              <w:t>（</w:t>
            </w:r>
            <w:r>
              <w:rPr>
                <w:rFonts w:hint="eastAsia" w:asciiTheme="minorEastAsia" w:hAnsiTheme="minorEastAsia"/>
                <w:b w:val="0"/>
                <w:bCs w:val="0"/>
                <w:sz w:val="24"/>
                <w:highlight w:val="none"/>
                <w:lang w:val="en-US" w:eastAsia="zh-CN"/>
              </w:rPr>
              <w:t>2</w:t>
            </w:r>
            <w:r>
              <w:rPr>
                <w:rFonts w:hint="eastAsia" w:asciiTheme="minorEastAsia" w:hAnsiTheme="minorEastAsia"/>
                <w:b w:val="0"/>
                <w:bCs w:val="0"/>
                <w:sz w:val="24"/>
                <w:highlight w:val="none"/>
                <w:lang w:eastAsia="zh-CN"/>
              </w:rPr>
              <w:t>）</w:t>
            </w:r>
            <w:r>
              <w:rPr>
                <w:rFonts w:hint="eastAsia" w:ascii="宋体" w:hAnsi="宋体"/>
                <w:color w:val="000000"/>
                <w:sz w:val="24"/>
                <w:highlight w:val="none"/>
              </w:rPr>
              <w:t>移动端驾驶舱</w:t>
            </w:r>
            <w:r>
              <w:rPr>
                <w:rFonts w:hint="eastAsia" w:ascii="宋体" w:hAnsi="宋体"/>
                <w:color w:val="000000"/>
                <w:sz w:val="24"/>
                <w:highlight w:val="none"/>
                <w:lang w:val="en-US" w:eastAsia="zh-CN"/>
              </w:rPr>
              <w:t>建设</w:t>
            </w:r>
            <w:r>
              <w:rPr>
                <w:rFonts w:hint="eastAsia" w:asciiTheme="minorEastAsia" w:hAnsiTheme="minorEastAsia"/>
                <w:b w:val="0"/>
                <w:bCs w:val="0"/>
                <w:sz w:val="24"/>
                <w:highlight w:val="none"/>
                <w:lang w:val="en-US" w:eastAsia="zh-CN"/>
              </w:rPr>
              <w:t>实施方案</w:t>
            </w:r>
            <w:r>
              <w:rPr>
                <w:rFonts w:hint="eastAsia" w:asciiTheme="minorEastAsia" w:hAnsiTheme="minorEastAsia"/>
                <w:b w:val="0"/>
                <w:bCs w:val="0"/>
                <w:sz w:val="24"/>
                <w:highlight w:val="none"/>
                <w:lang w:eastAsia="zh-CN"/>
              </w:rPr>
              <w:t>；</w:t>
            </w:r>
            <w:r>
              <w:rPr>
                <w:rFonts w:hint="eastAsia" w:asciiTheme="minorEastAsia" w:hAnsiTheme="minorEastAsia"/>
                <w:sz w:val="24"/>
                <w:highlight w:val="none"/>
              </w:rPr>
              <w:br w:type="textWrapping"/>
            </w:r>
            <w:r>
              <w:rPr>
                <w:rFonts w:hint="eastAsia" w:ascii="宋体" w:hAnsi="宋体"/>
                <w:b/>
                <w:bCs/>
                <w:sz w:val="24"/>
                <w:highlight w:val="none"/>
              </w:rPr>
              <w:t>说明：每项内容提供完整的技术方案且完全满足采购人要求得</w:t>
            </w:r>
            <w:r>
              <w:rPr>
                <w:rFonts w:hint="eastAsia" w:ascii="宋体" w:hAnsi="宋体"/>
                <w:b/>
                <w:bCs/>
                <w:sz w:val="24"/>
                <w:highlight w:val="none"/>
                <w:lang w:val="en-US" w:eastAsia="zh-CN"/>
              </w:rPr>
              <w:t>2</w:t>
            </w:r>
            <w:r>
              <w:rPr>
                <w:rFonts w:hint="eastAsia" w:ascii="宋体" w:hAnsi="宋体"/>
                <w:b/>
                <w:bCs/>
                <w:sz w:val="24"/>
                <w:highlight w:val="none"/>
              </w:rPr>
              <w:t>分，方案内容存在缺项或部分满足得</w:t>
            </w:r>
            <w:r>
              <w:rPr>
                <w:rFonts w:hint="eastAsia" w:ascii="宋体" w:hAnsi="宋体"/>
                <w:b/>
                <w:bCs/>
                <w:sz w:val="24"/>
                <w:highlight w:val="none"/>
                <w:lang w:val="en-US" w:eastAsia="zh-CN"/>
              </w:rPr>
              <w:t>1</w:t>
            </w:r>
            <w:r>
              <w:rPr>
                <w:rFonts w:hint="eastAsia" w:ascii="宋体" w:hAnsi="宋体"/>
                <w:b/>
                <w:bCs/>
                <w:sz w:val="24"/>
                <w:highlight w:val="none"/>
              </w:rPr>
              <w:t>分，未提供方案或不满足不得分，本项最高</w:t>
            </w:r>
            <w:r>
              <w:rPr>
                <w:rFonts w:hint="eastAsia" w:ascii="宋体" w:hAnsi="宋体"/>
                <w:b/>
                <w:bCs/>
                <w:sz w:val="24"/>
                <w:highlight w:val="none"/>
                <w:lang w:val="en-US" w:eastAsia="zh-CN"/>
              </w:rPr>
              <w:t>4</w:t>
            </w:r>
            <w:r>
              <w:rPr>
                <w:rFonts w:hint="eastAsia" w:ascii="宋体" w:hAnsi="宋体"/>
                <w:b/>
                <w:bCs/>
                <w:sz w:val="24"/>
                <w:highlight w:val="none"/>
              </w:rPr>
              <w:t>分。</w:t>
            </w:r>
          </w:p>
        </w:tc>
        <w:tc>
          <w:tcPr>
            <w:tcW w:w="750" w:type="dxa"/>
            <w:vAlign w:val="center"/>
          </w:tcPr>
          <w:p>
            <w:pPr>
              <w:snapToGrid w:val="0"/>
              <w:spacing w:line="360" w:lineRule="auto"/>
              <w:jc w:val="center"/>
              <w:rPr>
                <w:rFonts w:hint="default" w:cs="宋体" w:asciiTheme="minorEastAsia" w:hAnsiTheme="minorEastAsia"/>
                <w:kern w:val="0"/>
                <w:sz w:val="24"/>
                <w:highlight w:val="none"/>
                <w:lang w:val="en-US" w:eastAsia="zh-CN"/>
              </w:rPr>
            </w:pPr>
            <w:r>
              <w:rPr>
                <w:rFonts w:hint="eastAsia" w:cs="宋体" w:asciiTheme="minorEastAsia" w:hAnsiTheme="minorEastAsia"/>
                <w:kern w:val="0"/>
                <w:sz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09" w:type="dxa"/>
            <w:vMerge w:val="continue"/>
            <w:vAlign w:val="center"/>
          </w:tcPr>
          <w:p>
            <w:pPr>
              <w:snapToGrid w:val="0"/>
              <w:spacing w:line="360" w:lineRule="auto"/>
              <w:jc w:val="center"/>
              <w:rPr>
                <w:rFonts w:cs="仿宋_GB2312" w:asciiTheme="majorEastAsia" w:hAnsiTheme="majorEastAsia" w:eastAsiaTheme="majorEastAsia"/>
                <w:sz w:val="24"/>
                <w:highlight w:val="none"/>
              </w:rPr>
            </w:pPr>
          </w:p>
        </w:tc>
        <w:tc>
          <w:tcPr>
            <w:tcW w:w="1985" w:type="dxa"/>
            <w:vMerge w:val="continue"/>
            <w:vAlign w:val="center"/>
          </w:tcPr>
          <w:p>
            <w:pPr>
              <w:widowControl/>
              <w:snapToGrid w:val="0"/>
              <w:spacing w:line="360" w:lineRule="auto"/>
              <w:textAlignment w:val="center"/>
              <w:rPr>
                <w:rFonts w:hint="eastAsia" w:ascii="宋体" w:hAnsi="宋体" w:cs="宋体"/>
                <w:b/>
                <w:bCs/>
                <w:sz w:val="24"/>
                <w:highlight w:val="none"/>
              </w:rPr>
            </w:pPr>
          </w:p>
        </w:tc>
        <w:tc>
          <w:tcPr>
            <w:tcW w:w="6222" w:type="dxa"/>
            <w:vAlign w:val="center"/>
          </w:tcPr>
          <w:p>
            <w:pPr>
              <w:widowControl/>
              <w:snapToGrid w:val="0"/>
              <w:spacing w:line="360" w:lineRule="auto"/>
              <w:textAlignment w:val="center"/>
              <w:rPr>
                <w:rFonts w:ascii="宋体" w:hAnsi="宋体" w:cs="宋体"/>
                <w:sz w:val="24"/>
                <w:highlight w:val="none"/>
              </w:rPr>
            </w:pPr>
            <w:r>
              <w:rPr>
                <w:rFonts w:hint="eastAsia" w:cs="宋体" w:asciiTheme="minorEastAsia" w:hAnsiTheme="minorEastAsia"/>
                <w:kern w:val="0"/>
                <w:sz w:val="24"/>
                <w:highlight w:val="none"/>
                <w:lang w:eastAsia="zh-CN"/>
              </w:rPr>
              <w:t>【</w:t>
            </w:r>
            <w:r>
              <w:rPr>
                <w:rFonts w:hint="eastAsia" w:cs="宋体" w:asciiTheme="minorEastAsia" w:hAnsiTheme="minorEastAsia"/>
                <w:kern w:val="0"/>
                <w:sz w:val="24"/>
                <w:highlight w:val="none"/>
                <w:lang w:val="en-US" w:eastAsia="zh-CN"/>
              </w:rPr>
              <w:t>主观分</w:t>
            </w:r>
            <w:r>
              <w:rPr>
                <w:rFonts w:hint="eastAsia" w:cs="宋体" w:asciiTheme="minorEastAsia" w:hAnsiTheme="minorEastAsia"/>
                <w:kern w:val="0"/>
                <w:sz w:val="24"/>
                <w:highlight w:val="none"/>
                <w:lang w:eastAsia="zh-CN"/>
              </w:rPr>
              <w:t>】</w:t>
            </w:r>
          </w:p>
          <w:p>
            <w:pPr>
              <w:snapToGrid w:val="0"/>
              <w:spacing w:line="360" w:lineRule="auto"/>
              <w:rPr>
                <w:rFonts w:ascii="宋体" w:hAnsi="宋体" w:cs="宋体"/>
                <w:sz w:val="24"/>
                <w:highlight w:val="none"/>
              </w:rPr>
            </w:pPr>
            <w:r>
              <w:rPr>
                <w:rFonts w:ascii="宋体" w:hAnsi="宋体" w:cs="宋体"/>
                <w:sz w:val="24"/>
                <w:highlight w:val="none"/>
              </w:rPr>
              <w:t>投标方案总体设计、建设方案、详细阐述系统的体系架构、实现思路和关键技术</w:t>
            </w:r>
            <w:r>
              <w:rPr>
                <w:rFonts w:hint="eastAsia" w:ascii="宋体" w:hAnsi="宋体" w:cs="宋体"/>
                <w:sz w:val="24"/>
                <w:highlight w:val="none"/>
              </w:rPr>
              <w:t>，</w:t>
            </w:r>
            <w:r>
              <w:rPr>
                <w:rFonts w:ascii="宋体" w:hAnsi="宋体" w:cs="宋体"/>
                <w:sz w:val="24"/>
                <w:highlight w:val="none"/>
              </w:rPr>
              <w:t>方案对系统实施可能遇到的问题及其应对措施的考虑情况等</w:t>
            </w:r>
            <w:r>
              <w:rPr>
                <w:rFonts w:hint="eastAsia" w:ascii="宋体" w:hAnsi="宋体" w:cs="宋体"/>
                <w:sz w:val="24"/>
                <w:highlight w:val="none"/>
              </w:rPr>
              <w:t>。</w:t>
            </w:r>
            <w:r>
              <w:rPr>
                <w:rFonts w:hint="eastAsia" w:ascii="宋体" w:hAnsi="宋体"/>
                <w:b w:val="0"/>
                <w:bCs w:val="0"/>
                <w:color w:val="000000"/>
                <w:sz w:val="24"/>
                <w:highlight w:val="none"/>
              </w:rPr>
              <w:t>工作台</w:t>
            </w:r>
            <w:r>
              <w:rPr>
                <w:rFonts w:hint="eastAsia" w:ascii="宋体" w:hAnsi="宋体" w:cs="宋体"/>
                <w:sz w:val="24"/>
                <w:highlight w:val="none"/>
                <w:lang w:val="en-US" w:eastAsia="zh-CN"/>
              </w:rPr>
              <w:t>模块的</w:t>
            </w:r>
            <w:r>
              <w:rPr>
                <w:rFonts w:hint="eastAsia" w:ascii="宋体" w:hAnsi="宋体" w:cs="宋体"/>
                <w:sz w:val="24"/>
                <w:highlight w:val="none"/>
              </w:rPr>
              <w:t>技术解决方案中体现包括</w:t>
            </w:r>
            <w:r>
              <w:rPr>
                <w:rFonts w:hint="eastAsia" w:ascii="宋体" w:hAnsi="宋体" w:cs="宋体"/>
                <w:sz w:val="24"/>
                <w:highlight w:val="none"/>
              </w:rPr>
              <w:br w:type="textWrapping"/>
            </w:r>
            <w:r>
              <w:rPr>
                <w:rFonts w:hint="eastAsia" w:ascii="宋体" w:hAnsi="宋体" w:cs="宋体"/>
                <w:b w:val="0"/>
                <w:bCs w:val="0"/>
                <w:sz w:val="24"/>
                <w:highlight w:val="none"/>
                <w:lang w:eastAsia="zh-CN"/>
              </w:rPr>
              <w:t>（</w:t>
            </w:r>
            <w:r>
              <w:rPr>
                <w:rFonts w:hint="eastAsia" w:ascii="宋体" w:hAnsi="宋体" w:cs="宋体"/>
                <w:b w:val="0"/>
                <w:bCs w:val="0"/>
                <w:sz w:val="24"/>
                <w:highlight w:val="none"/>
                <w:lang w:val="en-US" w:eastAsia="zh-CN"/>
              </w:rPr>
              <w:t>1</w:t>
            </w:r>
            <w:r>
              <w:rPr>
                <w:rFonts w:hint="eastAsia" w:ascii="宋体" w:hAnsi="宋体" w:cs="宋体"/>
                <w:b w:val="0"/>
                <w:bCs w:val="0"/>
                <w:sz w:val="24"/>
                <w:highlight w:val="none"/>
                <w:lang w:eastAsia="zh-CN"/>
              </w:rPr>
              <w:t>）</w:t>
            </w:r>
            <w:r>
              <w:rPr>
                <w:rFonts w:hint="eastAsia" w:ascii="宋体" w:hAnsi="宋体"/>
                <w:color w:val="000000"/>
                <w:sz w:val="24"/>
                <w:highlight w:val="none"/>
              </w:rPr>
              <w:t>PC端工作台</w:t>
            </w:r>
            <w:r>
              <w:rPr>
                <w:rFonts w:hint="eastAsia" w:ascii="宋体" w:hAnsi="宋体"/>
                <w:color w:val="000000"/>
                <w:sz w:val="24"/>
                <w:highlight w:val="none"/>
                <w:lang w:val="en-US" w:eastAsia="zh-CN"/>
              </w:rPr>
              <w:t>建设</w:t>
            </w:r>
            <w:r>
              <w:rPr>
                <w:rFonts w:hint="eastAsia" w:asciiTheme="minorEastAsia" w:hAnsiTheme="minorEastAsia"/>
                <w:b w:val="0"/>
                <w:bCs w:val="0"/>
                <w:sz w:val="24"/>
                <w:highlight w:val="none"/>
                <w:lang w:val="en-US" w:eastAsia="zh-CN"/>
              </w:rPr>
              <w:t>实施方案</w:t>
            </w:r>
            <w:r>
              <w:rPr>
                <w:rFonts w:hint="eastAsia" w:asciiTheme="minorEastAsia" w:hAnsiTheme="minorEastAsia"/>
                <w:b w:val="0"/>
                <w:bCs w:val="0"/>
                <w:sz w:val="24"/>
                <w:highlight w:val="none"/>
                <w:lang w:eastAsia="zh-CN"/>
              </w:rPr>
              <w:t>；</w:t>
            </w:r>
            <w:r>
              <w:rPr>
                <w:rFonts w:hint="eastAsia" w:asciiTheme="minorEastAsia" w:hAnsiTheme="minorEastAsia"/>
                <w:b w:val="0"/>
                <w:bCs w:val="0"/>
                <w:sz w:val="24"/>
                <w:highlight w:val="none"/>
                <w:lang w:eastAsia="zh-CN"/>
              </w:rPr>
              <w:br w:type="textWrapping"/>
            </w:r>
            <w:r>
              <w:rPr>
                <w:rFonts w:hint="eastAsia" w:asciiTheme="minorEastAsia" w:hAnsiTheme="minorEastAsia"/>
                <w:b w:val="0"/>
                <w:bCs w:val="0"/>
                <w:sz w:val="24"/>
                <w:highlight w:val="none"/>
                <w:lang w:eastAsia="zh-CN"/>
              </w:rPr>
              <w:t>（</w:t>
            </w:r>
            <w:r>
              <w:rPr>
                <w:rFonts w:hint="eastAsia" w:asciiTheme="minorEastAsia" w:hAnsiTheme="minorEastAsia"/>
                <w:b w:val="0"/>
                <w:bCs w:val="0"/>
                <w:sz w:val="24"/>
                <w:highlight w:val="none"/>
                <w:lang w:val="en-US" w:eastAsia="zh-CN"/>
              </w:rPr>
              <w:t>2</w:t>
            </w:r>
            <w:r>
              <w:rPr>
                <w:rFonts w:hint="eastAsia" w:asciiTheme="minorEastAsia" w:hAnsiTheme="minorEastAsia"/>
                <w:b w:val="0"/>
                <w:bCs w:val="0"/>
                <w:sz w:val="24"/>
                <w:highlight w:val="none"/>
                <w:lang w:eastAsia="zh-CN"/>
              </w:rPr>
              <w:t>）</w:t>
            </w:r>
            <w:r>
              <w:rPr>
                <w:rFonts w:hint="eastAsia" w:ascii="宋体" w:hAnsi="宋体"/>
                <w:color w:val="000000"/>
                <w:sz w:val="24"/>
                <w:highlight w:val="none"/>
              </w:rPr>
              <w:t>移动端工作台</w:t>
            </w:r>
            <w:r>
              <w:rPr>
                <w:rFonts w:hint="eastAsia" w:ascii="宋体" w:hAnsi="宋体"/>
                <w:color w:val="000000"/>
                <w:sz w:val="24"/>
                <w:highlight w:val="none"/>
                <w:lang w:val="en-US" w:eastAsia="zh-CN"/>
              </w:rPr>
              <w:t>建设</w:t>
            </w:r>
            <w:r>
              <w:rPr>
                <w:rFonts w:hint="eastAsia" w:asciiTheme="minorEastAsia" w:hAnsiTheme="minorEastAsia"/>
                <w:b w:val="0"/>
                <w:bCs w:val="0"/>
                <w:sz w:val="24"/>
                <w:highlight w:val="none"/>
                <w:lang w:val="en-US" w:eastAsia="zh-CN"/>
              </w:rPr>
              <w:t>实施方案</w:t>
            </w:r>
            <w:r>
              <w:rPr>
                <w:rFonts w:hint="eastAsia" w:asciiTheme="minorEastAsia" w:hAnsiTheme="minorEastAsia"/>
                <w:b w:val="0"/>
                <w:bCs w:val="0"/>
                <w:sz w:val="24"/>
                <w:highlight w:val="none"/>
                <w:lang w:eastAsia="zh-CN"/>
              </w:rPr>
              <w:t>；</w:t>
            </w:r>
            <w:r>
              <w:rPr>
                <w:rFonts w:hint="eastAsia" w:asciiTheme="minorEastAsia" w:hAnsiTheme="minorEastAsia"/>
                <w:sz w:val="24"/>
                <w:highlight w:val="none"/>
              </w:rPr>
              <w:br w:type="textWrapping"/>
            </w:r>
            <w:r>
              <w:rPr>
                <w:rFonts w:hint="eastAsia" w:ascii="宋体" w:hAnsi="宋体"/>
                <w:b/>
                <w:bCs/>
                <w:sz w:val="24"/>
                <w:highlight w:val="none"/>
              </w:rPr>
              <w:t>说明：每项内容提供完整的技术方案且完全满足采购人要求得</w:t>
            </w:r>
            <w:r>
              <w:rPr>
                <w:rFonts w:hint="eastAsia" w:ascii="宋体" w:hAnsi="宋体"/>
                <w:b/>
                <w:bCs/>
                <w:sz w:val="24"/>
                <w:highlight w:val="none"/>
                <w:lang w:val="en-US" w:eastAsia="zh-CN"/>
              </w:rPr>
              <w:t>2</w:t>
            </w:r>
            <w:r>
              <w:rPr>
                <w:rFonts w:hint="eastAsia" w:ascii="宋体" w:hAnsi="宋体"/>
                <w:b/>
                <w:bCs/>
                <w:sz w:val="24"/>
                <w:highlight w:val="none"/>
              </w:rPr>
              <w:t>分，方案内容存在缺项或部分满足得</w:t>
            </w:r>
            <w:r>
              <w:rPr>
                <w:rFonts w:hint="eastAsia" w:ascii="宋体" w:hAnsi="宋体"/>
                <w:b/>
                <w:bCs/>
                <w:sz w:val="24"/>
                <w:highlight w:val="none"/>
                <w:lang w:val="en-US" w:eastAsia="zh-CN"/>
              </w:rPr>
              <w:t>1</w:t>
            </w:r>
            <w:r>
              <w:rPr>
                <w:rFonts w:hint="eastAsia" w:ascii="宋体" w:hAnsi="宋体"/>
                <w:b/>
                <w:bCs/>
                <w:sz w:val="24"/>
                <w:highlight w:val="none"/>
              </w:rPr>
              <w:t>分，未提供方案或不满足不得分，本项最高</w:t>
            </w:r>
            <w:r>
              <w:rPr>
                <w:rFonts w:hint="eastAsia" w:ascii="宋体" w:hAnsi="宋体"/>
                <w:b/>
                <w:bCs/>
                <w:sz w:val="24"/>
                <w:highlight w:val="none"/>
                <w:lang w:val="en-US" w:eastAsia="zh-CN"/>
              </w:rPr>
              <w:t>4</w:t>
            </w:r>
            <w:r>
              <w:rPr>
                <w:rFonts w:hint="eastAsia" w:ascii="宋体" w:hAnsi="宋体"/>
                <w:b/>
                <w:bCs/>
                <w:sz w:val="24"/>
                <w:highlight w:val="none"/>
              </w:rPr>
              <w:t>分。</w:t>
            </w:r>
          </w:p>
        </w:tc>
        <w:tc>
          <w:tcPr>
            <w:tcW w:w="750" w:type="dxa"/>
            <w:vAlign w:val="center"/>
          </w:tcPr>
          <w:p>
            <w:pPr>
              <w:snapToGrid w:val="0"/>
              <w:spacing w:line="360" w:lineRule="auto"/>
              <w:jc w:val="center"/>
              <w:rPr>
                <w:rFonts w:hint="default" w:cs="宋体" w:asciiTheme="minorEastAsia" w:hAnsiTheme="minorEastAsia"/>
                <w:kern w:val="0"/>
                <w:sz w:val="24"/>
                <w:highlight w:val="none"/>
                <w:lang w:val="en-US" w:eastAsia="zh-CN"/>
              </w:rPr>
            </w:pPr>
            <w:r>
              <w:rPr>
                <w:rFonts w:hint="eastAsia" w:cs="宋体" w:asciiTheme="minorEastAsia" w:hAnsiTheme="minorEastAsia"/>
                <w:kern w:val="0"/>
                <w:sz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napToGrid w:val="0"/>
              <w:spacing w:line="360" w:lineRule="auto"/>
              <w:jc w:val="center"/>
              <w:rPr>
                <w:rFonts w:cs="仿宋_GB2312" w:asciiTheme="majorEastAsia" w:hAnsiTheme="majorEastAsia" w:eastAsiaTheme="majorEastAsia"/>
                <w:sz w:val="24"/>
                <w:highlight w:val="none"/>
              </w:rPr>
            </w:pPr>
            <w:r>
              <w:rPr>
                <w:rFonts w:hint="eastAsia" w:cs="仿宋_GB2312" w:asciiTheme="majorEastAsia" w:hAnsiTheme="majorEastAsia" w:eastAsiaTheme="majorEastAsia"/>
                <w:sz w:val="24"/>
                <w:highlight w:val="none"/>
              </w:rPr>
              <w:t>4</w:t>
            </w:r>
          </w:p>
        </w:tc>
        <w:tc>
          <w:tcPr>
            <w:tcW w:w="1985" w:type="dxa"/>
            <w:vAlign w:val="center"/>
          </w:tcPr>
          <w:p>
            <w:pPr>
              <w:snapToGrid w:val="0"/>
              <w:spacing w:line="360" w:lineRule="auto"/>
              <w:jc w:val="center"/>
              <w:rPr>
                <w:rFonts w:hint="eastAsia" w:cs="Arial" w:asciiTheme="majorEastAsia" w:hAnsiTheme="majorEastAsia" w:eastAsiaTheme="majorEastAsia"/>
                <w:snapToGrid w:val="0"/>
                <w:sz w:val="24"/>
                <w:highlight w:val="none"/>
              </w:rPr>
            </w:pPr>
            <w:r>
              <w:rPr>
                <w:rFonts w:hint="eastAsia" w:cs="Arial" w:asciiTheme="majorEastAsia" w:hAnsiTheme="majorEastAsia" w:eastAsiaTheme="majorEastAsia"/>
                <w:snapToGrid w:val="0"/>
                <w:sz w:val="24"/>
                <w:highlight w:val="none"/>
              </w:rPr>
              <w:t>非功能性要求的响应程度</w:t>
            </w:r>
          </w:p>
        </w:tc>
        <w:tc>
          <w:tcPr>
            <w:tcW w:w="6222" w:type="dxa"/>
          </w:tcPr>
          <w:p>
            <w:pPr>
              <w:widowControl/>
              <w:snapToGrid w:val="0"/>
              <w:spacing w:line="360" w:lineRule="auto"/>
              <w:textAlignment w:val="center"/>
              <w:rPr>
                <w:rFonts w:ascii="宋体" w:hAnsi="宋体" w:cs="宋体"/>
                <w:sz w:val="24"/>
                <w:highlight w:val="none"/>
              </w:rPr>
            </w:pPr>
            <w:r>
              <w:rPr>
                <w:rFonts w:hint="eastAsia" w:cs="宋体" w:asciiTheme="minorEastAsia" w:hAnsiTheme="minorEastAsia"/>
                <w:kern w:val="0"/>
                <w:sz w:val="24"/>
                <w:highlight w:val="none"/>
                <w:lang w:eastAsia="zh-CN"/>
              </w:rPr>
              <w:t>【</w:t>
            </w:r>
            <w:r>
              <w:rPr>
                <w:rFonts w:hint="eastAsia" w:cs="宋体" w:asciiTheme="minorEastAsia" w:hAnsiTheme="minorEastAsia"/>
                <w:kern w:val="0"/>
                <w:sz w:val="24"/>
                <w:highlight w:val="none"/>
                <w:lang w:val="en-US" w:eastAsia="zh-CN"/>
              </w:rPr>
              <w:t>客观分</w:t>
            </w:r>
            <w:r>
              <w:rPr>
                <w:rFonts w:hint="eastAsia" w:cs="宋体" w:asciiTheme="minorEastAsia" w:hAnsiTheme="minorEastAsia"/>
                <w:kern w:val="0"/>
                <w:sz w:val="24"/>
                <w:highlight w:val="none"/>
                <w:lang w:eastAsia="zh-CN"/>
              </w:rPr>
              <w:t>】</w:t>
            </w:r>
          </w:p>
          <w:p>
            <w:pPr>
              <w:snapToGrid w:val="0"/>
              <w:spacing w:line="360" w:lineRule="auto"/>
              <w:rPr>
                <w:rFonts w:hint="eastAsia" w:cs="Arial" w:asciiTheme="majorEastAsia" w:hAnsiTheme="majorEastAsia" w:eastAsiaTheme="majorEastAsia"/>
                <w:snapToGrid w:val="0"/>
                <w:sz w:val="24"/>
                <w:highlight w:val="none"/>
              </w:rPr>
            </w:pPr>
            <w:r>
              <w:rPr>
                <w:rFonts w:hint="eastAsia" w:ascii="宋体"/>
                <w:sz w:val="24"/>
                <w:highlight w:val="none"/>
              </w:rPr>
              <w:t>投标方案对“实施要求（一）非功能性要求”的响应程度，包括技术服务指标与需求的吻合程度和偏差情况，是否能够满足招标文件要求，采购需求应在投标文件中进行逐一答复、说明和解释；技术指标负偏离每一项扣减</w:t>
            </w:r>
            <w:r>
              <w:rPr>
                <w:rFonts w:ascii="宋体"/>
                <w:sz w:val="24"/>
                <w:highlight w:val="none"/>
              </w:rPr>
              <w:t>0.3</w:t>
            </w:r>
            <w:r>
              <w:rPr>
                <w:rFonts w:hint="eastAsia" w:ascii="宋体"/>
                <w:sz w:val="24"/>
                <w:highlight w:val="none"/>
              </w:rPr>
              <w:t>分，扣完为止。（</w:t>
            </w:r>
            <w:r>
              <w:rPr>
                <w:rFonts w:ascii="宋体"/>
                <w:sz w:val="24"/>
                <w:highlight w:val="none"/>
              </w:rPr>
              <w:t>3</w:t>
            </w:r>
            <w:r>
              <w:rPr>
                <w:rFonts w:hint="eastAsia" w:ascii="宋体"/>
                <w:sz w:val="24"/>
                <w:highlight w:val="none"/>
              </w:rPr>
              <w:t>分）</w:t>
            </w:r>
          </w:p>
        </w:tc>
        <w:tc>
          <w:tcPr>
            <w:tcW w:w="750" w:type="dxa"/>
            <w:vAlign w:val="center"/>
          </w:tcPr>
          <w:p>
            <w:pPr>
              <w:snapToGrid w:val="0"/>
              <w:spacing w:line="360" w:lineRule="auto"/>
              <w:jc w:val="center"/>
              <w:rPr>
                <w:rFonts w:cs="仿宋_GB2312" w:asciiTheme="majorEastAsia" w:hAnsiTheme="majorEastAsia" w:eastAsiaTheme="majorEastAsia"/>
                <w:sz w:val="24"/>
                <w:highlight w:val="none"/>
              </w:rPr>
            </w:pPr>
            <w:r>
              <w:rPr>
                <w:rFonts w:hint="eastAsia" w:cs="仿宋_GB2312" w:asciiTheme="majorEastAsia" w:hAnsiTheme="majorEastAsia" w:eastAsiaTheme="majorEastAsia"/>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napToGrid w:val="0"/>
              <w:spacing w:line="360" w:lineRule="auto"/>
              <w:jc w:val="center"/>
              <w:rPr>
                <w:rFonts w:cs="仿宋_GB2312" w:asciiTheme="majorEastAsia" w:hAnsiTheme="majorEastAsia" w:eastAsiaTheme="majorEastAsia"/>
                <w:sz w:val="24"/>
                <w:highlight w:val="none"/>
              </w:rPr>
            </w:pPr>
            <w:r>
              <w:rPr>
                <w:rFonts w:cs="仿宋_GB2312" w:asciiTheme="majorEastAsia" w:hAnsiTheme="majorEastAsia" w:eastAsiaTheme="majorEastAsia"/>
                <w:sz w:val="24"/>
                <w:highlight w:val="none"/>
              </w:rPr>
              <w:t>4</w:t>
            </w:r>
          </w:p>
        </w:tc>
        <w:tc>
          <w:tcPr>
            <w:tcW w:w="1985" w:type="dxa"/>
            <w:vAlign w:val="center"/>
          </w:tcPr>
          <w:p>
            <w:pPr>
              <w:snapToGrid w:val="0"/>
              <w:spacing w:line="360" w:lineRule="auto"/>
              <w:jc w:val="center"/>
              <w:rPr>
                <w:rFonts w:cs="Arial" w:asciiTheme="majorEastAsia" w:hAnsiTheme="majorEastAsia" w:eastAsiaTheme="majorEastAsia"/>
                <w:snapToGrid w:val="0"/>
                <w:sz w:val="24"/>
                <w:highlight w:val="none"/>
              </w:rPr>
            </w:pPr>
            <w:r>
              <w:rPr>
                <w:rFonts w:hint="eastAsia" w:cs="Arial" w:asciiTheme="majorEastAsia" w:hAnsiTheme="majorEastAsia" w:eastAsiaTheme="majorEastAsia"/>
                <w:snapToGrid w:val="0"/>
                <w:sz w:val="24"/>
                <w:highlight w:val="none"/>
              </w:rPr>
              <w:t>关键技术解决能力和资源整合利用的能力</w:t>
            </w:r>
          </w:p>
        </w:tc>
        <w:tc>
          <w:tcPr>
            <w:tcW w:w="6222" w:type="dxa"/>
          </w:tcPr>
          <w:p>
            <w:pPr>
              <w:widowControl/>
              <w:snapToGrid w:val="0"/>
              <w:spacing w:line="360" w:lineRule="auto"/>
              <w:textAlignment w:val="center"/>
              <w:rPr>
                <w:rFonts w:ascii="宋体" w:hAnsi="宋体" w:cs="宋体"/>
                <w:sz w:val="24"/>
                <w:highlight w:val="none"/>
              </w:rPr>
            </w:pPr>
            <w:r>
              <w:rPr>
                <w:rFonts w:hint="eastAsia" w:cs="宋体" w:asciiTheme="minorEastAsia" w:hAnsiTheme="minorEastAsia"/>
                <w:kern w:val="0"/>
                <w:sz w:val="24"/>
                <w:highlight w:val="none"/>
                <w:lang w:eastAsia="zh-CN"/>
              </w:rPr>
              <w:t>【</w:t>
            </w:r>
            <w:r>
              <w:rPr>
                <w:rFonts w:hint="eastAsia" w:cs="宋体" w:asciiTheme="minorEastAsia" w:hAnsiTheme="minorEastAsia"/>
                <w:kern w:val="0"/>
                <w:sz w:val="24"/>
                <w:highlight w:val="none"/>
                <w:lang w:val="en-US" w:eastAsia="zh-CN"/>
              </w:rPr>
              <w:t>主观分</w:t>
            </w:r>
            <w:r>
              <w:rPr>
                <w:rFonts w:hint="eastAsia" w:cs="宋体" w:asciiTheme="minorEastAsia" w:hAnsiTheme="minorEastAsia"/>
                <w:kern w:val="0"/>
                <w:sz w:val="24"/>
                <w:highlight w:val="none"/>
                <w:lang w:eastAsia="zh-CN"/>
              </w:rPr>
              <w:t>】</w:t>
            </w:r>
          </w:p>
          <w:p>
            <w:pPr>
              <w:snapToGrid w:val="0"/>
              <w:spacing w:line="360" w:lineRule="auto"/>
              <w:rPr>
                <w:rFonts w:cs="Arial" w:asciiTheme="majorEastAsia" w:hAnsiTheme="majorEastAsia" w:eastAsiaTheme="majorEastAsia"/>
                <w:b/>
                <w:bCs/>
                <w:snapToGrid w:val="0"/>
                <w:sz w:val="24"/>
                <w:highlight w:val="none"/>
              </w:rPr>
            </w:pPr>
            <w:r>
              <w:rPr>
                <w:rFonts w:hint="eastAsia" w:asciiTheme="minorEastAsia" w:hAnsiTheme="minorEastAsia"/>
                <w:sz w:val="24"/>
                <w:highlight w:val="none"/>
              </w:rPr>
              <w:t>数据</w:t>
            </w:r>
            <w:r>
              <w:rPr>
                <w:rFonts w:hint="eastAsia" w:asciiTheme="minorEastAsia" w:hAnsiTheme="minorEastAsia"/>
                <w:sz w:val="24"/>
                <w:highlight w:val="none"/>
                <w:lang w:val="en-US" w:eastAsia="zh-CN"/>
              </w:rPr>
              <w:t>对接、</w:t>
            </w:r>
            <w:r>
              <w:rPr>
                <w:rFonts w:hint="eastAsia" w:asciiTheme="minorEastAsia" w:hAnsiTheme="minorEastAsia"/>
                <w:sz w:val="24"/>
                <w:highlight w:val="none"/>
              </w:rPr>
              <w:t>归集共享方案是否满足</w:t>
            </w:r>
            <w:r>
              <w:rPr>
                <w:rFonts w:hint="eastAsia" w:ascii="宋体" w:hAnsi="宋体" w:cs="宋体"/>
                <w:sz w:val="24"/>
                <w:highlight w:val="none"/>
              </w:rPr>
              <w:t>项目需求，</w:t>
            </w:r>
            <w:r>
              <w:rPr>
                <w:rFonts w:hint="eastAsia" w:ascii="宋体" w:hAnsi="宋体"/>
                <w:sz w:val="24"/>
                <w:highlight w:val="none"/>
              </w:rPr>
              <w:t>解决方案是否完整、经济、安全、切实可行；全部满足得</w:t>
            </w:r>
            <w:r>
              <w:rPr>
                <w:rFonts w:hint="eastAsia" w:ascii="宋体" w:hAnsi="宋体"/>
                <w:sz w:val="24"/>
                <w:highlight w:val="none"/>
                <w:lang w:val="en-US" w:eastAsia="zh-CN"/>
              </w:rPr>
              <w:t>2</w:t>
            </w:r>
            <w:r>
              <w:rPr>
                <w:rFonts w:hint="eastAsia" w:ascii="宋体" w:hAnsi="宋体"/>
                <w:sz w:val="24"/>
                <w:highlight w:val="none"/>
              </w:rPr>
              <w:t>分，部分满足得1分，无对应内容或完全不满足得0分。</w:t>
            </w:r>
          </w:p>
        </w:tc>
        <w:tc>
          <w:tcPr>
            <w:tcW w:w="750" w:type="dxa"/>
            <w:vAlign w:val="center"/>
          </w:tcPr>
          <w:p>
            <w:pPr>
              <w:snapToGrid w:val="0"/>
              <w:spacing w:line="360" w:lineRule="auto"/>
              <w:jc w:val="center"/>
              <w:rPr>
                <w:rFonts w:cs="仿宋_GB2312" w:asciiTheme="majorEastAsia" w:hAnsiTheme="majorEastAsia" w:eastAsiaTheme="majorEastAsia"/>
                <w:sz w:val="24"/>
                <w:highlight w:val="none"/>
              </w:rPr>
            </w:pPr>
            <w:r>
              <w:rPr>
                <w:rFonts w:hint="eastAsia" w:cs="仿宋_GB2312" w:asciiTheme="majorEastAsia" w:hAnsiTheme="majorEastAsia" w:eastAsiaTheme="majorEastAsia"/>
                <w:sz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7" w:hRule="atLeast"/>
          <w:jc w:val="center"/>
        </w:trPr>
        <w:tc>
          <w:tcPr>
            <w:tcW w:w="709" w:type="dxa"/>
            <w:vAlign w:val="center"/>
          </w:tcPr>
          <w:p>
            <w:pPr>
              <w:snapToGrid w:val="0"/>
              <w:spacing w:line="360" w:lineRule="auto"/>
              <w:jc w:val="center"/>
              <w:rPr>
                <w:rFonts w:cs="仿宋_GB2312" w:asciiTheme="majorEastAsia" w:hAnsiTheme="majorEastAsia" w:eastAsiaTheme="majorEastAsia"/>
                <w:sz w:val="24"/>
                <w:highlight w:val="none"/>
              </w:rPr>
            </w:pPr>
            <w:r>
              <w:rPr>
                <w:rFonts w:cs="仿宋_GB2312" w:asciiTheme="majorEastAsia" w:hAnsiTheme="majorEastAsia" w:eastAsiaTheme="majorEastAsia"/>
                <w:sz w:val="24"/>
                <w:highlight w:val="none"/>
              </w:rPr>
              <w:t>5</w:t>
            </w:r>
          </w:p>
        </w:tc>
        <w:tc>
          <w:tcPr>
            <w:tcW w:w="1985" w:type="dxa"/>
            <w:vAlign w:val="center"/>
          </w:tcPr>
          <w:p>
            <w:pPr>
              <w:snapToGrid w:val="0"/>
              <w:spacing w:line="360" w:lineRule="auto"/>
              <w:jc w:val="center"/>
              <w:rPr>
                <w:rFonts w:cs="Arial" w:asciiTheme="majorEastAsia" w:hAnsiTheme="majorEastAsia" w:eastAsiaTheme="majorEastAsia"/>
                <w:snapToGrid w:val="0"/>
                <w:sz w:val="24"/>
                <w:highlight w:val="none"/>
              </w:rPr>
            </w:pPr>
            <w:r>
              <w:rPr>
                <w:rFonts w:hint="eastAsia" w:cs="Arial" w:asciiTheme="majorEastAsia" w:hAnsiTheme="majorEastAsia" w:eastAsiaTheme="majorEastAsia"/>
                <w:snapToGrid w:val="0"/>
                <w:sz w:val="24"/>
                <w:highlight w:val="none"/>
              </w:rPr>
              <w:t>项目组人员素质情况</w:t>
            </w:r>
          </w:p>
        </w:tc>
        <w:tc>
          <w:tcPr>
            <w:tcW w:w="6222" w:type="dxa"/>
          </w:tcPr>
          <w:p>
            <w:pPr>
              <w:widowControl/>
              <w:snapToGrid w:val="0"/>
              <w:spacing w:line="360" w:lineRule="auto"/>
              <w:textAlignment w:val="center"/>
              <w:rPr>
                <w:rFonts w:ascii="宋体" w:hAnsi="宋体" w:cs="宋体"/>
                <w:sz w:val="24"/>
                <w:highlight w:val="none"/>
              </w:rPr>
            </w:pPr>
            <w:r>
              <w:rPr>
                <w:rFonts w:hint="eastAsia" w:cs="宋体" w:asciiTheme="minorEastAsia" w:hAnsiTheme="minorEastAsia"/>
                <w:kern w:val="0"/>
                <w:sz w:val="24"/>
                <w:highlight w:val="none"/>
                <w:lang w:eastAsia="zh-CN"/>
              </w:rPr>
              <w:t>【</w:t>
            </w:r>
            <w:r>
              <w:rPr>
                <w:rFonts w:hint="eastAsia" w:cs="宋体" w:asciiTheme="minorEastAsia" w:hAnsiTheme="minorEastAsia"/>
                <w:kern w:val="0"/>
                <w:sz w:val="24"/>
                <w:highlight w:val="none"/>
                <w:lang w:val="en-US" w:eastAsia="zh-CN"/>
              </w:rPr>
              <w:t>客观分</w:t>
            </w:r>
            <w:r>
              <w:rPr>
                <w:rFonts w:hint="eastAsia" w:cs="宋体" w:asciiTheme="minorEastAsia" w:hAnsiTheme="minorEastAsia"/>
                <w:kern w:val="0"/>
                <w:sz w:val="24"/>
                <w:highlight w:val="none"/>
                <w:lang w:eastAsia="zh-CN"/>
              </w:rPr>
              <w:t>】</w:t>
            </w:r>
          </w:p>
          <w:p>
            <w:pPr>
              <w:spacing w:line="360" w:lineRule="auto"/>
              <w:rPr>
                <w:rFonts w:hint="eastAsia" w:ascii="宋体" w:hAnsi="宋体" w:cs="宋体"/>
                <w:snapToGrid/>
                <w:kern w:val="0"/>
                <w:sz w:val="24"/>
                <w:highlight w:val="none"/>
              </w:rPr>
            </w:pPr>
            <w:r>
              <w:rPr>
                <w:rFonts w:hint="eastAsia" w:ascii="宋体" w:hAnsi="宋体" w:cs="Arial"/>
                <w:snapToGrid w:val="0"/>
                <w:kern w:val="0"/>
                <w:sz w:val="24"/>
                <w:highlight w:val="none"/>
              </w:rPr>
              <w:t>1、本项目负责人（项目经理）</w:t>
            </w:r>
            <w:r>
              <w:rPr>
                <w:rFonts w:hint="eastAsia" w:eastAsia="Times New Roman" w:cs="华文仿宋" w:asciiTheme="minorEastAsia" w:hAnsiTheme="minorEastAsia"/>
                <w:kern w:val="0"/>
                <w:sz w:val="24"/>
                <w:szCs w:val="20"/>
                <w:highlight w:val="none"/>
              </w:rPr>
              <w:t>具有信息系统项目管理师（高级）资质证书</w:t>
            </w:r>
            <w:r>
              <w:rPr>
                <w:rFonts w:hint="eastAsia" w:ascii="宋体" w:hAnsi="宋体" w:cs="Arial"/>
                <w:snapToGrid w:val="0"/>
                <w:kern w:val="0"/>
                <w:sz w:val="24"/>
                <w:highlight w:val="none"/>
              </w:rPr>
              <w:t>得</w:t>
            </w:r>
            <w:r>
              <w:rPr>
                <w:rFonts w:ascii="宋体" w:hAnsi="宋体" w:cs="Arial"/>
                <w:snapToGrid w:val="0"/>
                <w:kern w:val="0"/>
                <w:sz w:val="24"/>
                <w:highlight w:val="none"/>
              </w:rPr>
              <w:t>1</w:t>
            </w:r>
            <w:r>
              <w:rPr>
                <w:rFonts w:hint="eastAsia" w:ascii="宋体" w:hAnsi="宋体" w:cs="Arial"/>
                <w:snapToGrid w:val="0"/>
                <w:kern w:val="0"/>
                <w:sz w:val="24"/>
                <w:highlight w:val="none"/>
              </w:rPr>
              <w:t>分</w:t>
            </w:r>
            <w:r>
              <w:rPr>
                <w:rFonts w:hint="eastAsia" w:cs="仿宋" w:asciiTheme="majorEastAsia" w:hAnsiTheme="majorEastAsia" w:eastAsiaTheme="majorEastAsia"/>
                <w:sz w:val="24"/>
                <w:highlight w:val="none"/>
              </w:rPr>
              <w:t>。</w:t>
            </w:r>
            <w:r>
              <w:rPr>
                <w:rFonts w:hint="eastAsia" w:cs="仿宋" w:asciiTheme="majorEastAsia" w:hAnsiTheme="majorEastAsia" w:eastAsiaTheme="majorEastAsia"/>
                <w:sz w:val="24"/>
                <w:highlight w:val="none"/>
              </w:rPr>
              <w:br w:type="textWrapping"/>
            </w:r>
            <w:r>
              <w:rPr>
                <w:rFonts w:hint="eastAsia" w:cs="仿宋" w:asciiTheme="majorEastAsia" w:hAnsiTheme="majorEastAsia" w:eastAsiaTheme="majorEastAsia"/>
                <w:sz w:val="24"/>
                <w:highlight w:val="none"/>
                <w:lang w:val="en-US" w:eastAsia="zh-CN"/>
              </w:rPr>
              <w:t>2</w:t>
            </w:r>
            <w:r>
              <w:rPr>
                <w:rFonts w:hint="eastAsia" w:ascii="宋体" w:hAnsi="宋体" w:eastAsia="宋体" w:cs="宋体"/>
                <w:kern w:val="0"/>
                <w:sz w:val="24"/>
                <w:highlight w:val="none"/>
                <w:lang w:val="en-US" w:eastAsia="zh-CN"/>
              </w:rPr>
              <w:t>.</w:t>
            </w:r>
            <w:r>
              <w:rPr>
                <w:rFonts w:hint="eastAsia" w:ascii="宋体" w:hAnsi="宋体" w:eastAsia="宋体" w:cs="宋体"/>
                <w:kern w:val="0"/>
                <w:sz w:val="24"/>
                <w:szCs w:val="24"/>
                <w:highlight w:val="none"/>
              </w:rPr>
              <w:t>技术负责人具有国家计算机技术与软件专业技术资格高级资质证书</w:t>
            </w:r>
            <w:r>
              <w:rPr>
                <w:rFonts w:hint="eastAsia" w:ascii="宋体" w:hAnsi="宋体" w:cs="宋体"/>
                <w:snapToGrid/>
                <w:kern w:val="0"/>
                <w:sz w:val="24"/>
                <w:highlight w:val="none"/>
              </w:rPr>
              <w:t>得1分</w:t>
            </w:r>
            <w:r>
              <w:rPr>
                <w:rFonts w:hint="eastAsia" w:ascii="宋体" w:hAnsi="宋体" w:cs="宋体"/>
                <w:snapToGrid/>
                <w:kern w:val="0"/>
                <w:sz w:val="24"/>
                <w:highlight w:val="none"/>
                <w:lang w:eastAsia="zh-CN"/>
              </w:rPr>
              <w:t>。</w:t>
            </w:r>
          </w:p>
          <w:p>
            <w:pPr>
              <w:snapToGrid w:val="0"/>
              <w:spacing w:line="360" w:lineRule="auto"/>
              <w:rPr>
                <w:rFonts w:hint="default" w:ascii="宋体" w:hAnsi="宋体" w:cs="宋体"/>
                <w:kern w:val="0"/>
                <w:sz w:val="24"/>
                <w:highlight w:val="none"/>
              </w:rPr>
            </w:pPr>
            <w:r>
              <w:rPr>
                <w:rFonts w:hint="eastAsia" w:ascii="宋体" w:hAnsi="宋体" w:cs="宋体"/>
                <w:kern w:val="0"/>
                <w:sz w:val="24"/>
                <w:highlight w:val="none"/>
                <w:lang w:eastAsia="zh-CN"/>
              </w:rPr>
              <w:t>3</w:t>
            </w:r>
            <w:r>
              <w:rPr>
                <w:rFonts w:hint="eastAsia" w:ascii="宋体" w:hAnsi="宋体" w:cs="宋体"/>
                <w:kern w:val="0"/>
                <w:sz w:val="24"/>
                <w:highlight w:val="none"/>
              </w:rPr>
              <w:t>、投标人提供的项目组团队（包括项目负责人</w:t>
            </w:r>
            <w:r>
              <w:rPr>
                <w:rFonts w:hint="eastAsia" w:ascii="宋体" w:hAnsi="宋体" w:cs="宋体"/>
                <w:kern w:val="0"/>
                <w:sz w:val="24"/>
                <w:highlight w:val="none"/>
                <w:lang w:val="en-US" w:eastAsia="zh-CN"/>
              </w:rPr>
              <w:t>和技术负责人</w:t>
            </w:r>
            <w:r>
              <w:rPr>
                <w:rFonts w:hint="eastAsia" w:ascii="宋体" w:hAnsi="宋体" w:cs="宋体"/>
                <w:kern w:val="0"/>
                <w:sz w:val="24"/>
                <w:highlight w:val="none"/>
              </w:rPr>
              <w:t>）至少配置人员</w:t>
            </w:r>
            <w:r>
              <w:rPr>
                <w:rFonts w:hint="eastAsia" w:ascii="宋体" w:hAnsi="宋体" w:cs="宋体"/>
                <w:kern w:val="0"/>
                <w:sz w:val="24"/>
                <w:highlight w:val="none"/>
                <w:lang w:val="en-US" w:eastAsia="zh-CN"/>
              </w:rPr>
              <w:t>15</w:t>
            </w:r>
            <w:r>
              <w:rPr>
                <w:rFonts w:hint="eastAsia" w:ascii="宋体" w:hAnsi="宋体" w:cs="宋体"/>
                <w:kern w:val="0"/>
                <w:sz w:val="24"/>
                <w:highlight w:val="none"/>
              </w:rPr>
              <w:t>名</w:t>
            </w:r>
            <w:r>
              <w:rPr>
                <w:rFonts w:hint="eastAsia" w:ascii="宋体" w:hAnsi="宋体" w:cs="宋体"/>
                <w:kern w:val="0"/>
                <w:sz w:val="24"/>
                <w:highlight w:val="none"/>
                <w:lang w:eastAsia="zh-CN"/>
              </w:rPr>
              <w:t>，</w:t>
            </w:r>
            <w:r>
              <w:rPr>
                <w:rFonts w:hint="default" w:ascii="宋体" w:hAnsi="宋体" w:cs="宋体"/>
                <w:kern w:val="0"/>
                <w:sz w:val="24"/>
                <w:highlight w:val="none"/>
                <w:lang w:eastAsia="zh-CN"/>
              </w:rPr>
              <w:t>每人</w:t>
            </w:r>
            <w:r>
              <w:rPr>
                <w:rFonts w:hint="default" w:ascii="宋体" w:hAnsi="宋体" w:cs="宋体"/>
                <w:kern w:val="0"/>
                <w:sz w:val="24"/>
                <w:highlight w:val="none"/>
              </w:rPr>
              <w:t>具有本科及以上学历</w:t>
            </w:r>
            <w:r>
              <w:rPr>
                <w:rFonts w:hint="default" w:ascii="宋体" w:hAnsi="宋体" w:cs="宋体"/>
                <w:kern w:val="0"/>
                <w:sz w:val="24"/>
                <w:highlight w:val="none"/>
                <w:lang w:eastAsia="zh-CN"/>
              </w:rPr>
              <w:t>，</w:t>
            </w:r>
            <w:r>
              <w:rPr>
                <w:rFonts w:hint="eastAsia" w:ascii="宋体" w:hAnsi="宋体" w:cs="宋体"/>
                <w:kern w:val="0"/>
                <w:sz w:val="24"/>
                <w:highlight w:val="none"/>
                <w:lang w:val="en-US" w:eastAsia="zh-CN"/>
              </w:rPr>
              <w:t>提供人员清单，满足要求得0.5分，不满足不得分</w:t>
            </w:r>
            <w:r>
              <w:rPr>
                <w:rFonts w:hint="eastAsia" w:ascii="宋体" w:hAnsi="宋体" w:cs="宋体"/>
                <w:kern w:val="0"/>
                <w:sz w:val="24"/>
                <w:highlight w:val="none"/>
              </w:rPr>
              <w:t>。</w:t>
            </w:r>
            <w:r>
              <w:rPr>
                <w:rFonts w:hint="eastAsia" w:ascii="宋体" w:hAnsi="宋体" w:cs="宋体"/>
                <w:kern w:val="0"/>
                <w:sz w:val="24"/>
                <w:highlight w:val="none"/>
              </w:rPr>
              <w:br w:type="textWrapping"/>
            </w:r>
            <w:r>
              <w:rPr>
                <w:rFonts w:hint="eastAsia" w:ascii="宋体" w:hAnsi="宋体" w:cs="宋体"/>
                <w:kern w:val="0"/>
                <w:sz w:val="24"/>
                <w:highlight w:val="none"/>
                <w:lang w:val="en-US" w:eastAsia="zh-CN"/>
              </w:rPr>
              <w:t>4、</w:t>
            </w:r>
            <w:r>
              <w:rPr>
                <w:rFonts w:hint="eastAsia" w:ascii="宋体" w:hAnsi="宋体" w:cs="宋体"/>
                <w:kern w:val="0"/>
                <w:sz w:val="24"/>
                <w:highlight w:val="none"/>
                <w:lang w:eastAsia="zh-CN"/>
              </w:rPr>
              <w:t>团队人员中需提供</w:t>
            </w:r>
            <w:r>
              <w:rPr>
                <w:rFonts w:hint="eastAsia" w:ascii="宋体" w:hAnsi="宋体" w:cs="宋体"/>
                <w:kern w:val="0"/>
                <w:sz w:val="24"/>
                <w:szCs w:val="24"/>
                <w:highlight w:val="none"/>
                <w:lang w:val="en-US" w:eastAsia="zh-CN"/>
              </w:rPr>
              <w:t>不少于2名人员具有</w:t>
            </w:r>
            <w:r>
              <w:rPr>
                <w:rFonts w:hint="eastAsia" w:cs="宋体" w:asciiTheme="minorEastAsia" w:hAnsiTheme="minorEastAsia" w:eastAsiaTheme="minorEastAsia"/>
                <w:kern w:val="0"/>
                <w:sz w:val="24"/>
                <w:szCs w:val="24"/>
                <w:highlight w:val="none"/>
                <w:lang w:val="en-US" w:eastAsia="zh-CN"/>
              </w:rPr>
              <w:t>计算机和软件类</w:t>
            </w:r>
            <w:r>
              <w:rPr>
                <w:rFonts w:hint="eastAsia" w:ascii="宋体" w:hAnsi="宋体" w:eastAsia="宋体" w:cs="宋体"/>
                <w:kern w:val="0"/>
                <w:sz w:val="24"/>
                <w:szCs w:val="24"/>
                <w:highlight w:val="none"/>
              </w:rPr>
              <w:t>高级职称证书</w:t>
            </w:r>
            <w:r>
              <w:rPr>
                <w:rFonts w:hint="eastAsia" w:ascii="宋体" w:hAnsi="宋体" w:eastAsia="宋体" w:cs="宋体"/>
                <w:kern w:val="0"/>
                <w:sz w:val="24"/>
                <w:szCs w:val="24"/>
                <w:highlight w:val="none"/>
                <w:lang w:eastAsia="zh-CN"/>
              </w:rPr>
              <w:t>、</w:t>
            </w:r>
            <w:r>
              <w:rPr>
                <w:rFonts w:hint="eastAsia" w:ascii="宋体" w:hAnsi="宋体" w:cs="宋体"/>
                <w:bCs w:val="0"/>
                <w:kern w:val="0"/>
                <w:sz w:val="24"/>
                <w:szCs w:val="24"/>
                <w:highlight w:val="none"/>
                <w:lang w:val="en-US" w:eastAsia="zh-CN"/>
              </w:rPr>
              <w:t>不少于3名人员具有</w:t>
            </w:r>
            <w:r>
              <w:rPr>
                <w:rFonts w:hint="eastAsia" w:cs="宋体" w:asciiTheme="minorEastAsia" w:hAnsiTheme="minorEastAsia" w:eastAsiaTheme="minorEastAsia"/>
                <w:kern w:val="0"/>
                <w:sz w:val="24"/>
                <w:szCs w:val="24"/>
                <w:highlight w:val="none"/>
                <w:lang w:val="en-US" w:eastAsia="zh-CN"/>
              </w:rPr>
              <w:t>计算机和软件类</w:t>
            </w:r>
            <w:r>
              <w:rPr>
                <w:rFonts w:hint="eastAsia" w:ascii="宋体" w:hAnsi="宋体" w:eastAsia="宋体" w:cs="宋体"/>
                <w:kern w:val="0"/>
                <w:sz w:val="24"/>
                <w:szCs w:val="24"/>
                <w:highlight w:val="none"/>
              </w:rPr>
              <w:t>中级</w:t>
            </w:r>
            <w:r>
              <w:rPr>
                <w:rFonts w:hint="eastAsia" w:ascii="宋体" w:hAnsi="宋体" w:eastAsia="宋体" w:cs="宋体"/>
                <w:kern w:val="0"/>
                <w:sz w:val="24"/>
                <w:szCs w:val="24"/>
                <w:highlight w:val="none"/>
                <w:lang w:val="en-US" w:eastAsia="zh-CN"/>
              </w:rPr>
              <w:t>及以上</w:t>
            </w:r>
            <w:r>
              <w:rPr>
                <w:rFonts w:hint="eastAsia" w:ascii="宋体" w:hAnsi="宋体" w:eastAsia="宋体" w:cs="宋体"/>
                <w:kern w:val="0"/>
                <w:sz w:val="24"/>
                <w:szCs w:val="24"/>
                <w:highlight w:val="none"/>
              </w:rPr>
              <w:t>职称证书</w:t>
            </w:r>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提供证书复印件，每一人满足要求得0.5分，最高得2.5分。</w:t>
            </w:r>
          </w:p>
          <w:p>
            <w:pPr>
              <w:snapToGrid w:val="0"/>
              <w:spacing w:line="360" w:lineRule="auto"/>
              <w:rPr>
                <w:rFonts w:ascii="宋体" w:hAnsi="宋体" w:cs="宋体"/>
                <w:kern w:val="0"/>
                <w:sz w:val="24"/>
                <w:highlight w:val="none"/>
              </w:rPr>
            </w:pPr>
            <w:r>
              <w:rPr>
                <w:rFonts w:hint="eastAsia" w:ascii="宋体" w:hAnsi="宋体" w:cs="宋体"/>
                <w:kern w:val="0"/>
                <w:sz w:val="24"/>
                <w:highlight w:val="none"/>
                <w:lang w:val="en-US" w:eastAsia="zh-CN"/>
              </w:rPr>
              <w:t>5</w:t>
            </w:r>
            <w:r>
              <w:rPr>
                <w:rFonts w:hint="eastAsia" w:ascii="宋体" w:hAnsi="宋体" w:cs="宋体"/>
                <w:kern w:val="0"/>
                <w:sz w:val="24"/>
                <w:highlight w:val="none"/>
              </w:rPr>
              <w:t>、承诺在项目开发期间，可以根据采购方需要</w:t>
            </w:r>
            <w:r>
              <w:rPr>
                <w:rFonts w:hint="eastAsia" w:cs="Calibri" w:asciiTheme="minorEastAsia" w:hAnsiTheme="minorEastAsia"/>
                <w:sz w:val="24"/>
                <w:highlight w:val="none"/>
              </w:rPr>
              <w:t>要求项目组全体驻场开发得</w:t>
            </w:r>
            <w:r>
              <w:rPr>
                <w:rFonts w:cs="Calibri" w:asciiTheme="minorEastAsia" w:hAnsiTheme="minorEastAsia"/>
                <w:sz w:val="24"/>
                <w:highlight w:val="none"/>
              </w:rPr>
              <w:t>1</w:t>
            </w:r>
            <w:r>
              <w:rPr>
                <w:rFonts w:hint="eastAsia" w:cs="Calibri" w:asciiTheme="minorEastAsia" w:hAnsiTheme="minorEastAsia"/>
                <w:sz w:val="24"/>
                <w:highlight w:val="none"/>
              </w:rPr>
              <w:t>分</w:t>
            </w:r>
            <w:r>
              <w:rPr>
                <w:rFonts w:hint="eastAsia" w:ascii="宋体" w:hAnsi="宋体" w:cs="宋体"/>
                <w:kern w:val="0"/>
                <w:sz w:val="24"/>
                <w:highlight w:val="none"/>
              </w:rPr>
              <w:t>。</w:t>
            </w:r>
          </w:p>
          <w:p>
            <w:pPr>
              <w:snapToGrid w:val="0"/>
              <w:spacing w:line="360" w:lineRule="auto"/>
              <w:rPr>
                <w:rFonts w:cs="仿宋" w:asciiTheme="majorEastAsia" w:hAnsiTheme="majorEastAsia" w:eastAsiaTheme="majorEastAsia"/>
                <w:b/>
                <w:bCs/>
                <w:sz w:val="24"/>
                <w:highlight w:val="none"/>
              </w:rPr>
            </w:pPr>
            <w:r>
              <w:rPr>
                <w:rFonts w:hint="eastAsia" w:cs="仿宋" w:asciiTheme="majorEastAsia" w:hAnsiTheme="majorEastAsia" w:eastAsiaTheme="majorEastAsia"/>
                <w:b/>
                <w:bCs/>
                <w:sz w:val="24"/>
                <w:highlight w:val="none"/>
              </w:rPr>
              <w:t>说明：投标文件中提供资格证书、学历证书等证明材料，</w:t>
            </w:r>
            <w:r>
              <w:rPr>
                <w:rFonts w:hint="eastAsia" w:cs="仿宋_GB2312" w:asciiTheme="minorEastAsia" w:hAnsiTheme="minorEastAsia"/>
                <w:b/>
                <w:bCs/>
                <w:sz w:val="24"/>
                <w:highlight w:val="none"/>
              </w:rPr>
              <w:t>提供项目组团队人员</w:t>
            </w:r>
            <w:r>
              <w:rPr>
                <w:rFonts w:hint="eastAsia" w:cs="仿宋" w:asciiTheme="minorEastAsia" w:hAnsiTheme="minorEastAsia"/>
                <w:b/>
                <w:bCs/>
                <w:sz w:val="24"/>
                <w:highlight w:val="none"/>
              </w:rPr>
              <w:t>在投标单位近</w:t>
            </w:r>
            <w:r>
              <w:rPr>
                <w:rFonts w:cs="仿宋" w:asciiTheme="minorEastAsia" w:hAnsiTheme="minorEastAsia"/>
                <w:b/>
                <w:bCs/>
                <w:sz w:val="24"/>
                <w:highlight w:val="none"/>
              </w:rPr>
              <w:t>3</w:t>
            </w:r>
            <w:r>
              <w:rPr>
                <w:rFonts w:hint="eastAsia" w:cs="仿宋" w:asciiTheme="minorEastAsia" w:hAnsiTheme="minorEastAsia"/>
                <w:b/>
                <w:bCs/>
                <w:sz w:val="24"/>
                <w:highlight w:val="none"/>
              </w:rPr>
              <w:t>个月社保缴纳记录</w:t>
            </w:r>
            <w:r>
              <w:rPr>
                <w:rFonts w:hint="eastAsia" w:cs="仿宋" w:asciiTheme="majorEastAsia" w:hAnsiTheme="majorEastAsia" w:eastAsiaTheme="majorEastAsia"/>
                <w:b/>
                <w:bCs/>
                <w:sz w:val="24"/>
                <w:highlight w:val="none"/>
              </w:rPr>
              <w:t>，否则不得分。</w:t>
            </w:r>
          </w:p>
        </w:tc>
        <w:tc>
          <w:tcPr>
            <w:tcW w:w="750" w:type="dxa"/>
            <w:vAlign w:val="center"/>
          </w:tcPr>
          <w:p>
            <w:pPr>
              <w:snapToGrid w:val="0"/>
              <w:spacing w:line="360" w:lineRule="auto"/>
              <w:jc w:val="center"/>
              <w:rPr>
                <w:rFonts w:cs="仿宋_GB2312" w:asciiTheme="majorEastAsia" w:hAnsiTheme="majorEastAsia" w:eastAsiaTheme="majorEastAsia"/>
                <w:sz w:val="24"/>
                <w:highlight w:val="none"/>
              </w:rPr>
            </w:pPr>
          </w:p>
          <w:p>
            <w:pPr>
              <w:snapToGrid w:val="0"/>
              <w:spacing w:line="360" w:lineRule="auto"/>
              <w:jc w:val="center"/>
              <w:rPr>
                <w:rFonts w:hint="eastAsia" w:cs="仿宋_GB2312" w:asciiTheme="majorEastAsia" w:hAnsiTheme="majorEastAsia" w:eastAsiaTheme="majorEastAsia"/>
                <w:sz w:val="24"/>
                <w:highlight w:val="none"/>
                <w:lang w:eastAsia="zh-CN"/>
              </w:rPr>
            </w:pPr>
            <w:r>
              <w:rPr>
                <w:rFonts w:hint="eastAsia" w:cs="仿宋_GB2312" w:asciiTheme="majorEastAsia" w:hAnsiTheme="majorEastAsia" w:eastAsiaTheme="majorEastAsia"/>
                <w:sz w:val="24"/>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napToGrid w:val="0"/>
              <w:spacing w:line="360" w:lineRule="auto"/>
              <w:jc w:val="center"/>
              <w:rPr>
                <w:rFonts w:cs="仿宋_GB2312" w:asciiTheme="majorEastAsia" w:hAnsiTheme="majorEastAsia" w:eastAsiaTheme="majorEastAsia"/>
                <w:sz w:val="24"/>
                <w:highlight w:val="none"/>
              </w:rPr>
            </w:pPr>
            <w:r>
              <w:rPr>
                <w:rFonts w:cs="仿宋_GB2312" w:asciiTheme="majorEastAsia" w:hAnsiTheme="majorEastAsia" w:eastAsiaTheme="majorEastAsia"/>
                <w:sz w:val="24"/>
                <w:highlight w:val="none"/>
              </w:rPr>
              <w:t>6</w:t>
            </w:r>
          </w:p>
        </w:tc>
        <w:tc>
          <w:tcPr>
            <w:tcW w:w="1985" w:type="dxa"/>
            <w:vAlign w:val="center"/>
          </w:tcPr>
          <w:p>
            <w:pPr>
              <w:snapToGrid w:val="0"/>
              <w:spacing w:line="360" w:lineRule="auto"/>
              <w:jc w:val="center"/>
              <w:rPr>
                <w:rFonts w:asciiTheme="majorEastAsia" w:hAnsiTheme="majorEastAsia" w:eastAsiaTheme="majorEastAsia"/>
                <w:sz w:val="24"/>
                <w:highlight w:val="none"/>
              </w:rPr>
            </w:pPr>
            <w:r>
              <w:rPr>
                <w:rFonts w:hint="eastAsia" w:asciiTheme="majorEastAsia" w:hAnsiTheme="majorEastAsia" w:eastAsiaTheme="majorEastAsia"/>
                <w:sz w:val="24"/>
                <w:highlight w:val="none"/>
              </w:rPr>
              <w:t>组织实施方案</w:t>
            </w:r>
          </w:p>
        </w:tc>
        <w:tc>
          <w:tcPr>
            <w:tcW w:w="6222" w:type="dxa"/>
          </w:tcPr>
          <w:p>
            <w:pPr>
              <w:widowControl/>
              <w:snapToGrid w:val="0"/>
              <w:spacing w:line="360" w:lineRule="auto"/>
              <w:textAlignment w:val="center"/>
              <w:rPr>
                <w:rFonts w:ascii="宋体" w:hAnsi="宋体" w:cs="宋体"/>
                <w:sz w:val="24"/>
                <w:highlight w:val="none"/>
              </w:rPr>
            </w:pPr>
            <w:r>
              <w:rPr>
                <w:rFonts w:hint="eastAsia" w:cs="宋体" w:asciiTheme="minorEastAsia" w:hAnsiTheme="minorEastAsia"/>
                <w:kern w:val="0"/>
                <w:sz w:val="24"/>
                <w:highlight w:val="none"/>
                <w:lang w:eastAsia="zh-CN"/>
              </w:rPr>
              <w:t>【</w:t>
            </w:r>
            <w:r>
              <w:rPr>
                <w:rFonts w:hint="eastAsia" w:cs="宋体" w:asciiTheme="minorEastAsia" w:hAnsiTheme="minorEastAsia"/>
                <w:kern w:val="0"/>
                <w:sz w:val="24"/>
                <w:highlight w:val="none"/>
                <w:lang w:val="en-US" w:eastAsia="zh-CN"/>
              </w:rPr>
              <w:t>主观分</w:t>
            </w:r>
            <w:r>
              <w:rPr>
                <w:rFonts w:hint="eastAsia" w:cs="宋体" w:asciiTheme="minorEastAsia" w:hAnsiTheme="minorEastAsia"/>
                <w:kern w:val="0"/>
                <w:sz w:val="24"/>
                <w:highlight w:val="none"/>
                <w:lang w:eastAsia="zh-CN"/>
              </w:rPr>
              <w:t>】</w:t>
            </w:r>
          </w:p>
          <w:p>
            <w:pPr>
              <w:snapToGrid w:val="0"/>
              <w:spacing w:line="360" w:lineRule="auto"/>
              <w:rPr>
                <w:rFonts w:cs="仿宋" w:asciiTheme="majorEastAsia" w:hAnsiTheme="majorEastAsia" w:eastAsiaTheme="majorEastAsia"/>
                <w:bCs/>
                <w:sz w:val="24"/>
                <w:highlight w:val="none"/>
              </w:rPr>
            </w:pPr>
            <w:r>
              <w:rPr>
                <w:rFonts w:hint="eastAsia" w:asciiTheme="majorEastAsia" w:hAnsiTheme="majorEastAsia" w:eastAsiaTheme="majorEastAsia"/>
                <w:sz w:val="24"/>
                <w:highlight w:val="none"/>
              </w:rPr>
              <w:t>投标人项目组织实施方案的科学性、合理性、规范性和可操作性，包括①系统设计、②软件开发、③调试调优、④组织机构、⑤工作时间进度表、⑥工作程序和步骤、⑦管理和协调方法、⑧关键步骤的思路和要点等。根据提供的方案内容进行评分。每一项内容完整、措施有效、符合采购人实际视为合理，合理得0.</w:t>
            </w:r>
            <w:r>
              <w:rPr>
                <w:rFonts w:hint="eastAsia" w:asciiTheme="majorEastAsia" w:hAnsiTheme="majorEastAsia" w:eastAsiaTheme="majorEastAsia"/>
                <w:sz w:val="24"/>
                <w:highlight w:val="none"/>
                <w:lang w:val="en-US" w:eastAsia="zh-CN"/>
              </w:rPr>
              <w:t>25</w:t>
            </w:r>
            <w:r>
              <w:rPr>
                <w:rFonts w:hint="eastAsia" w:asciiTheme="majorEastAsia" w:hAnsiTheme="majorEastAsia" w:eastAsiaTheme="majorEastAsia"/>
                <w:sz w:val="24"/>
                <w:highlight w:val="none"/>
              </w:rPr>
              <w:t>分，否则不得分。最高得</w:t>
            </w:r>
            <w:r>
              <w:rPr>
                <w:rFonts w:hint="eastAsia" w:asciiTheme="majorEastAsia" w:hAnsiTheme="majorEastAsia" w:eastAsiaTheme="majorEastAsia"/>
                <w:sz w:val="24"/>
                <w:highlight w:val="none"/>
                <w:lang w:val="en-US" w:eastAsia="zh-CN"/>
              </w:rPr>
              <w:t>2</w:t>
            </w:r>
            <w:r>
              <w:rPr>
                <w:rFonts w:hint="eastAsia" w:asciiTheme="majorEastAsia" w:hAnsiTheme="majorEastAsia" w:eastAsiaTheme="majorEastAsia"/>
                <w:sz w:val="24"/>
                <w:highlight w:val="none"/>
              </w:rPr>
              <w:t>分。</w:t>
            </w:r>
          </w:p>
        </w:tc>
        <w:tc>
          <w:tcPr>
            <w:tcW w:w="750" w:type="dxa"/>
            <w:vAlign w:val="center"/>
          </w:tcPr>
          <w:p>
            <w:pPr>
              <w:snapToGrid w:val="0"/>
              <w:spacing w:line="360" w:lineRule="auto"/>
              <w:jc w:val="center"/>
              <w:rPr>
                <w:rFonts w:cs="仿宋_GB2312" w:asciiTheme="majorEastAsia" w:hAnsiTheme="majorEastAsia" w:eastAsiaTheme="majorEastAsia"/>
                <w:sz w:val="24"/>
                <w:highlight w:val="none"/>
              </w:rPr>
            </w:pPr>
            <w:r>
              <w:rPr>
                <w:rFonts w:hint="eastAsia" w:cs="仿宋_GB2312" w:asciiTheme="majorEastAsia" w:hAnsiTheme="majorEastAsia" w:eastAsiaTheme="majorEastAsia"/>
                <w:sz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9" w:type="dxa"/>
            <w:vAlign w:val="center"/>
          </w:tcPr>
          <w:p>
            <w:pPr>
              <w:snapToGrid w:val="0"/>
              <w:spacing w:line="360" w:lineRule="auto"/>
              <w:jc w:val="center"/>
              <w:rPr>
                <w:rFonts w:cs="仿宋_GB2312" w:asciiTheme="majorEastAsia" w:hAnsiTheme="majorEastAsia" w:eastAsiaTheme="majorEastAsia"/>
                <w:sz w:val="24"/>
                <w:highlight w:val="none"/>
              </w:rPr>
            </w:pPr>
            <w:r>
              <w:rPr>
                <w:rFonts w:cs="仿宋_GB2312" w:asciiTheme="majorEastAsia" w:hAnsiTheme="majorEastAsia" w:eastAsiaTheme="majorEastAsia"/>
                <w:sz w:val="24"/>
                <w:highlight w:val="none"/>
              </w:rPr>
              <w:t>7</w:t>
            </w:r>
          </w:p>
        </w:tc>
        <w:tc>
          <w:tcPr>
            <w:tcW w:w="1985" w:type="dxa"/>
            <w:vAlign w:val="center"/>
          </w:tcPr>
          <w:p>
            <w:pPr>
              <w:snapToGrid w:val="0"/>
              <w:spacing w:line="360" w:lineRule="auto"/>
              <w:jc w:val="center"/>
              <w:rPr>
                <w:rFonts w:ascii="宋体" w:hAnsi="宋体" w:cs="仿宋_GB2312"/>
                <w:sz w:val="24"/>
                <w:highlight w:val="none"/>
                <w:lang w:val="zh-CN"/>
              </w:rPr>
            </w:pPr>
            <w:r>
              <w:rPr>
                <w:rFonts w:hint="eastAsia" w:ascii="宋体" w:hAnsi="宋体" w:cs="仿宋_GB2312"/>
                <w:sz w:val="24"/>
                <w:highlight w:val="none"/>
                <w:lang w:val="zh-CN"/>
              </w:rPr>
              <w:t>系统方案讲解演示（演示时间为</w:t>
            </w:r>
            <w:r>
              <w:rPr>
                <w:rFonts w:ascii="宋体" w:hAnsi="宋体" w:cs="仿宋_GB2312"/>
                <w:sz w:val="24"/>
                <w:highlight w:val="none"/>
                <w:lang w:val="zh-CN"/>
              </w:rPr>
              <w:t>15</w:t>
            </w:r>
            <w:r>
              <w:rPr>
                <w:rFonts w:hint="eastAsia" w:ascii="宋体" w:hAnsi="宋体" w:cs="仿宋_GB2312"/>
                <w:sz w:val="24"/>
                <w:highlight w:val="none"/>
              </w:rPr>
              <w:t>分钟</w:t>
            </w:r>
            <w:r>
              <w:rPr>
                <w:rFonts w:hint="eastAsia" w:ascii="宋体" w:hAnsi="宋体" w:cs="仿宋_GB2312"/>
                <w:sz w:val="24"/>
                <w:highlight w:val="none"/>
                <w:lang w:val="zh-CN"/>
              </w:rPr>
              <w:t>）</w:t>
            </w:r>
          </w:p>
        </w:tc>
        <w:tc>
          <w:tcPr>
            <w:tcW w:w="6222" w:type="dxa"/>
          </w:tcPr>
          <w:p>
            <w:pPr>
              <w:widowControl/>
              <w:snapToGrid w:val="0"/>
              <w:spacing w:line="360" w:lineRule="auto"/>
              <w:textAlignment w:val="center"/>
              <w:rPr>
                <w:rFonts w:ascii="宋体" w:hAnsi="宋体" w:cs="宋体"/>
                <w:sz w:val="24"/>
                <w:highlight w:val="none"/>
              </w:rPr>
            </w:pPr>
            <w:r>
              <w:rPr>
                <w:rFonts w:hint="eastAsia" w:cs="宋体" w:asciiTheme="minorEastAsia" w:hAnsiTheme="minorEastAsia"/>
                <w:kern w:val="0"/>
                <w:sz w:val="24"/>
                <w:highlight w:val="none"/>
                <w:lang w:eastAsia="zh-CN"/>
              </w:rPr>
              <w:t>【</w:t>
            </w:r>
            <w:r>
              <w:rPr>
                <w:rFonts w:hint="eastAsia" w:cs="宋体" w:asciiTheme="minorEastAsia" w:hAnsiTheme="minorEastAsia"/>
                <w:kern w:val="0"/>
                <w:sz w:val="24"/>
                <w:highlight w:val="none"/>
                <w:lang w:val="en-US" w:eastAsia="zh-CN"/>
              </w:rPr>
              <w:t>客观分</w:t>
            </w:r>
            <w:r>
              <w:rPr>
                <w:rFonts w:hint="eastAsia" w:cs="宋体" w:asciiTheme="minorEastAsia" w:hAnsiTheme="minorEastAsia"/>
                <w:kern w:val="0"/>
                <w:sz w:val="24"/>
                <w:highlight w:val="none"/>
                <w:lang w:eastAsia="zh-CN"/>
              </w:rPr>
              <w:t>】</w:t>
            </w:r>
          </w:p>
          <w:p>
            <w:pPr>
              <w:snapToGrid w:val="0"/>
              <w:spacing w:line="360" w:lineRule="auto"/>
              <w:rPr>
                <w:rFonts w:hint="eastAsia" w:ascii="宋体" w:hAnsi="宋体" w:cs="仿宋_GB2312"/>
                <w:b w:val="0"/>
                <w:bCs w:val="0"/>
                <w:sz w:val="24"/>
                <w:highlight w:val="none"/>
                <w:lang w:val="zh-CN"/>
              </w:rPr>
            </w:pPr>
            <w:r>
              <w:rPr>
                <w:rFonts w:hint="eastAsia" w:ascii="宋体" w:hAnsi="宋体" w:cs="仿宋_GB2312"/>
                <w:b w:val="0"/>
                <w:bCs w:val="0"/>
                <w:sz w:val="24"/>
                <w:highlight w:val="none"/>
                <w:lang w:val="zh-CN"/>
              </w:rPr>
              <w:t>1、演示城市运行生命体征（</w:t>
            </w:r>
            <w:r>
              <w:rPr>
                <w:rFonts w:hint="eastAsia" w:ascii="宋体" w:hAnsi="宋体" w:cs="仿宋_GB2312"/>
                <w:b w:val="0"/>
                <w:bCs w:val="0"/>
                <w:sz w:val="24"/>
                <w:highlight w:val="none"/>
                <w:lang w:val="en-US" w:eastAsia="zh-CN"/>
              </w:rPr>
              <w:t>6</w:t>
            </w:r>
            <w:r>
              <w:rPr>
                <w:rFonts w:hint="eastAsia" w:ascii="宋体" w:hAnsi="宋体" w:cs="仿宋_GB2312"/>
                <w:b w:val="0"/>
                <w:bCs w:val="0"/>
                <w:sz w:val="24"/>
                <w:highlight w:val="none"/>
                <w:lang w:val="zh-CN"/>
              </w:rPr>
              <w:t>分）：</w:t>
            </w:r>
          </w:p>
          <w:p>
            <w:pPr>
              <w:snapToGrid w:val="0"/>
              <w:spacing w:line="360" w:lineRule="auto"/>
              <w:rPr>
                <w:rFonts w:hint="eastAsia" w:ascii="宋体" w:hAnsi="宋体" w:cs="仿宋_GB2312"/>
                <w:b w:val="0"/>
                <w:bCs w:val="0"/>
                <w:sz w:val="24"/>
                <w:highlight w:val="none"/>
                <w:lang w:val="zh-CN"/>
              </w:rPr>
            </w:pPr>
            <w:r>
              <w:rPr>
                <w:rFonts w:hint="eastAsia" w:ascii="宋体" w:hAnsi="宋体" w:cs="仿宋_GB2312"/>
                <w:b w:val="0"/>
                <w:bCs w:val="0"/>
                <w:sz w:val="24"/>
                <w:highlight w:val="none"/>
                <w:lang w:val="zh-CN"/>
              </w:rPr>
              <w:t>（</w:t>
            </w:r>
            <w:r>
              <w:rPr>
                <w:rFonts w:hint="eastAsia" w:ascii="宋体" w:hAnsi="宋体" w:cs="仿宋_GB2312"/>
                <w:b w:val="0"/>
                <w:bCs w:val="0"/>
                <w:sz w:val="24"/>
                <w:highlight w:val="none"/>
                <w:lang w:val="en-US" w:eastAsia="zh-CN"/>
              </w:rPr>
              <w:t>1</w:t>
            </w:r>
            <w:r>
              <w:rPr>
                <w:rFonts w:hint="eastAsia" w:ascii="宋体" w:hAnsi="宋体" w:cs="仿宋_GB2312"/>
                <w:b w:val="0"/>
                <w:bCs w:val="0"/>
                <w:sz w:val="24"/>
                <w:highlight w:val="none"/>
                <w:lang w:val="zh-CN"/>
              </w:rPr>
              <w:t>）通过城市生命体征总览展示6大领域的监测数据、各领域的运行状态及实时展示今日报警数据，同时可进行报警下钻（2分）；</w:t>
            </w:r>
            <w:bookmarkStart w:id="405" w:name="_GoBack"/>
            <w:bookmarkEnd w:id="405"/>
            <w:r>
              <w:rPr>
                <w:rFonts w:hint="eastAsia" w:ascii="宋体" w:hAnsi="宋体" w:cs="仿宋_GB2312"/>
                <w:b w:val="0"/>
                <w:bCs w:val="0"/>
                <w:sz w:val="24"/>
                <w:highlight w:val="none"/>
                <w:lang w:val="zh-CN"/>
              </w:rPr>
              <w:br w:type="textWrapping"/>
            </w:r>
            <w:r>
              <w:rPr>
                <w:rFonts w:hint="eastAsia" w:ascii="宋体" w:hAnsi="宋体" w:cs="仿宋_GB2312"/>
                <w:b w:val="0"/>
                <w:bCs w:val="0"/>
                <w:sz w:val="24"/>
                <w:highlight w:val="none"/>
                <w:lang w:val="zh-CN"/>
              </w:rPr>
              <w:t>（</w:t>
            </w:r>
            <w:r>
              <w:rPr>
                <w:rFonts w:hint="eastAsia" w:ascii="宋体" w:hAnsi="宋体" w:cs="仿宋_GB2312"/>
                <w:b w:val="0"/>
                <w:bCs w:val="0"/>
                <w:sz w:val="24"/>
                <w:highlight w:val="none"/>
                <w:lang w:val="en-US" w:eastAsia="zh-CN"/>
              </w:rPr>
              <w:t>2</w:t>
            </w:r>
            <w:r>
              <w:rPr>
                <w:rFonts w:hint="eastAsia" w:ascii="宋体" w:hAnsi="宋体" w:cs="仿宋_GB2312"/>
                <w:b w:val="0"/>
                <w:bCs w:val="0"/>
                <w:sz w:val="24"/>
                <w:highlight w:val="none"/>
                <w:lang w:val="zh-CN"/>
              </w:rPr>
              <w:t>）进入某个具体领域可展示不同子领域的相关本底数据及监测项状态，并通过对象可查看到监测实时数据、报警阈值及趋向（2分）；</w:t>
            </w:r>
            <w:r>
              <w:rPr>
                <w:rFonts w:hint="eastAsia" w:ascii="宋体" w:hAnsi="宋体" w:cs="仿宋_GB2312"/>
                <w:b w:val="0"/>
                <w:bCs w:val="0"/>
                <w:sz w:val="24"/>
                <w:highlight w:val="none"/>
                <w:lang w:val="zh-CN"/>
              </w:rPr>
              <w:br w:type="textWrapping"/>
            </w:r>
            <w:r>
              <w:rPr>
                <w:rFonts w:hint="eastAsia" w:ascii="宋体" w:hAnsi="宋体" w:cs="仿宋_GB2312"/>
                <w:b w:val="0"/>
                <w:bCs w:val="0"/>
                <w:sz w:val="24"/>
                <w:highlight w:val="none"/>
                <w:lang w:val="zh-CN"/>
              </w:rPr>
              <w:t>（</w:t>
            </w:r>
            <w:r>
              <w:rPr>
                <w:rFonts w:hint="eastAsia" w:ascii="宋体" w:hAnsi="宋体" w:cs="仿宋_GB2312"/>
                <w:b w:val="0"/>
                <w:bCs w:val="0"/>
                <w:sz w:val="24"/>
                <w:highlight w:val="none"/>
                <w:lang w:val="en-US" w:eastAsia="zh-CN"/>
              </w:rPr>
              <w:t>3</w:t>
            </w:r>
            <w:r>
              <w:rPr>
                <w:rFonts w:hint="eastAsia" w:ascii="宋体" w:hAnsi="宋体" w:cs="仿宋_GB2312"/>
                <w:b w:val="0"/>
                <w:bCs w:val="0"/>
                <w:sz w:val="24"/>
                <w:highlight w:val="none"/>
                <w:lang w:val="zh-CN"/>
              </w:rPr>
              <w:t>）展示体征预警后生成相关事件并在系统中进行运转处置的流程（2分）。</w:t>
            </w:r>
          </w:p>
          <w:p>
            <w:pPr>
              <w:snapToGrid w:val="0"/>
              <w:spacing w:line="360" w:lineRule="auto"/>
              <w:rPr>
                <w:rFonts w:hint="eastAsia" w:ascii="宋体" w:hAnsi="宋体" w:cs="仿宋_GB2312"/>
                <w:b w:val="0"/>
                <w:bCs w:val="0"/>
                <w:sz w:val="24"/>
                <w:highlight w:val="none"/>
                <w:lang w:val="zh-CN"/>
              </w:rPr>
            </w:pPr>
            <w:r>
              <w:rPr>
                <w:rFonts w:hint="eastAsia" w:ascii="宋体" w:hAnsi="宋体" w:cs="仿宋_GB2312"/>
                <w:b w:val="0"/>
                <w:bCs w:val="0"/>
                <w:sz w:val="24"/>
                <w:highlight w:val="none"/>
                <w:lang w:val="zh-CN"/>
              </w:rPr>
              <w:t>2、演示日常指挥系统（4分）：</w:t>
            </w:r>
            <w:r>
              <w:rPr>
                <w:rFonts w:hint="eastAsia" w:ascii="宋体" w:hAnsi="宋体" w:cs="仿宋_GB2312"/>
                <w:b w:val="0"/>
                <w:bCs w:val="0"/>
                <w:sz w:val="24"/>
                <w:highlight w:val="none"/>
                <w:lang w:val="zh-CN"/>
              </w:rPr>
              <w:br w:type="textWrapping"/>
            </w:r>
            <w:r>
              <w:rPr>
                <w:rFonts w:hint="eastAsia" w:ascii="宋体" w:hAnsi="宋体" w:cs="仿宋_GB2312"/>
                <w:b w:val="0"/>
                <w:bCs w:val="0"/>
                <w:sz w:val="24"/>
                <w:highlight w:val="none"/>
                <w:lang w:val="zh-CN"/>
              </w:rPr>
              <w:t>（</w:t>
            </w:r>
            <w:r>
              <w:rPr>
                <w:rFonts w:hint="eastAsia" w:ascii="宋体" w:hAnsi="宋体" w:cs="仿宋_GB2312"/>
                <w:b w:val="0"/>
                <w:bCs w:val="0"/>
                <w:sz w:val="24"/>
                <w:highlight w:val="none"/>
                <w:lang w:val="en-US" w:eastAsia="zh-CN"/>
              </w:rPr>
              <w:t>1</w:t>
            </w:r>
            <w:r>
              <w:rPr>
                <w:rFonts w:hint="eastAsia" w:ascii="宋体" w:hAnsi="宋体" w:cs="仿宋_GB2312"/>
                <w:b w:val="0"/>
                <w:bCs w:val="0"/>
                <w:sz w:val="24"/>
                <w:highlight w:val="none"/>
                <w:lang w:val="zh-CN"/>
              </w:rPr>
              <w:t>）演示任务发起、下发、回复、结束整个流程（1分）；（</w:t>
            </w:r>
            <w:r>
              <w:rPr>
                <w:rFonts w:hint="eastAsia" w:ascii="宋体" w:hAnsi="宋体" w:cs="仿宋_GB2312"/>
                <w:b w:val="0"/>
                <w:bCs w:val="0"/>
                <w:sz w:val="24"/>
                <w:highlight w:val="none"/>
                <w:lang w:val="en-US" w:eastAsia="zh-CN"/>
              </w:rPr>
              <w:t>2</w:t>
            </w:r>
            <w:r>
              <w:rPr>
                <w:rFonts w:hint="eastAsia" w:ascii="宋体" w:hAnsi="宋体" w:cs="仿宋_GB2312"/>
                <w:b w:val="0"/>
                <w:bCs w:val="0"/>
                <w:sz w:val="24"/>
                <w:highlight w:val="none"/>
                <w:lang w:val="zh-CN"/>
              </w:rPr>
              <w:t>）展示新建任务关联案件，并具备推送钉钉、短信提醒的功能（1分）。</w:t>
            </w:r>
            <w:r>
              <w:rPr>
                <w:rFonts w:hint="eastAsia" w:ascii="宋体" w:hAnsi="宋体" w:cs="仿宋_GB2312"/>
                <w:b w:val="0"/>
                <w:bCs w:val="0"/>
                <w:sz w:val="24"/>
                <w:highlight w:val="none"/>
                <w:lang w:val="zh-CN"/>
              </w:rPr>
              <w:br w:type="textWrapping"/>
            </w:r>
            <w:r>
              <w:rPr>
                <w:rFonts w:hint="eastAsia" w:ascii="宋体" w:hAnsi="宋体" w:cs="仿宋_GB2312"/>
                <w:b w:val="0"/>
                <w:bCs w:val="0"/>
                <w:sz w:val="24"/>
                <w:highlight w:val="none"/>
                <w:lang w:val="zh-CN"/>
              </w:rPr>
              <w:t>（</w:t>
            </w:r>
            <w:r>
              <w:rPr>
                <w:rFonts w:hint="eastAsia" w:ascii="宋体" w:hAnsi="宋体" w:cs="仿宋_GB2312"/>
                <w:b w:val="0"/>
                <w:bCs w:val="0"/>
                <w:sz w:val="24"/>
                <w:highlight w:val="none"/>
                <w:lang w:val="en-US" w:eastAsia="zh-CN"/>
              </w:rPr>
              <w:t>3</w:t>
            </w:r>
            <w:r>
              <w:rPr>
                <w:rFonts w:hint="eastAsia" w:ascii="宋体" w:hAnsi="宋体" w:cs="仿宋_GB2312"/>
                <w:b w:val="0"/>
                <w:bCs w:val="0"/>
                <w:sz w:val="24"/>
                <w:highlight w:val="none"/>
                <w:lang w:val="zh-CN"/>
              </w:rPr>
              <w:t>）展示日常指挥人、事、物、态四个维度的事件信息情况（1分）；</w:t>
            </w:r>
            <w:r>
              <w:rPr>
                <w:rFonts w:hint="eastAsia" w:ascii="宋体" w:hAnsi="宋体" w:cs="仿宋_GB2312"/>
                <w:b w:val="0"/>
                <w:bCs w:val="0"/>
                <w:sz w:val="24"/>
                <w:highlight w:val="none"/>
                <w:lang w:val="zh-CN"/>
              </w:rPr>
              <w:br w:type="textWrapping"/>
            </w:r>
            <w:r>
              <w:rPr>
                <w:rFonts w:hint="eastAsia" w:ascii="宋体" w:hAnsi="宋体" w:cs="仿宋_GB2312"/>
                <w:b w:val="0"/>
                <w:bCs w:val="0"/>
                <w:sz w:val="24"/>
                <w:highlight w:val="none"/>
                <w:lang w:val="zh-CN"/>
              </w:rPr>
              <w:t>（</w:t>
            </w:r>
            <w:r>
              <w:rPr>
                <w:rFonts w:hint="eastAsia" w:ascii="宋体" w:hAnsi="宋体" w:cs="仿宋_GB2312"/>
                <w:b w:val="0"/>
                <w:bCs w:val="0"/>
                <w:sz w:val="24"/>
                <w:highlight w:val="none"/>
                <w:lang w:val="en-US" w:eastAsia="zh-CN"/>
              </w:rPr>
              <w:t>4</w:t>
            </w:r>
            <w:r>
              <w:rPr>
                <w:rFonts w:hint="eastAsia" w:ascii="宋体" w:hAnsi="宋体" w:cs="仿宋_GB2312"/>
                <w:b w:val="0"/>
                <w:bCs w:val="0"/>
                <w:sz w:val="24"/>
                <w:highlight w:val="none"/>
                <w:lang w:val="zh-CN"/>
              </w:rPr>
              <w:t>）展示城市运行中各项案件的来源情况、杭州市各个区域的案件数量情况以及各个领域案件的发展趋势和同比环比情况（1分）。</w:t>
            </w:r>
          </w:p>
          <w:p>
            <w:pPr>
              <w:snapToGrid w:val="0"/>
              <w:spacing w:line="360" w:lineRule="auto"/>
              <w:rPr>
                <w:rFonts w:hint="eastAsia" w:ascii="宋体" w:hAnsi="宋体" w:cs="仿宋_GB2312"/>
                <w:b/>
                <w:bCs/>
                <w:sz w:val="24"/>
                <w:highlight w:val="none"/>
                <w:lang w:val="zh-CN"/>
              </w:rPr>
            </w:pPr>
            <w:r>
              <w:rPr>
                <w:rFonts w:hint="eastAsia" w:ascii="宋体" w:hAnsi="宋体" w:cs="仿宋_GB2312"/>
                <w:b w:val="0"/>
                <w:bCs w:val="0"/>
                <w:sz w:val="24"/>
                <w:highlight w:val="none"/>
                <w:lang w:val="zh-CN"/>
              </w:rPr>
              <w:t>3、演示综合评价系统（4分）：</w:t>
            </w:r>
            <w:r>
              <w:rPr>
                <w:rFonts w:hint="eastAsia" w:ascii="宋体" w:hAnsi="宋体" w:cs="仿宋_GB2312"/>
                <w:b w:val="0"/>
                <w:bCs w:val="0"/>
                <w:sz w:val="24"/>
                <w:highlight w:val="none"/>
                <w:lang w:val="zh-CN"/>
              </w:rPr>
              <w:br w:type="textWrapping"/>
            </w:r>
            <w:r>
              <w:rPr>
                <w:rFonts w:hint="eastAsia" w:ascii="宋体" w:hAnsi="宋体" w:cs="仿宋_GB2312"/>
                <w:b w:val="0"/>
                <w:bCs w:val="0"/>
                <w:sz w:val="24"/>
                <w:highlight w:val="none"/>
                <w:lang w:val="zh-CN"/>
              </w:rPr>
              <w:t>（</w:t>
            </w:r>
            <w:r>
              <w:rPr>
                <w:rFonts w:hint="eastAsia" w:ascii="宋体" w:hAnsi="宋体" w:cs="仿宋_GB2312"/>
                <w:b w:val="0"/>
                <w:bCs w:val="0"/>
                <w:sz w:val="24"/>
                <w:highlight w:val="none"/>
                <w:lang w:val="en-US" w:eastAsia="zh-CN"/>
              </w:rPr>
              <w:t>1</w:t>
            </w:r>
            <w:r>
              <w:rPr>
                <w:rFonts w:hint="eastAsia" w:ascii="宋体" w:hAnsi="宋体" w:cs="仿宋_GB2312"/>
                <w:b w:val="0"/>
                <w:bCs w:val="0"/>
                <w:sz w:val="24"/>
                <w:highlight w:val="none"/>
                <w:lang w:val="zh-CN"/>
              </w:rPr>
              <w:t>）演示自动评价中识别任务设置，通过定时任务自动分析命中目标（1分）；</w:t>
            </w:r>
            <w:r>
              <w:rPr>
                <w:rFonts w:hint="eastAsia" w:ascii="宋体" w:hAnsi="宋体" w:cs="仿宋_GB2312"/>
                <w:b w:val="0"/>
                <w:bCs w:val="0"/>
                <w:sz w:val="24"/>
                <w:highlight w:val="none"/>
                <w:lang w:val="zh-CN"/>
              </w:rPr>
              <w:br w:type="textWrapping"/>
            </w:r>
            <w:r>
              <w:rPr>
                <w:rFonts w:hint="eastAsia" w:ascii="宋体" w:hAnsi="宋体" w:cs="仿宋_GB2312"/>
                <w:b w:val="0"/>
                <w:bCs w:val="0"/>
                <w:sz w:val="24"/>
                <w:highlight w:val="none"/>
                <w:lang w:val="zh-CN"/>
              </w:rPr>
              <w:t>（</w:t>
            </w:r>
            <w:r>
              <w:rPr>
                <w:rFonts w:hint="eastAsia" w:ascii="宋体" w:hAnsi="宋体" w:cs="仿宋_GB2312"/>
                <w:b w:val="0"/>
                <w:bCs w:val="0"/>
                <w:sz w:val="24"/>
                <w:highlight w:val="none"/>
                <w:lang w:val="en-US" w:eastAsia="zh-CN"/>
              </w:rPr>
              <w:t>2</w:t>
            </w:r>
            <w:r>
              <w:rPr>
                <w:rFonts w:hint="eastAsia" w:ascii="宋体" w:hAnsi="宋体" w:cs="仿宋_GB2312"/>
                <w:b w:val="0"/>
                <w:bCs w:val="0"/>
                <w:sz w:val="24"/>
                <w:highlight w:val="none"/>
                <w:lang w:val="zh-CN"/>
              </w:rPr>
              <w:t>）展示摄像头识别、拉取及获得图片数据，AI分析在线或离线数据，分析统计每个场景命中目标（2分）；</w:t>
            </w:r>
            <w:r>
              <w:rPr>
                <w:rFonts w:hint="eastAsia" w:ascii="宋体" w:hAnsi="宋体" w:cs="仿宋_GB2312"/>
                <w:b w:val="0"/>
                <w:bCs w:val="0"/>
                <w:sz w:val="24"/>
                <w:highlight w:val="none"/>
                <w:lang w:val="zh-CN"/>
              </w:rPr>
              <w:br w:type="textWrapping"/>
            </w:r>
            <w:r>
              <w:rPr>
                <w:rFonts w:hint="eastAsia" w:ascii="宋体" w:hAnsi="宋体" w:cs="仿宋_GB2312"/>
                <w:b w:val="0"/>
                <w:bCs w:val="0"/>
                <w:sz w:val="24"/>
                <w:highlight w:val="none"/>
                <w:lang w:val="zh-CN"/>
              </w:rPr>
              <w:t>（</w:t>
            </w:r>
            <w:r>
              <w:rPr>
                <w:rFonts w:hint="eastAsia" w:ascii="宋体" w:hAnsi="宋体" w:cs="仿宋_GB2312"/>
                <w:b w:val="0"/>
                <w:bCs w:val="0"/>
                <w:sz w:val="24"/>
                <w:highlight w:val="none"/>
                <w:lang w:val="en-US" w:eastAsia="zh-CN"/>
              </w:rPr>
              <w:t>3</w:t>
            </w:r>
            <w:r>
              <w:rPr>
                <w:rFonts w:hint="eastAsia" w:ascii="宋体" w:hAnsi="宋体" w:cs="仿宋_GB2312"/>
                <w:b w:val="0"/>
                <w:bCs w:val="0"/>
                <w:sz w:val="24"/>
                <w:highlight w:val="none"/>
                <w:lang w:val="zh-CN"/>
              </w:rPr>
              <w:t>）展示执法仪识别、拉取大量执法仪设备跑出的视频，进行4-5秒抽帧获取精准图片数据，获取分析命中场景目标（1分）。</w:t>
            </w:r>
          </w:p>
          <w:p>
            <w:pPr>
              <w:snapToGrid w:val="0"/>
              <w:spacing w:line="360" w:lineRule="auto"/>
              <w:rPr>
                <w:rFonts w:asciiTheme="majorEastAsia" w:hAnsiTheme="majorEastAsia" w:eastAsiaTheme="majorEastAsia"/>
                <w:sz w:val="24"/>
                <w:highlight w:val="none"/>
              </w:rPr>
            </w:pPr>
            <w:r>
              <w:rPr>
                <w:rFonts w:hint="eastAsia" w:ascii="宋体" w:hAnsi="宋体" w:cs="仿宋_GB2312"/>
                <w:b/>
                <w:bCs/>
                <w:sz w:val="24"/>
                <w:highlight w:val="none"/>
                <w:lang w:val="en-US" w:eastAsia="zh-CN"/>
              </w:rPr>
              <w:t>说明：</w:t>
            </w:r>
            <w:r>
              <w:rPr>
                <w:rFonts w:hint="eastAsia" w:ascii="宋体" w:hAnsi="宋体" w:cs="仿宋_GB2312"/>
                <w:b/>
                <w:bCs/>
                <w:sz w:val="24"/>
                <w:highlight w:val="none"/>
                <w:lang w:val="en-US" w:eastAsia="zh-CN"/>
              </w:rPr>
              <w:br w:type="textWrapping"/>
            </w:r>
            <w:r>
              <w:rPr>
                <w:rFonts w:hint="eastAsia" w:ascii="宋体" w:hAnsi="宋体" w:cs="仿宋_GB2312"/>
                <w:b/>
                <w:bCs/>
                <w:sz w:val="24"/>
                <w:highlight w:val="none"/>
                <w:lang w:val="en-US" w:eastAsia="zh-CN"/>
              </w:rPr>
              <w:t>以上演示内容满足评标要求即得满分，演示不满足要求或未提供不得分。</w:t>
            </w:r>
            <w:r>
              <w:rPr>
                <w:rFonts w:hint="eastAsia" w:asciiTheme="majorEastAsia" w:hAnsiTheme="majorEastAsia" w:eastAsiaTheme="majorEastAsia"/>
                <w:b/>
                <w:bCs/>
                <w:sz w:val="24"/>
                <w:highlight w:val="none"/>
              </w:rPr>
              <w:t>提供视频演示，投标人演示形式包括但不限于真实系统、原型、demo等，图片、ppt演示不得分；未提供演示视频或演示得分为0分的</w:t>
            </w:r>
            <w:r>
              <w:rPr>
                <w:rFonts w:hint="eastAsia" w:ascii="宋体" w:hAnsi="宋体" w:cs="宋体"/>
                <w:b/>
                <w:bCs/>
                <w:sz w:val="24"/>
                <w:highlight w:val="none"/>
              </w:rPr>
              <w:t>视作未实质性响应招标文件要求</w:t>
            </w:r>
            <w:r>
              <w:rPr>
                <w:rFonts w:hint="eastAsia" w:asciiTheme="majorEastAsia" w:hAnsiTheme="majorEastAsia" w:eastAsiaTheme="majorEastAsia"/>
                <w:b/>
                <w:bCs/>
                <w:sz w:val="24"/>
                <w:highlight w:val="none"/>
              </w:rPr>
              <w:t>，投标无效。</w:t>
            </w:r>
          </w:p>
        </w:tc>
        <w:tc>
          <w:tcPr>
            <w:tcW w:w="750" w:type="dxa"/>
            <w:vAlign w:val="center"/>
          </w:tcPr>
          <w:p>
            <w:pPr>
              <w:snapToGrid w:val="0"/>
              <w:spacing w:line="360" w:lineRule="auto"/>
              <w:jc w:val="center"/>
              <w:rPr>
                <w:rFonts w:cs="仿宋_GB2312" w:asciiTheme="majorEastAsia" w:hAnsiTheme="majorEastAsia" w:eastAsiaTheme="majorEastAsia"/>
                <w:sz w:val="24"/>
                <w:highlight w:val="none"/>
              </w:rPr>
            </w:pPr>
            <w:r>
              <w:rPr>
                <w:rFonts w:cs="仿宋_GB2312" w:asciiTheme="majorEastAsia" w:hAnsiTheme="majorEastAsia" w:eastAsiaTheme="majorEastAsia"/>
                <w:sz w:val="24"/>
                <w:highlight w:val="none"/>
              </w:rPr>
              <w:t>1</w:t>
            </w:r>
            <w:r>
              <w:rPr>
                <w:rFonts w:hint="eastAsia" w:cs="仿宋_GB2312" w:asciiTheme="majorEastAsia" w:hAnsiTheme="majorEastAsia" w:eastAsiaTheme="majorEastAsia"/>
                <w:sz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napToGrid w:val="0"/>
              <w:spacing w:line="360" w:lineRule="auto"/>
              <w:jc w:val="center"/>
              <w:rPr>
                <w:rFonts w:cs="仿宋_GB2312" w:asciiTheme="majorEastAsia" w:hAnsiTheme="majorEastAsia" w:eastAsiaTheme="majorEastAsia"/>
                <w:sz w:val="24"/>
                <w:highlight w:val="none"/>
              </w:rPr>
            </w:pPr>
            <w:r>
              <w:rPr>
                <w:rFonts w:cs="仿宋_GB2312" w:asciiTheme="majorEastAsia" w:hAnsiTheme="majorEastAsia" w:eastAsiaTheme="majorEastAsia"/>
                <w:sz w:val="24"/>
                <w:highlight w:val="none"/>
              </w:rPr>
              <w:t>8</w:t>
            </w:r>
          </w:p>
        </w:tc>
        <w:tc>
          <w:tcPr>
            <w:tcW w:w="1985" w:type="dxa"/>
            <w:vAlign w:val="center"/>
          </w:tcPr>
          <w:p>
            <w:pPr>
              <w:snapToGrid w:val="0"/>
              <w:spacing w:line="360" w:lineRule="auto"/>
              <w:jc w:val="center"/>
              <w:rPr>
                <w:rFonts w:asciiTheme="majorEastAsia" w:hAnsiTheme="majorEastAsia" w:eastAsiaTheme="majorEastAsia"/>
                <w:sz w:val="24"/>
                <w:highlight w:val="none"/>
              </w:rPr>
            </w:pPr>
            <w:r>
              <w:rPr>
                <w:rFonts w:hint="eastAsia" w:asciiTheme="majorEastAsia" w:hAnsiTheme="majorEastAsia" w:eastAsiaTheme="majorEastAsia"/>
                <w:sz w:val="24"/>
                <w:highlight w:val="none"/>
              </w:rPr>
              <w:t>质量保证措施和建设工期情况</w:t>
            </w:r>
          </w:p>
        </w:tc>
        <w:tc>
          <w:tcPr>
            <w:tcW w:w="6222" w:type="dxa"/>
          </w:tcPr>
          <w:p>
            <w:pPr>
              <w:widowControl/>
              <w:snapToGrid w:val="0"/>
              <w:spacing w:line="360" w:lineRule="auto"/>
              <w:textAlignment w:val="center"/>
              <w:rPr>
                <w:rFonts w:ascii="宋体" w:hAnsi="宋体" w:cs="宋体"/>
                <w:sz w:val="24"/>
                <w:highlight w:val="none"/>
              </w:rPr>
            </w:pPr>
            <w:r>
              <w:rPr>
                <w:rFonts w:hint="eastAsia" w:cs="宋体" w:asciiTheme="minorEastAsia" w:hAnsiTheme="minorEastAsia"/>
                <w:kern w:val="0"/>
                <w:sz w:val="24"/>
                <w:highlight w:val="none"/>
                <w:lang w:eastAsia="zh-CN"/>
              </w:rPr>
              <w:t>【</w:t>
            </w:r>
            <w:r>
              <w:rPr>
                <w:rFonts w:hint="eastAsia" w:cs="宋体" w:asciiTheme="minorEastAsia" w:hAnsiTheme="minorEastAsia"/>
                <w:kern w:val="0"/>
                <w:sz w:val="24"/>
                <w:highlight w:val="none"/>
                <w:lang w:val="en-US" w:eastAsia="zh-CN"/>
              </w:rPr>
              <w:t>主观分</w:t>
            </w:r>
            <w:r>
              <w:rPr>
                <w:rFonts w:hint="eastAsia" w:cs="宋体" w:asciiTheme="minorEastAsia" w:hAnsiTheme="minorEastAsia"/>
                <w:kern w:val="0"/>
                <w:sz w:val="24"/>
                <w:highlight w:val="none"/>
                <w:lang w:eastAsia="zh-CN"/>
              </w:rPr>
              <w:t>】</w:t>
            </w:r>
          </w:p>
          <w:p>
            <w:pPr>
              <w:spacing w:line="360" w:lineRule="auto"/>
              <w:rPr>
                <w:rFonts w:asciiTheme="majorEastAsia" w:hAnsiTheme="majorEastAsia" w:eastAsiaTheme="majorEastAsia"/>
                <w:sz w:val="24"/>
                <w:highlight w:val="none"/>
              </w:rPr>
            </w:pPr>
            <w:r>
              <w:rPr>
                <w:rFonts w:hint="eastAsia" w:asciiTheme="majorEastAsia" w:hAnsiTheme="majorEastAsia" w:eastAsiaTheme="majorEastAsia"/>
                <w:sz w:val="24"/>
                <w:highlight w:val="none"/>
              </w:rPr>
              <w:t>投标人按采购人要求①是否有明确的建设质量目标，②是否有质量保证措施，③是否具有详细可行的实施内容，④工期保证措施等。根据提供的方案内容进行评分，每一项内容完整、措施有效、符合采购人实际得</w:t>
            </w:r>
            <w:r>
              <w:rPr>
                <w:rFonts w:asciiTheme="majorEastAsia" w:hAnsiTheme="majorEastAsia" w:eastAsiaTheme="majorEastAsia"/>
                <w:sz w:val="24"/>
                <w:highlight w:val="none"/>
              </w:rPr>
              <w:t>0.5</w:t>
            </w:r>
            <w:r>
              <w:rPr>
                <w:rFonts w:hint="eastAsia" w:asciiTheme="majorEastAsia" w:hAnsiTheme="majorEastAsia" w:eastAsiaTheme="majorEastAsia"/>
                <w:sz w:val="24"/>
                <w:highlight w:val="none"/>
              </w:rPr>
              <w:t>分，</w:t>
            </w:r>
            <w:r>
              <w:rPr>
                <w:rFonts w:asciiTheme="majorEastAsia" w:hAnsiTheme="majorEastAsia" w:eastAsiaTheme="majorEastAsia"/>
                <w:sz w:val="24"/>
                <w:highlight w:val="none"/>
              </w:rPr>
              <w:t>内容虽然进行了阐述但并未完全贴合项目需求理解情况，或理解的内容未包括细节或</w:t>
            </w:r>
            <w:r>
              <w:rPr>
                <w:rFonts w:hint="eastAsia" w:asciiTheme="majorEastAsia" w:hAnsiTheme="majorEastAsia" w:eastAsiaTheme="majorEastAsia"/>
                <w:sz w:val="24"/>
                <w:highlight w:val="none"/>
              </w:rPr>
              <w:t>有有效措</w:t>
            </w:r>
            <w:r>
              <w:rPr>
                <w:rFonts w:asciiTheme="majorEastAsia" w:hAnsiTheme="majorEastAsia" w:eastAsiaTheme="majorEastAsia"/>
                <w:sz w:val="24"/>
                <w:highlight w:val="none"/>
              </w:rPr>
              <w:t>施，得</w:t>
            </w:r>
            <w:r>
              <w:rPr>
                <w:rFonts w:hint="eastAsia" w:asciiTheme="majorEastAsia" w:hAnsiTheme="majorEastAsia" w:eastAsiaTheme="majorEastAsia"/>
                <w:sz w:val="24"/>
                <w:highlight w:val="none"/>
              </w:rPr>
              <w:t>0.</w:t>
            </w:r>
            <w:r>
              <w:rPr>
                <w:rFonts w:asciiTheme="majorEastAsia" w:hAnsiTheme="majorEastAsia" w:eastAsiaTheme="majorEastAsia"/>
                <w:sz w:val="24"/>
                <w:highlight w:val="none"/>
              </w:rPr>
              <w:t>25分；未进行阐述或阐述内容无法满足项目需求的，得0分。</w:t>
            </w:r>
          </w:p>
        </w:tc>
        <w:tc>
          <w:tcPr>
            <w:tcW w:w="750" w:type="dxa"/>
            <w:vAlign w:val="center"/>
          </w:tcPr>
          <w:p>
            <w:pPr>
              <w:snapToGrid w:val="0"/>
              <w:spacing w:line="360" w:lineRule="auto"/>
              <w:jc w:val="center"/>
              <w:rPr>
                <w:rFonts w:cs="仿宋_GB2312" w:asciiTheme="majorEastAsia" w:hAnsiTheme="majorEastAsia" w:eastAsiaTheme="majorEastAsia"/>
                <w:sz w:val="24"/>
                <w:highlight w:val="none"/>
              </w:rPr>
            </w:pPr>
            <w:r>
              <w:rPr>
                <w:rFonts w:cs="仿宋_GB2312" w:asciiTheme="majorEastAsia" w:hAnsiTheme="majorEastAsia" w:eastAsiaTheme="majorEastAsia"/>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napToGrid w:val="0"/>
              <w:spacing w:line="360" w:lineRule="auto"/>
              <w:jc w:val="center"/>
              <w:rPr>
                <w:rFonts w:cs="仿宋_GB2312" w:asciiTheme="majorEastAsia" w:hAnsiTheme="majorEastAsia" w:eastAsiaTheme="majorEastAsia"/>
                <w:sz w:val="24"/>
                <w:highlight w:val="none"/>
              </w:rPr>
            </w:pPr>
            <w:r>
              <w:rPr>
                <w:rFonts w:cs="仿宋_GB2312" w:asciiTheme="majorEastAsia" w:hAnsiTheme="majorEastAsia" w:eastAsiaTheme="majorEastAsia"/>
                <w:sz w:val="24"/>
                <w:highlight w:val="none"/>
              </w:rPr>
              <w:t>9</w:t>
            </w:r>
          </w:p>
        </w:tc>
        <w:tc>
          <w:tcPr>
            <w:tcW w:w="1985" w:type="dxa"/>
            <w:vAlign w:val="center"/>
          </w:tcPr>
          <w:p>
            <w:pPr>
              <w:snapToGrid w:val="0"/>
              <w:spacing w:line="360" w:lineRule="auto"/>
              <w:jc w:val="center"/>
              <w:rPr>
                <w:rFonts w:cs="仿宋" w:asciiTheme="majorEastAsia" w:hAnsiTheme="majorEastAsia" w:eastAsiaTheme="majorEastAsia"/>
                <w:bCs/>
                <w:sz w:val="24"/>
                <w:highlight w:val="none"/>
              </w:rPr>
            </w:pPr>
            <w:r>
              <w:rPr>
                <w:rFonts w:hint="eastAsia" w:asciiTheme="majorEastAsia" w:hAnsiTheme="majorEastAsia" w:eastAsiaTheme="majorEastAsia"/>
                <w:sz w:val="24"/>
                <w:highlight w:val="none"/>
              </w:rPr>
              <w:t>培训、测试、试运行、验收</w:t>
            </w:r>
          </w:p>
        </w:tc>
        <w:tc>
          <w:tcPr>
            <w:tcW w:w="6222" w:type="dxa"/>
          </w:tcPr>
          <w:p>
            <w:pPr>
              <w:widowControl/>
              <w:snapToGrid w:val="0"/>
              <w:spacing w:line="360" w:lineRule="auto"/>
              <w:textAlignment w:val="center"/>
              <w:rPr>
                <w:rFonts w:ascii="宋体" w:hAnsi="宋体" w:cs="宋体"/>
                <w:sz w:val="24"/>
                <w:highlight w:val="none"/>
              </w:rPr>
            </w:pPr>
            <w:r>
              <w:rPr>
                <w:rFonts w:hint="eastAsia" w:cs="宋体" w:asciiTheme="minorEastAsia" w:hAnsiTheme="minorEastAsia"/>
                <w:kern w:val="0"/>
                <w:sz w:val="24"/>
                <w:highlight w:val="none"/>
                <w:lang w:eastAsia="zh-CN"/>
              </w:rPr>
              <w:t>【</w:t>
            </w:r>
            <w:r>
              <w:rPr>
                <w:rFonts w:hint="eastAsia" w:cs="宋体" w:asciiTheme="minorEastAsia" w:hAnsiTheme="minorEastAsia"/>
                <w:kern w:val="0"/>
                <w:sz w:val="24"/>
                <w:highlight w:val="none"/>
                <w:lang w:val="en-US" w:eastAsia="zh-CN"/>
              </w:rPr>
              <w:t>主观分</w:t>
            </w:r>
            <w:r>
              <w:rPr>
                <w:rFonts w:hint="eastAsia" w:cs="宋体" w:asciiTheme="minorEastAsia" w:hAnsiTheme="minorEastAsia"/>
                <w:kern w:val="0"/>
                <w:sz w:val="24"/>
                <w:highlight w:val="none"/>
                <w:lang w:eastAsia="zh-CN"/>
              </w:rPr>
              <w:t>】</w:t>
            </w:r>
          </w:p>
          <w:p>
            <w:pPr>
              <w:spacing w:line="360" w:lineRule="auto"/>
              <w:rPr>
                <w:rFonts w:asciiTheme="majorEastAsia" w:hAnsiTheme="majorEastAsia" w:eastAsiaTheme="majorEastAsia"/>
                <w:sz w:val="24"/>
                <w:highlight w:val="none"/>
              </w:rPr>
            </w:pPr>
            <w:r>
              <w:rPr>
                <w:rFonts w:hint="eastAsia" w:asciiTheme="majorEastAsia" w:hAnsiTheme="majorEastAsia" w:eastAsiaTheme="majorEastAsia"/>
                <w:sz w:val="24"/>
                <w:highlight w:val="none"/>
              </w:rPr>
              <w:t>（1）投标人是否提出合理性、可行性的①功能测试</w:t>
            </w:r>
            <w:r>
              <w:rPr>
                <w:rFonts w:hint="eastAsia" w:asciiTheme="majorEastAsia" w:hAnsiTheme="majorEastAsia" w:eastAsiaTheme="majorEastAsia"/>
                <w:sz w:val="24"/>
                <w:highlight w:val="none"/>
                <w:lang w:eastAsia="zh-CN"/>
              </w:rPr>
              <w:t>、</w:t>
            </w:r>
            <w:r>
              <w:rPr>
                <w:rFonts w:hint="eastAsia" w:asciiTheme="majorEastAsia" w:hAnsiTheme="majorEastAsia" w:eastAsiaTheme="majorEastAsia"/>
                <w:sz w:val="24"/>
                <w:highlight w:val="none"/>
              </w:rPr>
              <w:t>②验收方案。每项全部满足得</w:t>
            </w:r>
            <w:r>
              <w:rPr>
                <w:rFonts w:asciiTheme="majorEastAsia" w:hAnsiTheme="majorEastAsia" w:eastAsiaTheme="majorEastAsia"/>
                <w:sz w:val="24"/>
                <w:highlight w:val="none"/>
              </w:rPr>
              <w:t>0.5</w:t>
            </w:r>
            <w:r>
              <w:rPr>
                <w:rFonts w:hint="eastAsia" w:asciiTheme="majorEastAsia" w:hAnsiTheme="majorEastAsia" w:eastAsiaTheme="majorEastAsia"/>
                <w:sz w:val="24"/>
                <w:highlight w:val="none"/>
              </w:rPr>
              <w:t>分，部分满足得</w:t>
            </w:r>
            <w:r>
              <w:rPr>
                <w:rFonts w:asciiTheme="majorEastAsia" w:hAnsiTheme="majorEastAsia" w:eastAsiaTheme="majorEastAsia"/>
                <w:sz w:val="24"/>
                <w:highlight w:val="none"/>
              </w:rPr>
              <w:t>0.25</w:t>
            </w:r>
            <w:r>
              <w:rPr>
                <w:rFonts w:hint="eastAsia" w:asciiTheme="majorEastAsia" w:hAnsiTheme="majorEastAsia" w:eastAsiaTheme="majorEastAsia"/>
                <w:sz w:val="24"/>
                <w:highlight w:val="none"/>
              </w:rPr>
              <w:t>分，不满足得0分。本项最高得</w:t>
            </w:r>
            <w:r>
              <w:rPr>
                <w:rFonts w:asciiTheme="majorEastAsia" w:hAnsiTheme="majorEastAsia" w:eastAsiaTheme="majorEastAsia"/>
                <w:sz w:val="24"/>
                <w:highlight w:val="none"/>
              </w:rPr>
              <w:t>1</w:t>
            </w:r>
            <w:r>
              <w:rPr>
                <w:rFonts w:hint="eastAsia" w:asciiTheme="majorEastAsia" w:hAnsiTheme="majorEastAsia" w:eastAsiaTheme="majorEastAsia"/>
                <w:sz w:val="24"/>
                <w:highlight w:val="none"/>
              </w:rPr>
              <w:t>分（</w:t>
            </w:r>
            <w:r>
              <w:rPr>
                <w:rFonts w:asciiTheme="majorEastAsia" w:hAnsiTheme="majorEastAsia" w:eastAsiaTheme="majorEastAsia"/>
                <w:sz w:val="24"/>
                <w:highlight w:val="none"/>
              </w:rPr>
              <w:t>1</w:t>
            </w:r>
            <w:r>
              <w:rPr>
                <w:rFonts w:hint="eastAsia" w:asciiTheme="majorEastAsia" w:hAnsiTheme="majorEastAsia" w:eastAsiaTheme="majorEastAsia"/>
                <w:sz w:val="24"/>
                <w:highlight w:val="none"/>
              </w:rPr>
              <w:t>分）；</w:t>
            </w:r>
          </w:p>
          <w:p>
            <w:pPr>
              <w:snapToGrid w:val="0"/>
              <w:spacing w:line="360" w:lineRule="auto"/>
              <w:rPr>
                <w:rFonts w:cs="仿宋" w:asciiTheme="majorEastAsia" w:hAnsiTheme="majorEastAsia" w:eastAsiaTheme="majorEastAsia"/>
                <w:bCs/>
                <w:sz w:val="24"/>
                <w:highlight w:val="none"/>
              </w:rPr>
            </w:pPr>
            <w:r>
              <w:rPr>
                <w:rFonts w:hint="eastAsia" w:asciiTheme="majorEastAsia" w:hAnsiTheme="majorEastAsia" w:eastAsiaTheme="majorEastAsia"/>
                <w:sz w:val="24"/>
                <w:highlight w:val="none"/>
              </w:rPr>
              <w:t>（2）培训计划包括培训内容、培训时间地点、培训对象，培训师资力量等；根据投标方案内容进行评分，每项全部满足得</w:t>
            </w:r>
            <w:r>
              <w:rPr>
                <w:rFonts w:hint="eastAsia" w:asciiTheme="majorEastAsia" w:hAnsiTheme="majorEastAsia" w:eastAsiaTheme="majorEastAsia"/>
                <w:sz w:val="24"/>
                <w:highlight w:val="none"/>
                <w:lang w:val="en-US" w:eastAsia="zh-CN"/>
              </w:rPr>
              <w:t>1</w:t>
            </w:r>
            <w:r>
              <w:rPr>
                <w:rFonts w:hint="eastAsia" w:asciiTheme="majorEastAsia" w:hAnsiTheme="majorEastAsia" w:eastAsiaTheme="majorEastAsia"/>
                <w:sz w:val="24"/>
                <w:highlight w:val="none"/>
              </w:rPr>
              <w:t>分，</w:t>
            </w:r>
            <w:r>
              <w:rPr>
                <w:rFonts w:hint="eastAsia" w:asciiTheme="majorEastAsia" w:hAnsiTheme="majorEastAsia" w:eastAsiaTheme="majorEastAsia"/>
                <w:sz w:val="24"/>
                <w:highlight w:val="none"/>
                <w:lang w:val="en-US" w:eastAsia="zh-CN"/>
              </w:rPr>
              <w:t>内容有欠缺</w:t>
            </w:r>
            <w:r>
              <w:rPr>
                <w:rFonts w:hint="eastAsia" w:asciiTheme="majorEastAsia" w:hAnsiTheme="majorEastAsia" w:eastAsiaTheme="majorEastAsia"/>
                <w:sz w:val="24"/>
                <w:highlight w:val="none"/>
              </w:rPr>
              <w:t>得0.</w:t>
            </w:r>
            <w:r>
              <w:rPr>
                <w:rFonts w:hint="eastAsia" w:asciiTheme="majorEastAsia" w:hAnsiTheme="majorEastAsia" w:eastAsiaTheme="majorEastAsia"/>
                <w:sz w:val="24"/>
                <w:highlight w:val="none"/>
                <w:lang w:val="en-US" w:eastAsia="zh-CN"/>
              </w:rPr>
              <w:t>5</w:t>
            </w:r>
            <w:r>
              <w:rPr>
                <w:rFonts w:hint="eastAsia" w:asciiTheme="majorEastAsia" w:hAnsiTheme="majorEastAsia" w:eastAsiaTheme="majorEastAsia"/>
                <w:sz w:val="24"/>
                <w:highlight w:val="none"/>
              </w:rPr>
              <w:t>分，不满足得0分。本项最高得</w:t>
            </w:r>
            <w:r>
              <w:rPr>
                <w:rFonts w:hint="eastAsia" w:asciiTheme="majorEastAsia" w:hAnsiTheme="majorEastAsia" w:eastAsiaTheme="majorEastAsia"/>
                <w:sz w:val="24"/>
                <w:highlight w:val="none"/>
                <w:lang w:val="en-US" w:eastAsia="zh-CN"/>
              </w:rPr>
              <w:t>1</w:t>
            </w:r>
            <w:r>
              <w:rPr>
                <w:rFonts w:hint="eastAsia" w:asciiTheme="majorEastAsia" w:hAnsiTheme="majorEastAsia" w:eastAsiaTheme="majorEastAsia"/>
                <w:sz w:val="24"/>
                <w:highlight w:val="none"/>
              </w:rPr>
              <w:t>分（</w:t>
            </w:r>
            <w:r>
              <w:rPr>
                <w:rFonts w:hint="eastAsia" w:asciiTheme="majorEastAsia" w:hAnsiTheme="majorEastAsia" w:eastAsiaTheme="majorEastAsia"/>
                <w:sz w:val="24"/>
                <w:highlight w:val="none"/>
                <w:lang w:val="en-US" w:eastAsia="zh-CN"/>
              </w:rPr>
              <w:t>1</w:t>
            </w:r>
            <w:r>
              <w:rPr>
                <w:rFonts w:hint="eastAsia" w:asciiTheme="majorEastAsia" w:hAnsiTheme="majorEastAsia" w:eastAsiaTheme="majorEastAsia"/>
                <w:sz w:val="24"/>
                <w:highlight w:val="none"/>
              </w:rPr>
              <w:t>分）。</w:t>
            </w:r>
          </w:p>
        </w:tc>
        <w:tc>
          <w:tcPr>
            <w:tcW w:w="750" w:type="dxa"/>
            <w:vAlign w:val="center"/>
          </w:tcPr>
          <w:p>
            <w:pPr>
              <w:snapToGrid w:val="0"/>
              <w:spacing w:line="360" w:lineRule="auto"/>
              <w:jc w:val="center"/>
              <w:rPr>
                <w:rFonts w:hint="eastAsia" w:cs="仿宋_GB2312" w:asciiTheme="majorEastAsia" w:hAnsiTheme="majorEastAsia" w:eastAsiaTheme="majorEastAsia"/>
                <w:sz w:val="24"/>
                <w:highlight w:val="none"/>
                <w:lang w:eastAsia="zh-CN"/>
              </w:rPr>
            </w:pPr>
            <w:r>
              <w:rPr>
                <w:rFonts w:hint="eastAsia" w:cs="仿宋_GB2312" w:asciiTheme="majorEastAsia" w:hAnsiTheme="majorEastAsia" w:eastAsiaTheme="majorEastAsia"/>
                <w:sz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napToGrid w:val="0"/>
              <w:spacing w:line="360" w:lineRule="auto"/>
              <w:jc w:val="center"/>
              <w:rPr>
                <w:rFonts w:cs="仿宋_GB2312" w:asciiTheme="majorEastAsia" w:hAnsiTheme="majorEastAsia" w:eastAsiaTheme="majorEastAsia"/>
                <w:sz w:val="24"/>
                <w:highlight w:val="none"/>
              </w:rPr>
            </w:pPr>
            <w:r>
              <w:rPr>
                <w:rFonts w:hint="eastAsia" w:cs="仿宋_GB2312" w:asciiTheme="majorEastAsia" w:hAnsiTheme="majorEastAsia" w:eastAsiaTheme="majorEastAsia"/>
                <w:sz w:val="24"/>
                <w:highlight w:val="none"/>
              </w:rPr>
              <w:t>1</w:t>
            </w:r>
            <w:r>
              <w:rPr>
                <w:rFonts w:cs="仿宋_GB2312" w:asciiTheme="majorEastAsia" w:hAnsiTheme="majorEastAsia" w:eastAsiaTheme="majorEastAsia"/>
                <w:sz w:val="24"/>
                <w:highlight w:val="none"/>
              </w:rPr>
              <w:t>0</w:t>
            </w:r>
          </w:p>
        </w:tc>
        <w:tc>
          <w:tcPr>
            <w:tcW w:w="1985" w:type="dxa"/>
            <w:vAlign w:val="center"/>
          </w:tcPr>
          <w:p>
            <w:pPr>
              <w:snapToGrid w:val="0"/>
              <w:spacing w:line="360" w:lineRule="auto"/>
              <w:jc w:val="center"/>
              <w:rPr>
                <w:rFonts w:cs="仿宋" w:asciiTheme="majorEastAsia" w:hAnsiTheme="majorEastAsia" w:eastAsiaTheme="majorEastAsia"/>
                <w:bCs/>
                <w:sz w:val="24"/>
                <w:highlight w:val="none"/>
              </w:rPr>
            </w:pPr>
            <w:r>
              <w:rPr>
                <w:rFonts w:hint="eastAsia" w:cs="Arial" w:asciiTheme="majorEastAsia" w:hAnsiTheme="majorEastAsia" w:eastAsiaTheme="majorEastAsia"/>
                <w:snapToGrid w:val="0"/>
                <w:sz w:val="24"/>
                <w:highlight w:val="none"/>
              </w:rPr>
              <w:t>售后服务</w:t>
            </w:r>
          </w:p>
        </w:tc>
        <w:tc>
          <w:tcPr>
            <w:tcW w:w="6222" w:type="dxa"/>
          </w:tcPr>
          <w:p>
            <w:pPr>
              <w:widowControl/>
              <w:snapToGrid w:val="0"/>
              <w:spacing w:line="360" w:lineRule="auto"/>
              <w:textAlignment w:val="center"/>
              <w:rPr>
                <w:rFonts w:ascii="宋体" w:hAnsi="宋体" w:cs="宋体"/>
                <w:sz w:val="24"/>
                <w:highlight w:val="none"/>
              </w:rPr>
            </w:pPr>
            <w:r>
              <w:rPr>
                <w:rFonts w:hint="eastAsia" w:cs="宋体" w:asciiTheme="minorEastAsia" w:hAnsiTheme="minorEastAsia"/>
                <w:kern w:val="0"/>
                <w:sz w:val="24"/>
                <w:highlight w:val="none"/>
                <w:lang w:eastAsia="zh-CN"/>
              </w:rPr>
              <w:t>【</w:t>
            </w:r>
            <w:r>
              <w:rPr>
                <w:rFonts w:hint="eastAsia" w:cs="宋体" w:asciiTheme="minorEastAsia" w:hAnsiTheme="minorEastAsia"/>
                <w:kern w:val="0"/>
                <w:sz w:val="24"/>
                <w:highlight w:val="none"/>
                <w:lang w:val="en-US" w:eastAsia="zh-CN"/>
              </w:rPr>
              <w:t>客观分</w:t>
            </w:r>
            <w:r>
              <w:rPr>
                <w:rFonts w:hint="eastAsia" w:cs="宋体" w:asciiTheme="minorEastAsia" w:hAnsiTheme="minorEastAsia"/>
                <w:kern w:val="0"/>
                <w:sz w:val="24"/>
                <w:highlight w:val="none"/>
                <w:lang w:eastAsia="zh-CN"/>
              </w:rPr>
              <w:t>】</w:t>
            </w:r>
          </w:p>
          <w:p>
            <w:pPr>
              <w:widowControl/>
              <w:snapToGrid w:val="0"/>
              <w:spacing w:line="360" w:lineRule="auto"/>
              <w:jc w:val="left"/>
              <w:textAlignment w:val="center"/>
              <w:rPr>
                <w:rFonts w:cs="Calibri" w:asciiTheme="minorEastAsia" w:hAnsiTheme="minorEastAsia"/>
                <w:sz w:val="24"/>
                <w:highlight w:val="none"/>
              </w:rPr>
            </w:pPr>
            <w:r>
              <w:rPr>
                <w:rFonts w:hint="eastAsia" w:cs="Calibri" w:asciiTheme="minorEastAsia" w:hAnsiTheme="minorEastAsia"/>
                <w:sz w:val="24"/>
                <w:highlight w:val="none"/>
              </w:rPr>
              <w:t>（</w:t>
            </w:r>
            <w:r>
              <w:rPr>
                <w:rFonts w:hint="eastAsia" w:cs="Calibri" w:asciiTheme="minorEastAsia" w:hAnsiTheme="minorEastAsia"/>
                <w:sz w:val="24"/>
                <w:highlight w:val="none"/>
                <w:lang w:val="en-US" w:eastAsia="zh-CN"/>
              </w:rPr>
              <w:t>1</w:t>
            </w:r>
            <w:r>
              <w:rPr>
                <w:rFonts w:hint="eastAsia" w:cs="Calibri" w:asciiTheme="minorEastAsia" w:hAnsiTheme="minorEastAsia"/>
                <w:sz w:val="24"/>
                <w:highlight w:val="none"/>
              </w:rPr>
              <w:t>）投标人试运行期间需无条件响应并满足用户对系统的修改，并最迟不超过24小时提供免费服务，</w:t>
            </w:r>
            <w:r>
              <w:rPr>
                <w:rFonts w:hint="eastAsia" w:cs="Arial" w:asciiTheme="majorEastAsia" w:hAnsiTheme="majorEastAsia" w:eastAsiaTheme="majorEastAsia"/>
                <w:snapToGrid w:val="0"/>
                <w:sz w:val="24"/>
                <w:highlight w:val="none"/>
              </w:rPr>
              <w:t>满足得</w:t>
            </w:r>
            <w:r>
              <w:rPr>
                <w:rFonts w:cs="Arial" w:asciiTheme="majorEastAsia" w:hAnsiTheme="majorEastAsia" w:eastAsiaTheme="majorEastAsia"/>
                <w:snapToGrid w:val="0"/>
                <w:sz w:val="24"/>
                <w:highlight w:val="none"/>
              </w:rPr>
              <w:t>1</w:t>
            </w:r>
            <w:r>
              <w:rPr>
                <w:rFonts w:hint="eastAsia" w:cs="Arial" w:asciiTheme="majorEastAsia" w:hAnsiTheme="majorEastAsia" w:eastAsiaTheme="majorEastAsia"/>
                <w:snapToGrid w:val="0"/>
                <w:sz w:val="24"/>
                <w:highlight w:val="none"/>
              </w:rPr>
              <w:t>分，不满足不得分。</w:t>
            </w:r>
            <w:r>
              <w:rPr>
                <w:rFonts w:hint="eastAsia" w:cs="Arial" w:asciiTheme="majorEastAsia" w:hAnsiTheme="majorEastAsia" w:eastAsiaTheme="majorEastAsia"/>
                <w:snapToGrid w:val="0"/>
                <w:sz w:val="24"/>
                <w:highlight w:val="none"/>
              </w:rPr>
              <w:br w:type="textWrapping"/>
            </w:r>
            <w:r>
              <w:rPr>
                <w:rFonts w:hint="eastAsia" w:cs="宋体" w:asciiTheme="minorEastAsia" w:hAnsiTheme="minorEastAsia"/>
                <w:kern w:val="0"/>
                <w:sz w:val="24"/>
                <w:highlight w:val="none"/>
                <w:lang w:eastAsia="zh-CN"/>
              </w:rPr>
              <w:t>【</w:t>
            </w:r>
            <w:r>
              <w:rPr>
                <w:rFonts w:hint="eastAsia" w:cs="宋体" w:asciiTheme="minorEastAsia" w:hAnsiTheme="minorEastAsia"/>
                <w:kern w:val="0"/>
                <w:sz w:val="24"/>
                <w:highlight w:val="none"/>
                <w:lang w:val="en-US" w:eastAsia="zh-CN"/>
              </w:rPr>
              <w:t>客观分</w:t>
            </w:r>
            <w:r>
              <w:rPr>
                <w:rFonts w:hint="eastAsia" w:cs="宋体" w:asciiTheme="minorEastAsia" w:hAnsiTheme="minorEastAsia"/>
                <w:kern w:val="0"/>
                <w:sz w:val="24"/>
                <w:highlight w:val="none"/>
                <w:lang w:eastAsia="zh-CN"/>
              </w:rPr>
              <w:t>】</w:t>
            </w:r>
          </w:p>
          <w:p>
            <w:pPr>
              <w:snapToGrid w:val="0"/>
              <w:spacing w:line="360" w:lineRule="auto"/>
              <w:jc w:val="left"/>
              <w:rPr>
                <w:rFonts w:cs="Calibri" w:asciiTheme="minorEastAsia" w:hAnsiTheme="minorEastAsia"/>
                <w:sz w:val="24"/>
                <w:highlight w:val="none"/>
              </w:rPr>
            </w:pPr>
            <w:r>
              <w:rPr>
                <w:rFonts w:hint="eastAsia" w:cs="Arial" w:asciiTheme="majorEastAsia" w:hAnsiTheme="majorEastAsia" w:eastAsiaTheme="majorEastAsia"/>
                <w:snapToGrid w:val="0"/>
                <w:sz w:val="24"/>
                <w:highlight w:val="none"/>
              </w:rPr>
              <w:t>（</w:t>
            </w:r>
            <w:r>
              <w:rPr>
                <w:rFonts w:hint="eastAsia" w:cs="Arial" w:asciiTheme="majorEastAsia" w:hAnsiTheme="majorEastAsia" w:eastAsiaTheme="majorEastAsia"/>
                <w:snapToGrid w:val="0"/>
                <w:sz w:val="24"/>
                <w:highlight w:val="none"/>
                <w:lang w:val="en-US" w:eastAsia="zh-CN"/>
              </w:rPr>
              <w:t>2</w:t>
            </w:r>
            <w:r>
              <w:rPr>
                <w:rFonts w:hint="eastAsia" w:cs="Arial" w:asciiTheme="majorEastAsia" w:hAnsiTheme="majorEastAsia" w:eastAsiaTheme="majorEastAsia"/>
                <w:snapToGrid w:val="0"/>
                <w:sz w:val="24"/>
                <w:highlight w:val="none"/>
              </w:rPr>
              <w:t>）提供完整详尽的售后服务方案：①</w:t>
            </w:r>
            <w:r>
              <w:rPr>
                <w:rFonts w:hint="eastAsia" w:cs="Calibri" w:asciiTheme="minorEastAsia" w:hAnsiTheme="minorEastAsia"/>
                <w:sz w:val="24"/>
                <w:highlight w:val="none"/>
              </w:rPr>
              <w:t>3年的免费运维期间需及时响应并满足用户对于系统的问题故障处理和缺陷修正；</w:t>
            </w:r>
            <w:r>
              <w:rPr>
                <w:rFonts w:hint="eastAsia" w:cs="Arial" w:asciiTheme="majorEastAsia" w:hAnsiTheme="majorEastAsia" w:eastAsiaTheme="majorEastAsia"/>
                <w:snapToGrid w:val="0"/>
                <w:sz w:val="24"/>
                <w:highlight w:val="none"/>
              </w:rPr>
              <w:t>②3年</w:t>
            </w:r>
            <w:r>
              <w:rPr>
                <w:rFonts w:hint="eastAsia" w:cs="Calibri" w:asciiTheme="minorEastAsia" w:hAnsiTheme="minorEastAsia"/>
                <w:sz w:val="24"/>
                <w:highlight w:val="none"/>
              </w:rPr>
              <w:t>运维期内所有的服务均为免费服务,提供7×24小时电话或电子邮件服务，1小时内做出明确响应和安排，如需专业工程师现场服务的，具有解决故障能力的技术工程师应在2小时内到场</w:t>
            </w:r>
            <w:r>
              <w:rPr>
                <w:rFonts w:hint="eastAsia" w:cs="Arial" w:asciiTheme="majorEastAsia" w:hAnsiTheme="majorEastAsia" w:eastAsiaTheme="majorEastAsia"/>
                <w:snapToGrid w:val="0"/>
                <w:sz w:val="24"/>
                <w:highlight w:val="none"/>
              </w:rPr>
              <w:t>；每满足一项得</w:t>
            </w:r>
            <w:r>
              <w:rPr>
                <w:rFonts w:hint="eastAsia" w:cs="Arial" w:asciiTheme="majorEastAsia" w:hAnsiTheme="majorEastAsia" w:eastAsiaTheme="majorEastAsia"/>
                <w:snapToGrid w:val="0"/>
                <w:sz w:val="24"/>
                <w:highlight w:val="none"/>
                <w:lang w:val="en-US" w:eastAsia="zh-CN"/>
              </w:rPr>
              <w:t>1</w:t>
            </w:r>
            <w:r>
              <w:rPr>
                <w:rFonts w:hint="eastAsia" w:cs="Arial" w:asciiTheme="majorEastAsia" w:hAnsiTheme="majorEastAsia" w:eastAsiaTheme="majorEastAsia"/>
                <w:snapToGrid w:val="0"/>
                <w:sz w:val="24"/>
                <w:highlight w:val="none"/>
              </w:rPr>
              <w:t>分，不满足不得分（</w:t>
            </w:r>
            <w:r>
              <w:rPr>
                <w:rFonts w:hint="eastAsia" w:cs="Arial" w:asciiTheme="majorEastAsia" w:hAnsiTheme="majorEastAsia" w:eastAsiaTheme="majorEastAsia"/>
                <w:snapToGrid w:val="0"/>
                <w:sz w:val="24"/>
                <w:highlight w:val="none"/>
                <w:lang w:val="en-US" w:eastAsia="zh-CN"/>
              </w:rPr>
              <w:t>2</w:t>
            </w:r>
            <w:r>
              <w:rPr>
                <w:rFonts w:hint="eastAsia" w:cs="Arial" w:asciiTheme="majorEastAsia" w:hAnsiTheme="majorEastAsia" w:eastAsiaTheme="majorEastAsia"/>
                <w:snapToGrid w:val="0"/>
                <w:sz w:val="24"/>
                <w:highlight w:val="none"/>
              </w:rPr>
              <w:t>分）。</w:t>
            </w:r>
          </w:p>
        </w:tc>
        <w:tc>
          <w:tcPr>
            <w:tcW w:w="750" w:type="dxa"/>
            <w:vAlign w:val="center"/>
          </w:tcPr>
          <w:p>
            <w:pPr>
              <w:snapToGrid w:val="0"/>
              <w:spacing w:line="360" w:lineRule="auto"/>
              <w:jc w:val="center"/>
              <w:rPr>
                <w:rFonts w:cs="仿宋_GB2312" w:asciiTheme="majorEastAsia" w:hAnsiTheme="majorEastAsia" w:eastAsiaTheme="majorEastAsia"/>
                <w:sz w:val="24"/>
                <w:highlight w:val="none"/>
              </w:rPr>
            </w:pPr>
            <w:r>
              <w:rPr>
                <w:rFonts w:cs="仿宋_GB2312" w:asciiTheme="majorEastAsia" w:hAnsiTheme="majorEastAsia" w:eastAsiaTheme="majorEastAsia"/>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napToGrid w:val="0"/>
              <w:spacing w:line="360" w:lineRule="auto"/>
              <w:jc w:val="center"/>
              <w:rPr>
                <w:rFonts w:cs="仿宋_GB2312" w:asciiTheme="majorEastAsia" w:hAnsiTheme="majorEastAsia" w:eastAsiaTheme="majorEastAsia"/>
                <w:b/>
                <w:bCs/>
                <w:sz w:val="24"/>
                <w:highlight w:val="none"/>
              </w:rPr>
            </w:pPr>
            <w:r>
              <w:rPr>
                <w:rFonts w:hint="eastAsia" w:cs="仿宋_GB2312" w:asciiTheme="majorEastAsia" w:hAnsiTheme="majorEastAsia" w:eastAsiaTheme="majorEastAsia"/>
                <w:b/>
                <w:bCs/>
                <w:sz w:val="24"/>
                <w:highlight w:val="none"/>
              </w:rPr>
              <w:t>三</w:t>
            </w:r>
          </w:p>
        </w:tc>
        <w:tc>
          <w:tcPr>
            <w:tcW w:w="8207" w:type="dxa"/>
            <w:gridSpan w:val="2"/>
            <w:vAlign w:val="center"/>
          </w:tcPr>
          <w:p>
            <w:pPr>
              <w:spacing w:line="360" w:lineRule="auto"/>
              <w:outlineLvl w:val="0"/>
              <w:rPr>
                <w:rFonts w:cs="仿宋_GB2312" w:asciiTheme="majorEastAsia" w:hAnsiTheme="majorEastAsia" w:eastAsiaTheme="majorEastAsia"/>
                <w:sz w:val="24"/>
                <w:highlight w:val="none"/>
              </w:rPr>
            </w:pPr>
            <w:r>
              <w:rPr>
                <w:rFonts w:hint="eastAsia" w:cs="仿宋_GB2312" w:asciiTheme="majorEastAsia" w:hAnsiTheme="majorEastAsia" w:eastAsiaTheme="majorEastAsia"/>
                <w:b/>
                <w:bCs/>
                <w:sz w:val="24"/>
                <w:highlight w:val="none"/>
              </w:rPr>
              <w:t>投标报价</w:t>
            </w:r>
          </w:p>
        </w:tc>
        <w:tc>
          <w:tcPr>
            <w:tcW w:w="750" w:type="dxa"/>
            <w:vAlign w:val="center"/>
          </w:tcPr>
          <w:p>
            <w:pPr>
              <w:spacing w:line="360" w:lineRule="auto"/>
              <w:jc w:val="center"/>
              <w:outlineLvl w:val="0"/>
              <w:rPr>
                <w:rFonts w:cs="仿宋_GB2312" w:asciiTheme="majorEastAsia" w:hAnsiTheme="majorEastAsia" w:eastAsiaTheme="majorEastAsia"/>
                <w:sz w:val="24"/>
                <w:highlight w:val="none"/>
              </w:rPr>
            </w:pPr>
            <w:r>
              <w:rPr>
                <w:rFonts w:hint="eastAsia" w:cs="仿宋_GB2312" w:asciiTheme="majorEastAsia" w:hAnsiTheme="majorEastAsia" w:eastAsiaTheme="majorEastAsia"/>
                <w:sz w:val="24"/>
                <w:highlight w:val="none"/>
                <w:lang w:val="en-US" w:eastAsia="zh-CN"/>
              </w:rPr>
              <w:t>1</w:t>
            </w:r>
            <w:r>
              <w:rPr>
                <w:rFonts w:cs="仿宋_GB2312" w:asciiTheme="majorEastAsia" w:hAnsiTheme="majorEastAsia" w:eastAsiaTheme="majorEastAsia"/>
                <w:sz w:val="24"/>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napToGrid w:val="0"/>
              <w:spacing w:line="360" w:lineRule="auto"/>
              <w:jc w:val="center"/>
              <w:rPr>
                <w:rFonts w:cs="仿宋_GB2312" w:asciiTheme="majorEastAsia" w:hAnsiTheme="majorEastAsia" w:eastAsiaTheme="majorEastAsia"/>
                <w:sz w:val="24"/>
                <w:highlight w:val="none"/>
              </w:rPr>
            </w:pPr>
            <w:r>
              <w:rPr>
                <w:rFonts w:hint="eastAsia" w:cs="仿宋_GB2312" w:asciiTheme="majorEastAsia" w:hAnsiTheme="majorEastAsia" w:eastAsiaTheme="majorEastAsia"/>
                <w:sz w:val="24"/>
                <w:highlight w:val="none"/>
              </w:rPr>
              <w:t>1</w:t>
            </w:r>
            <w:r>
              <w:rPr>
                <w:rFonts w:cs="仿宋_GB2312" w:asciiTheme="majorEastAsia" w:hAnsiTheme="majorEastAsia" w:eastAsiaTheme="majorEastAsia"/>
                <w:sz w:val="24"/>
                <w:highlight w:val="none"/>
              </w:rPr>
              <w:t>1</w:t>
            </w:r>
          </w:p>
        </w:tc>
        <w:tc>
          <w:tcPr>
            <w:tcW w:w="1985" w:type="dxa"/>
            <w:vAlign w:val="center"/>
          </w:tcPr>
          <w:p>
            <w:pPr>
              <w:spacing w:line="360" w:lineRule="auto"/>
              <w:jc w:val="center"/>
              <w:outlineLvl w:val="0"/>
              <w:rPr>
                <w:rFonts w:cs="仿宋_GB2312" w:asciiTheme="majorEastAsia" w:hAnsiTheme="majorEastAsia" w:eastAsiaTheme="majorEastAsia"/>
                <w:sz w:val="24"/>
                <w:highlight w:val="none"/>
              </w:rPr>
            </w:pPr>
            <w:r>
              <w:rPr>
                <w:rFonts w:hint="eastAsia" w:cs="仿宋_GB2312" w:asciiTheme="majorEastAsia" w:hAnsiTheme="majorEastAsia" w:eastAsiaTheme="majorEastAsia"/>
                <w:sz w:val="24"/>
                <w:highlight w:val="none"/>
              </w:rPr>
              <w:t>投标报价</w:t>
            </w:r>
          </w:p>
        </w:tc>
        <w:tc>
          <w:tcPr>
            <w:tcW w:w="6222" w:type="dxa"/>
          </w:tcPr>
          <w:p>
            <w:pPr>
              <w:spacing w:line="360" w:lineRule="auto"/>
              <w:outlineLvl w:val="0"/>
              <w:rPr>
                <w:rFonts w:cs="仿宋_GB2312" w:asciiTheme="minorEastAsia" w:hAnsiTheme="minorEastAsia"/>
                <w:sz w:val="24"/>
                <w:highlight w:val="none"/>
              </w:rPr>
            </w:pPr>
            <w:r>
              <w:rPr>
                <w:rFonts w:hint="eastAsia" w:cs="仿宋_GB2312" w:asciiTheme="minorEastAsia" w:hAnsiTheme="minorEastAsia"/>
                <w:sz w:val="24"/>
                <w:highlight w:val="none"/>
              </w:rPr>
              <w:t>有效投标报价的最低价作为评标基准价，其最低报价为满分；按［投标报价得分</w:t>
            </w:r>
            <w:r>
              <w:rPr>
                <w:rFonts w:cs="仿宋_GB2312" w:asciiTheme="minorEastAsia" w:hAnsiTheme="minorEastAsia"/>
                <w:sz w:val="24"/>
                <w:highlight w:val="none"/>
              </w:rPr>
              <w:t>=（评标基准价/投标报价）*</w:t>
            </w:r>
            <w:r>
              <w:rPr>
                <w:rFonts w:hint="eastAsia" w:cs="仿宋_GB2312" w:asciiTheme="minorEastAsia" w:hAnsiTheme="minorEastAsia"/>
                <w:sz w:val="24"/>
                <w:highlight w:val="none"/>
                <w:lang w:val="en-US" w:eastAsia="zh-CN"/>
              </w:rPr>
              <w:t>1</w:t>
            </w:r>
            <w:r>
              <w:rPr>
                <w:rFonts w:hint="eastAsia" w:cs="仿宋_GB2312" w:asciiTheme="minorEastAsia" w:hAnsiTheme="minorEastAsia"/>
                <w:sz w:val="24"/>
                <w:highlight w:val="none"/>
              </w:rPr>
              <w:t>0</w:t>
            </w:r>
            <w:r>
              <w:rPr>
                <w:rFonts w:cs="仿宋_GB2312" w:asciiTheme="minorEastAsia" w:hAnsiTheme="minorEastAsia"/>
                <w:sz w:val="24"/>
                <w:highlight w:val="none"/>
              </w:rPr>
              <w:t>］的计算公式计算。</w:t>
            </w:r>
          </w:p>
          <w:p>
            <w:pPr>
              <w:spacing w:line="360" w:lineRule="auto"/>
              <w:outlineLvl w:val="0"/>
              <w:rPr>
                <w:rFonts w:hint="eastAsia" w:eastAsia="宋体" w:asciiTheme="majorEastAsia" w:hAnsiTheme="majorEastAsia"/>
                <w:sz w:val="24"/>
                <w:highlight w:val="none"/>
                <w:lang w:val="en-US" w:eastAsia="zh-CN"/>
              </w:rPr>
            </w:pPr>
            <w:r>
              <w:rPr>
                <w:rFonts w:cs="仿宋_GB2312" w:asciiTheme="minorEastAsia" w:hAnsiTheme="minorEastAsia"/>
                <w:sz w:val="24"/>
                <w:highlight w:val="none"/>
              </w:rPr>
              <w:t>评标过程中，不得去掉报价中的最高报价和最低报价。</w:t>
            </w:r>
          </w:p>
        </w:tc>
        <w:tc>
          <w:tcPr>
            <w:tcW w:w="750" w:type="dxa"/>
            <w:vAlign w:val="center"/>
          </w:tcPr>
          <w:p>
            <w:pPr>
              <w:spacing w:line="360" w:lineRule="auto"/>
              <w:jc w:val="center"/>
              <w:outlineLvl w:val="0"/>
              <w:rPr>
                <w:rFonts w:cs="仿宋_GB2312" w:asciiTheme="majorEastAsia" w:hAnsiTheme="majorEastAsia" w:eastAsiaTheme="majorEastAsia"/>
                <w:sz w:val="24"/>
                <w:highlight w:val="none"/>
              </w:rPr>
            </w:pPr>
            <w:r>
              <w:rPr>
                <w:rFonts w:hint="eastAsia" w:cs="仿宋_GB2312" w:asciiTheme="majorEastAsia" w:hAnsiTheme="majorEastAsia" w:eastAsiaTheme="majorEastAsia"/>
                <w:sz w:val="24"/>
                <w:highlight w:val="none"/>
                <w:lang w:val="en-US" w:eastAsia="zh-CN"/>
              </w:rPr>
              <w:t>1</w:t>
            </w:r>
            <w:r>
              <w:rPr>
                <w:rFonts w:cs="仿宋_GB2312" w:asciiTheme="majorEastAsia" w:hAnsiTheme="majorEastAsia" w:eastAsiaTheme="majorEastAsia"/>
                <w:sz w:val="24"/>
                <w:highlight w:val="none"/>
              </w:rPr>
              <w:t>0</w:t>
            </w:r>
          </w:p>
        </w:tc>
      </w:tr>
    </w:tbl>
    <w:p>
      <w:pPr>
        <w:spacing w:line="360" w:lineRule="auto"/>
        <w:rPr>
          <w:color w:val="auto"/>
          <w:highlight w:val="none"/>
        </w:rPr>
      </w:pPr>
    </w:p>
    <w:p>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w:t>
      </w:r>
    </w:p>
    <w:p>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hint="eastAsia" w:ascii="宋体" w:hAnsi="宋体" w:cs="宋体"/>
          <w:color w:val="auto"/>
          <w:kern w:val="0"/>
          <w:szCs w:val="24"/>
          <w:highlight w:val="none"/>
          <w:lang w:val="en-US" w:eastAsia="zh-CN"/>
        </w:rPr>
        <w:t>1</w:t>
      </w:r>
      <w:r>
        <w:rPr>
          <w:rFonts w:ascii="宋体" w:hAnsi="宋体" w:cs="宋体"/>
          <w:color w:val="auto"/>
          <w:kern w:val="0"/>
          <w:szCs w:val="24"/>
          <w:highlight w:val="none"/>
        </w:rPr>
        <w:t>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cs="宋体"/>
          <w:color w:val="auto"/>
          <w:kern w:val="0"/>
          <w:szCs w:val="24"/>
          <w:highlight w:val="none"/>
          <w:lang w:val="en-US" w:eastAsia="zh-CN"/>
        </w:rPr>
        <w:t>4</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评标委员会按照评审得分由高到低顺序推荐 1 名中标候选人，并编写评审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pStyle w:val="5"/>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w:t>
      </w:r>
      <w:r>
        <w:rPr>
          <w:rFonts w:ascii="宋体" w:hAnsi="宋体" w:cs="宋体"/>
          <w:kern w:val="0"/>
          <w:sz w:val="24"/>
          <w:highlight w:val="none"/>
        </w:rPr>
        <w:t>4</w:t>
      </w:r>
      <w:r>
        <w:rPr>
          <w:rFonts w:hint="eastAsia" w:ascii="宋体" w:hAnsi="宋体" w:cs="宋体"/>
          <w:kern w:val="0"/>
          <w:sz w:val="24"/>
          <w:highlight w:val="none"/>
        </w:rPr>
        <w:t>未提供演示或演示得分为</w:t>
      </w:r>
      <w:r>
        <w:rPr>
          <w:rFonts w:ascii="宋体" w:hAnsi="宋体" w:cs="宋体"/>
          <w:kern w:val="0"/>
          <w:sz w:val="24"/>
          <w:highlight w:val="none"/>
        </w:rPr>
        <w:t>0</w:t>
      </w:r>
      <w:r>
        <w:rPr>
          <w:rFonts w:hint="eastAsia" w:ascii="宋体" w:hAnsi="宋体" w:cs="宋体"/>
          <w:kern w:val="0"/>
          <w:sz w:val="24"/>
          <w:highlight w:val="none"/>
        </w:rPr>
        <w:t xml:space="preserve">分； </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w:t>
      </w:r>
      <w:r>
        <w:rPr>
          <w:rFonts w:ascii="宋体" w:hAnsi="宋体" w:cs="宋体"/>
          <w:kern w:val="0"/>
          <w:sz w:val="24"/>
          <w:highlight w:val="none"/>
        </w:rPr>
        <w:t>.2.15</w:t>
      </w:r>
      <w:r>
        <w:rPr>
          <w:rFonts w:hint="eastAsia" w:ascii="宋体" w:hAnsi="宋体" w:cs="宋体"/>
          <w:kern w:val="0"/>
          <w:sz w:val="24"/>
          <w:highlight w:val="none"/>
        </w:rPr>
        <w:t>法律、法规、规章（适用本市的）及省级以上规范性文件（适用本市的）规定的其他无效情形。</w:t>
      </w:r>
    </w:p>
    <w:p>
      <w:pPr>
        <w:pStyle w:val="2"/>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2"/>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2"/>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2"/>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2"/>
        <w:snapToGrid w:val="0"/>
        <w:spacing w:line="360" w:lineRule="auto"/>
        <w:rPr>
          <w:rFonts w:cs="宋体"/>
          <w:color w:val="auto"/>
          <w:highlight w:val="none"/>
        </w:rPr>
      </w:pPr>
      <w:r>
        <w:rPr>
          <w:rFonts w:hint="eastAsia" w:cs="宋体"/>
          <w:color w:val="auto"/>
          <w:highlight w:val="none"/>
        </w:rPr>
        <w:t>5.4因重大变故，采购任务取消的。</w:t>
      </w:r>
    </w:p>
    <w:p>
      <w:pPr>
        <w:pStyle w:val="2"/>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pPr>
        <w:pStyle w:val="2"/>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2"/>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2"/>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2"/>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2"/>
        <w:snapToGrid w:val="0"/>
        <w:spacing w:line="360" w:lineRule="auto"/>
        <w:outlineLvl w:val="0"/>
        <w:rPr>
          <w:rFonts w:ascii="宋体" w:hAnsi="宋体" w:cs="宋体"/>
          <w:b/>
          <w:color w:val="auto"/>
          <w:sz w:val="36"/>
          <w:szCs w:val="36"/>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3" w:name="第五部分"/>
      <w:bookmarkStart w:id="394" w:name="_Toc86217003"/>
    </w:p>
    <w:p>
      <w:pPr>
        <w:widowControl/>
        <w:adjustRightInd/>
        <w:spacing w:line="240" w:lineRule="auto"/>
        <w:ind w:left="0" w:leftChars="0" w:firstLine="0" w:firstLineChars="0"/>
        <w:jc w:val="center"/>
        <w:outlineLvl w:val="9"/>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pPr>
        <w:rPr>
          <w:rFonts w:asciiTheme="minorEastAsia" w:hAnsiTheme="minorEastAsia"/>
          <w:sz w:val="24"/>
          <w:highlight w:val="none"/>
          <w:u w:val="single"/>
        </w:rPr>
      </w:pPr>
      <w:r>
        <w:rPr>
          <w:rFonts w:hint="eastAsia" w:asciiTheme="minorEastAsia" w:hAnsiTheme="minorEastAsia"/>
          <w:sz w:val="24"/>
          <w:highlight w:val="none"/>
        </w:rPr>
        <w:t>合同编号：</w:t>
      </w:r>
      <w:r>
        <w:rPr>
          <w:rFonts w:asciiTheme="minorEastAsia" w:hAnsiTheme="minorEastAsia"/>
          <w:sz w:val="24"/>
          <w:highlight w:val="none"/>
          <w:u w:val="single"/>
        </w:rPr>
        <w:t xml:space="preserve">           </w:t>
      </w:r>
    </w:p>
    <w:p>
      <w:pPr>
        <w:spacing w:line="480" w:lineRule="auto"/>
        <w:jc w:val="center"/>
        <w:rPr>
          <w:rFonts w:asciiTheme="minorEastAsia" w:hAnsiTheme="minorEastAsia"/>
          <w:b/>
          <w:sz w:val="28"/>
          <w:szCs w:val="28"/>
          <w:highlight w:val="none"/>
        </w:rPr>
      </w:pPr>
    </w:p>
    <w:p>
      <w:pPr>
        <w:spacing w:line="480" w:lineRule="auto"/>
        <w:jc w:val="center"/>
        <w:rPr>
          <w:rFonts w:asciiTheme="minorEastAsia" w:hAnsiTheme="minorEastAsia"/>
          <w:b/>
          <w:sz w:val="24"/>
          <w:highlight w:val="none"/>
        </w:rPr>
      </w:pPr>
    </w:p>
    <w:p>
      <w:pPr>
        <w:spacing w:line="480" w:lineRule="auto"/>
        <w:jc w:val="center"/>
        <w:rPr>
          <w:rFonts w:asciiTheme="minorEastAsia" w:hAnsiTheme="minorEastAsia"/>
          <w:b/>
          <w:sz w:val="24"/>
          <w:highlight w:val="none"/>
        </w:rPr>
      </w:pPr>
    </w:p>
    <w:p>
      <w:pPr>
        <w:spacing w:line="480" w:lineRule="auto"/>
        <w:jc w:val="center"/>
        <w:rPr>
          <w:rFonts w:cs="仿宋_GB2312" w:asciiTheme="minorEastAsia" w:hAnsiTheme="minorEastAsia"/>
          <w:b/>
          <w:sz w:val="36"/>
          <w:szCs w:val="36"/>
          <w:highlight w:val="none"/>
        </w:rPr>
      </w:pPr>
      <w:r>
        <w:rPr>
          <w:rFonts w:hint="eastAsia" w:cs="仿宋_GB2312" w:asciiTheme="minorEastAsia" w:hAnsiTheme="minorEastAsia"/>
          <w:b/>
          <w:sz w:val="36"/>
          <w:szCs w:val="36"/>
          <w:highlight w:val="none"/>
        </w:rPr>
        <w:t>政府采购合同参考范本</w:t>
      </w:r>
    </w:p>
    <w:p>
      <w:pPr>
        <w:pStyle w:val="700"/>
        <w:rPr>
          <w:rFonts w:asciiTheme="minorEastAsia" w:hAnsiTheme="minorEastAsia"/>
          <w:szCs w:val="24"/>
          <w:highlight w:val="none"/>
        </w:rPr>
      </w:pPr>
    </w:p>
    <w:p>
      <w:pPr>
        <w:pStyle w:val="700"/>
        <w:rPr>
          <w:rFonts w:asciiTheme="minorEastAsia" w:hAnsiTheme="minorEastAsia"/>
          <w:szCs w:val="24"/>
          <w:highlight w:val="none"/>
        </w:rPr>
      </w:pPr>
    </w:p>
    <w:p>
      <w:pPr>
        <w:pStyle w:val="700"/>
        <w:jc w:val="center"/>
        <w:rPr>
          <w:rFonts w:asciiTheme="minorEastAsia" w:hAnsiTheme="minorEastAsia"/>
          <w:szCs w:val="24"/>
          <w:highlight w:val="none"/>
        </w:rPr>
      </w:pPr>
    </w:p>
    <w:p>
      <w:pPr>
        <w:pStyle w:val="700"/>
        <w:ind w:left="0" w:leftChars="0" w:firstLine="0" w:firstLineChars="0"/>
        <w:jc w:val="center"/>
        <w:rPr>
          <w:rFonts w:asciiTheme="minorEastAsia" w:hAnsiTheme="minorEastAsia"/>
          <w:b/>
          <w:szCs w:val="24"/>
          <w:highlight w:val="none"/>
        </w:rPr>
      </w:pPr>
      <w:r>
        <w:rPr>
          <w:rFonts w:hint="eastAsia" w:asciiTheme="minorEastAsia" w:hAnsiTheme="minorEastAsia"/>
          <w:b/>
          <w:szCs w:val="24"/>
          <w:highlight w:val="none"/>
        </w:rPr>
        <w:t>第一部分</w:t>
      </w:r>
      <w:r>
        <w:rPr>
          <w:rFonts w:asciiTheme="minorEastAsia" w:hAnsiTheme="minorEastAsia"/>
          <w:b/>
          <w:szCs w:val="24"/>
          <w:highlight w:val="none"/>
        </w:rPr>
        <w:t xml:space="preserve"> </w:t>
      </w:r>
      <w:r>
        <w:rPr>
          <w:rFonts w:hint="eastAsia" w:asciiTheme="minorEastAsia" w:hAnsiTheme="minorEastAsia"/>
          <w:b/>
          <w:szCs w:val="24"/>
          <w:highlight w:val="none"/>
        </w:rPr>
        <w:t>合同书</w:t>
      </w:r>
    </w:p>
    <w:p>
      <w:pPr>
        <w:pStyle w:val="700"/>
        <w:rPr>
          <w:rFonts w:asciiTheme="minorEastAsia" w:hAnsiTheme="minorEastAsia"/>
          <w:szCs w:val="24"/>
          <w:highlight w:val="none"/>
        </w:rPr>
      </w:pPr>
    </w:p>
    <w:p>
      <w:pPr>
        <w:pStyle w:val="700"/>
        <w:rPr>
          <w:rFonts w:asciiTheme="minorEastAsia" w:hAnsiTheme="minorEastAsia"/>
          <w:szCs w:val="24"/>
          <w:highlight w:val="none"/>
        </w:rPr>
      </w:pPr>
    </w:p>
    <w:p>
      <w:pPr>
        <w:spacing w:before="120" w:line="22" w:lineRule="atLeast"/>
        <w:rPr>
          <w:rFonts w:asciiTheme="minorEastAsia" w:hAnsiTheme="minorEastAsia"/>
          <w:sz w:val="24"/>
          <w:highlight w:val="none"/>
        </w:rPr>
      </w:pPr>
    </w:p>
    <w:p>
      <w:pPr>
        <w:spacing w:before="120" w:line="22" w:lineRule="atLeast"/>
        <w:ind w:left="960"/>
        <w:rPr>
          <w:rFonts w:asciiTheme="minorEastAsia" w:hAnsiTheme="minorEastAsia"/>
          <w:sz w:val="24"/>
          <w:highlight w:val="none"/>
        </w:rPr>
      </w:pPr>
      <w:r>
        <w:rPr>
          <w:rFonts w:hint="eastAsia" w:asciiTheme="minorEastAsia" w:hAnsiTheme="minorEastAsia"/>
          <w:sz w:val="24"/>
          <w:highlight w:val="none"/>
        </w:rPr>
        <w:t>项目名称：</w:t>
      </w:r>
      <w:r>
        <w:rPr>
          <w:rFonts w:hint="eastAsia" w:asciiTheme="minorEastAsia" w:hAnsiTheme="minorEastAsia"/>
          <w:sz w:val="24"/>
          <w:highlight w:val="none"/>
          <w:u w:val="single"/>
          <w:lang w:eastAsia="zh-CN"/>
        </w:rPr>
        <w:t>杭州市城市运行“一网统管”迭代升级项目</w:t>
      </w:r>
    </w:p>
    <w:p>
      <w:pPr>
        <w:rPr>
          <w:rFonts w:asciiTheme="minorEastAsia" w:hAnsiTheme="minorEastAsia"/>
          <w:sz w:val="24"/>
          <w:highlight w:val="none"/>
        </w:rPr>
      </w:pPr>
    </w:p>
    <w:p>
      <w:pPr>
        <w:spacing w:before="120" w:line="22" w:lineRule="atLeast"/>
        <w:ind w:left="960"/>
        <w:rPr>
          <w:rFonts w:hint="eastAsia" w:eastAsia="宋体" w:asciiTheme="minorEastAsia" w:hAnsiTheme="minorEastAsia"/>
          <w:sz w:val="24"/>
          <w:highlight w:val="none"/>
          <w:u w:val="single"/>
          <w:lang w:eastAsia="zh-CN"/>
        </w:rPr>
      </w:pPr>
      <w:r>
        <w:rPr>
          <w:rFonts w:hint="eastAsia" w:asciiTheme="minorEastAsia" w:hAnsiTheme="minorEastAsia"/>
          <w:sz w:val="24"/>
          <w:highlight w:val="none"/>
        </w:rPr>
        <w:t>甲方：</w:t>
      </w:r>
      <w:r>
        <w:rPr>
          <w:rFonts w:asciiTheme="minorEastAsia" w:hAnsiTheme="minorEastAsia"/>
          <w:sz w:val="24"/>
          <w:highlight w:val="none"/>
          <w:u w:val="single"/>
        </w:rPr>
        <w:t xml:space="preserve"> </w:t>
      </w:r>
      <w:r>
        <w:rPr>
          <w:rFonts w:hint="eastAsia" w:asciiTheme="minorEastAsia" w:hAnsiTheme="minorEastAsia"/>
          <w:sz w:val="24"/>
          <w:highlight w:val="none"/>
          <w:u w:val="single"/>
        </w:rPr>
        <w:t>杭州市城市管理局</w:t>
      </w:r>
      <w:r>
        <w:rPr>
          <w:rFonts w:hint="eastAsia" w:asciiTheme="minorEastAsia" w:hAnsiTheme="minorEastAsia"/>
          <w:sz w:val="24"/>
          <w:highlight w:val="none"/>
          <w:u w:val="single"/>
          <w:lang w:val="en-US" w:eastAsia="zh-CN"/>
        </w:rPr>
        <w:t xml:space="preserve"> </w:t>
      </w:r>
    </w:p>
    <w:p>
      <w:pPr>
        <w:spacing w:before="120" w:line="22" w:lineRule="atLeast"/>
        <w:rPr>
          <w:rFonts w:asciiTheme="minorEastAsia" w:hAnsiTheme="minorEastAsia"/>
          <w:sz w:val="24"/>
          <w:highlight w:val="none"/>
        </w:rPr>
      </w:pPr>
    </w:p>
    <w:p>
      <w:pPr>
        <w:spacing w:before="120" w:line="22" w:lineRule="atLeast"/>
        <w:ind w:left="960"/>
        <w:rPr>
          <w:rFonts w:asciiTheme="minorEastAsia" w:hAnsiTheme="minorEastAsia"/>
          <w:sz w:val="24"/>
          <w:highlight w:val="none"/>
          <w:u w:val="single"/>
        </w:rPr>
      </w:pPr>
      <w:r>
        <w:rPr>
          <w:rFonts w:hint="eastAsia" w:asciiTheme="minorEastAsia" w:hAnsiTheme="minorEastAsia"/>
          <w:sz w:val="24"/>
          <w:highlight w:val="none"/>
        </w:rPr>
        <w:t>乙方：</w:t>
      </w:r>
      <w:r>
        <w:rPr>
          <w:rFonts w:asciiTheme="minorEastAsia" w:hAnsiTheme="minorEastAsia"/>
          <w:sz w:val="24"/>
          <w:highlight w:val="none"/>
          <w:u w:val="single"/>
        </w:rPr>
        <w:t xml:space="preserve">                                         </w:t>
      </w:r>
    </w:p>
    <w:p>
      <w:pPr>
        <w:spacing w:before="120" w:line="22" w:lineRule="atLeast"/>
        <w:rPr>
          <w:rFonts w:asciiTheme="minorEastAsia" w:hAnsiTheme="minorEastAsia"/>
          <w:sz w:val="24"/>
          <w:highlight w:val="none"/>
        </w:rPr>
      </w:pPr>
    </w:p>
    <w:p>
      <w:pPr>
        <w:spacing w:before="120" w:line="22" w:lineRule="atLeast"/>
        <w:ind w:firstLine="960" w:firstLineChars="400"/>
        <w:rPr>
          <w:rFonts w:asciiTheme="minorEastAsia" w:hAnsiTheme="minorEastAsia"/>
          <w:sz w:val="24"/>
          <w:highlight w:val="none"/>
          <w:u w:val="single"/>
        </w:rPr>
      </w:pPr>
      <w:r>
        <w:rPr>
          <w:rFonts w:hint="eastAsia" w:asciiTheme="minorEastAsia" w:hAnsiTheme="minorEastAsia"/>
          <w:sz w:val="24"/>
          <w:highlight w:val="none"/>
        </w:rPr>
        <w:t>签订地：</w:t>
      </w:r>
      <w:r>
        <w:rPr>
          <w:rFonts w:asciiTheme="minorEastAsia" w:hAnsiTheme="minorEastAsia"/>
          <w:sz w:val="24"/>
          <w:highlight w:val="none"/>
          <w:u w:val="single"/>
        </w:rPr>
        <w:t xml:space="preserve">                                       </w:t>
      </w:r>
    </w:p>
    <w:p>
      <w:pPr>
        <w:spacing w:before="120" w:line="22" w:lineRule="atLeast"/>
        <w:rPr>
          <w:rFonts w:asciiTheme="minorEastAsia" w:hAnsiTheme="minorEastAsia"/>
          <w:sz w:val="24"/>
          <w:highlight w:val="none"/>
        </w:rPr>
      </w:pPr>
    </w:p>
    <w:p>
      <w:pPr>
        <w:spacing w:before="120" w:line="22" w:lineRule="atLeast"/>
        <w:ind w:firstLine="960" w:firstLineChars="400"/>
        <w:rPr>
          <w:rFonts w:asciiTheme="minorEastAsia" w:hAnsiTheme="minorEastAsia"/>
          <w:sz w:val="24"/>
          <w:highlight w:val="none"/>
          <w:u w:val="single"/>
        </w:rPr>
      </w:pPr>
      <w:r>
        <w:rPr>
          <w:rFonts w:hint="eastAsia" w:asciiTheme="minorEastAsia" w:hAnsiTheme="minorEastAsia"/>
          <w:sz w:val="24"/>
          <w:highlight w:val="none"/>
        </w:rPr>
        <w:t>签订日期：</w:t>
      </w:r>
      <w:r>
        <w:rPr>
          <w:rFonts w:asciiTheme="minorEastAsia" w:hAnsiTheme="minorEastAsia"/>
          <w:sz w:val="24"/>
          <w:highlight w:val="none"/>
          <w:u w:val="single"/>
        </w:rPr>
        <w:t xml:space="preserve">               </w:t>
      </w:r>
      <w:r>
        <w:rPr>
          <w:rFonts w:hint="eastAsia" w:asciiTheme="minorEastAsia" w:hAnsiTheme="minorEastAsia"/>
          <w:sz w:val="24"/>
          <w:highlight w:val="none"/>
        </w:rPr>
        <w:t>年</w:t>
      </w:r>
      <w:r>
        <w:rPr>
          <w:rFonts w:asciiTheme="minorEastAsia" w:hAnsiTheme="minorEastAsia"/>
          <w:sz w:val="24"/>
          <w:highlight w:val="none"/>
          <w:u w:val="single"/>
        </w:rPr>
        <w:t xml:space="preserve">        </w:t>
      </w:r>
      <w:r>
        <w:rPr>
          <w:rFonts w:hint="eastAsia" w:asciiTheme="minorEastAsia" w:hAnsiTheme="minorEastAsia"/>
          <w:sz w:val="24"/>
          <w:highlight w:val="none"/>
        </w:rPr>
        <w:t>月</w:t>
      </w:r>
      <w:r>
        <w:rPr>
          <w:rFonts w:asciiTheme="minorEastAsia" w:hAnsiTheme="minorEastAsia"/>
          <w:sz w:val="24"/>
          <w:highlight w:val="none"/>
          <w:u w:val="single"/>
        </w:rPr>
        <w:t xml:space="preserve">        </w:t>
      </w:r>
      <w:r>
        <w:rPr>
          <w:rFonts w:hint="eastAsia" w:asciiTheme="minorEastAsia" w:hAnsiTheme="minorEastAsia"/>
          <w:sz w:val="24"/>
          <w:highlight w:val="none"/>
        </w:rPr>
        <w:t>日</w:t>
      </w:r>
    </w:p>
    <w:p>
      <w:pPr>
        <w:widowControl/>
        <w:jc w:val="left"/>
        <w:rPr>
          <w:rFonts w:asciiTheme="minorEastAsia" w:hAnsiTheme="minorEastAsia"/>
          <w:kern w:val="0"/>
          <w:sz w:val="24"/>
          <w:highlight w:val="none"/>
        </w:rPr>
        <w:sectPr>
          <w:pgSz w:w="11907" w:h="16840"/>
          <w:pgMar w:top="1474" w:right="1814" w:bottom="1474" w:left="1814" w:header="851" w:footer="851" w:gutter="0"/>
          <w:cols w:space="720" w:num="1"/>
        </w:sectPr>
      </w:pPr>
    </w:p>
    <w:p>
      <w:pPr>
        <w:pStyle w:val="85"/>
        <w:ind w:firstLine="480"/>
        <w:rPr>
          <w:szCs w:val="24"/>
          <w:highlight w:val="none"/>
        </w:rPr>
      </w:pPr>
    </w:p>
    <w:p>
      <w:pPr>
        <w:pStyle w:val="85"/>
        <w:ind w:firstLine="480"/>
        <w:rPr>
          <w:rFonts w:hint="eastAsia" w:eastAsiaTheme="minorEastAsia"/>
          <w:szCs w:val="24"/>
          <w:highlight w:val="none"/>
          <w:lang w:eastAsia="zh-CN"/>
        </w:rPr>
      </w:pPr>
      <w:r>
        <w:rPr>
          <w:rFonts w:hint="eastAsia"/>
          <w:b/>
          <w:bCs/>
          <w:szCs w:val="24"/>
          <w:highlight w:val="none"/>
        </w:rPr>
        <w:t>项目名称：</w:t>
      </w:r>
      <w:r>
        <w:rPr>
          <w:rFonts w:hint="eastAsia"/>
          <w:szCs w:val="24"/>
          <w:highlight w:val="none"/>
          <w:lang w:eastAsia="zh-CN"/>
        </w:rPr>
        <w:t>杭州市城市运行“一网统管”迭代升级项目</w:t>
      </w:r>
    </w:p>
    <w:p>
      <w:pPr>
        <w:widowControl/>
        <w:shd w:val="clear" w:color="auto" w:fill="FFFFFF"/>
        <w:snapToGrid w:val="0"/>
        <w:spacing w:line="360" w:lineRule="auto"/>
        <w:ind w:firstLine="482" w:firstLineChars="200"/>
        <w:rPr>
          <w:rFonts w:hint="eastAsia" w:eastAsia="宋体" w:cs="仿宋" w:asciiTheme="minorEastAsia" w:hAnsiTheme="minorEastAsia"/>
          <w:kern w:val="0"/>
          <w:sz w:val="24"/>
          <w:highlight w:val="none"/>
          <w:lang w:eastAsia="zh-CN"/>
        </w:rPr>
      </w:pPr>
      <w:r>
        <w:rPr>
          <w:rFonts w:hint="eastAsia" w:cs="仿宋" w:asciiTheme="minorEastAsia" w:hAnsiTheme="minorEastAsia"/>
          <w:b/>
          <w:bCs/>
          <w:kern w:val="0"/>
          <w:sz w:val="24"/>
          <w:highlight w:val="none"/>
        </w:rPr>
        <w:t>甲方：</w:t>
      </w:r>
      <w:r>
        <w:rPr>
          <w:rFonts w:hint="eastAsia" w:cs="仿宋" w:asciiTheme="minorEastAsia" w:hAnsiTheme="minorEastAsia"/>
          <w:kern w:val="0"/>
          <w:sz w:val="24"/>
          <w:highlight w:val="none"/>
          <w:lang w:eastAsia="zh-CN"/>
        </w:rPr>
        <w:t>杭州市城市管理局</w:t>
      </w:r>
    </w:p>
    <w:p>
      <w:pPr>
        <w:widowControl/>
        <w:shd w:val="clear" w:color="auto" w:fill="FFFFFF"/>
        <w:snapToGrid w:val="0"/>
        <w:spacing w:line="360" w:lineRule="auto"/>
        <w:ind w:firstLine="482" w:firstLineChars="200"/>
        <w:rPr>
          <w:rFonts w:cs="仿宋" w:asciiTheme="minorEastAsia" w:hAnsiTheme="minorEastAsia"/>
          <w:b/>
          <w:bCs/>
          <w:kern w:val="0"/>
          <w:sz w:val="24"/>
          <w:highlight w:val="none"/>
        </w:rPr>
      </w:pPr>
      <w:r>
        <w:rPr>
          <w:rFonts w:hint="eastAsia" w:cs="仿宋" w:asciiTheme="minorEastAsia" w:hAnsiTheme="minorEastAsia"/>
          <w:b/>
          <w:bCs/>
          <w:kern w:val="0"/>
          <w:sz w:val="24"/>
          <w:highlight w:val="none"/>
        </w:rPr>
        <w:t xml:space="preserve">乙方：      </w:t>
      </w:r>
    </w:p>
    <w:p>
      <w:pPr>
        <w:snapToGrid w:val="0"/>
        <w:spacing w:line="360" w:lineRule="auto"/>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甲、乙双方根据</w:t>
      </w:r>
      <w:r>
        <w:rPr>
          <w:rFonts w:hint="eastAsia" w:cs="仿宋" w:asciiTheme="minorEastAsia" w:hAnsiTheme="minorEastAsia"/>
          <w:sz w:val="24"/>
          <w:highlight w:val="none"/>
          <w:u w:val="single"/>
          <w:lang w:eastAsia="zh-CN"/>
        </w:rPr>
        <w:t>浙江省成套招标代理有限公司</w:t>
      </w:r>
      <w:r>
        <w:rPr>
          <w:rFonts w:hint="eastAsia" w:cs="仿宋" w:asciiTheme="minorEastAsia" w:hAnsiTheme="minorEastAsia"/>
          <w:sz w:val="24"/>
          <w:highlight w:val="none"/>
        </w:rPr>
        <w:t>关于</w:t>
      </w:r>
      <w:r>
        <w:rPr>
          <w:rFonts w:hint="eastAsia" w:cs="仿宋" w:asciiTheme="minorEastAsia" w:hAnsiTheme="minorEastAsia"/>
          <w:sz w:val="24"/>
          <w:highlight w:val="none"/>
          <w:u w:val="single"/>
          <w:lang w:eastAsia="zh-CN"/>
        </w:rPr>
        <w:t>杭州市城市运行“一网统管”迭代升级项目</w:t>
      </w:r>
      <w:r>
        <w:rPr>
          <w:rFonts w:hint="eastAsia" w:cs="仿宋" w:asciiTheme="minorEastAsia" w:hAnsiTheme="minorEastAsia"/>
          <w:sz w:val="24"/>
          <w:highlight w:val="none"/>
        </w:rPr>
        <w:t>公开招标的结果（招标编号：</w:t>
      </w:r>
      <w:r>
        <w:rPr>
          <w:rFonts w:hint="eastAsia" w:cs="仿宋" w:asciiTheme="minorEastAsia" w:hAnsiTheme="minorEastAsia"/>
          <w:sz w:val="24"/>
          <w:highlight w:val="none"/>
          <w:lang w:eastAsia="zh-CN"/>
        </w:rPr>
        <w:t>CTZB-2023080442</w:t>
      </w:r>
      <w:r>
        <w:rPr>
          <w:rFonts w:hint="eastAsia" w:cs="仿宋" w:asciiTheme="minorEastAsia" w:hAnsiTheme="minorEastAsia"/>
          <w:sz w:val="24"/>
          <w:highlight w:val="none"/>
        </w:rPr>
        <w:t>）按照《</w:t>
      </w:r>
      <w:r>
        <w:rPr>
          <w:rFonts w:hint="eastAsia" w:cs="仿宋" w:asciiTheme="minorEastAsia" w:hAnsiTheme="minorEastAsia"/>
          <w:sz w:val="24"/>
          <w:highlight w:val="none"/>
          <w:lang w:val="zh-CN"/>
        </w:rPr>
        <w:t>中华人民共和国民法典</w:t>
      </w:r>
      <w:r>
        <w:rPr>
          <w:rFonts w:hint="eastAsia" w:cs="仿宋" w:asciiTheme="minorEastAsia" w:hAnsiTheme="minorEastAsia"/>
          <w:sz w:val="24"/>
          <w:highlight w:val="none"/>
        </w:rPr>
        <w:t>》的规定，本着平等、自愿、互惠互利的原则，同意就以下条款签订本合同。</w:t>
      </w:r>
    </w:p>
    <w:p>
      <w:pPr>
        <w:spacing w:line="360" w:lineRule="auto"/>
        <w:ind w:firstLine="482" w:firstLineChars="200"/>
        <w:outlineLvl w:val="2"/>
        <w:rPr>
          <w:rFonts w:cs="仿宋" w:asciiTheme="minorEastAsia" w:hAnsiTheme="minorEastAsia"/>
          <w:b/>
          <w:sz w:val="24"/>
          <w:highlight w:val="none"/>
        </w:rPr>
      </w:pPr>
      <w:r>
        <w:rPr>
          <w:rFonts w:hint="eastAsia" w:cs="仿宋" w:asciiTheme="minorEastAsia" w:hAnsiTheme="minorEastAsia"/>
          <w:b/>
          <w:sz w:val="24"/>
          <w:highlight w:val="none"/>
        </w:rPr>
        <w:t>1、定义</w:t>
      </w:r>
    </w:p>
    <w:p>
      <w:pPr>
        <w:snapToGrid w:val="0"/>
        <w:spacing w:line="360" w:lineRule="auto"/>
        <w:ind w:firstLine="482" w:firstLineChars="200"/>
        <w:rPr>
          <w:rFonts w:cs="仿宋" w:asciiTheme="minorEastAsia" w:hAnsiTheme="minorEastAsia"/>
          <w:b/>
          <w:bCs/>
          <w:sz w:val="24"/>
          <w:highlight w:val="none"/>
        </w:rPr>
      </w:pPr>
      <w:r>
        <w:rPr>
          <w:rFonts w:hint="eastAsia" w:cs="仿宋" w:asciiTheme="minorEastAsia" w:hAnsiTheme="minorEastAsia"/>
          <w:b/>
          <w:bCs/>
          <w:sz w:val="24"/>
          <w:highlight w:val="none"/>
        </w:rPr>
        <w:t>1．1 “</w:t>
      </w:r>
      <w:r>
        <w:rPr>
          <w:rFonts w:hint="eastAsia" w:cs="仿宋" w:asciiTheme="minorEastAsia" w:hAnsiTheme="minorEastAsia"/>
          <w:b/>
          <w:bCs/>
          <w:kern w:val="0"/>
          <w:sz w:val="24"/>
          <w:highlight w:val="none"/>
          <w:lang w:val="zh-CN"/>
        </w:rPr>
        <w:t>合同”</w:t>
      </w:r>
      <w:r>
        <w:rPr>
          <w:rFonts w:hint="eastAsia" w:cs="仿宋" w:asciiTheme="minorEastAsia" w:hAnsiTheme="minorEastAsia"/>
          <w:b/>
          <w:bCs/>
          <w:sz w:val="24"/>
          <w:highlight w:val="none"/>
        </w:rPr>
        <w:t>即由</w:t>
      </w:r>
      <w:r>
        <w:rPr>
          <w:rFonts w:hint="eastAsia" w:cs="仿宋" w:asciiTheme="minorEastAsia" w:hAnsiTheme="minorEastAsia"/>
          <w:b/>
          <w:bCs/>
          <w:kern w:val="0"/>
          <w:sz w:val="24"/>
          <w:highlight w:val="none"/>
          <w:lang w:val="zh-CN"/>
        </w:rPr>
        <w:t>甲、乙方</w:t>
      </w:r>
      <w:r>
        <w:rPr>
          <w:rFonts w:hint="eastAsia" w:cs="仿宋" w:asciiTheme="minorEastAsia" w:hAnsiTheme="minorEastAsia"/>
          <w:b/>
          <w:bCs/>
          <w:sz w:val="24"/>
          <w:highlight w:val="none"/>
        </w:rPr>
        <w:t>双方签订的合同格式中的文件，包括所有的附件、附录和组成合同部分的所有其他文件。</w:t>
      </w:r>
    </w:p>
    <w:p>
      <w:pPr>
        <w:snapToGrid w:val="0"/>
        <w:spacing w:line="360" w:lineRule="auto"/>
        <w:ind w:firstLine="482" w:firstLineChars="200"/>
        <w:rPr>
          <w:rFonts w:cs="仿宋" w:asciiTheme="minorEastAsia" w:hAnsiTheme="minorEastAsia"/>
          <w:b/>
          <w:bCs/>
          <w:sz w:val="24"/>
          <w:highlight w:val="none"/>
        </w:rPr>
      </w:pPr>
      <w:r>
        <w:rPr>
          <w:rFonts w:hint="eastAsia" w:cs="仿宋" w:asciiTheme="minorEastAsia" w:hAnsiTheme="minorEastAsia"/>
          <w:b/>
          <w:bCs/>
          <w:sz w:val="24"/>
          <w:highlight w:val="none"/>
        </w:rPr>
        <w:t>1．2 “合同价格”系指根据合同规定，在乙方全面正确地履行合同义务时，甲方应支付给乙方的款项。</w:t>
      </w:r>
    </w:p>
    <w:p>
      <w:pPr>
        <w:snapToGrid w:val="0"/>
        <w:spacing w:line="360" w:lineRule="auto"/>
        <w:ind w:firstLine="482" w:firstLineChars="200"/>
        <w:rPr>
          <w:rFonts w:cs="仿宋" w:asciiTheme="minorEastAsia" w:hAnsiTheme="minorEastAsia"/>
          <w:b/>
          <w:bCs/>
          <w:sz w:val="24"/>
          <w:highlight w:val="none"/>
        </w:rPr>
      </w:pPr>
      <w:r>
        <w:rPr>
          <w:rFonts w:hint="eastAsia" w:cs="仿宋" w:asciiTheme="minorEastAsia" w:hAnsiTheme="minorEastAsia"/>
          <w:b/>
          <w:bCs/>
          <w:sz w:val="24"/>
          <w:highlight w:val="none"/>
        </w:rPr>
        <w:t>1．3“服务”系指招标文件规定乙方须承担的软件开发、调试、维保、培训以及其它完成合同需要的义务。</w:t>
      </w:r>
    </w:p>
    <w:p>
      <w:pPr>
        <w:snapToGrid w:val="0"/>
        <w:spacing w:line="360" w:lineRule="auto"/>
        <w:ind w:firstLine="482" w:firstLineChars="200"/>
        <w:rPr>
          <w:rFonts w:cs="仿宋" w:asciiTheme="minorEastAsia" w:hAnsiTheme="minorEastAsia"/>
          <w:b/>
          <w:bCs/>
          <w:sz w:val="24"/>
          <w:highlight w:val="none"/>
        </w:rPr>
      </w:pPr>
      <w:r>
        <w:rPr>
          <w:rFonts w:hint="eastAsia" w:cs="仿宋" w:asciiTheme="minorEastAsia" w:hAnsiTheme="minorEastAsia"/>
          <w:b/>
          <w:bCs/>
          <w:sz w:val="24"/>
          <w:highlight w:val="none"/>
        </w:rPr>
        <w:t>1．4“甲方”系指通过采购接受合同及服务的杭州市城市管理局。</w:t>
      </w:r>
    </w:p>
    <w:p>
      <w:pPr>
        <w:snapToGrid w:val="0"/>
        <w:spacing w:line="360" w:lineRule="auto"/>
        <w:ind w:firstLine="482" w:firstLineChars="200"/>
        <w:rPr>
          <w:rFonts w:cs="仿宋" w:asciiTheme="minorEastAsia" w:hAnsiTheme="minorEastAsia"/>
          <w:b/>
          <w:bCs/>
          <w:sz w:val="24"/>
          <w:highlight w:val="none"/>
        </w:rPr>
      </w:pPr>
      <w:r>
        <w:rPr>
          <w:rFonts w:hint="eastAsia" w:cs="仿宋" w:asciiTheme="minorEastAsia" w:hAnsiTheme="minorEastAsia"/>
          <w:b/>
          <w:bCs/>
          <w:sz w:val="24"/>
          <w:highlight w:val="none"/>
        </w:rPr>
        <w:t>1．5“乙方”系指</w:t>
      </w:r>
      <w:r>
        <w:rPr>
          <w:rFonts w:hint="eastAsia" w:cs="仿宋" w:asciiTheme="minorEastAsia" w:hAnsiTheme="minorEastAsia"/>
          <w:b/>
          <w:bCs/>
          <w:kern w:val="0"/>
          <w:sz w:val="24"/>
          <w:highlight w:val="none"/>
          <w:lang w:val="zh-CN"/>
        </w:rPr>
        <w:t>经采购最终确定的</w:t>
      </w:r>
      <w:r>
        <w:rPr>
          <w:rFonts w:hint="eastAsia" w:cs="仿宋" w:asciiTheme="minorEastAsia" w:hAnsiTheme="minorEastAsia"/>
          <w:b/>
          <w:bCs/>
          <w:sz w:val="24"/>
          <w:highlight w:val="none"/>
        </w:rPr>
        <w:t>中标单位。</w:t>
      </w:r>
    </w:p>
    <w:p>
      <w:pPr>
        <w:spacing w:line="360" w:lineRule="auto"/>
        <w:ind w:firstLine="482" w:firstLineChars="200"/>
        <w:rPr>
          <w:rFonts w:cs="仿宋" w:asciiTheme="minorEastAsia" w:hAnsiTheme="minorEastAsia"/>
          <w:b/>
          <w:bCs/>
          <w:sz w:val="24"/>
          <w:highlight w:val="none"/>
        </w:rPr>
      </w:pPr>
      <w:r>
        <w:rPr>
          <w:rFonts w:hint="eastAsia" w:cs="仿宋" w:asciiTheme="minorEastAsia" w:hAnsiTheme="minorEastAsia"/>
          <w:b/>
          <w:bCs/>
          <w:sz w:val="24"/>
          <w:highlight w:val="none"/>
        </w:rPr>
        <w:t>1．6“现场”系指将要进行系统开发和培训的地点即杭州市城市管理局。</w:t>
      </w:r>
    </w:p>
    <w:p>
      <w:pPr>
        <w:spacing w:line="360" w:lineRule="auto"/>
        <w:ind w:firstLine="482" w:firstLineChars="200"/>
        <w:rPr>
          <w:rFonts w:cs="仿宋" w:asciiTheme="minorEastAsia" w:hAnsiTheme="minorEastAsia"/>
          <w:b/>
          <w:bCs/>
          <w:sz w:val="24"/>
          <w:highlight w:val="none"/>
        </w:rPr>
      </w:pPr>
      <w:r>
        <w:rPr>
          <w:rFonts w:hint="eastAsia" w:cs="仿宋" w:asciiTheme="minorEastAsia" w:hAnsiTheme="minorEastAsia"/>
          <w:b/>
          <w:bCs/>
          <w:sz w:val="24"/>
          <w:highlight w:val="none"/>
        </w:rPr>
        <w:t>1．7“验收”系指甲方依据技术规格规定接受合同所依据的程序和条件。</w:t>
      </w:r>
    </w:p>
    <w:p>
      <w:pPr>
        <w:spacing w:line="360" w:lineRule="auto"/>
        <w:ind w:firstLine="482" w:firstLineChars="200"/>
        <w:outlineLvl w:val="2"/>
        <w:rPr>
          <w:rFonts w:cs="仿宋" w:asciiTheme="minorEastAsia" w:hAnsiTheme="minorEastAsia"/>
          <w:b/>
          <w:sz w:val="24"/>
          <w:highlight w:val="none"/>
        </w:rPr>
      </w:pPr>
      <w:r>
        <w:rPr>
          <w:rFonts w:hint="eastAsia" w:cs="仿宋" w:asciiTheme="minorEastAsia" w:hAnsiTheme="minorEastAsia"/>
          <w:b/>
          <w:sz w:val="24"/>
          <w:highlight w:val="none"/>
        </w:rPr>
        <w:t>2．适用范围</w:t>
      </w:r>
    </w:p>
    <w:p>
      <w:pPr>
        <w:autoSpaceDE w:val="0"/>
        <w:autoSpaceDN w:val="0"/>
        <w:spacing w:line="360" w:lineRule="auto"/>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本合同条款适用于本次采购活动（编号：</w:t>
      </w:r>
      <w:r>
        <w:rPr>
          <w:rFonts w:hint="eastAsia" w:cs="仿宋" w:asciiTheme="minorEastAsia" w:hAnsiTheme="minorEastAsia"/>
          <w:sz w:val="24"/>
          <w:highlight w:val="none"/>
          <w:lang w:eastAsia="zh-CN"/>
        </w:rPr>
        <w:t>CTZB-2023080442</w:t>
      </w:r>
      <w:r>
        <w:rPr>
          <w:rFonts w:hint="eastAsia" w:cs="仿宋" w:asciiTheme="minorEastAsia" w:hAnsiTheme="minorEastAsia"/>
          <w:sz w:val="24"/>
          <w:highlight w:val="none"/>
        </w:rPr>
        <w:t>）。项目实施范围详见附件——招标文件和投标文件及补充文件、承诺书等。</w:t>
      </w:r>
    </w:p>
    <w:p>
      <w:pPr>
        <w:spacing w:line="360" w:lineRule="auto"/>
        <w:ind w:firstLine="482" w:firstLineChars="200"/>
        <w:outlineLvl w:val="2"/>
        <w:rPr>
          <w:rFonts w:cs="仿宋" w:asciiTheme="minorEastAsia" w:hAnsiTheme="minorEastAsia"/>
          <w:b/>
          <w:sz w:val="24"/>
          <w:highlight w:val="none"/>
        </w:rPr>
      </w:pPr>
      <w:r>
        <w:rPr>
          <w:rFonts w:hint="eastAsia" w:cs="仿宋" w:asciiTheme="minorEastAsia" w:hAnsiTheme="minorEastAsia"/>
          <w:b/>
          <w:sz w:val="24"/>
          <w:highlight w:val="none"/>
        </w:rPr>
        <w:t>3.项目完成时间及地点</w:t>
      </w:r>
    </w:p>
    <w:p>
      <w:pPr>
        <w:widowControl/>
        <w:snapToGrid w:val="0"/>
        <w:spacing w:line="360" w:lineRule="auto"/>
        <w:ind w:firstLine="480" w:firstLineChars="200"/>
        <w:rPr>
          <w:rFonts w:cs="仿宋" w:asciiTheme="minorEastAsia" w:hAnsiTheme="minorEastAsia"/>
          <w:kern w:val="0"/>
          <w:sz w:val="24"/>
          <w:highlight w:val="none"/>
        </w:rPr>
      </w:pPr>
      <w:r>
        <w:rPr>
          <w:rFonts w:hint="eastAsia" w:cs="仿宋" w:asciiTheme="minorEastAsia" w:hAnsiTheme="minorEastAsia"/>
          <w:kern w:val="0"/>
          <w:sz w:val="24"/>
          <w:highlight w:val="none"/>
        </w:rPr>
        <w:t>3.1履约时间：</w:t>
      </w:r>
      <w:r>
        <w:rPr>
          <w:rFonts w:hint="eastAsia" w:asciiTheme="minorEastAsia" w:hAnsiTheme="minorEastAsia" w:eastAsiaTheme="minorEastAsia"/>
          <w:color w:val="auto"/>
          <w:sz w:val="24"/>
          <w:szCs w:val="24"/>
          <w:highlight w:val="none"/>
        </w:rPr>
        <w:t>在202</w:t>
      </w:r>
      <w:r>
        <w:rPr>
          <w:rFonts w:hint="eastAsia" w:asciiTheme="minorEastAsia" w:hAnsiTheme="minorEastAsia" w:eastAsiaTheme="minorEastAsia"/>
          <w:color w:val="auto"/>
          <w:sz w:val="24"/>
          <w:szCs w:val="24"/>
          <w:highlight w:val="none"/>
          <w:lang w:val="en-US" w:eastAsia="zh-CN"/>
        </w:rPr>
        <w:t>4</w:t>
      </w:r>
      <w:r>
        <w:rPr>
          <w:rFonts w:hint="eastAsia" w:asciiTheme="minorEastAsia" w:hAnsiTheme="minorEastAsia" w:eastAsiaTheme="minorEastAsia"/>
          <w:color w:val="auto"/>
          <w:sz w:val="24"/>
          <w:szCs w:val="24"/>
          <w:highlight w:val="none"/>
        </w:rPr>
        <w:t>年</w:t>
      </w:r>
      <w:r>
        <w:rPr>
          <w:rFonts w:hint="eastAsia" w:asciiTheme="minorEastAsia" w:hAnsiTheme="minorEastAsia" w:eastAsiaTheme="minorEastAsia"/>
          <w:color w:val="auto"/>
          <w:sz w:val="24"/>
          <w:szCs w:val="24"/>
          <w:highlight w:val="none"/>
          <w:lang w:val="en-US" w:eastAsia="zh-CN"/>
        </w:rPr>
        <w:t>2</w:t>
      </w:r>
      <w:r>
        <w:rPr>
          <w:rFonts w:hint="eastAsia" w:asciiTheme="minorEastAsia" w:hAnsiTheme="minorEastAsia" w:eastAsiaTheme="minorEastAsia"/>
          <w:color w:val="auto"/>
          <w:sz w:val="24"/>
          <w:szCs w:val="24"/>
          <w:highlight w:val="none"/>
        </w:rPr>
        <w:t>月</w:t>
      </w:r>
      <w:r>
        <w:rPr>
          <w:rFonts w:hint="eastAsia" w:asciiTheme="minorEastAsia" w:hAnsiTheme="minorEastAsia" w:eastAsiaTheme="minorEastAsia"/>
          <w:color w:val="auto"/>
          <w:sz w:val="24"/>
          <w:szCs w:val="24"/>
          <w:highlight w:val="none"/>
          <w:lang w:eastAsia="zh-CN"/>
        </w:rPr>
        <w:t>下</w:t>
      </w:r>
      <w:r>
        <w:rPr>
          <w:rFonts w:hint="eastAsia" w:asciiTheme="minorEastAsia" w:hAnsiTheme="minorEastAsia" w:eastAsiaTheme="minorEastAsia"/>
          <w:color w:val="auto"/>
          <w:sz w:val="24"/>
          <w:szCs w:val="24"/>
          <w:highlight w:val="none"/>
        </w:rPr>
        <w:t>旬完成初验，试运行1个月正常后，</w:t>
      </w:r>
      <w:r>
        <w:rPr>
          <w:rFonts w:hint="eastAsia" w:asciiTheme="minorEastAsia" w:hAnsiTheme="minorEastAsia" w:eastAsiaTheme="minorEastAsia"/>
          <w:color w:val="auto"/>
          <w:sz w:val="24"/>
          <w:szCs w:val="24"/>
          <w:highlight w:val="none"/>
          <w:lang w:val="en-US" w:eastAsia="zh-CN"/>
        </w:rPr>
        <w:t>3</w:t>
      </w:r>
      <w:r>
        <w:rPr>
          <w:rFonts w:hint="eastAsia" w:asciiTheme="minorEastAsia" w:hAnsiTheme="minorEastAsia" w:eastAsiaTheme="minorEastAsia"/>
          <w:color w:val="auto"/>
          <w:sz w:val="24"/>
          <w:szCs w:val="24"/>
          <w:highlight w:val="none"/>
        </w:rPr>
        <w:t>月</w:t>
      </w:r>
      <w:r>
        <w:rPr>
          <w:rFonts w:hint="eastAsia" w:asciiTheme="minorEastAsia" w:hAnsiTheme="minorEastAsia" w:eastAsiaTheme="minorEastAsia"/>
          <w:color w:val="auto"/>
          <w:sz w:val="24"/>
          <w:szCs w:val="24"/>
          <w:highlight w:val="none"/>
          <w:lang w:eastAsia="zh-CN"/>
        </w:rPr>
        <w:t>下</w:t>
      </w:r>
      <w:r>
        <w:rPr>
          <w:rFonts w:hint="eastAsia" w:asciiTheme="minorEastAsia" w:hAnsiTheme="minorEastAsia" w:eastAsiaTheme="minorEastAsia"/>
          <w:color w:val="auto"/>
          <w:sz w:val="24"/>
          <w:szCs w:val="24"/>
          <w:highlight w:val="none"/>
        </w:rPr>
        <w:t>旬完成终验，免费运维期3年</w:t>
      </w:r>
      <w:r>
        <w:rPr>
          <w:rFonts w:hint="eastAsia" w:asciiTheme="minorEastAsia" w:hAnsiTheme="minorEastAsia"/>
          <w:sz w:val="24"/>
          <w:highlight w:val="none"/>
        </w:rPr>
        <w:t>。</w:t>
      </w:r>
    </w:p>
    <w:p>
      <w:pPr>
        <w:widowControl/>
        <w:snapToGrid w:val="0"/>
        <w:spacing w:line="360" w:lineRule="auto"/>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3.2履约地点：杭州市城市管理局指定地点</w:t>
      </w:r>
    </w:p>
    <w:p>
      <w:pPr>
        <w:widowControl/>
        <w:snapToGrid w:val="0"/>
        <w:spacing w:line="360" w:lineRule="auto"/>
        <w:ind w:firstLine="482" w:firstLineChars="200"/>
        <w:outlineLvl w:val="2"/>
        <w:rPr>
          <w:rFonts w:cs="仿宋" w:asciiTheme="minorEastAsia" w:hAnsiTheme="minorEastAsia"/>
          <w:b/>
          <w:sz w:val="24"/>
          <w:highlight w:val="none"/>
          <w:lang w:val="en"/>
        </w:rPr>
      </w:pPr>
      <w:r>
        <w:rPr>
          <w:rFonts w:hint="eastAsia" w:cs="仿宋" w:asciiTheme="minorEastAsia" w:hAnsiTheme="minorEastAsia"/>
          <w:b/>
          <w:sz w:val="24"/>
          <w:highlight w:val="none"/>
          <w:lang w:val="en"/>
        </w:rPr>
        <w:t>4</w:t>
      </w:r>
      <w:r>
        <w:rPr>
          <w:rFonts w:hint="eastAsia" w:cs="仿宋" w:asciiTheme="minorEastAsia" w:hAnsiTheme="minorEastAsia"/>
          <w:b/>
          <w:sz w:val="24"/>
          <w:highlight w:val="none"/>
        </w:rPr>
        <w:t>.建设内容</w:t>
      </w:r>
    </w:p>
    <w:p>
      <w:pPr>
        <w:snapToGrid w:val="0"/>
        <w:spacing w:line="360" w:lineRule="auto"/>
        <w:ind w:firstLine="480" w:firstLineChars="200"/>
        <w:jc w:val="left"/>
        <w:rPr>
          <w:rFonts w:cs="Calibri" w:asciiTheme="minorEastAsia" w:hAnsiTheme="minorEastAsia"/>
          <w:sz w:val="24"/>
          <w:highlight w:val="none"/>
        </w:rPr>
      </w:pPr>
      <w:r>
        <w:rPr>
          <w:rFonts w:hint="eastAsia" w:cs="仿宋" w:asciiTheme="minorEastAsia" w:hAnsiTheme="minorEastAsia"/>
          <w:sz w:val="24"/>
          <w:highlight w:val="none"/>
        </w:rPr>
        <w:t xml:space="preserve">4.1 </w:t>
      </w:r>
      <w:r>
        <w:rPr>
          <w:rFonts w:hint="eastAsia" w:cs="仿宋" w:asciiTheme="minorEastAsia" w:hAnsiTheme="minorEastAsia"/>
          <w:sz w:val="24"/>
          <w:highlight w:val="none"/>
          <w:lang w:eastAsia="zh-CN"/>
        </w:rPr>
        <w:t>杭州市城市运行“一网统管”迭代升级项目</w:t>
      </w:r>
      <w:r>
        <w:rPr>
          <w:rFonts w:hint="eastAsia" w:cs="仿宋" w:asciiTheme="minorEastAsia" w:hAnsiTheme="minorEastAsia"/>
          <w:sz w:val="24"/>
          <w:highlight w:val="none"/>
        </w:rPr>
        <w:t>包括：（具体内容根据中标后确定）</w:t>
      </w:r>
    </w:p>
    <w:p>
      <w:pPr>
        <w:numPr>
          <w:ilvl w:val="0"/>
          <w:numId w:val="4"/>
        </w:numPr>
        <w:spacing w:line="360" w:lineRule="auto"/>
        <w:ind w:left="420" w:leftChars="200"/>
        <w:outlineLvl w:val="2"/>
        <w:rPr>
          <w:rFonts w:cs="仿宋" w:asciiTheme="minorEastAsia" w:hAnsiTheme="minorEastAsia"/>
          <w:b/>
          <w:sz w:val="24"/>
          <w:highlight w:val="none"/>
        </w:rPr>
      </w:pPr>
      <w:r>
        <w:rPr>
          <w:rFonts w:hint="eastAsia" w:cs="仿宋" w:asciiTheme="minorEastAsia" w:hAnsiTheme="minorEastAsia"/>
          <w:b/>
          <w:sz w:val="24"/>
          <w:highlight w:val="none"/>
        </w:rPr>
        <w:t>项目实施</w:t>
      </w:r>
    </w:p>
    <w:p>
      <w:pPr>
        <w:spacing w:line="360" w:lineRule="auto"/>
        <w:ind w:firstLine="480" w:firstLineChars="200"/>
        <w:rPr>
          <w:rFonts w:cs="仿宋" w:asciiTheme="minorEastAsia" w:hAnsiTheme="minorEastAsia"/>
          <w:sz w:val="24"/>
          <w:highlight w:val="none"/>
        </w:rPr>
      </w:pPr>
      <w:r>
        <w:rPr>
          <w:rFonts w:hint="eastAsia" w:cs="仿宋" w:asciiTheme="minorEastAsia" w:hAnsiTheme="minorEastAsia"/>
          <w:sz w:val="24"/>
          <w:highlight w:val="none"/>
          <w:lang w:val="en"/>
        </w:rPr>
        <w:t>5</w:t>
      </w:r>
      <w:r>
        <w:rPr>
          <w:rFonts w:hint="eastAsia" w:cs="仿宋" w:asciiTheme="minorEastAsia" w:hAnsiTheme="minorEastAsia"/>
          <w:sz w:val="24"/>
          <w:highlight w:val="none"/>
        </w:rPr>
        <w:t>.1 乙方项目实施人员须服从甲方管理人员管理。乙方项目实施人员必须遵守现场的各项规章制度。</w:t>
      </w:r>
    </w:p>
    <w:p>
      <w:pPr>
        <w:spacing w:line="360" w:lineRule="auto"/>
        <w:ind w:firstLine="480" w:firstLineChars="200"/>
        <w:rPr>
          <w:rFonts w:cs="仿宋" w:asciiTheme="minorEastAsia" w:hAnsiTheme="minorEastAsia"/>
          <w:sz w:val="24"/>
          <w:highlight w:val="none"/>
        </w:rPr>
      </w:pPr>
      <w:r>
        <w:rPr>
          <w:rFonts w:hint="eastAsia" w:cs="仿宋" w:asciiTheme="minorEastAsia" w:hAnsiTheme="minorEastAsia"/>
          <w:sz w:val="24"/>
          <w:highlight w:val="none"/>
          <w:lang w:val="en"/>
        </w:rPr>
        <w:t>5</w:t>
      </w:r>
      <w:r>
        <w:rPr>
          <w:rFonts w:hint="eastAsia" w:cs="仿宋" w:asciiTheme="minorEastAsia" w:hAnsiTheme="minorEastAsia"/>
          <w:sz w:val="24"/>
          <w:highlight w:val="none"/>
        </w:rPr>
        <w:t>.2 乙方应根据项目情况提供软件开发计划，项目实施进度计划，经甲、乙双方共同确定后作为双方共同执行的合同条款，乙方应按计划完工交付验收。</w:t>
      </w:r>
    </w:p>
    <w:p>
      <w:pPr>
        <w:spacing w:line="360" w:lineRule="auto"/>
        <w:ind w:firstLine="482" w:firstLineChars="200"/>
        <w:outlineLvl w:val="2"/>
        <w:rPr>
          <w:rFonts w:cs="仿宋" w:asciiTheme="minorEastAsia" w:hAnsiTheme="minorEastAsia"/>
          <w:b/>
          <w:bCs/>
          <w:sz w:val="24"/>
          <w:highlight w:val="none"/>
          <w:lang w:val="en"/>
        </w:rPr>
      </w:pPr>
      <w:r>
        <w:rPr>
          <w:rFonts w:hint="eastAsia" w:cs="仿宋" w:asciiTheme="minorEastAsia" w:hAnsiTheme="minorEastAsia"/>
          <w:b/>
          <w:bCs/>
          <w:sz w:val="24"/>
          <w:highlight w:val="none"/>
        </w:rPr>
        <w:t>6</w:t>
      </w:r>
      <w:r>
        <w:rPr>
          <w:rFonts w:hint="eastAsia" w:cs="仿宋" w:asciiTheme="minorEastAsia" w:hAnsiTheme="minorEastAsia"/>
          <w:b/>
          <w:bCs/>
          <w:sz w:val="24"/>
          <w:highlight w:val="none"/>
          <w:lang w:val="en"/>
        </w:rPr>
        <w:t>．</w:t>
      </w:r>
      <w:r>
        <w:rPr>
          <w:rFonts w:hint="eastAsia" w:cs="仿宋" w:asciiTheme="minorEastAsia" w:hAnsiTheme="minorEastAsia"/>
          <w:b/>
          <w:bCs/>
          <w:sz w:val="24"/>
          <w:highlight w:val="none"/>
          <w:lang w:val="zh-CN"/>
        </w:rPr>
        <w:t>系统维护</w:t>
      </w:r>
    </w:p>
    <w:p>
      <w:pPr>
        <w:spacing w:line="360" w:lineRule="auto"/>
        <w:ind w:firstLine="480" w:firstLineChars="200"/>
        <w:rPr>
          <w:rFonts w:cs="仿宋" w:asciiTheme="minorEastAsia" w:hAnsiTheme="minorEastAsia"/>
          <w:sz w:val="24"/>
          <w:highlight w:val="none"/>
          <w:lang w:val="en"/>
        </w:rPr>
      </w:pPr>
      <w:r>
        <w:rPr>
          <w:rFonts w:hint="eastAsia" w:cs="仿宋" w:asciiTheme="minorEastAsia" w:hAnsiTheme="minorEastAsia"/>
          <w:sz w:val="24"/>
          <w:highlight w:val="none"/>
          <w:lang w:val="en"/>
        </w:rPr>
        <w:t>本项目需提供3年的免费运维期，运维期从终验合格之日开始计算。运维期内，甲方可要求乙方的一名工程师常驻现场，服从工作安排，</w:t>
      </w:r>
      <w:r>
        <w:rPr>
          <w:rFonts w:hint="eastAsia" w:cs="仿宋" w:asciiTheme="minorEastAsia" w:hAnsiTheme="minorEastAsia"/>
          <w:sz w:val="24"/>
          <w:highlight w:val="none"/>
        </w:rPr>
        <w:t>甲方对于工程师不满意的，乙方应无条件更换</w:t>
      </w:r>
      <w:r>
        <w:rPr>
          <w:rFonts w:hint="eastAsia" w:cs="仿宋" w:asciiTheme="minorEastAsia" w:hAnsiTheme="minorEastAsia"/>
          <w:sz w:val="24"/>
          <w:highlight w:val="none"/>
          <w:lang w:val="en"/>
        </w:rPr>
        <w:t>。试运行期间</w:t>
      </w:r>
      <w:r>
        <w:rPr>
          <w:rFonts w:hint="eastAsia" w:cs="仿宋" w:asciiTheme="minorEastAsia" w:hAnsiTheme="minorEastAsia"/>
          <w:sz w:val="24"/>
          <w:highlight w:val="none"/>
        </w:rPr>
        <w:t>提供免费运维服务，在招标及合同范围内</w:t>
      </w:r>
      <w:r>
        <w:rPr>
          <w:rFonts w:hint="eastAsia" w:cs="仿宋" w:asciiTheme="minorEastAsia" w:hAnsiTheme="minorEastAsia"/>
          <w:sz w:val="24"/>
          <w:highlight w:val="none"/>
          <w:lang w:val="en"/>
        </w:rPr>
        <w:t>无条件响应并满足用户对系统的修改，</w:t>
      </w:r>
      <w:r>
        <w:rPr>
          <w:rFonts w:hint="eastAsia" w:cs="仿宋" w:asciiTheme="minorEastAsia" w:hAnsiTheme="minorEastAsia"/>
          <w:sz w:val="24"/>
          <w:highlight w:val="none"/>
        </w:rPr>
        <w:t>响应时间</w:t>
      </w:r>
      <w:r>
        <w:rPr>
          <w:rFonts w:hint="eastAsia" w:cs="仿宋" w:asciiTheme="minorEastAsia" w:hAnsiTheme="minorEastAsia"/>
          <w:sz w:val="24"/>
          <w:highlight w:val="none"/>
          <w:lang w:val="en"/>
        </w:rPr>
        <w:t>最迟不超过24小时。3年的免费运维期间需及时响应并满足用户对于系统的问题故障处理和缺陷修正。运维期内所有的服务均为免费服务,提供7×24小时电话或电子邮件服务，1小时内做出明确响应和安排，</w:t>
      </w:r>
      <w:r>
        <w:rPr>
          <w:rFonts w:hint="eastAsia" w:cs="仿宋" w:asciiTheme="minorEastAsia" w:hAnsiTheme="minorEastAsia"/>
          <w:sz w:val="24"/>
          <w:highlight w:val="none"/>
        </w:rPr>
        <w:t>并及时提出问题解决或缺陷修正方案。</w:t>
      </w:r>
      <w:r>
        <w:rPr>
          <w:rFonts w:hint="eastAsia" w:cs="仿宋" w:asciiTheme="minorEastAsia" w:hAnsiTheme="minorEastAsia"/>
          <w:sz w:val="24"/>
          <w:highlight w:val="none"/>
          <w:lang w:val="en"/>
        </w:rPr>
        <w:t>如需专业工程师现场服务的，具有解决故障能力的技术工程师应在2小时内到场。</w:t>
      </w:r>
    </w:p>
    <w:p>
      <w:pPr>
        <w:spacing w:line="360" w:lineRule="auto"/>
        <w:ind w:firstLine="482" w:firstLineChars="200"/>
        <w:outlineLvl w:val="2"/>
        <w:rPr>
          <w:rFonts w:cs="仿宋" w:asciiTheme="minorEastAsia" w:hAnsiTheme="minorEastAsia"/>
          <w:b/>
          <w:bCs/>
          <w:sz w:val="24"/>
          <w:highlight w:val="none"/>
          <w:lang w:val="en"/>
        </w:rPr>
      </w:pPr>
      <w:r>
        <w:rPr>
          <w:rFonts w:hint="eastAsia" w:cs="仿宋" w:asciiTheme="minorEastAsia" w:hAnsiTheme="minorEastAsia"/>
          <w:b/>
          <w:bCs/>
          <w:sz w:val="24"/>
          <w:highlight w:val="none"/>
        </w:rPr>
        <w:t>7</w:t>
      </w:r>
      <w:r>
        <w:rPr>
          <w:rFonts w:hint="eastAsia" w:cs="仿宋" w:asciiTheme="minorEastAsia" w:hAnsiTheme="minorEastAsia"/>
          <w:b/>
          <w:bCs/>
          <w:sz w:val="24"/>
          <w:highlight w:val="none"/>
          <w:lang w:val="en"/>
        </w:rPr>
        <w:t>．验收</w:t>
      </w:r>
    </w:p>
    <w:p>
      <w:pPr>
        <w:spacing w:line="360" w:lineRule="auto"/>
        <w:ind w:firstLine="480" w:firstLineChars="200"/>
        <w:rPr>
          <w:rFonts w:cs="仿宋" w:asciiTheme="minorEastAsia" w:hAnsiTheme="minorEastAsia"/>
          <w:sz w:val="24"/>
          <w:highlight w:val="none"/>
          <w:lang w:val="en"/>
        </w:rPr>
      </w:pPr>
      <w:r>
        <w:rPr>
          <w:rFonts w:hint="eastAsia" w:cs="仿宋" w:asciiTheme="minorEastAsia" w:hAnsiTheme="minorEastAsia"/>
          <w:sz w:val="24"/>
          <w:highlight w:val="none"/>
          <w:lang w:val="en"/>
        </w:rPr>
        <w:t>甲方按照招投标文件和合同要求进行验收。根据《杭州市政府采购履约验收暂行办法》杭财采监〔2019〕10 号规定，进行履约验收，验收合格报告作为项目支付的依据。</w:t>
      </w:r>
    </w:p>
    <w:p>
      <w:pPr>
        <w:spacing w:line="360" w:lineRule="auto"/>
        <w:ind w:firstLine="480" w:firstLineChars="200"/>
        <w:rPr>
          <w:rFonts w:cs="仿宋" w:asciiTheme="minorEastAsia" w:hAnsiTheme="minorEastAsia"/>
          <w:sz w:val="24"/>
          <w:highlight w:val="none"/>
          <w:lang w:val="en"/>
        </w:rPr>
      </w:pPr>
      <w:r>
        <w:rPr>
          <w:rFonts w:hint="eastAsia" w:cs="仿宋" w:asciiTheme="minorEastAsia" w:hAnsiTheme="minorEastAsia"/>
          <w:sz w:val="24"/>
          <w:highlight w:val="none"/>
        </w:rPr>
        <w:t>7</w:t>
      </w:r>
      <w:r>
        <w:rPr>
          <w:rFonts w:hint="eastAsia" w:cs="仿宋" w:asciiTheme="minorEastAsia" w:hAnsiTheme="minorEastAsia"/>
          <w:sz w:val="24"/>
          <w:highlight w:val="none"/>
          <w:lang w:val="en"/>
        </w:rPr>
        <w:t xml:space="preserve">.1 </w:t>
      </w:r>
      <w:r>
        <w:rPr>
          <w:rFonts w:hint="eastAsia" w:cs="仿宋" w:asciiTheme="minorEastAsia" w:hAnsiTheme="minorEastAsia"/>
          <w:sz w:val="24"/>
          <w:highlight w:val="none"/>
          <w:lang w:val="zh-CN"/>
        </w:rPr>
        <w:t>完成全部系统建设任务，投入试运行前，</w:t>
      </w:r>
      <w:r>
        <w:rPr>
          <w:rFonts w:hint="eastAsia" w:cs="仿宋" w:asciiTheme="minorEastAsia" w:hAnsiTheme="minorEastAsia"/>
          <w:sz w:val="24"/>
          <w:highlight w:val="none"/>
          <w:lang w:val="en"/>
        </w:rPr>
        <w:t>由甲方组织对项目进行初步验收，</w:t>
      </w:r>
      <w:r>
        <w:rPr>
          <w:rFonts w:hint="eastAsia" w:cs="仿宋" w:asciiTheme="minorEastAsia" w:hAnsiTheme="minorEastAsia"/>
          <w:sz w:val="24"/>
          <w:highlight w:val="none"/>
          <w:lang w:val="zh-CN"/>
        </w:rPr>
        <w:t>通过初验后进行试运行。投入试运行后正常运行1个月，</w:t>
      </w:r>
      <w:r>
        <w:rPr>
          <w:rFonts w:hint="eastAsia" w:cs="仿宋" w:asciiTheme="minorEastAsia" w:hAnsiTheme="minorEastAsia"/>
          <w:sz w:val="24"/>
          <w:highlight w:val="none"/>
          <w:lang w:val="en"/>
        </w:rPr>
        <w:t>由甲方会同有关部门对项目进行最终验收。</w:t>
      </w:r>
    </w:p>
    <w:p>
      <w:pPr>
        <w:spacing w:line="360" w:lineRule="auto"/>
        <w:ind w:firstLine="480" w:firstLineChars="200"/>
        <w:rPr>
          <w:rFonts w:cs="仿宋" w:asciiTheme="minorEastAsia" w:hAnsiTheme="minorEastAsia"/>
          <w:sz w:val="24"/>
          <w:highlight w:val="none"/>
          <w:lang w:val="en"/>
        </w:rPr>
      </w:pPr>
      <w:r>
        <w:rPr>
          <w:rFonts w:hint="eastAsia" w:cs="仿宋" w:asciiTheme="minorEastAsia" w:hAnsiTheme="minorEastAsia"/>
          <w:sz w:val="24"/>
          <w:highlight w:val="none"/>
        </w:rPr>
        <w:t>7</w:t>
      </w:r>
      <w:r>
        <w:rPr>
          <w:rFonts w:hint="eastAsia" w:cs="仿宋" w:asciiTheme="minorEastAsia" w:hAnsiTheme="minorEastAsia"/>
          <w:sz w:val="24"/>
          <w:highlight w:val="none"/>
          <w:lang w:val="en"/>
        </w:rPr>
        <w:t>.2 如果发现与合同中要求不符，乙方须承担由此发生的一切损失和费用，并承担相应的违约责任。</w:t>
      </w:r>
    </w:p>
    <w:p>
      <w:pPr>
        <w:spacing w:line="360" w:lineRule="auto"/>
        <w:ind w:firstLine="480" w:firstLineChars="200"/>
        <w:rPr>
          <w:rFonts w:cs="仿宋" w:asciiTheme="minorEastAsia" w:hAnsiTheme="minorEastAsia"/>
          <w:sz w:val="24"/>
          <w:highlight w:val="none"/>
          <w:lang w:val="en"/>
        </w:rPr>
      </w:pPr>
      <w:r>
        <w:rPr>
          <w:rFonts w:hint="eastAsia" w:cs="仿宋" w:asciiTheme="minorEastAsia" w:hAnsiTheme="minorEastAsia"/>
          <w:sz w:val="24"/>
          <w:highlight w:val="none"/>
        </w:rPr>
        <w:t>7</w:t>
      </w:r>
      <w:r>
        <w:rPr>
          <w:rFonts w:hint="eastAsia" w:cs="仿宋" w:asciiTheme="minorEastAsia" w:hAnsiTheme="minorEastAsia"/>
          <w:sz w:val="24"/>
          <w:highlight w:val="none"/>
          <w:lang w:val="en"/>
        </w:rPr>
        <w:t>.3 验收时乙方必须提供完整的竣工验收资料，验收时需提供的文档包括但不仅限于：项目投标文件电子稿、项目实施方案、系统（软件）安装实施报告、测试方案、测试记录及报告、配置和维护手册、系统试运行报告、项目总结报告、项目用户报告等相关材料。</w:t>
      </w:r>
    </w:p>
    <w:p>
      <w:pPr>
        <w:spacing w:line="360" w:lineRule="auto"/>
        <w:ind w:firstLine="482" w:firstLineChars="200"/>
        <w:outlineLvl w:val="2"/>
        <w:rPr>
          <w:rFonts w:cs="仿宋" w:asciiTheme="minorEastAsia" w:hAnsiTheme="minorEastAsia"/>
          <w:b/>
          <w:bCs/>
          <w:sz w:val="24"/>
          <w:highlight w:val="none"/>
          <w:lang w:val="en"/>
        </w:rPr>
      </w:pPr>
      <w:r>
        <w:rPr>
          <w:rFonts w:hint="eastAsia" w:cs="仿宋" w:asciiTheme="minorEastAsia" w:hAnsiTheme="minorEastAsia"/>
          <w:b/>
          <w:bCs/>
          <w:sz w:val="24"/>
          <w:highlight w:val="none"/>
        </w:rPr>
        <w:t>8</w:t>
      </w:r>
      <w:r>
        <w:rPr>
          <w:rFonts w:hint="eastAsia" w:cs="仿宋" w:asciiTheme="minorEastAsia" w:hAnsiTheme="minorEastAsia"/>
          <w:b/>
          <w:bCs/>
          <w:sz w:val="24"/>
          <w:highlight w:val="none"/>
          <w:lang w:val="en"/>
        </w:rPr>
        <w:t>．履约保证金</w:t>
      </w:r>
    </w:p>
    <w:p>
      <w:pPr>
        <w:spacing w:line="360" w:lineRule="auto"/>
        <w:ind w:firstLine="480" w:firstLineChars="200"/>
        <w:rPr>
          <w:rFonts w:cs="仿宋" w:asciiTheme="minorEastAsia" w:hAnsiTheme="minorEastAsia"/>
          <w:sz w:val="24"/>
          <w:highlight w:val="none"/>
          <w:lang w:val="en"/>
        </w:rPr>
      </w:pPr>
      <w:r>
        <w:rPr>
          <w:rFonts w:hint="eastAsia" w:cs="仿宋" w:asciiTheme="minorEastAsia" w:hAnsiTheme="minorEastAsia"/>
          <w:sz w:val="24"/>
          <w:highlight w:val="none"/>
        </w:rPr>
        <w:t>8.1</w:t>
      </w:r>
      <w:r>
        <w:rPr>
          <w:rFonts w:hint="eastAsia" w:cs="仿宋" w:asciiTheme="minorEastAsia" w:hAnsiTheme="minorEastAsia"/>
          <w:sz w:val="24"/>
          <w:highlight w:val="none"/>
          <w:lang w:val="en"/>
        </w:rPr>
        <w:t>在合同签订后5个工作日内，乙方向甲方提交合同金额</w:t>
      </w:r>
      <w:r>
        <w:rPr>
          <w:rFonts w:cs="仿宋" w:asciiTheme="minorEastAsia" w:hAnsiTheme="minorEastAsia"/>
          <w:sz w:val="24"/>
          <w:highlight w:val="none"/>
        </w:rPr>
        <w:t>0.3</w:t>
      </w:r>
      <w:r>
        <w:rPr>
          <w:rFonts w:hint="eastAsia" w:cs="仿宋" w:asciiTheme="minorEastAsia" w:hAnsiTheme="minorEastAsia"/>
          <w:sz w:val="24"/>
          <w:highlight w:val="none"/>
          <w:lang w:val="en"/>
        </w:rPr>
        <w:t>%的履约保证金。项目总体实施完毕并经终验通过后，该履约保证金由甲方退还给乙方。</w:t>
      </w:r>
    </w:p>
    <w:p>
      <w:pPr>
        <w:spacing w:line="360" w:lineRule="auto"/>
        <w:ind w:firstLine="480" w:firstLineChars="200"/>
        <w:rPr>
          <w:rFonts w:cs="仿宋" w:asciiTheme="minorEastAsia" w:hAnsiTheme="minorEastAsia"/>
          <w:sz w:val="24"/>
          <w:highlight w:val="none"/>
          <w:lang w:val="en"/>
        </w:rPr>
      </w:pPr>
      <w:r>
        <w:rPr>
          <w:rFonts w:hint="eastAsia" w:cs="仿宋" w:asciiTheme="minorEastAsia" w:hAnsiTheme="minorEastAsia"/>
          <w:sz w:val="24"/>
          <w:highlight w:val="none"/>
        </w:rPr>
        <w:t>8.2</w:t>
      </w:r>
      <w:r>
        <w:rPr>
          <w:rFonts w:hint="eastAsia" w:cs="仿宋" w:asciiTheme="minorEastAsia" w:hAnsiTheme="minorEastAsia"/>
          <w:sz w:val="24"/>
          <w:highlight w:val="none"/>
          <w:lang w:val="en"/>
        </w:rPr>
        <w:t>履约保证金可以</w:t>
      </w:r>
      <w:r>
        <w:rPr>
          <w:rFonts w:hint="eastAsia" w:cs="仿宋" w:asciiTheme="minorEastAsia" w:hAnsiTheme="minorEastAsia"/>
          <w:kern w:val="0"/>
          <w:sz w:val="24"/>
          <w:highlight w:val="none"/>
        </w:rPr>
        <w:t>以支票、汇票、本票或者金融机构、担保机构出具的保函等非现金形式提交</w:t>
      </w:r>
      <w:r>
        <w:rPr>
          <w:rFonts w:hint="eastAsia" w:cs="仿宋" w:asciiTheme="minorEastAsia" w:hAnsiTheme="minorEastAsia"/>
          <w:sz w:val="24"/>
          <w:highlight w:val="none"/>
          <w:lang w:val="en"/>
        </w:rPr>
        <w:t>。</w:t>
      </w:r>
    </w:p>
    <w:p>
      <w:pPr>
        <w:tabs>
          <w:tab w:val="left" w:pos="0"/>
        </w:tabs>
        <w:adjustRightInd/>
        <w:spacing w:line="360" w:lineRule="auto"/>
        <w:ind w:firstLine="482"/>
        <w:rPr>
          <w:rFonts w:cs="仿宋" w:asciiTheme="minorEastAsia" w:hAnsiTheme="minorEastAsia"/>
          <w:sz w:val="24"/>
          <w:highlight w:val="none"/>
        </w:rPr>
      </w:pPr>
      <w:r>
        <w:rPr>
          <w:rFonts w:hint="eastAsia" w:cs="仿宋" w:asciiTheme="minorEastAsia" w:hAnsiTheme="minorEastAsia"/>
          <w:sz w:val="24"/>
          <w:highlight w:val="none"/>
        </w:rPr>
        <w:t>8.3</w:t>
      </w:r>
      <w:r>
        <w:rPr>
          <w:rFonts w:hint="eastAsia" w:cs="仿宋" w:asciiTheme="minorEastAsia" w:hAnsiTheme="minorEastAsia"/>
          <w:sz w:val="24"/>
          <w:highlight w:val="none"/>
          <w:lang w:val="en"/>
        </w:rPr>
        <w:t>根据《政府采购促进中小企业发展管理办法》要求，允许中小企业引入信用担保手段。</w:t>
      </w:r>
    </w:p>
    <w:p>
      <w:pPr>
        <w:numPr>
          <w:ilvl w:val="0"/>
          <w:numId w:val="5"/>
        </w:numPr>
        <w:spacing w:line="360" w:lineRule="auto"/>
        <w:ind w:firstLine="482" w:firstLineChars="200"/>
        <w:outlineLvl w:val="2"/>
        <w:rPr>
          <w:rFonts w:cs="仿宋" w:asciiTheme="minorEastAsia" w:hAnsiTheme="minorEastAsia"/>
          <w:b/>
          <w:bCs/>
          <w:sz w:val="24"/>
          <w:highlight w:val="none"/>
          <w:lang w:val="en"/>
        </w:rPr>
      </w:pPr>
      <w:r>
        <w:rPr>
          <w:rFonts w:hint="eastAsia" w:cs="仿宋" w:asciiTheme="minorEastAsia" w:hAnsiTheme="minorEastAsia"/>
          <w:b/>
          <w:bCs/>
          <w:sz w:val="24"/>
          <w:highlight w:val="none"/>
          <w:lang w:val="en"/>
        </w:rPr>
        <w:t>合同价格及付款方式</w:t>
      </w:r>
    </w:p>
    <w:p>
      <w:pPr>
        <w:spacing w:line="360" w:lineRule="auto"/>
        <w:ind w:firstLine="480" w:firstLineChars="200"/>
        <w:rPr>
          <w:rFonts w:cs="仿宋" w:asciiTheme="minorEastAsia" w:hAnsiTheme="minorEastAsia"/>
          <w:sz w:val="24"/>
          <w:highlight w:val="none"/>
          <w:lang w:val="en"/>
        </w:rPr>
      </w:pPr>
      <w:r>
        <w:rPr>
          <w:rFonts w:hint="eastAsia" w:cs="仿宋" w:asciiTheme="minorEastAsia" w:hAnsiTheme="minorEastAsia"/>
          <w:sz w:val="24"/>
          <w:highlight w:val="none"/>
        </w:rPr>
        <w:t xml:space="preserve">9.1 </w:t>
      </w:r>
      <w:r>
        <w:rPr>
          <w:rFonts w:hint="eastAsia" w:cs="仿宋" w:asciiTheme="minorEastAsia" w:hAnsiTheme="minorEastAsia"/>
          <w:sz w:val="24"/>
          <w:highlight w:val="none"/>
          <w:lang w:val="en"/>
        </w:rPr>
        <w:t>付款方式：</w:t>
      </w:r>
      <w:r>
        <w:rPr>
          <w:rFonts w:hint="eastAsia" w:cs="仿宋" w:asciiTheme="minorEastAsia" w:hAnsiTheme="minorEastAsia"/>
          <w:sz w:val="24"/>
          <w:highlight w:val="none"/>
          <w:lang w:val="zh-CN"/>
        </w:rPr>
        <w:t>本次项目合同总价为人民币</w:t>
      </w:r>
      <w:r>
        <w:rPr>
          <w:rFonts w:hint="eastAsia" w:cs="仿宋" w:asciiTheme="minorEastAsia" w:hAnsiTheme="minorEastAsia"/>
          <w:sz w:val="24"/>
          <w:highlight w:val="none"/>
          <w:u w:val="single"/>
        </w:rPr>
        <w:t xml:space="preserve">      </w:t>
      </w:r>
      <w:r>
        <w:rPr>
          <w:rFonts w:hint="eastAsia" w:cs="仿宋" w:asciiTheme="minorEastAsia" w:hAnsiTheme="minorEastAsia"/>
          <w:sz w:val="24"/>
          <w:highlight w:val="none"/>
          <w:lang w:val="zh-CN"/>
        </w:rPr>
        <w:t>元整（￥</w:t>
      </w:r>
      <w:r>
        <w:rPr>
          <w:rFonts w:hint="eastAsia" w:cs="仿宋" w:asciiTheme="minorEastAsia" w:hAnsiTheme="minorEastAsia"/>
          <w:sz w:val="24"/>
          <w:highlight w:val="none"/>
          <w:u w:val="single"/>
        </w:rPr>
        <w:t xml:space="preserve">        </w:t>
      </w:r>
      <w:r>
        <w:rPr>
          <w:rFonts w:hint="eastAsia" w:cs="仿宋" w:asciiTheme="minorEastAsia" w:hAnsiTheme="minorEastAsia"/>
          <w:sz w:val="24"/>
          <w:highlight w:val="none"/>
          <w:lang w:val="zh-CN"/>
        </w:rPr>
        <w:t>元），采用分期验收、分期付款方式</w:t>
      </w:r>
      <w:r>
        <w:rPr>
          <w:rFonts w:hint="eastAsia" w:cs="仿宋" w:asciiTheme="minorEastAsia" w:hAnsiTheme="minorEastAsia"/>
          <w:sz w:val="24"/>
          <w:highlight w:val="none"/>
          <w:lang w:val="en"/>
        </w:rPr>
        <w:t>：</w:t>
      </w:r>
    </w:p>
    <w:p>
      <w:pPr>
        <w:spacing w:line="360" w:lineRule="auto"/>
        <w:ind w:firstLine="480" w:firstLineChars="200"/>
        <w:rPr>
          <w:rFonts w:cs="仿宋" w:asciiTheme="minorEastAsia" w:hAnsiTheme="minorEastAsia"/>
          <w:sz w:val="24"/>
          <w:highlight w:val="none"/>
          <w:lang w:val="en"/>
        </w:rPr>
      </w:pPr>
      <w:r>
        <w:rPr>
          <w:rFonts w:hint="eastAsia" w:cs="仿宋" w:asciiTheme="minorEastAsia" w:hAnsiTheme="minorEastAsia"/>
          <w:sz w:val="24"/>
          <w:highlight w:val="none"/>
        </w:rPr>
        <w:t xml:space="preserve">9.2 </w:t>
      </w:r>
      <w:r>
        <w:rPr>
          <w:rFonts w:hint="eastAsia" w:cs="仿宋" w:asciiTheme="minorEastAsia" w:hAnsiTheme="minorEastAsia"/>
          <w:sz w:val="24"/>
          <w:highlight w:val="none"/>
          <w:lang w:val="en"/>
        </w:rPr>
        <w:t>合同签订且甲方收到乙方履约保证金后，收到乙方开具的等额发票和</w:t>
      </w:r>
      <w:r>
        <w:rPr>
          <w:rFonts w:ascii="宋体" w:hAnsi="宋体"/>
          <w:sz w:val="24"/>
          <w:highlight w:val="none"/>
        </w:rPr>
        <w:t>预付款保函</w:t>
      </w:r>
      <w:r>
        <w:rPr>
          <w:rFonts w:hint="eastAsia" w:cs="仿宋" w:asciiTheme="minorEastAsia" w:hAnsiTheme="minorEastAsia"/>
          <w:sz w:val="24"/>
          <w:highlight w:val="none"/>
          <w:lang w:val="en"/>
        </w:rPr>
        <w:t>后</w:t>
      </w:r>
      <w:r>
        <w:rPr>
          <w:rFonts w:cs="仿宋" w:asciiTheme="minorEastAsia" w:hAnsiTheme="minorEastAsia"/>
          <w:sz w:val="24"/>
          <w:highlight w:val="none"/>
          <w:lang w:val="en"/>
        </w:rPr>
        <w:t>5</w:t>
      </w:r>
      <w:r>
        <w:rPr>
          <w:rFonts w:hint="eastAsia" w:cs="仿宋" w:asciiTheme="minorEastAsia" w:hAnsiTheme="minorEastAsia"/>
          <w:sz w:val="24"/>
          <w:highlight w:val="none"/>
          <w:lang w:val="en"/>
        </w:rPr>
        <w:t>个工作日内，向乙方支付</w:t>
      </w:r>
      <w:r>
        <w:rPr>
          <w:rFonts w:hint="eastAsia" w:cs="仿宋" w:asciiTheme="minorEastAsia" w:hAnsiTheme="minorEastAsia"/>
          <w:sz w:val="24"/>
          <w:highlight w:val="none"/>
          <w:lang w:val="en-US" w:eastAsia="zh-CN"/>
        </w:rPr>
        <w:t>338.7万</w:t>
      </w:r>
      <w:r>
        <w:rPr>
          <w:rFonts w:hint="eastAsia" w:cs="仿宋" w:asciiTheme="minorEastAsia" w:hAnsiTheme="minorEastAsia"/>
          <w:sz w:val="24"/>
          <w:highlight w:val="none"/>
          <w:lang w:val="en"/>
        </w:rPr>
        <w:t>作为项目启动资金。</w:t>
      </w:r>
    </w:p>
    <w:p>
      <w:pPr>
        <w:spacing w:line="360" w:lineRule="auto"/>
        <w:ind w:firstLine="480" w:firstLineChars="200"/>
        <w:rPr>
          <w:rFonts w:cs="仿宋" w:asciiTheme="minorEastAsia" w:hAnsiTheme="minorEastAsia"/>
          <w:sz w:val="24"/>
          <w:highlight w:val="none"/>
          <w:lang w:val="en"/>
        </w:rPr>
      </w:pPr>
      <w:r>
        <w:rPr>
          <w:rFonts w:hint="eastAsia" w:cs="仿宋" w:asciiTheme="minorEastAsia" w:hAnsiTheme="minorEastAsia"/>
          <w:sz w:val="24"/>
          <w:highlight w:val="none"/>
        </w:rPr>
        <w:t xml:space="preserve">9.3 </w:t>
      </w:r>
      <w:r>
        <w:rPr>
          <w:rFonts w:hint="eastAsia" w:cs="仿宋" w:asciiTheme="minorEastAsia" w:hAnsiTheme="minorEastAsia"/>
          <w:sz w:val="24"/>
          <w:highlight w:val="none"/>
          <w:lang w:val="en"/>
        </w:rPr>
        <w:t>项目通过初验后，乙方可向甲方申请支付合同</w:t>
      </w:r>
      <w:r>
        <w:rPr>
          <w:rFonts w:hint="eastAsia" w:cs="仿宋" w:asciiTheme="minorEastAsia" w:hAnsiTheme="minorEastAsia"/>
          <w:sz w:val="24"/>
          <w:highlight w:val="none"/>
          <w:lang w:val="en" w:eastAsia="zh-CN"/>
        </w:rPr>
        <w:t>余款</w:t>
      </w:r>
      <w:r>
        <w:rPr>
          <w:rFonts w:hint="eastAsia" w:cs="仿宋" w:asciiTheme="minorEastAsia" w:hAnsiTheme="minorEastAsia"/>
          <w:sz w:val="24"/>
          <w:highlight w:val="none"/>
          <w:lang w:val="en"/>
        </w:rPr>
        <w:t>的</w:t>
      </w:r>
      <w:r>
        <w:rPr>
          <w:rFonts w:hint="eastAsia" w:cs="仿宋" w:asciiTheme="minorEastAsia" w:hAnsiTheme="minorEastAsia"/>
          <w:sz w:val="24"/>
          <w:highlight w:val="none"/>
          <w:lang w:val="en-US" w:eastAsia="zh-CN"/>
        </w:rPr>
        <w:t>5</w:t>
      </w:r>
      <w:r>
        <w:rPr>
          <w:rFonts w:hint="eastAsia" w:cs="仿宋" w:asciiTheme="minorEastAsia" w:hAnsiTheme="minorEastAsia"/>
          <w:sz w:val="24"/>
          <w:highlight w:val="none"/>
        </w:rPr>
        <w:t>0</w:t>
      </w:r>
      <w:r>
        <w:rPr>
          <w:rFonts w:hint="eastAsia" w:cs="仿宋" w:asciiTheme="minorEastAsia" w:hAnsiTheme="minorEastAsia"/>
          <w:sz w:val="24"/>
          <w:highlight w:val="none"/>
          <w:lang w:val="en"/>
        </w:rPr>
        <w:t>%，甲方收到乙方开具的发票后</w:t>
      </w:r>
      <w:r>
        <w:rPr>
          <w:rFonts w:cs="仿宋" w:asciiTheme="minorEastAsia" w:hAnsiTheme="minorEastAsia"/>
          <w:sz w:val="24"/>
          <w:highlight w:val="none"/>
          <w:lang w:val="en"/>
        </w:rPr>
        <w:t>5</w:t>
      </w:r>
      <w:r>
        <w:rPr>
          <w:rFonts w:hint="eastAsia" w:cs="仿宋" w:asciiTheme="minorEastAsia" w:hAnsiTheme="minorEastAsia"/>
          <w:sz w:val="24"/>
          <w:highlight w:val="none"/>
          <w:lang w:val="en"/>
        </w:rPr>
        <w:t>个工作日内支付款项；计人民币</w:t>
      </w:r>
      <w:r>
        <w:rPr>
          <w:rFonts w:hint="eastAsia" w:cs="仿宋" w:asciiTheme="minorEastAsia" w:hAnsiTheme="minorEastAsia"/>
          <w:sz w:val="24"/>
          <w:highlight w:val="none"/>
          <w:u w:val="single"/>
        </w:rPr>
        <w:t xml:space="preserve">          </w:t>
      </w:r>
      <w:r>
        <w:rPr>
          <w:rFonts w:hint="eastAsia" w:cs="仿宋" w:asciiTheme="minorEastAsia" w:hAnsiTheme="minorEastAsia"/>
          <w:sz w:val="24"/>
          <w:highlight w:val="none"/>
          <w:lang w:val="en"/>
        </w:rPr>
        <w:t>元整（￥</w:t>
      </w:r>
      <w:r>
        <w:rPr>
          <w:rFonts w:hint="eastAsia" w:cs="仿宋" w:asciiTheme="minorEastAsia" w:hAnsiTheme="minorEastAsia"/>
          <w:sz w:val="24"/>
          <w:highlight w:val="none"/>
          <w:u w:val="single"/>
        </w:rPr>
        <w:t xml:space="preserve">       </w:t>
      </w:r>
      <w:r>
        <w:rPr>
          <w:rFonts w:hint="eastAsia" w:cs="仿宋" w:asciiTheme="minorEastAsia" w:hAnsiTheme="minorEastAsia"/>
          <w:sz w:val="24"/>
          <w:highlight w:val="none"/>
          <w:lang w:val="en"/>
        </w:rPr>
        <w:t>元）。</w:t>
      </w:r>
    </w:p>
    <w:p>
      <w:pPr>
        <w:spacing w:line="360" w:lineRule="auto"/>
        <w:ind w:firstLine="480" w:firstLineChars="200"/>
        <w:rPr>
          <w:rFonts w:cs="仿宋" w:asciiTheme="minorEastAsia" w:hAnsiTheme="minorEastAsia"/>
          <w:sz w:val="24"/>
          <w:highlight w:val="none"/>
          <w:lang w:val="en"/>
        </w:rPr>
      </w:pPr>
      <w:r>
        <w:rPr>
          <w:rFonts w:hint="eastAsia" w:cs="仿宋" w:asciiTheme="minorEastAsia" w:hAnsiTheme="minorEastAsia"/>
          <w:sz w:val="24"/>
          <w:highlight w:val="none"/>
        </w:rPr>
        <w:t xml:space="preserve">9.4 </w:t>
      </w:r>
      <w:r>
        <w:rPr>
          <w:rFonts w:hint="eastAsia" w:cs="仿宋" w:asciiTheme="minorEastAsia" w:hAnsiTheme="minorEastAsia"/>
          <w:sz w:val="24"/>
          <w:highlight w:val="none"/>
          <w:lang w:val="en"/>
        </w:rPr>
        <w:t>项目通过终验后，乙方可向甲方申请支付合同</w:t>
      </w:r>
      <w:r>
        <w:rPr>
          <w:rFonts w:hint="eastAsia" w:cs="仿宋" w:asciiTheme="minorEastAsia" w:hAnsiTheme="minorEastAsia"/>
          <w:sz w:val="24"/>
          <w:highlight w:val="none"/>
          <w:lang w:val="en" w:eastAsia="zh-CN"/>
        </w:rPr>
        <w:t>余款</w:t>
      </w:r>
      <w:r>
        <w:rPr>
          <w:rFonts w:hint="eastAsia" w:cs="仿宋" w:asciiTheme="minorEastAsia" w:hAnsiTheme="minorEastAsia"/>
          <w:sz w:val="24"/>
          <w:highlight w:val="none"/>
          <w:lang w:val="en"/>
        </w:rPr>
        <w:t>，甲方收到乙方开具的发票后</w:t>
      </w:r>
      <w:r>
        <w:rPr>
          <w:rFonts w:cs="仿宋" w:asciiTheme="minorEastAsia" w:hAnsiTheme="minorEastAsia"/>
          <w:sz w:val="24"/>
          <w:highlight w:val="none"/>
          <w:lang w:val="en"/>
        </w:rPr>
        <w:t>5</w:t>
      </w:r>
      <w:r>
        <w:rPr>
          <w:rFonts w:hint="eastAsia" w:cs="仿宋" w:asciiTheme="minorEastAsia" w:hAnsiTheme="minorEastAsia"/>
          <w:sz w:val="24"/>
          <w:highlight w:val="none"/>
          <w:lang w:val="en"/>
        </w:rPr>
        <w:t>个工作日内支付款项，计人民币</w:t>
      </w:r>
      <w:r>
        <w:rPr>
          <w:rFonts w:hint="eastAsia" w:cs="仿宋" w:asciiTheme="minorEastAsia" w:hAnsiTheme="minorEastAsia"/>
          <w:sz w:val="24"/>
          <w:highlight w:val="none"/>
          <w:u w:val="single"/>
        </w:rPr>
        <w:t xml:space="preserve">         </w:t>
      </w:r>
      <w:r>
        <w:rPr>
          <w:rFonts w:hint="eastAsia" w:cs="仿宋" w:asciiTheme="minorEastAsia" w:hAnsiTheme="minorEastAsia"/>
          <w:sz w:val="24"/>
          <w:highlight w:val="none"/>
          <w:lang w:val="en"/>
        </w:rPr>
        <w:t>元整（￥</w:t>
      </w:r>
      <w:r>
        <w:rPr>
          <w:rFonts w:hint="eastAsia" w:cs="仿宋" w:asciiTheme="minorEastAsia" w:hAnsiTheme="minorEastAsia"/>
          <w:sz w:val="24"/>
          <w:highlight w:val="none"/>
          <w:u w:val="single"/>
        </w:rPr>
        <w:t xml:space="preserve">       </w:t>
      </w:r>
      <w:r>
        <w:rPr>
          <w:rFonts w:hint="eastAsia" w:cs="仿宋" w:asciiTheme="minorEastAsia" w:hAnsiTheme="minorEastAsia"/>
          <w:sz w:val="24"/>
          <w:highlight w:val="none"/>
          <w:lang w:val="en"/>
        </w:rPr>
        <w:t>元）。</w:t>
      </w:r>
    </w:p>
    <w:p>
      <w:pPr>
        <w:pStyle w:val="26"/>
        <w:rPr>
          <w:lang w:val="en"/>
        </w:rPr>
      </w:pPr>
      <w:r>
        <w:rPr>
          <w:rFonts w:hint="eastAsia" w:cs="仿宋" w:asciiTheme="minorEastAsia" w:hAnsiTheme="minorEastAsia"/>
          <w:szCs w:val="24"/>
          <w:highlight w:val="none"/>
          <w:lang w:val="en-US"/>
        </w:rPr>
        <w:t xml:space="preserve">9.5 </w:t>
      </w:r>
      <w:r>
        <w:rPr>
          <w:rFonts w:hint="eastAsia" w:cs="仿宋" w:asciiTheme="minorEastAsia" w:hAnsiTheme="minorEastAsia"/>
          <w:szCs w:val="24"/>
          <w:highlight w:val="none"/>
          <w:lang w:val="en"/>
        </w:rPr>
        <w:t>上述款项的支付时间以财政下达资金为前提，且支付前乙方应提供符合甲方要求的等额发票，否则甲方可顺延付款，所造成的延迟风险由乙方承担。</w:t>
      </w:r>
      <w:r>
        <w:rPr>
          <w:rFonts w:hint="eastAsia" w:cs="仿宋" w:asciiTheme="minorEastAsia" w:hAnsiTheme="minorEastAsia"/>
          <w:szCs w:val="24"/>
          <w:highlight w:val="none"/>
          <w:lang w:val="en-US"/>
        </w:rPr>
        <w:t>乙方不得以此为由怠于履行合同义务</w:t>
      </w:r>
      <w:r>
        <w:rPr>
          <w:rFonts w:hint="eastAsia" w:cs="仿宋" w:asciiTheme="minorEastAsia" w:hAnsiTheme="minorEastAsia"/>
          <w:szCs w:val="24"/>
          <w:highlight w:val="none"/>
          <w:lang w:val="en"/>
        </w:rPr>
        <w:t>。</w:t>
      </w:r>
    </w:p>
    <w:p>
      <w:pPr>
        <w:spacing w:line="360" w:lineRule="auto"/>
        <w:ind w:firstLine="482" w:firstLineChars="200"/>
        <w:outlineLvl w:val="2"/>
        <w:rPr>
          <w:rFonts w:cs="仿宋" w:asciiTheme="minorEastAsia" w:hAnsiTheme="minorEastAsia"/>
          <w:b/>
          <w:bCs/>
          <w:sz w:val="24"/>
          <w:highlight w:val="none"/>
          <w:lang w:val="en"/>
        </w:rPr>
      </w:pPr>
      <w:r>
        <w:rPr>
          <w:rFonts w:hint="eastAsia" w:cs="仿宋" w:asciiTheme="minorEastAsia" w:hAnsiTheme="minorEastAsia"/>
          <w:b/>
          <w:bCs/>
          <w:sz w:val="24"/>
          <w:highlight w:val="none"/>
          <w:lang w:val="en"/>
        </w:rPr>
        <w:t>10</w:t>
      </w:r>
      <w:r>
        <w:rPr>
          <w:rFonts w:hint="eastAsia" w:cs="仿宋" w:asciiTheme="minorEastAsia" w:hAnsiTheme="minorEastAsia"/>
          <w:b/>
          <w:bCs/>
          <w:sz w:val="24"/>
          <w:highlight w:val="none"/>
        </w:rPr>
        <w:t xml:space="preserve">. </w:t>
      </w:r>
      <w:r>
        <w:rPr>
          <w:rFonts w:hint="eastAsia" w:cs="仿宋" w:asciiTheme="minorEastAsia" w:hAnsiTheme="minorEastAsia"/>
          <w:b/>
          <w:bCs/>
          <w:sz w:val="24"/>
          <w:highlight w:val="none"/>
          <w:lang w:val="en"/>
        </w:rPr>
        <w:t>不可抗力</w:t>
      </w:r>
    </w:p>
    <w:p>
      <w:pPr>
        <w:spacing w:line="360" w:lineRule="auto"/>
        <w:ind w:firstLine="480" w:firstLineChars="200"/>
        <w:rPr>
          <w:rFonts w:cs="仿宋" w:asciiTheme="minorEastAsia" w:hAnsiTheme="minorEastAsia"/>
          <w:sz w:val="24"/>
          <w:highlight w:val="none"/>
          <w:lang w:val="en"/>
        </w:rPr>
      </w:pPr>
      <w:r>
        <w:rPr>
          <w:rFonts w:hint="eastAsia" w:cs="仿宋" w:asciiTheme="minorEastAsia" w:hAnsiTheme="minorEastAsia"/>
          <w:sz w:val="24"/>
          <w:highlight w:val="none"/>
          <w:lang w:val="en"/>
        </w:rPr>
        <w:t>1</w:t>
      </w:r>
      <w:r>
        <w:rPr>
          <w:rFonts w:hint="eastAsia" w:cs="仿宋" w:asciiTheme="minorEastAsia" w:hAnsiTheme="minorEastAsia"/>
          <w:sz w:val="24"/>
          <w:highlight w:val="none"/>
        </w:rPr>
        <w:t>0</w:t>
      </w:r>
      <w:r>
        <w:rPr>
          <w:rFonts w:hint="eastAsia" w:cs="仿宋" w:asciiTheme="minorEastAsia" w:hAnsiTheme="minorEastAsia"/>
          <w:sz w:val="24"/>
          <w:highlight w:val="none"/>
          <w:lang w:val="en"/>
        </w:rPr>
        <w:t>.1 在合同有效期内，任何一方因不可抗力事件导致不能履行合同，则合同履行期可延长，其延长期与不可抗力影响期相同。</w:t>
      </w:r>
    </w:p>
    <w:p>
      <w:pPr>
        <w:spacing w:line="360" w:lineRule="auto"/>
        <w:ind w:firstLine="480" w:firstLineChars="200"/>
        <w:rPr>
          <w:rFonts w:cs="仿宋" w:asciiTheme="minorEastAsia" w:hAnsiTheme="minorEastAsia"/>
          <w:sz w:val="24"/>
          <w:highlight w:val="none"/>
          <w:lang w:val="en"/>
        </w:rPr>
      </w:pPr>
      <w:r>
        <w:rPr>
          <w:rFonts w:hint="eastAsia" w:cs="仿宋" w:asciiTheme="minorEastAsia" w:hAnsiTheme="minorEastAsia"/>
          <w:sz w:val="24"/>
          <w:highlight w:val="none"/>
          <w:lang w:val="en"/>
        </w:rPr>
        <w:t>1</w:t>
      </w:r>
      <w:r>
        <w:rPr>
          <w:rFonts w:hint="eastAsia" w:cs="仿宋" w:asciiTheme="minorEastAsia" w:hAnsiTheme="minorEastAsia"/>
          <w:sz w:val="24"/>
          <w:highlight w:val="none"/>
        </w:rPr>
        <w:t>0</w:t>
      </w:r>
      <w:r>
        <w:rPr>
          <w:rFonts w:hint="eastAsia" w:cs="仿宋" w:asciiTheme="minorEastAsia" w:hAnsiTheme="minorEastAsia"/>
          <w:sz w:val="24"/>
          <w:highlight w:val="none"/>
          <w:lang w:val="en"/>
        </w:rPr>
        <w:t>.2 不可抗力事件发生后，应在不可抗力事件发生后3个工作日内通知对方，并在14个工作日内出具</w:t>
      </w:r>
      <w:r>
        <w:rPr>
          <w:rFonts w:hint="eastAsia" w:cs="仿宋" w:asciiTheme="minorEastAsia" w:hAnsiTheme="minorEastAsia"/>
          <w:sz w:val="24"/>
          <w:highlight w:val="none"/>
        </w:rPr>
        <w:t>权威机构</w:t>
      </w:r>
      <w:r>
        <w:rPr>
          <w:rFonts w:hint="eastAsia" w:cs="仿宋" w:asciiTheme="minorEastAsia" w:hAnsiTheme="minorEastAsia"/>
          <w:sz w:val="24"/>
          <w:highlight w:val="none"/>
          <w:lang w:val="en"/>
        </w:rPr>
        <w:t>证明文件。</w:t>
      </w:r>
    </w:p>
    <w:p>
      <w:pPr>
        <w:spacing w:line="360" w:lineRule="auto"/>
        <w:ind w:firstLine="480" w:firstLineChars="200"/>
        <w:rPr>
          <w:rFonts w:cs="仿宋" w:asciiTheme="minorEastAsia" w:hAnsiTheme="minorEastAsia"/>
          <w:sz w:val="24"/>
          <w:highlight w:val="none"/>
          <w:lang w:val="en"/>
        </w:rPr>
      </w:pPr>
      <w:r>
        <w:rPr>
          <w:rFonts w:hint="eastAsia" w:cs="仿宋" w:asciiTheme="minorEastAsia" w:hAnsiTheme="minorEastAsia"/>
          <w:sz w:val="24"/>
          <w:highlight w:val="none"/>
          <w:lang w:val="en"/>
        </w:rPr>
        <w:t>1</w:t>
      </w:r>
      <w:r>
        <w:rPr>
          <w:rFonts w:hint="eastAsia" w:cs="仿宋" w:asciiTheme="minorEastAsia" w:hAnsiTheme="minorEastAsia"/>
          <w:sz w:val="24"/>
          <w:highlight w:val="none"/>
        </w:rPr>
        <w:t>0</w:t>
      </w:r>
      <w:r>
        <w:rPr>
          <w:rFonts w:hint="eastAsia" w:cs="仿宋" w:asciiTheme="minorEastAsia" w:hAnsiTheme="minorEastAsia"/>
          <w:sz w:val="24"/>
          <w:highlight w:val="none"/>
          <w:lang w:val="en"/>
        </w:rPr>
        <w:t>.3不可抗力事件延续120天以上，双方应通过友好协商，确定是否继续履行合同。</w:t>
      </w:r>
    </w:p>
    <w:p>
      <w:pPr>
        <w:spacing w:line="360" w:lineRule="auto"/>
        <w:ind w:firstLine="482" w:firstLineChars="200"/>
        <w:outlineLvl w:val="2"/>
        <w:rPr>
          <w:rFonts w:cs="仿宋" w:asciiTheme="minorEastAsia" w:hAnsiTheme="minorEastAsia"/>
          <w:b/>
          <w:bCs/>
          <w:sz w:val="24"/>
          <w:highlight w:val="none"/>
          <w:lang w:val="zh-CN"/>
        </w:rPr>
      </w:pPr>
      <w:r>
        <w:rPr>
          <w:rFonts w:hint="eastAsia" w:cs="仿宋" w:asciiTheme="minorEastAsia" w:hAnsiTheme="minorEastAsia"/>
          <w:b/>
          <w:bCs/>
          <w:sz w:val="24"/>
          <w:highlight w:val="none"/>
          <w:lang w:val="zh-CN"/>
        </w:rPr>
        <w:t>1</w:t>
      </w:r>
      <w:r>
        <w:rPr>
          <w:rFonts w:hint="eastAsia" w:cs="仿宋" w:asciiTheme="minorEastAsia" w:hAnsiTheme="minorEastAsia"/>
          <w:b/>
          <w:bCs/>
          <w:sz w:val="24"/>
          <w:highlight w:val="none"/>
        </w:rPr>
        <w:t>1</w:t>
      </w:r>
      <w:r>
        <w:rPr>
          <w:rFonts w:hint="eastAsia" w:cs="仿宋" w:asciiTheme="minorEastAsia" w:hAnsiTheme="minorEastAsia"/>
          <w:b/>
          <w:bCs/>
          <w:sz w:val="24"/>
          <w:highlight w:val="none"/>
          <w:lang w:val="zh-CN"/>
        </w:rPr>
        <w:t>. 乙方的责任与义务</w:t>
      </w:r>
    </w:p>
    <w:p>
      <w:pPr>
        <w:spacing w:line="360" w:lineRule="auto"/>
        <w:ind w:firstLine="480" w:firstLineChars="200"/>
        <w:rPr>
          <w:rFonts w:cs="仿宋" w:asciiTheme="minorEastAsia" w:hAnsiTheme="minorEastAsia"/>
          <w:sz w:val="24"/>
          <w:highlight w:val="none"/>
          <w:lang w:val="zh-CN"/>
        </w:rPr>
      </w:pPr>
      <w:r>
        <w:rPr>
          <w:rFonts w:hint="eastAsia" w:cs="仿宋" w:asciiTheme="minorEastAsia" w:hAnsiTheme="minorEastAsia"/>
          <w:sz w:val="24"/>
          <w:highlight w:val="none"/>
          <w:lang w:val="zh-CN"/>
        </w:rPr>
        <w:t>1</w:t>
      </w:r>
      <w:r>
        <w:rPr>
          <w:rFonts w:hint="eastAsia" w:cs="仿宋" w:asciiTheme="minorEastAsia" w:hAnsiTheme="minorEastAsia"/>
          <w:sz w:val="24"/>
          <w:highlight w:val="none"/>
        </w:rPr>
        <w:t>1.</w:t>
      </w:r>
      <w:r>
        <w:rPr>
          <w:rFonts w:hint="eastAsia" w:cs="仿宋" w:asciiTheme="minorEastAsia" w:hAnsiTheme="minorEastAsia"/>
          <w:sz w:val="24"/>
          <w:highlight w:val="none"/>
          <w:lang w:val="zh-CN"/>
        </w:rPr>
        <w:t>1 根据投标文件的承诺向甲方委派</w:t>
      </w:r>
      <w:r>
        <w:rPr>
          <w:rFonts w:hint="eastAsia" w:cs="仿宋" w:asciiTheme="minorEastAsia" w:hAnsiTheme="minorEastAsia"/>
          <w:sz w:val="24"/>
          <w:highlight w:val="none"/>
          <w:lang w:val="en"/>
        </w:rPr>
        <w:t>项目负责人、技术负责人</w:t>
      </w:r>
      <w:r>
        <w:rPr>
          <w:rFonts w:hint="eastAsia" w:cs="仿宋" w:asciiTheme="minorEastAsia" w:hAnsiTheme="minorEastAsia"/>
          <w:sz w:val="24"/>
          <w:highlight w:val="none"/>
          <w:lang w:val="zh-CN"/>
        </w:rPr>
        <w:t>和专业技术人员，并</w:t>
      </w:r>
      <w:r>
        <w:rPr>
          <w:rFonts w:hint="eastAsia" w:cs="仿宋" w:asciiTheme="minorEastAsia" w:hAnsiTheme="minorEastAsia"/>
          <w:sz w:val="24"/>
          <w:highlight w:val="none"/>
          <w:lang w:val="en"/>
        </w:rPr>
        <w:t>根据甲方需要安排开发团队驻场开发。</w:t>
      </w:r>
    </w:p>
    <w:p>
      <w:pPr>
        <w:spacing w:line="360" w:lineRule="auto"/>
        <w:ind w:firstLine="480" w:firstLineChars="200"/>
        <w:rPr>
          <w:rFonts w:cs="仿宋" w:asciiTheme="minorEastAsia" w:hAnsiTheme="minorEastAsia"/>
          <w:sz w:val="24"/>
          <w:highlight w:val="none"/>
          <w:lang w:val="zh-CN"/>
        </w:rPr>
      </w:pPr>
      <w:r>
        <w:rPr>
          <w:rFonts w:hint="eastAsia" w:cs="仿宋" w:asciiTheme="minorEastAsia" w:hAnsiTheme="minorEastAsia"/>
          <w:sz w:val="24"/>
          <w:highlight w:val="none"/>
          <w:lang w:val="zh-CN"/>
        </w:rPr>
        <w:t>1</w:t>
      </w:r>
      <w:r>
        <w:rPr>
          <w:rFonts w:hint="eastAsia" w:cs="仿宋" w:asciiTheme="minorEastAsia" w:hAnsiTheme="minorEastAsia"/>
          <w:sz w:val="24"/>
          <w:highlight w:val="none"/>
        </w:rPr>
        <w:t>1.2</w:t>
      </w:r>
      <w:r>
        <w:rPr>
          <w:rFonts w:hint="eastAsia" w:cs="仿宋" w:asciiTheme="minorEastAsia" w:hAnsiTheme="minorEastAsia"/>
          <w:sz w:val="24"/>
          <w:highlight w:val="none"/>
          <w:lang w:val="zh-CN"/>
        </w:rPr>
        <w:t xml:space="preserve"> 在本合同期内或合同终止后，未征得有关方同意，不得泄漏与本项目、本合同有关的技术、资料等，不得以任何形式侵害甲方的知识产权。</w:t>
      </w:r>
    </w:p>
    <w:p>
      <w:pPr>
        <w:spacing w:line="360" w:lineRule="auto"/>
        <w:ind w:firstLine="480" w:firstLineChars="200"/>
        <w:rPr>
          <w:rFonts w:cs="仿宋" w:asciiTheme="minorEastAsia" w:hAnsiTheme="minorEastAsia"/>
          <w:sz w:val="24"/>
          <w:highlight w:val="none"/>
          <w:lang w:val="en"/>
        </w:rPr>
      </w:pPr>
      <w:r>
        <w:rPr>
          <w:rFonts w:hint="eastAsia" w:cs="仿宋" w:asciiTheme="minorEastAsia" w:hAnsiTheme="minorEastAsia"/>
          <w:sz w:val="24"/>
          <w:highlight w:val="none"/>
          <w:lang w:val="zh-CN"/>
        </w:rPr>
        <w:t>1</w:t>
      </w:r>
      <w:r>
        <w:rPr>
          <w:rFonts w:hint="eastAsia" w:cs="仿宋" w:asciiTheme="minorEastAsia" w:hAnsiTheme="minorEastAsia"/>
          <w:sz w:val="24"/>
          <w:highlight w:val="none"/>
        </w:rPr>
        <w:t>1.3</w:t>
      </w:r>
      <w:r>
        <w:rPr>
          <w:rFonts w:hint="eastAsia" w:cs="仿宋" w:asciiTheme="minorEastAsia" w:hAnsiTheme="minorEastAsia"/>
          <w:sz w:val="24"/>
          <w:highlight w:val="none"/>
          <w:lang w:val="zh-CN"/>
        </w:rPr>
        <w:t xml:space="preserve"> </w:t>
      </w:r>
      <w:r>
        <w:rPr>
          <w:rFonts w:hint="eastAsia" w:cs="仿宋" w:asciiTheme="minorEastAsia" w:hAnsiTheme="minorEastAsia"/>
          <w:sz w:val="24"/>
          <w:highlight w:val="none"/>
          <w:lang w:val="en"/>
        </w:rPr>
        <w:t>负责本系统项目建设及整体联动，负责处理好与其他项目实施单位的协调。</w:t>
      </w:r>
    </w:p>
    <w:p>
      <w:pPr>
        <w:spacing w:line="360" w:lineRule="auto"/>
        <w:ind w:firstLine="482" w:firstLineChars="200"/>
        <w:outlineLvl w:val="2"/>
        <w:rPr>
          <w:rFonts w:cs="仿宋" w:asciiTheme="minorEastAsia" w:hAnsiTheme="minorEastAsia"/>
          <w:b/>
          <w:bCs/>
          <w:sz w:val="24"/>
          <w:highlight w:val="none"/>
          <w:lang w:val="zh-CN"/>
        </w:rPr>
      </w:pPr>
      <w:r>
        <w:rPr>
          <w:rFonts w:hint="eastAsia" w:cs="仿宋" w:asciiTheme="minorEastAsia" w:hAnsiTheme="minorEastAsia"/>
          <w:b/>
          <w:bCs/>
          <w:sz w:val="24"/>
          <w:highlight w:val="none"/>
          <w:lang w:val="zh-CN"/>
        </w:rPr>
        <w:t>1</w:t>
      </w:r>
      <w:r>
        <w:rPr>
          <w:rFonts w:hint="eastAsia" w:cs="仿宋" w:asciiTheme="minorEastAsia" w:hAnsiTheme="minorEastAsia"/>
          <w:b/>
          <w:bCs/>
          <w:sz w:val="24"/>
          <w:highlight w:val="none"/>
        </w:rPr>
        <w:t>2</w:t>
      </w:r>
      <w:r>
        <w:rPr>
          <w:rFonts w:hint="eastAsia" w:cs="仿宋" w:asciiTheme="minorEastAsia" w:hAnsiTheme="minorEastAsia"/>
          <w:b/>
          <w:bCs/>
          <w:sz w:val="24"/>
          <w:highlight w:val="none"/>
          <w:lang w:val="zh-CN"/>
        </w:rPr>
        <w:t>. 甲方的责任与义务</w:t>
      </w:r>
    </w:p>
    <w:p>
      <w:pPr>
        <w:spacing w:line="360" w:lineRule="auto"/>
        <w:ind w:firstLine="480" w:firstLineChars="200"/>
        <w:rPr>
          <w:rFonts w:cs="仿宋" w:asciiTheme="minorEastAsia" w:hAnsiTheme="minorEastAsia"/>
          <w:sz w:val="24"/>
          <w:highlight w:val="none"/>
          <w:lang w:val="zh-CN"/>
        </w:rPr>
      </w:pPr>
      <w:r>
        <w:rPr>
          <w:rFonts w:hint="eastAsia" w:cs="仿宋" w:asciiTheme="minorEastAsia" w:hAnsiTheme="minorEastAsia"/>
          <w:sz w:val="24"/>
          <w:highlight w:val="none"/>
          <w:lang w:val="zh-CN"/>
        </w:rPr>
        <w:t>1</w:t>
      </w:r>
      <w:r>
        <w:rPr>
          <w:rFonts w:hint="eastAsia" w:cs="仿宋" w:asciiTheme="minorEastAsia" w:hAnsiTheme="minorEastAsia"/>
          <w:sz w:val="24"/>
          <w:highlight w:val="none"/>
        </w:rPr>
        <w:t>2.1</w:t>
      </w:r>
      <w:r>
        <w:rPr>
          <w:rFonts w:hint="eastAsia" w:cs="仿宋" w:asciiTheme="minorEastAsia" w:hAnsiTheme="minorEastAsia"/>
          <w:sz w:val="24"/>
          <w:highlight w:val="none"/>
          <w:lang w:val="zh-CN"/>
        </w:rPr>
        <w:t>甲方应当负责与项目建设有关的外部关系联系与协调，为乙方工作提供良好的外部条件。</w:t>
      </w:r>
    </w:p>
    <w:p>
      <w:pPr>
        <w:spacing w:line="360" w:lineRule="auto"/>
        <w:ind w:firstLine="480" w:firstLineChars="200"/>
        <w:rPr>
          <w:rFonts w:cs="仿宋" w:asciiTheme="minorEastAsia" w:hAnsiTheme="minorEastAsia"/>
          <w:sz w:val="24"/>
          <w:highlight w:val="none"/>
          <w:lang w:val="zh-CN"/>
        </w:rPr>
      </w:pPr>
      <w:r>
        <w:rPr>
          <w:rFonts w:hint="eastAsia" w:cs="仿宋" w:asciiTheme="minorEastAsia" w:hAnsiTheme="minorEastAsia"/>
          <w:sz w:val="24"/>
          <w:highlight w:val="none"/>
          <w:lang w:val="zh-CN"/>
        </w:rPr>
        <w:t>1</w:t>
      </w:r>
      <w:r>
        <w:rPr>
          <w:rFonts w:hint="eastAsia" w:cs="仿宋" w:asciiTheme="minorEastAsia" w:hAnsiTheme="minorEastAsia"/>
          <w:sz w:val="24"/>
          <w:highlight w:val="none"/>
        </w:rPr>
        <w:t>2.</w:t>
      </w:r>
      <w:r>
        <w:rPr>
          <w:rFonts w:hint="eastAsia" w:cs="仿宋" w:asciiTheme="minorEastAsia" w:hAnsiTheme="minorEastAsia"/>
          <w:sz w:val="24"/>
          <w:highlight w:val="none"/>
          <w:lang w:val="zh-CN"/>
        </w:rPr>
        <w:t>2 甲方应当按双方约定的内容和时间，向乙方提供与项目建设有关的资料。</w:t>
      </w:r>
    </w:p>
    <w:p>
      <w:pPr>
        <w:spacing w:line="360" w:lineRule="auto"/>
        <w:ind w:firstLine="480" w:firstLineChars="200"/>
        <w:rPr>
          <w:rFonts w:cs="仿宋" w:asciiTheme="minorEastAsia" w:hAnsiTheme="minorEastAsia"/>
          <w:sz w:val="24"/>
          <w:highlight w:val="none"/>
          <w:lang w:val="zh-CN"/>
        </w:rPr>
      </w:pPr>
      <w:r>
        <w:rPr>
          <w:rFonts w:hint="eastAsia" w:cs="仿宋" w:asciiTheme="minorEastAsia" w:hAnsiTheme="minorEastAsia"/>
          <w:sz w:val="24"/>
          <w:highlight w:val="none"/>
          <w:lang w:val="zh-CN"/>
        </w:rPr>
        <w:t>1</w:t>
      </w:r>
      <w:r>
        <w:rPr>
          <w:rFonts w:hint="eastAsia" w:cs="仿宋" w:asciiTheme="minorEastAsia" w:hAnsiTheme="minorEastAsia"/>
          <w:sz w:val="24"/>
          <w:highlight w:val="none"/>
        </w:rPr>
        <w:t>2.3</w:t>
      </w:r>
      <w:r>
        <w:rPr>
          <w:rFonts w:hint="eastAsia" w:cs="仿宋" w:asciiTheme="minorEastAsia" w:hAnsiTheme="minorEastAsia"/>
          <w:sz w:val="24"/>
          <w:highlight w:val="none"/>
          <w:lang w:val="zh-CN"/>
        </w:rPr>
        <w:t xml:space="preserve"> 甲方应授权一名熟悉本项目情况、能迅速做出决定的项目代表，负责与乙方联系。</w:t>
      </w:r>
    </w:p>
    <w:p>
      <w:pPr>
        <w:spacing w:line="360" w:lineRule="auto"/>
        <w:ind w:firstLine="480" w:firstLineChars="200"/>
        <w:rPr>
          <w:rFonts w:cs="仿宋" w:asciiTheme="minorEastAsia" w:hAnsiTheme="minorEastAsia"/>
          <w:sz w:val="24"/>
          <w:highlight w:val="none"/>
          <w:lang w:val="zh-CN"/>
        </w:rPr>
      </w:pPr>
      <w:r>
        <w:rPr>
          <w:rFonts w:hint="eastAsia" w:cs="仿宋" w:asciiTheme="minorEastAsia" w:hAnsiTheme="minorEastAsia"/>
          <w:sz w:val="24"/>
          <w:highlight w:val="none"/>
          <w:lang w:val="zh-CN"/>
        </w:rPr>
        <w:t>1</w:t>
      </w:r>
      <w:r>
        <w:rPr>
          <w:rFonts w:hint="eastAsia" w:cs="仿宋" w:asciiTheme="minorEastAsia" w:hAnsiTheme="minorEastAsia"/>
          <w:sz w:val="24"/>
          <w:highlight w:val="none"/>
        </w:rPr>
        <w:t>2.4</w:t>
      </w:r>
      <w:r>
        <w:rPr>
          <w:rFonts w:hint="eastAsia" w:cs="仿宋" w:asciiTheme="minorEastAsia" w:hAnsiTheme="minorEastAsia"/>
          <w:sz w:val="24"/>
          <w:highlight w:val="none"/>
          <w:lang w:val="zh-CN"/>
        </w:rPr>
        <w:t xml:space="preserve"> 甲方有对项目规模、设计标准、规范和设计使用功能要求的认定权，以及对项目建设、设计变更的审批权。</w:t>
      </w:r>
    </w:p>
    <w:p>
      <w:pPr>
        <w:spacing w:line="360" w:lineRule="auto"/>
        <w:ind w:firstLine="480" w:firstLineChars="200"/>
        <w:rPr>
          <w:rFonts w:cs="仿宋" w:asciiTheme="minorEastAsia" w:hAnsiTheme="minorEastAsia"/>
          <w:sz w:val="24"/>
          <w:highlight w:val="none"/>
          <w:lang w:val="zh-CN"/>
        </w:rPr>
      </w:pPr>
      <w:r>
        <w:rPr>
          <w:rFonts w:hint="eastAsia" w:cs="仿宋" w:asciiTheme="minorEastAsia" w:hAnsiTheme="minorEastAsia"/>
          <w:sz w:val="24"/>
          <w:highlight w:val="none"/>
          <w:lang w:val="zh-CN"/>
        </w:rPr>
        <w:t>1</w:t>
      </w:r>
      <w:r>
        <w:rPr>
          <w:rFonts w:hint="eastAsia" w:cs="仿宋" w:asciiTheme="minorEastAsia" w:hAnsiTheme="minorEastAsia"/>
          <w:sz w:val="24"/>
          <w:highlight w:val="none"/>
        </w:rPr>
        <w:t>2.5</w:t>
      </w:r>
      <w:r>
        <w:rPr>
          <w:rFonts w:hint="eastAsia" w:cs="仿宋" w:asciiTheme="minorEastAsia" w:hAnsiTheme="minorEastAsia"/>
          <w:sz w:val="24"/>
          <w:highlight w:val="none"/>
          <w:lang w:val="zh-CN"/>
        </w:rPr>
        <w:t xml:space="preserve"> 甲方有权要求乙方提交工作月度报告及专项报告等。</w:t>
      </w:r>
    </w:p>
    <w:p>
      <w:pPr>
        <w:spacing w:line="360" w:lineRule="auto"/>
        <w:ind w:firstLine="482" w:firstLineChars="200"/>
        <w:outlineLvl w:val="2"/>
        <w:rPr>
          <w:rFonts w:cs="仿宋" w:asciiTheme="minorEastAsia" w:hAnsiTheme="minorEastAsia"/>
          <w:b/>
          <w:bCs/>
          <w:sz w:val="24"/>
          <w:highlight w:val="none"/>
          <w:lang w:val="zh-CN"/>
        </w:rPr>
      </w:pPr>
      <w:r>
        <w:rPr>
          <w:rFonts w:hint="eastAsia" w:cs="仿宋" w:asciiTheme="minorEastAsia" w:hAnsiTheme="minorEastAsia"/>
          <w:b/>
          <w:bCs/>
          <w:sz w:val="24"/>
          <w:highlight w:val="none"/>
          <w:lang w:val="zh-CN"/>
        </w:rPr>
        <w:t>1</w:t>
      </w:r>
      <w:r>
        <w:rPr>
          <w:rFonts w:hint="eastAsia" w:cs="仿宋" w:asciiTheme="minorEastAsia" w:hAnsiTheme="minorEastAsia"/>
          <w:b/>
          <w:bCs/>
          <w:sz w:val="24"/>
          <w:highlight w:val="none"/>
        </w:rPr>
        <w:t>3</w:t>
      </w:r>
      <w:r>
        <w:rPr>
          <w:rFonts w:hint="eastAsia" w:cs="仿宋" w:asciiTheme="minorEastAsia" w:hAnsiTheme="minorEastAsia"/>
          <w:b/>
          <w:bCs/>
          <w:sz w:val="24"/>
          <w:highlight w:val="none"/>
          <w:lang w:val="zh-CN"/>
        </w:rPr>
        <w:t>. 合同生效、变更和终止</w:t>
      </w:r>
    </w:p>
    <w:p>
      <w:pPr>
        <w:spacing w:line="360" w:lineRule="auto"/>
        <w:ind w:firstLine="480" w:firstLineChars="200"/>
        <w:rPr>
          <w:rFonts w:cs="仿宋" w:asciiTheme="minorEastAsia" w:hAnsiTheme="minorEastAsia"/>
          <w:sz w:val="24"/>
          <w:highlight w:val="none"/>
          <w:lang w:val="zh-CN"/>
        </w:rPr>
      </w:pPr>
      <w:r>
        <w:rPr>
          <w:rFonts w:hint="eastAsia" w:cs="仿宋" w:asciiTheme="minorEastAsia" w:hAnsiTheme="minorEastAsia"/>
          <w:sz w:val="24"/>
          <w:highlight w:val="none"/>
          <w:lang w:val="zh-CN"/>
        </w:rPr>
        <w:t>1</w:t>
      </w:r>
      <w:r>
        <w:rPr>
          <w:rFonts w:hint="eastAsia" w:cs="仿宋" w:asciiTheme="minorEastAsia" w:hAnsiTheme="minorEastAsia"/>
          <w:sz w:val="24"/>
          <w:highlight w:val="none"/>
        </w:rPr>
        <w:t>3.1</w:t>
      </w:r>
      <w:r>
        <w:rPr>
          <w:rFonts w:hint="eastAsia" w:cs="仿宋" w:asciiTheme="minorEastAsia" w:hAnsiTheme="minorEastAsia"/>
          <w:sz w:val="24"/>
          <w:highlight w:val="none"/>
          <w:lang w:val="zh-CN"/>
        </w:rPr>
        <w:t xml:space="preserve"> </w:t>
      </w:r>
      <w:r>
        <w:rPr>
          <w:rFonts w:hint="eastAsia" w:cs="仿宋" w:asciiTheme="minorEastAsia" w:hAnsiTheme="minorEastAsia"/>
          <w:sz w:val="24"/>
          <w:highlight w:val="none"/>
          <w:lang w:val="en"/>
        </w:rPr>
        <w:t>本合同经甲乙双方盖章，且乙方向甲方缴纳</w:t>
      </w:r>
      <w:r>
        <w:rPr>
          <w:rFonts w:hint="eastAsia" w:cs="仿宋" w:asciiTheme="minorEastAsia" w:hAnsiTheme="minorEastAsia"/>
          <w:sz w:val="24"/>
          <w:highlight w:val="none"/>
        </w:rPr>
        <w:t>0.3%</w:t>
      </w:r>
      <w:r>
        <w:rPr>
          <w:rFonts w:hint="eastAsia" w:cs="仿宋" w:asciiTheme="minorEastAsia" w:hAnsiTheme="minorEastAsia"/>
          <w:sz w:val="24"/>
          <w:highlight w:val="none"/>
          <w:lang w:val="en"/>
        </w:rPr>
        <w:t>履约保证金</w:t>
      </w:r>
      <w:r>
        <w:rPr>
          <w:rFonts w:hint="eastAsia" w:cs="仿宋" w:asciiTheme="minorEastAsia" w:hAnsiTheme="minorEastAsia"/>
          <w:sz w:val="24"/>
          <w:highlight w:val="none"/>
          <w:lang w:val="zh-CN"/>
        </w:rPr>
        <w:t>后生效，至合同约定的双方义务</w:t>
      </w:r>
      <w:r>
        <w:rPr>
          <w:rFonts w:hint="eastAsia" w:cs="仿宋" w:asciiTheme="minorEastAsia" w:hAnsiTheme="minorEastAsia"/>
          <w:sz w:val="24"/>
          <w:highlight w:val="none"/>
          <w:lang w:val="en"/>
        </w:rPr>
        <w:t>履行完毕后终止。</w:t>
      </w:r>
    </w:p>
    <w:p>
      <w:pPr>
        <w:spacing w:line="360" w:lineRule="auto"/>
        <w:ind w:firstLine="480" w:firstLineChars="200"/>
        <w:rPr>
          <w:rFonts w:cs="仿宋" w:asciiTheme="minorEastAsia" w:hAnsiTheme="minorEastAsia"/>
          <w:sz w:val="24"/>
          <w:highlight w:val="none"/>
          <w:lang w:val="zh-CN"/>
        </w:rPr>
      </w:pPr>
      <w:r>
        <w:rPr>
          <w:rFonts w:hint="eastAsia" w:cs="仿宋" w:asciiTheme="minorEastAsia" w:hAnsiTheme="minorEastAsia"/>
          <w:sz w:val="24"/>
          <w:highlight w:val="none"/>
          <w:lang w:val="zh-CN"/>
        </w:rPr>
        <w:t>1</w:t>
      </w:r>
      <w:r>
        <w:rPr>
          <w:rFonts w:hint="eastAsia" w:cs="仿宋" w:asciiTheme="minorEastAsia" w:hAnsiTheme="minorEastAsia"/>
          <w:sz w:val="24"/>
          <w:highlight w:val="none"/>
        </w:rPr>
        <w:t>3.2</w:t>
      </w:r>
      <w:r>
        <w:rPr>
          <w:rFonts w:hint="eastAsia" w:cs="仿宋" w:asciiTheme="minorEastAsia" w:hAnsiTheme="minorEastAsia"/>
          <w:sz w:val="24"/>
          <w:highlight w:val="none"/>
          <w:lang w:val="zh-CN"/>
        </w:rPr>
        <w:t xml:space="preserve"> 在合同签订后，实际情况发生变化，使得乙方不能全部或部分执行项目时，乙方应当立即通知甲方。甲方有权决定该项目的完成时间是否相应延长。</w:t>
      </w:r>
    </w:p>
    <w:p>
      <w:pPr>
        <w:spacing w:line="360" w:lineRule="auto"/>
        <w:ind w:firstLine="480" w:firstLineChars="200"/>
        <w:rPr>
          <w:rFonts w:cs="仿宋" w:asciiTheme="minorEastAsia" w:hAnsiTheme="minorEastAsia"/>
          <w:sz w:val="24"/>
          <w:highlight w:val="none"/>
          <w:lang w:val="zh-CN"/>
        </w:rPr>
      </w:pPr>
      <w:r>
        <w:rPr>
          <w:rFonts w:hint="eastAsia" w:cs="仿宋" w:asciiTheme="minorEastAsia" w:hAnsiTheme="minorEastAsia"/>
          <w:sz w:val="24"/>
          <w:highlight w:val="none"/>
          <w:lang w:val="zh-CN"/>
        </w:rPr>
        <w:t>1</w:t>
      </w:r>
      <w:r>
        <w:rPr>
          <w:rFonts w:hint="eastAsia" w:cs="仿宋" w:asciiTheme="minorEastAsia" w:hAnsiTheme="minorEastAsia"/>
          <w:sz w:val="24"/>
          <w:highlight w:val="none"/>
        </w:rPr>
        <w:t>3.3</w:t>
      </w:r>
      <w:r>
        <w:rPr>
          <w:rFonts w:hint="eastAsia" w:cs="仿宋" w:asciiTheme="minorEastAsia" w:hAnsiTheme="minorEastAsia"/>
          <w:sz w:val="24"/>
          <w:highlight w:val="none"/>
          <w:lang w:val="zh-CN"/>
        </w:rPr>
        <w:t xml:space="preserve"> 当事人一方要求变更或解除合同时，应当在30天前通知对方，因变更或解除合同使一方遭受损失的，除依法可以免除责任的外，应由责任方负责赔偿。变更或解除合同的通知或协议应当采取书面形式，协议未达成之前，原合同仍然有效。</w:t>
      </w:r>
    </w:p>
    <w:p>
      <w:pPr>
        <w:spacing w:line="360" w:lineRule="auto"/>
        <w:ind w:firstLine="482" w:firstLineChars="200"/>
        <w:outlineLvl w:val="2"/>
        <w:rPr>
          <w:rFonts w:cs="仿宋" w:asciiTheme="minorEastAsia" w:hAnsiTheme="minorEastAsia"/>
          <w:b/>
          <w:bCs/>
          <w:sz w:val="24"/>
          <w:highlight w:val="none"/>
          <w:lang w:val="zh-CN"/>
        </w:rPr>
      </w:pPr>
      <w:r>
        <w:rPr>
          <w:rFonts w:hint="eastAsia" w:cs="仿宋" w:asciiTheme="minorEastAsia" w:hAnsiTheme="minorEastAsia"/>
          <w:b/>
          <w:bCs/>
          <w:sz w:val="24"/>
          <w:highlight w:val="none"/>
          <w:lang w:val="zh-CN"/>
        </w:rPr>
        <w:t>1</w:t>
      </w:r>
      <w:r>
        <w:rPr>
          <w:rFonts w:hint="eastAsia" w:cs="仿宋" w:asciiTheme="minorEastAsia" w:hAnsiTheme="minorEastAsia"/>
          <w:b/>
          <w:bCs/>
          <w:sz w:val="24"/>
          <w:highlight w:val="none"/>
        </w:rPr>
        <w:t>4</w:t>
      </w:r>
      <w:r>
        <w:rPr>
          <w:rFonts w:hint="eastAsia" w:cs="仿宋" w:asciiTheme="minorEastAsia" w:hAnsiTheme="minorEastAsia"/>
          <w:b/>
          <w:bCs/>
          <w:sz w:val="24"/>
          <w:highlight w:val="none"/>
          <w:lang w:val="zh-CN"/>
        </w:rPr>
        <w:t>. 违约责任</w:t>
      </w:r>
    </w:p>
    <w:p>
      <w:pPr>
        <w:spacing w:line="360" w:lineRule="auto"/>
        <w:ind w:firstLine="480" w:firstLineChars="200"/>
        <w:rPr>
          <w:rFonts w:cs="仿宋" w:asciiTheme="minorEastAsia" w:hAnsiTheme="minorEastAsia"/>
          <w:sz w:val="24"/>
          <w:highlight w:val="none"/>
          <w:lang w:val="en"/>
        </w:rPr>
      </w:pPr>
      <w:r>
        <w:rPr>
          <w:rFonts w:hint="eastAsia" w:cs="仿宋" w:asciiTheme="minorEastAsia" w:hAnsiTheme="minorEastAsia"/>
          <w:sz w:val="24"/>
          <w:highlight w:val="none"/>
          <w:lang w:val="zh-CN"/>
        </w:rPr>
        <w:t>1</w:t>
      </w:r>
      <w:r>
        <w:rPr>
          <w:rFonts w:hint="eastAsia" w:cs="仿宋" w:asciiTheme="minorEastAsia" w:hAnsiTheme="minorEastAsia"/>
          <w:sz w:val="24"/>
          <w:highlight w:val="none"/>
        </w:rPr>
        <w:t xml:space="preserve">4.1 </w:t>
      </w:r>
      <w:r>
        <w:rPr>
          <w:rFonts w:hint="eastAsia" w:cs="仿宋" w:asciiTheme="minorEastAsia" w:hAnsiTheme="minorEastAsia"/>
          <w:sz w:val="24"/>
          <w:highlight w:val="none"/>
          <w:lang w:val="en"/>
        </w:rPr>
        <w:t>在项目投入试运行后正常运行1个月，并由乙方完成项目培训任务后，由甲方及有关部门共同按有关规定最终验收，如因项目实施质量问题，不能按期验收或验收不合格，乙方应负责返工所造成的经济损失，且</w:t>
      </w:r>
      <w:r>
        <w:rPr>
          <w:rFonts w:hint="eastAsia" w:cs="仿宋" w:asciiTheme="minorEastAsia" w:hAnsiTheme="minorEastAsia"/>
          <w:sz w:val="24"/>
          <w:highlight w:val="none"/>
          <w:lang w:val="zh-CN"/>
        </w:rPr>
        <w:t>必须无条件返工至项目合格</w:t>
      </w:r>
      <w:r>
        <w:rPr>
          <w:rFonts w:hint="eastAsia" w:cs="仿宋" w:asciiTheme="minorEastAsia" w:hAnsiTheme="minorEastAsia"/>
          <w:sz w:val="24"/>
          <w:highlight w:val="none"/>
          <w:lang w:val="en"/>
        </w:rPr>
        <w:t>。由此而造成推迟交付的时间按超期天数计算，每超过一天乙方按本项目总价款的2‰赔偿甲方的经济损失，</w:t>
      </w:r>
      <w:r>
        <w:rPr>
          <w:rFonts w:hint="eastAsia" w:cs="仿宋" w:asciiTheme="minorEastAsia" w:hAnsiTheme="minorEastAsia"/>
          <w:sz w:val="24"/>
          <w:highlight w:val="none"/>
          <w:lang w:val="zh-CN"/>
        </w:rPr>
        <w:t>累计超期20天，甲方有权终止合同，并没收履约保证金，</w:t>
      </w:r>
      <w:r>
        <w:rPr>
          <w:rFonts w:hint="eastAsia" w:cs="仿宋" w:asciiTheme="minorEastAsia" w:hAnsiTheme="minorEastAsia"/>
          <w:sz w:val="24"/>
          <w:highlight w:val="none"/>
          <w:lang w:val="en"/>
        </w:rPr>
        <w:t>及要求乙方返还已付款项</w:t>
      </w:r>
      <w:r>
        <w:rPr>
          <w:rFonts w:hint="eastAsia" w:cs="仿宋" w:asciiTheme="minorEastAsia" w:hAnsiTheme="minorEastAsia"/>
          <w:sz w:val="24"/>
          <w:highlight w:val="none"/>
          <w:lang w:val="zh-CN"/>
        </w:rPr>
        <w:t>。</w:t>
      </w:r>
      <w:r>
        <w:rPr>
          <w:rFonts w:hint="eastAsia" w:cs="仿宋" w:asciiTheme="minorEastAsia" w:hAnsiTheme="minorEastAsia"/>
          <w:sz w:val="24"/>
          <w:highlight w:val="none"/>
          <w:lang w:val="en"/>
        </w:rPr>
        <w:t>如因甲方原因造成不能按期完工，工期相应顺延。</w:t>
      </w:r>
    </w:p>
    <w:p>
      <w:pPr>
        <w:spacing w:line="360" w:lineRule="auto"/>
        <w:ind w:firstLine="480" w:firstLineChars="200"/>
        <w:rPr>
          <w:rFonts w:cs="仿宋" w:asciiTheme="minorEastAsia" w:hAnsiTheme="minorEastAsia"/>
          <w:sz w:val="24"/>
          <w:highlight w:val="none"/>
          <w:lang w:val="en"/>
        </w:rPr>
      </w:pPr>
      <w:r>
        <w:rPr>
          <w:rFonts w:hint="eastAsia" w:cs="仿宋" w:asciiTheme="minorEastAsia" w:hAnsiTheme="minorEastAsia"/>
          <w:sz w:val="24"/>
          <w:highlight w:val="none"/>
          <w:lang w:val="en"/>
        </w:rPr>
        <w:t>1</w:t>
      </w:r>
      <w:r>
        <w:rPr>
          <w:rFonts w:hint="eastAsia" w:cs="仿宋" w:asciiTheme="minorEastAsia" w:hAnsiTheme="minorEastAsia"/>
          <w:sz w:val="24"/>
          <w:highlight w:val="none"/>
        </w:rPr>
        <w:t>4</w:t>
      </w:r>
      <w:r>
        <w:rPr>
          <w:rFonts w:hint="eastAsia" w:cs="仿宋" w:asciiTheme="minorEastAsia" w:hAnsiTheme="minorEastAsia"/>
          <w:sz w:val="24"/>
          <w:highlight w:val="none"/>
          <w:lang w:val="en"/>
        </w:rPr>
        <w:t>.2未经甲方同意，乙方不得在任何时期擅自更换投标文件中规定的项目负责人和技术负责人，同时必须确保项目技术人员与投标文件一致，否则甲方有权单方终止合同，要求</w:t>
      </w:r>
      <w:r>
        <w:rPr>
          <w:rFonts w:hint="eastAsia" w:cs="仿宋" w:asciiTheme="minorEastAsia" w:hAnsiTheme="minorEastAsia"/>
          <w:sz w:val="24"/>
          <w:highlight w:val="none"/>
          <w:lang w:val="zh-CN"/>
        </w:rPr>
        <w:t>退还所有已支付的款项，</w:t>
      </w:r>
      <w:r>
        <w:rPr>
          <w:rFonts w:hint="eastAsia" w:cs="仿宋" w:asciiTheme="minorEastAsia" w:hAnsiTheme="minorEastAsia"/>
          <w:sz w:val="24"/>
          <w:highlight w:val="none"/>
          <w:lang w:val="en"/>
        </w:rPr>
        <w:t>并没收履约保证金。</w:t>
      </w:r>
    </w:p>
    <w:p>
      <w:pPr>
        <w:spacing w:line="360" w:lineRule="auto"/>
        <w:ind w:firstLine="480" w:firstLineChars="200"/>
        <w:rPr>
          <w:rFonts w:cs="仿宋" w:asciiTheme="minorEastAsia" w:hAnsiTheme="minorEastAsia"/>
          <w:sz w:val="24"/>
          <w:highlight w:val="none"/>
          <w:lang w:val="en"/>
        </w:rPr>
      </w:pPr>
      <w:r>
        <w:rPr>
          <w:rFonts w:cs="仿宋" w:asciiTheme="minorEastAsia" w:hAnsiTheme="minorEastAsia"/>
          <w:sz w:val="24"/>
          <w:highlight w:val="none"/>
          <w:lang w:val="en"/>
        </w:rPr>
        <w:t>14.3</w:t>
      </w:r>
      <w:r>
        <w:rPr>
          <w:rFonts w:hint="eastAsia" w:cs="仿宋" w:asciiTheme="minorEastAsia" w:hAnsiTheme="minorEastAsia"/>
          <w:sz w:val="24"/>
          <w:highlight w:val="none"/>
          <w:lang w:val="en"/>
        </w:rPr>
        <w:t>.乙方对监理工程师提出的整改意见不能按时按要求整改完成超过1次，并可能导致项目延期的，自第2次起，每次按5000元支付违约金。</w:t>
      </w:r>
    </w:p>
    <w:p>
      <w:pPr>
        <w:spacing w:line="360" w:lineRule="auto"/>
        <w:ind w:firstLine="480" w:firstLineChars="200"/>
        <w:rPr>
          <w:rFonts w:cs="仿宋" w:asciiTheme="minorEastAsia" w:hAnsiTheme="minorEastAsia"/>
          <w:sz w:val="24"/>
          <w:highlight w:val="none"/>
          <w:lang w:val="en"/>
        </w:rPr>
      </w:pPr>
      <w:r>
        <w:rPr>
          <w:rFonts w:hint="eastAsia" w:cs="仿宋" w:asciiTheme="minorEastAsia" w:hAnsiTheme="minorEastAsia"/>
          <w:sz w:val="24"/>
          <w:highlight w:val="none"/>
          <w:lang w:val="en"/>
        </w:rPr>
        <w:t>14.</w:t>
      </w:r>
      <w:r>
        <w:rPr>
          <w:rFonts w:cs="仿宋" w:asciiTheme="minorEastAsia" w:hAnsiTheme="minorEastAsia"/>
          <w:sz w:val="24"/>
          <w:highlight w:val="none"/>
          <w:lang w:val="en"/>
        </w:rPr>
        <w:t>4</w:t>
      </w:r>
      <w:r>
        <w:rPr>
          <w:rFonts w:hint="eastAsia" w:cs="仿宋" w:asciiTheme="minorEastAsia" w:hAnsiTheme="minorEastAsia"/>
          <w:sz w:val="24"/>
          <w:highlight w:val="none"/>
          <w:lang w:val="en"/>
        </w:rPr>
        <w:t>因乙方实施本项目原因造成甲方其他系统不能正常运行，酿成重大事故（正常工作日系统中断一天或一天以上）的，应承担全部法律责任，并赔偿经济损失，赔偿金额为项目总价的20%，如该金额不能弥补甲方损失的，甲方仍有权要求乙方赔偿。</w:t>
      </w:r>
    </w:p>
    <w:p>
      <w:pPr>
        <w:spacing w:line="360" w:lineRule="auto"/>
        <w:ind w:firstLine="480" w:firstLineChars="200"/>
        <w:rPr>
          <w:rFonts w:cs="仿宋" w:asciiTheme="minorEastAsia" w:hAnsiTheme="minorEastAsia"/>
          <w:sz w:val="24"/>
          <w:highlight w:val="none"/>
          <w:lang w:val="en"/>
        </w:rPr>
      </w:pPr>
      <w:r>
        <w:rPr>
          <w:rFonts w:hint="eastAsia" w:cs="仿宋" w:asciiTheme="minorEastAsia" w:hAnsiTheme="minorEastAsia"/>
          <w:sz w:val="24"/>
          <w:highlight w:val="none"/>
          <w:lang w:val="en"/>
        </w:rPr>
        <w:t>14.</w:t>
      </w:r>
      <w:r>
        <w:rPr>
          <w:rFonts w:cs="仿宋" w:asciiTheme="minorEastAsia" w:hAnsiTheme="minorEastAsia"/>
          <w:sz w:val="24"/>
          <w:highlight w:val="none"/>
          <w:lang w:val="en"/>
        </w:rPr>
        <w:t>5</w:t>
      </w:r>
      <w:r>
        <w:rPr>
          <w:rFonts w:hint="eastAsia" w:cs="仿宋" w:asciiTheme="minorEastAsia" w:hAnsiTheme="minorEastAsia"/>
          <w:sz w:val="24"/>
          <w:highlight w:val="none"/>
          <w:lang w:val="en"/>
        </w:rPr>
        <w:t xml:space="preserve"> 履行本合同的过程中，确因在现有水平和条件下难以克服的技术困难，导致部分或全部失败所造成的损失，风险责任由乙方全部承担。</w:t>
      </w:r>
    </w:p>
    <w:p>
      <w:pPr>
        <w:spacing w:line="360" w:lineRule="auto"/>
        <w:ind w:firstLine="480" w:firstLineChars="200"/>
        <w:rPr>
          <w:rFonts w:cs="仿宋" w:asciiTheme="minorEastAsia" w:hAnsiTheme="minorEastAsia"/>
          <w:sz w:val="24"/>
          <w:highlight w:val="none"/>
          <w:lang w:val="en"/>
        </w:rPr>
      </w:pPr>
      <w:r>
        <w:rPr>
          <w:rFonts w:hint="eastAsia" w:cs="仿宋" w:asciiTheme="minorEastAsia" w:hAnsiTheme="minorEastAsia"/>
          <w:sz w:val="24"/>
          <w:highlight w:val="none"/>
          <w:lang w:val="en"/>
        </w:rPr>
        <w:t>14.</w:t>
      </w:r>
      <w:r>
        <w:rPr>
          <w:rFonts w:cs="仿宋" w:asciiTheme="minorEastAsia" w:hAnsiTheme="minorEastAsia"/>
          <w:sz w:val="24"/>
          <w:highlight w:val="none"/>
          <w:lang w:val="en"/>
        </w:rPr>
        <w:t>6</w:t>
      </w:r>
      <w:r>
        <w:rPr>
          <w:rFonts w:hint="eastAsia" w:cs="仿宋" w:asciiTheme="minorEastAsia" w:hAnsiTheme="minorEastAsia"/>
          <w:sz w:val="24"/>
          <w:highlight w:val="none"/>
          <w:lang w:val="en"/>
        </w:rPr>
        <w:t xml:space="preserve"> 因不可抗力导致合同不能全部或部分履行，甲、乙双方协商解决。</w:t>
      </w:r>
    </w:p>
    <w:p>
      <w:pPr>
        <w:spacing w:line="360" w:lineRule="auto"/>
        <w:ind w:firstLine="482" w:firstLineChars="200"/>
        <w:outlineLvl w:val="2"/>
        <w:rPr>
          <w:rFonts w:cs="仿宋" w:asciiTheme="minorEastAsia" w:hAnsiTheme="minorEastAsia"/>
          <w:b/>
          <w:bCs/>
          <w:sz w:val="24"/>
          <w:highlight w:val="none"/>
          <w:lang w:val="zh-CN"/>
        </w:rPr>
      </w:pPr>
      <w:r>
        <w:rPr>
          <w:rFonts w:hint="eastAsia" w:cs="仿宋" w:asciiTheme="minorEastAsia" w:hAnsiTheme="minorEastAsia"/>
          <w:b/>
          <w:bCs/>
          <w:sz w:val="24"/>
          <w:highlight w:val="none"/>
          <w:lang w:val="zh-CN"/>
        </w:rPr>
        <w:t>1</w:t>
      </w:r>
      <w:r>
        <w:rPr>
          <w:rFonts w:hint="eastAsia" w:cs="仿宋" w:asciiTheme="minorEastAsia" w:hAnsiTheme="minorEastAsia"/>
          <w:b/>
          <w:bCs/>
          <w:sz w:val="24"/>
          <w:highlight w:val="none"/>
        </w:rPr>
        <w:t>5</w:t>
      </w:r>
      <w:r>
        <w:rPr>
          <w:rFonts w:hint="eastAsia" w:cs="仿宋" w:asciiTheme="minorEastAsia" w:hAnsiTheme="minorEastAsia"/>
          <w:b/>
          <w:bCs/>
          <w:sz w:val="24"/>
          <w:highlight w:val="none"/>
          <w:lang w:val="zh-CN"/>
        </w:rPr>
        <w:t>．项目质量</w:t>
      </w:r>
    </w:p>
    <w:p>
      <w:pPr>
        <w:spacing w:line="360" w:lineRule="auto"/>
        <w:ind w:firstLine="480" w:firstLineChars="200"/>
        <w:rPr>
          <w:rFonts w:cs="仿宋" w:asciiTheme="minorEastAsia" w:hAnsiTheme="minorEastAsia"/>
          <w:sz w:val="24"/>
          <w:highlight w:val="none"/>
          <w:lang w:val="zh-CN"/>
        </w:rPr>
      </w:pPr>
      <w:r>
        <w:rPr>
          <w:rFonts w:hint="eastAsia" w:cs="仿宋" w:asciiTheme="minorEastAsia" w:hAnsiTheme="minorEastAsia"/>
          <w:sz w:val="24"/>
          <w:highlight w:val="none"/>
          <w:lang w:val="zh-CN"/>
        </w:rPr>
        <w:t>1</w:t>
      </w:r>
      <w:r>
        <w:rPr>
          <w:rFonts w:hint="eastAsia" w:cs="仿宋" w:asciiTheme="minorEastAsia" w:hAnsiTheme="minorEastAsia"/>
          <w:sz w:val="24"/>
          <w:highlight w:val="none"/>
        </w:rPr>
        <w:t>5</w:t>
      </w:r>
      <w:r>
        <w:rPr>
          <w:rFonts w:hint="eastAsia" w:cs="仿宋" w:asciiTheme="minorEastAsia" w:hAnsiTheme="minorEastAsia"/>
          <w:sz w:val="24"/>
          <w:highlight w:val="none"/>
          <w:lang w:val="zh-CN"/>
        </w:rPr>
        <w:t>.1 乙方应建立和完善履行合同的内部质量保证体系，并提供相关内部规章制度给甲方，以便甲方进行监督检查。</w:t>
      </w:r>
    </w:p>
    <w:p>
      <w:pPr>
        <w:spacing w:line="360" w:lineRule="auto"/>
        <w:ind w:firstLine="480" w:firstLineChars="200"/>
        <w:rPr>
          <w:rFonts w:cs="仿宋" w:asciiTheme="minorEastAsia" w:hAnsiTheme="minorEastAsia"/>
          <w:sz w:val="24"/>
          <w:highlight w:val="none"/>
          <w:lang w:val="zh-CN"/>
        </w:rPr>
      </w:pPr>
      <w:r>
        <w:rPr>
          <w:rFonts w:hint="eastAsia" w:cs="仿宋" w:asciiTheme="minorEastAsia" w:hAnsiTheme="minorEastAsia"/>
          <w:sz w:val="24"/>
          <w:highlight w:val="none"/>
          <w:lang w:val="zh-CN"/>
        </w:rPr>
        <w:t>1</w:t>
      </w:r>
      <w:r>
        <w:rPr>
          <w:rFonts w:hint="eastAsia" w:cs="仿宋" w:asciiTheme="minorEastAsia" w:hAnsiTheme="minorEastAsia"/>
          <w:sz w:val="24"/>
          <w:highlight w:val="none"/>
        </w:rPr>
        <w:t>5</w:t>
      </w:r>
      <w:r>
        <w:rPr>
          <w:rFonts w:hint="eastAsia" w:cs="仿宋" w:asciiTheme="minorEastAsia" w:hAnsiTheme="minorEastAsia"/>
          <w:sz w:val="24"/>
          <w:highlight w:val="none"/>
          <w:lang w:val="zh-CN"/>
        </w:rPr>
        <w:t>.2乙方应</w:t>
      </w:r>
      <w:r>
        <w:rPr>
          <w:rFonts w:hint="eastAsia" w:cs="Calibri" w:asciiTheme="minorEastAsia" w:hAnsiTheme="minorEastAsia"/>
          <w:sz w:val="24"/>
          <w:highlight w:val="none"/>
        </w:rPr>
        <w:t>提供质量保证计划，</w:t>
      </w:r>
      <w:r>
        <w:rPr>
          <w:rFonts w:hint="eastAsia" w:cs="仿宋" w:asciiTheme="minorEastAsia" w:hAnsiTheme="minorEastAsia"/>
          <w:sz w:val="24"/>
          <w:highlight w:val="none"/>
          <w:lang w:val="zh-CN"/>
        </w:rPr>
        <w:t>保证履行合同的人员数量和素质、软件和硬件设备的配置、场地、环境和设施等满足全面履行合同的要求，并应接受甲方的监督检查。</w:t>
      </w:r>
    </w:p>
    <w:p>
      <w:pPr>
        <w:pStyle w:val="17"/>
        <w:spacing w:line="360" w:lineRule="auto"/>
        <w:ind w:firstLine="480"/>
        <w:rPr>
          <w:rFonts w:cs="Calibri" w:asciiTheme="minorEastAsia" w:hAnsiTheme="minorEastAsia"/>
          <w:color w:val="auto"/>
          <w:sz w:val="24"/>
          <w:highlight w:val="none"/>
        </w:rPr>
      </w:pPr>
      <w:r>
        <w:rPr>
          <w:rFonts w:cs="Calibri" w:asciiTheme="minorEastAsia" w:hAnsiTheme="minorEastAsia"/>
          <w:color w:val="auto"/>
          <w:sz w:val="24"/>
          <w:highlight w:val="none"/>
        </w:rPr>
        <w:t>15.</w:t>
      </w:r>
      <w:r>
        <w:rPr>
          <w:rFonts w:hint="eastAsia" w:cs="Calibri" w:asciiTheme="minorEastAsia" w:hAnsiTheme="minorEastAsia"/>
          <w:color w:val="auto"/>
          <w:sz w:val="24"/>
          <w:highlight w:val="none"/>
        </w:rPr>
        <w:t>3按照省、市、区的相关标准要求，软件系统平台应满足数据安全、数据归集要求。</w:t>
      </w:r>
    </w:p>
    <w:p>
      <w:pPr>
        <w:spacing w:line="360" w:lineRule="auto"/>
        <w:ind w:firstLine="482" w:firstLineChars="200"/>
        <w:outlineLvl w:val="2"/>
        <w:rPr>
          <w:rFonts w:cs="仿宋" w:asciiTheme="minorEastAsia" w:hAnsiTheme="minorEastAsia"/>
          <w:b/>
          <w:bCs/>
          <w:sz w:val="24"/>
          <w:highlight w:val="none"/>
          <w:lang w:val="zh-CN"/>
        </w:rPr>
      </w:pPr>
      <w:r>
        <w:rPr>
          <w:rFonts w:hint="eastAsia" w:cs="仿宋" w:asciiTheme="minorEastAsia" w:hAnsiTheme="minorEastAsia"/>
          <w:b/>
          <w:bCs/>
          <w:sz w:val="24"/>
          <w:highlight w:val="none"/>
          <w:lang w:val="zh-CN"/>
        </w:rPr>
        <w:t>1</w:t>
      </w:r>
      <w:r>
        <w:rPr>
          <w:rFonts w:hint="eastAsia" w:cs="仿宋" w:asciiTheme="minorEastAsia" w:hAnsiTheme="minorEastAsia"/>
          <w:b/>
          <w:bCs/>
          <w:sz w:val="24"/>
          <w:highlight w:val="none"/>
        </w:rPr>
        <w:t>6</w:t>
      </w:r>
      <w:r>
        <w:rPr>
          <w:rFonts w:hint="eastAsia" w:cs="仿宋" w:asciiTheme="minorEastAsia" w:hAnsiTheme="minorEastAsia"/>
          <w:b/>
          <w:bCs/>
          <w:sz w:val="24"/>
          <w:highlight w:val="none"/>
          <w:lang w:val="zh-CN"/>
        </w:rPr>
        <w:t>.技术资料</w:t>
      </w:r>
    </w:p>
    <w:p>
      <w:pPr>
        <w:spacing w:line="360" w:lineRule="auto"/>
        <w:ind w:firstLine="480" w:firstLineChars="200"/>
        <w:rPr>
          <w:rFonts w:cs="仿宋" w:asciiTheme="minorEastAsia" w:hAnsiTheme="minorEastAsia"/>
          <w:sz w:val="24"/>
          <w:highlight w:val="none"/>
          <w:lang w:val="zh-CN"/>
        </w:rPr>
      </w:pPr>
      <w:r>
        <w:rPr>
          <w:rFonts w:hint="eastAsia" w:cs="仿宋" w:asciiTheme="minorEastAsia" w:hAnsiTheme="minorEastAsia"/>
          <w:sz w:val="24"/>
          <w:highlight w:val="none"/>
          <w:lang w:val="zh-CN"/>
        </w:rPr>
        <w:t>1</w:t>
      </w:r>
      <w:r>
        <w:rPr>
          <w:rFonts w:hint="eastAsia" w:cs="仿宋" w:asciiTheme="minorEastAsia" w:hAnsiTheme="minorEastAsia"/>
          <w:sz w:val="24"/>
          <w:highlight w:val="none"/>
        </w:rPr>
        <w:t>6</w:t>
      </w:r>
      <w:r>
        <w:rPr>
          <w:rFonts w:hint="eastAsia" w:cs="仿宋" w:asciiTheme="minorEastAsia" w:hAnsiTheme="minorEastAsia"/>
          <w:sz w:val="24"/>
          <w:highlight w:val="none"/>
          <w:lang w:val="zh-CN"/>
        </w:rPr>
        <w:t>.1 乙方应按采购文件规定的时间向甲方提供有关技术资料。</w:t>
      </w:r>
    </w:p>
    <w:p>
      <w:pPr>
        <w:spacing w:line="360" w:lineRule="auto"/>
        <w:ind w:firstLine="480" w:firstLineChars="200"/>
        <w:rPr>
          <w:rFonts w:cs="仿宋" w:asciiTheme="minorEastAsia" w:hAnsiTheme="minorEastAsia"/>
          <w:sz w:val="24"/>
          <w:highlight w:val="none"/>
          <w:lang w:val="zh-CN"/>
        </w:rPr>
      </w:pPr>
      <w:r>
        <w:rPr>
          <w:rFonts w:hint="eastAsia" w:cs="仿宋" w:asciiTheme="minorEastAsia" w:hAnsiTheme="minorEastAsia"/>
          <w:sz w:val="24"/>
          <w:highlight w:val="none"/>
          <w:lang w:val="zh-CN"/>
        </w:rPr>
        <w:t>1</w:t>
      </w:r>
      <w:r>
        <w:rPr>
          <w:rFonts w:hint="eastAsia" w:cs="仿宋" w:asciiTheme="minorEastAsia" w:hAnsiTheme="minorEastAsia"/>
          <w:sz w:val="24"/>
          <w:highlight w:val="none"/>
        </w:rPr>
        <w:t>6</w:t>
      </w:r>
      <w:r>
        <w:rPr>
          <w:rFonts w:hint="eastAsia" w:cs="仿宋" w:asciiTheme="minorEastAsia" w:hAnsiTheme="minorEastAsia"/>
          <w:sz w:val="24"/>
          <w:highlight w:val="none"/>
          <w:lang w:val="zh-CN"/>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line="360" w:lineRule="auto"/>
        <w:ind w:firstLine="480" w:firstLineChars="200"/>
        <w:rPr>
          <w:rFonts w:cs="仿宋" w:asciiTheme="minorEastAsia" w:hAnsiTheme="minorEastAsia"/>
          <w:sz w:val="24"/>
          <w:highlight w:val="none"/>
          <w:lang w:val="zh-CN"/>
        </w:rPr>
      </w:pPr>
      <w:r>
        <w:rPr>
          <w:rFonts w:hint="eastAsia" w:cs="仿宋" w:asciiTheme="minorEastAsia" w:hAnsiTheme="minorEastAsia"/>
          <w:sz w:val="24"/>
          <w:highlight w:val="none"/>
          <w:lang w:val="zh-CN"/>
        </w:rPr>
        <w:t>1</w:t>
      </w:r>
      <w:r>
        <w:rPr>
          <w:rFonts w:hint="eastAsia" w:cs="仿宋" w:asciiTheme="minorEastAsia" w:hAnsiTheme="minorEastAsia"/>
          <w:sz w:val="24"/>
          <w:highlight w:val="none"/>
        </w:rPr>
        <w:t>6</w:t>
      </w:r>
      <w:r>
        <w:rPr>
          <w:rFonts w:hint="eastAsia" w:cs="仿宋" w:asciiTheme="minorEastAsia" w:hAnsiTheme="minorEastAsia"/>
          <w:sz w:val="24"/>
          <w:highlight w:val="none"/>
          <w:lang w:val="zh-CN"/>
        </w:rPr>
        <w:t>.3 无论本合同是否履行完毕、提前解除或者终止，乙方对合同履行期间内所获悉的甲方保密信息均需承担保密义务，若因乙方过错违反本条约定而给甲方带来损失的，乙方应当承担全部赔偿责任。</w:t>
      </w:r>
    </w:p>
    <w:p>
      <w:pPr>
        <w:spacing w:line="360" w:lineRule="auto"/>
        <w:ind w:firstLine="482" w:firstLineChars="200"/>
        <w:outlineLvl w:val="2"/>
        <w:rPr>
          <w:rFonts w:cs="仿宋" w:asciiTheme="minorEastAsia" w:hAnsiTheme="minorEastAsia"/>
          <w:b/>
          <w:bCs/>
          <w:sz w:val="24"/>
          <w:highlight w:val="none"/>
          <w:lang w:val="zh-CN"/>
        </w:rPr>
      </w:pPr>
      <w:r>
        <w:rPr>
          <w:rFonts w:hint="eastAsia" w:cs="仿宋" w:asciiTheme="minorEastAsia" w:hAnsiTheme="minorEastAsia"/>
          <w:b/>
          <w:bCs/>
          <w:sz w:val="24"/>
          <w:highlight w:val="none"/>
          <w:lang w:val="zh-CN"/>
        </w:rPr>
        <w:t>1</w:t>
      </w:r>
      <w:r>
        <w:rPr>
          <w:rFonts w:hint="eastAsia" w:cs="仿宋" w:asciiTheme="minorEastAsia" w:hAnsiTheme="minorEastAsia"/>
          <w:b/>
          <w:bCs/>
          <w:sz w:val="24"/>
          <w:highlight w:val="none"/>
        </w:rPr>
        <w:t>7</w:t>
      </w:r>
      <w:r>
        <w:rPr>
          <w:rFonts w:hint="eastAsia" w:cs="仿宋" w:asciiTheme="minorEastAsia" w:hAnsiTheme="minorEastAsia"/>
          <w:b/>
          <w:bCs/>
          <w:sz w:val="24"/>
          <w:highlight w:val="none"/>
          <w:lang w:val="zh-CN"/>
        </w:rPr>
        <w:t>.知识产权</w:t>
      </w:r>
    </w:p>
    <w:p>
      <w:pPr>
        <w:spacing w:line="360" w:lineRule="auto"/>
        <w:ind w:firstLine="480" w:firstLineChars="200"/>
        <w:rPr>
          <w:rFonts w:cs="仿宋" w:asciiTheme="minorEastAsia" w:hAnsiTheme="minorEastAsia"/>
          <w:sz w:val="24"/>
          <w:highlight w:val="none"/>
          <w:lang w:val="zh-CN"/>
        </w:rPr>
      </w:pPr>
      <w:r>
        <w:rPr>
          <w:rFonts w:hint="eastAsia" w:cs="仿宋" w:asciiTheme="minorEastAsia" w:hAnsiTheme="minorEastAsia"/>
          <w:sz w:val="24"/>
          <w:highlight w:val="none"/>
          <w:lang w:val="zh-CN"/>
        </w:rPr>
        <w:t>1</w:t>
      </w:r>
      <w:r>
        <w:rPr>
          <w:rFonts w:hint="eastAsia" w:cs="仿宋" w:asciiTheme="minorEastAsia" w:hAnsiTheme="minorEastAsia"/>
          <w:sz w:val="24"/>
          <w:highlight w:val="none"/>
        </w:rPr>
        <w:t>7</w:t>
      </w:r>
      <w:r>
        <w:rPr>
          <w:rFonts w:hint="eastAsia" w:cs="仿宋" w:asciiTheme="minorEastAsia" w:hAnsiTheme="minorEastAsia"/>
          <w:sz w:val="24"/>
          <w:highlight w:val="none"/>
          <w:lang w:val="zh-CN"/>
        </w:rPr>
        <w:t>.1乙方在本合同项下完成的所有形式的工作成果所有权和版权归属于甲方，产生的组件全市共用。</w:t>
      </w:r>
    </w:p>
    <w:p>
      <w:pPr>
        <w:spacing w:line="360" w:lineRule="auto"/>
        <w:ind w:firstLine="480" w:firstLineChars="200"/>
        <w:rPr>
          <w:rFonts w:cs="仿宋" w:asciiTheme="minorEastAsia" w:hAnsiTheme="minorEastAsia"/>
          <w:sz w:val="24"/>
          <w:highlight w:val="none"/>
          <w:lang w:val="zh-CN"/>
        </w:rPr>
      </w:pPr>
      <w:r>
        <w:rPr>
          <w:rFonts w:hint="eastAsia" w:cs="仿宋" w:asciiTheme="minorEastAsia" w:hAnsiTheme="minorEastAsia"/>
          <w:sz w:val="24"/>
          <w:highlight w:val="none"/>
          <w:lang w:val="zh-CN"/>
        </w:rPr>
        <w:t>1</w:t>
      </w:r>
      <w:r>
        <w:rPr>
          <w:rFonts w:hint="eastAsia" w:cs="仿宋" w:asciiTheme="minorEastAsia" w:hAnsiTheme="minorEastAsia"/>
          <w:sz w:val="24"/>
          <w:highlight w:val="none"/>
        </w:rPr>
        <w:t>7</w:t>
      </w:r>
      <w:r>
        <w:rPr>
          <w:rFonts w:hint="eastAsia" w:cs="仿宋" w:asciiTheme="minorEastAsia" w:hAnsiTheme="minorEastAsia"/>
          <w:sz w:val="24"/>
          <w:highlight w:val="none"/>
          <w:lang w:val="zh-CN"/>
        </w:rPr>
        <w:t>.2乙方应保证所提供的系统或其任何一部分均不会侵犯任何第三方的知识产权；</w:t>
      </w:r>
      <w:r>
        <w:rPr>
          <w:rFonts w:hint="eastAsia" w:cs="仿宋" w:asciiTheme="minorEastAsia" w:hAnsiTheme="minorEastAsia"/>
          <w:sz w:val="24"/>
          <w:highlight w:val="none"/>
        </w:rPr>
        <w:t>保证所提供的产品包括相关附件为相应厂家原装正品，软件产品为相关厂家正版软件，符合国家有关规定；保证所提供产品具有合法的版权或使用权。本项目采购的产品，</w:t>
      </w:r>
      <w:r>
        <w:rPr>
          <w:rFonts w:hint="eastAsia" w:cs="仿宋" w:asciiTheme="minorEastAsia" w:hAnsiTheme="minorEastAsia"/>
          <w:sz w:val="24"/>
          <w:highlight w:val="none"/>
          <w:lang w:val="zh-CN"/>
        </w:rPr>
        <w:t>如发生侵权产生的相应法律责任（包括但不限于赔偿责任等）均由乙方承担。若因此给甲方造成损失的，应赔偿包括但不限于直接损失和维权产生的律师费、诉讼费等各项费用。</w:t>
      </w:r>
    </w:p>
    <w:p>
      <w:pPr>
        <w:snapToGrid w:val="0"/>
        <w:spacing w:line="360" w:lineRule="auto"/>
        <w:ind w:firstLine="480" w:firstLineChars="200"/>
        <w:jc w:val="left"/>
        <w:rPr>
          <w:rFonts w:cs="Calibri" w:asciiTheme="minorEastAsia" w:hAnsiTheme="minorEastAsia"/>
          <w:sz w:val="24"/>
          <w:highlight w:val="none"/>
        </w:rPr>
      </w:pPr>
      <w:r>
        <w:rPr>
          <w:rFonts w:hint="eastAsia" w:cs="Calibri" w:asciiTheme="minorEastAsia" w:hAnsiTheme="minorEastAsia"/>
          <w:sz w:val="24"/>
          <w:highlight w:val="none"/>
        </w:rPr>
        <w:t>1</w:t>
      </w:r>
      <w:r>
        <w:rPr>
          <w:rFonts w:cs="Calibri" w:asciiTheme="minorEastAsia" w:hAnsiTheme="minorEastAsia"/>
          <w:sz w:val="24"/>
          <w:highlight w:val="none"/>
        </w:rPr>
        <w:t>7.3</w:t>
      </w:r>
      <w:r>
        <w:rPr>
          <w:rFonts w:hint="eastAsia" w:cs="Calibri" w:asciiTheme="minorEastAsia" w:hAnsiTheme="minorEastAsia"/>
          <w:sz w:val="24"/>
          <w:highlight w:val="none"/>
        </w:rPr>
        <w:t>论何时，本项目所涉系统中的包含文字、声音、图像等所有的数据信息的所有权、使用权和知识产权等权益都属于甲方。未经甲方书面允许，乙方无权使用、转让或处理系统中所有数据信息。乙方须妥善保存和备份系统中的所有数据信息，使之不被破坏、删除。乙方应该提供合适的技术手段，确保甲方及最终用户能阅读、使用、传送、处理和备份系统中的声音、图像和数据信息。由于甲方原因而导致前述系统数据信息丢失或损坏的，乙方不承担赔偿责任，但乙方应及时进行修复处理。</w:t>
      </w:r>
    </w:p>
    <w:p>
      <w:pPr>
        <w:spacing w:line="360" w:lineRule="auto"/>
        <w:ind w:firstLine="480" w:firstLineChars="200"/>
        <w:rPr>
          <w:rFonts w:cs="仿宋" w:asciiTheme="minorEastAsia" w:hAnsiTheme="minorEastAsia"/>
          <w:sz w:val="24"/>
          <w:highlight w:val="none"/>
          <w:lang w:val="zh-CN"/>
        </w:rPr>
      </w:pPr>
      <w:r>
        <w:rPr>
          <w:rFonts w:hint="eastAsia" w:cs="仿宋" w:asciiTheme="minorEastAsia" w:hAnsiTheme="minorEastAsia"/>
          <w:sz w:val="24"/>
          <w:highlight w:val="none"/>
          <w:lang w:val="zh-CN"/>
        </w:rPr>
        <w:t>1</w:t>
      </w:r>
      <w:r>
        <w:rPr>
          <w:rFonts w:hint="eastAsia" w:cs="仿宋" w:asciiTheme="minorEastAsia" w:hAnsiTheme="minorEastAsia"/>
          <w:sz w:val="24"/>
          <w:highlight w:val="none"/>
        </w:rPr>
        <w:t>7</w:t>
      </w:r>
      <w:r>
        <w:rPr>
          <w:rFonts w:hint="eastAsia" w:cs="仿宋" w:asciiTheme="minorEastAsia" w:hAnsiTheme="minorEastAsia"/>
          <w:sz w:val="24"/>
          <w:highlight w:val="none"/>
          <w:lang w:val="zh-CN"/>
        </w:rPr>
        <w:t>.</w:t>
      </w:r>
      <w:r>
        <w:rPr>
          <w:rFonts w:cs="仿宋" w:asciiTheme="minorEastAsia" w:hAnsiTheme="minorEastAsia"/>
          <w:sz w:val="24"/>
          <w:highlight w:val="none"/>
          <w:lang w:val="zh-CN"/>
        </w:rPr>
        <w:t>4</w:t>
      </w:r>
      <w:r>
        <w:rPr>
          <w:rFonts w:hint="eastAsia" w:cs="仿宋" w:asciiTheme="minorEastAsia" w:hAnsiTheme="minorEastAsia"/>
          <w:sz w:val="24"/>
          <w:highlight w:val="none"/>
          <w:lang w:val="zh-CN"/>
        </w:rPr>
        <w:t>本项目的知识产权归甲方所有，乙方必须提供本项目的所有源代码和开发文档。未经甲方</w:t>
      </w:r>
      <w:r>
        <w:rPr>
          <w:rFonts w:hint="eastAsia" w:cs="仿宋" w:asciiTheme="minorEastAsia" w:hAnsiTheme="minorEastAsia"/>
          <w:sz w:val="24"/>
          <w:highlight w:val="none"/>
        </w:rPr>
        <w:t>书面</w:t>
      </w:r>
      <w:r>
        <w:rPr>
          <w:rFonts w:hint="eastAsia" w:cs="仿宋" w:asciiTheme="minorEastAsia" w:hAnsiTheme="minorEastAsia"/>
          <w:sz w:val="24"/>
          <w:highlight w:val="none"/>
          <w:lang w:val="zh-CN"/>
        </w:rPr>
        <w:t>同意，乙方不得擅自扩散或提供给第三方使用。本合同约定的知识产权条款不受本合同届满、解除、终止、或本合同中其他条款的无效或履行完毕等情形的影响。</w:t>
      </w:r>
    </w:p>
    <w:p>
      <w:pPr>
        <w:pStyle w:val="26"/>
        <w:numPr>
          <w:ilvl w:val="255"/>
          <w:numId w:val="0"/>
        </w:numPr>
        <w:ind w:firstLine="482" w:firstLineChars="200"/>
        <w:rPr>
          <w:rFonts w:cs="仿宋" w:asciiTheme="minorEastAsia" w:hAnsiTheme="minorEastAsia"/>
          <w:b/>
          <w:bCs/>
          <w:szCs w:val="24"/>
          <w:highlight w:val="none"/>
          <w:lang w:val="en-US"/>
        </w:rPr>
      </w:pPr>
      <w:r>
        <w:rPr>
          <w:rFonts w:hint="eastAsia" w:cs="仿宋" w:asciiTheme="minorEastAsia" w:hAnsiTheme="minorEastAsia"/>
          <w:b/>
          <w:bCs/>
          <w:szCs w:val="24"/>
          <w:highlight w:val="none"/>
          <w:lang w:val="en-US"/>
        </w:rPr>
        <w:t>18.网络安全</w:t>
      </w:r>
    </w:p>
    <w:p>
      <w:pPr>
        <w:pStyle w:val="17"/>
        <w:spacing w:line="360" w:lineRule="auto"/>
        <w:ind w:firstLine="480" w:firstLineChars="200"/>
        <w:rPr>
          <w:rFonts w:cs="仿宋" w:asciiTheme="minorEastAsia" w:hAnsiTheme="minorEastAsia"/>
          <w:snapToGrid/>
          <w:color w:val="auto"/>
          <w:kern w:val="0"/>
          <w:sz w:val="24"/>
          <w:szCs w:val="24"/>
          <w:highlight w:val="none"/>
        </w:rPr>
      </w:pPr>
      <w:r>
        <w:rPr>
          <w:rFonts w:cs="仿宋" w:asciiTheme="minorEastAsia" w:hAnsiTheme="minorEastAsia"/>
          <w:snapToGrid/>
          <w:color w:val="auto"/>
          <w:kern w:val="0"/>
          <w:sz w:val="24"/>
          <w:szCs w:val="24"/>
          <w:highlight w:val="none"/>
          <w:lang w:val="en"/>
        </w:rPr>
        <w:t>18.1</w:t>
      </w:r>
      <w:r>
        <w:rPr>
          <w:rFonts w:hint="eastAsia" w:cs="仿宋" w:asciiTheme="minorEastAsia" w:hAnsiTheme="minorEastAsia"/>
          <w:snapToGrid/>
          <w:color w:val="auto"/>
          <w:kern w:val="0"/>
          <w:sz w:val="24"/>
          <w:szCs w:val="24"/>
          <w:highlight w:val="none"/>
        </w:rPr>
        <w:t>根据《浙江省信息技术服务外包网络安全管理办法》相关要求，乙方应全面落实《网络安全法》等法规标准，加强对拟派本项目团队的人员管理，设置专门网络安全管理机构和网络安全管理负责人，并对该负责人和关键岗位人员进行安全背景审查；定期对从业人员进行网络安全教育、技术培训和技能考核；制定网络安全事件应急预案并定期进行演练。</w:t>
      </w:r>
    </w:p>
    <w:p>
      <w:pPr>
        <w:pStyle w:val="17"/>
        <w:spacing w:line="360" w:lineRule="auto"/>
        <w:rPr>
          <w:rFonts w:cs="仿宋" w:asciiTheme="minorEastAsia" w:hAnsiTheme="minorEastAsia"/>
          <w:snapToGrid/>
          <w:color w:val="auto"/>
          <w:kern w:val="0"/>
          <w:sz w:val="24"/>
          <w:szCs w:val="24"/>
          <w:highlight w:val="none"/>
        </w:rPr>
      </w:pPr>
      <w:r>
        <w:rPr>
          <w:rFonts w:hint="eastAsia" w:cs="仿宋" w:asciiTheme="minorEastAsia" w:hAnsiTheme="minorEastAsia"/>
          <w:snapToGrid/>
          <w:color w:val="auto"/>
          <w:kern w:val="0"/>
          <w:sz w:val="24"/>
          <w:szCs w:val="24"/>
          <w:highlight w:val="none"/>
        </w:rPr>
        <w:t>18.2 乙方不得制造或者故意输入、传播计算机病毒和其他有害数据，不得利用非法手段复制、截收、篡改计算机信息系统中的数据。项目实施人员禁止利用扫描、监听、伪装等工具对网络和服务器进行恶意攻击，禁止非法侵入他人网络和服务器系统，禁止利用计算机和网络干扰他人正常工作行为。</w:t>
      </w:r>
    </w:p>
    <w:p>
      <w:pPr>
        <w:pStyle w:val="17"/>
        <w:spacing w:line="360" w:lineRule="auto"/>
        <w:rPr>
          <w:rFonts w:cs="仿宋" w:asciiTheme="minorEastAsia" w:hAnsiTheme="minorEastAsia"/>
          <w:snapToGrid/>
          <w:color w:val="auto"/>
          <w:kern w:val="0"/>
          <w:sz w:val="24"/>
          <w:szCs w:val="24"/>
          <w:highlight w:val="none"/>
        </w:rPr>
      </w:pPr>
      <w:r>
        <w:rPr>
          <w:rFonts w:hint="eastAsia" w:cs="仿宋" w:asciiTheme="minorEastAsia" w:hAnsiTheme="minorEastAsia"/>
          <w:snapToGrid/>
          <w:color w:val="auto"/>
          <w:kern w:val="0"/>
          <w:sz w:val="24"/>
          <w:szCs w:val="24"/>
          <w:highlight w:val="none"/>
        </w:rPr>
        <w:t>18.3 乙方应严格遵守《中华人民共和国网络安全法》《中华人民共和国数据安全法》《中华人民共和国个人信息保护法》《计算机信息网络国际互联网安全保护管理办法》等法律法规，建立健全全流程数据安全管理制度，组织开展数据安全教育培训，保障数据安全；采取技术措施和其他必要措施，保障网络安全、稳定运行，有效应对网络安全事件，防范网络违法犯罪活动，维护网络数据的完整性、保密性和可用性；不得从事危害国家安全、公共利益的信息处理活动。</w:t>
      </w:r>
    </w:p>
    <w:p>
      <w:pPr>
        <w:pStyle w:val="17"/>
        <w:spacing w:line="360" w:lineRule="auto"/>
        <w:rPr>
          <w:rFonts w:cs="仿宋" w:asciiTheme="minorEastAsia" w:hAnsiTheme="minorEastAsia"/>
          <w:snapToGrid/>
          <w:color w:val="auto"/>
          <w:kern w:val="0"/>
          <w:sz w:val="24"/>
          <w:szCs w:val="24"/>
          <w:highlight w:val="none"/>
        </w:rPr>
      </w:pPr>
      <w:r>
        <w:rPr>
          <w:rFonts w:hint="eastAsia" w:cs="仿宋" w:asciiTheme="minorEastAsia" w:hAnsiTheme="minorEastAsia"/>
          <w:snapToGrid/>
          <w:color w:val="auto"/>
          <w:kern w:val="0"/>
          <w:sz w:val="24"/>
          <w:szCs w:val="24"/>
          <w:highlight w:val="none"/>
        </w:rPr>
        <w:t>18.4 乙方实施项目时，应提出数据安全控制要求，并提出有效的数据安全技术手段，开发测试环境数据安全管理和数据防泄漏管理的级别不低于生产环境；数据从生产业务环境导入开发、测试环境时，须获得授权；数据从生产环境导入开发、测试环境时，须采取有效措施进行脱敏；数据从生产环境导入开发、测试环境时，在使用移动介质导入时，须使用专用、受控的存储介质，介质上的数据须加密；项目运维人员原则上须在受控终端上开展工作，任何终端未经授权，不得接入开发、测试与生产环境；未经授权，任何人员不得将开发、测试、生产环境中的数据带离开发、测试、生产环境。</w:t>
      </w:r>
    </w:p>
    <w:p>
      <w:pPr>
        <w:spacing w:line="360" w:lineRule="auto"/>
        <w:ind w:firstLine="482" w:firstLineChars="200"/>
        <w:outlineLvl w:val="2"/>
        <w:rPr>
          <w:rFonts w:cs="仿宋" w:asciiTheme="minorEastAsia" w:hAnsiTheme="minorEastAsia"/>
          <w:b/>
          <w:bCs/>
          <w:sz w:val="24"/>
          <w:highlight w:val="none"/>
          <w:lang w:val="zh-CN"/>
        </w:rPr>
      </w:pPr>
      <w:r>
        <w:rPr>
          <w:rFonts w:hint="eastAsia" w:cs="仿宋" w:asciiTheme="minorEastAsia" w:hAnsiTheme="minorEastAsia"/>
          <w:b/>
          <w:bCs/>
          <w:sz w:val="24"/>
          <w:highlight w:val="none"/>
          <w:lang w:val="zh-CN"/>
        </w:rPr>
        <w:t>1</w:t>
      </w:r>
      <w:r>
        <w:rPr>
          <w:rFonts w:hint="eastAsia" w:cs="仿宋" w:asciiTheme="minorEastAsia" w:hAnsiTheme="minorEastAsia"/>
          <w:b/>
          <w:bCs/>
          <w:sz w:val="24"/>
          <w:highlight w:val="none"/>
        </w:rPr>
        <w:t>9</w:t>
      </w:r>
      <w:r>
        <w:rPr>
          <w:rFonts w:hint="eastAsia" w:cs="仿宋" w:asciiTheme="minorEastAsia" w:hAnsiTheme="minorEastAsia"/>
          <w:b/>
          <w:bCs/>
          <w:sz w:val="24"/>
          <w:highlight w:val="none"/>
          <w:lang w:val="zh-CN"/>
        </w:rPr>
        <w:t>. 争议处理</w:t>
      </w:r>
    </w:p>
    <w:p>
      <w:pPr>
        <w:spacing w:line="360" w:lineRule="auto"/>
        <w:ind w:firstLine="480" w:firstLineChars="200"/>
        <w:rPr>
          <w:rFonts w:cs="仿宋" w:asciiTheme="minorEastAsia" w:hAnsiTheme="minorEastAsia"/>
          <w:sz w:val="24"/>
          <w:highlight w:val="none"/>
          <w:lang w:val="zh-CN"/>
        </w:rPr>
      </w:pPr>
      <w:r>
        <w:rPr>
          <w:rFonts w:hint="eastAsia" w:cs="仿宋" w:asciiTheme="minorEastAsia" w:hAnsiTheme="minorEastAsia"/>
          <w:sz w:val="24"/>
          <w:highlight w:val="none"/>
          <w:lang w:val="zh-CN"/>
        </w:rPr>
        <w:t>因合同及合同有关事项发生的争议，双方应本着诚实信用原则，通过友好协商解决，经协商仍无法达成一致的，提交杭州仲裁委员会按照申请仲裁时该仲裁机构有效的仲裁规则进行仲裁。仲裁裁决是终局的，对双方均有约束力。仲裁期间，本合同其他不涉及争议的条款仍保持原有效力，应当予以履行。</w:t>
      </w:r>
    </w:p>
    <w:p>
      <w:pPr>
        <w:spacing w:line="360" w:lineRule="auto"/>
        <w:ind w:firstLine="482" w:firstLineChars="200"/>
        <w:outlineLvl w:val="2"/>
        <w:rPr>
          <w:rFonts w:cs="仿宋" w:asciiTheme="minorEastAsia" w:hAnsiTheme="minorEastAsia"/>
          <w:b/>
          <w:bCs/>
          <w:sz w:val="24"/>
          <w:highlight w:val="none"/>
          <w:lang w:val="zh-CN"/>
        </w:rPr>
      </w:pPr>
      <w:r>
        <w:rPr>
          <w:rFonts w:hint="eastAsia" w:cs="仿宋" w:asciiTheme="minorEastAsia" w:hAnsiTheme="minorEastAsia"/>
          <w:b/>
          <w:bCs/>
          <w:sz w:val="24"/>
          <w:highlight w:val="none"/>
        </w:rPr>
        <w:t>20</w:t>
      </w:r>
      <w:r>
        <w:rPr>
          <w:rFonts w:hint="eastAsia" w:cs="仿宋" w:asciiTheme="minorEastAsia" w:hAnsiTheme="minorEastAsia"/>
          <w:b/>
          <w:bCs/>
          <w:sz w:val="24"/>
          <w:highlight w:val="none"/>
          <w:lang w:val="zh-CN"/>
        </w:rPr>
        <w:t>. 其他</w:t>
      </w:r>
    </w:p>
    <w:p>
      <w:pPr>
        <w:spacing w:line="360" w:lineRule="auto"/>
        <w:ind w:firstLine="480" w:firstLineChars="200"/>
        <w:rPr>
          <w:rFonts w:cs="仿宋" w:asciiTheme="minorEastAsia" w:hAnsiTheme="minorEastAsia"/>
          <w:sz w:val="24"/>
          <w:highlight w:val="none"/>
          <w:lang w:val="zh-CN"/>
        </w:rPr>
      </w:pPr>
      <w:r>
        <w:rPr>
          <w:rFonts w:hint="eastAsia" w:cs="仿宋" w:asciiTheme="minorEastAsia" w:hAnsiTheme="minorEastAsia"/>
          <w:sz w:val="24"/>
          <w:highlight w:val="none"/>
        </w:rPr>
        <w:t>20.</w:t>
      </w:r>
      <w:r>
        <w:rPr>
          <w:rFonts w:hint="eastAsia" w:cs="仿宋" w:asciiTheme="minorEastAsia" w:hAnsiTheme="minorEastAsia"/>
          <w:sz w:val="24"/>
          <w:highlight w:val="none"/>
          <w:lang w:val="zh-CN"/>
        </w:rPr>
        <w:t>1 未经过甲方的书面同意，乙方不得转让其应履行的合同项下的义务，和将部分合同项下的义务分包给其他单位完成，</w:t>
      </w:r>
      <w:r>
        <w:rPr>
          <w:rFonts w:hint="eastAsia" w:cs="仿宋" w:asciiTheme="minorEastAsia" w:hAnsiTheme="minorEastAsia"/>
          <w:sz w:val="24"/>
          <w:highlight w:val="none"/>
          <w:lang w:val="en"/>
        </w:rPr>
        <w:t>否则甲方有权单方解除合同并</w:t>
      </w:r>
      <w:r>
        <w:rPr>
          <w:rFonts w:hint="eastAsia" w:cs="仿宋" w:asciiTheme="minorEastAsia" w:hAnsiTheme="minorEastAsia"/>
          <w:sz w:val="24"/>
          <w:highlight w:val="none"/>
        </w:rPr>
        <w:t>没收履约保证金，同时有权</w:t>
      </w:r>
      <w:r>
        <w:rPr>
          <w:rFonts w:hint="eastAsia" w:cs="仿宋" w:asciiTheme="minorEastAsia" w:hAnsiTheme="minorEastAsia"/>
          <w:sz w:val="24"/>
          <w:highlight w:val="none"/>
          <w:lang w:val="en"/>
        </w:rPr>
        <w:t>要求乙方退还所收取的全部款项</w:t>
      </w:r>
      <w:r>
        <w:rPr>
          <w:rFonts w:hint="eastAsia" w:cs="仿宋" w:asciiTheme="minorEastAsia" w:hAnsiTheme="minorEastAsia"/>
          <w:sz w:val="24"/>
          <w:highlight w:val="none"/>
          <w:lang w:val="zh-CN"/>
        </w:rPr>
        <w:t>。</w:t>
      </w:r>
    </w:p>
    <w:p>
      <w:pPr>
        <w:spacing w:line="360" w:lineRule="auto"/>
        <w:ind w:firstLine="480" w:firstLineChars="200"/>
        <w:rPr>
          <w:rFonts w:cs="仿宋" w:asciiTheme="minorEastAsia" w:hAnsiTheme="minorEastAsia"/>
          <w:sz w:val="24"/>
          <w:highlight w:val="none"/>
          <w:lang w:val="en"/>
        </w:rPr>
      </w:pPr>
      <w:r>
        <w:rPr>
          <w:rFonts w:hint="eastAsia" w:cs="仿宋" w:asciiTheme="minorEastAsia" w:hAnsiTheme="minorEastAsia"/>
          <w:sz w:val="24"/>
          <w:highlight w:val="none"/>
        </w:rPr>
        <w:t>20.2</w:t>
      </w:r>
      <w:r>
        <w:rPr>
          <w:rFonts w:hint="eastAsia" w:cs="仿宋" w:asciiTheme="minorEastAsia" w:hAnsiTheme="minorEastAsia"/>
          <w:sz w:val="24"/>
          <w:highlight w:val="none"/>
          <w:lang w:val="zh-CN"/>
        </w:rPr>
        <w:t xml:space="preserve"> </w:t>
      </w:r>
      <w:r>
        <w:rPr>
          <w:rFonts w:hint="eastAsia" w:cs="仿宋" w:asciiTheme="minorEastAsia" w:hAnsiTheme="minorEastAsia"/>
          <w:sz w:val="24"/>
          <w:highlight w:val="none"/>
          <w:lang w:val="en"/>
        </w:rPr>
        <w:t>本合同任何一方给另一方的通知，都应以书面或传真的形式发送，而另一方应以书面形式确认并发送到对方明确的地址。</w:t>
      </w:r>
    </w:p>
    <w:p>
      <w:pPr>
        <w:spacing w:line="360" w:lineRule="auto"/>
        <w:ind w:firstLine="480" w:firstLineChars="200"/>
        <w:rPr>
          <w:rFonts w:cs="仿宋" w:asciiTheme="minorEastAsia" w:hAnsiTheme="minorEastAsia"/>
          <w:sz w:val="24"/>
          <w:highlight w:val="none"/>
          <w:lang w:val="en"/>
        </w:rPr>
      </w:pPr>
      <w:r>
        <w:rPr>
          <w:rFonts w:hint="eastAsia" w:cs="仿宋" w:asciiTheme="minorEastAsia" w:hAnsiTheme="minorEastAsia"/>
          <w:sz w:val="24"/>
          <w:highlight w:val="none"/>
        </w:rPr>
        <w:t>20.3</w:t>
      </w:r>
      <w:r>
        <w:rPr>
          <w:rFonts w:hint="eastAsia" w:cs="仿宋" w:asciiTheme="minorEastAsia" w:hAnsiTheme="minorEastAsia"/>
          <w:sz w:val="24"/>
          <w:highlight w:val="none"/>
          <w:lang w:val="en"/>
        </w:rPr>
        <w:t xml:space="preserve"> 招标文件（编号：</w:t>
      </w:r>
      <w:r>
        <w:rPr>
          <w:rFonts w:hint="eastAsia" w:cs="仿宋" w:asciiTheme="minorEastAsia" w:hAnsiTheme="minorEastAsia"/>
          <w:sz w:val="24"/>
          <w:highlight w:val="none"/>
          <w:lang w:val="en" w:eastAsia="zh-CN"/>
        </w:rPr>
        <w:t>CTZB-2023080442</w:t>
      </w:r>
      <w:r>
        <w:rPr>
          <w:rFonts w:hint="eastAsia" w:cs="仿宋" w:asciiTheme="minorEastAsia" w:hAnsiTheme="minorEastAsia"/>
          <w:sz w:val="24"/>
          <w:highlight w:val="none"/>
          <w:lang w:val="en"/>
        </w:rPr>
        <w:t>）、投标文件及评标过程中形成的文字资料、询标纪要、附件一报价表、附件二报价明细清单均作为本合同的组成部分，具有同等效力。本合同未尽事宜，遵照《</w:t>
      </w:r>
      <w:r>
        <w:rPr>
          <w:rFonts w:hint="eastAsia" w:cs="仿宋" w:asciiTheme="minorEastAsia" w:hAnsiTheme="minorEastAsia"/>
          <w:sz w:val="24"/>
          <w:highlight w:val="none"/>
        </w:rPr>
        <w:t>中华人民共和国民法典</w:t>
      </w:r>
      <w:r>
        <w:rPr>
          <w:rFonts w:hint="eastAsia" w:cs="仿宋" w:asciiTheme="minorEastAsia" w:hAnsiTheme="minorEastAsia"/>
          <w:sz w:val="24"/>
          <w:highlight w:val="none"/>
          <w:lang w:val="en"/>
        </w:rPr>
        <w:t>》有关条文执行。</w:t>
      </w:r>
    </w:p>
    <w:p>
      <w:pPr>
        <w:spacing w:line="360" w:lineRule="auto"/>
        <w:ind w:firstLine="480" w:firstLineChars="200"/>
        <w:rPr>
          <w:rFonts w:cs="仿宋" w:asciiTheme="minorEastAsia" w:hAnsiTheme="minorEastAsia"/>
          <w:sz w:val="24"/>
          <w:highlight w:val="none"/>
          <w:lang w:val="en"/>
        </w:rPr>
      </w:pPr>
      <w:r>
        <w:rPr>
          <w:rFonts w:hint="eastAsia" w:cs="仿宋" w:asciiTheme="minorEastAsia" w:hAnsiTheme="minorEastAsia"/>
          <w:sz w:val="24"/>
          <w:highlight w:val="none"/>
        </w:rPr>
        <w:t>20</w:t>
      </w:r>
      <w:r>
        <w:rPr>
          <w:rFonts w:hint="eastAsia" w:cs="仿宋" w:asciiTheme="minorEastAsia" w:hAnsiTheme="minorEastAsia"/>
          <w:sz w:val="24"/>
          <w:highlight w:val="none"/>
          <w:lang w:val="en"/>
        </w:rPr>
        <w:t>.</w:t>
      </w:r>
      <w:r>
        <w:rPr>
          <w:rFonts w:hint="eastAsia" w:cs="仿宋" w:asciiTheme="minorEastAsia" w:hAnsiTheme="minorEastAsia"/>
          <w:sz w:val="24"/>
          <w:highlight w:val="none"/>
        </w:rPr>
        <w:t>4</w:t>
      </w:r>
      <w:r>
        <w:rPr>
          <w:rFonts w:hint="eastAsia" w:cs="仿宋" w:asciiTheme="minorEastAsia" w:hAnsiTheme="minorEastAsia"/>
          <w:sz w:val="24"/>
          <w:highlight w:val="none"/>
          <w:lang w:val="en"/>
        </w:rPr>
        <w:t xml:space="preserve"> 本合同执行中相关的一切税费均由乙方负担。</w:t>
      </w:r>
    </w:p>
    <w:p>
      <w:pPr>
        <w:spacing w:line="360" w:lineRule="auto"/>
        <w:ind w:firstLine="480" w:firstLineChars="200"/>
        <w:rPr>
          <w:rFonts w:cs="仿宋" w:asciiTheme="minorEastAsia" w:hAnsiTheme="minorEastAsia"/>
          <w:sz w:val="24"/>
          <w:highlight w:val="none"/>
          <w:lang w:val="en"/>
        </w:rPr>
      </w:pPr>
      <w:r>
        <w:rPr>
          <w:rFonts w:hint="eastAsia" w:cs="仿宋" w:asciiTheme="minorEastAsia" w:hAnsiTheme="minorEastAsia"/>
          <w:sz w:val="24"/>
          <w:highlight w:val="none"/>
        </w:rPr>
        <w:t xml:space="preserve">20.5 </w:t>
      </w:r>
      <w:r>
        <w:rPr>
          <w:rFonts w:hint="eastAsia" w:cs="仿宋" w:asciiTheme="minorEastAsia" w:hAnsiTheme="minorEastAsia"/>
          <w:sz w:val="24"/>
          <w:highlight w:val="none"/>
          <w:lang w:val="zh-CN"/>
        </w:rPr>
        <w:t>甲乙双方签订保密协议。保密协议为本合同的组成部分，</w:t>
      </w:r>
      <w:r>
        <w:rPr>
          <w:rFonts w:hint="eastAsia" w:cs="仿宋" w:asciiTheme="minorEastAsia" w:hAnsiTheme="minorEastAsia"/>
          <w:sz w:val="24"/>
          <w:highlight w:val="none"/>
        </w:rPr>
        <w:t>长期有效，</w:t>
      </w:r>
      <w:r>
        <w:rPr>
          <w:rFonts w:hint="eastAsia" w:cs="仿宋" w:asciiTheme="minorEastAsia" w:hAnsiTheme="minorEastAsia"/>
          <w:sz w:val="24"/>
          <w:highlight w:val="none"/>
          <w:lang w:val="zh-CN"/>
        </w:rPr>
        <w:t>不受本合同届满、解除、终止、或本合同中其他条款的无效或履行完毕等情形的影响。</w:t>
      </w:r>
    </w:p>
    <w:p>
      <w:pPr>
        <w:spacing w:line="360" w:lineRule="auto"/>
        <w:ind w:firstLine="480" w:firstLineChars="200"/>
        <w:rPr>
          <w:rFonts w:cs="仿宋" w:asciiTheme="minorEastAsia" w:hAnsiTheme="minorEastAsia"/>
          <w:sz w:val="24"/>
          <w:highlight w:val="none"/>
          <w:lang w:val="en"/>
        </w:rPr>
      </w:pPr>
      <w:r>
        <w:rPr>
          <w:rFonts w:hint="eastAsia" w:cs="仿宋" w:asciiTheme="minorEastAsia" w:hAnsiTheme="minorEastAsia"/>
          <w:sz w:val="24"/>
          <w:highlight w:val="none"/>
        </w:rPr>
        <w:t>20</w:t>
      </w:r>
      <w:r>
        <w:rPr>
          <w:rFonts w:hint="eastAsia" w:cs="仿宋" w:asciiTheme="minorEastAsia" w:hAnsiTheme="minorEastAsia"/>
          <w:sz w:val="24"/>
          <w:highlight w:val="none"/>
          <w:lang w:val="en"/>
        </w:rPr>
        <w:t>.</w:t>
      </w:r>
      <w:r>
        <w:rPr>
          <w:rFonts w:hint="eastAsia" w:cs="仿宋" w:asciiTheme="minorEastAsia" w:hAnsiTheme="minorEastAsia"/>
          <w:sz w:val="24"/>
          <w:highlight w:val="none"/>
        </w:rPr>
        <w:t>6</w:t>
      </w:r>
      <w:r>
        <w:rPr>
          <w:rFonts w:hint="eastAsia" w:cs="仿宋" w:asciiTheme="minorEastAsia" w:hAnsiTheme="minorEastAsia"/>
          <w:sz w:val="24"/>
          <w:highlight w:val="none"/>
          <w:lang w:val="en"/>
        </w:rPr>
        <w:t>本合同壹式陆份，甲方、乙方各执叁份。经双方法定代表人或授权代表签字并加盖单位公章，且乙方向甲方缴纳履约保证金后生效。</w:t>
      </w:r>
    </w:p>
    <w:p>
      <w:pPr>
        <w:rPr>
          <w:rFonts w:cs="仿宋" w:asciiTheme="minorEastAsia" w:hAnsiTheme="minorEastAsia"/>
          <w:sz w:val="24"/>
          <w:highlight w:val="none"/>
        </w:rPr>
      </w:pPr>
      <w:r>
        <w:rPr>
          <w:rFonts w:cs="仿宋" w:asciiTheme="minorEastAsia" w:hAnsiTheme="minorEastAsia"/>
          <w:sz w:val="24"/>
          <w:highlight w:val="none"/>
        </w:rPr>
        <w:br w:type="page"/>
      </w:r>
    </w:p>
    <w:p>
      <w:pPr>
        <w:pStyle w:val="2"/>
        <w:rPr>
          <w:highlight w:val="none"/>
        </w:rPr>
      </w:pPr>
    </w:p>
    <w:p>
      <w:pPr>
        <w:spacing w:line="360" w:lineRule="auto"/>
        <w:jc w:val="left"/>
        <w:rPr>
          <w:rFonts w:cs="仿宋" w:asciiTheme="minorEastAsia" w:hAnsiTheme="minorEastAsia"/>
          <w:sz w:val="24"/>
          <w:highlight w:val="none"/>
        </w:rPr>
      </w:pPr>
      <w:r>
        <w:rPr>
          <w:rFonts w:hint="eastAsia" w:cs="仿宋" w:asciiTheme="minorEastAsia" w:hAnsiTheme="minorEastAsia"/>
          <w:sz w:val="24"/>
          <w:highlight w:val="none"/>
        </w:rPr>
        <w:t>(本页为《</w:t>
      </w:r>
      <w:r>
        <w:rPr>
          <w:rFonts w:hint="eastAsia" w:cs="仿宋" w:asciiTheme="minorEastAsia" w:hAnsiTheme="minorEastAsia"/>
          <w:sz w:val="24"/>
          <w:highlight w:val="none"/>
          <w:lang w:eastAsia="zh-CN"/>
        </w:rPr>
        <w:t>杭州市城市运行“一网统管”迭代升级项目</w:t>
      </w:r>
      <w:r>
        <w:rPr>
          <w:rFonts w:hint="eastAsia" w:cs="仿宋" w:asciiTheme="minorEastAsia" w:hAnsiTheme="minorEastAsia"/>
          <w:sz w:val="24"/>
          <w:highlight w:val="none"/>
        </w:rPr>
        <w:t>合同》之签字盖章页)</w:t>
      </w:r>
    </w:p>
    <w:p>
      <w:pPr>
        <w:spacing w:line="360" w:lineRule="auto"/>
        <w:ind w:left="6480" w:hanging="6480" w:hangingChars="2700"/>
        <w:jc w:val="left"/>
        <w:rPr>
          <w:rFonts w:cs="仿宋" w:asciiTheme="minorEastAsia" w:hAnsiTheme="minorEastAsia"/>
          <w:sz w:val="24"/>
          <w:highlight w:val="none"/>
        </w:rPr>
      </w:pPr>
      <w:r>
        <w:rPr>
          <w:rFonts w:hint="eastAsia" w:cs="仿宋" w:asciiTheme="minorEastAsia" w:hAnsiTheme="minorEastAsia"/>
          <w:sz w:val="24"/>
          <w:highlight w:val="none"/>
        </w:rPr>
        <w:t>甲方（盖章）：</w:t>
      </w:r>
      <w:r>
        <w:rPr>
          <w:rFonts w:hint="eastAsia" w:cs="仿宋" w:asciiTheme="minorEastAsia" w:hAnsiTheme="minorEastAsia"/>
          <w:sz w:val="24"/>
          <w:highlight w:val="none"/>
          <w:lang w:eastAsia="zh-CN"/>
        </w:rPr>
        <w:t>杭州市城市管理局</w:t>
      </w:r>
      <w:r>
        <w:rPr>
          <w:rFonts w:hint="eastAsia" w:cs="仿宋" w:asciiTheme="minorEastAsia" w:hAnsiTheme="minorEastAsia"/>
          <w:sz w:val="24"/>
          <w:highlight w:val="none"/>
        </w:rPr>
        <w:t xml:space="preserve">  </w:t>
      </w:r>
      <w:r>
        <w:rPr>
          <w:rFonts w:hint="eastAsia" w:cs="仿宋" w:asciiTheme="minorEastAsia" w:hAnsiTheme="minorEastAsia"/>
          <w:sz w:val="24"/>
          <w:highlight w:val="none"/>
          <w:lang w:val="en-US" w:eastAsia="zh-CN"/>
        </w:rPr>
        <w:t xml:space="preserve">      </w:t>
      </w:r>
      <w:r>
        <w:rPr>
          <w:rFonts w:hint="eastAsia" w:cs="仿宋" w:asciiTheme="minorEastAsia" w:hAnsiTheme="minorEastAsia"/>
          <w:sz w:val="24"/>
          <w:highlight w:val="none"/>
          <w:lang w:val="en-US" w:eastAsia="zh-CN"/>
        </w:rPr>
        <w:tab/>
      </w:r>
      <w:r>
        <w:rPr>
          <w:rFonts w:hint="eastAsia" w:cs="仿宋" w:asciiTheme="minorEastAsia" w:hAnsiTheme="minorEastAsia"/>
          <w:sz w:val="24"/>
          <w:highlight w:val="none"/>
          <w:lang w:val="en-US" w:eastAsia="zh-CN"/>
        </w:rPr>
        <w:tab/>
      </w:r>
      <w:r>
        <w:rPr>
          <w:rFonts w:hint="eastAsia" w:cs="仿宋" w:asciiTheme="minorEastAsia" w:hAnsiTheme="minorEastAsia"/>
          <w:sz w:val="24"/>
          <w:highlight w:val="none"/>
          <w:lang w:val="en-US" w:eastAsia="zh-CN"/>
        </w:rPr>
        <w:t xml:space="preserve"> </w:t>
      </w:r>
      <w:r>
        <w:rPr>
          <w:rFonts w:hint="eastAsia" w:cs="仿宋" w:asciiTheme="minorEastAsia" w:hAnsiTheme="minorEastAsia"/>
          <w:sz w:val="24"/>
          <w:highlight w:val="none"/>
        </w:rPr>
        <w:t xml:space="preserve">乙方（盖章）： </w:t>
      </w:r>
    </w:p>
    <w:p>
      <w:pPr>
        <w:spacing w:line="360" w:lineRule="auto"/>
        <w:jc w:val="left"/>
        <w:rPr>
          <w:rFonts w:cs="仿宋" w:asciiTheme="minorEastAsia" w:hAnsiTheme="minorEastAsia"/>
          <w:sz w:val="24"/>
          <w:highlight w:val="none"/>
        </w:rPr>
      </w:pPr>
      <w:r>
        <w:rPr>
          <w:rFonts w:hint="eastAsia" w:cs="仿宋" w:asciiTheme="minorEastAsia" w:hAnsiTheme="minorEastAsia"/>
          <w:sz w:val="24"/>
          <w:highlight w:val="none"/>
        </w:rPr>
        <w:t xml:space="preserve">法定代表人：                            </w:t>
      </w:r>
      <w:r>
        <w:rPr>
          <w:rFonts w:hint="eastAsia" w:cs="仿宋" w:asciiTheme="minorEastAsia" w:hAnsiTheme="minorEastAsia"/>
          <w:sz w:val="24"/>
          <w:highlight w:val="none"/>
          <w:lang w:val="en-US" w:eastAsia="zh-CN"/>
        </w:rPr>
        <w:tab/>
      </w:r>
      <w:r>
        <w:rPr>
          <w:rFonts w:hint="eastAsia" w:cs="仿宋" w:asciiTheme="minorEastAsia" w:hAnsiTheme="minorEastAsia"/>
          <w:sz w:val="24"/>
          <w:highlight w:val="none"/>
          <w:lang w:val="en-US" w:eastAsia="zh-CN"/>
        </w:rPr>
        <w:tab/>
      </w:r>
      <w:r>
        <w:rPr>
          <w:rFonts w:hint="eastAsia" w:cs="仿宋" w:asciiTheme="minorEastAsia" w:hAnsiTheme="minorEastAsia"/>
          <w:sz w:val="24"/>
          <w:highlight w:val="none"/>
          <w:lang w:val="en-US" w:eastAsia="zh-CN"/>
        </w:rPr>
        <w:tab/>
      </w:r>
      <w:r>
        <w:rPr>
          <w:rFonts w:hint="eastAsia" w:cs="仿宋" w:asciiTheme="minorEastAsia" w:hAnsiTheme="minorEastAsia"/>
          <w:sz w:val="24"/>
          <w:highlight w:val="none"/>
          <w:lang w:val="en-US" w:eastAsia="zh-CN"/>
        </w:rPr>
        <w:tab/>
      </w:r>
      <w:r>
        <w:rPr>
          <w:rFonts w:hint="eastAsia" w:cs="仿宋" w:asciiTheme="minorEastAsia" w:hAnsiTheme="minorEastAsia"/>
          <w:sz w:val="24"/>
          <w:highlight w:val="none"/>
          <w:lang w:val="en-US" w:eastAsia="zh-CN"/>
        </w:rPr>
        <w:t xml:space="preserve">   </w:t>
      </w:r>
      <w:r>
        <w:rPr>
          <w:rFonts w:hint="eastAsia" w:cs="仿宋" w:asciiTheme="minorEastAsia" w:hAnsiTheme="minorEastAsia"/>
          <w:sz w:val="24"/>
          <w:highlight w:val="none"/>
        </w:rPr>
        <w:t xml:space="preserve"> 法定代表人：         </w:t>
      </w:r>
    </w:p>
    <w:p>
      <w:pPr>
        <w:spacing w:line="360" w:lineRule="auto"/>
        <w:jc w:val="left"/>
        <w:rPr>
          <w:rFonts w:cs="仿宋" w:asciiTheme="minorEastAsia" w:hAnsiTheme="minorEastAsia"/>
          <w:sz w:val="24"/>
          <w:highlight w:val="none"/>
        </w:rPr>
      </w:pPr>
      <w:r>
        <w:rPr>
          <w:rFonts w:hint="eastAsia" w:cs="仿宋" w:asciiTheme="minorEastAsia" w:hAnsiTheme="minorEastAsia"/>
          <w:sz w:val="24"/>
          <w:highlight w:val="none"/>
        </w:rPr>
        <w:t xml:space="preserve">或受委托人（签字）：                    </w:t>
      </w:r>
      <w:r>
        <w:rPr>
          <w:rFonts w:hint="eastAsia" w:cs="仿宋" w:asciiTheme="minorEastAsia" w:hAnsiTheme="minorEastAsia"/>
          <w:sz w:val="24"/>
          <w:highlight w:val="none"/>
          <w:lang w:val="en-US" w:eastAsia="zh-CN"/>
        </w:rPr>
        <w:t xml:space="preserve">                </w:t>
      </w:r>
      <w:r>
        <w:rPr>
          <w:rFonts w:hint="eastAsia" w:cs="仿宋" w:asciiTheme="minorEastAsia" w:hAnsiTheme="minorEastAsia"/>
          <w:sz w:val="24"/>
          <w:highlight w:val="none"/>
        </w:rPr>
        <w:t xml:space="preserve"> 或受委托人（签字）： </w:t>
      </w:r>
    </w:p>
    <w:p>
      <w:pPr>
        <w:spacing w:line="360" w:lineRule="auto"/>
        <w:jc w:val="left"/>
        <w:rPr>
          <w:rFonts w:cs="仿宋" w:asciiTheme="minorEastAsia" w:hAnsiTheme="minorEastAsia"/>
          <w:sz w:val="24"/>
          <w:highlight w:val="none"/>
        </w:rPr>
      </w:pPr>
      <w:r>
        <w:rPr>
          <w:rFonts w:hint="eastAsia" w:cs="仿宋" w:asciiTheme="minorEastAsia" w:hAnsiTheme="minorEastAsia"/>
          <w:sz w:val="24"/>
          <w:highlight w:val="none"/>
        </w:rPr>
        <w:t xml:space="preserve">联系人：                                 </w:t>
      </w:r>
      <w:r>
        <w:rPr>
          <w:rFonts w:hint="eastAsia" w:cs="仿宋" w:asciiTheme="minorEastAsia" w:hAnsiTheme="minorEastAsia"/>
          <w:sz w:val="24"/>
          <w:highlight w:val="none"/>
          <w:lang w:val="en-US" w:eastAsia="zh-CN"/>
        </w:rPr>
        <w:tab/>
      </w:r>
      <w:r>
        <w:rPr>
          <w:rFonts w:hint="eastAsia" w:cs="仿宋" w:asciiTheme="minorEastAsia" w:hAnsiTheme="minorEastAsia"/>
          <w:sz w:val="24"/>
          <w:highlight w:val="none"/>
          <w:lang w:val="en-US" w:eastAsia="zh-CN"/>
        </w:rPr>
        <w:tab/>
      </w:r>
      <w:r>
        <w:rPr>
          <w:rFonts w:hint="eastAsia" w:cs="仿宋" w:asciiTheme="minorEastAsia" w:hAnsiTheme="minorEastAsia"/>
          <w:sz w:val="24"/>
          <w:highlight w:val="none"/>
          <w:lang w:val="en-US" w:eastAsia="zh-CN"/>
        </w:rPr>
        <w:tab/>
      </w:r>
      <w:r>
        <w:rPr>
          <w:rFonts w:hint="eastAsia" w:cs="仿宋" w:asciiTheme="minorEastAsia" w:hAnsiTheme="minorEastAsia"/>
          <w:sz w:val="24"/>
          <w:highlight w:val="none"/>
          <w:lang w:val="en-US" w:eastAsia="zh-CN"/>
        </w:rPr>
        <w:tab/>
      </w:r>
      <w:r>
        <w:rPr>
          <w:rFonts w:hint="eastAsia" w:cs="仿宋" w:asciiTheme="minorEastAsia" w:hAnsiTheme="minorEastAsia"/>
          <w:sz w:val="24"/>
          <w:highlight w:val="none"/>
          <w:lang w:val="en-US" w:eastAsia="zh-CN"/>
        </w:rPr>
        <w:tab/>
      </w:r>
      <w:r>
        <w:rPr>
          <w:rFonts w:hint="eastAsia" w:cs="仿宋" w:asciiTheme="minorEastAsia" w:hAnsiTheme="minorEastAsia"/>
          <w:sz w:val="24"/>
          <w:highlight w:val="none"/>
          <w:lang w:val="en-US" w:eastAsia="zh-CN"/>
        </w:rPr>
        <w:t xml:space="preserve"> </w:t>
      </w:r>
      <w:r>
        <w:rPr>
          <w:rFonts w:hint="eastAsia" w:cs="仿宋" w:asciiTheme="minorEastAsia" w:hAnsiTheme="minorEastAsia"/>
          <w:sz w:val="24"/>
          <w:highlight w:val="none"/>
        </w:rPr>
        <w:t>联系人：</w:t>
      </w:r>
    </w:p>
    <w:p>
      <w:pPr>
        <w:spacing w:line="360" w:lineRule="auto"/>
        <w:jc w:val="left"/>
        <w:rPr>
          <w:rFonts w:cs="仿宋" w:asciiTheme="minorEastAsia" w:hAnsiTheme="minorEastAsia"/>
          <w:sz w:val="24"/>
          <w:highlight w:val="none"/>
        </w:rPr>
      </w:pPr>
      <w:r>
        <w:rPr>
          <w:rFonts w:hint="eastAsia" w:cs="仿宋" w:asciiTheme="minorEastAsia" w:hAnsiTheme="minorEastAsia"/>
          <w:sz w:val="24"/>
          <w:highlight w:val="none"/>
        </w:rPr>
        <w:t>地址：</w:t>
      </w:r>
      <w:r>
        <w:rPr>
          <w:rFonts w:hint="eastAsia" w:cs="仿宋" w:asciiTheme="minorEastAsia" w:hAnsiTheme="minorEastAsia"/>
          <w:sz w:val="24"/>
          <w:highlight w:val="none"/>
        </w:rPr>
        <w:tab/>
      </w:r>
      <w:r>
        <w:rPr>
          <w:rFonts w:hint="eastAsia" w:cs="仿宋" w:asciiTheme="minorEastAsia" w:hAnsiTheme="minorEastAsia"/>
          <w:sz w:val="24"/>
          <w:highlight w:val="none"/>
        </w:rPr>
        <w:tab/>
      </w:r>
      <w:r>
        <w:rPr>
          <w:rFonts w:hint="eastAsia" w:cs="仿宋" w:asciiTheme="minorEastAsia" w:hAnsiTheme="minorEastAsia"/>
          <w:sz w:val="24"/>
          <w:highlight w:val="none"/>
        </w:rPr>
        <w:tab/>
      </w:r>
      <w:r>
        <w:rPr>
          <w:rFonts w:hint="eastAsia" w:cs="仿宋" w:asciiTheme="minorEastAsia" w:hAnsiTheme="minorEastAsia"/>
          <w:sz w:val="24"/>
          <w:highlight w:val="none"/>
        </w:rPr>
        <w:tab/>
      </w:r>
      <w:r>
        <w:rPr>
          <w:rFonts w:hint="eastAsia" w:cs="仿宋" w:asciiTheme="minorEastAsia" w:hAnsiTheme="minorEastAsia"/>
          <w:sz w:val="24"/>
          <w:highlight w:val="none"/>
        </w:rPr>
        <w:tab/>
      </w:r>
      <w:r>
        <w:rPr>
          <w:rFonts w:hint="eastAsia" w:cs="仿宋" w:asciiTheme="minorEastAsia" w:hAnsiTheme="minorEastAsia"/>
          <w:sz w:val="24"/>
          <w:highlight w:val="none"/>
        </w:rPr>
        <w:tab/>
      </w:r>
      <w:r>
        <w:rPr>
          <w:rFonts w:hint="eastAsia" w:cs="仿宋" w:asciiTheme="minorEastAsia" w:hAnsiTheme="minorEastAsia"/>
          <w:sz w:val="24"/>
          <w:highlight w:val="none"/>
        </w:rPr>
        <w:tab/>
      </w:r>
      <w:r>
        <w:rPr>
          <w:rFonts w:hint="eastAsia" w:cs="仿宋" w:asciiTheme="minorEastAsia" w:hAnsiTheme="minorEastAsia"/>
          <w:sz w:val="24"/>
          <w:highlight w:val="none"/>
        </w:rPr>
        <w:tab/>
      </w:r>
      <w:r>
        <w:rPr>
          <w:rFonts w:hint="eastAsia" w:cs="仿宋" w:asciiTheme="minorEastAsia" w:hAnsiTheme="minorEastAsia"/>
          <w:sz w:val="24"/>
          <w:highlight w:val="none"/>
        </w:rPr>
        <w:t xml:space="preserve">         </w:t>
      </w:r>
      <w:r>
        <w:rPr>
          <w:rFonts w:hint="eastAsia" w:cs="仿宋" w:asciiTheme="minorEastAsia" w:hAnsiTheme="minorEastAsia"/>
          <w:sz w:val="24"/>
          <w:highlight w:val="none"/>
          <w:lang w:val="en-US" w:eastAsia="zh-CN"/>
        </w:rPr>
        <w:tab/>
      </w:r>
      <w:r>
        <w:rPr>
          <w:rFonts w:hint="eastAsia" w:cs="仿宋" w:asciiTheme="minorEastAsia" w:hAnsiTheme="minorEastAsia"/>
          <w:sz w:val="24"/>
          <w:highlight w:val="none"/>
          <w:lang w:val="en-US" w:eastAsia="zh-CN"/>
        </w:rPr>
        <w:tab/>
      </w:r>
      <w:r>
        <w:rPr>
          <w:rFonts w:hint="eastAsia" w:cs="仿宋" w:asciiTheme="minorEastAsia" w:hAnsiTheme="minorEastAsia"/>
          <w:sz w:val="24"/>
          <w:highlight w:val="none"/>
          <w:lang w:val="en-US" w:eastAsia="zh-CN"/>
        </w:rPr>
        <w:tab/>
      </w:r>
      <w:r>
        <w:rPr>
          <w:rFonts w:hint="eastAsia" w:cs="仿宋" w:asciiTheme="minorEastAsia" w:hAnsiTheme="minorEastAsia"/>
          <w:sz w:val="24"/>
          <w:highlight w:val="none"/>
          <w:lang w:val="en-US" w:eastAsia="zh-CN"/>
        </w:rPr>
        <w:tab/>
      </w:r>
      <w:r>
        <w:rPr>
          <w:rFonts w:hint="eastAsia" w:cs="仿宋" w:asciiTheme="minorEastAsia" w:hAnsiTheme="minorEastAsia"/>
          <w:sz w:val="24"/>
          <w:highlight w:val="none"/>
          <w:lang w:val="en-US" w:eastAsia="zh-CN"/>
        </w:rPr>
        <w:tab/>
      </w:r>
      <w:r>
        <w:rPr>
          <w:rFonts w:hint="eastAsia" w:cs="仿宋" w:asciiTheme="minorEastAsia" w:hAnsiTheme="minorEastAsia"/>
          <w:sz w:val="24"/>
          <w:highlight w:val="none"/>
          <w:lang w:val="en-US" w:eastAsia="zh-CN"/>
        </w:rPr>
        <w:t xml:space="preserve"> </w:t>
      </w:r>
      <w:r>
        <w:rPr>
          <w:rFonts w:hint="eastAsia" w:cs="仿宋" w:asciiTheme="minorEastAsia" w:hAnsiTheme="minorEastAsia"/>
          <w:sz w:val="24"/>
          <w:highlight w:val="none"/>
        </w:rPr>
        <w:t xml:space="preserve">地址：                    </w:t>
      </w:r>
    </w:p>
    <w:p>
      <w:pPr>
        <w:spacing w:line="360" w:lineRule="auto"/>
        <w:jc w:val="left"/>
        <w:rPr>
          <w:rFonts w:cs="仿宋" w:asciiTheme="minorEastAsia" w:hAnsiTheme="minorEastAsia"/>
          <w:sz w:val="24"/>
          <w:highlight w:val="none"/>
        </w:rPr>
      </w:pPr>
      <w:r>
        <w:rPr>
          <w:rFonts w:hint="eastAsia" w:cs="仿宋" w:asciiTheme="minorEastAsia" w:hAnsiTheme="minorEastAsia"/>
          <w:sz w:val="24"/>
          <w:highlight w:val="none"/>
        </w:rPr>
        <w:t xml:space="preserve">电话：                    </w:t>
      </w:r>
      <w:r>
        <w:rPr>
          <w:rFonts w:hint="eastAsia" w:cs="仿宋" w:asciiTheme="minorEastAsia" w:hAnsiTheme="minorEastAsia"/>
          <w:sz w:val="24"/>
          <w:highlight w:val="none"/>
        </w:rPr>
        <w:tab/>
      </w:r>
      <w:r>
        <w:rPr>
          <w:rFonts w:hint="eastAsia" w:cs="仿宋" w:asciiTheme="minorEastAsia" w:hAnsiTheme="minorEastAsia"/>
          <w:sz w:val="24"/>
          <w:highlight w:val="none"/>
        </w:rPr>
        <w:tab/>
      </w:r>
      <w:r>
        <w:rPr>
          <w:rFonts w:hint="eastAsia" w:cs="仿宋" w:asciiTheme="minorEastAsia" w:hAnsiTheme="minorEastAsia"/>
          <w:sz w:val="24"/>
          <w:highlight w:val="none"/>
        </w:rPr>
        <w:tab/>
      </w:r>
      <w:r>
        <w:rPr>
          <w:rFonts w:hint="eastAsia" w:cs="仿宋" w:asciiTheme="minorEastAsia" w:hAnsiTheme="minorEastAsia"/>
          <w:sz w:val="24"/>
          <w:highlight w:val="none"/>
        </w:rPr>
        <w:tab/>
      </w:r>
      <w:r>
        <w:rPr>
          <w:rFonts w:hint="eastAsia" w:cs="仿宋" w:asciiTheme="minorEastAsia" w:hAnsiTheme="minorEastAsia"/>
          <w:sz w:val="24"/>
          <w:highlight w:val="none"/>
        </w:rPr>
        <w:t xml:space="preserve">  </w:t>
      </w:r>
      <w:r>
        <w:rPr>
          <w:rFonts w:hint="eastAsia" w:cs="仿宋" w:asciiTheme="minorEastAsia" w:hAnsiTheme="minorEastAsia"/>
          <w:sz w:val="24"/>
          <w:highlight w:val="none"/>
          <w:lang w:val="en-US" w:eastAsia="zh-CN"/>
        </w:rPr>
        <w:tab/>
      </w:r>
      <w:r>
        <w:rPr>
          <w:rFonts w:hint="eastAsia" w:cs="仿宋" w:asciiTheme="minorEastAsia" w:hAnsiTheme="minorEastAsia"/>
          <w:sz w:val="24"/>
          <w:highlight w:val="none"/>
          <w:lang w:val="en-US" w:eastAsia="zh-CN"/>
        </w:rPr>
        <w:tab/>
      </w:r>
      <w:r>
        <w:rPr>
          <w:rFonts w:hint="eastAsia" w:cs="仿宋" w:asciiTheme="minorEastAsia" w:hAnsiTheme="minorEastAsia"/>
          <w:sz w:val="24"/>
          <w:highlight w:val="none"/>
          <w:lang w:val="en-US" w:eastAsia="zh-CN"/>
        </w:rPr>
        <w:tab/>
      </w:r>
      <w:r>
        <w:rPr>
          <w:rFonts w:hint="eastAsia" w:cs="仿宋" w:asciiTheme="minorEastAsia" w:hAnsiTheme="minorEastAsia"/>
          <w:sz w:val="24"/>
          <w:highlight w:val="none"/>
          <w:lang w:val="en-US" w:eastAsia="zh-CN"/>
        </w:rPr>
        <w:tab/>
      </w:r>
      <w:r>
        <w:rPr>
          <w:rFonts w:hint="eastAsia" w:cs="仿宋" w:asciiTheme="minorEastAsia" w:hAnsiTheme="minorEastAsia"/>
          <w:sz w:val="24"/>
          <w:highlight w:val="none"/>
          <w:lang w:val="en-US" w:eastAsia="zh-CN"/>
        </w:rPr>
        <w:tab/>
      </w:r>
      <w:r>
        <w:rPr>
          <w:rFonts w:hint="eastAsia" w:cs="仿宋" w:asciiTheme="minorEastAsia" w:hAnsiTheme="minorEastAsia"/>
          <w:sz w:val="24"/>
          <w:highlight w:val="none"/>
          <w:lang w:val="en-US" w:eastAsia="zh-CN"/>
        </w:rPr>
        <w:t xml:space="preserve"> </w:t>
      </w:r>
      <w:r>
        <w:rPr>
          <w:rFonts w:hint="eastAsia" w:cs="仿宋" w:asciiTheme="minorEastAsia" w:hAnsiTheme="minorEastAsia"/>
          <w:sz w:val="24"/>
          <w:highlight w:val="none"/>
        </w:rPr>
        <w:t>电话：</w:t>
      </w:r>
    </w:p>
    <w:p>
      <w:pPr>
        <w:spacing w:line="360" w:lineRule="auto"/>
        <w:jc w:val="left"/>
        <w:rPr>
          <w:rFonts w:cs="仿宋" w:asciiTheme="minorEastAsia" w:hAnsiTheme="minorEastAsia"/>
          <w:sz w:val="24"/>
          <w:highlight w:val="none"/>
        </w:rPr>
      </w:pPr>
      <w:r>
        <w:rPr>
          <w:rFonts w:hint="eastAsia" w:cs="仿宋" w:asciiTheme="minorEastAsia" w:hAnsiTheme="minorEastAsia"/>
          <w:sz w:val="24"/>
          <w:highlight w:val="none"/>
        </w:rPr>
        <w:t xml:space="preserve">传真：                     </w:t>
      </w:r>
      <w:r>
        <w:rPr>
          <w:rFonts w:hint="eastAsia" w:cs="仿宋" w:asciiTheme="minorEastAsia" w:hAnsiTheme="minorEastAsia"/>
          <w:sz w:val="24"/>
          <w:highlight w:val="none"/>
        </w:rPr>
        <w:tab/>
      </w:r>
      <w:r>
        <w:rPr>
          <w:rFonts w:hint="eastAsia" w:cs="仿宋" w:asciiTheme="minorEastAsia" w:hAnsiTheme="minorEastAsia"/>
          <w:sz w:val="24"/>
          <w:highlight w:val="none"/>
        </w:rPr>
        <w:tab/>
      </w:r>
      <w:r>
        <w:rPr>
          <w:rFonts w:hint="eastAsia" w:cs="仿宋" w:asciiTheme="minorEastAsia" w:hAnsiTheme="minorEastAsia"/>
          <w:sz w:val="24"/>
          <w:highlight w:val="none"/>
        </w:rPr>
        <w:tab/>
      </w:r>
      <w:r>
        <w:rPr>
          <w:rFonts w:hint="eastAsia" w:cs="仿宋" w:asciiTheme="minorEastAsia" w:hAnsiTheme="minorEastAsia"/>
          <w:sz w:val="24"/>
          <w:highlight w:val="none"/>
        </w:rPr>
        <w:tab/>
      </w:r>
      <w:r>
        <w:rPr>
          <w:rFonts w:hint="eastAsia" w:cs="仿宋" w:asciiTheme="minorEastAsia" w:hAnsiTheme="minorEastAsia"/>
          <w:sz w:val="24"/>
          <w:highlight w:val="none"/>
        </w:rPr>
        <w:t xml:space="preserve"> </w:t>
      </w:r>
      <w:r>
        <w:rPr>
          <w:rFonts w:hint="eastAsia" w:cs="仿宋" w:asciiTheme="minorEastAsia" w:hAnsiTheme="minorEastAsia"/>
          <w:sz w:val="24"/>
          <w:highlight w:val="none"/>
          <w:lang w:val="en-US" w:eastAsia="zh-CN"/>
        </w:rPr>
        <w:tab/>
      </w:r>
      <w:r>
        <w:rPr>
          <w:rFonts w:hint="eastAsia" w:cs="仿宋" w:asciiTheme="minorEastAsia" w:hAnsiTheme="minorEastAsia"/>
          <w:sz w:val="24"/>
          <w:highlight w:val="none"/>
          <w:lang w:val="en-US" w:eastAsia="zh-CN"/>
        </w:rPr>
        <w:tab/>
      </w:r>
      <w:r>
        <w:rPr>
          <w:rFonts w:hint="eastAsia" w:cs="仿宋" w:asciiTheme="minorEastAsia" w:hAnsiTheme="minorEastAsia"/>
          <w:sz w:val="24"/>
          <w:highlight w:val="none"/>
          <w:lang w:val="en-US" w:eastAsia="zh-CN"/>
        </w:rPr>
        <w:tab/>
      </w:r>
      <w:r>
        <w:rPr>
          <w:rFonts w:hint="eastAsia" w:cs="仿宋" w:asciiTheme="minorEastAsia" w:hAnsiTheme="minorEastAsia"/>
          <w:sz w:val="24"/>
          <w:highlight w:val="none"/>
          <w:lang w:val="en-US" w:eastAsia="zh-CN"/>
        </w:rPr>
        <w:tab/>
      </w:r>
      <w:r>
        <w:rPr>
          <w:rFonts w:hint="eastAsia" w:cs="仿宋" w:asciiTheme="minorEastAsia" w:hAnsiTheme="minorEastAsia"/>
          <w:sz w:val="24"/>
          <w:highlight w:val="none"/>
          <w:lang w:val="en-US" w:eastAsia="zh-CN"/>
        </w:rPr>
        <w:t xml:space="preserve">    </w:t>
      </w:r>
      <w:r>
        <w:rPr>
          <w:rFonts w:hint="eastAsia" w:cs="仿宋" w:asciiTheme="minorEastAsia" w:hAnsiTheme="minorEastAsia"/>
          <w:sz w:val="24"/>
          <w:highlight w:val="none"/>
        </w:rPr>
        <w:t xml:space="preserve"> 传真：          </w:t>
      </w:r>
    </w:p>
    <w:p>
      <w:pPr>
        <w:spacing w:line="360" w:lineRule="auto"/>
        <w:ind w:left="25" w:leftChars="12"/>
        <w:jc w:val="left"/>
        <w:rPr>
          <w:rFonts w:cs="仿宋" w:asciiTheme="minorEastAsia" w:hAnsiTheme="minorEastAsia"/>
          <w:sz w:val="24"/>
          <w:highlight w:val="none"/>
        </w:rPr>
      </w:pPr>
      <w:r>
        <w:rPr>
          <w:rFonts w:hint="eastAsia" w:cs="仿宋" w:asciiTheme="minorEastAsia" w:hAnsiTheme="minorEastAsia"/>
          <w:sz w:val="24"/>
          <w:highlight w:val="none"/>
        </w:rPr>
        <w:t xml:space="preserve">开户银行：          </w:t>
      </w:r>
      <w:r>
        <w:rPr>
          <w:rFonts w:hint="eastAsia" w:cs="仿宋" w:asciiTheme="minorEastAsia" w:hAnsiTheme="minorEastAsia"/>
          <w:sz w:val="24"/>
          <w:highlight w:val="none"/>
        </w:rPr>
        <w:tab/>
      </w:r>
      <w:r>
        <w:rPr>
          <w:rFonts w:hint="eastAsia" w:cs="仿宋" w:asciiTheme="minorEastAsia" w:hAnsiTheme="minorEastAsia"/>
          <w:sz w:val="24"/>
          <w:highlight w:val="none"/>
        </w:rPr>
        <w:tab/>
      </w:r>
      <w:r>
        <w:rPr>
          <w:rFonts w:hint="eastAsia" w:cs="仿宋" w:asciiTheme="minorEastAsia" w:hAnsiTheme="minorEastAsia"/>
          <w:sz w:val="24"/>
          <w:highlight w:val="none"/>
        </w:rPr>
        <w:tab/>
      </w:r>
      <w:r>
        <w:rPr>
          <w:rFonts w:hint="eastAsia" w:cs="仿宋" w:asciiTheme="minorEastAsia" w:hAnsiTheme="minorEastAsia"/>
          <w:sz w:val="24"/>
          <w:highlight w:val="none"/>
        </w:rPr>
        <w:tab/>
      </w:r>
      <w:r>
        <w:rPr>
          <w:rFonts w:hint="eastAsia" w:cs="仿宋" w:asciiTheme="minorEastAsia" w:hAnsiTheme="minorEastAsia"/>
          <w:sz w:val="24"/>
          <w:highlight w:val="none"/>
        </w:rPr>
        <w:tab/>
      </w:r>
      <w:r>
        <w:rPr>
          <w:rFonts w:hint="eastAsia" w:cs="仿宋" w:asciiTheme="minorEastAsia" w:hAnsiTheme="minorEastAsia"/>
          <w:sz w:val="24"/>
          <w:highlight w:val="none"/>
        </w:rPr>
        <w:tab/>
      </w:r>
      <w:r>
        <w:rPr>
          <w:rFonts w:hint="eastAsia" w:cs="仿宋" w:asciiTheme="minorEastAsia" w:hAnsiTheme="minorEastAsia"/>
          <w:sz w:val="24"/>
          <w:highlight w:val="none"/>
        </w:rPr>
        <w:t xml:space="preserve">  </w:t>
      </w:r>
      <w:r>
        <w:rPr>
          <w:rFonts w:hint="eastAsia" w:cs="仿宋" w:asciiTheme="minorEastAsia" w:hAnsiTheme="minorEastAsia"/>
          <w:sz w:val="24"/>
          <w:highlight w:val="none"/>
          <w:lang w:val="en-US" w:eastAsia="zh-CN"/>
        </w:rPr>
        <w:tab/>
      </w:r>
      <w:r>
        <w:rPr>
          <w:rFonts w:hint="eastAsia" w:cs="仿宋" w:asciiTheme="minorEastAsia" w:hAnsiTheme="minorEastAsia"/>
          <w:sz w:val="24"/>
          <w:highlight w:val="none"/>
          <w:lang w:val="en-US" w:eastAsia="zh-CN"/>
        </w:rPr>
        <w:tab/>
      </w:r>
      <w:r>
        <w:rPr>
          <w:rFonts w:hint="eastAsia" w:cs="仿宋" w:asciiTheme="minorEastAsia" w:hAnsiTheme="minorEastAsia"/>
          <w:sz w:val="24"/>
          <w:highlight w:val="none"/>
          <w:lang w:val="en-US" w:eastAsia="zh-CN"/>
        </w:rPr>
        <w:tab/>
      </w:r>
      <w:r>
        <w:rPr>
          <w:rFonts w:hint="eastAsia" w:cs="仿宋" w:asciiTheme="minorEastAsia" w:hAnsiTheme="minorEastAsia"/>
          <w:sz w:val="24"/>
          <w:highlight w:val="none"/>
          <w:lang w:val="en-US" w:eastAsia="zh-CN"/>
        </w:rPr>
        <w:tab/>
      </w:r>
      <w:r>
        <w:rPr>
          <w:rFonts w:hint="eastAsia" w:cs="仿宋" w:asciiTheme="minorEastAsia" w:hAnsiTheme="minorEastAsia"/>
          <w:sz w:val="24"/>
          <w:highlight w:val="none"/>
          <w:lang w:val="en-US" w:eastAsia="zh-CN"/>
        </w:rPr>
        <w:tab/>
      </w:r>
      <w:r>
        <w:rPr>
          <w:rFonts w:hint="eastAsia" w:cs="仿宋" w:asciiTheme="minorEastAsia" w:hAnsiTheme="minorEastAsia"/>
          <w:sz w:val="24"/>
          <w:highlight w:val="none"/>
          <w:lang w:val="en-US" w:eastAsia="zh-CN"/>
        </w:rPr>
        <w:t xml:space="preserve"> </w:t>
      </w:r>
      <w:r>
        <w:rPr>
          <w:rFonts w:hint="eastAsia" w:cs="仿宋" w:asciiTheme="minorEastAsia" w:hAnsiTheme="minorEastAsia"/>
          <w:sz w:val="24"/>
          <w:highlight w:val="none"/>
        </w:rPr>
        <w:t>开户银行：</w:t>
      </w:r>
    </w:p>
    <w:p>
      <w:pPr>
        <w:spacing w:line="360" w:lineRule="auto"/>
        <w:jc w:val="left"/>
        <w:rPr>
          <w:rFonts w:cs="仿宋" w:asciiTheme="minorEastAsia" w:hAnsiTheme="minorEastAsia"/>
          <w:sz w:val="24"/>
          <w:highlight w:val="none"/>
        </w:rPr>
      </w:pPr>
      <w:r>
        <w:rPr>
          <w:rFonts w:hint="eastAsia" w:cs="仿宋" w:asciiTheme="minorEastAsia" w:hAnsiTheme="minorEastAsia"/>
          <w:sz w:val="24"/>
          <w:highlight w:val="none"/>
        </w:rPr>
        <w:t xml:space="preserve">帐号：                 </w:t>
      </w:r>
      <w:r>
        <w:rPr>
          <w:rFonts w:hint="eastAsia" w:cs="仿宋" w:asciiTheme="minorEastAsia" w:hAnsiTheme="minorEastAsia"/>
          <w:sz w:val="24"/>
          <w:highlight w:val="none"/>
        </w:rPr>
        <w:tab/>
      </w:r>
      <w:r>
        <w:rPr>
          <w:rFonts w:hint="eastAsia" w:cs="仿宋" w:asciiTheme="minorEastAsia" w:hAnsiTheme="minorEastAsia"/>
          <w:sz w:val="24"/>
          <w:highlight w:val="none"/>
        </w:rPr>
        <w:tab/>
      </w:r>
      <w:r>
        <w:rPr>
          <w:rFonts w:hint="eastAsia" w:cs="仿宋" w:asciiTheme="minorEastAsia" w:hAnsiTheme="minorEastAsia"/>
          <w:sz w:val="24"/>
          <w:highlight w:val="none"/>
        </w:rPr>
        <w:tab/>
      </w:r>
      <w:r>
        <w:rPr>
          <w:rFonts w:hint="eastAsia" w:cs="仿宋" w:asciiTheme="minorEastAsia" w:hAnsiTheme="minorEastAsia"/>
          <w:sz w:val="24"/>
          <w:highlight w:val="none"/>
        </w:rPr>
        <w:tab/>
      </w:r>
      <w:r>
        <w:rPr>
          <w:rFonts w:hint="eastAsia" w:cs="仿宋" w:asciiTheme="minorEastAsia" w:hAnsiTheme="minorEastAsia"/>
          <w:sz w:val="24"/>
          <w:highlight w:val="none"/>
        </w:rPr>
        <w:tab/>
      </w:r>
      <w:r>
        <w:rPr>
          <w:rFonts w:hint="eastAsia" w:cs="仿宋" w:asciiTheme="minorEastAsia" w:hAnsiTheme="minorEastAsia"/>
          <w:sz w:val="24"/>
          <w:highlight w:val="none"/>
        </w:rPr>
        <w:t xml:space="preserve">  </w:t>
      </w:r>
      <w:r>
        <w:rPr>
          <w:rFonts w:hint="eastAsia" w:cs="仿宋" w:asciiTheme="minorEastAsia" w:hAnsiTheme="minorEastAsia"/>
          <w:sz w:val="24"/>
          <w:highlight w:val="none"/>
          <w:lang w:val="en-US" w:eastAsia="zh-CN"/>
        </w:rPr>
        <w:tab/>
      </w:r>
      <w:r>
        <w:rPr>
          <w:rFonts w:hint="eastAsia" w:cs="仿宋" w:asciiTheme="minorEastAsia" w:hAnsiTheme="minorEastAsia"/>
          <w:sz w:val="24"/>
          <w:highlight w:val="none"/>
          <w:lang w:val="en-US" w:eastAsia="zh-CN"/>
        </w:rPr>
        <w:tab/>
      </w:r>
      <w:r>
        <w:rPr>
          <w:rFonts w:hint="eastAsia" w:cs="仿宋" w:asciiTheme="minorEastAsia" w:hAnsiTheme="minorEastAsia"/>
          <w:sz w:val="24"/>
          <w:highlight w:val="none"/>
          <w:lang w:val="en-US" w:eastAsia="zh-CN"/>
        </w:rPr>
        <w:tab/>
      </w:r>
      <w:r>
        <w:rPr>
          <w:rFonts w:hint="eastAsia" w:cs="仿宋" w:asciiTheme="minorEastAsia" w:hAnsiTheme="minorEastAsia"/>
          <w:sz w:val="24"/>
          <w:highlight w:val="none"/>
          <w:lang w:val="en-US" w:eastAsia="zh-CN"/>
        </w:rPr>
        <w:tab/>
      </w:r>
      <w:r>
        <w:rPr>
          <w:rFonts w:hint="eastAsia" w:cs="仿宋" w:asciiTheme="minorEastAsia" w:hAnsiTheme="minorEastAsia"/>
          <w:sz w:val="24"/>
          <w:highlight w:val="none"/>
          <w:lang w:val="en-US" w:eastAsia="zh-CN"/>
        </w:rPr>
        <w:tab/>
      </w:r>
      <w:r>
        <w:rPr>
          <w:rFonts w:hint="eastAsia" w:cs="仿宋" w:asciiTheme="minorEastAsia" w:hAnsiTheme="minorEastAsia"/>
          <w:sz w:val="24"/>
          <w:highlight w:val="none"/>
          <w:lang w:val="en-US" w:eastAsia="zh-CN"/>
        </w:rPr>
        <w:t xml:space="preserve"> </w:t>
      </w:r>
      <w:r>
        <w:rPr>
          <w:rFonts w:hint="eastAsia" w:cs="仿宋" w:asciiTheme="minorEastAsia" w:hAnsiTheme="minorEastAsia"/>
          <w:sz w:val="24"/>
          <w:highlight w:val="none"/>
        </w:rPr>
        <w:t xml:space="preserve">帐号：            </w:t>
      </w:r>
    </w:p>
    <w:p>
      <w:pPr>
        <w:spacing w:line="360" w:lineRule="auto"/>
        <w:jc w:val="left"/>
        <w:rPr>
          <w:rFonts w:cs="仿宋" w:asciiTheme="minorEastAsia" w:hAnsiTheme="minorEastAsia"/>
          <w:sz w:val="24"/>
          <w:highlight w:val="none"/>
        </w:rPr>
      </w:pPr>
    </w:p>
    <w:p>
      <w:pPr>
        <w:spacing w:line="360" w:lineRule="auto"/>
        <w:jc w:val="left"/>
        <w:rPr>
          <w:rFonts w:cs="仿宋" w:asciiTheme="minorEastAsia" w:hAnsiTheme="minorEastAsia"/>
          <w:sz w:val="24"/>
          <w:highlight w:val="none"/>
        </w:rPr>
      </w:pPr>
      <w:r>
        <w:rPr>
          <w:rFonts w:hint="eastAsia" w:cs="仿宋" w:asciiTheme="minorEastAsia" w:hAnsiTheme="minorEastAsia"/>
          <w:sz w:val="24"/>
          <w:highlight w:val="none"/>
        </w:rPr>
        <w:t>签订时间：</w:t>
      </w:r>
    </w:p>
    <w:p>
      <w:pPr>
        <w:rPr>
          <w:rFonts w:cs="仿宋" w:asciiTheme="minorEastAsia" w:hAnsiTheme="minorEastAsia"/>
          <w:b/>
          <w:sz w:val="24"/>
          <w:highlight w:val="none"/>
        </w:rPr>
      </w:pPr>
      <w:r>
        <w:rPr>
          <w:rFonts w:cs="仿宋" w:asciiTheme="minorEastAsia" w:hAnsiTheme="minorEastAsia"/>
          <w:b/>
          <w:sz w:val="24"/>
          <w:highlight w:val="none"/>
        </w:rPr>
        <w:br w:type="page"/>
      </w:r>
    </w:p>
    <w:p>
      <w:pPr>
        <w:spacing w:line="360" w:lineRule="auto"/>
        <w:rPr>
          <w:rFonts w:cs="仿宋" w:asciiTheme="minorEastAsia" w:hAnsiTheme="minorEastAsia"/>
          <w:b/>
          <w:sz w:val="24"/>
          <w:highlight w:val="none"/>
        </w:rPr>
      </w:pPr>
      <w:r>
        <w:rPr>
          <w:rFonts w:hint="eastAsia" w:cs="仿宋" w:asciiTheme="minorEastAsia" w:hAnsiTheme="minorEastAsia"/>
          <w:b/>
          <w:sz w:val="24"/>
          <w:highlight w:val="none"/>
        </w:rPr>
        <w:t>合同附件1</w:t>
      </w:r>
      <w:r>
        <w:rPr>
          <w:rFonts w:hint="eastAsia" w:cs="仿宋" w:asciiTheme="minorEastAsia" w:hAnsiTheme="minorEastAsia"/>
          <w:b/>
          <w:sz w:val="24"/>
          <w:highlight w:val="none"/>
        </w:rPr>
        <w:br w:type="textWrapping"/>
      </w:r>
      <w:r>
        <w:rPr>
          <w:rFonts w:hint="eastAsia" w:cs="仿宋" w:asciiTheme="minorEastAsia" w:hAnsiTheme="minorEastAsia"/>
          <w:b/>
          <w:sz w:val="24"/>
          <w:highlight w:val="none"/>
        </w:rPr>
        <w:tab/>
      </w:r>
      <w:r>
        <w:rPr>
          <w:rFonts w:hint="eastAsia" w:cs="仿宋" w:asciiTheme="minorEastAsia" w:hAnsiTheme="minorEastAsia"/>
          <w:b/>
          <w:sz w:val="24"/>
          <w:highlight w:val="none"/>
        </w:rPr>
        <w:tab/>
      </w:r>
      <w:r>
        <w:rPr>
          <w:rFonts w:hint="eastAsia" w:cs="仿宋" w:asciiTheme="minorEastAsia" w:hAnsiTheme="minorEastAsia"/>
          <w:b/>
          <w:sz w:val="24"/>
          <w:highlight w:val="none"/>
        </w:rPr>
        <w:tab/>
      </w:r>
      <w:r>
        <w:rPr>
          <w:rFonts w:hint="eastAsia" w:cs="仿宋" w:asciiTheme="minorEastAsia" w:hAnsiTheme="minorEastAsia"/>
          <w:b/>
          <w:sz w:val="24"/>
          <w:highlight w:val="none"/>
        </w:rPr>
        <w:tab/>
      </w:r>
      <w:r>
        <w:rPr>
          <w:rFonts w:hint="eastAsia" w:cs="仿宋" w:asciiTheme="minorEastAsia" w:hAnsiTheme="minorEastAsia"/>
          <w:b/>
          <w:sz w:val="24"/>
          <w:highlight w:val="none"/>
        </w:rPr>
        <w:tab/>
      </w:r>
      <w:r>
        <w:rPr>
          <w:rFonts w:hint="eastAsia" w:cs="仿宋" w:asciiTheme="minorEastAsia" w:hAnsiTheme="minorEastAsia"/>
          <w:b/>
          <w:sz w:val="24"/>
          <w:highlight w:val="none"/>
        </w:rPr>
        <w:tab/>
      </w:r>
      <w:r>
        <w:rPr>
          <w:rFonts w:hint="eastAsia" w:cs="仿宋" w:asciiTheme="minorEastAsia" w:hAnsiTheme="minorEastAsia"/>
          <w:b/>
          <w:sz w:val="24"/>
          <w:highlight w:val="none"/>
        </w:rPr>
        <w:tab/>
      </w:r>
      <w:r>
        <w:rPr>
          <w:rFonts w:hint="eastAsia" w:cs="仿宋" w:asciiTheme="minorEastAsia" w:hAnsiTheme="minorEastAsia"/>
          <w:b/>
          <w:sz w:val="24"/>
          <w:highlight w:val="none"/>
        </w:rPr>
        <w:tab/>
      </w:r>
      <w:r>
        <w:rPr>
          <w:rFonts w:hint="eastAsia" w:cs="仿宋" w:asciiTheme="minorEastAsia" w:hAnsiTheme="minorEastAsia"/>
          <w:b/>
          <w:sz w:val="24"/>
          <w:highlight w:val="none"/>
        </w:rPr>
        <w:t xml:space="preserve">     一、报价表</w:t>
      </w:r>
    </w:p>
    <w:p>
      <w:pPr>
        <w:rPr>
          <w:highlight w:val="none"/>
        </w:rPr>
      </w:pPr>
    </w:p>
    <w:p>
      <w:pPr>
        <w:spacing w:line="360" w:lineRule="auto"/>
        <w:rPr>
          <w:rFonts w:cs="仿宋" w:asciiTheme="minorEastAsia" w:hAnsiTheme="minorEastAsia"/>
          <w:b/>
          <w:sz w:val="24"/>
          <w:highlight w:val="none"/>
        </w:rPr>
      </w:pPr>
    </w:p>
    <w:p>
      <w:pPr>
        <w:rPr>
          <w:rFonts w:cs="仿宋" w:asciiTheme="minorEastAsia" w:hAnsiTheme="minorEastAsia"/>
          <w:b/>
          <w:sz w:val="24"/>
          <w:highlight w:val="none"/>
        </w:rPr>
      </w:pPr>
      <w:r>
        <w:rPr>
          <w:rFonts w:hint="eastAsia" w:cs="仿宋" w:asciiTheme="minorEastAsia" w:hAnsiTheme="minorEastAsia"/>
          <w:b/>
          <w:sz w:val="24"/>
          <w:highlight w:val="none"/>
        </w:rPr>
        <w:br w:type="page"/>
      </w:r>
    </w:p>
    <w:p>
      <w:pPr>
        <w:pStyle w:val="26"/>
        <w:outlineLvl w:val="1"/>
        <w:rPr>
          <w:rFonts w:cs="仿宋" w:asciiTheme="minorEastAsia" w:hAnsiTheme="minorEastAsia"/>
          <w:b/>
          <w:szCs w:val="24"/>
          <w:highlight w:val="none"/>
          <w:lang w:val="en-US"/>
        </w:rPr>
      </w:pPr>
      <w:r>
        <w:rPr>
          <w:rFonts w:hint="eastAsia" w:cs="仿宋" w:asciiTheme="minorEastAsia" w:hAnsiTheme="minorEastAsia"/>
          <w:b/>
          <w:szCs w:val="24"/>
          <w:highlight w:val="none"/>
          <w:lang w:val="en-US"/>
        </w:rPr>
        <w:t>合同附件2</w:t>
      </w:r>
    </w:p>
    <w:p>
      <w:pPr>
        <w:jc w:val="center"/>
        <w:rPr>
          <w:rFonts w:cs="仿宋" w:asciiTheme="minorEastAsia" w:hAnsiTheme="minorEastAsia"/>
          <w:b/>
          <w:sz w:val="24"/>
          <w:highlight w:val="none"/>
        </w:rPr>
      </w:pPr>
      <w:r>
        <w:rPr>
          <w:rFonts w:hint="eastAsia" w:cs="仿宋" w:asciiTheme="minorEastAsia" w:hAnsiTheme="minorEastAsia"/>
          <w:b/>
          <w:sz w:val="24"/>
          <w:highlight w:val="none"/>
        </w:rPr>
        <w:t>二、报价明细清单</w:t>
      </w:r>
    </w:p>
    <w:p>
      <w:pPr>
        <w:rPr>
          <w:rFonts w:cs="仿宋" w:asciiTheme="minorEastAsia" w:hAnsiTheme="minorEastAsia"/>
          <w:b/>
          <w:sz w:val="24"/>
          <w:highlight w:val="none"/>
        </w:rPr>
      </w:pPr>
      <w:r>
        <w:rPr>
          <w:rFonts w:hint="eastAsia" w:cs="仿宋" w:asciiTheme="minorEastAsia" w:hAnsiTheme="minorEastAsia"/>
          <w:b/>
          <w:sz w:val="24"/>
          <w:highlight w:val="none"/>
        </w:rPr>
        <w:br w:type="page"/>
      </w:r>
    </w:p>
    <w:p>
      <w:pPr>
        <w:pStyle w:val="26"/>
        <w:jc w:val="center"/>
        <w:outlineLvl w:val="1"/>
        <w:rPr>
          <w:rFonts w:cs="仿宋" w:asciiTheme="minorEastAsia" w:hAnsiTheme="minorEastAsia"/>
          <w:b/>
          <w:szCs w:val="24"/>
          <w:highlight w:val="none"/>
          <w:lang w:val="en-US"/>
        </w:rPr>
      </w:pPr>
      <w:r>
        <w:rPr>
          <w:rFonts w:hint="eastAsia" w:cs="仿宋" w:asciiTheme="minorEastAsia" w:hAnsiTheme="minorEastAsia"/>
          <w:b/>
          <w:szCs w:val="24"/>
          <w:highlight w:val="none"/>
          <w:lang w:val="en-US"/>
        </w:rPr>
        <w:t>保密协议</w:t>
      </w:r>
    </w:p>
    <w:p>
      <w:pPr>
        <w:widowControl/>
        <w:shd w:val="clear" w:color="auto" w:fill="FFFFFF"/>
        <w:snapToGrid w:val="0"/>
        <w:spacing w:line="360" w:lineRule="auto"/>
        <w:ind w:firstLine="480" w:firstLineChars="200"/>
        <w:rPr>
          <w:rFonts w:hint="eastAsia" w:eastAsia="宋体" w:cs="仿宋" w:asciiTheme="minorEastAsia" w:hAnsiTheme="minorEastAsia"/>
          <w:kern w:val="0"/>
          <w:sz w:val="24"/>
          <w:highlight w:val="none"/>
          <w:lang w:eastAsia="zh-CN"/>
        </w:rPr>
      </w:pPr>
      <w:r>
        <w:rPr>
          <w:rFonts w:hint="eastAsia" w:cs="仿宋" w:asciiTheme="minorEastAsia" w:hAnsiTheme="minorEastAsia"/>
          <w:kern w:val="0"/>
          <w:sz w:val="24"/>
          <w:highlight w:val="none"/>
        </w:rPr>
        <w:t>甲方：</w:t>
      </w:r>
      <w:r>
        <w:rPr>
          <w:rFonts w:hint="eastAsia" w:cs="仿宋" w:asciiTheme="minorEastAsia" w:hAnsiTheme="minorEastAsia"/>
          <w:kern w:val="0"/>
          <w:sz w:val="24"/>
          <w:highlight w:val="none"/>
          <w:lang w:eastAsia="zh-CN"/>
        </w:rPr>
        <w:t>杭州市城市管理局</w:t>
      </w:r>
    </w:p>
    <w:p>
      <w:pPr>
        <w:widowControl/>
        <w:shd w:val="clear" w:color="auto" w:fill="FFFFFF"/>
        <w:snapToGrid w:val="0"/>
        <w:spacing w:line="360" w:lineRule="auto"/>
        <w:ind w:firstLine="480" w:firstLineChars="200"/>
        <w:rPr>
          <w:rFonts w:cs="仿宋" w:asciiTheme="minorEastAsia" w:hAnsiTheme="minorEastAsia"/>
          <w:kern w:val="0"/>
          <w:sz w:val="24"/>
          <w:highlight w:val="none"/>
        </w:rPr>
      </w:pPr>
      <w:r>
        <w:rPr>
          <w:rFonts w:hint="eastAsia" w:cs="仿宋" w:asciiTheme="minorEastAsia" w:hAnsiTheme="minorEastAsia"/>
          <w:kern w:val="0"/>
          <w:sz w:val="24"/>
          <w:highlight w:val="none"/>
        </w:rPr>
        <w:t xml:space="preserve">乙方：  </w:t>
      </w:r>
    </w:p>
    <w:p>
      <w:pPr>
        <w:snapToGrid w:val="0"/>
        <w:spacing w:line="360" w:lineRule="auto"/>
        <w:ind w:firstLine="480" w:firstLineChars="200"/>
        <w:jc w:val="left"/>
        <w:rPr>
          <w:rFonts w:cs="仿宋" w:asciiTheme="minorEastAsia" w:hAnsiTheme="minorEastAsia"/>
          <w:sz w:val="24"/>
          <w:highlight w:val="none"/>
        </w:rPr>
      </w:pPr>
      <w:r>
        <w:rPr>
          <w:rFonts w:hint="eastAsia" w:cs="仿宋" w:asciiTheme="minorEastAsia" w:hAnsiTheme="minorEastAsia"/>
          <w:sz w:val="24"/>
          <w:highlight w:val="none"/>
        </w:rPr>
        <w:t>鉴于乙方受甲方委托承担</w:t>
      </w:r>
      <w:r>
        <w:rPr>
          <w:rFonts w:hint="eastAsia" w:cs="仿宋" w:asciiTheme="minorEastAsia" w:hAnsiTheme="minorEastAsia"/>
          <w:sz w:val="24"/>
          <w:highlight w:val="none"/>
          <w:u w:val="single"/>
        </w:rPr>
        <w:t xml:space="preserve"> </w:t>
      </w:r>
      <w:r>
        <w:rPr>
          <w:rFonts w:hint="eastAsia" w:cs="仿宋" w:asciiTheme="minorEastAsia" w:hAnsiTheme="minorEastAsia"/>
          <w:sz w:val="24"/>
          <w:highlight w:val="none"/>
          <w:u w:val="single"/>
          <w:lang w:eastAsia="zh-CN"/>
        </w:rPr>
        <w:t>杭州市城市运行“一网统管”迭代升级项目</w:t>
      </w:r>
      <w:r>
        <w:rPr>
          <w:rFonts w:hint="eastAsia" w:cs="仿宋" w:asciiTheme="minorEastAsia" w:hAnsiTheme="minorEastAsia"/>
          <w:sz w:val="24"/>
          <w:highlight w:val="none"/>
          <w:u w:val="single"/>
        </w:rPr>
        <w:t>（招标编号：</w:t>
      </w:r>
      <w:r>
        <w:rPr>
          <w:rFonts w:hint="eastAsia" w:cs="仿宋" w:asciiTheme="minorEastAsia" w:hAnsiTheme="minorEastAsia"/>
          <w:sz w:val="24"/>
          <w:highlight w:val="none"/>
          <w:u w:val="single"/>
          <w:lang w:eastAsia="zh-CN"/>
        </w:rPr>
        <w:t>CTZB-2023080442</w:t>
      </w:r>
      <w:r>
        <w:rPr>
          <w:rFonts w:hint="eastAsia" w:cs="仿宋" w:asciiTheme="minorEastAsia" w:hAnsiTheme="minorEastAsia"/>
          <w:sz w:val="24"/>
          <w:highlight w:val="none"/>
          <w:u w:val="single"/>
        </w:rPr>
        <w:t>）</w:t>
      </w:r>
      <w:r>
        <w:rPr>
          <w:rFonts w:hint="eastAsia" w:cs="仿宋" w:asciiTheme="minorEastAsia" w:hAnsiTheme="minorEastAsia"/>
          <w:sz w:val="24"/>
          <w:highlight w:val="none"/>
        </w:rPr>
        <w:t>，根据《中华人民共和国网络安全法》等法律、法规和规章制度，乙方在项目建设、运行、维护过程中，须严格履行保密义务，现就信息保密事项达成以下协议：</w:t>
      </w:r>
    </w:p>
    <w:p>
      <w:pPr>
        <w:snapToGrid w:val="0"/>
        <w:spacing w:line="360" w:lineRule="auto"/>
        <w:ind w:firstLine="482" w:firstLineChars="200"/>
        <w:jc w:val="left"/>
        <w:outlineLvl w:val="1"/>
        <w:rPr>
          <w:rFonts w:cs="仿宋" w:asciiTheme="minorEastAsia" w:hAnsiTheme="minorEastAsia"/>
          <w:b/>
          <w:sz w:val="24"/>
          <w:highlight w:val="none"/>
        </w:rPr>
      </w:pPr>
      <w:r>
        <w:rPr>
          <w:rFonts w:hint="eastAsia" w:cs="仿宋" w:asciiTheme="minorEastAsia" w:hAnsiTheme="minorEastAsia"/>
          <w:b/>
          <w:sz w:val="24"/>
          <w:highlight w:val="none"/>
        </w:rPr>
        <w:t>一、保密信息</w:t>
      </w:r>
    </w:p>
    <w:p>
      <w:pPr>
        <w:snapToGrid w:val="0"/>
        <w:spacing w:line="360" w:lineRule="auto"/>
        <w:ind w:firstLine="480" w:firstLineChars="200"/>
        <w:jc w:val="left"/>
        <w:rPr>
          <w:rFonts w:cs="仿宋" w:asciiTheme="minorEastAsia" w:hAnsiTheme="minorEastAsia"/>
          <w:sz w:val="24"/>
          <w:highlight w:val="none"/>
        </w:rPr>
      </w:pPr>
      <w:r>
        <w:rPr>
          <w:rFonts w:hint="eastAsia" w:cs="仿宋" w:asciiTheme="minorEastAsia" w:hAnsiTheme="minorEastAsia"/>
          <w:sz w:val="24"/>
          <w:highlight w:val="none"/>
        </w:rPr>
        <w:t>1、本协议所称“保密信息”是指由甲方以任何形式（包括但不限于：书面，口头，或以样品、范本、计算机程序或其他形式）向乙方披露的任何信息和资料，以及乙方在工作中接触到的一切属于甲方的信息和资料。</w:t>
      </w:r>
    </w:p>
    <w:p>
      <w:pPr>
        <w:snapToGrid w:val="0"/>
        <w:spacing w:line="360" w:lineRule="auto"/>
        <w:ind w:firstLine="480" w:firstLineChars="200"/>
        <w:jc w:val="left"/>
        <w:rPr>
          <w:rFonts w:cs="仿宋" w:asciiTheme="minorEastAsia" w:hAnsiTheme="minorEastAsia"/>
          <w:sz w:val="24"/>
          <w:highlight w:val="none"/>
        </w:rPr>
      </w:pPr>
      <w:r>
        <w:rPr>
          <w:rFonts w:hint="eastAsia" w:cs="仿宋" w:asciiTheme="minorEastAsia" w:hAnsiTheme="minorEastAsia"/>
          <w:sz w:val="24"/>
          <w:highlight w:val="none"/>
        </w:rPr>
        <w:t>2、上述“保密信息”包括但不限于：</w:t>
      </w:r>
      <w:r>
        <w:rPr>
          <w:rFonts w:hint="eastAsia" w:cs="仿宋" w:asciiTheme="minorEastAsia" w:hAnsiTheme="minorEastAsia"/>
          <w:sz w:val="24"/>
          <w:highlight w:val="none"/>
          <w:u w:val="single"/>
        </w:rPr>
        <w:t xml:space="preserve">                     </w:t>
      </w:r>
      <w:r>
        <w:rPr>
          <w:rFonts w:hint="eastAsia" w:cs="仿宋" w:asciiTheme="minorEastAsia" w:hAnsiTheme="minorEastAsia"/>
          <w:sz w:val="24"/>
          <w:highlight w:val="none"/>
        </w:rPr>
        <w:t>等（以下统称“保密信息”）。</w:t>
      </w:r>
    </w:p>
    <w:p>
      <w:pPr>
        <w:snapToGrid w:val="0"/>
        <w:spacing w:line="360" w:lineRule="auto"/>
        <w:ind w:firstLine="482" w:firstLineChars="200"/>
        <w:jc w:val="left"/>
        <w:outlineLvl w:val="1"/>
        <w:rPr>
          <w:rFonts w:cs="仿宋" w:asciiTheme="minorEastAsia" w:hAnsiTheme="minorEastAsia"/>
          <w:b/>
          <w:sz w:val="24"/>
          <w:highlight w:val="none"/>
        </w:rPr>
      </w:pPr>
      <w:r>
        <w:rPr>
          <w:rFonts w:hint="eastAsia" w:cs="仿宋" w:asciiTheme="minorEastAsia" w:hAnsiTheme="minorEastAsia"/>
          <w:b/>
          <w:sz w:val="24"/>
          <w:highlight w:val="none"/>
        </w:rPr>
        <w:t>二、保密义务</w:t>
      </w:r>
    </w:p>
    <w:p>
      <w:pPr>
        <w:snapToGrid w:val="0"/>
        <w:spacing w:line="360" w:lineRule="auto"/>
        <w:ind w:firstLine="480" w:firstLineChars="200"/>
        <w:jc w:val="left"/>
        <w:rPr>
          <w:rFonts w:cs="仿宋" w:asciiTheme="minorEastAsia" w:hAnsiTheme="minorEastAsia"/>
          <w:sz w:val="24"/>
          <w:highlight w:val="none"/>
        </w:rPr>
      </w:pPr>
      <w:r>
        <w:rPr>
          <w:rFonts w:hint="eastAsia" w:cs="仿宋" w:asciiTheme="minorEastAsia" w:hAnsiTheme="minorEastAsia"/>
          <w:sz w:val="24"/>
          <w:highlight w:val="none"/>
        </w:rPr>
        <w:t>1、乙方从甲方获得所有保密信息，仅对保密信息具有使用权，而没有所有权、知识产权及解释权。</w:t>
      </w:r>
    </w:p>
    <w:p>
      <w:pPr>
        <w:snapToGrid w:val="0"/>
        <w:spacing w:line="360" w:lineRule="auto"/>
        <w:ind w:firstLine="480" w:firstLineChars="200"/>
        <w:jc w:val="left"/>
        <w:rPr>
          <w:rFonts w:cs="仿宋" w:asciiTheme="minorEastAsia" w:hAnsiTheme="minorEastAsia"/>
          <w:sz w:val="24"/>
          <w:highlight w:val="none"/>
        </w:rPr>
      </w:pPr>
      <w:r>
        <w:rPr>
          <w:rFonts w:hint="eastAsia" w:cs="仿宋" w:asciiTheme="minorEastAsia" w:hAnsiTheme="minorEastAsia"/>
          <w:sz w:val="24"/>
          <w:highlight w:val="none"/>
        </w:rPr>
        <w:t>2、甲方所披露的保密信息只能被乙方用于本项目的实施工作，未经甲方的事先书面批准，乙方不得直接或间接以任何形式或任何方式把保密信息披露、透露给任何第三方或者公开。</w:t>
      </w:r>
    </w:p>
    <w:p>
      <w:pPr>
        <w:snapToGrid w:val="0"/>
        <w:spacing w:line="360" w:lineRule="auto"/>
        <w:ind w:firstLine="480" w:firstLineChars="200"/>
        <w:jc w:val="left"/>
        <w:rPr>
          <w:rFonts w:cs="仿宋" w:asciiTheme="minorEastAsia" w:hAnsiTheme="minorEastAsia"/>
          <w:sz w:val="24"/>
          <w:highlight w:val="none"/>
        </w:rPr>
      </w:pPr>
      <w:r>
        <w:rPr>
          <w:rFonts w:hint="eastAsia" w:cs="仿宋" w:asciiTheme="minorEastAsia" w:hAnsiTheme="minorEastAsia"/>
          <w:sz w:val="24"/>
          <w:highlight w:val="none"/>
        </w:rPr>
        <w:t>3、乙方有义务妥善保管保密信息。乙方严格执行数据安全技术和防护管理措施，承诺采取合理的措施以保证保密信息不被泄露或者窃取、篡改。</w:t>
      </w:r>
    </w:p>
    <w:p>
      <w:pPr>
        <w:snapToGrid w:val="0"/>
        <w:spacing w:line="360" w:lineRule="auto"/>
        <w:ind w:firstLine="480" w:firstLineChars="200"/>
        <w:jc w:val="left"/>
        <w:rPr>
          <w:rFonts w:cs="仿宋" w:asciiTheme="minorEastAsia" w:hAnsiTheme="minorEastAsia"/>
          <w:sz w:val="24"/>
          <w:highlight w:val="none"/>
        </w:rPr>
      </w:pPr>
      <w:r>
        <w:rPr>
          <w:rFonts w:hint="eastAsia" w:cs="仿宋" w:asciiTheme="minorEastAsia" w:hAnsiTheme="minorEastAsia"/>
          <w:sz w:val="24"/>
          <w:highlight w:val="none"/>
        </w:rPr>
        <w:t>4、在甲方要求时，乙方应返还保密信息的所有原件、复印件、复制品及所有其他载有保密信息的载体，或依甲方的要求，销毁上述资料，并提供相关有效证明。</w:t>
      </w:r>
    </w:p>
    <w:p>
      <w:pPr>
        <w:snapToGrid w:val="0"/>
        <w:spacing w:line="360" w:lineRule="auto"/>
        <w:ind w:firstLine="480" w:firstLineChars="200"/>
        <w:jc w:val="left"/>
        <w:rPr>
          <w:rFonts w:cs="仿宋" w:asciiTheme="minorEastAsia" w:hAnsiTheme="minorEastAsia"/>
          <w:sz w:val="24"/>
          <w:highlight w:val="none"/>
        </w:rPr>
      </w:pPr>
      <w:r>
        <w:rPr>
          <w:rFonts w:hint="eastAsia" w:cs="仿宋" w:asciiTheme="minorEastAsia" w:hAnsiTheme="minorEastAsia"/>
          <w:sz w:val="24"/>
          <w:highlight w:val="none"/>
        </w:rPr>
        <w:t>5、乙方应当告知并以适当方式要求其参与本项工作或其他知悉本项目相关保密信息之雇员遵守本协议规定，乙方雇员向第三方披露保密信息，或依据该等保密信息向第三方做出任何建议，都被视为乙方违反本协议。乙方雇员调离、离职时，须上交资料，不得私自留存，并持续承担本协议约定的保密义务。</w:t>
      </w:r>
    </w:p>
    <w:p>
      <w:pPr>
        <w:snapToGrid w:val="0"/>
        <w:spacing w:line="360" w:lineRule="auto"/>
        <w:ind w:firstLine="480" w:firstLineChars="200"/>
        <w:jc w:val="left"/>
        <w:rPr>
          <w:rFonts w:asciiTheme="minorEastAsia" w:hAnsiTheme="minorEastAsia"/>
          <w:highlight w:val="none"/>
        </w:rPr>
      </w:pPr>
      <w:r>
        <w:rPr>
          <w:rFonts w:hint="eastAsia" w:cs="仿宋" w:asciiTheme="minorEastAsia" w:hAnsiTheme="minorEastAsia"/>
          <w:sz w:val="24"/>
          <w:highlight w:val="none"/>
        </w:rPr>
        <w:t>6、乙方参加本项目的所有人员必须与乙方签有正式的保密协议，并且该人员在知晓保密信息前应已充分了解本协议的内容</w:t>
      </w:r>
      <w:r>
        <w:rPr>
          <w:rFonts w:hint="eastAsia" w:cs="仿宋" w:asciiTheme="minorEastAsia" w:hAnsiTheme="minorEastAsia"/>
          <w:kern w:val="0"/>
          <w:sz w:val="24"/>
          <w:highlight w:val="none"/>
        </w:rPr>
        <w:t>。</w:t>
      </w:r>
    </w:p>
    <w:p>
      <w:pPr>
        <w:snapToGrid w:val="0"/>
        <w:spacing w:line="360" w:lineRule="auto"/>
        <w:ind w:firstLine="482" w:firstLineChars="200"/>
        <w:jc w:val="left"/>
        <w:outlineLvl w:val="1"/>
        <w:rPr>
          <w:rFonts w:cs="仿宋" w:asciiTheme="minorEastAsia" w:hAnsiTheme="minorEastAsia"/>
          <w:b/>
          <w:sz w:val="24"/>
          <w:highlight w:val="none"/>
        </w:rPr>
      </w:pPr>
      <w:r>
        <w:rPr>
          <w:rFonts w:hint="eastAsia" w:cs="仿宋" w:asciiTheme="minorEastAsia" w:hAnsiTheme="minorEastAsia"/>
          <w:b/>
          <w:sz w:val="24"/>
          <w:highlight w:val="none"/>
        </w:rPr>
        <w:t>三、保密措施</w:t>
      </w:r>
    </w:p>
    <w:p>
      <w:pPr>
        <w:snapToGrid w:val="0"/>
        <w:spacing w:line="360" w:lineRule="auto"/>
        <w:ind w:firstLine="480" w:firstLineChars="200"/>
        <w:jc w:val="left"/>
        <w:rPr>
          <w:rFonts w:cs="仿宋" w:asciiTheme="minorEastAsia" w:hAnsiTheme="minorEastAsia"/>
          <w:sz w:val="24"/>
          <w:highlight w:val="none"/>
        </w:rPr>
      </w:pPr>
      <w:r>
        <w:rPr>
          <w:rFonts w:hint="eastAsia" w:cs="仿宋" w:asciiTheme="minorEastAsia" w:hAnsiTheme="minorEastAsia"/>
          <w:sz w:val="24"/>
          <w:highlight w:val="none"/>
        </w:rPr>
        <w:t>乙方应当履行下列安全保护义务和保密措施，保障保密信息及相关设施系统免受干扰、破坏或者未经授权的访问，防止网络数据泄漏或者被窃取、篡改：</w:t>
      </w:r>
    </w:p>
    <w:p>
      <w:pPr>
        <w:snapToGrid w:val="0"/>
        <w:spacing w:line="360" w:lineRule="auto"/>
        <w:ind w:firstLine="480" w:firstLineChars="200"/>
        <w:jc w:val="left"/>
        <w:rPr>
          <w:rFonts w:cs="仿宋" w:asciiTheme="minorEastAsia" w:hAnsiTheme="minorEastAsia"/>
          <w:sz w:val="24"/>
          <w:highlight w:val="none"/>
        </w:rPr>
      </w:pPr>
      <w:r>
        <w:rPr>
          <w:rFonts w:hint="eastAsia" w:cs="仿宋" w:asciiTheme="minorEastAsia" w:hAnsiTheme="minorEastAsia"/>
          <w:sz w:val="24"/>
          <w:highlight w:val="none"/>
        </w:rPr>
        <w:t>1、制定内部安全管理制度和操作规程，严格身份认证和权限管理；</w:t>
      </w:r>
    </w:p>
    <w:p>
      <w:pPr>
        <w:snapToGrid w:val="0"/>
        <w:spacing w:line="360" w:lineRule="auto"/>
        <w:ind w:firstLine="480" w:firstLineChars="200"/>
        <w:jc w:val="left"/>
        <w:rPr>
          <w:rFonts w:cs="仿宋" w:asciiTheme="minorEastAsia" w:hAnsiTheme="minorEastAsia"/>
          <w:sz w:val="24"/>
          <w:highlight w:val="none"/>
        </w:rPr>
      </w:pPr>
      <w:r>
        <w:rPr>
          <w:rFonts w:hint="eastAsia" w:cs="仿宋" w:asciiTheme="minorEastAsia" w:hAnsiTheme="minorEastAsia"/>
          <w:sz w:val="24"/>
          <w:highlight w:val="none"/>
        </w:rPr>
        <w:t>2、采取技术措施，防范计算机病毒和网络攻击、网络侵入等危害网络安全行为；</w:t>
      </w:r>
    </w:p>
    <w:p>
      <w:pPr>
        <w:snapToGrid w:val="0"/>
        <w:spacing w:line="360" w:lineRule="auto"/>
        <w:ind w:firstLine="480" w:firstLineChars="200"/>
        <w:jc w:val="left"/>
        <w:rPr>
          <w:rFonts w:cs="仿宋" w:asciiTheme="minorEastAsia" w:hAnsiTheme="minorEastAsia"/>
          <w:sz w:val="24"/>
          <w:highlight w:val="none"/>
        </w:rPr>
      </w:pPr>
      <w:r>
        <w:rPr>
          <w:rFonts w:hint="eastAsia" w:cs="仿宋" w:asciiTheme="minorEastAsia" w:hAnsiTheme="minorEastAsia"/>
          <w:sz w:val="24"/>
          <w:highlight w:val="none"/>
        </w:rPr>
        <w:t>3、采取技术措施，监测、记录网络运行状态、网络安全事件，并按照规定留存相关的网络日志不少于六个月；</w:t>
      </w:r>
    </w:p>
    <w:p>
      <w:pPr>
        <w:snapToGrid w:val="0"/>
        <w:spacing w:line="360" w:lineRule="auto"/>
        <w:ind w:firstLine="480" w:firstLineChars="200"/>
        <w:jc w:val="left"/>
        <w:rPr>
          <w:rFonts w:cs="仿宋" w:asciiTheme="minorEastAsia" w:hAnsiTheme="minorEastAsia"/>
          <w:sz w:val="24"/>
          <w:highlight w:val="none"/>
        </w:rPr>
      </w:pPr>
      <w:r>
        <w:rPr>
          <w:rFonts w:hint="eastAsia" w:cs="仿宋" w:asciiTheme="minorEastAsia" w:hAnsiTheme="minorEastAsia"/>
          <w:sz w:val="24"/>
          <w:highlight w:val="none"/>
        </w:rPr>
        <w:t>4、采取数据分类、重要数据备份和加密认证等措施。</w:t>
      </w:r>
    </w:p>
    <w:p>
      <w:pPr>
        <w:snapToGrid w:val="0"/>
        <w:spacing w:line="360" w:lineRule="auto"/>
        <w:ind w:firstLine="482" w:firstLineChars="200"/>
        <w:jc w:val="left"/>
        <w:outlineLvl w:val="1"/>
        <w:rPr>
          <w:rFonts w:cs="仿宋" w:asciiTheme="minorEastAsia" w:hAnsiTheme="minorEastAsia"/>
          <w:b/>
          <w:sz w:val="24"/>
          <w:highlight w:val="none"/>
        </w:rPr>
      </w:pPr>
      <w:r>
        <w:rPr>
          <w:rFonts w:hint="eastAsia" w:cs="仿宋" w:asciiTheme="minorEastAsia" w:hAnsiTheme="minorEastAsia"/>
          <w:b/>
          <w:sz w:val="24"/>
          <w:highlight w:val="none"/>
        </w:rPr>
        <w:t>四、违约责任</w:t>
      </w:r>
    </w:p>
    <w:p>
      <w:pPr>
        <w:snapToGrid w:val="0"/>
        <w:spacing w:line="360" w:lineRule="auto"/>
        <w:ind w:firstLine="480" w:firstLineChars="200"/>
        <w:jc w:val="left"/>
        <w:rPr>
          <w:rFonts w:cs="仿宋" w:asciiTheme="minorEastAsia" w:hAnsiTheme="minorEastAsia"/>
          <w:sz w:val="24"/>
          <w:highlight w:val="none"/>
        </w:rPr>
      </w:pPr>
      <w:r>
        <w:rPr>
          <w:rFonts w:hint="eastAsia" w:cs="仿宋" w:asciiTheme="minorEastAsia" w:hAnsiTheme="minorEastAsia"/>
          <w:sz w:val="24"/>
          <w:highlight w:val="none"/>
        </w:rPr>
        <w:t>乙方违反本协议任何规定，均视为违约，将根据情况进行问责。对出现重大数据安全事件，影响国家安全、社会秩序、公共利益、公民法人及其他组织的，将视情节轻重，追究法律责任。</w:t>
      </w:r>
    </w:p>
    <w:p>
      <w:pPr>
        <w:spacing w:line="360" w:lineRule="auto"/>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 xml:space="preserve">甲方（盖章）：                             乙方（盖章）：        </w:t>
      </w:r>
    </w:p>
    <w:p>
      <w:pPr>
        <w:spacing w:line="360" w:lineRule="auto"/>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 xml:space="preserve">法定代表人                                 法定代表人                 </w:t>
      </w:r>
    </w:p>
    <w:p>
      <w:pPr>
        <w:spacing w:line="360" w:lineRule="auto"/>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 xml:space="preserve">或受委托人（签字）：                     </w:t>
      </w:r>
      <w:r>
        <w:rPr>
          <w:rFonts w:hint="eastAsia" w:cs="仿宋" w:asciiTheme="minorEastAsia" w:hAnsiTheme="minorEastAsia"/>
          <w:sz w:val="24"/>
          <w:highlight w:val="none"/>
          <w:lang w:val="en"/>
        </w:rPr>
        <w:t xml:space="preserve"> </w:t>
      </w:r>
      <w:r>
        <w:rPr>
          <w:rFonts w:hint="eastAsia" w:cs="仿宋" w:asciiTheme="minorEastAsia" w:hAnsiTheme="minorEastAsia"/>
          <w:sz w:val="24"/>
          <w:highlight w:val="none"/>
        </w:rPr>
        <w:t xml:space="preserve"> 或受委托人（签字）：                  </w:t>
      </w:r>
    </w:p>
    <w:p>
      <w:pPr>
        <w:spacing w:line="360" w:lineRule="auto"/>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 xml:space="preserve">地址： </w:t>
      </w:r>
      <w:r>
        <w:rPr>
          <w:rFonts w:hint="eastAsia" w:cs="仿宋" w:asciiTheme="minorEastAsia" w:hAnsiTheme="minorEastAsia"/>
          <w:sz w:val="24"/>
          <w:highlight w:val="none"/>
        </w:rPr>
        <w:tab/>
      </w:r>
      <w:r>
        <w:rPr>
          <w:rFonts w:hint="eastAsia" w:cs="仿宋" w:asciiTheme="minorEastAsia" w:hAnsiTheme="minorEastAsia"/>
          <w:sz w:val="24"/>
          <w:highlight w:val="none"/>
        </w:rPr>
        <w:tab/>
      </w:r>
      <w:r>
        <w:rPr>
          <w:rFonts w:hint="eastAsia" w:cs="仿宋" w:asciiTheme="minorEastAsia" w:hAnsiTheme="minorEastAsia"/>
          <w:sz w:val="24"/>
          <w:highlight w:val="none"/>
        </w:rPr>
        <w:tab/>
      </w:r>
      <w:r>
        <w:rPr>
          <w:rFonts w:hint="eastAsia" w:cs="仿宋" w:asciiTheme="minorEastAsia" w:hAnsiTheme="minorEastAsia"/>
          <w:sz w:val="24"/>
          <w:highlight w:val="none"/>
        </w:rPr>
        <w:tab/>
      </w:r>
      <w:r>
        <w:rPr>
          <w:rFonts w:hint="eastAsia" w:cs="仿宋" w:asciiTheme="minorEastAsia" w:hAnsiTheme="minorEastAsia"/>
          <w:sz w:val="24"/>
          <w:highlight w:val="none"/>
        </w:rPr>
        <w:tab/>
      </w:r>
      <w:r>
        <w:rPr>
          <w:rFonts w:hint="eastAsia" w:cs="仿宋" w:asciiTheme="minorEastAsia" w:hAnsiTheme="minorEastAsia"/>
          <w:sz w:val="24"/>
          <w:highlight w:val="none"/>
        </w:rPr>
        <w:tab/>
      </w:r>
      <w:r>
        <w:rPr>
          <w:rFonts w:hint="eastAsia" w:cs="仿宋" w:asciiTheme="minorEastAsia" w:hAnsiTheme="minorEastAsia"/>
          <w:sz w:val="24"/>
          <w:highlight w:val="none"/>
        </w:rPr>
        <w:tab/>
      </w:r>
      <w:r>
        <w:rPr>
          <w:rFonts w:hint="eastAsia" w:cs="仿宋" w:asciiTheme="minorEastAsia" w:hAnsiTheme="minorEastAsia"/>
          <w:sz w:val="24"/>
          <w:highlight w:val="none"/>
        </w:rPr>
        <w:tab/>
      </w:r>
      <w:r>
        <w:rPr>
          <w:rFonts w:hint="eastAsia" w:cs="仿宋" w:asciiTheme="minorEastAsia" w:hAnsiTheme="minorEastAsia"/>
          <w:sz w:val="24"/>
          <w:highlight w:val="none"/>
        </w:rPr>
        <w:t xml:space="preserve">         地址： </w:t>
      </w:r>
    </w:p>
    <w:p>
      <w:pPr>
        <w:spacing w:line="360" w:lineRule="auto"/>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签订日期：                                 签订日期：</w:t>
      </w:r>
    </w:p>
    <w:p>
      <w:pPr>
        <w:rPr>
          <w:rFonts w:hint="eastAsia" w:ascii="宋体" w:hAnsi="宋体" w:cs="宋体"/>
          <w:b/>
          <w:color w:val="auto"/>
          <w:sz w:val="36"/>
          <w:szCs w:val="20"/>
          <w:highlight w:val="none"/>
        </w:rPr>
      </w:pPr>
      <w:r>
        <w:rPr>
          <w:rFonts w:hint="eastAsia" w:cs="仿宋" w:asciiTheme="minorEastAsia" w:hAnsiTheme="minorEastAsia"/>
          <w:b/>
          <w:sz w:val="24"/>
          <w:highlight w:val="none"/>
        </w:rPr>
        <w:br w:type="page"/>
      </w:r>
    </w:p>
    <w:p>
      <w:pPr>
        <w:rPr>
          <w:rFonts w:hint="eastAsia"/>
          <w:color w:val="auto"/>
          <w:highlight w:val="none"/>
        </w:rPr>
      </w:pPr>
    </w:p>
    <w:p>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杭州市城市管理局</w:t>
      </w:r>
      <w:r>
        <w:rPr>
          <w:rFonts w:hint="eastAsia" w:ascii="宋体" w:hAnsi="宋体" w:cs="宋体"/>
          <w:color w:val="auto"/>
          <w:sz w:val="24"/>
          <w:highlight w:val="none"/>
        </w:rPr>
        <w:t>、浙江省成套招标代理有限公司：</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杭州市城市运行“一网统管”迭代升级项目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CTZB-2023080442</w:t>
      </w:r>
      <w:r>
        <w:rPr>
          <w:rFonts w:hint="eastAsia" w:ascii="宋体" w:hAnsi="宋体" w:cs="宋体"/>
          <w:color w:val="auto"/>
          <w:sz w:val="24"/>
          <w:highlight w:val="none"/>
        </w:rPr>
        <w:t>】政府采购活动，郑重承诺：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r>
        <w:rPr>
          <w:rFonts w:hint="eastAsia" w:ascii="宋体" w:hAnsi="宋体" w:cs="宋体"/>
          <w:color w:val="auto"/>
          <w:sz w:val="24"/>
          <w:highlight w:val="none"/>
          <w:lang w:eastAsia="zh-CN"/>
        </w:rPr>
        <w:t>；</w:t>
      </w:r>
      <w:r>
        <w:rPr>
          <w:rFonts w:hint="eastAsia" w:ascii="宋体" w:hAnsi="宋体" w:cs="宋体"/>
          <w:color w:val="auto"/>
          <w:sz w:val="24"/>
          <w:highlight w:val="none"/>
          <w:lang w:eastAsia="zh-CN"/>
        </w:rPr>
        <w:br w:type="textWrapping"/>
      </w:r>
      <w:r>
        <w:rPr>
          <w:rFonts w:hint="eastAsia" w:ascii="宋体" w:hAnsi="宋体" w:cs="宋体"/>
          <w:color w:val="auto"/>
          <w:sz w:val="24"/>
          <w:highlight w:val="none"/>
          <w:lang w:val="en-US" w:eastAsia="zh-CN"/>
        </w:rPr>
        <w:tab/>
      </w:r>
      <w:r>
        <w:rPr>
          <w:rFonts w:hint="eastAsia" w:ascii="宋体" w:hAnsi="宋体" w:cs="宋体"/>
          <w:color w:val="auto"/>
          <w:sz w:val="24"/>
          <w:highlight w:val="none"/>
          <w:lang w:val="en-US" w:eastAsia="zh-CN"/>
        </w:rPr>
        <w:t>3、我方属于</w:t>
      </w:r>
      <w:r>
        <w:rPr>
          <w:rFonts w:hint="eastAsia" w:ascii="宋体" w:hAnsi="宋体" w:cs="宋体"/>
          <w:color w:val="auto"/>
          <w:sz w:val="24"/>
          <w:highlight w:val="none"/>
          <w:lang w:eastAsia="zh-CN"/>
        </w:rPr>
        <w:t>公益一类事业单位、使用事业编制且由财政拨款保障的群团组织。</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widowControl/>
        <w:spacing w:line="360" w:lineRule="auto"/>
        <w:ind w:firstLine="480"/>
        <w:jc w:val="left"/>
        <w:rPr>
          <w:rFonts w:ascii="宋体" w:hAnsi="宋体" w:cs="宋体"/>
          <w:color w:val="auto"/>
          <w:sz w:val="24"/>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jc w:val="both"/>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pPr>
        <w:autoSpaceDE w:val="0"/>
        <w:autoSpaceDN w:val="0"/>
        <w:spacing w:line="360" w:lineRule="auto"/>
        <w:ind w:firstLine="1680" w:firstLineChars="700"/>
        <w:jc w:val="left"/>
        <w:rPr>
          <w:rFonts w:ascii="宋体" w:hAnsi="宋体" w:cs="宋体"/>
          <w:color w:val="auto"/>
          <w:kern w:val="0"/>
          <w:sz w:val="24"/>
          <w:highlight w:val="none"/>
          <w:lang w:val="zh-CN"/>
        </w:rPr>
      </w:pPr>
      <w:r>
        <w:rPr>
          <w:rFonts w:hint="eastAsia" w:ascii="宋体" w:hAnsi="宋体" w:cs="宋体"/>
          <w:color w:val="auto"/>
          <w:sz w:val="24"/>
          <w:highlight w:val="none"/>
        </w:rPr>
        <w:t>（根据招标公告本项目的特定资格要求提供相应的材料）</w:t>
      </w:r>
      <w:r>
        <w:rPr>
          <w:rFonts w:hint="eastAsia" w:ascii="宋体" w:hAnsi="宋体" w:cs="宋体"/>
          <w:color w:val="auto"/>
          <w:sz w:val="24"/>
          <w:highlight w:val="none"/>
        </w:rPr>
        <w:br w:type="textWrapping"/>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pacing w:line="360" w:lineRule="auto"/>
        <w:jc w:val="center"/>
        <w:rPr>
          <w:rFonts w:hint="eastAsia" w:ascii="宋体" w:hAnsi="宋体" w:eastAsia="宋体" w:cs="宋体"/>
          <w:color w:val="auto"/>
          <w:sz w:val="24"/>
          <w:highlight w:val="none"/>
          <w:lang w:val="en-US" w:eastAsia="zh-CN"/>
        </w:rPr>
      </w:pP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4"/>
          <w:highlight w:val="none"/>
        </w:rPr>
      </w:pP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rPr>
          <w:rFonts w:ascii="宋体" w:hAnsi="宋体" w:cs="宋体"/>
          <w:b/>
          <w:color w:val="auto"/>
          <w:kern w:val="0"/>
          <w:sz w:val="32"/>
          <w:szCs w:val="32"/>
          <w:highlight w:val="none"/>
          <w:lang w:val="zh-CN"/>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杭州市城市管理局</w:t>
      </w:r>
      <w:r>
        <w:rPr>
          <w:rFonts w:hint="eastAsia" w:ascii="宋体" w:hAnsi="宋体" w:cs="宋体"/>
          <w:color w:val="auto"/>
          <w:sz w:val="24"/>
          <w:highlight w:val="none"/>
        </w:rPr>
        <w:t>、浙江省成套招标代理有限公司：</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杭州市城市运行“一网统管”迭代升级项目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CTZB-2023080442</w:t>
      </w:r>
      <w:r>
        <w:rPr>
          <w:rFonts w:hint="eastAsia" w:ascii="宋体" w:hAnsi="宋体" w:cs="宋体"/>
          <w:color w:val="auto"/>
          <w:sz w:val="24"/>
          <w:highlight w:val="none"/>
        </w:rPr>
        <w:t>】招标的有关活动，并对此项目进行投标。为此：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395" w:name="_Hlk101257010"/>
      <w:r>
        <w:rPr>
          <w:rFonts w:hint="eastAsia" w:ascii="宋体" w:hAnsi="宋体" w:cs="宋体"/>
          <w:color w:val="auto"/>
          <w:sz w:val="24"/>
          <w:highlight w:val="none"/>
        </w:rPr>
        <w:t>（如果有)</w:t>
      </w:r>
      <w:bookmarkEnd w:id="395"/>
      <w:r>
        <w:rPr>
          <w:rFonts w:hint="eastAsia" w:ascii="宋体" w:hAnsi="宋体" w:cs="宋体"/>
          <w:snapToGrid w:val="0"/>
          <w:color w:val="auto"/>
          <w:kern w:val="28"/>
          <w:sz w:val="24"/>
          <w:szCs w:val="20"/>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4.3按照招标文件要求提交履约保证金（如果有）；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pStyle w:val="5"/>
        <w:rPr>
          <w:color w:val="auto"/>
          <w:highlight w:val="none"/>
          <w:lang w:val="en-US"/>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杭州市城市管理局</w:t>
      </w:r>
      <w:r>
        <w:rPr>
          <w:rFonts w:hint="eastAsia" w:ascii="宋体" w:hAnsi="宋体" w:cs="宋体"/>
          <w:color w:val="auto"/>
          <w:sz w:val="24"/>
          <w:highlight w:val="none"/>
        </w:rPr>
        <w:t>、浙江省成套招标代理有限公司</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杭州市城市运行“一网统管”迭代升级项目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CTZB-2023080442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杭州市城市管理局</w:t>
      </w:r>
      <w:r>
        <w:rPr>
          <w:rFonts w:hint="eastAsia" w:ascii="宋体" w:hAnsi="宋体" w:cs="宋体"/>
          <w:color w:val="auto"/>
          <w:sz w:val="24"/>
          <w:highlight w:val="none"/>
        </w:rPr>
        <w:t>、浙江省成套招标代理有限公司</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杭州市城市运行“一网统管”迭代升级项目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CTZB-2023080442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left="4620" w:firstLine="42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49"/>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rPr>
          <w:rFonts w:ascii="宋体" w:hAnsi="宋体" w:cs="宋体"/>
          <w:color w:val="auto"/>
          <w:kern w:val="0"/>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见投标文件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杭州市城市管理局</w:t>
      </w:r>
      <w:r>
        <w:rPr>
          <w:rFonts w:hint="eastAsia" w:ascii="宋体" w:hAnsi="宋体" w:cs="宋体"/>
          <w:color w:val="auto"/>
          <w:sz w:val="24"/>
          <w:highlight w:val="none"/>
        </w:rPr>
        <w:t>、浙江省成套招标代理有限公司</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杭州市城市管理局</w:t>
      </w:r>
      <w:r>
        <w:rPr>
          <w:rFonts w:hint="eastAsia" w:ascii="宋体" w:hAnsi="宋体" w:cs="宋体"/>
          <w:color w:val="auto"/>
          <w:sz w:val="24"/>
          <w:highlight w:val="none"/>
        </w:rPr>
        <w:t>、浙江省成套招标代理有限公司</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杭州市城市运行“一网统管”迭代升级项目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CTZB-2023080442</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pPr>
              <w:spacing w:line="360" w:lineRule="auto"/>
              <w:jc w:val="center"/>
              <w:rPr>
                <w:rFonts w:ascii="宋体" w:hAnsi="宋体" w:cs="宋体"/>
                <w:b/>
                <w:color w:val="auto"/>
                <w:sz w:val="24"/>
                <w:highlight w:val="none"/>
              </w:rPr>
            </w:pPr>
          </w:p>
          <w:p>
            <w:pPr>
              <w:spacing w:line="360" w:lineRule="auto"/>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分项报价明细</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 xml:space="preserve">  </w:t>
            </w: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 xml:space="preserve">  </w:t>
            </w: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pPr>
              <w:spacing w:line="360" w:lineRule="auto"/>
              <w:jc w:val="center"/>
              <w:rPr>
                <w:rFonts w:ascii="宋体" w:hAnsi="宋体" w:cs="宋体"/>
                <w:color w:val="auto"/>
                <w:sz w:val="24"/>
                <w:highlight w:val="none"/>
              </w:rPr>
            </w:pPr>
          </w:p>
        </w:tc>
      </w:tr>
    </w:tbl>
    <w:p>
      <w:pPr>
        <w:autoSpaceDE w:val="0"/>
        <w:autoSpaceDN w:val="0"/>
        <w:spacing w:line="360" w:lineRule="auto"/>
        <w:ind w:right="1120" w:firstLine="9600" w:firstLineChars="40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firstLine="9600" w:firstLineChars="40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napToGrid w:val="0"/>
        <w:spacing w:line="360" w:lineRule="auto"/>
        <w:ind w:left="480"/>
        <w:rPr>
          <w:rFonts w:hint="eastAsia" w:ascii="宋体" w:hAnsi="宋体" w:cs="宋体"/>
          <w:b/>
          <w:color w:val="auto"/>
          <w:kern w:val="0"/>
          <w:sz w:val="24"/>
          <w:highlight w:val="none"/>
          <w:lang w:val="zh-CN"/>
        </w:rPr>
      </w:pPr>
    </w:p>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color w:val="auto"/>
          <w:kern w:val="0"/>
          <w:sz w:val="24"/>
          <w:highlight w:val="none"/>
        </w:rPr>
      </w:pPr>
    </w:p>
    <w:p>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pStyle w:val="691"/>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pStyle w:val="4"/>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396" w:name="OLE_LINK14"/>
      <w:bookmarkStart w:id="397" w:name="OLE_LINK13"/>
      <w:r>
        <w:rPr>
          <w:rFonts w:hint="eastAsia" w:ascii="宋体" w:hAnsi="宋体" w:cs="宋体"/>
          <w:b/>
          <w:color w:val="auto"/>
          <w:spacing w:val="6"/>
          <w:sz w:val="32"/>
          <w:szCs w:val="32"/>
          <w:highlight w:val="none"/>
        </w:rPr>
        <w:t>残疾人福利性单位声明函</w:t>
      </w:r>
    </w:p>
    <w:bookmarkEnd w:id="396"/>
    <w:bookmarkEnd w:id="397"/>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杭州市城市运行“一网统管”迭代升级项目</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杭州市城市管理局</w:t>
      </w:r>
      <w:r>
        <w:rPr>
          <w:rFonts w:hint="eastAsia" w:ascii="宋体" w:hAnsi="宋体" w:cs="宋体"/>
          <w:color w:val="auto"/>
          <w:sz w:val="24"/>
          <w:highlight w:val="none"/>
          <w:u w:val="single"/>
        </w:rPr>
        <w:t>、浙江省成套招标代理有限公司：</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杭州市城市运行“一网统管”迭代升级项目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CTZB-2023080442</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杭州市城市运行“一网统管”迭代升级项目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CTZB-2023080442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398"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398"/>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399"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399"/>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0"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0"/>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both"/>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widowControl/>
        <w:adjustRightInd/>
        <w:jc w:val="left"/>
        <w:rPr>
          <w:rFonts w:ascii="宋体" w:hAnsi="宋体" w:cs="宋体"/>
          <w:b/>
          <w:color w:val="auto"/>
          <w:spacing w:val="6"/>
          <w:sz w:val="32"/>
          <w:szCs w:val="32"/>
          <w:highlight w:val="none"/>
        </w:rPr>
      </w:pPr>
    </w:p>
    <w:p>
      <w:pPr>
        <w:pStyle w:val="5"/>
        <w:rPr>
          <w:rFonts w:ascii="宋体" w:hAnsi="宋体" w:cs="宋体"/>
          <w:b/>
          <w:color w:val="auto"/>
          <w:spacing w:val="6"/>
          <w:sz w:val="32"/>
          <w:szCs w:val="32"/>
          <w:highlight w:val="none"/>
        </w:rPr>
      </w:pPr>
    </w:p>
    <w:p>
      <w:pPr>
        <w:rPr>
          <w:rFonts w:ascii="宋体" w:hAnsi="宋体" w:cs="宋体"/>
          <w:b/>
          <w:color w:val="auto"/>
          <w:spacing w:val="6"/>
          <w:sz w:val="32"/>
          <w:szCs w:val="32"/>
          <w:highlight w:val="none"/>
        </w:rPr>
      </w:pPr>
    </w:p>
    <w:p>
      <w:pPr>
        <w:pStyle w:val="5"/>
        <w:rPr>
          <w:rFonts w:ascii="宋体" w:hAnsi="宋体" w:cs="宋体"/>
          <w:b/>
          <w:color w:val="auto"/>
          <w:spacing w:val="6"/>
          <w:sz w:val="32"/>
          <w:szCs w:val="32"/>
          <w:highlight w:val="none"/>
        </w:rPr>
      </w:pPr>
    </w:p>
    <w:p>
      <w:pPr>
        <w:rPr>
          <w:rFonts w:ascii="宋体" w:hAnsi="宋体" w:cs="宋体"/>
          <w:b/>
          <w:color w:val="auto"/>
          <w:spacing w:val="6"/>
          <w:sz w:val="32"/>
          <w:szCs w:val="32"/>
          <w:highlight w:val="none"/>
        </w:rPr>
      </w:pPr>
    </w:p>
    <w:p>
      <w:pPr>
        <w:pStyle w:val="5"/>
        <w:rPr>
          <w:color w:val="auto"/>
          <w:highlight w:val="none"/>
        </w:rPr>
      </w:pPr>
    </w:p>
    <w:p>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杭州市城市运行“一网统管”迭代升级项目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CTZB-2023080442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5"/>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rPr>
          <w:color w:val="auto"/>
          <w:highlight w:val="none"/>
        </w:rPr>
      </w:pPr>
      <w:r>
        <w:rPr>
          <w:rFonts w:hint="eastAsia"/>
          <w:color w:val="auto"/>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pacing w:line="240" w:lineRule="auto"/>
        <w:jc w:val="left"/>
        <w:outlineLvl w:val="9"/>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pPr>
        <w:spacing w:line="360" w:lineRule="auto"/>
        <w:jc w:val="center"/>
        <w:rPr>
          <w:rFonts w:ascii="宋体" w:hAnsi="宋体" w:cs="宋体"/>
          <w:color w:val="auto"/>
          <w:sz w:val="24"/>
          <w:highlight w:val="none"/>
          <w:u w:val="singl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杭州市城市管理局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杭州市城市运行“一网统管”迭代升级项目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b/>
          <w:bCs/>
          <w:color w:val="auto"/>
          <w:sz w:val="24"/>
          <w:highlight w:val="none"/>
          <w:u w:val="single"/>
        </w:rPr>
        <w:t>（此处须明确企业类型）</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b/>
          <w:bCs/>
          <w:color w:val="auto"/>
          <w:sz w:val="24"/>
          <w:highlight w:val="none"/>
          <w:u w:val="single"/>
        </w:rPr>
        <w:t>（此处须明确企业类型）</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pPr>
        <w:spacing w:line="360" w:lineRule="auto"/>
        <w:ind w:right="420"/>
        <w:rPr>
          <w:rFonts w:ascii="宋体" w:hAnsi="宋体" w:cs="宋体"/>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DejaVu Math TeX Gyre"/>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DejaVu Math TeX Gyre"/>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HP Simplified Hans"/>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Times New Roman"/>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HP Simplified Hans"/>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NumberOnly"/>
    <w:panose1 w:val="020B0502020202020204"/>
    <w:charset w:val="00"/>
    <w:family w:val="swiss"/>
    <w:pitch w:val="default"/>
    <w:sig w:usb0="00000000" w:usb1="00000000" w:usb2="00000000" w:usb3="00000000" w:csb0="0000009F" w:csb1="0000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HP Simplified Hans"/>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0002009F" w:csb1="00000000"/>
  </w:font>
  <w:font w:name="华文仿宋">
    <w:altName w:val="仿宋"/>
    <w:panose1 w:val="02010600040101010101"/>
    <w:charset w:val="86"/>
    <w:family w:val="auto"/>
    <w:pitch w:val="default"/>
    <w:sig w:usb0="00000000" w:usb1="00000000" w:usb2="00000000" w:usb3="00000000" w:csb0="0004009F" w:csb1="DFD70000"/>
  </w:font>
  <w:font w:name="DejaVu Math TeX Gyre">
    <w:panose1 w:val="02000503000000000000"/>
    <w:charset w:val="00"/>
    <w:family w:val="auto"/>
    <w:pitch w:val="default"/>
    <w:sig w:usb0="A10000EF" w:usb1="4201F9EE" w:usb2="02000000" w:usb3="00000000" w:csb0="60000193" w:csb1="0DD40000"/>
  </w:font>
  <w:font w:name="HP Simplified Hans">
    <w:panose1 w:val="020B0500000000000000"/>
    <w:charset w:val="86"/>
    <w:family w:val="auto"/>
    <w:pitch w:val="default"/>
    <w:sig w:usb0="A00002BF" w:usb1="38CF7CFA" w:usb2="00000016" w:usb3="00000000" w:csb0="2004011D" w:csb1="41000000"/>
  </w:font>
  <w:font w:name="Arial">
    <w:panose1 w:val="020B0604020202020204"/>
    <w:charset w:val="00"/>
    <w:family w:val="auto"/>
    <w:pitch w:val="default"/>
    <w:sig w:usb0="E0002EFF" w:usb1="C000785B" w:usb2="00000009" w:usb3="00000000" w:csb0="400001FF" w:csb1="FFFF0000"/>
  </w:font>
  <w:font w:name="Segoe Print">
    <w:panose1 w:val="02000600000000000000"/>
    <w:charset w:val="00"/>
    <w:family w:val="auto"/>
    <w:pitch w:val="default"/>
    <w:sig w:usb0="0000028F" w:usb1="00000000" w:usb2="00000000" w:usb3="00000000" w:csb0="2000009F" w:csb1="47010000"/>
  </w:font>
  <w:font w:name="NumberOnly">
    <w:panose1 w:val="020B0500000000000000"/>
    <w:charset w:val="00"/>
    <w:family w:val="auto"/>
    <w:pitch w:val="default"/>
    <w:sig w:usb0="8000002F" w:usb1="10000048" w:usb2="00000000" w:usb3="00000000" w:csb0="00000111" w:csb1="40000000"/>
  </w:font>
  <w:font w:name="Yu Gothic UI">
    <w:panose1 w:val="020B0500000000000000"/>
    <w:charset w:val="80"/>
    <w:family w:val="auto"/>
    <w:pitch w:val="default"/>
    <w:sig w:usb0="E00002FF" w:usb1="2AC7FDFF" w:usb2="00000016" w:usb3="00000000" w:csb0="2002009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55</w:t>
    </w:r>
    <w:r>
      <w:rPr>
        <w:rFonts w:hint="eastAsia" w:ascii="仿宋_GB2312" w:eastAsia="仿宋_GB2312"/>
        <w:kern w:val="0"/>
        <w:szCs w:val="21"/>
      </w:rPr>
      <w:fldChar w:fldCharType="end"/>
    </w:r>
    <w:bookmarkStart w:id="401" w:name="_Toc131845147"/>
    <w:bookmarkStart w:id="402" w:name="_Toc36110187"/>
    <w:bookmarkStart w:id="403" w:name="_Toc164085800"/>
    <w:bookmarkStart w:id="404" w:name="_Toc91899912"/>
    <w:r>
      <w:rPr>
        <w:rFonts w:hint="eastAsia" w:ascii="仿宋_GB2312" w:eastAsia="仿宋_GB2312"/>
        <w:kern w:val="0"/>
        <w:szCs w:val="21"/>
      </w:rPr>
      <w:t xml:space="preserve"> 页</w:t>
    </w:r>
    <w:bookmarkEnd w:id="401"/>
    <w:bookmarkEnd w:id="402"/>
    <w:bookmarkEnd w:id="403"/>
    <w:bookmarkEnd w:id="40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w:t>
    </w: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975EA5"/>
    <w:multiLevelType w:val="singleLevel"/>
    <w:tmpl w:val="96975EA5"/>
    <w:lvl w:ilvl="0" w:tentative="0">
      <w:start w:val="1"/>
      <w:numFmt w:val="decimal"/>
      <w:suff w:val="nothing"/>
      <w:lvlText w:val="%1、"/>
      <w:lvlJc w:val="left"/>
    </w:lvl>
  </w:abstractNum>
  <w:abstractNum w:abstractNumId="1">
    <w:nsid w:val="97B795E2"/>
    <w:multiLevelType w:val="singleLevel"/>
    <w:tmpl w:val="97B795E2"/>
    <w:lvl w:ilvl="0" w:tentative="0">
      <w:start w:val="1"/>
      <w:numFmt w:val="decimal"/>
      <w:suff w:val="nothing"/>
      <w:lvlText w:val="%1、"/>
      <w:lvlJc w:val="left"/>
    </w:lvl>
  </w:abstractNum>
  <w:abstractNum w:abstractNumId="2">
    <w:nsid w:val="F92EF61A"/>
    <w:multiLevelType w:val="singleLevel"/>
    <w:tmpl w:val="F92EF61A"/>
    <w:lvl w:ilvl="0" w:tentative="0">
      <w:start w:val="5"/>
      <w:numFmt w:val="decimal"/>
      <w:suff w:val="space"/>
      <w:lvlText w:val="%1."/>
      <w:lvlJc w:val="left"/>
    </w:lvl>
  </w:abstractNum>
  <w:abstractNum w:abstractNumId="3">
    <w:nsid w:val="FF2F9945"/>
    <w:multiLevelType w:val="singleLevel"/>
    <w:tmpl w:val="FF2F9945"/>
    <w:lvl w:ilvl="0" w:tentative="0">
      <w:start w:val="9"/>
      <w:numFmt w:val="decimal"/>
      <w:suff w:val="space"/>
      <w:lvlText w:val="%1."/>
      <w:lvlJc w:val="left"/>
    </w:lvl>
  </w:abstractNum>
  <w:abstractNum w:abstractNumId="4">
    <w:nsid w:val="57AA7BAC"/>
    <w:multiLevelType w:val="singleLevel"/>
    <w:tmpl w:val="57AA7BAC"/>
    <w:lvl w:ilvl="0" w:tentative="0">
      <w:start w:val="1"/>
      <w:numFmt w:val="decimal"/>
      <w:suff w:val="nothing"/>
      <w:lvlText w:val="%1、"/>
      <w:lvlJc w:val="left"/>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2MTdlZDAxNGE1ZThlYmI1ZmY3MDcyZGQwZjIwNzE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6A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0912"/>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1ED"/>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4A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77E6B"/>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1C0C"/>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922"/>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49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5B3"/>
    <w:rsid w:val="00700D18"/>
    <w:rsid w:val="0070168D"/>
    <w:rsid w:val="00701C36"/>
    <w:rsid w:val="00701DAD"/>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10C"/>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757"/>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47366"/>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4C8B"/>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3E3"/>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35"/>
    <w:rsid w:val="009610C7"/>
    <w:rsid w:val="00961164"/>
    <w:rsid w:val="009612A4"/>
    <w:rsid w:val="00961867"/>
    <w:rsid w:val="00961A07"/>
    <w:rsid w:val="00961A4F"/>
    <w:rsid w:val="00961FD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461"/>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5C4"/>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69B8"/>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8CE"/>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068"/>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3F4C"/>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5883"/>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7673B9"/>
    <w:rsid w:val="05A16594"/>
    <w:rsid w:val="05A7762D"/>
    <w:rsid w:val="060E5941"/>
    <w:rsid w:val="06110FAF"/>
    <w:rsid w:val="06493CA7"/>
    <w:rsid w:val="065A6178"/>
    <w:rsid w:val="066F1CF3"/>
    <w:rsid w:val="06930BB8"/>
    <w:rsid w:val="07245D42"/>
    <w:rsid w:val="07264C62"/>
    <w:rsid w:val="0779354C"/>
    <w:rsid w:val="07DFAB9F"/>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13AB8"/>
    <w:rsid w:val="098353B5"/>
    <w:rsid w:val="09A92330"/>
    <w:rsid w:val="09B06B87"/>
    <w:rsid w:val="09BE6112"/>
    <w:rsid w:val="09C13146"/>
    <w:rsid w:val="09E04166"/>
    <w:rsid w:val="0A1C0718"/>
    <w:rsid w:val="0A3E7710"/>
    <w:rsid w:val="0A5B7E63"/>
    <w:rsid w:val="0AA374A5"/>
    <w:rsid w:val="0AAB7649"/>
    <w:rsid w:val="0ABC5606"/>
    <w:rsid w:val="0AFE1C65"/>
    <w:rsid w:val="0B30404E"/>
    <w:rsid w:val="0B4C6C14"/>
    <w:rsid w:val="0B547599"/>
    <w:rsid w:val="0B631A88"/>
    <w:rsid w:val="0B683D45"/>
    <w:rsid w:val="0B7F3F11"/>
    <w:rsid w:val="0B884417"/>
    <w:rsid w:val="0BAE69C3"/>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64956"/>
    <w:rsid w:val="0F4958DC"/>
    <w:rsid w:val="0F515DF7"/>
    <w:rsid w:val="0F596BA8"/>
    <w:rsid w:val="0F6248D2"/>
    <w:rsid w:val="0F693536"/>
    <w:rsid w:val="0F7B0511"/>
    <w:rsid w:val="0F7B76D9"/>
    <w:rsid w:val="0F816ACD"/>
    <w:rsid w:val="0F9832DB"/>
    <w:rsid w:val="0FBF3FD2"/>
    <w:rsid w:val="0FBF7FF3"/>
    <w:rsid w:val="0FFB1FA9"/>
    <w:rsid w:val="10327F21"/>
    <w:rsid w:val="106420E5"/>
    <w:rsid w:val="10646583"/>
    <w:rsid w:val="107D4B15"/>
    <w:rsid w:val="108A3C80"/>
    <w:rsid w:val="10C26171"/>
    <w:rsid w:val="10F33360"/>
    <w:rsid w:val="10FC16EA"/>
    <w:rsid w:val="110F1D40"/>
    <w:rsid w:val="11266F33"/>
    <w:rsid w:val="118963A1"/>
    <w:rsid w:val="11C6522A"/>
    <w:rsid w:val="11E104CC"/>
    <w:rsid w:val="11E20309"/>
    <w:rsid w:val="12255233"/>
    <w:rsid w:val="124418F2"/>
    <w:rsid w:val="12530213"/>
    <w:rsid w:val="127723A9"/>
    <w:rsid w:val="12862074"/>
    <w:rsid w:val="12883966"/>
    <w:rsid w:val="129E45B4"/>
    <w:rsid w:val="12D059C0"/>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A398F"/>
    <w:rsid w:val="172F2D79"/>
    <w:rsid w:val="17557BEF"/>
    <w:rsid w:val="17D349C1"/>
    <w:rsid w:val="1830729E"/>
    <w:rsid w:val="1870062C"/>
    <w:rsid w:val="18817102"/>
    <w:rsid w:val="18830A15"/>
    <w:rsid w:val="18852B28"/>
    <w:rsid w:val="188B5321"/>
    <w:rsid w:val="19913C5B"/>
    <w:rsid w:val="19932372"/>
    <w:rsid w:val="19A20DD5"/>
    <w:rsid w:val="19AE03F1"/>
    <w:rsid w:val="19C628E1"/>
    <w:rsid w:val="1A071A03"/>
    <w:rsid w:val="1A1F16AE"/>
    <w:rsid w:val="1A3B5C77"/>
    <w:rsid w:val="1A984BAD"/>
    <w:rsid w:val="1AB313C9"/>
    <w:rsid w:val="1AB8220E"/>
    <w:rsid w:val="1AE4166C"/>
    <w:rsid w:val="1AF06CFB"/>
    <w:rsid w:val="1AF11B8D"/>
    <w:rsid w:val="1B11359C"/>
    <w:rsid w:val="1B2A271F"/>
    <w:rsid w:val="1B530544"/>
    <w:rsid w:val="1B713184"/>
    <w:rsid w:val="1BA209CF"/>
    <w:rsid w:val="1BB4777D"/>
    <w:rsid w:val="1BC06D6E"/>
    <w:rsid w:val="1BD75AB8"/>
    <w:rsid w:val="1C0459C2"/>
    <w:rsid w:val="1C1B3B4A"/>
    <w:rsid w:val="1C88086E"/>
    <w:rsid w:val="1CE411BB"/>
    <w:rsid w:val="1D0C6747"/>
    <w:rsid w:val="1D266CE1"/>
    <w:rsid w:val="1D3963AF"/>
    <w:rsid w:val="1D6A673C"/>
    <w:rsid w:val="1D9247AE"/>
    <w:rsid w:val="1DB567EC"/>
    <w:rsid w:val="1DF51A98"/>
    <w:rsid w:val="1DFFDBD6"/>
    <w:rsid w:val="1E3D060F"/>
    <w:rsid w:val="1E3F7D2E"/>
    <w:rsid w:val="1E4134E4"/>
    <w:rsid w:val="1E5062B3"/>
    <w:rsid w:val="1E523514"/>
    <w:rsid w:val="1E714A66"/>
    <w:rsid w:val="1E802593"/>
    <w:rsid w:val="1E8B6156"/>
    <w:rsid w:val="1EA703CC"/>
    <w:rsid w:val="1EB7330C"/>
    <w:rsid w:val="1F0A0FF3"/>
    <w:rsid w:val="1F5771FF"/>
    <w:rsid w:val="1FE57C55"/>
    <w:rsid w:val="1FE868A9"/>
    <w:rsid w:val="20034907"/>
    <w:rsid w:val="20173E4B"/>
    <w:rsid w:val="204E48BC"/>
    <w:rsid w:val="208921B3"/>
    <w:rsid w:val="20973DEB"/>
    <w:rsid w:val="20B26522"/>
    <w:rsid w:val="20B44310"/>
    <w:rsid w:val="20D858B3"/>
    <w:rsid w:val="211116EB"/>
    <w:rsid w:val="216133FC"/>
    <w:rsid w:val="21D56769"/>
    <w:rsid w:val="21E52EF3"/>
    <w:rsid w:val="21FB5D7B"/>
    <w:rsid w:val="22015E94"/>
    <w:rsid w:val="220B1C3D"/>
    <w:rsid w:val="221D1D20"/>
    <w:rsid w:val="22334A87"/>
    <w:rsid w:val="22BE6801"/>
    <w:rsid w:val="22DC01B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4FE6301"/>
    <w:rsid w:val="258B00E2"/>
    <w:rsid w:val="25A917A6"/>
    <w:rsid w:val="25AC4CAA"/>
    <w:rsid w:val="25BE27CC"/>
    <w:rsid w:val="25F74A5C"/>
    <w:rsid w:val="2628662C"/>
    <w:rsid w:val="262D45DE"/>
    <w:rsid w:val="26871DC8"/>
    <w:rsid w:val="26A53EF9"/>
    <w:rsid w:val="26A94201"/>
    <w:rsid w:val="26AC274F"/>
    <w:rsid w:val="27044A29"/>
    <w:rsid w:val="271D34C8"/>
    <w:rsid w:val="276142BF"/>
    <w:rsid w:val="27783712"/>
    <w:rsid w:val="27907362"/>
    <w:rsid w:val="27BB59B0"/>
    <w:rsid w:val="28333E1D"/>
    <w:rsid w:val="28454BD6"/>
    <w:rsid w:val="28455253"/>
    <w:rsid w:val="28551971"/>
    <w:rsid w:val="285B1C53"/>
    <w:rsid w:val="289F7086"/>
    <w:rsid w:val="28C32028"/>
    <w:rsid w:val="28CC490F"/>
    <w:rsid w:val="28DE40AA"/>
    <w:rsid w:val="29345E77"/>
    <w:rsid w:val="294C65AD"/>
    <w:rsid w:val="29806583"/>
    <w:rsid w:val="298B3C4C"/>
    <w:rsid w:val="298F1C96"/>
    <w:rsid w:val="29F26D24"/>
    <w:rsid w:val="2A15033F"/>
    <w:rsid w:val="2A1662C1"/>
    <w:rsid w:val="2A1C7367"/>
    <w:rsid w:val="2A2815FA"/>
    <w:rsid w:val="2A6D6092"/>
    <w:rsid w:val="2A7D76B4"/>
    <w:rsid w:val="2A7F6914"/>
    <w:rsid w:val="2B437463"/>
    <w:rsid w:val="2B7807EE"/>
    <w:rsid w:val="2BA50BF7"/>
    <w:rsid w:val="2BBF00EC"/>
    <w:rsid w:val="2BC37CFD"/>
    <w:rsid w:val="2BD5237F"/>
    <w:rsid w:val="2BDB4DDC"/>
    <w:rsid w:val="2BE536CE"/>
    <w:rsid w:val="2BE758D9"/>
    <w:rsid w:val="2C09049E"/>
    <w:rsid w:val="2C0A653C"/>
    <w:rsid w:val="2C191F85"/>
    <w:rsid w:val="2CE82D6F"/>
    <w:rsid w:val="2D012423"/>
    <w:rsid w:val="2D343236"/>
    <w:rsid w:val="2DB84DA2"/>
    <w:rsid w:val="2DD15014"/>
    <w:rsid w:val="2DF72DE4"/>
    <w:rsid w:val="2E0220AF"/>
    <w:rsid w:val="2E4B082A"/>
    <w:rsid w:val="2E5D4E86"/>
    <w:rsid w:val="2E5D790B"/>
    <w:rsid w:val="2E67238C"/>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B5C42"/>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084830"/>
    <w:rsid w:val="363A3B40"/>
    <w:rsid w:val="365302AE"/>
    <w:rsid w:val="36607A0A"/>
    <w:rsid w:val="366E227C"/>
    <w:rsid w:val="366F2E0D"/>
    <w:rsid w:val="367B6A5C"/>
    <w:rsid w:val="36A74ADA"/>
    <w:rsid w:val="36AD60D5"/>
    <w:rsid w:val="36B224F9"/>
    <w:rsid w:val="36EC0CC9"/>
    <w:rsid w:val="36FFE591"/>
    <w:rsid w:val="37303495"/>
    <w:rsid w:val="373F410B"/>
    <w:rsid w:val="37611E7D"/>
    <w:rsid w:val="37A44657"/>
    <w:rsid w:val="37EE7094"/>
    <w:rsid w:val="37FB6489"/>
    <w:rsid w:val="38296C89"/>
    <w:rsid w:val="383002EB"/>
    <w:rsid w:val="38586797"/>
    <w:rsid w:val="38BC0149"/>
    <w:rsid w:val="38D87D1C"/>
    <w:rsid w:val="38E136FD"/>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E534BE"/>
    <w:rsid w:val="3BF15831"/>
    <w:rsid w:val="3BF158FC"/>
    <w:rsid w:val="3BFDAD24"/>
    <w:rsid w:val="3C105946"/>
    <w:rsid w:val="3C471448"/>
    <w:rsid w:val="3C5F759A"/>
    <w:rsid w:val="3C6C525A"/>
    <w:rsid w:val="3CCE23CB"/>
    <w:rsid w:val="3CD17D17"/>
    <w:rsid w:val="3D0E7484"/>
    <w:rsid w:val="3D3C7F39"/>
    <w:rsid w:val="3D440F09"/>
    <w:rsid w:val="3D4504A0"/>
    <w:rsid w:val="3D8734BB"/>
    <w:rsid w:val="3D9A11D4"/>
    <w:rsid w:val="3D9E66ED"/>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FD62FE"/>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7FBF073"/>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4D663A"/>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0B0E47"/>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6844D9"/>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7FFD815"/>
    <w:rsid w:val="58917D2F"/>
    <w:rsid w:val="5894085C"/>
    <w:rsid w:val="58AE4F0C"/>
    <w:rsid w:val="58B85899"/>
    <w:rsid w:val="58E363A9"/>
    <w:rsid w:val="595E1678"/>
    <w:rsid w:val="596D5BD4"/>
    <w:rsid w:val="597E3DD8"/>
    <w:rsid w:val="59F80043"/>
    <w:rsid w:val="5A09252F"/>
    <w:rsid w:val="5A0B2778"/>
    <w:rsid w:val="5A1107BC"/>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964551"/>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768E5"/>
    <w:rsid w:val="5F6D0B1D"/>
    <w:rsid w:val="5F8D0B82"/>
    <w:rsid w:val="5FCC5339"/>
    <w:rsid w:val="5FE34A5B"/>
    <w:rsid w:val="5FFE1E36"/>
    <w:rsid w:val="60232584"/>
    <w:rsid w:val="602671D2"/>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BE090B"/>
    <w:rsid w:val="68CA2805"/>
    <w:rsid w:val="68E937A3"/>
    <w:rsid w:val="693E15D3"/>
    <w:rsid w:val="69627681"/>
    <w:rsid w:val="6977531D"/>
    <w:rsid w:val="69CC2BFF"/>
    <w:rsid w:val="69FD55B8"/>
    <w:rsid w:val="6A0B1C62"/>
    <w:rsid w:val="6A2406C8"/>
    <w:rsid w:val="6ADE0BD1"/>
    <w:rsid w:val="6AE96859"/>
    <w:rsid w:val="6B147746"/>
    <w:rsid w:val="6B24787C"/>
    <w:rsid w:val="6B2C32D4"/>
    <w:rsid w:val="6B573233"/>
    <w:rsid w:val="6B5B6274"/>
    <w:rsid w:val="6B935D53"/>
    <w:rsid w:val="6BEB3158"/>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0E1C0C"/>
    <w:rsid w:val="751B6AEE"/>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96ED5B"/>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72457"/>
    <w:rsid w:val="7B5A2978"/>
    <w:rsid w:val="7B5A7E4C"/>
    <w:rsid w:val="7B667AF9"/>
    <w:rsid w:val="7B7468F8"/>
    <w:rsid w:val="7BC044B1"/>
    <w:rsid w:val="7BEE0103"/>
    <w:rsid w:val="7BFF3FB9"/>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1C5816"/>
    <w:rsid w:val="7F6F4C20"/>
    <w:rsid w:val="7F715AF2"/>
    <w:rsid w:val="7F886E69"/>
    <w:rsid w:val="7FB4E36C"/>
    <w:rsid w:val="7FDF12A4"/>
    <w:rsid w:val="7FEBD096"/>
    <w:rsid w:val="7FF30F0F"/>
    <w:rsid w:val="7FF3D51D"/>
    <w:rsid w:val="A9AC5BC4"/>
    <w:rsid w:val="BB7FA927"/>
    <w:rsid w:val="BD9D8E6F"/>
    <w:rsid w:val="BF7F30ED"/>
    <w:rsid w:val="BFEFFE87"/>
    <w:rsid w:val="CD5747F0"/>
    <w:rsid w:val="CEF76577"/>
    <w:rsid w:val="D8A74B76"/>
    <w:rsid w:val="DD1D4A49"/>
    <w:rsid w:val="EB6D4D4A"/>
    <w:rsid w:val="EB7F38EE"/>
    <w:rsid w:val="EF7FACA7"/>
    <w:rsid w:val="EFFE844D"/>
    <w:rsid w:val="F19AC107"/>
    <w:rsid w:val="F5FFD31F"/>
    <w:rsid w:val="F6D37BBC"/>
    <w:rsid w:val="F7AAAD25"/>
    <w:rsid w:val="F7FF8FBD"/>
    <w:rsid w:val="FBFBF90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264"/>
    <w:qFormat/>
    <w:uiPriority w:val="0"/>
    <w:pPr>
      <w:spacing w:line="480" w:lineRule="exact"/>
      <w:ind w:firstLine="480" w:firstLineChars="200"/>
    </w:pPr>
    <w:rPr>
      <w:rFonts w:ascii="宋体" w:hAnsi="宋体"/>
      <w:sz w:val="24"/>
    </w:rPr>
  </w:style>
  <w:style w:type="paragraph" w:customStyle="1" w:styleId="3">
    <w:name w:val="正文文本首行缩进 21"/>
    <w:basedOn w:val="2"/>
    <w:qFormat/>
    <w:uiPriority w:val="99"/>
    <w:pPr>
      <w:spacing w:line="200" w:lineRule="atLeast"/>
      <w:ind w:firstLine="420"/>
    </w:pPr>
    <w:rPr>
      <w:rFonts w:hAnsi="Courier New"/>
      <w:spacing w:val="-4"/>
      <w:sz w:val="18"/>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28"/>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2"/>
    <w:qFormat/>
    <w:uiPriority w:val="0"/>
    <w:pPr>
      <w:shd w:val="clear" w:color="auto" w:fill="000080"/>
    </w:pPr>
  </w:style>
  <w:style w:type="paragraph" w:styleId="21">
    <w:name w:val="annotation text"/>
    <w:basedOn w:val="1"/>
    <w:link w:val="342"/>
    <w:qFormat/>
    <w:uiPriority w:val="99"/>
    <w:pPr>
      <w:jc w:val="left"/>
    </w:pPr>
  </w:style>
  <w:style w:type="paragraph" w:styleId="22">
    <w:name w:val="Salutation"/>
    <w:basedOn w:val="1"/>
    <w:next w:val="1"/>
    <w:link w:val="296"/>
    <w:qFormat/>
    <w:uiPriority w:val="0"/>
    <w:rPr>
      <w:rFonts w:ascii="仿宋_GB2312" w:eastAsia="仿宋_GB2312"/>
      <w:sz w:val="28"/>
      <w:szCs w:val="20"/>
    </w:rPr>
  </w:style>
  <w:style w:type="paragraph" w:styleId="23">
    <w:name w:val="Body Text 3"/>
    <w:basedOn w:val="1"/>
    <w:link w:val="328"/>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28"/>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1"/>
    <w:link w:val="319"/>
    <w:qFormat/>
    <w:uiPriority w:val="0"/>
    <w:pPr>
      <w:ind w:firstLine="420"/>
    </w:pPr>
    <w:rPr>
      <w:rFonts w:hAnsi="Calibri" w:cs="Times New Roman"/>
      <w:snapToGrid/>
      <w:szCs w:val="20"/>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5"/>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1"/>
    <w:qFormat/>
    <w:uiPriority w:val="0"/>
    <w:pPr>
      <w:ind w:left="100" w:leftChars="2500"/>
    </w:pPr>
    <w:rPr>
      <w:rFonts w:ascii="宋体"/>
      <w:sz w:val="24"/>
      <w:szCs w:val="21"/>
      <w:lang w:val="zh-CN"/>
    </w:rPr>
  </w:style>
  <w:style w:type="paragraph" w:styleId="38">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9">
    <w:name w:val="endnote text"/>
    <w:basedOn w:val="1"/>
    <w:link w:val="930"/>
    <w:qFormat/>
    <w:uiPriority w:val="0"/>
    <w:rPr>
      <w:lang w:val="zh-CN"/>
    </w:rPr>
  </w:style>
  <w:style w:type="paragraph" w:styleId="40">
    <w:name w:val="Balloon Text"/>
    <w:basedOn w:val="1"/>
    <w:link w:val="188"/>
    <w:qFormat/>
    <w:uiPriority w:val="0"/>
    <w:rPr>
      <w:sz w:val="18"/>
      <w:szCs w:val="18"/>
    </w:rPr>
  </w:style>
  <w:style w:type="paragraph" w:styleId="41">
    <w:name w:val="footer"/>
    <w:basedOn w:val="1"/>
    <w:link w:val="381"/>
    <w:qFormat/>
    <w:uiPriority w:val="99"/>
    <w:pPr>
      <w:tabs>
        <w:tab w:val="center" w:pos="4153"/>
        <w:tab w:val="right" w:pos="8306"/>
      </w:tabs>
      <w:snapToGrid w:val="0"/>
      <w:jc w:val="left"/>
    </w:pPr>
    <w:rPr>
      <w:sz w:val="18"/>
      <w:szCs w:val="18"/>
    </w:rPr>
  </w:style>
  <w:style w:type="paragraph" w:styleId="42">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7"/>
    <w:link w:val="308"/>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3"/>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0"/>
    <w:qFormat/>
    <w:uiPriority w:val="0"/>
    <w:pPr>
      <w:spacing w:after="120" w:line="480" w:lineRule="auto"/>
    </w:pPr>
  </w:style>
  <w:style w:type="paragraph" w:styleId="58">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6"/>
    <w:qFormat/>
    <w:uiPriority w:val="0"/>
    <w:rPr>
      <w:b/>
      <w:bCs/>
    </w:rPr>
  </w:style>
  <w:style w:type="paragraph" w:styleId="62">
    <w:name w:val="Body Text First Indent 2"/>
    <w:basedOn w:val="2"/>
    <w:link w:val="121"/>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标题 1 Char"/>
    <w:link w:val="4"/>
    <w:qFormat/>
    <w:uiPriority w:val="9"/>
    <w:rPr>
      <w:b/>
      <w:bCs/>
      <w:kern w:val="44"/>
      <w:sz w:val="44"/>
      <w:szCs w:val="44"/>
    </w:rPr>
  </w:style>
  <w:style w:type="character" w:customStyle="1" w:styleId="81">
    <w:name w:val="标题 2 Char"/>
    <w:qFormat/>
    <w:uiPriority w:val="0"/>
    <w:rPr>
      <w:rFonts w:ascii="Arial" w:hAnsi="Arial" w:eastAsia="黑体"/>
      <w:b/>
      <w:kern w:val="2"/>
      <w:sz w:val="32"/>
      <w:lang w:val="en-US" w:eastAsia="zh-CN"/>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1"/>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2"/>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0"/>
    <w:qFormat/>
    <w:uiPriority w:val="0"/>
    <w:rPr>
      <w:rFonts w:ascii="Arial" w:hAnsi="Arial" w:eastAsia="黑体" w:cs="Arial"/>
      <w:snapToGrid w:val="0"/>
      <w:kern w:val="0"/>
      <w:szCs w:val="21"/>
    </w:rPr>
  </w:style>
  <w:style w:type="character" w:customStyle="1" w:styleId="125">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8"/>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9"/>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5"/>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7"/>
    <w:qFormat/>
    <w:uiPriority w:val="0"/>
    <w:rPr>
      <w:rFonts w:ascii="宋体"/>
      <w:kern w:val="2"/>
      <w:sz w:val="24"/>
      <w:szCs w:val="21"/>
      <w:lang w:val="zh-CN"/>
    </w:rPr>
  </w:style>
  <w:style w:type="character" w:customStyle="1" w:styleId="182">
    <w:name w:val="标题 9 Char"/>
    <w:link w:val="12"/>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0"/>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17"/>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20"/>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70"/>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9"/>
    <w:qFormat/>
    <w:uiPriority w:val="0"/>
    <w:rPr>
      <w:rFonts w:ascii="仿宋_GB2312" w:hAnsi="仿宋" w:eastAsia="仿宋_GB2312" w:cs="仿宋_GB2312"/>
      <w:sz w:val="32"/>
      <w:szCs w:val="30"/>
      <w:lang w:val="zh-CN"/>
    </w:rPr>
  </w:style>
  <w:style w:type="character" w:customStyle="1" w:styleId="218">
    <w:name w:val="HTML 地址 Char"/>
    <w:link w:val="31"/>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7"/>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8"/>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2"/>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60"/>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8"/>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2"/>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8"/>
    <w:qFormat/>
    <w:uiPriority w:val="0"/>
    <w:rPr>
      <w:rFonts w:ascii="黑体" w:hAnsi="Courier New" w:eastAsia="黑体"/>
    </w:rPr>
  </w:style>
  <w:style w:type="character" w:customStyle="1" w:styleId="300">
    <w:name w:val="正文文本 2 Char1"/>
    <w:link w:val="57"/>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7"/>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10"/>
    <w:qFormat/>
    <w:uiPriority w:val="0"/>
    <w:rPr>
      <w:b/>
      <w:bCs/>
      <w:kern w:val="2"/>
      <w:sz w:val="24"/>
      <w:szCs w:val="24"/>
    </w:rPr>
  </w:style>
  <w:style w:type="character" w:customStyle="1" w:styleId="306">
    <w:name w:val="正文文本缩进 2 Char"/>
    <w:link w:val="38"/>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51"/>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26"/>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7"/>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3"/>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21"/>
    <w:qFormat/>
    <w:uiPriority w:val="99"/>
    <w:rPr>
      <w:kern w:val="2"/>
      <w:sz w:val="21"/>
      <w:szCs w:val="24"/>
    </w:rPr>
  </w:style>
  <w:style w:type="character" w:customStyle="1" w:styleId="343">
    <w:name w:val="签名 Char"/>
    <w:link w:val="43"/>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1"/>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4"/>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1"/>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2"/>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70"/>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17"/>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29">
    <w:name w:val="gray6"/>
    <w:basedOn w:val="70"/>
    <w:qFormat/>
    <w:uiPriority w:val="0"/>
    <w:rPr>
      <w:rFonts w:ascii="Arial" w:hAnsi="Arial" w:eastAsia="黑体" w:cs="Arial"/>
      <w:snapToGrid w:val="0"/>
      <w:kern w:val="0"/>
      <w:szCs w:val="21"/>
    </w:rPr>
  </w:style>
  <w:style w:type="character" w:customStyle="1" w:styleId="430">
    <w:name w:val="hui"/>
    <w:basedOn w:val="70"/>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5"/>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6"/>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8"/>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6"/>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4"/>
    <w:next w:val="234"/>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4"/>
    <w:next w:val="234"/>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7"/>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4"/>
    <w:qFormat/>
    <w:uiPriority w:val="0"/>
    <w:pPr>
      <w:tabs>
        <w:tab w:val="left" w:pos="840"/>
      </w:tabs>
      <w:adjustRightInd/>
      <w:ind w:left="840" w:hanging="420"/>
    </w:pPr>
  </w:style>
  <w:style w:type="paragraph" w:customStyle="1" w:styleId="624">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8"/>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6"/>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6"/>
    <w:next w:val="54"/>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20"/>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8"/>
    <w:next w:val="1"/>
    <w:qFormat/>
    <w:uiPriority w:val="0"/>
    <w:pPr>
      <w:tabs>
        <w:tab w:val="left" w:pos="1080"/>
      </w:tabs>
      <w:ind w:left="1080" w:hanging="1080"/>
    </w:pPr>
  </w:style>
  <w:style w:type="paragraph" w:customStyle="1" w:styleId="895">
    <w:name w:val="数字标题1"/>
    <w:basedOn w:val="4"/>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9"/>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7"/>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No Spacing1"/>
    <w:qFormat/>
    <w:uiPriority w:val="0"/>
    <w:rPr>
      <w:rFonts w:ascii="Times New Roman" w:hAnsi="Times New Roman" w:eastAsia="??" w:cs="宋体"/>
      <w:sz w:val="22"/>
      <w:szCs w:val="22"/>
      <w:lang w:val="en-US" w:eastAsia="en-US" w:bidi="ar-SA"/>
    </w:rPr>
  </w:style>
  <w:style w:type="paragraph" w:customStyle="1" w:styleId="964">
    <w:name w:val="无间距1"/>
    <w:qFormat/>
    <w:uiPriority w:val="0"/>
    <w:rPr>
      <w:rFonts w:ascii="Calibri" w:hAnsi="Calibri" w:eastAsia="??" w:cs="宋体"/>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105</Pages>
  <Words>55392</Words>
  <Characters>57961</Characters>
  <Lines>277</Lines>
  <Paragraphs>78</Paragraphs>
  <TotalTime>139</TotalTime>
  <ScaleCrop>false</ScaleCrop>
  <LinksUpToDate>false</LinksUpToDate>
  <CharactersWithSpaces>63211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2021-08-06T00:22:00Z</dcterms:created>
  <dc:creator>玥</dc:creator>
  <cp:lastModifiedBy>Wait</cp:lastModifiedBy>
  <cp:lastPrinted>2023-09-15T07:02:00Z</cp:lastPrinted>
  <dcterms:modified xsi:type="dcterms:W3CDTF">2023-09-28T09:50:59Z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3D66B00C6C1C44CA9F726AB67434EE7E_13</vt:lpwstr>
  </property>
</Properties>
</file>