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lang w:val="en-US"/>
        </w:rPr>
      </w:pPr>
    </w:p>
    <w:p>
      <w:pPr>
        <w:pStyle w:val="969"/>
        <w:spacing w:line="760" w:lineRule="exact"/>
        <w:rPr>
          <w:rFonts w:hint="eastAsia" w:ascii="宋体" w:hAnsi="宋体" w:eastAsia="宋体" w:cs="宋体"/>
          <w:b/>
          <w:bCs/>
          <w:color w:val="auto"/>
          <w:kern w:val="2"/>
          <w:sz w:val="72"/>
          <w:szCs w:val="72"/>
          <w:highlight w:val="none"/>
          <w:lang w:val="en-US" w:eastAsia="zh-CN" w:bidi="ar-SA"/>
        </w:rPr>
      </w:pPr>
    </w:p>
    <w:p>
      <w:pPr>
        <w:pStyle w:val="3"/>
        <w:jc w:val="center"/>
        <w:rPr>
          <w:rFonts w:hint="eastAsia" w:ascii="宋体" w:hAnsi="宋体" w:eastAsia="宋体" w:cs="宋体"/>
          <w:b/>
          <w:bCs/>
          <w:color w:val="auto"/>
          <w:kern w:val="2"/>
          <w:sz w:val="52"/>
          <w:szCs w:val="52"/>
          <w:highlight w:val="none"/>
          <w:lang w:val="en-US" w:eastAsia="zh-CN" w:bidi="ar-SA"/>
        </w:rPr>
      </w:pPr>
      <w:r>
        <w:rPr>
          <w:rFonts w:hint="eastAsia" w:hAnsi="宋体" w:cs="宋体"/>
          <w:b/>
          <w:bCs/>
          <w:color w:val="auto"/>
          <w:kern w:val="2"/>
          <w:sz w:val="44"/>
          <w:szCs w:val="44"/>
          <w:highlight w:val="none"/>
          <w:lang w:val="en-US" w:eastAsia="zh-CN" w:bidi="ar-SA"/>
        </w:rPr>
        <w:t>世界旅游博览馆日常经营布草及员工制服洗涤服务</w:t>
      </w:r>
      <w:r>
        <w:rPr>
          <w:rFonts w:hint="eastAsia" w:ascii="宋体" w:hAnsi="宋体" w:eastAsia="宋体" w:cs="宋体"/>
          <w:b/>
          <w:bCs/>
          <w:color w:val="auto"/>
          <w:kern w:val="2"/>
          <w:sz w:val="44"/>
          <w:szCs w:val="44"/>
          <w:highlight w:val="none"/>
          <w:lang w:val="en-US" w:eastAsia="zh-CN" w:bidi="ar-SA"/>
        </w:rPr>
        <w:t>项目</w:t>
      </w:r>
    </w:p>
    <w:p>
      <w:pPr>
        <w:pStyle w:val="81"/>
        <w:rPr>
          <w:rFonts w:hint="eastAsia" w:ascii="宋体" w:hAnsi="宋体" w:eastAsia="宋体" w:cs="宋体"/>
          <w:color w:val="auto"/>
          <w:highlight w:val="none"/>
          <w:lang w:val="en-US" w:eastAsia="zh-CN"/>
        </w:rPr>
      </w:pPr>
    </w:p>
    <w:p>
      <w:pPr>
        <w:adjustRightInd/>
        <w:spacing w:line="360" w:lineRule="auto"/>
        <w:jc w:val="center"/>
        <w:rPr>
          <w:rFonts w:hint="eastAsia" w:ascii="宋体" w:hAnsi="宋体" w:eastAsia="宋体" w:cs="宋体"/>
          <w:b/>
          <w:bCs/>
          <w:color w:val="auto"/>
          <w:sz w:val="72"/>
          <w:szCs w:val="72"/>
          <w:highlight w:val="none"/>
          <w:lang w:eastAsia="zh-CN"/>
        </w:rPr>
      </w:pPr>
    </w:p>
    <w:p>
      <w:pPr>
        <w:adjustRightInd/>
        <w:spacing w:line="360" w:lineRule="auto"/>
        <w:jc w:val="center"/>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72"/>
          <w:szCs w:val="72"/>
          <w:highlight w:val="none"/>
          <w:lang w:eastAsia="zh-CN"/>
        </w:rPr>
        <w:t>公开竞争</w:t>
      </w:r>
    </w:p>
    <w:p>
      <w:pPr>
        <w:adjustRightInd/>
        <w:spacing w:line="360" w:lineRule="auto"/>
        <w:jc w:val="center"/>
        <w:rPr>
          <w:rFonts w:hint="eastAsia" w:ascii="宋体" w:hAnsi="宋体" w:eastAsia="宋体" w:cs="宋体"/>
          <w:b/>
          <w:bCs/>
          <w:color w:val="auto"/>
          <w:sz w:val="72"/>
          <w:szCs w:val="72"/>
          <w:highlight w:val="none"/>
          <w:lang w:eastAsia="zh-CN"/>
        </w:rPr>
      </w:pP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电子交易</w:t>
      </w:r>
      <w:r>
        <w:rPr>
          <w:rFonts w:hint="eastAsia" w:ascii="宋体" w:hAnsi="宋体" w:eastAsia="宋体" w:cs="宋体"/>
          <w:b/>
          <w:bCs/>
          <w:color w:val="auto"/>
          <w:sz w:val="32"/>
          <w:szCs w:val="32"/>
          <w:highlight w:val="none"/>
          <w:lang w:eastAsia="zh-CN"/>
        </w:rPr>
        <w:t>文件</w:t>
      </w:r>
      <w:r>
        <w:rPr>
          <w:rFonts w:hint="eastAsia" w:ascii="宋体" w:hAnsi="宋体" w:cs="宋体"/>
          <w:b/>
          <w:bCs/>
          <w:color w:val="auto"/>
          <w:sz w:val="32"/>
          <w:szCs w:val="32"/>
          <w:highlight w:val="none"/>
          <w:lang w:eastAsia="zh-CN"/>
        </w:rPr>
        <w:t>）</w:t>
      </w:r>
    </w:p>
    <w:p>
      <w:pPr>
        <w:adjustRightInd/>
        <w:spacing w:line="360" w:lineRule="auto"/>
        <w:jc w:val="center"/>
        <w:rPr>
          <w:rFonts w:hint="eastAsia" w:ascii="宋体" w:hAnsi="宋体" w:eastAsia="宋体" w:cs="宋体"/>
          <w:b/>
          <w:color w:val="auto"/>
          <w:sz w:val="44"/>
          <w:szCs w:val="44"/>
          <w:highlight w:val="none"/>
        </w:rPr>
      </w:pPr>
    </w:p>
    <w:p>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交易</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sz w:val="30"/>
          <w:szCs w:val="30"/>
          <w:highlight w:val="none"/>
          <w:lang w:eastAsia="zh-CN"/>
        </w:rPr>
        <w:t>：XLJT-20240082</w:t>
      </w: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lang w:val="en-US" w:eastAsia="zh-CN"/>
        </w:rPr>
        <w:t>2</w:t>
      </w:r>
      <w:r>
        <w:rPr>
          <w:rFonts w:hint="eastAsia" w:ascii="宋体" w:hAnsi="宋体" w:cs="宋体"/>
          <w:b/>
          <w:bCs/>
          <w:color w:val="auto"/>
          <w:sz w:val="30"/>
          <w:szCs w:val="30"/>
          <w:highlight w:val="none"/>
          <w:lang w:eastAsia="zh-CN"/>
        </w:rPr>
        <w:t>）</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pStyle w:val="84"/>
        <w:rPr>
          <w:rFonts w:hint="eastAsia" w:ascii="宋体" w:hAnsi="宋体" w:eastAsia="宋体" w:cs="宋体"/>
          <w:color w:val="auto"/>
          <w:sz w:val="24"/>
          <w:highlight w:val="none"/>
        </w:rPr>
      </w:pPr>
    </w:p>
    <w:p>
      <w:pPr>
        <w:pStyle w:val="84"/>
        <w:rPr>
          <w:rFonts w:hint="eastAsia" w:ascii="宋体" w:hAnsi="宋体" w:eastAsia="宋体" w:cs="宋体"/>
          <w:color w:val="auto"/>
          <w:sz w:val="24"/>
          <w:highlight w:val="none"/>
        </w:rPr>
      </w:pPr>
    </w:p>
    <w:p>
      <w:pPr>
        <w:pStyle w:val="81"/>
        <w:ind w:left="0" w:leftChars="0" w:firstLine="0" w:firstLineChars="0"/>
        <w:rPr>
          <w:rFonts w:hint="eastAsia" w:ascii="宋体" w:hAnsi="宋体" w:eastAsia="宋体" w:cs="宋体"/>
          <w:color w:val="auto"/>
          <w:highlight w:val="none"/>
          <w:lang w:val="en-US" w:eastAsia="zh-CN"/>
        </w:rPr>
      </w:pPr>
    </w:p>
    <w:p>
      <w:pPr>
        <w:spacing w:line="360" w:lineRule="auto"/>
        <w:ind w:firstLine="964" w:firstLineChars="300"/>
        <w:jc w:val="both"/>
        <w:rPr>
          <w:rFonts w:hint="eastAsia" w:ascii="宋体" w:hAnsi="宋体" w:eastAsia="宋体" w:cs="宋体"/>
          <w:b/>
          <w:color w:val="auto"/>
          <w:spacing w:val="0"/>
          <w:kern w:val="2"/>
          <w:sz w:val="32"/>
          <w:szCs w:val="30"/>
          <w:highlight w:val="none"/>
          <w:lang w:eastAsia="zh-CN"/>
        </w:rPr>
      </w:pPr>
      <w:r>
        <w:rPr>
          <w:rFonts w:hint="eastAsia" w:ascii="宋体" w:hAnsi="宋体" w:eastAsia="宋体" w:cs="宋体"/>
          <w:b/>
          <w:color w:val="auto"/>
          <w:spacing w:val="0"/>
          <w:kern w:val="2"/>
          <w:sz w:val="32"/>
          <w:szCs w:val="30"/>
          <w:highlight w:val="none"/>
          <w:lang w:val="en-US" w:eastAsia="zh-CN"/>
        </w:rPr>
        <w:t>交易</w:t>
      </w:r>
      <w:r>
        <w:rPr>
          <w:rFonts w:hint="eastAsia" w:ascii="宋体" w:hAnsi="宋体" w:eastAsia="宋体" w:cs="宋体"/>
          <w:b/>
          <w:color w:val="auto"/>
          <w:spacing w:val="0"/>
          <w:kern w:val="2"/>
          <w:sz w:val="32"/>
          <w:szCs w:val="30"/>
          <w:highlight w:val="none"/>
          <w:lang w:eastAsia="zh-CN"/>
        </w:rPr>
        <w:t>发起人：</w:t>
      </w:r>
      <w:r>
        <w:rPr>
          <w:rFonts w:hint="eastAsia" w:ascii="宋体" w:hAnsi="宋体" w:cs="宋体"/>
          <w:b/>
          <w:color w:val="auto"/>
          <w:spacing w:val="0"/>
          <w:kern w:val="2"/>
          <w:sz w:val="32"/>
          <w:szCs w:val="30"/>
          <w:highlight w:val="none"/>
          <w:lang w:eastAsia="zh-CN"/>
        </w:rPr>
        <w:t>浙江湘旅会展有限公司</w:t>
      </w:r>
    </w:p>
    <w:p>
      <w:pPr>
        <w:spacing w:line="360" w:lineRule="auto"/>
        <w:ind w:firstLine="964" w:firstLineChars="300"/>
        <w:jc w:val="both"/>
        <w:rPr>
          <w:rFonts w:hint="eastAsia" w:ascii="宋体" w:hAnsi="宋体" w:eastAsia="宋体" w:cs="宋体"/>
          <w:b/>
          <w:bCs w:val="0"/>
          <w:color w:val="auto"/>
          <w:spacing w:val="0"/>
          <w:sz w:val="32"/>
          <w:szCs w:val="32"/>
          <w:highlight w:val="none"/>
          <w:lang w:eastAsia="zh-CN"/>
        </w:rPr>
      </w:pPr>
      <w:r>
        <w:rPr>
          <w:rFonts w:hint="eastAsia" w:ascii="宋体" w:hAnsi="宋体" w:eastAsia="宋体" w:cs="宋体"/>
          <w:b/>
          <w:bCs w:val="0"/>
          <w:color w:val="auto"/>
          <w:spacing w:val="0"/>
          <w:sz w:val="32"/>
          <w:szCs w:val="30"/>
          <w:highlight w:val="none"/>
          <w:lang w:val="en-US" w:eastAsia="zh-CN"/>
        </w:rPr>
        <w:t>代理机构</w:t>
      </w:r>
      <w:r>
        <w:rPr>
          <w:rFonts w:hint="eastAsia" w:ascii="宋体" w:hAnsi="宋体" w:eastAsia="宋体" w:cs="宋体"/>
          <w:b/>
          <w:bCs w:val="0"/>
          <w:color w:val="auto"/>
          <w:spacing w:val="0"/>
          <w:sz w:val="32"/>
          <w:szCs w:val="30"/>
          <w:highlight w:val="none"/>
          <w:lang w:eastAsia="zh-CN"/>
        </w:rPr>
        <w:t>：杭州博望建设工程招标投标代理有限公司</w:t>
      </w:r>
    </w:p>
    <w:p>
      <w:pPr>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rPr>
        <w:t>二〇二</w:t>
      </w:r>
      <w:r>
        <w:rPr>
          <w:rFonts w:hint="eastAsia" w:ascii="宋体" w:hAnsi="宋体" w:cs="宋体"/>
          <w:b/>
          <w:bCs w:val="0"/>
          <w:color w:val="auto"/>
          <w:sz w:val="32"/>
          <w:szCs w:val="32"/>
          <w:highlight w:val="none"/>
          <w:lang w:val="en-US" w:eastAsia="zh-CN"/>
        </w:rPr>
        <w:t>四</w:t>
      </w:r>
      <w:r>
        <w:rPr>
          <w:rFonts w:hint="eastAsia" w:ascii="宋体" w:hAnsi="宋体" w:eastAsia="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五</w:t>
      </w:r>
      <w:r>
        <w:rPr>
          <w:rFonts w:hint="eastAsia" w:ascii="宋体" w:hAnsi="宋体" w:eastAsia="宋体" w:cs="宋体"/>
          <w:b/>
          <w:bCs w:val="0"/>
          <w:color w:val="auto"/>
          <w:sz w:val="32"/>
          <w:szCs w:val="32"/>
          <w:highlight w:val="none"/>
        </w:rPr>
        <w:t>月</w:t>
      </w:r>
      <w:r>
        <w:rPr>
          <w:rFonts w:hint="eastAsia" w:ascii="宋体" w:hAnsi="宋体" w:cs="宋体"/>
          <w:b/>
          <w:bCs w:val="0"/>
          <w:color w:val="auto"/>
          <w:sz w:val="32"/>
          <w:szCs w:val="32"/>
          <w:highlight w:val="none"/>
          <w:lang w:val="en-US" w:eastAsia="zh-CN"/>
        </w:rPr>
        <w:t>二十</w:t>
      </w:r>
      <w:r>
        <w:rPr>
          <w:rFonts w:hint="eastAsia" w:ascii="宋体" w:hAnsi="宋体" w:eastAsia="宋体" w:cs="宋体"/>
          <w:b/>
          <w:bCs w:val="0"/>
          <w:color w:val="auto"/>
          <w:sz w:val="32"/>
          <w:szCs w:val="32"/>
          <w:highlight w:val="none"/>
          <w:lang w:eastAsia="zh-CN"/>
        </w:rPr>
        <w:t>日</w:t>
      </w:r>
    </w:p>
    <w:p>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eastAsia="zh-CN"/>
        </w:rPr>
        <w:t>交易公告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第二部分      </w:t>
      </w:r>
      <w:r>
        <w:rPr>
          <w:rFonts w:hint="eastAsia" w:ascii="宋体" w:hAnsi="宋体" w:eastAsia="宋体" w:cs="宋体"/>
          <w:color w:val="auto"/>
          <w:sz w:val="32"/>
          <w:szCs w:val="32"/>
          <w:highlight w:val="none"/>
          <w:lang w:eastAsia="zh-CN"/>
        </w:rPr>
        <w:t>响应人</w:t>
      </w:r>
      <w:r>
        <w:rPr>
          <w:rFonts w:hint="eastAsia" w:ascii="宋体" w:hAnsi="宋体" w:eastAsia="宋体" w:cs="宋体"/>
          <w:color w:val="auto"/>
          <w:sz w:val="32"/>
          <w:szCs w:val="32"/>
          <w:highlight w:val="none"/>
        </w:rPr>
        <w:t>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第三部分      </w:t>
      </w:r>
      <w:r>
        <w:rPr>
          <w:rFonts w:hint="eastAsia" w:ascii="宋体" w:hAnsi="宋体" w:eastAsia="宋体" w:cs="宋体"/>
          <w:color w:val="auto"/>
          <w:sz w:val="32"/>
          <w:szCs w:val="32"/>
          <w:highlight w:val="none"/>
          <w:lang w:val="en-US" w:eastAsia="zh-CN"/>
        </w:rPr>
        <w:t>交易</w:t>
      </w:r>
      <w:r>
        <w:rPr>
          <w:rFonts w:hint="eastAsia" w:ascii="宋体" w:hAnsi="宋体" w:eastAsia="宋体" w:cs="宋体"/>
          <w:color w:val="auto"/>
          <w:sz w:val="32"/>
          <w:szCs w:val="32"/>
          <w:highlight w:val="none"/>
        </w:rPr>
        <w:t>需求</w:t>
      </w: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第四部分      </w:t>
      </w:r>
      <w:r>
        <w:rPr>
          <w:rFonts w:hint="eastAsia" w:ascii="宋体" w:hAnsi="宋体" w:eastAsia="宋体" w:cs="宋体"/>
          <w:color w:val="auto"/>
          <w:sz w:val="32"/>
          <w:szCs w:val="32"/>
          <w:highlight w:val="none"/>
          <w:lang w:eastAsia="zh-CN"/>
        </w:rPr>
        <w:t>交易办法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lang w:eastAsia="zh-CN"/>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 xml:space="preserve">第一部分 </w:t>
      </w:r>
      <w:r>
        <w:rPr>
          <w:rFonts w:hint="eastAsia" w:ascii="宋体" w:hAnsi="宋体" w:eastAsia="宋体" w:cs="宋体"/>
          <w:b/>
          <w:color w:val="auto"/>
          <w:sz w:val="36"/>
          <w:szCs w:val="20"/>
          <w:highlight w:val="none"/>
          <w:lang w:eastAsia="zh-CN"/>
        </w:rPr>
        <w:t>交易公告</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eastAsia="宋体" w:cs="宋体"/>
          <w:b/>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编号：</w:t>
      </w:r>
      <w:r>
        <w:rPr>
          <w:rFonts w:hint="eastAsia" w:ascii="宋体" w:hAnsi="宋体" w:cs="宋体"/>
          <w:b w:val="0"/>
          <w:bCs/>
          <w:color w:val="auto"/>
          <w:sz w:val="24"/>
          <w:highlight w:val="none"/>
          <w:u w:val="none"/>
          <w:lang w:val="en-US" w:eastAsia="zh-CN"/>
        </w:rPr>
        <w:t>XLJT-20240082（2）</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val="0"/>
          <w:bCs/>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名称：</w:t>
      </w:r>
      <w:r>
        <w:rPr>
          <w:rFonts w:hint="eastAsia" w:ascii="宋体" w:hAnsi="宋体" w:cs="宋体"/>
          <w:b w:val="0"/>
          <w:bCs/>
          <w:color w:val="auto"/>
          <w:sz w:val="24"/>
          <w:highlight w:val="none"/>
          <w:u w:val="none"/>
          <w:lang w:val="en-US" w:eastAsia="zh-CN"/>
        </w:rPr>
        <w:t>世界旅游博览馆日常经营布草及员工制服洗涤服务</w:t>
      </w:r>
      <w:r>
        <w:rPr>
          <w:rFonts w:hint="eastAsia" w:ascii="宋体" w:hAnsi="宋体" w:eastAsia="宋体" w:cs="宋体"/>
          <w:b w:val="0"/>
          <w:bCs/>
          <w:color w:val="auto"/>
          <w:sz w:val="24"/>
          <w:highlight w:val="none"/>
          <w:u w:val="none"/>
          <w:lang w:val="en-US" w:eastAsia="zh-CN"/>
        </w:rPr>
        <w:t>项目</w:t>
      </w:r>
    </w:p>
    <w:p>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cs="宋体"/>
          <w:b/>
          <w:color w:val="auto"/>
          <w:sz w:val="24"/>
          <w:highlight w:val="none"/>
          <w:u w:val="none"/>
          <w:lang w:val="en-US" w:eastAsia="zh-CN"/>
        </w:rPr>
      </w:pPr>
      <w:r>
        <w:rPr>
          <w:rFonts w:hint="eastAsia" w:ascii="宋体" w:hAnsi="宋体" w:cs="宋体"/>
          <w:b/>
          <w:color w:val="auto"/>
          <w:sz w:val="24"/>
          <w:highlight w:val="none"/>
          <w:u w:val="none"/>
          <w:lang w:val="en-US" w:eastAsia="zh-CN"/>
        </w:rPr>
        <w:t>预算金额：</w:t>
      </w:r>
      <w:r>
        <w:rPr>
          <w:rFonts w:hint="eastAsia" w:ascii="宋体" w:hAnsi="宋体" w:cs="宋体"/>
          <w:b w:val="0"/>
          <w:bCs/>
          <w:color w:val="auto"/>
          <w:sz w:val="24"/>
          <w:highlight w:val="none"/>
          <w:u w:val="none"/>
          <w:lang w:val="en-US" w:eastAsia="zh-CN"/>
        </w:rPr>
        <w:t>200000.00元/年（预估）</w:t>
      </w:r>
    </w:p>
    <w:p>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eastAsia="宋体" w:cs="宋体"/>
          <w:color w:val="auto"/>
          <w:sz w:val="24"/>
          <w:highlight w:val="none"/>
          <w:u w:val="none"/>
          <w:lang w:val="en-US"/>
        </w:rPr>
      </w:pPr>
      <w:r>
        <w:rPr>
          <w:rFonts w:hint="eastAsia" w:ascii="宋体" w:hAnsi="宋体" w:eastAsia="宋体" w:cs="宋体"/>
          <w:b/>
          <w:color w:val="auto"/>
          <w:sz w:val="24"/>
          <w:highlight w:val="none"/>
          <w:u w:val="none"/>
        </w:rPr>
        <w:t>最高限价：</w:t>
      </w:r>
      <w:r>
        <w:rPr>
          <w:rFonts w:hint="eastAsia" w:ascii="宋体" w:hAnsi="宋体" w:cs="宋体"/>
          <w:b w:val="0"/>
          <w:bCs/>
          <w:color w:val="auto"/>
          <w:sz w:val="24"/>
          <w:highlight w:val="none"/>
          <w:u w:val="none"/>
          <w:lang w:val="en-US" w:eastAsia="zh-CN"/>
        </w:rPr>
        <w:t>折扣100.00%</w:t>
      </w:r>
    </w:p>
    <w:p>
      <w:pPr>
        <w:pStyle w:val="19"/>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需求：</w:t>
      </w:r>
      <w:r>
        <w:rPr>
          <w:rFonts w:hint="eastAsia" w:hAnsi="宋体" w:cs="宋体"/>
          <w:b w:val="0"/>
          <w:bCs/>
          <w:color w:val="auto"/>
          <w:sz w:val="24"/>
          <w:highlight w:val="none"/>
          <w:u w:val="none"/>
          <w:lang w:val="en-US" w:eastAsia="zh-CN"/>
        </w:rPr>
        <w:t>世界旅游博览馆日常经营布草及员工制服洗涤服务</w:t>
      </w:r>
      <w:r>
        <w:rPr>
          <w:rFonts w:hint="eastAsia" w:hAnsi="宋体" w:cs="宋体"/>
          <w:color w:val="auto"/>
          <w:sz w:val="24"/>
          <w:highlight w:val="none"/>
          <w:u w:val="none"/>
          <w:lang w:val="en-US" w:eastAsia="zh-CN"/>
        </w:rPr>
        <w:t>，1年，</w:t>
      </w:r>
      <w:r>
        <w:rPr>
          <w:rFonts w:hint="eastAsia" w:ascii="宋体" w:hAnsi="宋体" w:eastAsia="宋体" w:cs="宋体"/>
          <w:color w:val="auto"/>
          <w:sz w:val="24"/>
          <w:highlight w:val="none"/>
          <w:u w:val="none"/>
          <w:lang w:val="en-US" w:eastAsia="zh-CN"/>
        </w:rPr>
        <w:t>详见交易需求。</w:t>
      </w:r>
    </w:p>
    <w:p>
      <w:pPr>
        <w:pStyle w:val="19"/>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w:t>
      </w:r>
      <w:r>
        <w:rPr>
          <w:rFonts w:hint="eastAsia" w:ascii="宋体" w:hAnsi="宋体" w:eastAsia="宋体" w:cs="宋体"/>
          <w:color w:val="auto"/>
          <w:sz w:val="24"/>
          <w:szCs w:val="28"/>
          <w:highlight w:val="none"/>
          <w:lang w:eastAsia="zh-CN"/>
        </w:rPr>
        <w:t>公开竞争文件</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本项目接受联合体投标：</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）是；（√）否</w:t>
      </w:r>
      <w:r>
        <w:rPr>
          <w:rFonts w:hint="eastAsia" w:ascii="宋体" w:hAnsi="宋体" w:eastAsia="宋体" w:cs="宋体"/>
          <w:b w:val="0"/>
          <w:bCs/>
          <w:color w:val="auto"/>
          <w:sz w:val="24"/>
          <w:highlight w:val="none"/>
          <w:lang w:eastAsia="zh-CN"/>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活动前三年内，在经营活动中没有重大违法记录；</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pStyle w:val="2"/>
        <w:keepNext w:val="0"/>
        <w:keepLines w:val="0"/>
        <w:pageBreakBefore w:val="0"/>
        <w:widowControl w:val="0"/>
        <w:kinsoku/>
        <w:wordWrap/>
        <w:overflowPunct/>
        <w:topLinePunct w:val="0"/>
        <w:bidi w:val="0"/>
        <w:adjustRightInd w:val="0"/>
        <w:snapToGrid/>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7、本项目的特定资格要求：</w:t>
      </w:r>
      <w:r>
        <w:rPr>
          <w:rFonts w:hint="eastAsia" w:hAnsi="宋体" w:cs="宋体"/>
          <w:color w:val="auto"/>
          <w:sz w:val="24"/>
          <w:highlight w:val="none"/>
          <w:lang w:val="en-US" w:eastAsia="zh-CN"/>
        </w:rPr>
        <w:t>无</w:t>
      </w:r>
      <w:r>
        <w:rPr>
          <w:rFonts w:hint="eastAsia" w:ascii="宋体" w:hAnsi="宋体" w:eastAsia="宋体" w:cs="宋体"/>
          <w:color w:val="auto"/>
          <w:sz w:val="24"/>
          <w:highlight w:val="none"/>
          <w:lang w:val="en-US" w:eastAsia="zh-CN"/>
        </w:rPr>
        <w:t>；</w:t>
      </w:r>
    </w:p>
    <w:p>
      <w:pPr>
        <w:pStyle w:val="2"/>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本项目不接受联合体参与（潜在</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能独立完成本项目）</w:t>
      </w:r>
      <w:r>
        <w:rPr>
          <w:rFonts w:hint="eastAsia" w:ascii="宋体" w:hAnsi="宋体" w:eastAsia="宋体" w:cs="宋体"/>
          <w:color w:val="auto"/>
          <w:sz w:val="24"/>
          <w:highlight w:val="none"/>
          <w:u w:val="none"/>
          <w:lang w:eastAsia="zh-CN"/>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 xml:space="preserve">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登录政采云平台https://www.zcygov.cn/在线申请获取</w:t>
      </w: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文件（进入“项目采购”应用，在获取采购文件菜单中选择项目，申请获取</w:t>
      </w: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 xml:space="preserve">文件）。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和地点</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28</w:t>
      </w:r>
      <w:bookmarkStart w:id="383" w:name="_GoBack"/>
      <w:bookmarkEnd w:id="383"/>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五</w:t>
      </w:r>
      <w:r>
        <w:rPr>
          <w:rFonts w:hint="eastAsia" w:ascii="宋体" w:hAnsi="宋体" w:eastAsia="宋体" w:cs="宋体"/>
          <w:b/>
          <w:color w:val="auto"/>
          <w:sz w:val="24"/>
          <w:highlight w:val="none"/>
        </w:rPr>
        <w:t>、其他补充事宜</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使自己的权益受到损害的，可以自获取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和代理机构提出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、代理机构的答复不满意或者</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、代理机构未在规定的时间内作出答复的，可以在答复期满后</w:t>
      </w:r>
      <w:r>
        <w:rPr>
          <w:rFonts w:hint="eastAsia" w:ascii="宋体" w:hAnsi="宋体" w:eastAsia="宋体" w:cs="宋体"/>
          <w:color w:val="auto"/>
          <w:sz w:val="24"/>
          <w:highlight w:val="none"/>
          <w:lang w:val="en-US" w:eastAsia="zh-CN"/>
        </w:rPr>
        <w:t>10日</w:t>
      </w:r>
      <w:r>
        <w:rPr>
          <w:rFonts w:hint="eastAsia" w:ascii="宋体" w:hAnsi="宋体" w:eastAsia="宋体" w:cs="宋体"/>
          <w:color w:val="auto"/>
          <w:sz w:val="24"/>
          <w:highlight w:val="none"/>
        </w:rPr>
        <w:t>内向</w:t>
      </w:r>
      <w:r>
        <w:rPr>
          <w:rFonts w:hint="eastAsia" w:ascii="宋体" w:hAnsi="宋体" w:eastAsia="宋体" w:cs="宋体"/>
          <w:color w:val="auto"/>
          <w:sz w:val="24"/>
          <w:highlight w:val="none"/>
          <w:lang w:eastAsia="zh-CN"/>
        </w:rPr>
        <w:t>基层交易</w:t>
      </w:r>
      <w:r>
        <w:rPr>
          <w:rFonts w:hint="eastAsia" w:ascii="宋体" w:hAnsi="宋体" w:eastAsia="宋体" w:cs="宋体"/>
          <w:color w:val="auto"/>
          <w:sz w:val="24"/>
          <w:highlight w:val="none"/>
        </w:rPr>
        <w:t>监督</w:t>
      </w:r>
      <w:r>
        <w:rPr>
          <w:rFonts w:hint="eastAsia" w:ascii="宋体" w:hAnsi="宋体" w:eastAsia="宋体" w:cs="宋体"/>
          <w:color w:val="auto"/>
          <w:sz w:val="24"/>
          <w:highlight w:val="none"/>
          <w:lang w:eastAsia="zh-CN"/>
        </w:rPr>
        <w:t>机构提出</w:t>
      </w:r>
      <w:r>
        <w:rPr>
          <w:rFonts w:hint="eastAsia" w:ascii="宋体" w:hAnsi="宋体" w:eastAsia="宋体" w:cs="宋体"/>
          <w:color w:val="auto"/>
          <w:sz w:val="24"/>
          <w:highlight w:val="none"/>
        </w:rPr>
        <w:t>投诉。</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其他事项：电子招投标的说明：①电子招投标：本项目以数据电文形式，依托“政府采购云平台（www.zcygov.cn）”进行招投标活动，不接受纸质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；②投标准备：注册账号--点击“商家入驻”，进行政府采购</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的获取：使用账号登录或者使用CA登录政采云平台；进入“项目采购”应用，在获取采购文件菜单中选择项目，获取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；④</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的制作：在“政采云电子交易客户端”中完成“填写基本信息”“导入</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”“标书关联”“标书检查”“电子签名”“生成电子标书”等操作；⑤</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将依托政采云平台完成本项目的电子交易活动，平台不接受未按上述方式获取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进行投标活动； ⑥对未按上述方式获取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对该文件提出的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或代理机构将不予处理；⑦不提供</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纸质版；⑧</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的传输递交：</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截止时间前将加密的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上传至政府采购云平台；⑨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的解密：</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按照平台提示和</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的规定在半小时内完成在线解密。通过“政府采购云平台”上传递交的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无法按时解密，视为</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撤回；⑩具体操作指南：详见政采云平台“服务中心-帮助文档-项目采购-操作流程-电子招投标-政府采购项目电子交易管理操作指南-</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、对本次</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提出</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、投诉，请按以下方式联系</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color w:val="auto"/>
          <w:sz w:val="24"/>
          <w:szCs w:val="28"/>
          <w:highlight w:val="none"/>
          <w:lang w:eastAsia="zh-CN"/>
        </w:rPr>
        <w:t>、交易发起人</w:t>
      </w:r>
      <w:r>
        <w:rPr>
          <w:rFonts w:hint="eastAsia" w:ascii="宋体" w:hAnsi="宋体" w:eastAsia="宋体" w:cs="宋体"/>
          <w:color w:val="auto"/>
          <w:sz w:val="24"/>
          <w:szCs w:val="28"/>
          <w:highlight w:val="none"/>
        </w:rPr>
        <w:t>信息</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名称：</w:t>
      </w:r>
      <w:r>
        <w:rPr>
          <w:rFonts w:hint="eastAsia" w:ascii="宋体" w:hAnsi="宋体" w:cs="宋体"/>
          <w:bCs/>
          <w:color w:val="auto"/>
          <w:sz w:val="24"/>
          <w:highlight w:val="none"/>
          <w:lang w:eastAsia="zh-CN"/>
        </w:rPr>
        <w:t>浙江湘旅会展有限公司</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w:t>
      </w:r>
      <w:r>
        <w:rPr>
          <w:rFonts w:hint="eastAsia" w:ascii="宋体" w:hAnsi="宋体" w:cs="宋体"/>
          <w:color w:val="auto"/>
          <w:sz w:val="24"/>
          <w:highlight w:val="none"/>
          <w:lang w:val="en-US" w:eastAsia="zh-CN"/>
        </w:rPr>
        <w:t>萧山区湘湖金融小镇二期西区块16号楼</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w:t>
      </w:r>
      <w:r>
        <w:rPr>
          <w:rFonts w:hint="eastAsia" w:ascii="宋体" w:hAnsi="宋体" w:cs="宋体"/>
          <w:color w:val="auto"/>
          <w:sz w:val="24"/>
          <w:highlight w:val="none"/>
          <w:lang w:val="en-US" w:eastAsia="zh-CN"/>
        </w:rPr>
        <w:t>高颖</w:t>
      </w:r>
    </w:p>
    <w:p>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lang w:val="en-US" w:eastAsia="zh-CN"/>
        </w:rPr>
        <w:t>项目联系方式（询问）：</w:t>
      </w:r>
      <w:r>
        <w:rPr>
          <w:rFonts w:hint="eastAsia" w:ascii="宋体" w:hAnsi="宋体" w:cs="宋体"/>
          <w:color w:val="auto"/>
          <w:sz w:val="24"/>
          <w:highlight w:val="none"/>
          <w:lang w:val="en-US" w:eastAsia="zh-CN"/>
        </w:rPr>
        <w:t>18557525788</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val="en-US"/>
        </w:rPr>
      </w:pPr>
      <w:bookmarkStart w:id="10" w:name="_Toc28359009"/>
      <w:bookmarkStart w:id="11" w:name="_Toc28359086"/>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代理机构信息</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名称：杭州博望建设工程招标投标代理有限公司</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地址：杭州市萧山区金城路433号天汇园一幢A座5楼</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项目联系人（询问）：</w:t>
      </w:r>
      <w:r>
        <w:rPr>
          <w:rFonts w:hint="eastAsia" w:ascii="宋体" w:hAnsi="宋体" w:eastAsia="宋体" w:cs="宋体"/>
          <w:color w:val="auto"/>
          <w:sz w:val="24"/>
          <w:szCs w:val="28"/>
          <w:highlight w:val="none"/>
          <w:lang w:val="en-US" w:eastAsia="zh-CN"/>
        </w:rPr>
        <w:t>赵鑫华</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szCs w:val="28"/>
          <w:highlight w:val="none"/>
        </w:rPr>
        <w:t>项目联系方式（询问）：0571-838812</w:t>
      </w:r>
      <w:r>
        <w:rPr>
          <w:rFonts w:hint="eastAsia" w:ascii="宋体" w:hAnsi="宋体" w:eastAsia="宋体" w:cs="宋体"/>
          <w:color w:val="auto"/>
          <w:sz w:val="24"/>
          <w:szCs w:val="28"/>
          <w:highlight w:val="none"/>
          <w:lang w:val="en-US" w:eastAsia="zh-CN"/>
        </w:rPr>
        <w:t>08</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获取热线服务帮助。</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w:t>
      </w:r>
      <w:r>
        <w:rPr>
          <w:rFonts w:hint="eastAsia" w:ascii="宋体" w:hAnsi="宋体" w:eastAsia="宋体" w:cs="宋体"/>
          <w:b/>
          <w:color w:val="auto"/>
          <w:sz w:val="36"/>
          <w:szCs w:val="20"/>
          <w:highlight w:val="none"/>
          <w:lang w:eastAsia="zh-CN"/>
        </w:rPr>
        <w:t>响应人</w:t>
      </w:r>
      <w:r>
        <w:rPr>
          <w:rFonts w:hint="eastAsia" w:ascii="宋体" w:hAnsi="宋体" w:eastAsia="宋体" w:cs="宋体"/>
          <w:b/>
          <w:color w:val="auto"/>
          <w:sz w:val="36"/>
          <w:szCs w:val="20"/>
          <w:highlight w:val="none"/>
        </w:rPr>
        <w:t>须知</w:t>
      </w:r>
      <w:bookmarkEnd w:id="8"/>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A货物类</w:t>
            </w:r>
            <w:r>
              <w:rPr>
                <w:rFonts w:hint="eastAsia" w:ascii="宋体" w:hAnsi="宋体" w:eastAsia="宋体" w:cs="宋体"/>
                <w:color w:val="auto"/>
                <w:sz w:val="24"/>
                <w:highlight w:val="none"/>
              </w:rPr>
              <w:t>。</w:t>
            </w:r>
          </w:p>
          <w:p>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B服务类</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240" w:lineRule="auto"/>
              <w:jc w:val="center"/>
              <w:rPr>
                <w:rFonts w:hint="eastAsia" w:ascii="宋体" w:hAnsi="宋体" w:eastAsia="宋体" w:cs="宋体"/>
                <w:color w:val="auto"/>
                <w:sz w:val="24"/>
                <w:highlight w:val="none"/>
              </w:rPr>
            </w:pPr>
          </w:p>
          <w:p>
            <w:pPr>
              <w:snapToGrid w:val="0"/>
              <w:spacing w:line="240" w:lineRule="auto"/>
              <w:jc w:val="center"/>
              <w:rPr>
                <w:rFonts w:hint="eastAsia" w:ascii="宋体" w:hAnsi="宋体" w:eastAsia="宋体" w:cs="宋体"/>
                <w:color w:val="auto"/>
                <w:sz w:val="24"/>
                <w:highlight w:val="none"/>
              </w:rPr>
            </w:pPr>
          </w:p>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A适用</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B不适用</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B</w:t>
            </w:r>
            <w:r>
              <w:rPr>
                <w:rFonts w:hint="eastAsia" w:ascii="宋体" w:hAnsi="宋体" w:eastAsia="宋体" w:cs="宋体"/>
                <w:b w:val="0"/>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b w:val="0"/>
                <w:bCs/>
                <w:color w:val="auto"/>
                <w:sz w:val="24"/>
                <w:szCs w:val="20"/>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A</w:t>
            </w:r>
            <w:r>
              <w:rPr>
                <w:rFonts w:hint="eastAsia" w:ascii="宋体" w:hAnsi="宋体" w:eastAsia="宋体" w:cs="宋体"/>
                <w:b w:val="0"/>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（√）A不组织。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  ）B组织。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843" w:type="dxa"/>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第二部分1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p>
          <w:p>
            <w:pPr>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843" w:type="dxa"/>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有关本项目实施所需的所有费用（含税费）均计入报价。</w:t>
            </w:r>
            <w:r>
              <w:rPr>
                <w:rFonts w:hint="eastAsia" w:ascii="宋体" w:hAnsi="宋体" w:eastAsia="宋体" w:cs="宋体"/>
                <w:b w:val="0"/>
                <w:bCs/>
                <w:color w:val="auto"/>
                <w:kern w:val="0"/>
                <w:sz w:val="24"/>
                <w:highlight w:val="none"/>
                <w:lang w:eastAsia="zh-CN"/>
              </w:rPr>
              <w:t>交易一览表</w:t>
            </w:r>
            <w:r>
              <w:rPr>
                <w:rFonts w:hint="eastAsia" w:ascii="宋体" w:hAnsi="宋体" w:eastAsia="宋体" w:cs="宋体"/>
                <w:b w:val="0"/>
                <w:bCs/>
                <w:color w:val="auto"/>
                <w:kern w:val="0"/>
                <w:sz w:val="24"/>
                <w:highlight w:val="none"/>
              </w:rPr>
              <w:t>（报价表）是报价的唯一载体</w:t>
            </w:r>
            <w:r>
              <w:rPr>
                <w:rFonts w:hint="eastAsia" w:ascii="宋体" w:hAnsi="宋体" w:eastAsia="宋体" w:cs="宋体"/>
                <w:b w:val="0"/>
                <w:bCs/>
                <w:color w:val="auto"/>
                <w:kern w:val="0"/>
                <w:sz w:val="24"/>
                <w:highlight w:val="none"/>
                <w:lang w:val="zh-CN"/>
              </w:rPr>
              <w:t>。响应文件中价格全部采用人民币报价。公开竞争文件未列明，而响应人认为必需的费用也需列入报价。</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交易报价出现下列情形的，交易无效：</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响应文件出现不是唯一的、有选择性交易报价的；</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交易报价超过公开竞争文件中规定的预算金额或者最高限价的；</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rPr>
              <w:t>报价明显低于其他通过符合性审查</w:t>
            </w: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eastAsia="宋体" w:cs="宋体"/>
                <w:b w:val="0"/>
                <w:bCs/>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备份</w:t>
            </w:r>
            <w:r>
              <w:rPr>
                <w:rFonts w:hint="eastAsia" w:ascii="宋体" w:hAnsi="宋体" w:eastAsia="宋体" w:cs="宋体"/>
                <w:b/>
                <w:color w:val="auto"/>
                <w:sz w:val="24"/>
                <w:highlight w:val="none"/>
                <w:lang w:eastAsia="zh-CN"/>
              </w:rPr>
              <w:t>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6"/>
              <w:spacing w:line="240" w:lineRule="auto"/>
              <w:ind w:left="0" w:leftChars="0" w:hanging="4" w:firstLineChars="0"/>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备份文件是否收取：不收取。</w:t>
            </w:r>
          </w:p>
          <w:p>
            <w:pPr>
              <w:pStyle w:val="36"/>
              <w:spacing w:line="240" w:lineRule="auto"/>
              <w:ind w:left="0" w:leftChars="0" w:hanging="4" w:firstLineChars="0"/>
              <w:rPr>
                <w:rFonts w:hint="eastAsia" w:ascii="宋体" w:hAnsi="宋体" w:eastAsia="宋体" w:cs="宋体"/>
                <w:color w:val="auto"/>
                <w:kern w:val="28"/>
                <w:sz w:val="24"/>
                <w:szCs w:val="24"/>
                <w:highlight w:val="none"/>
                <w:lang w:val="en-US" w:eastAsia="zh-CN"/>
              </w:rPr>
            </w:pPr>
            <w:r>
              <w:rPr>
                <w:rFonts w:hint="eastAsia" w:ascii="宋体" w:hAnsi="宋体" w:eastAsia="宋体" w:cs="宋体"/>
                <w:b/>
                <w:bCs w:val="0"/>
                <w:color w:val="auto"/>
                <w:sz w:val="24"/>
                <w:highlight w:val="none"/>
                <w:lang w:val="en-US" w:eastAsia="zh-CN"/>
              </w:rPr>
              <w:t>成交</w:t>
            </w:r>
            <w:r>
              <w:rPr>
                <w:rFonts w:hint="eastAsia" w:ascii="宋体" w:hAnsi="宋体" w:eastAsia="宋体" w:cs="宋体"/>
                <w:b/>
                <w:bCs w:val="0"/>
                <w:color w:val="auto"/>
                <w:sz w:val="24"/>
                <w:highlight w:val="none"/>
                <w:lang w:eastAsia="zh-CN"/>
              </w:rPr>
              <w:t>单位在</w:t>
            </w:r>
            <w:r>
              <w:rPr>
                <w:rFonts w:hint="eastAsia" w:ascii="宋体" w:hAnsi="宋体" w:eastAsia="宋体" w:cs="宋体"/>
                <w:b/>
                <w:bCs w:val="0"/>
                <w:color w:val="auto"/>
                <w:sz w:val="24"/>
                <w:highlight w:val="none"/>
                <w:lang w:val="en-US" w:eastAsia="zh-CN"/>
              </w:rPr>
              <w:t>成交</w:t>
            </w:r>
            <w:r>
              <w:rPr>
                <w:rFonts w:hint="eastAsia" w:ascii="宋体" w:hAnsi="宋体" w:eastAsia="宋体" w:cs="宋体"/>
                <w:b/>
                <w:bCs w:val="0"/>
                <w:color w:val="auto"/>
                <w:sz w:val="24"/>
                <w:highlight w:val="none"/>
                <w:lang w:eastAsia="zh-CN"/>
              </w:rPr>
              <w:t>后提供纸质</w:t>
            </w:r>
            <w:r>
              <w:rPr>
                <w:rFonts w:hint="eastAsia" w:ascii="宋体" w:hAnsi="宋体" w:eastAsia="宋体" w:cs="宋体"/>
                <w:b/>
                <w:bCs w:val="0"/>
                <w:color w:val="auto"/>
                <w:sz w:val="24"/>
                <w:highlight w:val="none"/>
                <w:lang w:val="en-US" w:eastAsia="zh-CN"/>
              </w:rPr>
              <w:t>响应</w:t>
            </w:r>
            <w:r>
              <w:rPr>
                <w:rFonts w:hint="eastAsia" w:ascii="宋体" w:hAnsi="宋体" w:eastAsia="宋体" w:cs="宋体"/>
                <w:b/>
                <w:bCs w:val="0"/>
                <w:color w:val="auto"/>
                <w:sz w:val="24"/>
                <w:highlight w:val="none"/>
                <w:lang w:eastAsia="zh-CN"/>
              </w:rPr>
              <w:t>文件一正</w:t>
            </w:r>
            <w:r>
              <w:rPr>
                <w:rFonts w:hint="eastAsia" w:ascii="宋体" w:hAnsi="宋体" w:eastAsia="宋体" w:cs="宋体"/>
                <w:b/>
                <w:bCs w:val="0"/>
                <w:color w:val="auto"/>
                <w:sz w:val="24"/>
                <w:highlight w:val="none"/>
                <w:lang w:val="en-US" w:eastAsia="zh-CN"/>
              </w:rPr>
              <w:t>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lang w:val="zh-CN" w:eastAsia="zh-CN"/>
              </w:rPr>
              <w:t>本项目代理服务费由</w:t>
            </w:r>
            <w:r>
              <w:rPr>
                <w:rFonts w:hint="eastAsia" w:ascii="宋体" w:hAnsi="宋体" w:cs="宋体"/>
                <w:b w:val="0"/>
                <w:bCs/>
                <w:color w:val="auto"/>
                <w:kern w:val="0"/>
                <w:sz w:val="24"/>
                <w:highlight w:val="none"/>
                <w:lang w:val="en-US" w:eastAsia="zh-CN"/>
              </w:rPr>
              <w:t>交易发起人</w:t>
            </w:r>
            <w:r>
              <w:rPr>
                <w:rFonts w:hint="eastAsia" w:ascii="宋体" w:hAnsi="宋体" w:eastAsia="宋体" w:cs="宋体"/>
                <w:b w:val="0"/>
                <w:bCs/>
                <w:color w:val="auto"/>
                <w:kern w:val="0"/>
                <w:sz w:val="24"/>
                <w:highlight w:val="none"/>
                <w:lang w:val="zh-CN" w:eastAsia="zh-CN"/>
              </w:rPr>
              <w:t>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履约保证金：</w:t>
            </w:r>
            <w:r>
              <w:rPr>
                <w:rFonts w:hint="eastAsia" w:ascii="宋体" w:hAnsi="宋体" w:cs="宋体"/>
                <w:b w:val="0"/>
                <w:bCs/>
                <w:color w:val="auto"/>
                <w:kern w:val="0"/>
                <w:sz w:val="24"/>
                <w:highlight w:val="none"/>
                <w:lang w:val="en-US" w:eastAsia="zh-CN"/>
              </w:rPr>
              <w:t>10000.00元整</w:t>
            </w:r>
            <w:r>
              <w:rPr>
                <w:rFonts w:hint="eastAsia" w:ascii="宋体" w:hAnsi="宋体" w:eastAsia="宋体" w:cs="宋体"/>
                <w:b w:val="0"/>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rPr>
              <w:t>本项目由</w:t>
            </w:r>
            <w:r>
              <w:rPr>
                <w:rFonts w:hint="eastAsia" w:ascii="宋体" w:hAnsi="宋体" w:eastAsia="宋体" w:cs="宋体"/>
                <w:b w:val="0"/>
                <w:bCs/>
                <w:color w:val="auto"/>
                <w:kern w:val="0"/>
                <w:sz w:val="24"/>
                <w:highlight w:val="none"/>
                <w:lang w:eastAsia="zh-CN"/>
              </w:rPr>
              <w:t>交易发起人</w:t>
            </w:r>
            <w:r>
              <w:rPr>
                <w:rFonts w:hint="eastAsia" w:ascii="宋体" w:hAnsi="宋体" w:eastAsia="宋体" w:cs="宋体"/>
                <w:b w:val="0"/>
                <w:bCs/>
                <w:color w:val="auto"/>
                <w:kern w:val="0"/>
                <w:sz w:val="24"/>
                <w:highlight w:val="none"/>
              </w:rPr>
              <w:t>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85"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eastAsia="zh-CN"/>
              </w:rPr>
              <w:t>代理机构异议</w:t>
            </w:r>
            <w:r>
              <w:rPr>
                <w:rFonts w:hint="eastAsia" w:ascii="宋体" w:hAnsi="宋体" w:eastAsia="宋体" w:cs="宋体"/>
                <w:color w:val="auto"/>
                <w:sz w:val="24"/>
                <w:highlight w:val="none"/>
                <w:u w:val="none"/>
              </w:rPr>
              <w:t>接收人：</w:t>
            </w:r>
            <w:r>
              <w:rPr>
                <w:rFonts w:hint="eastAsia" w:ascii="宋体" w:hAnsi="宋体" w:eastAsia="宋体" w:cs="宋体"/>
                <w:color w:val="auto"/>
                <w:sz w:val="24"/>
                <w:highlight w:val="none"/>
                <w:u w:val="single"/>
                <w:lang w:val="en-US" w:eastAsia="zh-CN"/>
              </w:rPr>
              <w:t>高华萍</w:t>
            </w:r>
            <w:r>
              <w:rPr>
                <w:rFonts w:hint="eastAsia" w:ascii="宋体" w:hAnsi="宋体" w:eastAsia="宋体" w:cs="宋体"/>
                <w:color w:val="auto"/>
                <w:sz w:val="24"/>
                <w:highlight w:val="none"/>
                <w:u w:val="none"/>
              </w:rPr>
              <w:t xml:space="preserve"> 联系方式：</w:t>
            </w:r>
            <w:r>
              <w:rPr>
                <w:rFonts w:hint="eastAsia" w:ascii="宋体" w:hAnsi="宋体" w:eastAsia="宋体" w:cs="宋体"/>
                <w:color w:val="auto"/>
                <w:sz w:val="24"/>
                <w:highlight w:val="none"/>
                <w:u w:val="single"/>
              </w:rPr>
              <w:t>0571-83881208</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地址：</w:t>
            </w:r>
            <w:r>
              <w:rPr>
                <w:rFonts w:hint="eastAsia" w:ascii="宋体" w:hAnsi="宋体" w:eastAsia="宋体" w:cs="宋体"/>
                <w:color w:val="auto"/>
                <w:sz w:val="24"/>
                <w:highlight w:val="none"/>
                <w:u w:val="single"/>
              </w:rPr>
              <w:t>杭州市萧山区金城路433号天汇园一幢A座5楼</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邮箱：</w:t>
            </w:r>
            <w:r>
              <w:rPr>
                <w:rFonts w:hint="eastAsia" w:ascii="宋体" w:hAnsi="宋体" w:eastAsia="宋体" w:cs="宋体"/>
                <w:color w:val="auto"/>
                <w:sz w:val="24"/>
                <w:highlight w:val="none"/>
                <w:u w:val="single"/>
              </w:rPr>
              <w:t>751200605@qq.com</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，须提交符合法规及</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要求的</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文件（参考附件</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），盖章扫描后发送，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的受理按答复主体划分以</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或</w:t>
            </w: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邮箱回复确认受理为准。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需求、评分办法及</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过程中有关现场考察或开标前答疑会事项由</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进行答复。</w:t>
            </w:r>
          </w:p>
          <w:p>
            <w:pPr>
              <w:pStyle w:val="36"/>
              <w:keepNext w:val="0"/>
              <w:keepLines w:val="0"/>
              <w:pageBreakBefore w:val="0"/>
              <w:widowControl w:val="0"/>
              <w:kinsoku/>
              <w:wordWrap/>
              <w:overflowPunct/>
              <w:topLinePunct w:val="0"/>
              <w:autoSpaceDE/>
              <w:autoSpaceDN/>
              <w:bidi w:val="0"/>
              <w:adjustRightInd w:val="0"/>
              <w:spacing w:line="240" w:lineRule="auto"/>
              <w:ind w:left="0" w:leftChars="0" w:hanging="4"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b/>
                <w:color w:val="auto"/>
                <w:sz w:val="24"/>
                <w:highlight w:val="none"/>
              </w:rPr>
              <w:t>本项目通用总则条款与前附表等专用特别规定有冲突之处，以专用条款（特别规定）为准</w:t>
            </w:r>
            <w:r>
              <w:rPr>
                <w:rFonts w:hint="eastAsia" w:ascii="宋体" w:hAnsi="宋体" w:eastAsia="宋体" w:cs="宋体"/>
                <w:b/>
                <w:color w:val="auto"/>
                <w:sz w:val="24"/>
                <w:highlight w:val="none"/>
                <w:lang w:eastAsia="zh-CN"/>
              </w:rPr>
              <w:t>。</w:t>
            </w:r>
          </w:p>
        </w:tc>
      </w:tr>
    </w:tbl>
    <w:p>
      <w:pPr>
        <w:snapToGrid w:val="0"/>
        <w:spacing w:line="360" w:lineRule="auto"/>
        <w:jc w:val="center"/>
        <w:rPr>
          <w:rFonts w:hint="eastAsia" w:ascii="宋体" w:hAnsi="宋体" w:eastAsia="宋体" w:cs="宋体"/>
          <w:b/>
          <w:color w:val="auto"/>
          <w:sz w:val="32"/>
          <w:szCs w:val="20"/>
          <w:highlight w:val="none"/>
        </w:rPr>
      </w:pPr>
    </w:p>
    <w:bookmarkEnd w:id="9"/>
    <w:p>
      <w:pPr>
        <w:rPr>
          <w:rFonts w:hint="eastAsia" w:ascii="宋体" w:hAnsi="宋体" w:eastAsia="宋体" w:cs="宋体"/>
          <w:b/>
          <w:color w:val="auto"/>
          <w:sz w:val="32"/>
          <w:szCs w:val="20"/>
          <w:highlight w:val="none"/>
        </w:rPr>
      </w:pPr>
      <w:bookmarkStart w:id="12" w:name="第三部分"/>
      <w:bookmarkStart w:id="13" w:name="_Toc164416483"/>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keepNext w:val="0"/>
        <w:keepLines w:val="0"/>
        <w:pageBreakBefore w:val="0"/>
        <w:kinsoku/>
        <w:wordWrap/>
        <w:overflowPunct/>
        <w:topLinePunct w:val="0"/>
        <w:bidi w:val="0"/>
        <w:snapToGrid w:val="0"/>
        <w:spacing w:line="460" w:lineRule="exact"/>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keepNext w:val="0"/>
        <w:keepLines w:val="0"/>
        <w:pageBreakBefore w:val="0"/>
        <w:kinsoku/>
        <w:wordWrap/>
        <w:overflowPunct/>
        <w:topLinePunct w:val="0"/>
        <w:bidi w:val="0"/>
        <w:snapToGrid w:val="0"/>
        <w:spacing w:line="46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适用于该项目的</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、资格审查及信用信息查询、评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、定标、合同、验收等行为（法律、法规另有规定的，从其规定）。</w:t>
      </w:r>
    </w:p>
    <w:p>
      <w:pPr>
        <w:keepNext w:val="0"/>
        <w:keepLines w:val="0"/>
        <w:pageBreakBefore w:val="0"/>
        <w:kinsoku/>
        <w:wordWrap/>
        <w:overflowPunct/>
        <w:topLinePunct w:val="0"/>
        <w:bidi w:val="0"/>
        <w:adjustRightInd/>
        <w:spacing w:line="460" w:lineRule="exac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”系指响应招标、参加投标竞争的法人、其他组织或者自然人。</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响应人电子签名指响应人电子公章</w:t>
      </w:r>
      <w:r>
        <w:rPr>
          <w:rFonts w:hint="eastAsia" w:ascii="宋体" w:hAnsi="宋体" w:eastAsia="宋体" w:cs="宋体"/>
          <w:color w:val="auto"/>
          <w:sz w:val="24"/>
          <w:highlight w:val="none"/>
        </w:rPr>
        <w:t>；“公章”系指单位法定名称章。因特殊原因需要使用冠以法定名称的业务专用章的，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时须提供《业务专用章使用说明函》（附件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6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活动所依托的政府采购云平台（https://www.zcygov.cn/）。</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w:t>
      </w:r>
    </w:p>
    <w:p>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.1响应人</w:t>
      </w:r>
      <w:r>
        <w:rPr>
          <w:rFonts w:hint="eastAsia" w:ascii="宋体" w:hAnsi="宋体" w:eastAsia="宋体" w:cs="宋体"/>
          <w:color w:val="auto"/>
          <w:kern w:val="0"/>
          <w:sz w:val="24"/>
          <w:highlight w:val="none"/>
          <w:lang w:val="zh-CN" w:eastAsia="zh-CN"/>
        </w:rPr>
        <w:t>异议</w:t>
      </w:r>
    </w:p>
    <w:p>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活动事项有疑问的，可以提出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.2响应人</w:t>
      </w:r>
      <w:r>
        <w:rPr>
          <w:rFonts w:hint="eastAsia" w:ascii="宋体" w:hAnsi="宋体" w:eastAsia="宋体" w:cs="宋体"/>
          <w:color w:val="auto"/>
          <w:kern w:val="0"/>
          <w:sz w:val="24"/>
          <w:highlight w:val="none"/>
          <w:lang w:val="zh-CN" w:eastAsia="zh-CN"/>
        </w:rPr>
        <w:t>异议</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应当是参与所质</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。潜在</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已依法获取其可</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的，可以对该文件提出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过程和</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使自己的权益受到损害的，可以在知道或者应知其权益受到损害之日起</w:t>
      </w:r>
      <w:r>
        <w:rPr>
          <w:rFonts w:hint="eastAsia" w:ascii="宋体" w:hAnsi="宋体" w:eastAsia="宋体" w:cs="宋体"/>
          <w:color w:val="auto"/>
          <w:sz w:val="24"/>
          <w:highlight w:val="none"/>
          <w:lang w:val="en-US" w:eastAsia="zh-CN"/>
        </w:rPr>
        <w:t>3日内</w:t>
      </w:r>
      <w:r>
        <w:rPr>
          <w:rFonts w:hint="eastAsia" w:ascii="宋体" w:hAnsi="宋体" w:eastAsia="宋体" w:cs="宋体"/>
          <w:color w:val="auto"/>
          <w:sz w:val="24"/>
          <w:highlight w:val="none"/>
        </w:rPr>
        <w:t>，以书面形式向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，否则，</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不予受理：</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过程提出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期限为各</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程序环节结束之日起计算。对同一</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须一次性提出。</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函应当包括下列内容：</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.2.3.1响应人的姓名或者名称、地址、邮编、联系人及联系电话；</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.2.3.2</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项目的名称、编号；</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.2.3.3具体、明确的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事项和与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事项相关的请求；</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.2.3.4事实依据；</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.2.3.5必要的法律依据；</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.2.3.6提出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的日期。</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提交的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函需一式三份。</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为自然人的，应当由本人签字；</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为法人或者其他组织的，应当由法定代表人、主要负责人，或者其授权代表签字或者盖章，并加盖公章。</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函范本及制作说明详见附件</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.2.4</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或者</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应当在收到</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的书面</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后</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日内作出答复，并以书面形式通知</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和其他与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处理结果有利害关系的</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当事人，但答复的内容不得涉及商业秘密。</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.2.5询问或者</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事项可能影响</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结果的，</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应当暂停签订合同，已经签订合同的，应当中止履行合同。</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.3响应人投诉</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.3.1</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对</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的答复不满意或者</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未在规定的时间内作出答复的，可以在答复期满后</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lang w:val="zh-CN"/>
        </w:rPr>
        <w:t>日内向</w:t>
      </w:r>
      <w:r>
        <w:rPr>
          <w:rFonts w:hint="eastAsia" w:ascii="宋体" w:hAnsi="宋体" w:eastAsia="宋体" w:cs="宋体"/>
          <w:color w:val="auto"/>
          <w:kern w:val="0"/>
          <w:sz w:val="24"/>
          <w:highlight w:val="none"/>
          <w:lang w:val="zh-CN" w:eastAsia="zh-CN"/>
        </w:rPr>
        <w:t>基层</w:t>
      </w:r>
      <w:r>
        <w:rPr>
          <w:rFonts w:hint="eastAsia" w:ascii="宋体" w:hAnsi="宋体" w:eastAsia="宋体" w:cs="宋体"/>
          <w:color w:val="auto"/>
          <w:kern w:val="0"/>
          <w:sz w:val="24"/>
          <w:highlight w:val="none"/>
          <w:lang w:val="zh-CN"/>
        </w:rPr>
        <w:t>监督</w:t>
      </w:r>
      <w:r>
        <w:rPr>
          <w:rFonts w:hint="eastAsia" w:ascii="宋体" w:hAnsi="宋体" w:eastAsia="宋体" w:cs="宋体"/>
          <w:color w:val="auto"/>
          <w:kern w:val="0"/>
          <w:sz w:val="24"/>
          <w:highlight w:val="none"/>
          <w:lang w:val="zh-CN" w:eastAsia="zh-CN"/>
        </w:rPr>
        <w:t>机构</w:t>
      </w:r>
      <w:r>
        <w:rPr>
          <w:rFonts w:hint="eastAsia" w:ascii="宋体" w:hAnsi="宋体" w:eastAsia="宋体" w:cs="宋体"/>
          <w:color w:val="auto"/>
          <w:kern w:val="0"/>
          <w:sz w:val="24"/>
          <w:highlight w:val="none"/>
          <w:lang w:val="zh-CN"/>
        </w:rPr>
        <w:t>部门提出投诉。</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.3.2</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投诉的事项不得超出已</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事项的范围，基于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答复内容提出的投诉事项除外。</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.3.3</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投诉应当有明确的请求和必要的证明材料。</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以联合体形式参加</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活动的，其投诉应当由组成联合体的所有</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共同提出。</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w:t>
      </w:r>
    </w:p>
    <w:p>
      <w:pPr>
        <w:pStyle w:val="136"/>
        <w:keepNext w:val="0"/>
        <w:keepLines w:val="0"/>
        <w:pageBreakBefore w:val="0"/>
        <w:kinsoku/>
        <w:wordWrap/>
        <w:overflowPunct/>
        <w:topLinePunct w:val="0"/>
        <w:bidi w:val="0"/>
        <w:snapToGrid w:val="0"/>
        <w:spacing w:before="0" w:line="460" w:lineRule="exact"/>
        <w:ind w:firstLine="360"/>
        <w:textAlignment w:val="auto"/>
        <w:rPr>
          <w:rFonts w:hint="eastAsia" w:ascii="宋体" w:hAnsi="宋体" w:eastAsia="宋体" w:cs="宋体"/>
          <w:color w:val="auto"/>
          <w:sz w:val="18"/>
          <w:szCs w:val="18"/>
          <w:highlight w:val="none"/>
        </w:rPr>
      </w:pPr>
    </w:p>
    <w:p>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w:t>
      </w:r>
      <w:r>
        <w:rPr>
          <w:rFonts w:hint="eastAsia" w:ascii="宋体" w:hAnsi="宋体" w:eastAsia="宋体" w:cs="宋体"/>
          <w:b/>
          <w:color w:val="auto"/>
          <w:sz w:val="32"/>
          <w:szCs w:val="20"/>
          <w:highlight w:val="none"/>
          <w:lang w:eastAsia="zh-CN"/>
        </w:rPr>
        <w:t>公开竞争文件</w:t>
      </w:r>
      <w:r>
        <w:rPr>
          <w:rFonts w:hint="eastAsia" w:ascii="宋体" w:hAnsi="宋体" w:eastAsia="宋体" w:cs="宋体"/>
          <w:b/>
          <w:color w:val="auto"/>
          <w:sz w:val="32"/>
          <w:szCs w:val="20"/>
          <w:highlight w:val="none"/>
        </w:rPr>
        <w:t>的构成、澄清、修改</w:t>
      </w:r>
    </w:p>
    <w:p>
      <w:pPr>
        <w:pStyle w:val="36"/>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的构成</w:t>
      </w:r>
    </w:p>
    <w:p>
      <w:pPr>
        <w:pStyle w:val="36"/>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公开竞争文件</w:t>
      </w:r>
      <w:r>
        <w:rPr>
          <w:rFonts w:hint="eastAsia" w:ascii="宋体" w:hAnsi="宋体" w:eastAsia="宋体" w:cs="宋体"/>
          <w:color w:val="auto"/>
          <w:sz w:val="24"/>
          <w:szCs w:val="24"/>
          <w:highlight w:val="none"/>
        </w:rPr>
        <w:t>包括下列文件及附件：</w:t>
      </w:r>
    </w:p>
    <w:p>
      <w:pPr>
        <w:pStyle w:val="36"/>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交易公告</w:t>
      </w:r>
      <w:r>
        <w:rPr>
          <w:rFonts w:hint="eastAsia" w:ascii="宋体" w:hAnsi="宋体" w:eastAsia="宋体" w:cs="宋体"/>
          <w:color w:val="auto"/>
          <w:sz w:val="24"/>
          <w:szCs w:val="24"/>
          <w:highlight w:val="none"/>
        </w:rPr>
        <w:t>；</w:t>
      </w:r>
    </w:p>
    <w:p>
      <w:pPr>
        <w:pStyle w:val="36"/>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w:t>
      </w:r>
    </w:p>
    <w:p>
      <w:pPr>
        <w:pStyle w:val="36"/>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需求；</w:t>
      </w:r>
    </w:p>
    <w:p>
      <w:pPr>
        <w:pStyle w:val="36"/>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交易办法</w:t>
      </w:r>
      <w:r>
        <w:rPr>
          <w:rFonts w:hint="eastAsia" w:ascii="宋体" w:hAnsi="宋体" w:eastAsia="宋体" w:cs="宋体"/>
          <w:color w:val="auto"/>
          <w:sz w:val="24"/>
          <w:szCs w:val="24"/>
          <w:highlight w:val="none"/>
        </w:rPr>
        <w:t>；</w:t>
      </w:r>
    </w:p>
    <w:p>
      <w:pPr>
        <w:pStyle w:val="36"/>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.1.5拟签订的合同文本；</w:t>
      </w:r>
    </w:p>
    <w:p>
      <w:pPr>
        <w:pStyle w:val="36"/>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.1.6</w:t>
      </w:r>
      <w:r>
        <w:rPr>
          <w:rFonts w:hint="eastAsia" w:ascii="宋体" w:hAnsi="宋体" w:eastAsia="宋体" w:cs="宋体"/>
          <w:color w:val="auto"/>
          <w:sz w:val="24"/>
          <w:szCs w:val="24"/>
          <w:highlight w:val="none"/>
        </w:rPr>
        <w:t>应提交的有关格式范例。</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.2与本项目有关的</w:t>
      </w:r>
      <w:r>
        <w:rPr>
          <w:rFonts w:hint="eastAsia" w:ascii="宋体" w:hAnsi="宋体" w:eastAsia="宋体" w:cs="宋体"/>
          <w:bCs/>
          <w:color w:val="auto"/>
          <w:sz w:val="24"/>
          <w:highlight w:val="none"/>
        </w:rPr>
        <w:t>澄清或者修改的内容为</w:t>
      </w:r>
      <w:r>
        <w:rPr>
          <w:rFonts w:hint="eastAsia" w:ascii="宋体" w:hAnsi="宋体" w:eastAsia="宋体" w:cs="宋体"/>
          <w:bCs/>
          <w:color w:val="auto"/>
          <w:sz w:val="24"/>
          <w:highlight w:val="none"/>
          <w:lang w:eastAsia="zh-CN"/>
        </w:rPr>
        <w:t>公开竞争文件</w:t>
      </w:r>
      <w:r>
        <w:rPr>
          <w:rFonts w:hint="eastAsia" w:ascii="宋体" w:hAnsi="宋体" w:eastAsia="宋体" w:cs="宋体"/>
          <w:bCs/>
          <w:color w:val="auto"/>
          <w:sz w:val="24"/>
          <w:highlight w:val="none"/>
        </w:rPr>
        <w:t>的组成部分</w:t>
      </w:r>
      <w:r>
        <w:rPr>
          <w:rFonts w:hint="eastAsia" w:ascii="宋体" w:hAnsi="宋体" w:eastAsia="宋体" w:cs="宋体"/>
          <w:color w:val="auto"/>
          <w:sz w:val="24"/>
          <w:highlight w:val="none"/>
        </w:rPr>
        <w:t>。</w:t>
      </w:r>
    </w:p>
    <w:p>
      <w:pPr>
        <w:pStyle w:val="36"/>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的澄清、修改</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.1已获取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，若有问题需要澄清，应于</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截止时间前，以书面形式向</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提出。</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.2 </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进行澄清或修改的，将同时通过电子交易平台通知已获取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。依法应当公告的，将按规定公告，同时视情况延长</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截止时间和</w:t>
      </w:r>
      <w:r>
        <w:rPr>
          <w:rFonts w:hint="eastAsia" w:ascii="宋体" w:hAnsi="宋体" w:eastAsia="宋体" w:cs="宋体"/>
          <w:color w:val="auto"/>
          <w:highlight w:val="none"/>
          <w:lang w:eastAsia="zh-CN"/>
        </w:rPr>
        <w:t>交易时间</w:t>
      </w:r>
      <w:r>
        <w:rPr>
          <w:rFonts w:hint="eastAsia" w:ascii="宋体" w:hAnsi="宋体" w:eastAsia="宋体" w:cs="宋体"/>
          <w:color w:val="auto"/>
          <w:highlight w:val="none"/>
        </w:rPr>
        <w:t>。该澄清或者修改的内容为</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的组成部分。</w:t>
      </w:r>
    </w:p>
    <w:p>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rPr>
      </w:pPr>
    </w:p>
    <w:p>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lang w:eastAsia="zh-CN"/>
        </w:rPr>
      </w:pPr>
      <w:r>
        <w:rPr>
          <w:rFonts w:hint="eastAsia" w:ascii="宋体" w:hAnsi="宋体" w:eastAsia="宋体" w:cs="宋体"/>
          <w:b/>
          <w:color w:val="auto"/>
          <w:sz w:val="30"/>
          <w:szCs w:val="20"/>
          <w:highlight w:val="none"/>
        </w:rPr>
        <w:t>三、</w:t>
      </w:r>
      <w:r>
        <w:rPr>
          <w:rFonts w:hint="eastAsia" w:ascii="宋体" w:hAnsi="宋体" w:eastAsia="宋体" w:cs="宋体"/>
          <w:b/>
          <w:color w:val="auto"/>
          <w:sz w:val="30"/>
          <w:szCs w:val="20"/>
          <w:highlight w:val="none"/>
          <w:lang w:val="en-US" w:eastAsia="zh-CN"/>
        </w:rPr>
        <w:t>响应</w:t>
      </w:r>
    </w:p>
    <w:p>
      <w:pPr>
        <w:pStyle w:val="36"/>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的获取</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w:t>
      </w:r>
      <w:r>
        <w:rPr>
          <w:rFonts w:hint="eastAsia" w:ascii="宋体" w:hAnsi="宋体" w:eastAsia="宋体" w:cs="宋体"/>
          <w:snapToGrid w:val="0"/>
          <w:color w:val="auto"/>
          <w:kern w:val="28"/>
          <w:sz w:val="24"/>
          <w:highlight w:val="none"/>
          <w:lang w:eastAsia="zh-CN"/>
        </w:rPr>
        <w:t>交易公告</w:t>
      </w:r>
      <w:r>
        <w:rPr>
          <w:rFonts w:hint="eastAsia" w:ascii="宋体" w:hAnsi="宋体" w:eastAsia="宋体" w:cs="宋体"/>
          <w:snapToGrid w:val="0"/>
          <w:color w:val="auto"/>
          <w:kern w:val="28"/>
          <w:sz w:val="24"/>
          <w:highlight w:val="none"/>
        </w:rPr>
        <w:t>中获取</w:t>
      </w:r>
      <w:r>
        <w:rPr>
          <w:rFonts w:hint="eastAsia" w:ascii="宋体" w:hAnsi="宋体" w:eastAsia="宋体" w:cs="宋体"/>
          <w:snapToGrid w:val="0"/>
          <w:color w:val="auto"/>
          <w:kern w:val="28"/>
          <w:sz w:val="24"/>
          <w:highlight w:val="none"/>
          <w:lang w:eastAsia="zh-CN"/>
        </w:rPr>
        <w:t>公开竞争文件</w:t>
      </w:r>
      <w:r>
        <w:rPr>
          <w:rFonts w:hint="eastAsia" w:ascii="宋体" w:hAnsi="宋体" w:eastAsia="宋体" w:cs="宋体"/>
          <w:snapToGrid w:val="0"/>
          <w:color w:val="auto"/>
          <w:kern w:val="28"/>
          <w:sz w:val="24"/>
          <w:highlight w:val="none"/>
        </w:rPr>
        <w:t>的时间期限、地点、方式及</w:t>
      </w:r>
      <w:r>
        <w:rPr>
          <w:rFonts w:hint="eastAsia" w:ascii="宋体" w:hAnsi="宋体" w:eastAsia="宋体" w:cs="宋体"/>
          <w:snapToGrid w:val="0"/>
          <w:color w:val="auto"/>
          <w:kern w:val="28"/>
          <w:sz w:val="24"/>
          <w:highlight w:val="none"/>
          <w:lang w:eastAsia="zh-CN"/>
        </w:rPr>
        <w:t>公开竞争文件</w:t>
      </w:r>
      <w:r>
        <w:rPr>
          <w:rFonts w:hint="eastAsia" w:ascii="宋体" w:hAnsi="宋体" w:eastAsia="宋体" w:cs="宋体"/>
          <w:snapToGrid w:val="0"/>
          <w:color w:val="auto"/>
          <w:kern w:val="28"/>
          <w:sz w:val="24"/>
          <w:highlight w:val="none"/>
        </w:rPr>
        <w:t>售价。</w:t>
      </w:r>
    </w:p>
    <w:p>
      <w:pPr>
        <w:pStyle w:val="36"/>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w:t>
      </w:r>
      <w:r>
        <w:rPr>
          <w:rFonts w:hint="eastAsia" w:ascii="宋体" w:hAnsi="宋体" w:eastAsia="宋体" w:cs="宋体"/>
          <w:b/>
          <w:color w:val="auto"/>
          <w:sz w:val="24"/>
          <w:szCs w:val="24"/>
          <w:highlight w:val="none"/>
        </w:rPr>
        <w:t>前答疑会或现场考察</w:t>
      </w:r>
    </w:p>
    <w:p>
      <w:pPr>
        <w:pStyle w:val="36"/>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组织潜在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现场考察或者召开</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前答疑会的，潜在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按第二部分</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须知前附表的规定参加现场考察或者开标前答疑会。</w:t>
      </w:r>
    </w:p>
    <w:p>
      <w:pPr>
        <w:pStyle w:val="36"/>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kern w:val="28"/>
          <w:sz w:val="24"/>
          <w:szCs w:val="24"/>
          <w:highlight w:val="none"/>
          <w:lang w:val="en-US" w:eastAsia="zh-CN"/>
        </w:rPr>
        <w:t>8</w:t>
      </w:r>
      <w:r>
        <w:rPr>
          <w:rFonts w:hint="eastAsia" w:ascii="宋体" w:hAnsi="宋体" w:eastAsia="宋体" w:cs="宋体"/>
          <w:b/>
          <w:color w:val="auto"/>
          <w:kern w:val="28"/>
          <w:sz w:val="24"/>
          <w:szCs w:val="24"/>
          <w:highlight w:val="none"/>
        </w:rPr>
        <w:t>.</w:t>
      </w:r>
      <w:r>
        <w:rPr>
          <w:rFonts w:hint="eastAsia" w:ascii="宋体" w:hAnsi="宋体" w:eastAsia="宋体" w:cs="宋体"/>
          <w:b/>
          <w:color w:val="auto"/>
          <w:kern w:val="28"/>
          <w:sz w:val="24"/>
          <w:szCs w:val="24"/>
          <w:highlight w:val="none"/>
          <w:lang w:eastAsia="zh-CN"/>
        </w:rPr>
        <w:t>交易保证金</w:t>
      </w:r>
    </w:p>
    <w:p>
      <w:pPr>
        <w:pStyle w:val="19"/>
        <w:keepNext w:val="0"/>
        <w:keepLines w:val="0"/>
        <w:pageBreakBefore w:val="0"/>
        <w:kinsoku/>
        <w:wordWrap/>
        <w:overflowPunct/>
        <w:topLinePunct w:val="0"/>
        <w:bidi w:val="0"/>
        <w:spacing w:line="46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w:t>
      </w:r>
      <w:r>
        <w:rPr>
          <w:rFonts w:hint="eastAsia" w:ascii="宋体" w:hAnsi="宋体" w:eastAsia="宋体" w:cs="宋体"/>
          <w:color w:val="auto"/>
          <w:sz w:val="24"/>
          <w:highlight w:val="none"/>
          <w:lang w:eastAsia="zh-CN"/>
        </w:rPr>
        <w:t>交易保证金</w:t>
      </w:r>
      <w:r>
        <w:rPr>
          <w:rFonts w:hint="eastAsia" w:ascii="宋体" w:hAnsi="宋体" w:eastAsia="宋体" w:cs="宋体"/>
          <w:color w:val="auto"/>
          <w:sz w:val="24"/>
          <w:highlight w:val="none"/>
        </w:rPr>
        <w:t>。</w:t>
      </w:r>
    </w:p>
    <w:p>
      <w:pPr>
        <w:pStyle w:val="36"/>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的语言</w:t>
      </w:r>
    </w:p>
    <w:p>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有关的来往通知、函件和文件均应使用中文。</w:t>
      </w:r>
    </w:p>
    <w:p>
      <w:pPr>
        <w:pStyle w:val="36"/>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p>
    <w:p>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.1资格文件</w:t>
      </w:r>
      <w:r>
        <w:rPr>
          <w:rFonts w:hint="eastAsia" w:ascii="宋体" w:hAnsi="宋体" w:cs="宋体"/>
          <w:b/>
          <w:bCs/>
          <w:color w:val="auto"/>
          <w:sz w:val="24"/>
          <w:highlight w:val="none"/>
          <w:lang w:eastAsia="zh-CN"/>
        </w:rPr>
        <w:t>：</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.1.2本项目的特定资格要求。</w:t>
      </w:r>
    </w:p>
    <w:p>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.2授权委托书或法定代表人（单位负责人、自然人本人）身份证明；</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.4符合性审查资料；</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响应人廉洁自律承诺书。</w:t>
      </w:r>
    </w:p>
    <w:p>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lang w:val="en-US" w:eastAsia="zh-CN"/>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val="en-US" w:eastAsia="zh-CN"/>
        </w:rPr>
        <w:t>。</w:t>
      </w:r>
    </w:p>
    <w:p>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提供虚假材料投标的，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pStyle w:val="136"/>
        <w:keepNext w:val="0"/>
        <w:keepLines w:val="0"/>
        <w:pageBreakBefore w:val="0"/>
        <w:kinsoku/>
        <w:wordWrap/>
        <w:overflowPunct/>
        <w:topLinePunct w:val="0"/>
        <w:bidi w:val="0"/>
        <w:snapToGrid w:val="0"/>
        <w:spacing w:before="0" w:line="460" w:lineRule="exact"/>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的编制</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.2响应人进行电子投标应安装客户端软件—“政采云电子交易客户端”，并按照公开竞争文件和电子交易平台的要求编制并加密响应文件。响应人未按规定加密的响应文件，电子交易平台将拒收并提示。</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snapToGri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的签署、盖章</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按照</w:t>
      </w:r>
      <w:r>
        <w:rPr>
          <w:rFonts w:hint="eastAsia" w:ascii="宋体" w:hAnsi="宋体" w:eastAsia="宋体" w:cs="宋体"/>
          <w:color w:val="auto"/>
          <w:szCs w:val="24"/>
          <w:highlight w:val="none"/>
          <w:lang w:eastAsia="zh-CN"/>
        </w:rPr>
        <w:t>公开竞争文件</w:t>
      </w:r>
      <w:r>
        <w:rPr>
          <w:rFonts w:hint="eastAsia" w:ascii="宋体" w:hAnsi="宋体" w:eastAsia="宋体" w:cs="宋体"/>
          <w:color w:val="auto"/>
          <w:szCs w:val="24"/>
          <w:highlight w:val="none"/>
        </w:rPr>
        <w:t>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响应人</w:t>
      </w:r>
      <w:r>
        <w:rPr>
          <w:rFonts w:hint="eastAsia" w:ascii="宋体" w:hAnsi="宋体" w:eastAsia="宋体" w:cs="宋体"/>
          <w:b/>
          <w:color w:val="auto"/>
          <w:highlight w:val="none"/>
        </w:rPr>
        <w:t>的</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未按照</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要求签署、盖章的，其</w:t>
      </w:r>
      <w:r>
        <w:rPr>
          <w:rFonts w:hint="eastAsia" w:ascii="宋体" w:hAnsi="宋体" w:eastAsia="宋体" w:cs="宋体"/>
          <w:b/>
          <w:color w:val="auto"/>
          <w:highlight w:val="none"/>
          <w:lang w:eastAsia="zh-CN"/>
        </w:rPr>
        <w:t>交易无效</w:t>
      </w:r>
      <w:r>
        <w:rPr>
          <w:rFonts w:hint="eastAsia" w:ascii="宋体" w:hAnsi="宋体" w:eastAsia="宋体" w:cs="宋体"/>
          <w:color w:val="auto"/>
          <w:szCs w:val="24"/>
          <w:highlight w:val="none"/>
        </w:rPr>
        <w:t>。</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.2为确保网上操作合法、有效和安全，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应当在</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截止时间前完成在“政府采购云平台”的身份认证，确保在电子投标过程中能够对相关数据电文进行加密和使用电子签名。</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签署、盖章的要求适用于电子签名。</w:t>
      </w:r>
    </w:p>
    <w:p>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3</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的提交、补充、修改、撤回</w:t>
      </w:r>
    </w:p>
    <w:p>
      <w:pPr>
        <w:pStyle w:val="136"/>
        <w:keepNext w:val="0"/>
        <w:keepLines w:val="0"/>
        <w:pageBreakBefore w:val="0"/>
        <w:kinsoku/>
        <w:wordWrap/>
        <w:overflowPunct/>
        <w:topLinePunct w:val="0"/>
        <w:bidi w:val="0"/>
        <w:spacing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应当在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截止时间前完成</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的传输递交，并可以补充、修改或者撤回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。补充或者修改</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的，应当先行撤回原文件，补充、修改后重新传输递交。投标截止时间前未完成传输的，视为撤回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截止时间后递交的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，电子交易平台将拒收。</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.2电子交易平台收到</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，将妥善保存并即时向</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发出确认回执通知。在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截止时间前，除</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外，任何单位和个人不得解密或提取</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可以视情况延长</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提交的截止时间。在上述情况下，</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与</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以前在投标截止期方面的全部权利、责任和义务，将适用于延长至新的投标截止期。</w:t>
      </w:r>
    </w:p>
    <w:p>
      <w:pPr>
        <w:pStyle w:val="36"/>
        <w:keepNext w:val="0"/>
        <w:keepLines w:val="0"/>
        <w:pageBreakBefore w:val="0"/>
        <w:numPr>
          <w:ilvl w:val="0"/>
          <w:numId w:val="1"/>
        </w:numPr>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w:t>
      </w:r>
      <w:r>
        <w:rPr>
          <w:rFonts w:hint="eastAsia" w:ascii="宋体" w:hAnsi="宋体" w:eastAsia="宋体" w:cs="宋体"/>
          <w:b/>
          <w:color w:val="auto"/>
          <w:sz w:val="24"/>
          <w:szCs w:val="24"/>
          <w:highlight w:val="none"/>
          <w:lang w:eastAsia="zh-CN"/>
        </w:rPr>
        <w:t>响应文件</w:t>
      </w:r>
    </w:p>
    <w:p>
      <w:pPr>
        <w:pStyle w:val="36"/>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lang w:val="en-US" w:eastAsia="zh-CN"/>
        </w:rPr>
        <w:t>不收取备份响应文件。</w:t>
      </w:r>
    </w:p>
    <w:p>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的无效处理</w:t>
      </w:r>
    </w:p>
    <w:p>
      <w:pPr>
        <w:pStyle w:val="27"/>
        <w:keepNext w:val="0"/>
        <w:keepLines w:val="0"/>
        <w:pageBreakBefore w:val="0"/>
        <w:kinsoku/>
        <w:wordWrap/>
        <w:overflowPunct/>
        <w:topLinePunct w:val="0"/>
        <w:bidi w:val="0"/>
        <w:spacing w:line="460" w:lineRule="exact"/>
        <w:ind w:left="0" w:leftChars="0"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公开竞争文件</w:t>
      </w:r>
      <w:r>
        <w:rPr>
          <w:rFonts w:hint="eastAsia" w:ascii="宋体" w:hAnsi="宋体" w:eastAsia="宋体" w:cs="宋体"/>
          <w:color w:val="auto"/>
          <w:szCs w:val="21"/>
          <w:highlight w:val="none"/>
        </w:rPr>
        <w:t>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6</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交易有效期</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eastAsia="zh-CN"/>
        </w:rPr>
        <w:t>交易有效期</w:t>
      </w:r>
      <w:r>
        <w:rPr>
          <w:rFonts w:hint="eastAsia" w:ascii="宋体" w:hAnsi="宋体" w:eastAsia="宋体" w:cs="宋体"/>
          <w:color w:val="auto"/>
          <w:sz w:val="24"/>
          <w:szCs w:val="20"/>
          <w:highlight w:val="none"/>
        </w:rPr>
        <w:t>为从提交</w:t>
      </w:r>
      <w:r>
        <w:rPr>
          <w:rFonts w:hint="eastAsia" w:ascii="宋体" w:hAnsi="宋体" w:eastAsia="宋体" w:cs="宋体"/>
          <w:color w:val="auto"/>
          <w:sz w:val="24"/>
          <w:szCs w:val="20"/>
          <w:highlight w:val="none"/>
          <w:lang w:eastAsia="zh-CN"/>
        </w:rPr>
        <w:t>响应文件</w:t>
      </w:r>
      <w:r>
        <w:rPr>
          <w:rFonts w:hint="eastAsia" w:ascii="宋体" w:hAnsi="宋体" w:eastAsia="宋体" w:cs="宋体"/>
          <w:color w:val="auto"/>
          <w:sz w:val="24"/>
          <w:szCs w:val="20"/>
          <w:highlight w:val="none"/>
        </w:rPr>
        <w:t>的截止之日起90天。▲</w:t>
      </w:r>
      <w:r>
        <w:rPr>
          <w:rFonts w:hint="eastAsia" w:ascii="宋体" w:hAnsi="宋体" w:eastAsia="宋体" w:cs="宋体"/>
          <w:b/>
          <w:color w:val="auto"/>
          <w:sz w:val="24"/>
          <w:szCs w:val="20"/>
          <w:highlight w:val="none"/>
          <w:lang w:eastAsia="zh-CN"/>
        </w:rPr>
        <w:t>响应人</w:t>
      </w:r>
      <w:r>
        <w:rPr>
          <w:rFonts w:hint="eastAsia" w:ascii="宋体" w:hAnsi="宋体" w:eastAsia="宋体" w:cs="宋体"/>
          <w:b/>
          <w:color w:val="auto"/>
          <w:sz w:val="24"/>
          <w:szCs w:val="20"/>
          <w:highlight w:val="none"/>
        </w:rPr>
        <w:t>的</w:t>
      </w:r>
      <w:r>
        <w:rPr>
          <w:rFonts w:hint="eastAsia" w:ascii="宋体" w:hAnsi="宋体" w:eastAsia="宋体" w:cs="宋体"/>
          <w:b/>
          <w:color w:val="auto"/>
          <w:sz w:val="24"/>
          <w:szCs w:val="20"/>
          <w:highlight w:val="none"/>
          <w:lang w:eastAsia="zh-CN"/>
        </w:rPr>
        <w:t>响应文件</w:t>
      </w:r>
      <w:r>
        <w:rPr>
          <w:rFonts w:hint="eastAsia" w:ascii="宋体" w:hAnsi="宋体" w:eastAsia="宋体" w:cs="宋体"/>
          <w:b/>
          <w:color w:val="auto"/>
          <w:sz w:val="24"/>
          <w:szCs w:val="20"/>
          <w:highlight w:val="none"/>
        </w:rPr>
        <w:t>中承</w:t>
      </w:r>
      <w:r>
        <w:rPr>
          <w:rFonts w:hint="eastAsia" w:ascii="宋体" w:hAnsi="宋体" w:eastAsia="宋体" w:cs="宋体"/>
          <w:b/>
          <w:color w:val="auto"/>
          <w:sz w:val="24"/>
          <w:szCs w:val="21"/>
          <w:highlight w:val="none"/>
        </w:rPr>
        <w:t>诺的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少于</w:t>
      </w:r>
      <w:r>
        <w:rPr>
          <w:rFonts w:hint="eastAsia" w:ascii="宋体" w:hAnsi="宋体" w:eastAsia="宋体" w:cs="宋体"/>
          <w:b/>
          <w:color w:val="auto"/>
          <w:sz w:val="24"/>
          <w:szCs w:val="21"/>
          <w:highlight w:val="none"/>
          <w:lang w:eastAsia="zh-CN"/>
        </w:rPr>
        <w:t>公开竞争文件</w:t>
      </w:r>
      <w:r>
        <w:rPr>
          <w:rFonts w:hint="eastAsia" w:ascii="宋体" w:hAnsi="宋体" w:eastAsia="宋体" w:cs="宋体"/>
          <w:b/>
          <w:color w:val="auto"/>
          <w:sz w:val="24"/>
          <w:szCs w:val="21"/>
          <w:highlight w:val="none"/>
        </w:rPr>
        <w:t>中载明的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的，</w:t>
      </w:r>
      <w:r>
        <w:rPr>
          <w:rFonts w:hint="eastAsia" w:ascii="宋体" w:hAnsi="宋体" w:eastAsia="宋体" w:cs="宋体"/>
          <w:b/>
          <w:color w:val="auto"/>
          <w:sz w:val="24"/>
          <w:szCs w:val="21"/>
          <w:highlight w:val="none"/>
          <w:lang w:eastAsia="zh-CN"/>
        </w:rPr>
        <w:t>交易无效</w:t>
      </w:r>
      <w:r>
        <w:rPr>
          <w:rFonts w:hint="eastAsia" w:ascii="宋体" w:hAnsi="宋体" w:eastAsia="宋体" w:cs="宋体"/>
          <w:b/>
          <w:color w:val="auto"/>
          <w:sz w:val="24"/>
          <w:szCs w:val="21"/>
          <w:highlight w:val="none"/>
        </w:rPr>
        <w:t>。</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合格投递后，自投标截止日期起，在</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内有效。</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.3在原定</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满之前，如果出现特殊情况，</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可以以书面形式通知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延长</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同意延长的，不得要求或被允许修改其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拒绝延长的，其</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无效。</w:t>
      </w:r>
    </w:p>
    <w:p>
      <w:pPr>
        <w:pStyle w:val="136"/>
        <w:keepNext w:val="0"/>
        <w:keepLines w:val="0"/>
        <w:pageBreakBefore w:val="0"/>
        <w:kinsoku/>
        <w:wordWrap/>
        <w:overflowPunct/>
        <w:topLinePunct w:val="0"/>
        <w:bidi w:val="0"/>
        <w:spacing w:before="0" w:line="460" w:lineRule="exact"/>
        <w:ind w:firstLine="643"/>
        <w:textAlignment w:val="auto"/>
        <w:rPr>
          <w:rFonts w:hint="eastAsia" w:ascii="宋体" w:hAnsi="宋体" w:eastAsia="宋体" w:cs="宋体"/>
          <w:b/>
          <w:color w:val="auto"/>
          <w:sz w:val="32"/>
          <w:highlight w:val="none"/>
        </w:rPr>
      </w:pPr>
    </w:p>
    <w:p>
      <w:pPr>
        <w:pStyle w:val="136"/>
        <w:keepNext w:val="0"/>
        <w:keepLines w:val="0"/>
        <w:pageBreakBefore w:val="0"/>
        <w:kinsoku/>
        <w:wordWrap/>
        <w:overflowPunct/>
        <w:topLinePunct w:val="0"/>
        <w:bidi w:val="0"/>
        <w:spacing w:before="0" w:line="460" w:lineRule="exact"/>
        <w:ind w:left="0" w:leftChars="0" w:firstLine="0" w:firstLineChars="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、资格审查</w:t>
      </w:r>
    </w:p>
    <w:p>
      <w:pPr>
        <w:pStyle w:val="561"/>
        <w:keepNext w:val="0"/>
        <w:keepLines w:val="0"/>
        <w:pageBreakBefore w:val="0"/>
        <w:kinsoku/>
        <w:wordWrap/>
        <w:overflowPunct/>
        <w:topLinePunct w:val="0"/>
        <w:bidi w:val="0"/>
        <w:spacing w:before="0" w:line="460" w:lineRule="exact"/>
        <w:ind w:left="0" w:leftChars="0" w:firstLine="0" w:firstLineChars="0"/>
        <w:contextualSpacing/>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17.交易 </w:t>
      </w:r>
    </w:p>
    <w:p>
      <w:pPr>
        <w:pStyle w:val="561"/>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规定的时间通过电子交易平台组织开标，所有</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均</w:t>
      </w:r>
      <w:r>
        <w:rPr>
          <w:rFonts w:hint="eastAsia" w:ascii="宋体" w:hAnsi="宋体" w:eastAsia="宋体" w:cs="宋体"/>
          <w:b w:val="0"/>
          <w:bCs w:val="0"/>
          <w:color w:val="auto"/>
          <w:sz w:val="24"/>
          <w:highlight w:val="none"/>
        </w:rPr>
        <w:t>应当准时在线参加。</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不足3家的，不得开标。</w:t>
      </w:r>
    </w:p>
    <w:p>
      <w:pPr>
        <w:pStyle w:val="561"/>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eastAsia="zh-CN"/>
        </w:rPr>
        <w:t>交易</w:t>
      </w:r>
      <w:r>
        <w:rPr>
          <w:rFonts w:hint="eastAsia" w:ascii="宋体" w:hAnsi="宋体" w:eastAsia="宋体" w:cs="宋体"/>
          <w:b w:val="0"/>
          <w:bCs w:val="0"/>
          <w:color w:val="auto"/>
          <w:sz w:val="24"/>
          <w:highlight w:val="none"/>
        </w:rPr>
        <w:t>时，电子交易平台按</w:t>
      </w:r>
      <w:r>
        <w:rPr>
          <w:rFonts w:hint="eastAsia" w:ascii="宋体" w:hAnsi="宋体" w:eastAsia="宋体" w:cs="宋体"/>
          <w:b w:val="0"/>
          <w:bCs w:val="0"/>
          <w:color w:val="auto"/>
          <w:sz w:val="24"/>
          <w:highlight w:val="none"/>
          <w:lang w:eastAsia="zh-CN"/>
        </w:rPr>
        <w:t>交易时间</w:t>
      </w:r>
      <w:r>
        <w:rPr>
          <w:rFonts w:hint="eastAsia" w:ascii="宋体" w:hAnsi="宋体" w:eastAsia="宋体" w:cs="宋体"/>
          <w:b w:val="0"/>
          <w:bCs w:val="0"/>
          <w:color w:val="auto"/>
          <w:sz w:val="24"/>
          <w:highlight w:val="none"/>
        </w:rPr>
        <w:t>自动提取所有</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代理机构</w:t>
      </w:r>
      <w:r>
        <w:rPr>
          <w:rFonts w:hint="eastAsia" w:ascii="宋体" w:hAnsi="宋体" w:eastAsia="宋体" w:cs="宋体"/>
          <w:b w:val="0"/>
          <w:bCs w:val="0"/>
          <w:color w:val="auto"/>
          <w:sz w:val="24"/>
          <w:highlight w:val="none"/>
        </w:rPr>
        <w:t>依托电子交易平台发起开始解密指令，</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按照平台提示和</w:t>
      </w:r>
      <w:r>
        <w:rPr>
          <w:rFonts w:hint="eastAsia" w:ascii="宋体" w:hAnsi="宋体" w:eastAsia="宋体" w:cs="宋体"/>
          <w:b w:val="0"/>
          <w:bCs w:val="0"/>
          <w:color w:val="auto"/>
          <w:sz w:val="24"/>
          <w:highlight w:val="none"/>
          <w:lang w:eastAsia="zh-CN"/>
        </w:rPr>
        <w:t>公开竞争文件</w:t>
      </w:r>
      <w:r>
        <w:rPr>
          <w:rFonts w:hint="eastAsia" w:ascii="宋体" w:hAnsi="宋体" w:eastAsia="宋体" w:cs="宋体"/>
          <w:b w:val="0"/>
          <w:bCs w:val="0"/>
          <w:color w:val="auto"/>
          <w:sz w:val="24"/>
          <w:highlight w:val="none"/>
        </w:rPr>
        <w:t>的规定在半小时内完成在线解密。</w:t>
      </w:r>
    </w:p>
    <w:p>
      <w:pPr>
        <w:pStyle w:val="561"/>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.3</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未按时解密，视为</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撤回。</w:t>
      </w:r>
    </w:p>
    <w:p>
      <w:pPr>
        <w:pStyle w:val="27"/>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w:t>
      </w:r>
      <w:r>
        <w:rPr>
          <w:rFonts w:hint="eastAsia" w:ascii="宋体" w:hAnsi="宋体" w:eastAsia="宋体" w:cs="宋体"/>
          <w:b/>
          <w:color w:val="auto"/>
          <w:highlight w:val="none"/>
          <w:lang w:val="en-US" w:eastAsia="zh-CN"/>
        </w:rPr>
        <w:t>8</w:t>
      </w:r>
      <w:r>
        <w:rPr>
          <w:rFonts w:hint="eastAsia" w:ascii="宋体" w:hAnsi="宋体" w:eastAsia="宋体" w:cs="宋体"/>
          <w:b/>
          <w:color w:val="auto"/>
          <w:highlight w:val="none"/>
          <w:lang w:eastAsia="zh-CN"/>
        </w:rPr>
        <w:t>、资格审查</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eastAsia="zh-CN"/>
        </w:rPr>
        <w:t>交易</w:t>
      </w:r>
      <w:r>
        <w:rPr>
          <w:rFonts w:hint="eastAsia" w:ascii="宋体" w:hAnsi="宋体" w:eastAsia="宋体" w:cs="宋体"/>
          <w:color w:val="auto"/>
          <w:kern w:val="0"/>
          <w:szCs w:val="24"/>
          <w:highlight w:val="none"/>
        </w:rPr>
        <w:t>后，</w:t>
      </w:r>
      <w:r>
        <w:rPr>
          <w:rFonts w:hint="eastAsia" w:ascii="宋体" w:hAnsi="宋体" w:eastAsia="宋体" w:cs="宋体"/>
          <w:color w:val="auto"/>
          <w:kern w:val="0"/>
          <w:szCs w:val="24"/>
          <w:highlight w:val="none"/>
          <w:lang w:eastAsia="zh-CN"/>
        </w:rPr>
        <w:t>交易发起人</w:t>
      </w:r>
      <w:r>
        <w:rPr>
          <w:rFonts w:hint="eastAsia" w:ascii="宋体" w:hAnsi="宋体" w:eastAsia="宋体" w:cs="宋体"/>
          <w:color w:val="auto"/>
          <w:kern w:val="0"/>
          <w:szCs w:val="24"/>
          <w:highlight w:val="none"/>
        </w:rPr>
        <w:t>或</w:t>
      </w:r>
      <w:r>
        <w:rPr>
          <w:rFonts w:hint="eastAsia" w:ascii="宋体" w:hAnsi="宋体" w:eastAsia="宋体" w:cs="宋体"/>
          <w:color w:val="auto"/>
          <w:kern w:val="0"/>
          <w:szCs w:val="24"/>
          <w:highlight w:val="none"/>
          <w:lang w:eastAsia="zh-CN"/>
        </w:rPr>
        <w:t>代理机构</w:t>
      </w:r>
      <w:r>
        <w:rPr>
          <w:rFonts w:hint="eastAsia" w:ascii="宋体" w:hAnsi="宋体" w:eastAsia="宋体" w:cs="宋体"/>
          <w:color w:val="auto"/>
          <w:kern w:val="0"/>
          <w:szCs w:val="24"/>
          <w:highlight w:val="none"/>
        </w:rPr>
        <w:t>将依法对</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的资格进行审查。</w:t>
      </w:r>
    </w:p>
    <w:p>
      <w:pPr>
        <w:keepNext w:val="0"/>
        <w:keepLines w:val="0"/>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依据法律法规和</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的规定，对</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的基本资格条件、特定资格条件进行审查。</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未按照</w:t>
      </w:r>
      <w:r>
        <w:rPr>
          <w:rFonts w:hint="eastAsia" w:ascii="宋体" w:hAnsi="宋体" w:eastAsia="宋体" w:cs="宋体"/>
          <w:color w:val="auto"/>
          <w:kern w:val="0"/>
          <w:szCs w:val="24"/>
          <w:highlight w:val="none"/>
          <w:lang w:eastAsia="zh-CN"/>
        </w:rPr>
        <w:t>公开竞争文件</w:t>
      </w:r>
      <w:r>
        <w:rPr>
          <w:rFonts w:hint="eastAsia" w:ascii="宋体" w:hAnsi="宋体" w:eastAsia="宋体" w:cs="宋体"/>
          <w:color w:val="auto"/>
          <w:kern w:val="0"/>
          <w:szCs w:val="24"/>
          <w:highlight w:val="none"/>
        </w:rPr>
        <w:t>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不具备</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中规定的资格要求，其</w:t>
      </w:r>
      <w:r>
        <w:rPr>
          <w:rFonts w:hint="eastAsia" w:ascii="宋体" w:hAnsi="宋体" w:eastAsia="宋体" w:cs="宋体"/>
          <w:color w:val="auto"/>
          <w:highlight w:val="none"/>
          <w:lang w:eastAsia="zh-CN"/>
        </w:rPr>
        <w:t>交易无效</w:t>
      </w:r>
      <w:r>
        <w:rPr>
          <w:rFonts w:hint="eastAsia" w:ascii="宋体" w:hAnsi="宋体" w:eastAsia="宋体" w:cs="宋体"/>
          <w:color w:val="auto"/>
          <w:highlight w:val="none"/>
        </w:rPr>
        <w:t>。</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4对未通过资格审查的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或</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告知其未通过的原因。</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5合格</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不足3家的，不再评标。</w:t>
      </w:r>
    </w:p>
    <w:p>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color w:val="auto"/>
          <w:kern w:val="0"/>
          <w:szCs w:val="24"/>
          <w:highlight w:val="none"/>
        </w:rPr>
      </w:pPr>
    </w:p>
    <w:p>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五、评</w:t>
      </w:r>
      <w:r>
        <w:rPr>
          <w:rFonts w:hint="eastAsia" w:ascii="宋体" w:hAnsi="宋体" w:eastAsia="宋体" w:cs="宋体"/>
          <w:b/>
          <w:color w:val="auto"/>
          <w:sz w:val="36"/>
          <w:szCs w:val="36"/>
          <w:highlight w:val="none"/>
          <w:lang w:val="en-US" w:eastAsia="zh-CN"/>
        </w:rPr>
        <w:t>审</w:t>
      </w:r>
    </w:p>
    <w:p>
      <w:pPr>
        <w:keepNext w:val="0"/>
        <w:keepLines w:val="0"/>
        <w:pageBreakBefore w:val="0"/>
        <w:kinsoku/>
        <w:wordWrap/>
        <w:overflowPunct/>
        <w:topLinePunct w:val="0"/>
        <w:bidi w:val="0"/>
        <w:spacing w:line="460" w:lineRule="exact"/>
        <w:textAlignment w:val="auto"/>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评审委员会</w:t>
      </w:r>
      <w:r>
        <w:rPr>
          <w:rFonts w:hint="eastAsia" w:ascii="宋体" w:hAnsi="宋体" w:eastAsia="宋体" w:cs="宋体"/>
          <w:color w:val="auto"/>
          <w:sz w:val="24"/>
          <w:highlight w:val="none"/>
        </w:rPr>
        <w:t>将根据</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和有关规定，履行评标工作职责，并按照评标方法及评分标准，全面衡量各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的响应情况。对实质上响应</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，按照第四部分</w:t>
      </w:r>
      <w:r>
        <w:rPr>
          <w:rFonts w:hint="eastAsia" w:ascii="宋体" w:hAnsi="宋体" w:eastAsia="宋体" w:cs="宋体"/>
          <w:color w:val="auto"/>
          <w:sz w:val="24"/>
          <w:highlight w:val="none"/>
          <w:lang w:eastAsia="zh-CN"/>
        </w:rPr>
        <w:t>交易办法</w:t>
      </w:r>
      <w:r>
        <w:rPr>
          <w:rFonts w:hint="eastAsia" w:ascii="宋体" w:hAnsi="宋体" w:eastAsia="宋体" w:cs="宋体"/>
          <w:color w:val="auto"/>
          <w:sz w:val="24"/>
          <w:highlight w:val="none"/>
        </w:rPr>
        <w:t>推荐</w:t>
      </w:r>
      <w:r>
        <w:rPr>
          <w:rFonts w:hint="eastAsia" w:ascii="宋体" w:hAnsi="宋体" w:eastAsia="宋体" w:cs="宋体"/>
          <w:color w:val="auto"/>
          <w:sz w:val="24"/>
          <w:highlight w:val="none"/>
          <w:lang w:val="en-US" w:eastAsia="zh-CN"/>
        </w:rPr>
        <w:t>成交</w:t>
      </w:r>
      <w:r>
        <w:rPr>
          <w:rFonts w:hint="eastAsia" w:ascii="宋体" w:hAnsi="宋体" w:cs="宋体"/>
          <w:color w:val="auto"/>
          <w:sz w:val="24"/>
          <w:highlight w:val="none"/>
          <w:lang w:val="en-US" w:eastAsia="zh-CN"/>
        </w:rPr>
        <w:t>候选人</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w:t>
      </w:r>
    </w:p>
    <w:p>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27"/>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0</w:t>
      </w:r>
      <w:r>
        <w:rPr>
          <w:rFonts w:hint="eastAsia" w:ascii="宋体" w:hAnsi="宋体" w:eastAsia="宋体" w:cs="宋体"/>
          <w:b/>
          <w:color w:val="auto"/>
          <w:highlight w:val="none"/>
        </w:rPr>
        <w:t>.确定</w:t>
      </w:r>
      <w:r>
        <w:rPr>
          <w:rFonts w:hint="eastAsia" w:ascii="宋体" w:hAnsi="宋体" w:eastAsia="宋体" w:cs="宋体"/>
          <w:b/>
          <w:color w:val="auto"/>
          <w:highlight w:val="none"/>
          <w:lang w:eastAsia="zh-CN"/>
        </w:rPr>
        <w:t>成交响应人</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将自收到评审报告之日起5个工作日内通过电子交易平台在评审报告推荐的</w:t>
      </w:r>
      <w:r>
        <w:rPr>
          <w:rFonts w:hint="eastAsia" w:ascii="宋体" w:hAnsi="宋体" w:eastAsia="宋体" w:cs="宋体"/>
          <w:color w:val="auto"/>
          <w:szCs w:val="24"/>
          <w:highlight w:val="none"/>
          <w:lang w:eastAsia="zh-CN"/>
        </w:rPr>
        <w:t>成交候选人</w:t>
      </w:r>
      <w:r>
        <w:rPr>
          <w:rFonts w:hint="eastAsia" w:ascii="宋体" w:hAnsi="宋体" w:eastAsia="宋体" w:cs="宋体"/>
          <w:color w:val="auto"/>
          <w:szCs w:val="24"/>
          <w:highlight w:val="none"/>
        </w:rPr>
        <w:t>中按顺序确定</w:t>
      </w:r>
      <w:r>
        <w:rPr>
          <w:rFonts w:hint="eastAsia" w:ascii="宋体" w:hAnsi="宋体" w:eastAsia="宋体" w:cs="宋体"/>
          <w:color w:val="auto"/>
          <w:szCs w:val="24"/>
          <w:highlight w:val="none"/>
          <w:lang w:eastAsia="zh-CN"/>
        </w:rPr>
        <w:t>成交响应人</w:t>
      </w:r>
      <w:r>
        <w:rPr>
          <w:rFonts w:hint="eastAsia" w:ascii="宋体" w:hAnsi="宋体" w:eastAsia="宋体" w:cs="宋体"/>
          <w:color w:val="auto"/>
          <w:szCs w:val="24"/>
          <w:highlight w:val="none"/>
        </w:rPr>
        <w:t>。</w:t>
      </w:r>
    </w:p>
    <w:p>
      <w:pPr>
        <w:pStyle w:val="136"/>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成交通知</w:t>
      </w:r>
      <w:r>
        <w:rPr>
          <w:rFonts w:hint="eastAsia" w:ascii="宋体" w:hAnsi="宋体" w:eastAsia="宋体" w:cs="宋体"/>
          <w:b/>
          <w:color w:val="auto"/>
          <w:szCs w:val="24"/>
          <w:highlight w:val="none"/>
        </w:rPr>
        <w:t>与</w:t>
      </w:r>
      <w:r>
        <w:rPr>
          <w:rFonts w:hint="eastAsia" w:ascii="宋体" w:hAnsi="宋体" w:eastAsia="宋体" w:cs="宋体"/>
          <w:b/>
          <w:color w:val="auto"/>
          <w:szCs w:val="24"/>
          <w:highlight w:val="none"/>
          <w:lang w:eastAsia="zh-CN"/>
        </w:rPr>
        <w:t>成交结果</w:t>
      </w:r>
      <w:r>
        <w:rPr>
          <w:rFonts w:hint="eastAsia" w:ascii="宋体" w:hAnsi="宋体" w:eastAsia="宋体" w:cs="宋体"/>
          <w:b/>
          <w:color w:val="auto"/>
          <w:szCs w:val="24"/>
          <w:highlight w:val="none"/>
        </w:rPr>
        <w:t>公告</w:t>
      </w:r>
    </w:p>
    <w:p>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.1自</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确定之日起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通过电子交易平台向</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发出</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书，同时编制发布</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也可以以纸质形式进行</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w:t>
      </w:r>
    </w:p>
    <w:p>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公告内容包括</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及其委托的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的名称、地址、联系方式，项目名称和</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名称、地址和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金额。</w:t>
      </w:r>
    </w:p>
    <w:p>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p>
    <w:p>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7"/>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w:t>
      </w:r>
      <w:r>
        <w:rPr>
          <w:rFonts w:hint="eastAsia" w:ascii="宋体" w:hAnsi="宋体" w:eastAsia="宋体" w:cs="宋体"/>
          <w:color w:val="auto"/>
          <w:highlight w:val="none"/>
        </w:rPr>
        <w:t>合同主要条款详见第五部分拟签订的合同文本。</w:t>
      </w:r>
    </w:p>
    <w:p>
      <w:pPr>
        <w:pStyle w:val="27"/>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.合同的签订</w:t>
      </w:r>
    </w:p>
    <w:p>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应当通过电子交易平台在</w:t>
      </w:r>
      <w:r>
        <w:rPr>
          <w:rFonts w:hint="eastAsia" w:ascii="宋体" w:hAnsi="宋体" w:eastAsia="宋体" w:cs="宋体"/>
          <w:color w:val="auto"/>
          <w:kern w:val="0"/>
          <w:sz w:val="24"/>
          <w:highlight w:val="none"/>
          <w:lang w:eastAsia="zh-CN"/>
        </w:rPr>
        <w:t>成交通知</w:t>
      </w:r>
      <w:r>
        <w:rPr>
          <w:rFonts w:hint="eastAsia" w:ascii="宋体" w:hAnsi="宋体" w:eastAsia="宋体" w:cs="宋体"/>
          <w:color w:val="auto"/>
          <w:kern w:val="0"/>
          <w:sz w:val="24"/>
          <w:highlight w:val="none"/>
        </w:rPr>
        <w:t>书发出之日起三十日内，按照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确定的事项签订</w:t>
      </w:r>
      <w:r>
        <w:rPr>
          <w:rFonts w:hint="eastAsia" w:ascii="宋体" w:hAnsi="宋体" w:eastAsia="宋体" w:cs="宋体"/>
          <w:color w:val="auto"/>
          <w:kern w:val="0"/>
          <w:sz w:val="24"/>
          <w:highlight w:val="none"/>
          <w:lang w:eastAsia="zh-CN"/>
        </w:rPr>
        <w:t>书面</w:t>
      </w:r>
      <w:r>
        <w:rPr>
          <w:rFonts w:hint="eastAsia" w:ascii="宋体" w:hAnsi="宋体" w:eastAsia="宋体" w:cs="宋体"/>
          <w:color w:val="auto"/>
          <w:kern w:val="0"/>
          <w:sz w:val="24"/>
          <w:highlight w:val="none"/>
        </w:rPr>
        <w:t>合同。</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.3如签订合同并生效后，</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无故拒绝或延期，除按照合同条款处理外，列入不良行为记录一次，并给予通报。</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拒绝与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签订合同的，</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可以按照评审报告推荐的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或者成交候选人名单排序，确定下一候选人为</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，也可以重新开展</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pPr>
        <w:pStyle w:val="136"/>
        <w:keepNext w:val="0"/>
        <w:keepLines w:val="0"/>
        <w:pageBreakBefore w:val="0"/>
        <w:kinsoku/>
        <w:wordWrap/>
        <w:overflowPunct/>
        <w:topLinePunct w:val="0"/>
        <w:bidi w:val="0"/>
        <w:snapToGrid w:val="0"/>
        <w:spacing w:before="0" w:after="12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.5</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合同由</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与</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等内容签订</w:t>
      </w:r>
      <w:r>
        <w:rPr>
          <w:rFonts w:hint="eastAsia" w:ascii="宋体" w:hAnsi="宋体" w:eastAsia="宋体" w:cs="宋体"/>
          <w:color w:val="auto"/>
          <w:highlight w:val="none"/>
          <w:lang w:eastAsia="zh-CN"/>
        </w:rPr>
        <w:t>合同</w:t>
      </w:r>
      <w:r>
        <w:rPr>
          <w:rFonts w:hint="eastAsia" w:ascii="宋体" w:hAnsi="宋体" w:eastAsia="宋体" w:cs="宋体"/>
          <w:color w:val="auto"/>
          <w:highlight w:val="none"/>
        </w:rPr>
        <w:t>。</w:t>
      </w:r>
    </w:p>
    <w:p>
      <w:pPr>
        <w:pStyle w:val="27"/>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.履约保证金</w:t>
      </w:r>
      <w:r>
        <w:rPr>
          <w:rFonts w:hint="eastAsia" w:ascii="宋体" w:hAnsi="宋体" w:eastAsia="宋体" w:cs="宋体"/>
          <w:b/>
          <w:color w:val="auto"/>
          <w:highlight w:val="none"/>
          <w:lang w:eastAsia="zh-CN"/>
        </w:rPr>
        <w:t>：</w:t>
      </w:r>
      <w:r>
        <w:rPr>
          <w:rFonts w:hint="eastAsia" w:ascii="宋体" w:hAnsi="宋体" w:eastAsia="宋体" w:cs="宋体"/>
          <w:b w:val="0"/>
          <w:bCs/>
          <w:color w:val="auto"/>
          <w:highlight w:val="none"/>
          <w:lang w:eastAsia="zh-CN"/>
        </w:rPr>
        <w:t>不收取</w:t>
      </w:r>
      <w:r>
        <w:rPr>
          <w:rFonts w:hint="eastAsia" w:ascii="宋体" w:hAnsi="宋体" w:eastAsia="宋体" w:cs="宋体"/>
          <w:b w:val="0"/>
          <w:bCs/>
          <w:color w:val="auto"/>
          <w:sz w:val="24"/>
          <w:highlight w:val="none"/>
        </w:rPr>
        <w:t>。</w:t>
      </w:r>
    </w:p>
    <w:p>
      <w:pPr>
        <w:keepNext w:val="0"/>
        <w:keepLines w:val="0"/>
        <w:pageBreakBefore w:val="0"/>
        <w:kinsoku/>
        <w:wordWrap/>
        <w:overflowPunct/>
        <w:topLinePunct w:val="0"/>
        <w:bidi w:val="0"/>
        <w:snapToGrid w:val="0"/>
        <w:spacing w:line="460" w:lineRule="exact"/>
        <w:ind w:firstLine="3357" w:firstLineChars="1045"/>
        <w:textAlignment w:val="auto"/>
        <w:rPr>
          <w:rFonts w:hint="eastAsia" w:ascii="宋体" w:hAnsi="宋体" w:eastAsia="宋体" w:cs="宋体"/>
          <w:b/>
          <w:color w:val="auto"/>
          <w:sz w:val="32"/>
          <w:highlight w:val="none"/>
        </w:rPr>
      </w:pPr>
    </w:p>
    <w:p>
      <w:pPr>
        <w:keepNext w:val="0"/>
        <w:keepLines w:val="0"/>
        <w:pageBreakBefore w:val="0"/>
        <w:kinsoku/>
        <w:wordWrap/>
        <w:overflowPunct/>
        <w:topLinePunct w:val="0"/>
        <w:bidi w:val="0"/>
        <w:snapToGrid w:val="0"/>
        <w:spacing w:line="460" w:lineRule="exact"/>
        <w:ind w:firstLine="3357" w:firstLineChars="1045"/>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6"/>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.电子交易活动的中止。</w:t>
      </w:r>
      <w:r>
        <w:rPr>
          <w:rFonts w:hint="eastAsia" w:ascii="宋体" w:hAnsi="宋体" w:eastAsia="宋体" w:cs="宋体"/>
          <w:b w:val="0"/>
          <w:bCs/>
          <w:color w:val="auto"/>
          <w:szCs w:val="24"/>
          <w:highlight w:val="none"/>
          <w:lang w:eastAsia="zh-CN"/>
        </w:rPr>
        <w:t>交易</w:t>
      </w:r>
      <w:r>
        <w:rPr>
          <w:rFonts w:hint="eastAsia" w:ascii="宋体" w:hAnsi="宋体" w:eastAsia="宋体" w:cs="宋体"/>
          <w:color w:val="auto"/>
          <w:highlight w:val="none"/>
        </w:rPr>
        <w:t>过程中出现以下情形，导致电子交易平台无法正常运行，或者无法保证电子交易的公平、公正和安全时，</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可中止电子交易活动：</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.1电子交易平台发生故障而无法登录访问的； </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.2电子交易平台应用或数据库出现错误，不能进行正常操作的；</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.3电子交易平台发现严重安全漏洞，有潜在泄密危险的；</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.4病毒发作导致不能进行正常操作的； </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.5其他无法保证电子交易的公平、公正和安全的情况。</w:t>
      </w:r>
    </w:p>
    <w:p>
      <w:pPr>
        <w:pStyle w:val="136"/>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sz w:val="24"/>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w:t>
      </w:r>
      <w:r>
        <w:rPr>
          <w:rFonts w:hint="eastAsia" w:ascii="宋体" w:hAnsi="宋体" w:eastAsia="宋体" w:cs="宋体"/>
          <w:color w:val="auto"/>
          <w:highlight w:val="none"/>
        </w:rPr>
        <w:t>出现以上情形，不影响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可以待上述情形消除后继续组织电子交易活动，也可以决定某些环节以纸质形式进行；影响或可能影响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公平、公正性的，应当重新</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w:t>
      </w:r>
    </w:p>
    <w:p>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7"/>
        <w:keepNext w:val="0"/>
        <w:keepLines w:val="0"/>
        <w:pageBreakBefore w:val="0"/>
        <w:kinsoku/>
        <w:wordWrap/>
        <w:overflowPunct/>
        <w:topLinePunct w:val="0"/>
        <w:bidi w:val="0"/>
        <w:spacing w:line="46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.验收</w:t>
      </w:r>
    </w:p>
    <w:p>
      <w:pPr>
        <w:keepNext w:val="0"/>
        <w:keepLines w:val="0"/>
        <w:pageBreakBefore w:val="0"/>
        <w:tabs>
          <w:tab w:val="left" w:pos="0"/>
        </w:tabs>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应当组织对</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履约的验收。</w:t>
      </w:r>
    </w:p>
    <w:bookmarkEnd w:id="12"/>
    <w:bookmarkEnd w:id="13"/>
    <w:bookmarkEnd w:id="14"/>
    <w:p>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t xml:space="preserve">第三部分   </w:t>
      </w:r>
      <w:r>
        <w:rPr>
          <w:rFonts w:hint="eastAsia" w:ascii="宋体" w:hAnsi="宋体" w:eastAsia="宋体" w:cs="宋体"/>
          <w:b/>
          <w:color w:val="auto"/>
          <w:sz w:val="36"/>
          <w:szCs w:val="36"/>
          <w:highlight w:val="none"/>
          <w:lang w:val="en-US" w:eastAsia="zh-CN"/>
        </w:rPr>
        <w:t>交易</w:t>
      </w:r>
      <w:r>
        <w:rPr>
          <w:rFonts w:hint="eastAsia" w:ascii="宋体" w:hAnsi="宋体" w:eastAsia="宋体" w:cs="宋体"/>
          <w:b/>
          <w:color w:val="auto"/>
          <w:sz w:val="36"/>
          <w:szCs w:val="36"/>
          <w:highlight w:val="none"/>
        </w:rPr>
        <w:t>需求</w:t>
      </w: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pPr>
        <w:numPr>
          <w:ilvl w:val="0"/>
          <w:numId w:val="2"/>
        </w:num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交易一览表</w:t>
      </w:r>
    </w:p>
    <w:p>
      <w:pPr>
        <w:spacing w:after="120"/>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4"/>
        <w:tblW w:w="9370" w:type="dxa"/>
        <w:jc w:val="center"/>
        <w:tblLayout w:type="fixed"/>
        <w:tblCellMar>
          <w:top w:w="0" w:type="dxa"/>
          <w:left w:w="0" w:type="dxa"/>
          <w:bottom w:w="0" w:type="dxa"/>
          <w:right w:w="0" w:type="dxa"/>
        </w:tblCellMar>
      </w:tblPr>
      <w:tblGrid>
        <w:gridCol w:w="732"/>
        <w:gridCol w:w="4960"/>
        <w:gridCol w:w="1560"/>
        <w:gridCol w:w="706"/>
        <w:gridCol w:w="706"/>
        <w:gridCol w:w="706"/>
      </w:tblGrid>
      <w:tr>
        <w:tblPrEx>
          <w:tblCellMar>
            <w:top w:w="0" w:type="dxa"/>
            <w:left w:w="0" w:type="dxa"/>
            <w:bottom w:w="0" w:type="dxa"/>
            <w:right w:w="0" w:type="dxa"/>
          </w:tblCellMar>
        </w:tblPrEx>
        <w:trPr>
          <w:cantSplit/>
          <w:trHeight w:val="514" w:hRule="atLeast"/>
          <w:jc w:val="center"/>
        </w:trPr>
        <w:tc>
          <w:tcPr>
            <w:tcW w:w="7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标项</w:t>
            </w:r>
          </w:p>
        </w:tc>
        <w:tc>
          <w:tcPr>
            <w:tcW w:w="4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5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具体服务要求</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0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CellMar>
            <w:top w:w="0" w:type="dxa"/>
            <w:left w:w="0" w:type="dxa"/>
            <w:bottom w:w="0" w:type="dxa"/>
            <w:right w:w="0" w:type="dxa"/>
          </w:tblCellMar>
        </w:tblPrEx>
        <w:trPr>
          <w:cantSplit/>
          <w:trHeight w:val="735" w:hRule="atLeast"/>
          <w:jc w:val="center"/>
        </w:trPr>
        <w:tc>
          <w:tcPr>
            <w:tcW w:w="7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世界旅游博览馆日常经营布草及员工制服洗涤服务</w:t>
            </w:r>
            <w:r>
              <w:rPr>
                <w:rFonts w:hint="eastAsia" w:ascii="宋体" w:hAnsi="宋体" w:eastAsia="宋体" w:cs="宋体"/>
                <w:color w:val="auto"/>
                <w:sz w:val="24"/>
                <w:highlight w:val="none"/>
                <w:lang w:eastAsia="zh-CN"/>
              </w:rPr>
              <w:t>项目</w:t>
            </w:r>
          </w:p>
        </w:tc>
        <w:tc>
          <w:tcPr>
            <w:tcW w:w="15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年</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06" w:type="dxa"/>
            <w:tcBorders>
              <w:top w:val="single" w:color="auto" w:sz="4" w:space="0"/>
              <w:left w:val="nil"/>
              <w:bottom w:val="single" w:color="auto" w:sz="4" w:space="0"/>
              <w:right w:val="single" w:color="auto" w:sz="4" w:space="0"/>
            </w:tcBorders>
            <w:vAlign w:val="center"/>
          </w:tcPr>
          <w:p>
            <w:pPr>
              <w:spacing w:line="240" w:lineRule="auto"/>
              <w:rPr>
                <w:rFonts w:hint="eastAsia" w:ascii="宋体" w:hAnsi="宋体" w:eastAsia="宋体" w:cs="宋体"/>
                <w:color w:val="auto"/>
                <w:sz w:val="24"/>
                <w:highlight w:val="none"/>
              </w:rPr>
            </w:pPr>
          </w:p>
        </w:tc>
      </w:tr>
    </w:tbl>
    <w:p>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pPr>
        <w:numPr>
          <w:ilvl w:val="0"/>
          <w:numId w:val="0"/>
        </w:numPr>
        <w:spacing w:line="360" w:lineRule="auto"/>
        <w:ind w:left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4"/>
          <w:szCs w:val="24"/>
          <w:highlight w:val="none"/>
          <w:lang w:val="en-US" w:eastAsia="zh-CN"/>
        </w:rPr>
        <w:t>二、交易</w:t>
      </w:r>
      <w:r>
        <w:rPr>
          <w:rFonts w:hint="eastAsia" w:ascii="宋体" w:hAnsi="宋体" w:eastAsia="宋体" w:cs="宋体"/>
          <w:b/>
          <w:color w:val="auto"/>
          <w:sz w:val="24"/>
          <w:szCs w:val="24"/>
          <w:highlight w:val="none"/>
        </w:rPr>
        <w:t>需求</w:t>
      </w:r>
    </w:p>
    <w:p>
      <w:pPr>
        <w:spacing w:line="360" w:lineRule="auto"/>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一、技术要求</w:t>
      </w:r>
    </w:p>
    <w:tbl>
      <w:tblPr>
        <w:tblStyle w:val="64"/>
        <w:tblpPr w:leftFromText="181" w:rightFromText="181" w:vertAnchor="text" w:horzAnchor="page" w:tblpXSpec="center" w:tblpY="1"/>
        <w:tblOverlap w:val="never"/>
        <w:tblW w:w="523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0"/>
        <w:gridCol w:w="732"/>
        <w:gridCol w:w="732"/>
        <w:gridCol w:w="2131"/>
        <w:gridCol w:w="1126"/>
        <w:gridCol w:w="1459"/>
        <w:gridCol w:w="2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序号</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品名</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图片</w:t>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规格</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单价（基准价）</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IBM桌罩</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073785" cy="873760"/>
                  <wp:effectExtent l="0" t="0" r="12065" b="2540"/>
                  <wp:docPr id="26" name="图片_97"/>
                  <wp:cNvGraphicFramePr/>
                  <a:graphic xmlns:a="http://schemas.openxmlformats.org/drawingml/2006/main">
                    <a:graphicData uri="http://schemas.openxmlformats.org/drawingml/2006/picture">
                      <pic:pic xmlns:pic="http://schemas.openxmlformats.org/drawingml/2006/picture">
                        <pic:nvPicPr>
                          <pic:cNvPr id="26" name="图片_97"/>
                          <pic:cNvPicPr/>
                        </pic:nvPicPr>
                        <pic:blipFill>
                          <a:blip r:embed="rId17"/>
                          <a:stretch>
                            <a:fillRect/>
                          </a:stretch>
                        </pic:blipFill>
                        <pic:spPr>
                          <a:xfrm>
                            <a:off x="0" y="0"/>
                            <a:ext cx="1073785" cy="87376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1830*600*750mm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9.875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桌套：450克台尼布料，100%涤纶，精致封边，布料加厚处理，布料结实耐用。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IBM桌罩</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195070" cy="836930"/>
                  <wp:effectExtent l="0" t="0" r="5080" b="1270"/>
                  <wp:docPr id="25" name="图片_97_SpCnt_1"/>
                  <wp:cNvGraphicFramePr/>
                  <a:graphic xmlns:a="http://schemas.openxmlformats.org/drawingml/2006/main">
                    <a:graphicData uri="http://schemas.openxmlformats.org/drawingml/2006/picture">
                      <pic:pic xmlns:pic="http://schemas.openxmlformats.org/drawingml/2006/picture">
                        <pic:nvPicPr>
                          <pic:cNvPr id="25" name="图片_97_SpCnt_1"/>
                          <pic:cNvPicPr/>
                        </pic:nvPicPr>
                        <pic:blipFill>
                          <a:blip r:embed="rId17"/>
                          <a:stretch>
                            <a:fillRect/>
                          </a:stretch>
                        </pic:blipFill>
                        <pic:spPr>
                          <a:xfrm>
                            <a:off x="0" y="0"/>
                            <a:ext cx="1195070" cy="83693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1200*600*750mm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9.74</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桌套：450克台尼布料，100%涤纶，精致封边，布料加厚处理，布料结实耐用。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3</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BQ桌罩</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157605" cy="1302385"/>
                  <wp:effectExtent l="0" t="0" r="4445" b="12065"/>
                  <wp:docPr id="28" name="图片_97_SpCnt_2"/>
                  <wp:cNvGraphicFramePr/>
                  <a:graphic xmlns:a="http://schemas.openxmlformats.org/drawingml/2006/main">
                    <a:graphicData uri="http://schemas.openxmlformats.org/drawingml/2006/picture">
                      <pic:pic xmlns:pic="http://schemas.openxmlformats.org/drawingml/2006/picture">
                        <pic:nvPicPr>
                          <pic:cNvPr id="28" name="图片_97_SpCnt_2"/>
                          <pic:cNvPicPr/>
                        </pic:nvPicPr>
                        <pic:blipFill>
                          <a:blip r:embed="rId17"/>
                          <a:stretch>
                            <a:fillRect/>
                          </a:stretch>
                        </pic:blipFill>
                        <pic:spPr>
                          <a:xfrm>
                            <a:off x="0" y="0"/>
                            <a:ext cx="1157605" cy="130238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1830*900*750mm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10.345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桌套：450克台尼布料，100%涤纶，精致封边，布料加厚处理，布料结实耐用。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4"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4</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方台布</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258570" cy="1818640"/>
                  <wp:effectExtent l="0" t="0" r="17780" b="10160"/>
                  <wp:docPr id="23" name="图片_38"/>
                  <wp:cNvGraphicFramePr/>
                  <a:graphic xmlns:a="http://schemas.openxmlformats.org/drawingml/2006/main">
                    <a:graphicData uri="http://schemas.openxmlformats.org/drawingml/2006/picture">
                      <pic:pic xmlns:pic="http://schemas.openxmlformats.org/drawingml/2006/picture">
                        <pic:nvPicPr>
                          <pic:cNvPr id="23" name="图片_38"/>
                          <pic:cNvPicPr/>
                        </pic:nvPicPr>
                        <pic:blipFill>
                          <a:blip r:embed="rId18"/>
                          <a:stretch>
                            <a:fillRect/>
                          </a:stretch>
                        </pic:blipFill>
                        <pic:spPr>
                          <a:xfrm>
                            <a:off x="0" y="0"/>
                            <a:ext cx="1258570" cy="181864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2400*2400mm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5.94</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eastAsia="宋体" w:cs="宋体"/>
                <w:color w:val="auto"/>
                <w:sz w:val="21"/>
                <w:szCs w:val="21"/>
                <w:highlight w:val="none"/>
                <w:lang w:eastAsia="zh-CN"/>
              </w:rPr>
            </w:pPr>
            <w:r>
              <w:rPr>
                <w:rFonts w:hint="default" w:ascii="宋体" w:hAnsi="宋体" w:eastAsia="宋体" w:cs="宋体"/>
                <w:color w:val="auto"/>
                <w:kern w:val="0"/>
                <w:sz w:val="21"/>
                <w:szCs w:val="21"/>
                <w:highlight w:val="none"/>
                <w:lang w:bidi="ar"/>
              </w:rPr>
              <w:t>250克/平方。双面丝光可两面使用。不缩水，不变形，不抽纱，洗涤寿命700次以上。符合OEKO-TEXSTANDARD 100生态环保纺织用品标准及GB18401-2010国家纺织产品基本安全技术规范</w:t>
            </w:r>
            <w:r>
              <w:rPr>
                <w:rFonts w:hint="eastAsia" w:ascii="宋体" w:hAnsi="宋体" w:cs="宋体"/>
                <w:color w:val="auto"/>
                <w:kern w:val="0"/>
                <w:sz w:val="21"/>
                <w:szCs w:val="21"/>
                <w:highlight w:val="none"/>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5</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蓝色方台布</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231265" cy="1640205"/>
                  <wp:effectExtent l="0" t="0" r="6985" b="17145"/>
                  <wp:docPr id="18" name="图片_55"/>
                  <wp:cNvGraphicFramePr/>
                  <a:graphic xmlns:a="http://schemas.openxmlformats.org/drawingml/2006/main">
                    <a:graphicData uri="http://schemas.openxmlformats.org/drawingml/2006/picture">
                      <pic:pic xmlns:pic="http://schemas.openxmlformats.org/drawingml/2006/picture">
                        <pic:nvPicPr>
                          <pic:cNvPr id="18" name="图片_55"/>
                          <pic:cNvPicPr/>
                        </pic:nvPicPr>
                        <pic:blipFill>
                          <a:blip r:embed="rId19"/>
                          <a:stretch>
                            <a:fillRect/>
                          </a:stretch>
                        </pic:blipFill>
                        <pic:spPr>
                          <a:xfrm>
                            <a:off x="0" y="0"/>
                            <a:ext cx="1231265" cy="164020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15000*2400mm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6.075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eastAsia="宋体" w:cs="宋体"/>
                <w:color w:val="auto"/>
                <w:sz w:val="21"/>
                <w:szCs w:val="21"/>
                <w:highlight w:val="none"/>
                <w:lang w:eastAsia="zh-CN"/>
              </w:rPr>
            </w:pPr>
            <w:r>
              <w:rPr>
                <w:rFonts w:hint="default" w:ascii="宋体" w:hAnsi="宋体" w:eastAsia="宋体" w:cs="宋体"/>
                <w:color w:val="auto"/>
                <w:kern w:val="0"/>
                <w:sz w:val="21"/>
                <w:szCs w:val="21"/>
                <w:highlight w:val="none"/>
                <w:lang w:bidi="ar"/>
              </w:rPr>
              <w:t>250克/平方。双面丝光可两面使用。不缩水，不变形，不抽纱，洗涤寿命700次以上。符合OEKO-TEXSTANDARD 100生态环保纺织用品标准及GB18401-2010国家纺织产品基本安全技术规范</w:t>
            </w:r>
            <w:r>
              <w:rPr>
                <w:rFonts w:hint="eastAsia" w:ascii="宋体" w:hAnsi="宋体" w:cs="宋体"/>
                <w:color w:val="auto"/>
                <w:kern w:val="0"/>
                <w:sz w:val="21"/>
                <w:szCs w:val="21"/>
                <w:highlight w:val="none"/>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3"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6</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围裙</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182370" cy="939165"/>
                  <wp:effectExtent l="0" t="0" r="17780" b="13335"/>
                  <wp:docPr id="20" name="图片_98"/>
                  <wp:cNvGraphicFramePr/>
                  <a:graphic xmlns:a="http://schemas.openxmlformats.org/drawingml/2006/main">
                    <a:graphicData uri="http://schemas.openxmlformats.org/drawingml/2006/picture">
                      <pic:pic xmlns:pic="http://schemas.openxmlformats.org/drawingml/2006/picture">
                        <pic:nvPicPr>
                          <pic:cNvPr id="20" name="图片_98"/>
                          <pic:cNvPicPr/>
                        </pic:nvPicPr>
                        <pic:blipFill>
                          <a:blip r:embed="rId20"/>
                          <a:stretch>
                            <a:fillRect/>
                          </a:stretch>
                        </pic:blipFill>
                        <pic:spPr>
                          <a:xfrm>
                            <a:off x="0" y="0"/>
                            <a:ext cx="1182370" cy="93916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7500*750mm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19.79</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桌裙：220-260克优质布料，100%涤纶，精致封边，布料加厚处理，布料结实耐用。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3"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7</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圆桌布（2米桌）</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122680" cy="1652905"/>
                  <wp:effectExtent l="0" t="0" r="1270" b="4445"/>
                  <wp:docPr id="21" name="图片_42"/>
                  <wp:cNvGraphicFramePr/>
                  <a:graphic xmlns:a="http://schemas.openxmlformats.org/drawingml/2006/main">
                    <a:graphicData uri="http://schemas.openxmlformats.org/drawingml/2006/picture">
                      <pic:pic xmlns:pic="http://schemas.openxmlformats.org/drawingml/2006/picture">
                        <pic:nvPicPr>
                          <pic:cNvPr id="21" name="图片_42"/>
                          <pic:cNvPicPr/>
                        </pic:nvPicPr>
                        <pic:blipFill>
                          <a:blip r:embed="rId21"/>
                          <a:stretch>
                            <a:fillRect/>
                          </a:stretch>
                        </pic:blipFill>
                        <pic:spPr>
                          <a:xfrm>
                            <a:off x="0" y="0"/>
                            <a:ext cx="1122680" cy="165290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φ3460mm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6.94</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粗麻格子纹 经线300D(150D阳离子 150D无光低弹丝，</w:t>
            </w:r>
          </w:p>
          <w:p>
            <w:pPr>
              <w:widowControl/>
              <w:spacing w:beforeLines="0" w:afterLines="0"/>
              <w:jc w:val="left"/>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纬线300D(100D阳离子 100D低弹丝 100D黏胶长丝并网）；</w:t>
            </w:r>
          </w:p>
          <w:p>
            <w:pPr>
              <w:widowControl/>
              <w:spacing w:beforeLines="0" w:afterLines="0"/>
              <w:jc w:val="left"/>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水洗色牢度4级，不含可分解致癌芳香胺染料，预缩水处理，</w:t>
            </w:r>
          </w:p>
          <w:p>
            <w:pPr>
              <w:widowControl/>
              <w:spacing w:beforeLines="0" w:afterLines="0"/>
              <w:jc w:val="left"/>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定型，不变形</w:t>
            </w:r>
            <w:r>
              <w:rPr>
                <w:rFonts w:hint="eastAsia" w:ascii="宋体" w:hAnsi="宋体" w:cs="宋体"/>
                <w:color w:val="auto"/>
                <w:kern w:val="0"/>
                <w:sz w:val="21"/>
                <w:szCs w:val="21"/>
                <w:highlight w:val="none"/>
                <w:lang w:eastAsia="zh-CN" w:bidi="ar"/>
              </w:rPr>
              <w:t>，</w:t>
            </w:r>
            <w:r>
              <w:rPr>
                <w:rFonts w:hint="default" w:ascii="宋体" w:hAnsi="宋体" w:eastAsia="宋体" w:cs="宋体"/>
                <w:color w:val="auto"/>
                <w:kern w:val="0"/>
                <w:sz w:val="21"/>
                <w:szCs w:val="21"/>
                <w:highlight w:val="none"/>
                <w:lang w:bidi="ar"/>
              </w:rPr>
              <w:t>克重为300g/m2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2"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8</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圆桌布（3米桌）</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187450" cy="1856740"/>
                  <wp:effectExtent l="0" t="0" r="12700" b="10160"/>
                  <wp:docPr id="19" name="图片_46"/>
                  <wp:cNvGraphicFramePr/>
                  <a:graphic xmlns:a="http://schemas.openxmlformats.org/drawingml/2006/main">
                    <a:graphicData uri="http://schemas.openxmlformats.org/drawingml/2006/picture">
                      <pic:pic xmlns:pic="http://schemas.openxmlformats.org/drawingml/2006/picture">
                        <pic:nvPicPr>
                          <pic:cNvPr id="19" name="图片_46"/>
                          <pic:cNvPicPr/>
                        </pic:nvPicPr>
                        <pic:blipFill>
                          <a:blip r:embed="rId22"/>
                          <a:stretch>
                            <a:fillRect/>
                          </a:stretch>
                        </pic:blipFill>
                        <pic:spPr>
                          <a:xfrm>
                            <a:off x="0" y="0"/>
                            <a:ext cx="1187450" cy="1856740"/>
                          </a:xfrm>
                          <a:prstGeom prst="rect">
                            <a:avLst/>
                          </a:prstGeom>
                          <a:noFill/>
                          <a:ln>
                            <a:noFill/>
                          </a:ln>
                        </pic:spPr>
                      </pic:pic>
                    </a:graphicData>
                  </a:graphic>
                </wp:inline>
              </w:drawing>
            </w:r>
            <w:r>
              <w:rPr>
                <w:rFonts w:hint="default" w:ascii="宋体" w:hAnsi="宋体" w:eastAsia="宋体" w:cs="宋体"/>
                <w:b/>
                <w:color w:val="auto"/>
                <w:kern w:val="0"/>
                <w:sz w:val="21"/>
                <w:szCs w:val="21"/>
                <w:highlight w:val="none"/>
                <w:bdr w:val="single" w:color="000000" w:sz="4" w:space="0"/>
                <w:shd w:val="clear" w:color="auto" w:fill="FFFFFF"/>
                <w:lang w:bidi="ar"/>
              </w:rPr>
              <w:drawing>
                <wp:anchor distT="0" distB="0" distL="114300" distR="114300" simplePos="0" relativeHeight="251667456" behindDoc="0" locked="0" layoutInCell="1" allowOverlap="1">
                  <wp:simplePos x="0" y="0"/>
                  <wp:positionH relativeFrom="column">
                    <wp:posOffset>95250</wp:posOffset>
                  </wp:positionH>
                  <wp:positionV relativeFrom="paragraph">
                    <wp:posOffset>38100</wp:posOffset>
                  </wp:positionV>
                  <wp:extent cx="1257300" cy="0"/>
                  <wp:effectExtent l="0" t="0" r="0" b="0"/>
                  <wp:wrapNone/>
                  <wp:docPr id="22" name="图片_44"/>
                  <wp:cNvGraphicFramePr/>
                  <a:graphic xmlns:a="http://schemas.openxmlformats.org/drawingml/2006/main">
                    <a:graphicData uri="http://schemas.openxmlformats.org/drawingml/2006/picture">
                      <pic:pic xmlns:pic="http://schemas.openxmlformats.org/drawingml/2006/picture">
                        <pic:nvPicPr>
                          <pic:cNvPr id="22" name="图片_44"/>
                          <pic:cNvPicPr/>
                        </pic:nvPicPr>
                        <pic:blipFill>
                          <a:blip r:embed="rId23"/>
                          <a:stretch>
                            <a:fillRect/>
                          </a:stretch>
                        </pic:blipFill>
                        <pic:spPr>
                          <a:xfrm>
                            <a:off x="0" y="0"/>
                            <a:ext cx="1257300" cy="0"/>
                          </a:xfrm>
                          <a:prstGeom prst="rect">
                            <a:avLst/>
                          </a:prstGeom>
                          <a:noFill/>
                          <a:ln>
                            <a:noFill/>
                          </a:ln>
                        </pic:spPr>
                      </pic:pic>
                    </a:graphicData>
                  </a:graphic>
                </wp:anchor>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φ4460mm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8.64</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粗麻格子纹 经线300D(150D阳离子 150D无光低弹丝，</w:t>
            </w:r>
          </w:p>
          <w:p>
            <w:pPr>
              <w:widowControl/>
              <w:spacing w:beforeLines="0" w:afterLines="0"/>
              <w:jc w:val="left"/>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纬线300D(100D阳离子 100D低弹丝 100D黏胶长丝并网）；</w:t>
            </w:r>
          </w:p>
          <w:p>
            <w:pPr>
              <w:widowControl/>
              <w:spacing w:beforeLines="0" w:afterLines="0"/>
              <w:jc w:val="left"/>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水洗色牢度4级，不含可分解致癌芳香胺染料，预缩水处理，</w:t>
            </w:r>
          </w:p>
          <w:p>
            <w:pPr>
              <w:widowControl/>
              <w:spacing w:beforeLines="0" w:afterLines="0"/>
              <w:jc w:val="left"/>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定型，不变形</w:t>
            </w:r>
            <w:r>
              <w:rPr>
                <w:rFonts w:hint="eastAsia" w:ascii="宋体" w:hAnsi="宋体" w:cs="宋体"/>
                <w:color w:val="auto"/>
                <w:kern w:val="0"/>
                <w:sz w:val="21"/>
                <w:szCs w:val="21"/>
                <w:highlight w:val="none"/>
                <w:lang w:eastAsia="zh-CN" w:bidi="ar"/>
              </w:rPr>
              <w:t>，</w:t>
            </w:r>
            <w:r>
              <w:rPr>
                <w:rFonts w:hint="default" w:ascii="宋体" w:hAnsi="宋体" w:eastAsia="宋体" w:cs="宋体"/>
                <w:color w:val="auto"/>
                <w:kern w:val="0"/>
                <w:sz w:val="21"/>
                <w:szCs w:val="21"/>
                <w:highlight w:val="none"/>
                <w:lang w:bidi="ar"/>
              </w:rPr>
              <w:t>克重为300g/m2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3"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9</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圆桌布（3.8米桌）</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114425" cy="1699895"/>
                  <wp:effectExtent l="0" t="0" r="9525" b="14605"/>
                  <wp:docPr id="24" name="图片_65"/>
                  <wp:cNvGraphicFramePr/>
                  <a:graphic xmlns:a="http://schemas.openxmlformats.org/drawingml/2006/main">
                    <a:graphicData uri="http://schemas.openxmlformats.org/drawingml/2006/picture">
                      <pic:pic xmlns:pic="http://schemas.openxmlformats.org/drawingml/2006/picture">
                        <pic:nvPicPr>
                          <pic:cNvPr id="24" name="图片_65"/>
                          <pic:cNvPicPr/>
                        </pic:nvPicPr>
                        <pic:blipFill>
                          <a:blip r:embed="rId22"/>
                          <a:stretch>
                            <a:fillRect/>
                          </a:stretch>
                        </pic:blipFill>
                        <pic:spPr>
                          <a:xfrm>
                            <a:off x="0" y="0"/>
                            <a:ext cx="1114425" cy="1699895"/>
                          </a:xfrm>
                          <a:prstGeom prst="rect">
                            <a:avLst/>
                          </a:prstGeom>
                          <a:noFill/>
                          <a:ln>
                            <a:noFill/>
                          </a:ln>
                        </pic:spPr>
                      </pic:pic>
                    </a:graphicData>
                  </a:graphic>
                </wp:inline>
              </w:drawing>
            </w:r>
            <w:r>
              <w:rPr>
                <w:rFonts w:hint="default" w:ascii="宋体" w:hAnsi="宋体" w:eastAsia="宋体" w:cs="宋体"/>
                <w:b/>
                <w:color w:val="auto"/>
                <w:kern w:val="0"/>
                <w:sz w:val="21"/>
                <w:szCs w:val="21"/>
                <w:highlight w:val="none"/>
                <w:bdr w:val="single" w:color="000000" w:sz="4" w:space="0"/>
                <w:shd w:val="clear" w:color="auto" w:fill="FFFFFF"/>
                <w:lang w:bidi="ar"/>
              </w:rPr>
              <w:drawing>
                <wp:anchor distT="0" distB="0" distL="114300" distR="114300" simplePos="0" relativeHeight="251668480" behindDoc="0" locked="0" layoutInCell="1" allowOverlap="1">
                  <wp:simplePos x="0" y="0"/>
                  <wp:positionH relativeFrom="column">
                    <wp:posOffset>114300</wp:posOffset>
                  </wp:positionH>
                  <wp:positionV relativeFrom="paragraph">
                    <wp:posOffset>28575</wp:posOffset>
                  </wp:positionV>
                  <wp:extent cx="1228725" cy="0"/>
                  <wp:effectExtent l="0" t="0" r="0" b="0"/>
                  <wp:wrapNone/>
                  <wp:docPr id="27" name="图片_50"/>
                  <wp:cNvGraphicFramePr/>
                  <a:graphic xmlns:a="http://schemas.openxmlformats.org/drawingml/2006/main">
                    <a:graphicData uri="http://schemas.openxmlformats.org/drawingml/2006/picture">
                      <pic:pic xmlns:pic="http://schemas.openxmlformats.org/drawingml/2006/picture">
                        <pic:nvPicPr>
                          <pic:cNvPr id="27" name="图片_50"/>
                          <pic:cNvPicPr/>
                        </pic:nvPicPr>
                        <pic:blipFill>
                          <a:blip r:embed="rId23"/>
                          <a:stretch>
                            <a:fillRect/>
                          </a:stretch>
                        </pic:blipFill>
                        <pic:spPr>
                          <a:xfrm>
                            <a:off x="0" y="0"/>
                            <a:ext cx="1228725" cy="0"/>
                          </a:xfrm>
                          <a:prstGeom prst="rect">
                            <a:avLst/>
                          </a:prstGeom>
                          <a:noFill/>
                          <a:ln>
                            <a:noFill/>
                          </a:ln>
                        </pic:spPr>
                      </pic:pic>
                    </a:graphicData>
                  </a:graphic>
                </wp:anchor>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φ5260mm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9.185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粗麻格子纹 经线300D(150D阳离子 150D无光低弹丝，</w:t>
            </w:r>
          </w:p>
          <w:p>
            <w:pPr>
              <w:widowControl/>
              <w:spacing w:beforeLines="0" w:afterLines="0"/>
              <w:jc w:val="left"/>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纬线300D(100D阳离子 100D低弹丝 100D黏胶长丝并网）；</w:t>
            </w:r>
          </w:p>
          <w:p>
            <w:pPr>
              <w:widowControl/>
              <w:spacing w:beforeLines="0" w:afterLines="0"/>
              <w:jc w:val="left"/>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水洗色牢度4级，不含可分解致癌芳香胺染料，预缩水处理，</w:t>
            </w:r>
          </w:p>
          <w:p>
            <w:pPr>
              <w:widowControl/>
              <w:spacing w:beforeLines="0" w:afterLines="0"/>
              <w:jc w:val="left"/>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定型，不变形</w:t>
            </w:r>
            <w:r>
              <w:rPr>
                <w:rFonts w:hint="eastAsia" w:ascii="宋体" w:hAnsi="宋体" w:cs="宋体"/>
                <w:color w:val="auto"/>
                <w:kern w:val="0"/>
                <w:sz w:val="21"/>
                <w:szCs w:val="21"/>
                <w:highlight w:val="none"/>
                <w:lang w:eastAsia="zh-CN" w:bidi="ar"/>
              </w:rPr>
              <w:t>，</w:t>
            </w:r>
            <w:r>
              <w:rPr>
                <w:rFonts w:hint="default" w:ascii="宋体" w:hAnsi="宋体" w:eastAsia="宋体" w:cs="宋体"/>
                <w:color w:val="auto"/>
                <w:kern w:val="0"/>
                <w:sz w:val="21"/>
                <w:szCs w:val="21"/>
                <w:highlight w:val="none"/>
                <w:lang w:bidi="ar"/>
              </w:rPr>
              <w:t>克重为300g/m2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10</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椅套</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263015" cy="695960"/>
                  <wp:effectExtent l="0" t="0" r="13335" b="8890"/>
                  <wp:docPr id="29" name="图片_31"/>
                  <wp:cNvGraphicFramePr/>
                  <a:graphic xmlns:a="http://schemas.openxmlformats.org/drawingml/2006/main">
                    <a:graphicData uri="http://schemas.openxmlformats.org/drawingml/2006/picture">
                      <pic:pic xmlns:pic="http://schemas.openxmlformats.org/drawingml/2006/picture">
                        <pic:nvPicPr>
                          <pic:cNvPr id="29" name="图片_31"/>
                          <pic:cNvPicPr/>
                        </pic:nvPicPr>
                        <pic:blipFill>
                          <a:blip r:embed="rId24"/>
                          <a:stretch>
                            <a:fillRect/>
                          </a:stretch>
                        </pic:blipFill>
                        <pic:spPr>
                          <a:xfrm>
                            <a:off x="0" y="0"/>
                            <a:ext cx="1263015" cy="69596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500*480*930mm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5.47</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Style w:val="968"/>
                <w:rFonts w:hint="default"/>
                <w:color w:val="auto"/>
                <w:sz w:val="21"/>
                <w:szCs w:val="21"/>
                <w:highlight w:val="none"/>
                <w:lang w:bidi="ar"/>
              </w:rPr>
            </w:pPr>
            <w:r>
              <w:rPr>
                <w:rStyle w:val="968"/>
                <w:rFonts w:hint="default"/>
                <w:color w:val="auto"/>
                <w:sz w:val="21"/>
                <w:szCs w:val="21"/>
                <w:highlight w:val="none"/>
                <w:lang w:bidi="ar"/>
              </w:rPr>
              <w:t>椅套：320克弹力布料，100%涤纶，精致封边，布料加厚处理，布料结实耐用。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11</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口布</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233805" cy="1945640"/>
                  <wp:effectExtent l="0" t="0" r="4445" b="16510"/>
                  <wp:docPr id="30" name="图片_1"/>
                  <wp:cNvGraphicFramePr/>
                  <a:graphic xmlns:a="http://schemas.openxmlformats.org/drawingml/2006/main">
                    <a:graphicData uri="http://schemas.openxmlformats.org/drawingml/2006/picture">
                      <pic:pic xmlns:pic="http://schemas.openxmlformats.org/drawingml/2006/picture">
                        <pic:nvPicPr>
                          <pic:cNvPr id="30" name="图片_1"/>
                          <pic:cNvPicPr/>
                        </pic:nvPicPr>
                        <pic:blipFill>
                          <a:blip r:embed="rId25"/>
                          <a:stretch>
                            <a:fillRect/>
                          </a:stretch>
                        </pic:blipFill>
                        <pic:spPr>
                          <a:xfrm>
                            <a:off x="0" y="0"/>
                            <a:ext cx="1233805" cy="194564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长500*宽500mm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1.105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Style w:val="968"/>
                <w:rFonts w:hint="default"/>
                <w:color w:val="auto"/>
                <w:sz w:val="21"/>
                <w:szCs w:val="21"/>
                <w:highlight w:val="none"/>
                <w:lang w:bidi="ar"/>
              </w:rPr>
            </w:pPr>
            <w:r>
              <w:rPr>
                <w:rStyle w:val="968"/>
                <w:rFonts w:hint="default"/>
                <w:color w:val="auto"/>
                <w:sz w:val="21"/>
                <w:szCs w:val="21"/>
                <w:highlight w:val="none"/>
                <w:lang w:bidi="ar"/>
              </w:rPr>
              <w:t>材质说明：</w:t>
            </w:r>
          </w:p>
          <w:p>
            <w:pPr>
              <w:widowControl/>
              <w:spacing w:beforeLines="0" w:afterLines="0"/>
              <w:jc w:val="left"/>
              <w:textAlignment w:val="center"/>
              <w:rPr>
                <w:rStyle w:val="968"/>
                <w:rFonts w:hint="default"/>
                <w:color w:val="auto"/>
                <w:sz w:val="21"/>
                <w:szCs w:val="21"/>
                <w:highlight w:val="none"/>
                <w:lang w:bidi="ar"/>
              </w:rPr>
            </w:pPr>
            <w:r>
              <w:rPr>
                <w:rStyle w:val="968"/>
                <w:rFonts w:hint="default"/>
                <w:color w:val="auto"/>
                <w:sz w:val="21"/>
                <w:szCs w:val="21"/>
                <w:highlight w:val="none"/>
                <w:lang w:bidi="ar"/>
              </w:rPr>
              <w:t>原料配比--经线超棉*纬线300D人造丝+超棉，经纬密度为110</w:t>
            </w:r>
            <w:r>
              <w:rPr>
                <w:rStyle w:val="972"/>
                <w:rFonts w:hint="default"/>
                <w:color w:val="auto"/>
                <w:sz w:val="21"/>
                <w:szCs w:val="21"/>
                <w:highlight w:val="none"/>
                <w:lang w:bidi="ar"/>
              </w:rPr>
              <w:t>✖️</w:t>
            </w:r>
            <w:r>
              <w:rPr>
                <w:rStyle w:val="968"/>
                <w:rFonts w:hint="default"/>
                <w:color w:val="auto"/>
                <w:sz w:val="21"/>
                <w:szCs w:val="21"/>
                <w:highlight w:val="none"/>
                <w:lang w:bidi="ar"/>
              </w:rPr>
              <w:t>116，克重450克/平米.</w:t>
            </w:r>
          </w:p>
          <w:p>
            <w:pPr>
              <w:widowControl/>
              <w:spacing w:beforeLines="0" w:afterLines="0"/>
              <w:jc w:val="left"/>
              <w:textAlignment w:val="center"/>
              <w:rPr>
                <w:rStyle w:val="968"/>
                <w:rFonts w:hint="eastAsia" w:eastAsia="宋体"/>
                <w:color w:val="auto"/>
                <w:sz w:val="21"/>
                <w:szCs w:val="21"/>
                <w:highlight w:val="none"/>
                <w:lang w:eastAsia="zh-CN" w:bidi="ar"/>
              </w:rPr>
            </w:pPr>
            <w:r>
              <w:rPr>
                <w:rStyle w:val="968"/>
                <w:rFonts w:hint="default"/>
                <w:color w:val="auto"/>
                <w:sz w:val="21"/>
                <w:szCs w:val="21"/>
                <w:highlight w:val="none"/>
                <w:lang w:bidi="ar"/>
              </w:rPr>
              <w:t>织造工艺：数码大提花，320CM超大独幅花型织造工艺</w:t>
            </w:r>
            <w:r>
              <w:rPr>
                <w:rStyle w:val="968"/>
                <w:rFonts w:hint="eastAsia"/>
                <w:color w:val="auto"/>
                <w:sz w:val="21"/>
                <w:szCs w:val="21"/>
                <w:highlight w:val="none"/>
                <w:lang w:eastAsia="zh-CN" w:bidi="ar"/>
              </w:rPr>
              <w:t>。</w:t>
            </w:r>
          </w:p>
          <w:p>
            <w:pPr>
              <w:widowControl/>
              <w:spacing w:beforeLines="0" w:afterLines="0"/>
              <w:jc w:val="left"/>
              <w:textAlignment w:val="center"/>
              <w:rPr>
                <w:rFonts w:hint="eastAsia" w:ascii="宋体" w:hAnsi="宋体" w:eastAsia="宋体" w:cs="宋体"/>
                <w:color w:val="auto"/>
                <w:sz w:val="21"/>
                <w:szCs w:val="21"/>
                <w:highlight w:val="none"/>
                <w:lang w:eastAsia="zh-CN"/>
              </w:rPr>
            </w:pPr>
            <w:r>
              <w:rPr>
                <w:rStyle w:val="968"/>
                <w:rFonts w:hint="default"/>
                <w:color w:val="auto"/>
                <w:sz w:val="21"/>
                <w:szCs w:val="21"/>
                <w:highlight w:val="none"/>
                <w:lang w:bidi="ar"/>
              </w:rPr>
              <w:t>染整工艺：高温高压着色，自然回缩，高温定型（230度）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12</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小毛巾</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278255" cy="755015"/>
                  <wp:effectExtent l="0" t="0" r="17145" b="6985"/>
                  <wp:docPr id="10" name="图片_32"/>
                  <wp:cNvGraphicFramePr/>
                  <a:graphic xmlns:a="http://schemas.openxmlformats.org/drawingml/2006/main">
                    <a:graphicData uri="http://schemas.openxmlformats.org/drawingml/2006/picture">
                      <pic:pic xmlns:pic="http://schemas.openxmlformats.org/drawingml/2006/picture">
                        <pic:nvPicPr>
                          <pic:cNvPr id="10" name="图片_32"/>
                          <pic:cNvPicPr/>
                        </pic:nvPicPr>
                        <pic:blipFill>
                          <a:blip r:embed="rId26"/>
                          <a:stretch>
                            <a:fillRect/>
                          </a:stretch>
                        </pic:blipFill>
                        <pic:spPr>
                          <a:xfrm>
                            <a:off x="0" y="0"/>
                            <a:ext cx="1278255" cy="75501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300*300mm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default" w:ascii="宋体" w:hAnsi="宋体" w:eastAsia="宋体" w:cs="宋体"/>
                <w:color w:val="auto"/>
                <w:sz w:val="21"/>
                <w:szCs w:val="21"/>
                <w:highlight w:val="none"/>
              </w:rPr>
            </w:pPr>
            <w:r>
              <w:rPr>
                <w:rStyle w:val="968"/>
                <w:rFonts w:hint="default"/>
                <w:color w:val="auto"/>
                <w:sz w:val="21"/>
                <w:szCs w:val="21"/>
                <w:highlight w:val="none"/>
                <w:lang w:bidi="ar"/>
              </w:rPr>
              <w:t>全棉/16s/螺旋织法.50克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4"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13</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清洁布</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280795" cy="1101725"/>
                  <wp:effectExtent l="0" t="0" r="14605" b="3175"/>
                  <wp:docPr id="7" name="图片_33"/>
                  <wp:cNvGraphicFramePr/>
                  <a:graphic xmlns:a="http://schemas.openxmlformats.org/drawingml/2006/main">
                    <a:graphicData uri="http://schemas.openxmlformats.org/drawingml/2006/picture">
                      <pic:pic xmlns:pic="http://schemas.openxmlformats.org/drawingml/2006/picture">
                        <pic:nvPicPr>
                          <pic:cNvPr id="7" name="图片_33"/>
                          <pic:cNvPicPr/>
                        </pic:nvPicPr>
                        <pic:blipFill>
                          <a:blip r:embed="rId27"/>
                          <a:stretch>
                            <a:fillRect/>
                          </a:stretch>
                        </pic:blipFill>
                        <pic:spPr>
                          <a:xfrm>
                            <a:off x="0" y="0"/>
                            <a:ext cx="1280795" cy="110172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长500*宽750mm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0.78</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Style w:val="968"/>
                <w:rFonts w:hint="eastAsia" w:eastAsia="宋体"/>
                <w:color w:val="auto"/>
                <w:sz w:val="21"/>
                <w:szCs w:val="21"/>
                <w:highlight w:val="none"/>
                <w:lang w:eastAsia="zh-CN" w:bidi="ar"/>
              </w:rPr>
            </w:pPr>
            <w:r>
              <w:rPr>
                <w:rStyle w:val="968"/>
                <w:rFonts w:hint="default"/>
                <w:color w:val="auto"/>
                <w:sz w:val="21"/>
                <w:szCs w:val="21"/>
                <w:highlight w:val="none"/>
                <w:lang w:bidi="ar"/>
              </w:rPr>
              <w:t>全棉，精梳纱，必须是平纹，100g/PC符合OEKO-TEXSTANDARD100生态环保纺织用品标准及GB18401-2010国家纺织产品基本安全技术规范</w:t>
            </w:r>
            <w:r>
              <w:rPr>
                <w:rStyle w:val="968"/>
                <w:rFonts w:hint="eastAsia"/>
                <w:color w:val="auto"/>
                <w:sz w:val="21"/>
                <w:szCs w:val="21"/>
                <w:highlight w:val="none"/>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6"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14</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讲台防尘保护罩</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925830" cy="1185545"/>
                  <wp:effectExtent l="0" t="0" r="7620" b="14605"/>
                  <wp:docPr id="2" name="图片_41"/>
                  <wp:cNvGraphicFramePr/>
                  <a:graphic xmlns:a="http://schemas.openxmlformats.org/drawingml/2006/main">
                    <a:graphicData uri="http://schemas.openxmlformats.org/drawingml/2006/picture">
                      <pic:pic xmlns:pic="http://schemas.openxmlformats.org/drawingml/2006/picture">
                        <pic:nvPicPr>
                          <pic:cNvPr id="2" name="图片_41"/>
                          <pic:cNvPicPr/>
                        </pic:nvPicPr>
                        <pic:blipFill>
                          <a:blip r:embed="rId28"/>
                          <a:stretch>
                            <a:fillRect/>
                          </a:stretch>
                        </pic:blipFill>
                        <pic:spPr>
                          <a:xfrm>
                            <a:off x="0" y="0"/>
                            <a:ext cx="925830" cy="118554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长570*宽560*高1220mm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23.375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Style w:val="968"/>
                <w:rFonts w:hint="default"/>
                <w:color w:val="auto"/>
                <w:sz w:val="21"/>
                <w:szCs w:val="21"/>
                <w:highlight w:val="none"/>
                <w:lang w:bidi="ar"/>
              </w:rPr>
            </w:pPr>
            <w:r>
              <w:rPr>
                <w:rStyle w:val="968"/>
                <w:rFonts w:hint="default"/>
                <w:color w:val="auto"/>
                <w:sz w:val="21"/>
                <w:szCs w:val="21"/>
                <w:highlight w:val="none"/>
                <w:lang w:bidi="ar"/>
              </w:rPr>
              <w:t>棉麻材质均可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3"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15</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托盘垫</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038225" cy="1508125"/>
                  <wp:effectExtent l="0" t="0" r="9525" b="15875"/>
                  <wp:docPr id="8" name="图片_35"/>
                  <wp:cNvGraphicFramePr/>
                  <a:graphic xmlns:a="http://schemas.openxmlformats.org/drawingml/2006/main">
                    <a:graphicData uri="http://schemas.openxmlformats.org/drawingml/2006/picture">
                      <pic:pic xmlns:pic="http://schemas.openxmlformats.org/drawingml/2006/picture">
                        <pic:nvPicPr>
                          <pic:cNvPr id="8" name="图片_35"/>
                          <pic:cNvPicPr/>
                        </pic:nvPicPr>
                        <pic:blipFill>
                          <a:blip r:embed="rId29"/>
                          <a:stretch>
                            <a:fillRect/>
                          </a:stretch>
                        </pic:blipFill>
                        <pic:spPr>
                          <a:xfrm>
                            <a:off x="0" y="0"/>
                            <a:ext cx="1038225" cy="150812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直径：320mm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0.85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Style w:val="968"/>
                <w:rFonts w:hint="eastAsia" w:eastAsia="宋体"/>
                <w:color w:val="auto"/>
                <w:sz w:val="21"/>
                <w:szCs w:val="21"/>
                <w:highlight w:val="none"/>
                <w:lang w:eastAsia="zh-CN" w:bidi="ar"/>
              </w:rPr>
            </w:pPr>
            <w:r>
              <w:rPr>
                <w:rStyle w:val="968"/>
                <w:rFonts w:hint="default"/>
                <w:color w:val="auto"/>
                <w:sz w:val="21"/>
                <w:szCs w:val="21"/>
                <w:highlight w:val="none"/>
                <w:lang w:bidi="ar"/>
              </w:rPr>
              <w:t>加厚棉麻面料，每平方300G,高温高压着色,高温定型,自然回缩，双层加衬双针边款式。符合OEKO-TEXSTANDARD 100生态环保纺织用品标准及GB18401-2010国家纺织产品基本安全技术规范</w:t>
            </w:r>
            <w:r>
              <w:rPr>
                <w:rStyle w:val="968"/>
                <w:rFonts w:hint="eastAsia"/>
                <w:color w:val="auto"/>
                <w:sz w:val="21"/>
                <w:szCs w:val="21"/>
                <w:highlight w:val="none"/>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16</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餐垫</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1343025" cy="691515"/>
                  <wp:effectExtent l="0" t="0" r="9525" b="13335"/>
                  <wp:docPr id="31" name="图片_54"/>
                  <wp:cNvGraphicFramePr/>
                  <a:graphic xmlns:a="http://schemas.openxmlformats.org/drawingml/2006/main">
                    <a:graphicData uri="http://schemas.openxmlformats.org/drawingml/2006/picture">
                      <pic:pic xmlns:pic="http://schemas.openxmlformats.org/drawingml/2006/picture">
                        <pic:nvPicPr>
                          <pic:cNvPr id="31" name="图片_54"/>
                          <pic:cNvPicPr/>
                        </pic:nvPicPr>
                        <pic:blipFill>
                          <a:blip r:embed="rId30"/>
                          <a:stretch>
                            <a:fillRect/>
                          </a:stretch>
                        </pic:blipFill>
                        <pic:spPr>
                          <a:xfrm>
                            <a:off x="0" y="0"/>
                            <a:ext cx="1343025" cy="69151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400*300mm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0.765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Style w:val="968"/>
                <w:rFonts w:hint="default"/>
                <w:color w:val="auto"/>
                <w:sz w:val="21"/>
                <w:szCs w:val="21"/>
                <w:highlight w:val="none"/>
                <w:lang w:bidi="ar"/>
              </w:rPr>
            </w:pPr>
            <w:r>
              <w:rPr>
                <w:rStyle w:val="968"/>
                <w:rFonts w:hint="default"/>
                <w:color w:val="auto"/>
                <w:sz w:val="21"/>
                <w:szCs w:val="21"/>
                <w:highlight w:val="none"/>
                <w:lang w:bidi="ar"/>
              </w:rPr>
              <w:t>PVC材质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17</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披肩</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1245235" cy="686435"/>
                  <wp:effectExtent l="0" t="0" r="12065" b="18415"/>
                  <wp:docPr id="32" name="图片_58"/>
                  <wp:cNvGraphicFramePr/>
                  <a:graphic xmlns:a="http://schemas.openxmlformats.org/drawingml/2006/main">
                    <a:graphicData uri="http://schemas.openxmlformats.org/drawingml/2006/picture">
                      <pic:pic xmlns:pic="http://schemas.openxmlformats.org/drawingml/2006/picture">
                        <pic:nvPicPr>
                          <pic:cNvPr id="32" name="图片_58"/>
                          <pic:cNvPicPr/>
                        </pic:nvPicPr>
                        <pic:blipFill>
                          <a:blip r:embed="rId31"/>
                          <a:stretch>
                            <a:fillRect/>
                          </a:stretch>
                        </pic:blipFill>
                        <pic:spPr>
                          <a:xfrm>
                            <a:off x="0" y="0"/>
                            <a:ext cx="1245235" cy="68643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200*70mm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9.835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Style w:val="968"/>
                <w:rFonts w:hint="default"/>
                <w:color w:val="auto"/>
                <w:sz w:val="21"/>
                <w:szCs w:val="21"/>
                <w:highlight w:val="none"/>
                <w:lang w:bidi="ar"/>
              </w:rPr>
            </w:pPr>
            <w:r>
              <w:rPr>
                <w:rStyle w:val="968"/>
                <w:rFonts w:hint="default"/>
                <w:color w:val="auto"/>
                <w:sz w:val="21"/>
                <w:szCs w:val="21"/>
                <w:highlight w:val="none"/>
                <w:lang w:bidi="ar"/>
              </w:rPr>
              <w:t>100%羊毛材质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18</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桌布</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1291590" cy="703580"/>
                  <wp:effectExtent l="0" t="0" r="3810" b="1270"/>
                  <wp:docPr id="5" name="图片_59"/>
                  <wp:cNvGraphicFramePr/>
                  <a:graphic xmlns:a="http://schemas.openxmlformats.org/drawingml/2006/main">
                    <a:graphicData uri="http://schemas.openxmlformats.org/drawingml/2006/picture">
                      <pic:pic xmlns:pic="http://schemas.openxmlformats.org/drawingml/2006/picture">
                        <pic:nvPicPr>
                          <pic:cNvPr id="5" name="图片_59"/>
                          <pic:cNvPicPr/>
                        </pic:nvPicPr>
                        <pic:blipFill>
                          <a:blip r:embed="rId32"/>
                          <a:stretch>
                            <a:fillRect/>
                          </a:stretch>
                        </pic:blipFill>
                        <pic:spPr>
                          <a:xfrm>
                            <a:off x="0" y="0"/>
                            <a:ext cx="1291590" cy="70358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3600*1900mm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9.47</w:t>
            </w:r>
          </w:p>
        </w:tc>
        <w:tc>
          <w:tcPr>
            <w:tcW w:w="154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Style w:val="968"/>
                <w:rFonts w:hint="default"/>
                <w:color w:val="auto"/>
                <w:sz w:val="21"/>
                <w:szCs w:val="21"/>
                <w:highlight w:val="none"/>
                <w:lang w:bidi="ar"/>
              </w:rPr>
            </w:pPr>
            <w:r>
              <w:rPr>
                <w:rStyle w:val="968"/>
                <w:rFonts w:hint="default"/>
                <w:color w:val="auto"/>
                <w:sz w:val="21"/>
                <w:szCs w:val="21"/>
                <w:highlight w:val="none"/>
                <w:lang w:bidi="ar"/>
              </w:rPr>
              <w:t>仿真丝处理 高精密面料，30%亮光丝、70%化纤、</w:t>
            </w:r>
          </w:p>
          <w:p>
            <w:pPr>
              <w:widowControl/>
              <w:spacing w:beforeLines="0" w:afterLines="0"/>
              <w:jc w:val="left"/>
              <w:textAlignment w:val="center"/>
              <w:rPr>
                <w:rStyle w:val="968"/>
                <w:rFonts w:hint="default"/>
                <w:color w:val="auto"/>
                <w:sz w:val="21"/>
                <w:szCs w:val="21"/>
                <w:highlight w:val="none"/>
                <w:lang w:bidi="ar"/>
              </w:rPr>
            </w:pPr>
            <w:r>
              <w:rPr>
                <w:rStyle w:val="968"/>
                <w:rFonts w:hint="default"/>
                <w:color w:val="auto"/>
                <w:sz w:val="21"/>
                <w:szCs w:val="21"/>
                <w:highlight w:val="none"/>
                <w:lang w:bidi="ar"/>
              </w:rPr>
              <w:t>丝光处理、纱织：42S/2X*32S/2、</w:t>
            </w:r>
          </w:p>
          <w:p>
            <w:pPr>
              <w:widowControl/>
              <w:spacing w:beforeLines="0" w:afterLines="0"/>
              <w:jc w:val="left"/>
              <w:textAlignment w:val="center"/>
              <w:rPr>
                <w:rStyle w:val="968"/>
                <w:rFonts w:hint="default"/>
                <w:color w:val="auto"/>
                <w:sz w:val="21"/>
                <w:szCs w:val="21"/>
                <w:highlight w:val="none"/>
                <w:lang w:bidi="ar"/>
              </w:rPr>
            </w:pPr>
            <w:r>
              <w:rPr>
                <w:rStyle w:val="968"/>
                <w:rFonts w:hint="default"/>
                <w:color w:val="auto"/>
                <w:sz w:val="21"/>
                <w:szCs w:val="21"/>
                <w:highlight w:val="none"/>
                <w:lang w:bidi="ar"/>
              </w:rPr>
              <w:t>密度：103*82士林染料，色牢度高，</w:t>
            </w:r>
          </w:p>
          <w:p>
            <w:pPr>
              <w:widowControl/>
              <w:spacing w:beforeLines="0" w:afterLines="0"/>
              <w:jc w:val="left"/>
              <w:textAlignment w:val="center"/>
              <w:rPr>
                <w:rStyle w:val="968"/>
                <w:rFonts w:hint="default"/>
                <w:color w:val="auto"/>
                <w:sz w:val="21"/>
                <w:szCs w:val="21"/>
                <w:highlight w:val="none"/>
                <w:lang w:bidi="ar"/>
              </w:rPr>
            </w:pPr>
            <w:r>
              <w:rPr>
                <w:rStyle w:val="968"/>
                <w:rFonts w:hint="default"/>
                <w:color w:val="auto"/>
                <w:sz w:val="21"/>
                <w:szCs w:val="21"/>
                <w:highlight w:val="none"/>
                <w:lang w:bidi="ar"/>
              </w:rPr>
              <w:t>垂感好手感舒适层次感强。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19</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桌旗</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1294765" cy="684530"/>
                  <wp:effectExtent l="0" t="0" r="635" b="1270"/>
                  <wp:docPr id="33" name="图片_60"/>
                  <wp:cNvGraphicFramePr/>
                  <a:graphic xmlns:a="http://schemas.openxmlformats.org/drawingml/2006/main">
                    <a:graphicData uri="http://schemas.openxmlformats.org/drawingml/2006/picture">
                      <pic:pic xmlns:pic="http://schemas.openxmlformats.org/drawingml/2006/picture">
                        <pic:nvPicPr>
                          <pic:cNvPr id="33" name="图片_60"/>
                          <pic:cNvPicPr/>
                        </pic:nvPicPr>
                        <pic:blipFill>
                          <a:blip r:embed="rId33"/>
                          <a:stretch>
                            <a:fillRect/>
                          </a:stretch>
                        </pic:blipFill>
                        <pic:spPr>
                          <a:xfrm>
                            <a:off x="0" y="0"/>
                            <a:ext cx="1294765" cy="68453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3600*300mm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w:t>
            </w:r>
          </w:p>
        </w:tc>
        <w:tc>
          <w:tcPr>
            <w:tcW w:w="154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Style w:val="968"/>
                <w:rFonts w:hint="default"/>
                <w:color w:val="auto"/>
                <w:sz w:val="21"/>
                <w:szCs w:val="21"/>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20</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西服</w:t>
            </w:r>
          </w:p>
        </w:tc>
        <w:tc>
          <w:tcPr>
            <w:tcW w:w="1095"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749935" cy="2618105"/>
                  <wp:effectExtent l="0" t="0" r="12065" b="10795"/>
                  <wp:docPr id="1" name="图片_1_SpCnt_1"/>
                  <wp:cNvGraphicFramePr/>
                  <a:graphic xmlns:a="http://schemas.openxmlformats.org/drawingml/2006/main">
                    <a:graphicData uri="http://schemas.openxmlformats.org/drawingml/2006/picture">
                      <pic:pic xmlns:pic="http://schemas.openxmlformats.org/drawingml/2006/picture">
                        <pic:nvPicPr>
                          <pic:cNvPr id="1" name="图片_1_SpCnt_1"/>
                          <pic:cNvPicPr/>
                        </pic:nvPicPr>
                        <pic:blipFill>
                          <a:blip r:embed="rId34"/>
                          <a:stretch>
                            <a:fillRect/>
                          </a:stretch>
                        </pic:blipFill>
                        <pic:spPr>
                          <a:xfrm>
                            <a:off x="0" y="0"/>
                            <a:ext cx="749935" cy="261810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12.9</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Style w:val="968"/>
                <w:rFonts w:hint="default"/>
                <w:color w:val="auto"/>
                <w:sz w:val="21"/>
                <w:szCs w:val="21"/>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21</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西裤</w:t>
            </w:r>
          </w:p>
        </w:tc>
        <w:tc>
          <w:tcPr>
            <w:tcW w:w="1095"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default" w:ascii="宋体" w:hAnsi="宋体" w:eastAsia="宋体" w:cs="宋体"/>
                <w:color w:val="auto"/>
                <w:sz w:val="21"/>
                <w:szCs w:val="21"/>
                <w:highlight w:val="none"/>
              </w:rPr>
            </w:pP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7.785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Style w:val="968"/>
                <w:rFonts w:hint="default"/>
                <w:color w:val="auto"/>
                <w:sz w:val="21"/>
                <w:szCs w:val="21"/>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22</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衬衫</w:t>
            </w:r>
          </w:p>
        </w:tc>
        <w:tc>
          <w:tcPr>
            <w:tcW w:w="1095"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default" w:ascii="宋体" w:hAnsi="宋体" w:eastAsia="宋体" w:cs="宋体"/>
                <w:color w:val="auto"/>
                <w:sz w:val="21"/>
                <w:szCs w:val="21"/>
                <w:highlight w:val="none"/>
              </w:rPr>
            </w:pP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6.96</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Style w:val="968"/>
                <w:rFonts w:hint="default"/>
                <w:color w:val="auto"/>
                <w:sz w:val="21"/>
                <w:szCs w:val="21"/>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23</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领带</w:t>
            </w:r>
          </w:p>
        </w:tc>
        <w:tc>
          <w:tcPr>
            <w:tcW w:w="1095"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default" w:ascii="宋体" w:hAnsi="宋体" w:eastAsia="宋体" w:cs="宋体"/>
                <w:color w:val="auto"/>
                <w:sz w:val="21"/>
                <w:szCs w:val="21"/>
                <w:highlight w:val="none"/>
              </w:rPr>
            </w:pP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Style w:val="968"/>
                <w:rFonts w:hint="default"/>
                <w:color w:val="auto"/>
                <w:sz w:val="21"/>
                <w:szCs w:val="21"/>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24</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大衣</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304800" cy="677545"/>
                  <wp:effectExtent l="0" t="0" r="0" b="8255"/>
                  <wp:docPr id="9" name="图片_1_SpCnt_2"/>
                  <wp:cNvGraphicFramePr/>
                  <a:graphic xmlns:a="http://schemas.openxmlformats.org/drawingml/2006/main">
                    <a:graphicData uri="http://schemas.openxmlformats.org/drawingml/2006/picture">
                      <pic:pic xmlns:pic="http://schemas.openxmlformats.org/drawingml/2006/picture">
                        <pic:nvPicPr>
                          <pic:cNvPr id="9" name="图片_1_SpCnt_2"/>
                          <pic:cNvPicPr/>
                        </pic:nvPicPr>
                        <pic:blipFill>
                          <a:blip r:embed="rId35"/>
                          <a:stretch>
                            <a:fillRect/>
                          </a:stretch>
                        </pic:blipFill>
                        <pic:spPr>
                          <a:xfrm>
                            <a:off x="0" y="0"/>
                            <a:ext cx="304800" cy="67754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27.755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25</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西裙</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351790" cy="716280"/>
                  <wp:effectExtent l="0" t="0" r="10160" b="7620"/>
                  <wp:docPr id="11" name="图片_2"/>
                  <wp:cNvGraphicFramePr/>
                  <a:graphic xmlns:a="http://schemas.openxmlformats.org/drawingml/2006/main">
                    <a:graphicData uri="http://schemas.openxmlformats.org/drawingml/2006/picture">
                      <pic:pic xmlns:pic="http://schemas.openxmlformats.org/drawingml/2006/picture">
                        <pic:nvPicPr>
                          <pic:cNvPr id="11" name="图片_2"/>
                          <pic:cNvPicPr/>
                        </pic:nvPicPr>
                        <pic:blipFill>
                          <a:blip r:embed="rId36"/>
                          <a:stretch>
                            <a:fillRect/>
                          </a:stretch>
                        </pic:blipFill>
                        <pic:spPr>
                          <a:xfrm>
                            <a:off x="0" y="0"/>
                            <a:ext cx="351790" cy="71628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7.375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3"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26</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夹克</w:t>
            </w:r>
          </w:p>
        </w:tc>
        <w:tc>
          <w:tcPr>
            <w:tcW w:w="1095"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645160" cy="1499235"/>
                  <wp:effectExtent l="0" t="0" r="2540" b="5715"/>
                  <wp:docPr id="6" name="图片_11"/>
                  <wp:cNvGraphicFramePr/>
                  <a:graphic xmlns:a="http://schemas.openxmlformats.org/drawingml/2006/main">
                    <a:graphicData uri="http://schemas.openxmlformats.org/drawingml/2006/picture">
                      <pic:pic xmlns:pic="http://schemas.openxmlformats.org/drawingml/2006/picture">
                        <pic:nvPicPr>
                          <pic:cNvPr id="6" name="图片_11"/>
                          <pic:cNvPicPr/>
                        </pic:nvPicPr>
                        <pic:blipFill>
                          <a:blip r:embed="rId37"/>
                          <a:stretch>
                            <a:fillRect/>
                          </a:stretch>
                        </pic:blipFill>
                        <pic:spPr>
                          <a:xfrm>
                            <a:off x="0" y="0"/>
                            <a:ext cx="645160" cy="149923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7.8</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27</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长裤</w:t>
            </w:r>
          </w:p>
        </w:tc>
        <w:tc>
          <w:tcPr>
            <w:tcW w:w="1095"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default" w:ascii="宋体" w:hAnsi="宋体" w:eastAsia="宋体" w:cs="宋体"/>
                <w:color w:val="auto"/>
                <w:sz w:val="21"/>
                <w:szCs w:val="21"/>
                <w:highlight w:val="none"/>
              </w:rPr>
            </w:pP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28</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旗袍</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393065" cy="680085"/>
                  <wp:effectExtent l="0" t="0" r="6985" b="5715"/>
                  <wp:docPr id="34" name="图片_6"/>
                  <wp:cNvGraphicFramePr/>
                  <a:graphic xmlns:a="http://schemas.openxmlformats.org/drawingml/2006/main">
                    <a:graphicData uri="http://schemas.openxmlformats.org/drawingml/2006/picture">
                      <pic:pic xmlns:pic="http://schemas.openxmlformats.org/drawingml/2006/picture">
                        <pic:nvPicPr>
                          <pic:cNvPr id="34" name="图片_6"/>
                          <pic:cNvPicPr/>
                        </pic:nvPicPr>
                        <pic:blipFill>
                          <a:blip r:embed="rId38"/>
                          <a:stretch>
                            <a:fillRect/>
                          </a:stretch>
                        </pic:blipFill>
                        <pic:spPr>
                          <a:xfrm>
                            <a:off x="0" y="0"/>
                            <a:ext cx="393065" cy="68008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21.915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29</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马夹</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391795" cy="619125"/>
                  <wp:effectExtent l="0" t="0" r="8255" b="9525"/>
                  <wp:docPr id="35" name="图片_8"/>
                  <wp:cNvGraphicFramePr/>
                  <a:graphic xmlns:a="http://schemas.openxmlformats.org/drawingml/2006/main">
                    <a:graphicData uri="http://schemas.openxmlformats.org/drawingml/2006/picture">
                      <pic:pic xmlns:pic="http://schemas.openxmlformats.org/drawingml/2006/picture">
                        <pic:nvPicPr>
                          <pic:cNvPr id="35" name="图片_8"/>
                          <pic:cNvPicPr/>
                        </pic:nvPicPr>
                        <pic:blipFill>
                          <a:blip r:embed="rId39"/>
                          <a:stretch>
                            <a:fillRect/>
                          </a:stretch>
                        </pic:blipFill>
                        <pic:spPr>
                          <a:xfrm>
                            <a:off x="0" y="0"/>
                            <a:ext cx="391795" cy="61912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8.075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30</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围裙</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372110" cy="755650"/>
                  <wp:effectExtent l="0" t="0" r="8890" b="6350"/>
                  <wp:docPr id="36" name="图片_10"/>
                  <wp:cNvGraphicFramePr/>
                  <a:graphic xmlns:a="http://schemas.openxmlformats.org/drawingml/2006/main">
                    <a:graphicData uri="http://schemas.openxmlformats.org/drawingml/2006/picture">
                      <pic:pic xmlns:pic="http://schemas.openxmlformats.org/drawingml/2006/picture">
                        <pic:nvPicPr>
                          <pic:cNvPr id="36" name="图片_10"/>
                          <pic:cNvPicPr/>
                        </pic:nvPicPr>
                        <pic:blipFill>
                          <a:blip r:embed="rId40"/>
                          <a:stretch>
                            <a:fillRect/>
                          </a:stretch>
                        </pic:blipFill>
                        <pic:spPr>
                          <a:xfrm>
                            <a:off x="0" y="0"/>
                            <a:ext cx="372110" cy="75565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8"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31</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厨师白上衣</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650875" cy="1105535"/>
                  <wp:effectExtent l="0" t="0" r="15875" b="18415"/>
                  <wp:docPr id="37" name="图片_9"/>
                  <wp:cNvGraphicFramePr/>
                  <a:graphic xmlns:a="http://schemas.openxmlformats.org/drawingml/2006/main">
                    <a:graphicData uri="http://schemas.openxmlformats.org/drawingml/2006/picture">
                      <pic:pic xmlns:pic="http://schemas.openxmlformats.org/drawingml/2006/picture">
                        <pic:nvPicPr>
                          <pic:cNvPr id="37" name="图片_9"/>
                          <pic:cNvPicPr/>
                        </pic:nvPicPr>
                        <pic:blipFill>
                          <a:blip r:embed="rId41"/>
                          <a:stretch>
                            <a:fillRect/>
                          </a:stretch>
                        </pic:blipFill>
                        <pic:spPr>
                          <a:xfrm>
                            <a:off x="0" y="0"/>
                            <a:ext cx="650875" cy="110553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7.17</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8"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32</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羽绒服</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bdr w:val="single" w:color="000000" w:sz="4" w:space="0"/>
                <w:lang w:bidi="ar"/>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1170305" cy="866140"/>
                  <wp:effectExtent l="0" t="0" r="10795" b="10160"/>
                  <wp:docPr id="38" name="图片 1" descr="389c26aeefa65fa125cf57af24770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descr="389c26aeefa65fa125cf57af24770a3"/>
                          <pic:cNvPicPr>
                            <a:picLocks noChangeAspect="1"/>
                          </pic:cNvPicPr>
                        </pic:nvPicPr>
                        <pic:blipFill>
                          <a:blip r:embed="rId42"/>
                          <a:stretch>
                            <a:fillRect/>
                          </a:stretch>
                        </pic:blipFill>
                        <pic:spPr>
                          <a:xfrm>
                            <a:off x="0" y="0"/>
                            <a:ext cx="1170305" cy="86614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25.985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8"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33</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羽绒马甲</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bdr w:val="single" w:color="000000" w:sz="4" w:space="0"/>
                <w:lang w:bidi="ar"/>
              </w:rPr>
            </w:pPr>
            <w:r>
              <w:rPr>
                <w:rFonts w:hint="default" w:eastAsia="宋体"/>
                <w:color w:val="auto"/>
                <w:sz w:val="21"/>
                <w:szCs w:val="24"/>
                <w:highlight w:val="none"/>
              </w:rPr>
              <w:drawing>
                <wp:inline distT="0" distB="0" distL="114300" distR="114300">
                  <wp:extent cx="965200" cy="999490"/>
                  <wp:effectExtent l="0" t="0" r="6350" b="10160"/>
                  <wp:docPr id="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
                          <pic:cNvPicPr>
                            <a:picLocks noChangeAspect="1"/>
                          </pic:cNvPicPr>
                        </pic:nvPicPr>
                        <pic:blipFill>
                          <a:blip r:embed="rId43"/>
                          <a:stretch>
                            <a:fillRect/>
                          </a:stretch>
                        </pic:blipFill>
                        <pic:spPr>
                          <a:xfrm>
                            <a:off x="0" y="0"/>
                            <a:ext cx="965200" cy="99949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25.985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8"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34</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帽子</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bdr w:val="single" w:color="000000" w:sz="4" w:space="0"/>
                <w:lang w:bidi="ar"/>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975995" cy="1302385"/>
                  <wp:effectExtent l="0" t="0" r="14605" b="12065"/>
                  <wp:docPr id="40" name="图片 3" descr="0e54dd4a0044650a38385bf1b92b7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 descr="0e54dd4a0044650a38385bf1b92b7d3"/>
                          <pic:cNvPicPr>
                            <a:picLocks noChangeAspect="1"/>
                          </pic:cNvPicPr>
                        </pic:nvPicPr>
                        <pic:blipFill>
                          <a:blip r:embed="rId44"/>
                          <a:stretch>
                            <a:fillRect/>
                          </a:stretch>
                        </pic:blipFill>
                        <pic:spPr>
                          <a:xfrm>
                            <a:off x="0" y="0"/>
                            <a:ext cx="975995" cy="130238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8"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35</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袖套</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bdr w:val="single" w:color="000000" w:sz="4" w:space="0"/>
                <w:lang w:bidi="ar"/>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979805" cy="1306830"/>
                  <wp:effectExtent l="0" t="0" r="10795" b="7620"/>
                  <wp:docPr id="41" name="图片 4" descr="8b6bc80d5008bfaeee89717b19ec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 descr="8b6bc80d5008bfaeee89717b19ec892"/>
                          <pic:cNvPicPr>
                            <a:picLocks noChangeAspect="1"/>
                          </pic:cNvPicPr>
                        </pic:nvPicPr>
                        <pic:blipFill>
                          <a:blip r:embed="rId45"/>
                          <a:stretch>
                            <a:fillRect/>
                          </a:stretch>
                        </pic:blipFill>
                        <pic:spPr>
                          <a:xfrm>
                            <a:off x="0" y="0"/>
                            <a:ext cx="979805" cy="130683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8"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36</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帘子</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bdr w:val="single" w:color="000000" w:sz="4" w:space="0"/>
                <w:lang w:bidi="ar"/>
              </w:rPr>
            </w:pPr>
            <w:r>
              <w:rPr>
                <w:rFonts w:hint="default" w:eastAsia="宋体"/>
                <w:color w:val="auto"/>
                <w:sz w:val="21"/>
                <w:szCs w:val="24"/>
                <w:highlight w:val="none"/>
              </w:rPr>
              <w:drawing>
                <wp:inline distT="0" distB="0" distL="114300" distR="114300">
                  <wp:extent cx="922020" cy="1146810"/>
                  <wp:effectExtent l="0" t="0" r="11430" b="15240"/>
                  <wp:docPr id="4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
                          <pic:cNvPicPr>
                            <a:picLocks noChangeAspect="1"/>
                          </pic:cNvPicPr>
                        </pic:nvPicPr>
                        <pic:blipFill>
                          <a:blip r:embed="rId46"/>
                          <a:stretch>
                            <a:fillRect/>
                          </a:stretch>
                        </pic:blipFill>
                        <pic:spPr>
                          <a:xfrm>
                            <a:off x="0" y="0"/>
                            <a:ext cx="922020" cy="114681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541" w:type="pct"/>
            <w:tcBorders>
              <w:top w:val="single" w:color="000000" w:sz="4" w:space="0"/>
              <w:left w:val="single" w:color="000000" w:sz="4" w:space="0"/>
              <w:bottom w:val="single" w:color="auto"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注：1、本项目为“交钥匙”项目，响应报价包括运输、分拣打包、验收、售后服务费、政策性文件规定及合同包含的所有风险、责任等各项全部费用。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2、供应商所供货物不会侵犯任何第三方知识产权。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24"/>
          <w:szCs w:val="24"/>
          <w:highlight w:val="none"/>
          <w:lang w:val="en-US" w:eastAsia="zh-CN"/>
        </w:rPr>
        <w:t>二、商务要求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1、服务时间：1年（具体起始时间以合同为准）。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2、结算方式：按实际数量结合单价（基准价）、成交折扣结算。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3、付款方式：根据实际数量按月支付</w:t>
      </w:r>
      <w:r>
        <w:rPr>
          <w:rFonts w:hint="eastAsia" w:ascii="宋体" w:hAnsi="宋体" w:cs="宋体"/>
          <w:b w:val="0"/>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color w:val="auto"/>
          <w:sz w:val="36"/>
          <w:szCs w:val="36"/>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：公开竞争文件</w:t>
      </w:r>
      <w:r>
        <w:rPr>
          <w:rFonts w:hint="eastAsia" w:ascii="宋体" w:hAnsi="宋体" w:eastAsia="宋体" w:cs="宋体"/>
          <w:color w:val="auto"/>
          <w:sz w:val="24"/>
          <w:szCs w:val="24"/>
          <w:highlight w:val="none"/>
        </w:rPr>
        <w:t>中打▲内容为实质性要求，不允许有负偏离，否则将以涉及无效响应条款作无效响应。</w:t>
      </w:r>
    </w:p>
    <w:p>
      <w:pPr>
        <w:spacing w:line="360" w:lineRule="auto"/>
        <w:jc w:val="center"/>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第四部分   </w:t>
      </w:r>
      <w:bookmarkStart w:id="16" w:name="_Toc184314430"/>
      <w:bookmarkEnd w:id="16"/>
      <w:bookmarkStart w:id="17" w:name="_Toc184308063"/>
      <w:bookmarkEnd w:id="17"/>
      <w:bookmarkStart w:id="18" w:name="_Toc184312100"/>
      <w:bookmarkEnd w:id="18"/>
      <w:bookmarkStart w:id="19" w:name="_Toc184313241"/>
      <w:bookmarkEnd w:id="19"/>
      <w:bookmarkStart w:id="20" w:name="_Toc184314415"/>
      <w:bookmarkEnd w:id="20"/>
      <w:bookmarkStart w:id="21" w:name="_Toc184310291"/>
      <w:bookmarkEnd w:id="21"/>
      <w:bookmarkStart w:id="22" w:name="_Toc184313276"/>
      <w:bookmarkEnd w:id="22"/>
      <w:bookmarkStart w:id="23" w:name="_Toc184313258"/>
      <w:bookmarkEnd w:id="23"/>
      <w:bookmarkStart w:id="24" w:name="_Toc184313268"/>
      <w:bookmarkEnd w:id="24"/>
      <w:bookmarkStart w:id="25" w:name="_Toc184308042"/>
      <w:bookmarkEnd w:id="25"/>
      <w:bookmarkStart w:id="26" w:name="_Toc184313272"/>
      <w:bookmarkEnd w:id="26"/>
      <w:bookmarkStart w:id="27" w:name="_Toc184312076"/>
      <w:bookmarkEnd w:id="27"/>
      <w:bookmarkStart w:id="28" w:name="_Toc184312134"/>
      <w:bookmarkEnd w:id="28"/>
      <w:bookmarkStart w:id="29" w:name="_Toc184310297"/>
      <w:bookmarkEnd w:id="29"/>
      <w:bookmarkStart w:id="30" w:name="_Toc184308055"/>
      <w:bookmarkEnd w:id="30"/>
      <w:bookmarkStart w:id="31" w:name="_Toc184310312"/>
      <w:bookmarkEnd w:id="31"/>
      <w:bookmarkStart w:id="32" w:name="_Toc184308046"/>
      <w:bookmarkEnd w:id="32"/>
      <w:bookmarkStart w:id="33" w:name="_Toc184308059"/>
      <w:bookmarkEnd w:id="33"/>
      <w:bookmarkStart w:id="34" w:name="_Toc184313306"/>
      <w:bookmarkEnd w:id="34"/>
      <w:bookmarkStart w:id="35" w:name="_Toc184314425"/>
      <w:bookmarkEnd w:id="35"/>
      <w:bookmarkStart w:id="36" w:name="_Toc184308104"/>
      <w:bookmarkEnd w:id="36"/>
      <w:bookmarkStart w:id="37" w:name="_Toc184312079"/>
      <w:bookmarkEnd w:id="37"/>
      <w:bookmarkStart w:id="38" w:name="_Toc184314431"/>
      <w:bookmarkEnd w:id="38"/>
      <w:bookmarkStart w:id="39" w:name="_Toc184313264"/>
      <w:bookmarkEnd w:id="39"/>
      <w:bookmarkStart w:id="40" w:name="_Toc184310326"/>
      <w:bookmarkEnd w:id="40"/>
      <w:bookmarkStart w:id="41" w:name="_Toc184314444"/>
      <w:bookmarkEnd w:id="41"/>
      <w:bookmarkStart w:id="42" w:name="_Toc184313271"/>
      <w:bookmarkEnd w:id="42"/>
      <w:bookmarkStart w:id="43" w:name="_Toc184308069"/>
      <w:bookmarkEnd w:id="43"/>
      <w:bookmarkStart w:id="44" w:name="_Toc184314474"/>
      <w:bookmarkEnd w:id="44"/>
      <w:bookmarkStart w:id="45" w:name="_Toc184314424"/>
      <w:bookmarkEnd w:id="45"/>
      <w:bookmarkStart w:id="46" w:name="_Toc184314479"/>
      <w:bookmarkEnd w:id="46"/>
      <w:bookmarkStart w:id="47" w:name="_Toc184314462"/>
      <w:bookmarkEnd w:id="47"/>
      <w:bookmarkStart w:id="48" w:name="_Toc184308066"/>
      <w:bookmarkEnd w:id="48"/>
      <w:bookmarkStart w:id="49" w:name="_Toc184313308"/>
      <w:bookmarkEnd w:id="49"/>
      <w:bookmarkStart w:id="50" w:name="_Toc184312086"/>
      <w:bookmarkEnd w:id="50"/>
      <w:bookmarkStart w:id="51" w:name="_Toc184314416"/>
      <w:bookmarkEnd w:id="51"/>
      <w:bookmarkStart w:id="52" w:name="_Toc184308037"/>
      <w:bookmarkEnd w:id="52"/>
      <w:bookmarkStart w:id="53" w:name="_Toc184310333"/>
      <w:bookmarkEnd w:id="53"/>
      <w:bookmarkStart w:id="54" w:name="_Toc184310311"/>
      <w:bookmarkEnd w:id="54"/>
      <w:bookmarkStart w:id="55" w:name="_Toc184314429"/>
      <w:bookmarkEnd w:id="55"/>
      <w:bookmarkStart w:id="56" w:name="_Toc184308107"/>
      <w:bookmarkEnd w:id="56"/>
      <w:bookmarkStart w:id="57" w:name="_Toc184313274"/>
      <w:bookmarkEnd w:id="57"/>
      <w:bookmarkStart w:id="58" w:name="_Toc184313260"/>
      <w:bookmarkEnd w:id="58"/>
      <w:bookmarkStart w:id="59" w:name="_Toc184313279"/>
      <w:bookmarkEnd w:id="59"/>
      <w:bookmarkStart w:id="60" w:name="_Toc184314449"/>
      <w:bookmarkEnd w:id="60"/>
      <w:bookmarkStart w:id="61" w:name="_Toc184314470"/>
      <w:bookmarkEnd w:id="61"/>
      <w:bookmarkStart w:id="62" w:name="_Toc184313284"/>
      <w:bookmarkEnd w:id="62"/>
      <w:bookmarkStart w:id="63" w:name="_Toc184308049"/>
      <w:bookmarkEnd w:id="63"/>
      <w:bookmarkStart w:id="64" w:name="_Toc184312099"/>
      <w:bookmarkEnd w:id="64"/>
      <w:bookmarkStart w:id="65" w:name="_Toc184310279"/>
      <w:bookmarkEnd w:id="65"/>
      <w:bookmarkStart w:id="66" w:name="_Toc184310344"/>
      <w:bookmarkEnd w:id="66"/>
      <w:bookmarkStart w:id="67" w:name="_Toc184313294"/>
      <w:bookmarkEnd w:id="67"/>
      <w:bookmarkStart w:id="68" w:name="_Toc184313292"/>
      <w:bookmarkEnd w:id="68"/>
      <w:bookmarkStart w:id="69" w:name="_Toc184310321"/>
      <w:bookmarkEnd w:id="69"/>
      <w:bookmarkStart w:id="70" w:name="_Toc184308044"/>
      <w:bookmarkEnd w:id="70"/>
      <w:bookmarkStart w:id="71" w:name="_Toc184312085"/>
      <w:bookmarkEnd w:id="71"/>
      <w:bookmarkStart w:id="72" w:name="_Toc184310343"/>
      <w:bookmarkEnd w:id="72"/>
      <w:bookmarkStart w:id="73" w:name="_Toc184314442"/>
      <w:bookmarkEnd w:id="73"/>
      <w:bookmarkStart w:id="74" w:name="_Toc184308090"/>
      <w:bookmarkEnd w:id="74"/>
      <w:bookmarkStart w:id="75" w:name="_Toc184308070"/>
      <w:bookmarkEnd w:id="75"/>
      <w:bookmarkStart w:id="76" w:name="_Toc184308085"/>
      <w:bookmarkEnd w:id="76"/>
      <w:bookmarkStart w:id="77" w:name="_Toc184312108"/>
      <w:bookmarkEnd w:id="77"/>
      <w:bookmarkStart w:id="78" w:name="_Toc184313282"/>
      <w:bookmarkEnd w:id="78"/>
      <w:bookmarkStart w:id="79" w:name="_Toc184312135"/>
      <w:bookmarkEnd w:id="79"/>
      <w:bookmarkStart w:id="80" w:name="_Toc184310273"/>
      <w:bookmarkEnd w:id="80"/>
      <w:bookmarkStart w:id="81" w:name="_Toc184314472"/>
      <w:bookmarkEnd w:id="81"/>
      <w:bookmarkStart w:id="82" w:name="_Toc184314422"/>
      <w:bookmarkEnd w:id="82"/>
      <w:bookmarkStart w:id="83" w:name="_Toc184312127"/>
      <w:bookmarkEnd w:id="83"/>
      <w:bookmarkStart w:id="84" w:name="_Toc184310331"/>
      <w:bookmarkEnd w:id="84"/>
      <w:bookmarkStart w:id="85" w:name="_Toc184313290"/>
      <w:bookmarkEnd w:id="85"/>
      <w:bookmarkStart w:id="86" w:name="_Toc184313297"/>
      <w:bookmarkEnd w:id="86"/>
      <w:bookmarkStart w:id="87" w:name="_Toc184313246"/>
      <w:bookmarkEnd w:id="87"/>
      <w:bookmarkStart w:id="88" w:name="_Toc184312111"/>
      <w:bookmarkEnd w:id="88"/>
      <w:bookmarkStart w:id="89" w:name="_Toc184310276"/>
      <w:bookmarkEnd w:id="89"/>
      <w:bookmarkStart w:id="90" w:name="_Toc184308098"/>
      <w:bookmarkEnd w:id="90"/>
      <w:bookmarkStart w:id="91" w:name="_Toc184313239"/>
      <w:bookmarkEnd w:id="91"/>
      <w:bookmarkStart w:id="92" w:name="_Toc184310296"/>
      <w:bookmarkEnd w:id="92"/>
      <w:bookmarkStart w:id="93" w:name="_Toc184314435"/>
      <w:bookmarkEnd w:id="93"/>
      <w:bookmarkStart w:id="94" w:name="_Toc184312113"/>
      <w:bookmarkEnd w:id="94"/>
      <w:bookmarkStart w:id="95" w:name="_Toc184314459"/>
      <w:bookmarkEnd w:id="95"/>
      <w:bookmarkStart w:id="96" w:name="_Toc184312081"/>
      <w:bookmarkEnd w:id="96"/>
      <w:bookmarkStart w:id="97" w:name="_Toc184313283"/>
      <w:bookmarkEnd w:id="97"/>
      <w:bookmarkStart w:id="98" w:name="_Toc184308086"/>
      <w:bookmarkEnd w:id="98"/>
      <w:bookmarkStart w:id="99" w:name="_Toc184308064"/>
      <w:bookmarkEnd w:id="99"/>
      <w:bookmarkStart w:id="100" w:name="_Toc184310303"/>
      <w:bookmarkEnd w:id="100"/>
      <w:bookmarkStart w:id="101" w:name="_Toc184313300"/>
      <w:bookmarkEnd w:id="101"/>
      <w:bookmarkStart w:id="102" w:name="_Toc184310307"/>
      <w:bookmarkEnd w:id="102"/>
      <w:bookmarkStart w:id="103" w:name="_Toc184308041"/>
      <w:bookmarkEnd w:id="103"/>
      <w:bookmarkStart w:id="104" w:name="_Toc184314451"/>
      <w:bookmarkEnd w:id="104"/>
      <w:bookmarkStart w:id="105" w:name="_Toc184308080"/>
      <w:bookmarkEnd w:id="105"/>
      <w:bookmarkStart w:id="106" w:name="_Toc184308088"/>
      <w:bookmarkEnd w:id="106"/>
      <w:bookmarkStart w:id="107" w:name="_Toc184313254"/>
      <w:bookmarkEnd w:id="107"/>
      <w:bookmarkStart w:id="108" w:name="_Toc184312093"/>
      <w:bookmarkEnd w:id="108"/>
      <w:bookmarkStart w:id="109" w:name="_Toc184314443"/>
      <w:bookmarkEnd w:id="109"/>
      <w:bookmarkStart w:id="110" w:name="_Toc184314419"/>
      <w:bookmarkEnd w:id="110"/>
      <w:bookmarkStart w:id="111" w:name="_Toc184312075"/>
      <w:bookmarkEnd w:id="111"/>
      <w:bookmarkStart w:id="112" w:name="_Toc184310300"/>
      <w:bookmarkEnd w:id="112"/>
      <w:bookmarkStart w:id="113" w:name="_Toc184312077"/>
      <w:bookmarkEnd w:id="113"/>
      <w:bookmarkStart w:id="114" w:name="_Toc184314453"/>
      <w:bookmarkEnd w:id="114"/>
      <w:bookmarkStart w:id="115" w:name="_Toc184312072"/>
      <w:bookmarkEnd w:id="115"/>
      <w:bookmarkStart w:id="116" w:name="_Toc184310327"/>
      <w:bookmarkEnd w:id="116"/>
      <w:bookmarkStart w:id="117" w:name="_Toc184310342"/>
      <w:bookmarkEnd w:id="117"/>
      <w:bookmarkStart w:id="118" w:name="_Toc184308068"/>
      <w:bookmarkEnd w:id="118"/>
      <w:bookmarkStart w:id="119" w:name="_Toc184312074"/>
      <w:bookmarkEnd w:id="119"/>
      <w:bookmarkStart w:id="120" w:name="_Toc184313263"/>
      <w:bookmarkEnd w:id="120"/>
      <w:bookmarkStart w:id="121" w:name="_Toc184308091"/>
      <w:bookmarkEnd w:id="121"/>
      <w:bookmarkStart w:id="122" w:name="_Toc184313247"/>
      <w:bookmarkEnd w:id="122"/>
      <w:bookmarkStart w:id="123" w:name="_Toc184312106"/>
      <w:bookmarkEnd w:id="123"/>
      <w:bookmarkStart w:id="124" w:name="_Toc184312128"/>
      <w:bookmarkEnd w:id="124"/>
      <w:bookmarkStart w:id="125" w:name="_Toc184310328"/>
      <w:bookmarkEnd w:id="125"/>
      <w:bookmarkStart w:id="126" w:name="_Toc184310339"/>
      <w:bookmarkEnd w:id="126"/>
      <w:bookmarkStart w:id="127" w:name="_Toc184310278"/>
      <w:bookmarkEnd w:id="127"/>
      <w:bookmarkStart w:id="128" w:name="_Toc184314463"/>
      <w:bookmarkEnd w:id="128"/>
      <w:bookmarkStart w:id="129" w:name="_Toc184312096"/>
      <w:bookmarkEnd w:id="129"/>
      <w:bookmarkStart w:id="130" w:name="_Toc184314440"/>
      <w:bookmarkEnd w:id="130"/>
      <w:bookmarkStart w:id="131" w:name="_Toc184314464"/>
      <w:bookmarkEnd w:id="131"/>
      <w:bookmarkStart w:id="132" w:name="_Toc184314481"/>
      <w:bookmarkEnd w:id="132"/>
      <w:bookmarkStart w:id="133" w:name="_Toc184313303"/>
      <w:bookmarkEnd w:id="133"/>
      <w:bookmarkStart w:id="134" w:name="_Toc184308078"/>
      <w:bookmarkEnd w:id="134"/>
      <w:bookmarkStart w:id="135" w:name="_Toc184313287"/>
      <w:bookmarkEnd w:id="135"/>
      <w:bookmarkStart w:id="136" w:name="_Toc184308056"/>
      <w:bookmarkEnd w:id="136"/>
      <w:bookmarkStart w:id="137" w:name="_Toc184313299"/>
      <w:bookmarkEnd w:id="137"/>
      <w:bookmarkStart w:id="138" w:name="_Toc184310314"/>
      <w:bookmarkEnd w:id="138"/>
      <w:bookmarkStart w:id="139" w:name="_Toc184312129"/>
      <w:bookmarkEnd w:id="139"/>
      <w:bookmarkStart w:id="140" w:name="_Toc184314428"/>
      <w:bookmarkEnd w:id="140"/>
      <w:bookmarkStart w:id="141" w:name="_Toc184314412"/>
      <w:bookmarkEnd w:id="141"/>
      <w:bookmarkStart w:id="142" w:name="_Toc184313262"/>
      <w:bookmarkEnd w:id="142"/>
      <w:bookmarkStart w:id="143" w:name="_Toc184313273"/>
      <w:bookmarkEnd w:id="143"/>
      <w:bookmarkStart w:id="144" w:name="_Toc184308084"/>
      <w:bookmarkEnd w:id="144"/>
      <w:bookmarkStart w:id="145" w:name="_Toc184308103"/>
      <w:bookmarkEnd w:id="145"/>
      <w:bookmarkStart w:id="146" w:name="_Toc184314478"/>
      <w:bookmarkEnd w:id="146"/>
      <w:bookmarkStart w:id="147" w:name="_Toc184310301"/>
      <w:bookmarkEnd w:id="147"/>
      <w:bookmarkStart w:id="148" w:name="_Toc184310319"/>
      <w:bookmarkEnd w:id="148"/>
      <w:bookmarkStart w:id="149" w:name="_Toc184313256"/>
      <w:bookmarkEnd w:id="149"/>
      <w:bookmarkStart w:id="150" w:name="_Toc184312132"/>
      <w:bookmarkEnd w:id="150"/>
      <w:bookmarkStart w:id="151" w:name="_Toc184313269"/>
      <w:bookmarkEnd w:id="151"/>
      <w:bookmarkStart w:id="152" w:name="_Toc184314411"/>
      <w:bookmarkEnd w:id="152"/>
      <w:bookmarkStart w:id="153" w:name="_Toc184314452"/>
      <w:bookmarkEnd w:id="153"/>
      <w:bookmarkStart w:id="154" w:name="_Toc184312116"/>
      <w:bookmarkEnd w:id="154"/>
      <w:bookmarkStart w:id="155" w:name="_Toc184308048"/>
      <w:bookmarkEnd w:id="155"/>
      <w:bookmarkStart w:id="156" w:name="_Toc184314477"/>
      <w:bookmarkEnd w:id="156"/>
      <w:bookmarkStart w:id="157" w:name="_Toc184308074"/>
      <w:bookmarkEnd w:id="157"/>
      <w:bookmarkStart w:id="158" w:name="_Toc184314456"/>
      <w:bookmarkEnd w:id="158"/>
      <w:bookmarkStart w:id="159" w:name="_Toc184312095"/>
      <w:bookmarkEnd w:id="159"/>
      <w:bookmarkStart w:id="160" w:name="_Toc184312131"/>
      <w:bookmarkEnd w:id="160"/>
      <w:bookmarkStart w:id="161" w:name="_Toc184310299"/>
      <w:bookmarkEnd w:id="161"/>
      <w:bookmarkStart w:id="162" w:name="_Toc184312112"/>
      <w:bookmarkEnd w:id="162"/>
      <w:bookmarkStart w:id="163" w:name="_Toc184310294"/>
      <w:bookmarkEnd w:id="163"/>
      <w:bookmarkStart w:id="164" w:name="_Toc184312117"/>
      <w:bookmarkEnd w:id="164"/>
      <w:bookmarkStart w:id="165" w:name="_Toc184308108"/>
      <w:bookmarkEnd w:id="165"/>
      <w:bookmarkStart w:id="166" w:name="_Toc184313275"/>
      <w:bookmarkEnd w:id="166"/>
      <w:bookmarkStart w:id="167" w:name="_Toc184314421"/>
      <w:bookmarkEnd w:id="167"/>
      <w:bookmarkStart w:id="168" w:name="_Toc184310315"/>
      <w:bookmarkEnd w:id="168"/>
      <w:bookmarkStart w:id="169" w:name="_Toc184313253"/>
      <w:bookmarkEnd w:id="169"/>
      <w:bookmarkStart w:id="170" w:name="_Toc184310335"/>
      <w:bookmarkEnd w:id="170"/>
      <w:bookmarkStart w:id="171" w:name="_Toc184312138"/>
      <w:bookmarkEnd w:id="171"/>
      <w:bookmarkStart w:id="172" w:name="_Toc184310281"/>
      <w:bookmarkEnd w:id="172"/>
      <w:bookmarkStart w:id="173" w:name="_Toc184308081"/>
      <w:bookmarkEnd w:id="173"/>
      <w:bookmarkStart w:id="174" w:name="_Toc184312071"/>
      <w:bookmarkEnd w:id="174"/>
      <w:bookmarkStart w:id="175" w:name="_Toc184310310"/>
      <w:bookmarkEnd w:id="175"/>
      <w:bookmarkStart w:id="176" w:name="_Toc184314420"/>
      <w:bookmarkEnd w:id="176"/>
      <w:bookmarkStart w:id="177" w:name="_Toc184313309"/>
      <w:bookmarkEnd w:id="177"/>
      <w:bookmarkStart w:id="178" w:name="_Toc184308082"/>
      <w:bookmarkEnd w:id="178"/>
      <w:bookmarkStart w:id="179" w:name="_Toc184312097"/>
      <w:bookmarkEnd w:id="179"/>
      <w:bookmarkStart w:id="180" w:name="_Toc184308061"/>
      <w:bookmarkEnd w:id="180"/>
      <w:bookmarkStart w:id="181" w:name="_Toc184312092"/>
      <w:bookmarkEnd w:id="181"/>
      <w:bookmarkStart w:id="182" w:name="_Toc184312101"/>
      <w:bookmarkEnd w:id="182"/>
      <w:bookmarkStart w:id="183" w:name="_Toc184310274"/>
      <w:bookmarkEnd w:id="183"/>
      <w:bookmarkStart w:id="184" w:name="_Toc184310308"/>
      <w:bookmarkEnd w:id="184"/>
      <w:bookmarkStart w:id="185" w:name="_Toc184312110"/>
      <w:bookmarkEnd w:id="185"/>
      <w:bookmarkStart w:id="186" w:name="_Toc184313257"/>
      <w:bookmarkEnd w:id="186"/>
      <w:bookmarkStart w:id="187" w:name="_Toc184308072"/>
      <w:bookmarkEnd w:id="187"/>
      <w:bookmarkStart w:id="188" w:name="_Toc184312115"/>
      <w:bookmarkEnd w:id="188"/>
      <w:bookmarkStart w:id="189" w:name="_Toc184313277"/>
      <w:bookmarkEnd w:id="189"/>
      <w:bookmarkStart w:id="190" w:name="_Toc184313281"/>
      <w:bookmarkEnd w:id="190"/>
      <w:bookmarkStart w:id="191" w:name="_Toc184310306"/>
      <w:bookmarkEnd w:id="191"/>
      <w:bookmarkStart w:id="192" w:name="_Toc184314432"/>
      <w:bookmarkEnd w:id="192"/>
      <w:bookmarkStart w:id="193" w:name="_Toc184312119"/>
      <w:bookmarkEnd w:id="193"/>
      <w:bookmarkStart w:id="194" w:name="_Toc184308073"/>
      <w:bookmarkEnd w:id="194"/>
      <w:bookmarkStart w:id="195" w:name="_Toc184313295"/>
      <w:bookmarkEnd w:id="195"/>
      <w:bookmarkStart w:id="196" w:name="_Toc184310284"/>
      <w:bookmarkEnd w:id="196"/>
      <w:bookmarkStart w:id="197" w:name="_Toc184312073"/>
      <w:bookmarkEnd w:id="197"/>
      <w:bookmarkStart w:id="198" w:name="_Toc184314413"/>
      <w:bookmarkEnd w:id="198"/>
      <w:bookmarkStart w:id="199" w:name="_Toc184308038"/>
      <w:bookmarkEnd w:id="199"/>
      <w:bookmarkStart w:id="200" w:name="_Toc184314441"/>
      <w:bookmarkEnd w:id="200"/>
      <w:bookmarkStart w:id="201" w:name="_Toc184312130"/>
      <w:bookmarkEnd w:id="201"/>
      <w:bookmarkStart w:id="202" w:name="_Toc184308076"/>
      <w:bookmarkEnd w:id="202"/>
      <w:bookmarkStart w:id="203" w:name="_Toc184308052"/>
      <w:bookmarkEnd w:id="203"/>
      <w:bookmarkStart w:id="204" w:name="_Toc184308047"/>
      <w:bookmarkEnd w:id="204"/>
      <w:bookmarkStart w:id="205" w:name="_Toc184314418"/>
      <w:bookmarkEnd w:id="205"/>
      <w:bookmarkStart w:id="206" w:name="_Toc184308058"/>
      <w:bookmarkEnd w:id="206"/>
      <w:bookmarkStart w:id="207" w:name="_Toc184308101"/>
      <w:bookmarkEnd w:id="207"/>
      <w:bookmarkStart w:id="208" w:name="_Toc184310280"/>
      <w:bookmarkEnd w:id="208"/>
      <w:bookmarkStart w:id="209" w:name="_Toc184310302"/>
      <w:bookmarkEnd w:id="209"/>
      <w:bookmarkStart w:id="210" w:name="_Toc184314454"/>
      <w:bookmarkEnd w:id="210"/>
      <w:bookmarkStart w:id="211" w:name="_Toc184312133"/>
      <w:bookmarkEnd w:id="211"/>
      <w:bookmarkStart w:id="212" w:name="_Toc184312136"/>
      <w:bookmarkEnd w:id="212"/>
      <w:bookmarkStart w:id="213" w:name="_Toc184310332"/>
      <w:bookmarkEnd w:id="213"/>
      <w:bookmarkStart w:id="214" w:name="_Toc184310292"/>
      <w:bookmarkEnd w:id="214"/>
      <w:bookmarkStart w:id="215" w:name="_Toc184310295"/>
      <w:bookmarkEnd w:id="215"/>
      <w:bookmarkStart w:id="216" w:name="_Toc184314414"/>
      <w:bookmarkEnd w:id="216"/>
      <w:bookmarkStart w:id="217" w:name="_Toc184308045"/>
      <w:bookmarkEnd w:id="217"/>
      <w:bookmarkStart w:id="218" w:name="_Toc184310283"/>
      <w:bookmarkEnd w:id="218"/>
      <w:bookmarkStart w:id="219" w:name="_Toc184313293"/>
      <w:bookmarkEnd w:id="219"/>
      <w:bookmarkStart w:id="220" w:name="_Toc184308087"/>
      <w:bookmarkEnd w:id="220"/>
      <w:bookmarkStart w:id="221" w:name="_Toc184308096"/>
      <w:bookmarkEnd w:id="221"/>
      <w:bookmarkStart w:id="222" w:name="_Toc184310338"/>
      <w:bookmarkEnd w:id="222"/>
      <w:bookmarkStart w:id="223" w:name="_Toc184310287"/>
      <w:bookmarkEnd w:id="223"/>
      <w:bookmarkStart w:id="224" w:name="_Toc184312094"/>
      <w:bookmarkEnd w:id="224"/>
      <w:bookmarkStart w:id="225" w:name="_Toc184312102"/>
      <w:bookmarkEnd w:id="225"/>
      <w:bookmarkStart w:id="226" w:name="_Toc184308100"/>
      <w:bookmarkEnd w:id="226"/>
      <w:bookmarkStart w:id="227" w:name="_Toc184313243"/>
      <w:bookmarkEnd w:id="227"/>
      <w:bookmarkStart w:id="228" w:name="_Toc184313267"/>
      <w:bookmarkEnd w:id="228"/>
      <w:bookmarkStart w:id="229" w:name="_Toc184312067"/>
      <w:bookmarkEnd w:id="229"/>
      <w:bookmarkStart w:id="230" w:name="_Toc184314439"/>
      <w:bookmarkEnd w:id="230"/>
      <w:bookmarkStart w:id="231" w:name="_Toc184312088"/>
      <w:bookmarkEnd w:id="231"/>
      <w:bookmarkStart w:id="232" w:name="_Toc184312126"/>
      <w:bookmarkEnd w:id="232"/>
      <w:bookmarkStart w:id="233" w:name="_Toc184308071"/>
      <w:bookmarkEnd w:id="233"/>
      <w:bookmarkStart w:id="234" w:name="_Toc184314434"/>
      <w:bookmarkEnd w:id="234"/>
      <w:bookmarkStart w:id="235" w:name="_Toc184308039"/>
      <w:bookmarkEnd w:id="235"/>
      <w:bookmarkStart w:id="236" w:name="_Toc184314455"/>
      <w:bookmarkEnd w:id="236"/>
      <w:bookmarkStart w:id="237" w:name="_Toc184308106"/>
      <w:bookmarkEnd w:id="237"/>
      <w:bookmarkStart w:id="238" w:name="_Toc184312125"/>
      <w:bookmarkEnd w:id="238"/>
      <w:bookmarkStart w:id="239" w:name="_Toc184314410"/>
      <w:bookmarkEnd w:id="239"/>
      <w:bookmarkStart w:id="240" w:name="_Toc184308095"/>
      <w:bookmarkEnd w:id="240"/>
      <w:bookmarkStart w:id="241" w:name="_Toc184314450"/>
      <w:bookmarkEnd w:id="241"/>
      <w:bookmarkStart w:id="242" w:name="_Toc184308094"/>
      <w:bookmarkEnd w:id="242"/>
      <w:bookmarkStart w:id="243" w:name="_Toc184312114"/>
      <w:bookmarkEnd w:id="243"/>
      <w:bookmarkStart w:id="244" w:name="_Toc184312069"/>
      <w:bookmarkEnd w:id="244"/>
      <w:bookmarkStart w:id="245" w:name="_Toc184310285"/>
      <w:bookmarkEnd w:id="245"/>
      <w:bookmarkStart w:id="246" w:name="_Toc184310325"/>
      <w:bookmarkEnd w:id="246"/>
      <w:bookmarkStart w:id="247" w:name="_Toc184312082"/>
      <w:bookmarkEnd w:id="247"/>
      <w:bookmarkStart w:id="248" w:name="_Toc184310320"/>
      <w:bookmarkEnd w:id="248"/>
      <w:bookmarkStart w:id="249" w:name="_Toc184308099"/>
      <w:bookmarkEnd w:id="249"/>
      <w:bookmarkStart w:id="250" w:name="_Toc184313280"/>
      <w:bookmarkEnd w:id="250"/>
      <w:bookmarkStart w:id="251" w:name="_Toc184313301"/>
      <w:bookmarkEnd w:id="251"/>
      <w:bookmarkStart w:id="252" w:name="_Toc184314465"/>
      <w:bookmarkEnd w:id="252"/>
      <w:bookmarkStart w:id="253" w:name="_Toc184312104"/>
      <w:bookmarkEnd w:id="253"/>
      <w:bookmarkStart w:id="254" w:name="_Toc184310304"/>
      <w:bookmarkEnd w:id="254"/>
      <w:bookmarkStart w:id="255" w:name="_Toc184314433"/>
      <w:bookmarkEnd w:id="255"/>
      <w:bookmarkStart w:id="256" w:name="_Toc184313291"/>
      <w:bookmarkEnd w:id="256"/>
      <w:bookmarkStart w:id="257" w:name="_Toc184308102"/>
      <w:bookmarkEnd w:id="257"/>
      <w:bookmarkStart w:id="258" w:name="_Toc184308075"/>
      <w:bookmarkEnd w:id="258"/>
      <w:bookmarkStart w:id="259" w:name="_Toc184313255"/>
      <w:bookmarkEnd w:id="259"/>
      <w:bookmarkStart w:id="260" w:name="_Toc184312070"/>
      <w:bookmarkEnd w:id="260"/>
      <w:bookmarkStart w:id="261" w:name="_Toc184313261"/>
      <w:bookmarkEnd w:id="261"/>
      <w:bookmarkStart w:id="262" w:name="_Toc184314426"/>
      <w:bookmarkEnd w:id="262"/>
      <w:bookmarkStart w:id="263" w:name="_Toc184313249"/>
      <w:bookmarkEnd w:id="263"/>
      <w:bookmarkStart w:id="264" w:name="_Toc184308105"/>
      <w:bookmarkEnd w:id="264"/>
      <w:bookmarkStart w:id="265" w:name="_Toc184313266"/>
      <w:bookmarkEnd w:id="265"/>
      <w:bookmarkStart w:id="266" w:name="_Toc184312107"/>
      <w:bookmarkEnd w:id="266"/>
      <w:bookmarkStart w:id="267" w:name="_Toc184312098"/>
      <w:bookmarkEnd w:id="267"/>
      <w:bookmarkStart w:id="268" w:name="_Toc184310298"/>
      <w:bookmarkEnd w:id="268"/>
      <w:bookmarkStart w:id="269" w:name="_Toc184312083"/>
      <w:bookmarkEnd w:id="269"/>
      <w:bookmarkStart w:id="270" w:name="_Toc184310318"/>
      <w:bookmarkEnd w:id="270"/>
      <w:bookmarkStart w:id="271" w:name="_Toc184313270"/>
      <w:bookmarkEnd w:id="271"/>
      <w:bookmarkStart w:id="272" w:name="_Toc184308062"/>
      <w:bookmarkEnd w:id="272"/>
      <w:bookmarkStart w:id="273" w:name="_Toc184313238"/>
      <w:bookmarkEnd w:id="273"/>
      <w:bookmarkStart w:id="274" w:name="_Toc184314473"/>
      <w:bookmarkEnd w:id="274"/>
      <w:bookmarkStart w:id="275" w:name="_Toc184314461"/>
      <w:bookmarkEnd w:id="275"/>
      <w:bookmarkStart w:id="276" w:name="_Toc184312068"/>
      <w:bookmarkEnd w:id="276"/>
      <w:bookmarkStart w:id="277" w:name="_Toc184312089"/>
      <w:bookmarkEnd w:id="277"/>
      <w:bookmarkStart w:id="278" w:name="_Toc184310316"/>
      <w:bookmarkEnd w:id="278"/>
      <w:bookmarkStart w:id="279" w:name="_Toc184313296"/>
      <w:bookmarkEnd w:id="279"/>
      <w:bookmarkStart w:id="280" w:name="_Toc184314475"/>
      <w:bookmarkEnd w:id="280"/>
      <w:bookmarkStart w:id="281" w:name="_Toc184314436"/>
      <w:bookmarkEnd w:id="281"/>
      <w:bookmarkStart w:id="282" w:name="_Toc184308092"/>
      <w:bookmarkEnd w:id="282"/>
      <w:bookmarkStart w:id="283" w:name="_Toc184312118"/>
      <w:bookmarkEnd w:id="283"/>
      <w:bookmarkStart w:id="284" w:name="_Toc184308043"/>
      <w:bookmarkEnd w:id="284"/>
      <w:bookmarkStart w:id="285" w:name="_Toc184308097"/>
      <w:bookmarkEnd w:id="285"/>
      <w:bookmarkStart w:id="286" w:name="_Toc184310313"/>
      <w:bookmarkEnd w:id="286"/>
      <w:bookmarkStart w:id="287" w:name="_Toc184313298"/>
      <w:bookmarkEnd w:id="287"/>
      <w:bookmarkStart w:id="288" w:name="_Toc184313240"/>
      <w:bookmarkEnd w:id="288"/>
      <w:bookmarkStart w:id="289" w:name="_Toc184312078"/>
      <w:bookmarkEnd w:id="289"/>
      <w:bookmarkStart w:id="290" w:name="_Toc184308053"/>
      <w:bookmarkEnd w:id="290"/>
      <w:bookmarkStart w:id="291" w:name="_Toc184310336"/>
      <w:bookmarkEnd w:id="291"/>
      <w:bookmarkStart w:id="292" w:name="_Toc184310334"/>
      <w:bookmarkEnd w:id="292"/>
      <w:bookmarkStart w:id="293" w:name="_Toc184314457"/>
      <w:bookmarkEnd w:id="293"/>
      <w:bookmarkStart w:id="294" w:name="_Toc184308067"/>
      <w:bookmarkEnd w:id="294"/>
      <w:bookmarkStart w:id="295" w:name="_Toc184308079"/>
      <w:bookmarkEnd w:id="295"/>
      <w:bookmarkStart w:id="296" w:name="_Toc184310317"/>
      <w:bookmarkEnd w:id="296"/>
      <w:bookmarkStart w:id="297" w:name="_Toc184310329"/>
      <w:bookmarkEnd w:id="297"/>
      <w:bookmarkStart w:id="298" w:name="_Toc184308065"/>
      <w:bookmarkEnd w:id="298"/>
      <w:bookmarkStart w:id="299" w:name="_Toc184308083"/>
      <w:bookmarkEnd w:id="299"/>
      <w:bookmarkStart w:id="300" w:name="_Toc184310293"/>
      <w:bookmarkEnd w:id="300"/>
      <w:bookmarkStart w:id="301" w:name="_Toc184313307"/>
      <w:bookmarkEnd w:id="301"/>
      <w:bookmarkStart w:id="302" w:name="_Toc184312105"/>
      <w:bookmarkEnd w:id="302"/>
      <w:bookmarkStart w:id="303" w:name="_Toc184310340"/>
      <w:bookmarkEnd w:id="303"/>
      <w:bookmarkStart w:id="304" w:name="_Toc184314448"/>
      <w:bookmarkEnd w:id="304"/>
      <w:bookmarkStart w:id="305" w:name="_Toc184308077"/>
      <w:bookmarkEnd w:id="305"/>
      <w:bookmarkStart w:id="306" w:name="_Toc184314445"/>
      <w:bookmarkEnd w:id="306"/>
      <w:bookmarkStart w:id="307" w:name="_Toc184312120"/>
      <w:bookmarkEnd w:id="307"/>
      <w:bookmarkStart w:id="308" w:name="_Toc184314447"/>
      <w:bookmarkEnd w:id="308"/>
      <w:bookmarkStart w:id="309" w:name="_Toc184314460"/>
      <w:bookmarkEnd w:id="309"/>
      <w:bookmarkStart w:id="310" w:name="_Toc184313310"/>
      <w:bookmarkEnd w:id="310"/>
      <w:bookmarkStart w:id="311" w:name="_Toc184312103"/>
      <w:bookmarkEnd w:id="311"/>
      <w:bookmarkStart w:id="312" w:name="_Toc184312080"/>
      <w:bookmarkEnd w:id="312"/>
      <w:bookmarkStart w:id="313" w:name="_Toc184313289"/>
      <w:bookmarkEnd w:id="313"/>
      <w:bookmarkStart w:id="314" w:name="_Toc184313251"/>
      <w:bookmarkEnd w:id="314"/>
      <w:bookmarkStart w:id="315" w:name="_Toc184313245"/>
      <w:bookmarkEnd w:id="315"/>
      <w:bookmarkStart w:id="316" w:name="_Toc184314482"/>
      <w:bookmarkEnd w:id="316"/>
      <w:bookmarkStart w:id="317" w:name="_Toc184310275"/>
      <w:bookmarkEnd w:id="317"/>
      <w:bookmarkStart w:id="318" w:name="_Toc184308040"/>
      <w:bookmarkEnd w:id="318"/>
      <w:bookmarkStart w:id="319" w:name="_Toc184310277"/>
      <w:bookmarkEnd w:id="319"/>
      <w:bookmarkStart w:id="320" w:name="_Toc184314467"/>
      <w:bookmarkEnd w:id="320"/>
      <w:bookmarkStart w:id="321" w:name="_Toc184313288"/>
      <w:bookmarkEnd w:id="321"/>
      <w:bookmarkStart w:id="322" w:name="_Toc184314458"/>
      <w:bookmarkEnd w:id="322"/>
      <w:bookmarkStart w:id="323" w:name="_Toc184313250"/>
      <w:bookmarkEnd w:id="323"/>
      <w:bookmarkStart w:id="324" w:name="_Toc184312139"/>
      <w:bookmarkEnd w:id="324"/>
      <w:bookmarkStart w:id="325" w:name="_Toc184313248"/>
      <w:bookmarkEnd w:id="325"/>
      <w:bookmarkStart w:id="326" w:name="_Toc184314469"/>
      <w:bookmarkEnd w:id="326"/>
      <w:bookmarkStart w:id="327" w:name="_Toc184310272"/>
      <w:bookmarkEnd w:id="327"/>
      <w:bookmarkStart w:id="328" w:name="_Toc184312121"/>
      <w:bookmarkEnd w:id="328"/>
      <w:bookmarkStart w:id="329" w:name="_Toc184313286"/>
      <w:bookmarkEnd w:id="329"/>
      <w:bookmarkStart w:id="330" w:name="_Toc184310309"/>
      <w:bookmarkEnd w:id="330"/>
      <w:bookmarkStart w:id="331" w:name="_Toc184312124"/>
      <w:bookmarkEnd w:id="331"/>
      <w:bookmarkStart w:id="332" w:name="_Toc184313259"/>
      <w:bookmarkEnd w:id="332"/>
      <w:bookmarkStart w:id="333" w:name="_Toc184312091"/>
      <w:bookmarkEnd w:id="333"/>
      <w:bookmarkStart w:id="334" w:name="_Toc184312109"/>
      <w:bookmarkEnd w:id="334"/>
      <w:bookmarkStart w:id="335" w:name="_Toc184310288"/>
      <w:bookmarkEnd w:id="335"/>
      <w:bookmarkStart w:id="336" w:name="_Toc184308050"/>
      <w:bookmarkEnd w:id="336"/>
      <w:bookmarkStart w:id="337" w:name="_Toc184310322"/>
      <w:bookmarkEnd w:id="337"/>
      <w:bookmarkStart w:id="338" w:name="_Toc184313242"/>
      <w:bookmarkEnd w:id="338"/>
      <w:bookmarkStart w:id="339" w:name="_Toc184313244"/>
      <w:bookmarkEnd w:id="339"/>
      <w:bookmarkStart w:id="340" w:name="_Toc184314417"/>
      <w:bookmarkEnd w:id="340"/>
      <w:bookmarkStart w:id="341" w:name="_Toc184310290"/>
      <w:bookmarkEnd w:id="341"/>
      <w:bookmarkStart w:id="342" w:name="_Toc184308060"/>
      <w:bookmarkEnd w:id="342"/>
      <w:bookmarkStart w:id="343" w:name="_Toc184310341"/>
      <w:bookmarkEnd w:id="343"/>
      <w:bookmarkStart w:id="344" w:name="_Toc184314468"/>
      <w:bookmarkEnd w:id="344"/>
      <w:bookmarkStart w:id="345" w:name="_Toc184310330"/>
      <w:bookmarkEnd w:id="345"/>
      <w:bookmarkStart w:id="346" w:name="_Toc184312090"/>
      <w:bookmarkEnd w:id="346"/>
      <w:bookmarkStart w:id="347" w:name="_Toc184314466"/>
      <w:bookmarkEnd w:id="347"/>
      <w:bookmarkStart w:id="348" w:name="_Toc184314480"/>
      <w:bookmarkEnd w:id="348"/>
      <w:bookmarkStart w:id="349" w:name="_Toc184308054"/>
      <w:bookmarkEnd w:id="349"/>
      <w:bookmarkStart w:id="350" w:name="_Toc184310337"/>
      <w:bookmarkEnd w:id="350"/>
      <w:bookmarkStart w:id="351" w:name="_Toc184314471"/>
      <w:bookmarkEnd w:id="351"/>
      <w:bookmarkStart w:id="352" w:name="_Toc184312122"/>
      <w:bookmarkEnd w:id="352"/>
      <w:bookmarkStart w:id="353" w:name="_Toc184313252"/>
      <w:bookmarkEnd w:id="353"/>
      <w:bookmarkStart w:id="354" w:name="_Toc184313278"/>
      <w:bookmarkEnd w:id="354"/>
      <w:bookmarkStart w:id="355" w:name="_Toc184310282"/>
      <w:bookmarkEnd w:id="355"/>
      <w:bookmarkStart w:id="356" w:name="_Toc184310305"/>
      <w:bookmarkEnd w:id="356"/>
      <w:bookmarkStart w:id="357" w:name="_Toc184310324"/>
      <w:bookmarkEnd w:id="357"/>
      <w:bookmarkStart w:id="358" w:name="_Toc184310323"/>
      <w:bookmarkEnd w:id="358"/>
      <w:bookmarkStart w:id="359" w:name="_Toc184308051"/>
      <w:bookmarkEnd w:id="359"/>
      <w:bookmarkStart w:id="360" w:name="_Toc184314427"/>
      <w:bookmarkEnd w:id="360"/>
      <w:bookmarkStart w:id="361" w:name="_Toc184313302"/>
      <w:bookmarkEnd w:id="361"/>
      <w:bookmarkStart w:id="362" w:name="_Toc184312137"/>
      <w:bookmarkEnd w:id="362"/>
      <w:bookmarkStart w:id="363" w:name="_Toc184314476"/>
      <w:bookmarkEnd w:id="363"/>
      <w:bookmarkStart w:id="364" w:name="_Toc184314423"/>
      <w:bookmarkEnd w:id="364"/>
      <w:bookmarkStart w:id="365" w:name="_Toc184313265"/>
      <w:bookmarkEnd w:id="365"/>
      <w:bookmarkStart w:id="366" w:name="_Toc184313285"/>
      <w:bookmarkEnd w:id="366"/>
      <w:bookmarkStart w:id="367" w:name="_Toc184310289"/>
      <w:bookmarkEnd w:id="367"/>
      <w:bookmarkStart w:id="368" w:name="_Toc184313304"/>
      <w:bookmarkEnd w:id="368"/>
      <w:bookmarkStart w:id="369" w:name="_Toc184310286"/>
      <w:bookmarkEnd w:id="369"/>
      <w:bookmarkStart w:id="370" w:name="_Toc184314437"/>
      <w:bookmarkEnd w:id="370"/>
      <w:bookmarkStart w:id="371" w:name="_Toc184314438"/>
      <w:bookmarkEnd w:id="371"/>
      <w:bookmarkStart w:id="372" w:name="_Toc184312087"/>
      <w:bookmarkEnd w:id="372"/>
      <w:bookmarkStart w:id="373" w:name="_Toc184313305"/>
      <w:bookmarkEnd w:id="373"/>
      <w:bookmarkStart w:id="374" w:name="_Toc184308093"/>
      <w:bookmarkEnd w:id="374"/>
      <w:bookmarkStart w:id="375" w:name="_Toc184308057"/>
      <w:bookmarkEnd w:id="375"/>
      <w:bookmarkStart w:id="376" w:name="_Toc184312084"/>
      <w:bookmarkEnd w:id="376"/>
      <w:bookmarkStart w:id="377" w:name="_Toc184314446"/>
      <w:bookmarkEnd w:id="377"/>
      <w:bookmarkStart w:id="378" w:name="_Toc184308036"/>
      <w:bookmarkEnd w:id="378"/>
      <w:bookmarkStart w:id="379" w:name="_Toc184312123"/>
      <w:bookmarkEnd w:id="379"/>
      <w:bookmarkStart w:id="380" w:name="_Toc184308089"/>
      <w:bookmarkEnd w:id="380"/>
      <w:r>
        <w:rPr>
          <w:rFonts w:hint="eastAsia" w:ascii="宋体" w:hAnsi="宋体" w:eastAsia="宋体" w:cs="宋体"/>
          <w:b/>
          <w:color w:val="auto"/>
          <w:sz w:val="36"/>
          <w:szCs w:val="36"/>
          <w:highlight w:val="none"/>
          <w:lang w:eastAsia="zh-CN"/>
        </w:rPr>
        <w:t>交易办法</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方法</w:t>
      </w:r>
    </w:p>
    <w:p>
      <w:pPr>
        <w:pageBreakBefore w:val="0"/>
        <w:kinsoku/>
        <w:wordWrap/>
        <w:overflowPunct/>
        <w:topLinePunct w:val="0"/>
        <w:autoSpaceDE/>
        <w:autoSpaceDN/>
        <w:bidi w:val="0"/>
        <w:adjustRightInd/>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cs="宋体"/>
          <w:b/>
          <w:color w:val="auto"/>
          <w:kern w:val="0"/>
          <w:sz w:val="24"/>
          <w:highlight w:val="none"/>
          <w:lang w:val="en-US" w:eastAsia="zh-CN"/>
        </w:rPr>
        <w:t>最低价法</w:t>
      </w:r>
      <w:r>
        <w:rPr>
          <w:rFonts w:hint="eastAsia" w:ascii="宋体" w:hAnsi="宋体" w:eastAsia="宋体" w:cs="宋体"/>
          <w:b/>
          <w:color w:val="auto"/>
          <w:kern w:val="0"/>
          <w:sz w:val="24"/>
          <w:highlight w:val="none"/>
        </w:rPr>
        <w:t>。</w:t>
      </w:r>
      <w:r>
        <w:rPr>
          <w:rFonts w:hint="eastAsia" w:ascii="宋体" w:hAnsi="宋体" w:cs="宋体"/>
          <w:b w:val="0"/>
          <w:bCs/>
          <w:color w:val="auto"/>
          <w:kern w:val="0"/>
          <w:sz w:val="24"/>
          <w:highlight w:val="none"/>
          <w:lang w:val="en-US" w:eastAsia="zh-CN"/>
        </w:rPr>
        <w:t>最低价法</w:t>
      </w:r>
      <w:r>
        <w:rPr>
          <w:rFonts w:hint="eastAsia" w:ascii="宋体" w:hAnsi="宋体" w:eastAsia="宋体" w:cs="宋体"/>
          <w:color w:val="auto"/>
          <w:kern w:val="0"/>
          <w:sz w:val="24"/>
          <w:highlight w:val="none"/>
        </w:rPr>
        <w:t>，是指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全部实质性要求，依据统一的价格要素评定最低报价，以提出最低报价的</w:t>
      </w:r>
      <w:r>
        <w:rPr>
          <w:rFonts w:hint="eastAsia" w:ascii="宋体" w:hAnsi="宋体" w:cs="宋体"/>
          <w:color w:val="auto"/>
          <w:kern w:val="0"/>
          <w:sz w:val="24"/>
          <w:highlight w:val="none"/>
          <w:lang w:val="en-US" w:eastAsia="zh-CN"/>
        </w:rPr>
        <w:t>响应人</w:t>
      </w:r>
      <w:r>
        <w:rPr>
          <w:rFonts w:hint="eastAsia" w:ascii="宋体" w:hAnsi="宋体" w:eastAsia="宋体" w:cs="宋体"/>
          <w:color w:val="auto"/>
          <w:kern w:val="0"/>
          <w:sz w:val="24"/>
          <w:highlight w:val="none"/>
        </w:rPr>
        <w:t>作为成交候选</w:t>
      </w:r>
      <w:r>
        <w:rPr>
          <w:rFonts w:hint="eastAsia" w:ascii="宋体" w:hAnsi="宋体" w:cs="宋体"/>
          <w:color w:val="auto"/>
          <w:kern w:val="0"/>
          <w:sz w:val="24"/>
          <w:highlight w:val="none"/>
          <w:lang w:val="en-US" w:eastAsia="zh-CN"/>
        </w:rPr>
        <w:t>人</w:t>
      </w:r>
      <w:r>
        <w:rPr>
          <w:rFonts w:hint="eastAsia" w:ascii="宋体" w:hAnsi="宋体" w:eastAsia="宋体" w:cs="宋体"/>
          <w:color w:val="auto"/>
          <w:kern w:val="0"/>
          <w:sz w:val="24"/>
          <w:highlight w:val="none"/>
        </w:rPr>
        <w:t>的评审方法。</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标准</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cs="宋体"/>
          <w:color w:val="auto"/>
          <w:kern w:val="0"/>
          <w:sz w:val="24"/>
          <w:highlight w:val="none"/>
          <w:lang w:val="en-US" w:eastAsia="zh-CN"/>
        </w:rPr>
        <w:t>最低价法</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程序</w:t>
      </w:r>
    </w:p>
    <w:bookmarkEnd w:id="15"/>
    <w:p>
      <w:pPr>
        <w:keepNext w:val="0"/>
        <w:keepLines w:val="0"/>
        <w:pageBreakBefore w:val="0"/>
        <w:widowControl w:val="0"/>
        <w:kinsoku/>
        <w:wordWrap/>
        <w:overflowPunct/>
        <w:topLinePunct w:val="0"/>
        <w:autoSpaceDE/>
        <w:autoSpaceDN/>
        <w:bidi w:val="0"/>
        <w:adjustRightInd w:val="0"/>
        <w:spacing w:line="570" w:lineRule="exact"/>
        <w:ind w:firstLine="482" w:firstLineChars="200"/>
        <w:textAlignment w:val="auto"/>
        <w:rPr>
          <w:rFonts w:hint="eastAsia" w:ascii="宋体" w:hAnsi="宋体" w:eastAsia="宋体" w:cs="宋体"/>
          <w:color w:val="auto"/>
          <w:kern w:val="0"/>
          <w:sz w:val="24"/>
          <w:highlight w:val="none"/>
        </w:rPr>
      </w:pPr>
      <w:bookmarkStart w:id="381" w:name="第五部分"/>
      <w:bookmarkStart w:id="382" w:name="_Toc86217003"/>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应当对符合资格的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w:t>
      </w:r>
      <w:r>
        <w:rPr>
          <w:rFonts w:hint="eastAsia" w:ascii="宋体" w:hAnsi="宋体" w:cs="宋体"/>
          <w:color w:val="auto"/>
          <w:kern w:val="0"/>
          <w:sz w:val="24"/>
          <w:highlight w:val="none"/>
          <w:lang w:val="en-US" w:eastAsia="zh-CN"/>
        </w:rPr>
        <w:t>交易办法</w:t>
      </w:r>
      <w:r>
        <w:rPr>
          <w:rFonts w:hint="eastAsia" w:ascii="宋体" w:hAnsi="宋体" w:eastAsia="宋体" w:cs="宋体"/>
          <w:color w:val="auto"/>
          <w:kern w:val="0"/>
          <w:sz w:val="24"/>
          <w:highlight w:val="none"/>
        </w:rPr>
        <w:t>，对符合性审查合格的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w:t>
      </w:r>
      <w:r>
        <w:rPr>
          <w:rFonts w:hint="eastAsia" w:ascii="宋体" w:hAnsi="宋体" w:cs="宋体"/>
          <w:color w:val="auto"/>
          <w:kern w:val="0"/>
          <w:sz w:val="24"/>
          <w:highlight w:val="none"/>
          <w:lang w:val="en-US" w:eastAsia="zh-CN"/>
        </w:rPr>
        <w:t>评审</w:t>
      </w:r>
      <w:r>
        <w:rPr>
          <w:rFonts w:hint="eastAsia" w:ascii="宋体" w:hAnsi="宋体" w:eastAsia="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pacing w:line="57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6"/>
        <w:keepNext w:val="0"/>
        <w:keepLines w:val="0"/>
        <w:pageBreakBefore w:val="0"/>
        <w:widowControl w:val="0"/>
        <w:kinsoku/>
        <w:wordWrap/>
        <w:overflowPunct/>
        <w:topLinePunct w:val="0"/>
        <w:autoSpaceDE/>
        <w:autoSpaceDN/>
        <w:bidi w:val="0"/>
        <w:adjustRightInd w:val="0"/>
        <w:spacing w:before="0" w:line="570" w:lineRule="exact"/>
        <w:ind w:firstLine="48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pPr>
        <w:pStyle w:val="136"/>
        <w:keepNext w:val="0"/>
        <w:keepLines w:val="0"/>
        <w:pageBreakBefore w:val="0"/>
        <w:widowControl w:val="0"/>
        <w:kinsoku/>
        <w:wordWrap/>
        <w:overflowPunct/>
        <w:topLinePunct w:val="0"/>
        <w:autoSpaceDE/>
        <w:autoSpaceDN/>
        <w:bidi w:val="0"/>
        <w:adjustRightInd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r>
        <w:rPr>
          <w:rFonts w:hint="eastAsia" w:ascii="宋体" w:hAnsi="宋体" w:eastAsia="宋体" w:cs="宋体"/>
          <w:color w:val="auto"/>
          <w:kern w:val="0"/>
          <w:szCs w:val="24"/>
          <w:highlight w:val="none"/>
          <w:lang w:eastAsia="zh-CN"/>
        </w:rPr>
        <w:t>；</w:t>
      </w:r>
    </w:p>
    <w:p>
      <w:pPr>
        <w:pStyle w:val="136"/>
        <w:keepNext w:val="0"/>
        <w:keepLines w:val="0"/>
        <w:pageBreakBefore w:val="0"/>
        <w:widowControl w:val="0"/>
        <w:kinsoku/>
        <w:wordWrap/>
        <w:overflowPunct/>
        <w:topLinePunct w:val="0"/>
        <w:autoSpaceDE/>
        <w:autoSpaceDN/>
        <w:bidi w:val="0"/>
        <w:adjustRightInd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pPr>
        <w:pStyle w:val="136"/>
        <w:keepNext w:val="0"/>
        <w:keepLines w:val="0"/>
        <w:pageBreakBefore w:val="0"/>
        <w:widowControl w:val="0"/>
        <w:kinsoku/>
        <w:wordWrap/>
        <w:overflowPunct/>
        <w:topLinePunct w:val="0"/>
        <w:autoSpaceDE/>
        <w:autoSpaceDN/>
        <w:bidi w:val="0"/>
        <w:adjustRightInd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r>
        <w:rPr>
          <w:rFonts w:hint="eastAsia" w:ascii="宋体" w:hAnsi="宋体" w:eastAsia="宋体" w:cs="宋体"/>
          <w:color w:val="auto"/>
          <w:kern w:val="0"/>
          <w:szCs w:val="24"/>
          <w:highlight w:val="none"/>
          <w:lang w:eastAsia="zh-CN"/>
        </w:rPr>
        <w:t>；</w:t>
      </w:r>
    </w:p>
    <w:p>
      <w:pPr>
        <w:pStyle w:val="136"/>
        <w:keepNext w:val="0"/>
        <w:keepLines w:val="0"/>
        <w:pageBreakBefore w:val="0"/>
        <w:widowControl w:val="0"/>
        <w:kinsoku/>
        <w:wordWrap/>
        <w:overflowPunct/>
        <w:topLinePunct w:val="0"/>
        <w:autoSpaceDE/>
        <w:autoSpaceDN/>
        <w:bidi w:val="0"/>
        <w:adjustRightInd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eastAsia="宋体" w:cs="宋体"/>
          <w:color w:val="auto"/>
          <w:kern w:val="0"/>
          <w:szCs w:val="24"/>
          <w:highlight w:val="none"/>
          <w:lang w:eastAsia="zh-CN"/>
        </w:rPr>
        <w:t>；</w:t>
      </w:r>
    </w:p>
    <w:p>
      <w:pPr>
        <w:pStyle w:val="136"/>
        <w:keepNext w:val="0"/>
        <w:keepLines w:val="0"/>
        <w:pageBreakBefore w:val="0"/>
        <w:widowControl w:val="0"/>
        <w:kinsoku/>
        <w:wordWrap/>
        <w:overflowPunct/>
        <w:topLinePunct w:val="0"/>
        <w:autoSpaceDE/>
        <w:autoSpaceDN/>
        <w:bidi w:val="0"/>
        <w:adjustRightInd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pPr>
        <w:keepNext w:val="0"/>
        <w:keepLines w:val="0"/>
        <w:pageBreakBefore w:val="0"/>
        <w:widowControl w:val="0"/>
        <w:kinsoku/>
        <w:wordWrap/>
        <w:overflowPunct/>
        <w:topLinePunct w:val="0"/>
        <w:autoSpaceDE/>
        <w:autoSpaceDN/>
        <w:bidi w:val="0"/>
        <w:adjustRightInd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136"/>
        <w:keepNext w:val="0"/>
        <w:keepLines w:val="0"/>
        <w:pageBreakBefore w:val="0"/>
        <w:widowControl w:val="0"/>
        <w:kinsoku/>
        <w:wordWrap/>
        <w:overflowPunct/>
        <w:topLinePunct w:val="0"/>
        <w:autoSpaceDE/>
        <w:autoSpaceDN/>
        <w:bidi w:val="0"/>
        <w:adjustRightInd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认为</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不能证明其报价合理性的，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应当将其作为无效投标处理。</w:t>
      </w:r>
    </w:p>
    <w:p>
      <w:pPr>
        <w:keepNext w:val="0"/>
        <w:keepLines w:val="0"/>
        <w:pageBreakBefore w:val="0"/>
        <w:widowControl w:val="0"/>
        <w:kinsoku/>
        <w:wordWrap/>
        <w:overflowPunct/>
        <w:topLinePunct w:val="0"/>
        <w:autoSpaceDE/>
        <w:autoSpaceDN/>
        <w:bidi w:val="0"/>
        <w:adjustRightInd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全部实质性要求，依据统一的价格要素评定最低报价，以提出最低报价的</w:t>
      </w:r>
      <w:r>
        <w:rPr>
          <w:rFonts w:hint="eastAsia" w:ascii="宋体" w:hAnsi="宋体" w:cs="宋体"/>
          <w:color w:val="auto"/>
          <w:kern w:val="0"/>
          <w:sz w:val="24"/>
          <w:highlight w:val="none"/>
          <w:lang w:val="en-US" w:eastAsia="zh-CN"/>
        </w:rPr>
        <w:t>响应人</w:t>
      </w:r>
      <w:r>
        <w:rPr>
          <w:rFonts w:hint="eastAsia" w:ascii="宋体" w:hAnsi="宋体" w:eastAsia="宋体" w:cs="宋体"/>
          <w:color w:val="auto"/>
          <w:kern w:val="0"/>
          <w:sz w:val="24"/>
          <w:highlight w:val="none"/>
        </w:rPr>
        <w:t>作为成交候选</w:t>
      </w:r>
      <w:r>
        <w:rPr>
          <w:rFonts w:hint="eastAsia" w:ascii="宋体" w:hAnsi="宋体" w:cs="宋体"/>
          <w:color w:val="auto"/>
          <w:kern w:val="0"/>
          <w:sz w:val="24"/>
          <w:highlight w:val="none"/>
          <w:lang w:val="en-US" w:eastAsia="zh-CN"/>
        </w:rPr>
        <w:t>人</w:t>
      </w:r>
      <w:r>
        <w:rPr>
          <w:rFonts w:hint="eastAsia" w:ascii="宋体" w:hAnsi="宋体" w:eastAsia="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w:t>
      </w:r>
      <w:r>
        <w:rPr>
          <w:rFonts w:hint="eastAsia" w:ascii="宋体" w:hAnsi="宋体" w:eastAsia="宋体" w:cs="宋体"/>
          <w:b/>
          <w:color w:val="auto"/>
          <w:kern w:val="0"/>
          <w:sz w:val="24"/>
          <w:highlight w:val="none"/>
          <w:lang w:eastAsia="zh-CN"/>
        </w:rPr>
        <w:t>评审报告</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根据全体评标成员签字的原始评标记录和评标结果编写</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成员对需要共同认定的事项存在争议的，应当按照少数服从多数的原则作出结论。持不同意见的</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成员应当在</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上签署不同意见及理由，否则视为同意</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pPr>
        <w:pStyle w:val="136"/>
        <w:pageBreakBefore w:val="0"/>
        <w:widowControl w:val="0"/>
        <w:kinsoku/>
        <w:wordWrap/>
        <w:overflowPunct/>
        <w:topLinePunct w:val="0"/>
        <w:autoSpaceDE/>
        <w:autoSpaceDN/>
        <w:bidi w:val="0"/>
        <w:spacing w:before="0" w:line="570" w:lineRule="exact"/>
        <w:ind w:firstLine="482" w:firstLineChars="200"/>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响应人</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作出必要的澄清、说明或者补正的，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和</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pPr>
        <w:pStyle w:val="27"/>
        <w:pageBreakBefore w:val="0"/>
        <w:widowControl w:val="0"/>
        <w:kinsoku/>
        <w:wordWrap/>
        <w:overflowPunct/>
        <w:topLinePunct w:val="0"/>
        <w:autoSpaceDE/>
        <w:autoSpaceDN/>
        <w:bidi w:val="0"/>
        <w:spacing w:line="570" w:lineRule="exact"/>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要求签署、盖章的；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不能接受的附加条件的；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少于</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的；</w:t>
      </w:r>
    </w:p>
    <w:p>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对根据修正原则修正后的报价不确认的；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提供虚假材料投标的；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的合法权益情形的；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公开竞争文件</w:t>
      </w:r>
      <w:r>
        <w:rPr>
          <w:rFonts w:hint="eastAsia" w:ascii="宋体" w:hAnsi="宋体" w:eastAsia="宋体" w:cs="宋体"/>
          <w:b w:val="0"/>
          <w:bCs w:val="0"/>
          <w:color w:val="auto"/>
          <w:kern w:val="0"/>
          <w:sz w:val="24"/>
          <w:szCs w:val="24"/>
          <w:highlight w:val="none"/>
          <w:lang w:val="en-US"/>
        </w:rPr>
        <w:t>的其它实质性要求的；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pPr>
        <w:pStyle w:val="27"/>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w:t>
      </w:r>
      <w:r>
        <w:rPr>
          <w:rFonts w:hint="eastAsia" w:ascii="宋体" w:hAnsi="宋体" w:eastAsia="宋体" w:cs="宋体"/>
          <w:color w:val="auto"/>
          <w:highlight w:val="none"/>
          <w:lang w:eastAsia="zh-CN"/>
        </w:rPr>
        <w:t>交易过程</w:t>
      </w:r>
      <w:r>
        <w:rPr>
          <w:rFonts w:hint="eastAsia" w:ascii="宋体" w:hAnsi="宋体" w:eastAsia="宋体" w:cs="宋体"/>
          <w:color w:val="auto"/>
          <w:highlight w:val="none"/>
        </w:rPr>
        <w:t>中，出现下列情形之一的，应予废标：</w:t>
      </w:r>
    </w:p>
    <w:p>
      <w:pPr>
        <w:pStyle w:val="27"/>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或者对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作实质响应的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w:t>
      </w:r>
    </w:p>
    <w:p>
      <w:pPr>
        <w:pStyle w:val="27"/>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7"/>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的报价均超过了采购预算，</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不能支付的；</w:t>
      </w:r>
    </w:p>
    <w:p>
      <w:pPr>
        <w:pStyle w:val="27"/>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7"/>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p>
    <w:p>
      <w:pPr>
        <w:pStyle w:val="27"/>
        <w:pageBreakBefore w:val="0"/>
        <w:widowControl w:val="0"/>
        <w:kinsoku/>
        <w:wordWrap/>
        <w:overflowPunct/>
        <w:topLinePunct w:val="0"/>
        <w:autoSpaceDE/>
        <w:autoSpaceDN/>
        <w:bidi w:val="0"/>
        <w:snapToGrid w:val="0"/>
        <w:spacing w:line="570" w:lineRule="exact"/>
        <w:ind w:left="0" w:leftChars="0"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，重新组织</w:t>
      </w:r>
      <w:r>
        <w:rPr>
          <w:rFonts w:hint="eastAsia" w:ascii="宋体" w:hAnsi="宋体" w:eastAsia="宋体" w:cs="宋体"/>
          <w:b/>
          <w:color w:val="auto"/>
          <w:highlight w:val="none"/>
          <w:lang w:eastAsia="zh-CN"/>
        </w:rPr>
        <w:t>交易</w:t>
      </w:r>
      <w:r>
        <w:rPr>
          <w:rFonts w:hint="eastAsia" w:ascii="宋体" w:hAnsi="宋体" w:eastAsia="宋体" w:cs="宋体"/>
          <w:b/>
          <w:color w:val="auto"/>
          <w:highlight w:val="none"/>
        </w:rPr>
        <w:t>活动。</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发现</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内容违反国家有关强制性规定的，将停止评</w:t>
      </w:r>
      <w:r>
        <w:rPr>
          <w:rFonts w:hint="eastAsia" w:ascii="宋体" w:hAnsi="宋体" w:eastAsia="宋体" w:cs="宋体"/>
          <w:color w:val="auto"/>
          <w:highlight w:val="none"/>
          <w:lang w:eastAsia="zh-CN"/>
        </w:rPr>
        <w:t>审</w:t>
      </w:r>
      <w:r>
        <w:rPr>
          <w:rFonts w:hint="eastAsia" w:ascii="宋体" w:hAnsi="宋体" w:eastAsia="宋体" w:cs="宋体"/>
          <w:color w:val="auto"/>
          <w:highlight w:val="none"/>
        </w:rPr>
        <w:t>工作，并与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沟通并作书面记录。</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，重新组织</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pPr>
        <w:pStyle w:val="27"/>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、成交结果的，依照下列规定处理：</w:t>
      </w:r>
    </w:p>
    <w:p>
      <w:pPr>
        <w:pStyle w:val="27"/>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7"/>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但尚未签订合同的，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7"/>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合同已签订但尚未履行的，撤销合同，从合格的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7"/>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合同已经履行，给</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造成损失的，由责任人承担赔偿责任。</w:t>
      </w:r>
    </w:p>
    <w:p>
      <w:pPr>
        <w:pStyle w:val="27"/>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7.5</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、成交无效的，依照7.1-7.4规定处理。</w:t>
      </w:r>
    </w:p>
    <w:p>
      <w:pPr>
        <w:pStyle w:val="27"/>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9"/>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签订地点：                                 签订时间：20</w:t>
      </w:r>
      <w:r>
        <w:rPr>
          <w:rFonts w:hint="eastAsia" w:ascii="宋体" w:hAnsi="宋体" w:eastAsia="宋体" w:cs="宋体"/>
          <w:color w:val="auto"/>
          <w:highlight w:val="none"/>
          <w:lang w:val="en-US" w:eastAsia="zh-CN"/>
        </w:rPr>
        <w:t>23</w:t>
      </w:r>
      <w:r>
        <w:rPr>
          <w:rFonts w:hint="eastAsia" w:ascii="宋体" w:hAnsi="宋体" w:eastAsia="宋体" w:cs="宋体"/>
          <w:color w:val="auto"/>
          <w:highlight w:val="none"/>
        </w:rPr>
        <w:t>年  月  日</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供、需双方根据</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项目（交易编号  -  -   ）成交结果和公开竞争文件的要求，并经双方协调一致，订立本合同。</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单位</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6、其他。</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rPr>
        <w:t>二、合同金额: 本合同金额为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大写</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人民币</w:t>
      </w:r>
      <w:r>
        <w:rPr>
          <w:rFonts w:hint="eastAsia" w:ascii="宋体" w:hAnsi="宋体" w:eastAsia="宋体" w:cs="宋体"/>
          <w:color w:val="auto"/>
          <w:highlight w:val="none"/>
          <w:u w:val="none"/>
          <w:lang w:val="en-US" w:eastAsia="zh-CN"/>
        </w:rPr>
        <w:t>。</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附：</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内容</w:t>
            </w: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bl>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1.乙方应按</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规定的时间向甲方提供有关技术资料。</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、转包或分包</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w:t>
      </w:r>
      <w:r>
        <w:rPr>
          <w:rFonts w:hint="eastAsia" w:ascii="宋体" w:hAnsi="宋体" w:eastAsia="宋体" w:cs="宋体"/>
          <w:color w:val="auto"/>
          <w:highlight w:val="none"/>
          <w:lang w:val="en-US" w:eastAsia="zh-CN"/>
        </w:rPr>
        <w:t>提供</w:t>
      </w:r>
      <w:r>
        <w:rPr>
          <w:rFonts w:hint="eastAsia" w:ascii="宋体" w:hAnsi="宋体" w:eastAsia="宋体" w:cs="宋体"/>
          <w:color w:val="auto"/>
          <w:highlight w:val="none"/>
        </w:rPr>
        <w:t>，乙方不得将本合同范围的服务全部或部分分包给他人供应；</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.如有转让和未经甲方同意的分包行为，甲方有权解除合同，追究乙方的违约责任。</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、服务质量保证期</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服务</w:t>
      </w:r>
      <w:r>
        <w:rPr>
          <w:rFonts w:hint="eastAsia" w:ascii="宋体" w:hAnsi="宋体" w:eastAsia="宋体" w:cs="宋体"/>
          <w:color w:val="auto"/>
          <w:highlight w:val="none"/>
          <w:lang w:eastAsia="zh-CN"/>
        </w:rPr>
        <w:t>时间：</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、合同履行时间、履行方式及履行地点</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 履行方式：</w:t>
      </w:r>
      <w:r>
        <w:rPr>
          <w:rFonts w:hint="eastAsia" w:ascii="宋体" w:hAnsi="宋体" w:eastAsia="宋体" w:cs="宋体"/>
          <w:color w:val="auto"/>
          <w:highlight w:val="none"/>
          <w:lang w:val="en-US" w:eastAsia="zh-CN"/>
        </w:rPr>
        <w:t>按合同履行。</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 履行地点：</w:t>
      </w:r>
      <w:r>
        <w:rPr>
          <w:rFonts w:hint="eastAsia" w:ascii="宋体" w:hAnsi="宋体" w:eastAsia="宋体" w:cs="宋体"/>
          <w:color w:val="auto"/>
          <w:highlight w:val="none"/>
          <w:lang w:val="en-US" w:eastAsia="zh-CN"/>
        </w:rPr>
        <w:t>甲方指定地点内。</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、款项支付</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参照交易需求。</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十、税费</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十一、质量保证及后续服务</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乙方应按</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规定向甲方提供服务。</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w:t>
      </w:r>
      <w:r>
        <w:rPr>
          <w:rFonts w:hint="eastAsia" w:ascii="宋体" w:hAnsi="宋体" w:eastAsia="宋体" w:cs="宋体"/>
          <w:color w:val="auto"/>
          <w:highlight w:val="none"/>
          <w:lang w:val="en-US" w:eastAsia="zh-CN"/>
        </w:rPr>
        <w:t>问题或产出重大不良影响的</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除按结算条款扣除结算金额外，</w:t>
      </w:r>
      <w:r>
        <w:rPr>
          <w:rFonts w:hint="eastAsia" w:ascii="宋体" w:hAnsi="宋体" w:eastAsia="宋体" w:cs="宋体"/>
          <w:color w:val="auto"/>
          <w:highlight w:val="none"/>
        </w:rPr>
        <w:t>乙方应负责免费提供后续</w:t>
      </w:r>
      <w:r>
        <w:rPr>
          <w:rFonts w:hint="eastAsia" w:ascii="宋体" w:hAnsi="宋体" w:eastAsia="宋体" w:cs="宋体"/>
          <w:color w:val="auto"/>
          <w:highlight w:val="none"/>
          <w:lang w:val="en-US" w:eastAsia="zh-CN"/>
        </w:rPr>
        <w:t>善后</w:t>
      </w:r>
      <w:r>
        <w:rPr>
          <w:rFonts w:hint="eastAsia" w:ascii="宋体" w:hAnsi="宋体" w:eastAsia="宋体" w:cs="宋体"/>
          <w:color w:val="auto"/>
          <w:highlight w:val="none"/>
        </w:rPr>
        <w:t>服务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同时承担相应责任。</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十二、违约责任</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1.甲方无正当理由拒绝接收服务的，甲方向乙方偿付合同款项百分之五作为违约金。</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.乙方未能如期提供服务的，每日向甲方支付合同款项的千分之六作为违约金。乙方超过约定日期10个工作日仍不能提供服务的，甲方可解除本合同，</w:t>
      </w:r>
      <w:r>
        <w:rPr>
          <w:rFonts w:hint="eastAsia" w:ascii="宋体" w:hAnsi="宋体" w:eastAsia="宋体" w:cs="宋体"/>
          <w:color w:val="auto"/>
          <w:highlight w:val="none"/>
          <w:lang w:val="en-US" w:eastAsia="zh-CN"/>
        </w:rPr>
        <w:t>追究</w:t>
      </w:r>
      <w:r>
        <w:rPr>
          <w:rFonts w:hint="eastAsia" w:ascii="宋体" w:hAnsi="宋体" w:eastAsia="宋体" w:cs="宋体"/>
          <w:color w:val="auto"/>
          <w:highlight w:val="none"/>
        </w:rPr>
        <w:t>乙赔偿责任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.如发现乙方违反</w:t>
      </w:r>
      <w:r>
        <w:rPr>
          <w:rFonts w:hint="eastAsia" w:ascii="宋体" w:hAnsi="宋体" w:eastAsia="宋体" w:cs="宋体"/>
          <w:color w:val="auto"/>
          <w:highlight w:val="none"/>
          <w:lang w:eastAsia="zh-CN"/>
        </w:rPr>
        <w:t>公开竞争文件、响应文件</w:t>
      </w:r>
      <w:r>
        <w:rPr>
          <w:rFonts w:hint="eastAsia" w:ascii="宋体" w:hAnsi="宋体" w:eastAsia="宋体" w:cs="宋体"/>
          <w:color w:val="auto"/>
          <w:highlight w:val="none"/>
        </w:rPr>
        <w:t>和合同的有关规定，甲方有权根据约定和《杭州市政府采购</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合同履行和售后服务考核暂行办法》，对乙方进行处罚，并有权提前终止合同。</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highlight w:val="none"/>
          <w:lang w:val="en-US" w:eastAsia="zh-CN"/>
        </w:rPr>
      </w:pPr>
      <w:r>
        <w:rPr>
          <w:rFonts w:hint="eastAsia" w:cs="宋体"/>
          <w:color w:val="auto"/>
          <w:highlight w:val="none"/>
          <w:lang w:val="en-US" w:eastAsia="zh-CN"/>
        </w:rPr>
        <w:t>3.服务过程中如遇响应时间问题，第一次扣款500，第二次扣款1000，第三次则解除合同；如遇洗涤问题，则按照原价赔偿。</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十三、争议的解决</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因本合同引起的或与本合同有关的任何争议，合同双方应首先通过协商解决，达成书面协议，如协商不成，可选择下列方式解决。</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（1）提请杭州仲裁委员会按照该会仲裁规则进行仲裁，仲裁裁决是终局的，对合同双方均有约束力。</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十四、合同生效</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方持</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通知书作为与需方签订合同的凭证。</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2.本合同经需、供双方法定代表人或其授权委托人签字并加盖单位公章后生效。</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帐号：                             帐号：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rPr>
          <w:rFonts w:hint="eastAsia" w:ascii="宋体" w:hAnsi="宋体" w:eastAsia="宋体" w:cs="宋体"/>
          <w:color w:val="auto"/>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1"/>
      <w:r>
        <w:rPr>
          <w:rFonts w:hint="eastAsia" w:ascii="宋体" w:hAnsi="宋体" w:eastAsia="宋体" w:cs="宋体"/>
          <w:b/>
          <w:color w:val="auto"/>
          <w:sz w:val="36"/>
          <w:szCs w:val="20"/>
          <w:highlight w:val="none"/>
        </w:rPr>
        <w:t xml:space="preserve"> </w:t>
      </w:r>
      <w:bookmarkEnd w:id="382"/>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w:t>
      </w:r>
      <w:r>
        <w:rPr>
          <w:rFonts w:hint="eastAsia" w:ascii="宋体" w:hAnsi="宋体" w:eastAsia="宋体" w:cs="宋体"/>
          <w:b/>
          <w:color w:val="auto"/>
          <w:kern w:val="0"/>
          <w:sz w:val="32"/>
          <w:szCs w:val="32"/>
          <w:highlight w:val="none"/>
          <w:lang w:val="en-US" w:eastAsia="zh-CN"/>
        </w:rPr>
        <w:t>交易</w:t>
      </w:r>
      <w:r>
        <w:rPr>
          <w:rFonts w:hint="eastAsia" w:ascii="宋体" w:hAnsi="宋体" w:eastAsia="宋体" w:cs="宋体"/>
          <w:b/>
          <w:color w:val="auto"/>
          <w:kern w:val="0"/>
          <w:sz w:val="32"/>
          <w:szCs w:val="32"/>
          <w:highlight w:val="none"/>
        </w:rPr>
        <w:t>活动应当具备的一般条件的承诺函</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代理机构</w:t>
      </w:r>
      <w:r>
        <w:rPr>
          <w:rFonts w:hint="eastAsia" w:ascii="宋体" w:hAnsi="宋体" w:eastAsia="宋体" w:cs="宋体"/>
          <w:color w:val="auto"/>
          <w:sz w:val="24"/>
          <w:highlight w:val="none"/>
          <w:u w:val="singl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sz w:val="24"/>
          <w:highlight w:val="none"/>
          <w:lang w:eastAsia="zh-CN"/>
        </w:rPr>
        <w:t>以下</w:t>
      </w:r>
      <w:r>
        <w:rPr>
          <w:rFonts w:hint="eastAsia" w:ascii="宋体" w:hAnsi="宋体" w:eastAsia="宋体" w:cs="宋体"/>
          <w:color w:val="auto"/>
          <w:sz w:val="24"/>
          <w:highlight w:val="none"/>
        </w:rPr>
        <w:t>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响应人名称(电子签名)：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pPr>
        <w:spacing w:line="360" w:lineRule="auto"/>
        <w:jc w:val="center"/>
        <w:rPr>
          <w:rFonts w:hint="eastAsia" w:ascii="宋体" w:hAnsi="宋体" w:eastAsia="宋体" w:cs="宋体"/>
          <w:b/>
          <w:color w:val="auto"/>
          <w:kern w:val="0"/>
          <w:sz w:val="36"/>
          <w:szCs w:val="36"/>
          <w:highlight w:val="none"/>
          <w:lang w:eastAsia="zh-CN"/>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本项目的特定资格要求提供相应的材料；未要求的，无需提供</w:t>
      </w:r>
      <w:r>
        <w:rPr>
          <w:rFonts w:hint="eastAsia" w:ascii="宋体" w:hAnsi="宋体" w:cs="宋体"/>
          <w:color w:val="auto"/>
          <w:sz w:val="24"/>
          <w:highlight w:val="none"/>
          <w:lang w:eastAsia="zh-CN"/>
        </w:rPr>
        <w:t>）</w:t>
      </w: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交易函</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交易函</w:t>
      </w: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从提交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满之前均具有约束力。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包括以下内容：</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2.2.3</w:t>
      </w:r>
      <w:r>
        <w:rPr>
          <w:rFonts w:hint="eastAsia" w:ascii="宋体" w:hAnsi="宋体" w:eastAsia="宋体" w:cs="宋体"/>
          <w:color w:val="auto"/>
          <w:sz w:val="24"/>
          <w:highlight w:val="none"/>
          <w:lang w:eastAsia="zh-CN"/>
        </w:rPr>
        <w:t>营业执照；</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的全部要求。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，我方承诺：</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4.1在收到</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书后，在</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 xml:space="preserve">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 xml:space="preserve">要求提交履约保证金；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 xml:space="preserve">名称（电子签名）：                          </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pStyle w:val="3"/>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交易项目的一切事项，其法律后果由我方承担。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w:t>
      </w:r>
      <w:r>
        <w:rPr>
          <w:rFonts w:hint="eastAsia" w:ascii="宋体" w:hAnsi="宋体" w:eastAsia="宋体" w:cs="宋体"/>
          <w:b/>
          <w:color w:val="auto"/>
          <w:sz w:val="30"/>
          <w:szCs w:val="30"/>
          <w:highlight w:val="none"/>
          <w:lang w:eastAsia="zh-CN"/>
        </w:rPr>
        <w:t>响应人</w:t>
      </w:r>
      <w:r>
        <w:rPr>
          <w:rFonts w:hint="eastAsia" w:ascii="宋体" w:hAnsi="宋体" w:eastAsia="宋体" w:cs="宋体"/>
          <w:b/>
          <w:color w:val="auto"/>
          <w:sz w:val="30"/>
          <w:szCs w:val="30"/>
          <w:highlight w:val="none"/>
        </w:rPr>
        <w:t>参加投标）</w:t>
      </w:r>
    </w:p>
    <w:p>
      <w:pPr>
        <w:pStyle w:val="154"/>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4"/>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lang w:eastAsia="zh-CN"/>
        </w:rPr>
      </w:pPr>
    </w:p>
    <w:p>
      <w:pP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三、营业执照</w:t>
      </w:r>
    </w:p>
    <w:p>
      <w:pPr>
        <w:jc w:val="center"/>
        <w:rPr>
          <w:rFonts w:hint="eastAsia" w:ascii="宋体" w:hAnsi="宋体" w:eastAsia="宋体" w:cs="宋体"/>
          <w:b/>
          <w:color w:val="auto"/>
          <w:kern w:val="0"/>
          <w:sz w:val="32"/>
          <w:szCs w:val="32"/>
          <w:highlight w:val="none"/>
          <w:lang w:eastAsia="zh-CN"/>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4"/>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lang w:eastAsia="zh-CN"/>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、符合性审查资料</w:t>
      </w:r>
    </w:p>
    <w:p>
      <w:pPr>
        <w:jc w:val="center"/>
        <w:rPr>
          <w:rFonts w:hint="eastAsia" w:ascii="宋体" w:hAnsi="宋体" w:eastAsia="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要求签署、盖章。</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的组成部分</w:t>
            </w:r>
          </w:p>
        </w:tc>
        <w:tc>
          <w:tcPr>
            <w:tcW w:w="1418" w:type="dxa"/>
            <w:vAlign w:val="center"/>
          </w:tcPr>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p>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中承诺的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不少于</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中载明的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w:t>
            </w:r>
          </w:p>
        </w:tc>
        <w:tc>
          <w:tcPr>
            <w:tcW w:w="3566" w:type="dxa"/>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交易函</w:t>
            </w:r>
          </w:p>
        </w:tc>
        <w:tc>
          <w:tcPr>
            <w:tcW w:w="1418" w:type="dxa"/>
            <w:vAlign w:val="center"/>
          </w:tcPr>
          <w:p>
            <w:pPr>
              <w:jc w:val="center"/>
              <w:rPr>
                <w:rFonts w:hint="eastAsia" w:ascii="宋体" w:hAnsi="宋体" w:eastAsia="宋体" w:cs="宋体"/>
                <w:color w:val="auto"/>
                <w:highlight w:val="none"/>
                <w:lang w:val="en-US"/>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满足</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的其它实质性要求。</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其它实质性要求相应的材料（“▲” 系指实质性要求条款，</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无其它实质性要求的，无需提供）</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both"/>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、评</w:t>
      </w:r>
      <w:r>
        <w:rPr>
          <w:rFonts w:hint="eastAsia" w:ascii="宋体" w:hAnsi="宋体" w:eastAsia="宋体" w:cs="宋体"/>
          <w:b/>
          <w:color w:val="auto"/>
          <w:kern w:val="0"/>
          <w:sz w:val="32"/>
          <w:szCs w:val="32"/>
          <w:highlight w:val="none"/>
          <w:lang w:eastAsia="zh-CN"/>
        </w:rPr>
        <w:t>审</w:t>
      </w:r>
      <w:r>
        <w:rPr>
          <w:rFonts w:hint="eastAsia" w:ascii="宋体" w:hAnsi="宋体" w:eastAsia="宋体" w:cs="宋体"/>
          <w:b/>
          <w:color w:val="auto"/>
          <w:kern w:val="0"/>
          <w:sz w:val="32"/>
          <w:szCs w:val="32"/>
          <w:highlight w:val="none"/>
        </w:rPr>
        <w:t>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前附表中“</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中评</w:t>
      </w:r>
      <w:r>
        <w:rPr>
          <w:rFonts w:hint="eastAsia" w:ascii="宋体" w:hAnsi="宋体" w:eastAsia="宋体" w:cs="宋体"/>
          <w:b/>
          <w:color w:val="auto"/>
          <w:sz w:val="24"/>
          <w:highlight w:val="none"/>
          <w:lang w:eastAsia="zh-CN"/>
        </w:rPr>
        <w:t>审</w:t>
      </w:r>
      <w:r>
        <w:rPr>
          <w:rFonts w:hint="eastAsia" w:ascii="宋体" w:hAnsi="宋体" w:eastAsia="宋体" w:cs="宋体"/>
          <w:b/>
          <w:color w:val="auto"/>
          <w:sz w:val="24"/>
          <w:highlight w:val="none"/>
        </w:rPr>
        <w:t>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2"/>
        <w:rPr>
          <w:rFonts w:hint="eastAsia" w:ascii="宋体" w:hAnsi="宋体" w:eastAsia="宋体" w:cs="宋体"/>
          <w:b/>
          <w:color w:val="auto"/>
          <w:kern w:val="0"/>
          <w:sz w:val="32"/>
          <w:szCs w:val="32"/>
          <w:highlight w:val="none"/>
        </w:rPr>
      </w:pPr>
    </w:p>
    <w:p>
      <w:pPr>
        <w:pStyle w:val="4"/>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公开竞争文件</w:t>
            </w:r>
            <w:r>
              <w:rPr>
                <w:rFonts w:hint="eastAsia" w:ascii="宋体" w:hAnsi="宋体" w:eastAsia="宋体" w:cs="宋体"/>
                <w:b/>
                <w:bCs/>
                <w:color w:val="auto"/>
                <w:sz w:val="24"/>
                <w:highlight w:val="none"/>
              </w:rPr>
              <w:t>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保证：除商务技术偏离表列出的偏离外，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pPr>
        <w:ind w:left="0" w:leftChars="0"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color w:val="auto"/>
          <w:kern w:val="2"/>
          <w:sz w:val="32"/>
          <w:szCs w:val="32"/>
          <w:highlight w:val="none"/>
          <w:lang w:eastAsia="zh-CN"/>
        </w:rPr>
        <w:t>交易一览表</w:t>
      </w:r>
      <w:r>
        <w:rPr>
          <w:rFonts w:hint="eastAsia" w:ascii="宋体" w:hAnsi="宋体" w:eastAsia="宋体" w:cs="宋体"/>
          <w:color w:val="auto"/>
          <w:kern w:val="2"/>
          <w:sz w:val="32"/>
          <w:szCs w:val="32"/>
          <w:highlight w:val="none"/>
        </w:rPr>
        <w:t>（报价表）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napToGrid w:val="0"/>
        <w:spacing w:line="36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交易一览表（报价表）</w:t>
      </w:r>
    </w:p>
    <w:tbl>
      <w:tblPr>
        <w:tblStyle w:val="64"/>
        <w:tblW w:w="500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982"/>
        <w:gridCol w:w="85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2057" w:type="pct"/>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名称</w:t>
            </w:r>
          </w:p>
        </w:tc>
        <w:tc>
          <w:tcPr>
            <w:tcW w:w="2942" w:type="pct"/>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响应</w:t>
            </w:r>
            <w:r>
              <w:rPr>
                <w:rFonts w:hint="eastAsia" w:ascii="宋体" w:hAnsi="宋体" w:eastAsia="宋体" w:cs="宋体"/>
                <w:b w:val="0"/>
                <w:bCs/>
                <w:color w:val="auto"/>
                <w:sz w:val="24"/>
                <w:highlight w:val="none"/>
              </w:rPr>
              <w:t>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jc w:val="center"/>
        </w:trPr>
        <w:tc>
          <w:tcPr>
            <w:tcW w:w="20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世界旅游博览馆日常经营布草及员工制服洗涤服务</w:t>
            </w:r>
          </w:p>
        </w:tc>
        <w:tc>
          <w:tcPr>
            <w:tcW w:w="29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在</w:t>
            </w:r>
            <w:r>
              <w:rPr>
                <w:rFonts w:hint="eastAsia" w:ascii="宋体" w:hAnsi="宋体" w:eastAsia="宋体" w:cs="宋体"/>
                <w:b w:val="0"/>
                <w:bCs/>
                <w:color w:val="auto"/>
                <w:sz w:val="24"/>
                <w:highlight w:val="none"/>
                <w:lang w:val="en-US" w:eastAsia="zh-CN"/>
              </w:rPr>
              <w:t>公开竞争</w:t>
            </w:r>
            <w:r>
              <w:rPr>
                <w:rFonts w:hint="eastAsia" w:ascii="宋体" w:hAnsi="宋体" w:eastAsia="宋体" w:cs="宋体"/>
                <w:b w:val="0"/>
                <w:bCs/>
                <w:color w:val="auto"/>
                <w:sz w:val="24"/>
                <w:highlight w:val="none"/>
              </w:rPr>
              <w:t>文件规定的单价（基准价）上按</w:t>
            </w:r>
            <w:r>
              <w:rPr>
                <w:rFonts w:hint="eastAsia" w:ascii="宋体" w:hAnsi="宋体" w:eastAsia="宋体" w:cs="宋体"/>
                <w:b w:val="0"/>
                <w:bCs/>
                <w:color w:val="auto"/>
                <w:sz w:val="24"/>
                <w:highlight w:val="none"/>
                <w:u w:val="single"/>
              </w:rPr>
              <w:t xml:space="preserve"> </w:t>
            </w:r>
            <w:r>
              <w:rPr>
                <w:rFonts w:hint="eastAsia" w:ascii="宋体" w:hAnsi="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%进行结算</w:t>
            </w:r>
            <w:r>
              <w:rPr>
                <w:rFonts w:hint="eastAsia" w:ascii="宋体" w:hAnsi="宋体" w:eastAsia="宋体" w:cs="宋体"/>
                <w:b w:val="0"/>
                <w:bCs/>
                <w:color w:val="auto"/>
                <w:sz w:val="24"/>
                <w:highlight w:val="none"/>
                <w:lang w:eastAsia="zh-CN"/>
              </w:rPr>
              <w:t>。</w:t>
            </w:r>
          </w:p>
        </w:tc>
      </w:tr>
    </w:tbl>
    <w:p>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金额等予以公示。</w:t>
      </w:r>
    </w:p>
    <w:p>
      <w:pPr>
        <w:spacing w:line="360" w:lineRule="auto"/>
        <w:ind w:firstLine="482" w:firstLineChars="200"/>
        <w:rPr>
          <w:rFonts w:hint="eastAsia" w:ascii="宋体" w:hAnsi="宋体" w:eastAsia="宋体" w:cs="宋体"/>
          <w:b/>
          <w:color w:val="auto"/>
          <w:kern w:val="0"/>
          <w:sz w:val="24"/>
          <w:highlight w:val="none"/>
        </w:rPr>
      </w:pPr>
    </w:p>
    <w:p>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right="1120" w:firstLine="7680" w:firstLineChars="3200"/>
        <w:jc w:val="left"/>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pacing w:val="6"/>
          <w:sz w:val="32"/>
          <w:szCs w:val="32"/>
          <w:highlight w:val="none"/>
          <w:lang w:val="zh-CN" w:eastAsia="zh-CN"/>
        </w:rPr>
        <w:t>异议</w:t>
      </w:r>
      <w:r>
        <w:rPr>
          <w:rFonts w:hint="eastAsia" w:ascii="宋体" w:hAnsi="宋体" w:eastAsia="宋体" w:cs="宋体"/>
          <w:b/>
          <w:color w:val="auto"/>
          <w:spacing w:val="6"/>
          <w:sz w:val="32"/>
          <w:szCs w:val="32"/>
          <w:highlight w:val="none"/>
        </w:rPr>
        <w:t>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lang w:eastAsia="zh-CN"/>
        </w:rPr>
        <w:t>异议</w:t>
      </w:r>
      <w:r>
        <w:rPr>
          <w:rFonts w:hint="eastAsia" w:ascii="宋体" w:hAnsi="宋体" w:eastAsia="宋体" w:cs="宋体"/>
          <w:b/>
          <w:color w:val="auto"/>
          <w:spacing w:val="6"/>
          <w:sz w:val="32"/>
          <w:szCs w:val="32"/>
          <w:highlight w:val="none"/>
        </w:rPr>
        <w:t>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w:t>
      </w:r>
      <w:r>
        <w:rPr>
          <w:rFonts w:hint="eastAsia" w:ascii="宋体" w:hAnsi="宋体" w:eastAsia="宋体" w:cs="宋体"/>
          <w:bCs/>
          <w:color w:val="auto"/>
          <w:sz w:val="24"/>
          <w:highlight w:val="none"/>
          <w:lang w:eastAsia="zh-CN"/>
        </w:rPr>
        <w:t>异议响应人</w:t>
      </w:r>
      <w:r>
        <w:rPr>
          <w:rFonts w:hint="eastAsia" w:ascii="宋体" w:hAnsi="宋体" w:eastAsia="宋体" w:cs="宋体"/>
          <w:bCs/>
          <w:color w:val="auto"/>
          <w:sz w:val="24"/>
          <w:highlight w:val="none"/>
        </w:rPr>
        <w:t>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事项相关的</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时，应提交</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若委托代理人进行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函应按要求列明“授权代表”的有关内容，并在附件中提交由</w:t>
      </w:r>
      <w:r>
        <w:rPr>
          <w:rFonts w:hint="eastAsia" w:ascii="宋体" w:hAnsi="宋体" w:eastAsia="宋体" w:cs="宋体"/>
          <w:color w:val="auto"/>
          <w:sz w:val="24"/>
          <w:highlight w:val="none"/>
          <w:lang w:eastAsia="zh-CN"/>
        </w:rPr>
        <w:t>异议</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若对项目的某一分包进行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请求应与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为自然人的，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函应由本人签字；</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为法人或者其他组织的，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lang w:eastAsia="zh-CN"/>
        </w:rPr>
        <w:t>交易发起人</w:t>
      </w:r>
      <w:r>
        <w:rPr>
          <w:rFonts w:hint="eastAsia" w:ascii="宋体" w:hAnsi="宋体" w:eastAsia="宋体" w:cs="宋体"/>
          <w:color w:val="auto"/>
          <w:sz w:val="24"/>
          <w:highlight w:val="none"/>
          <w:u w:val="dotted"/>
        </w:rPr>
        <w:t>/代理机构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p>
    <w:p>
      <w:pPr>
        <w:autoSpaceDE w:val="0"/>
        <w:autoSpaceDN w:val="0"/>
        <w:jc w:val="center"/>
        <w:rPr>
          <w:rFonts w:hint="eastAsia" w:ascii="宋体" w:hAnsi="宋体" w:eastAsia="宋体" w:cs="宋体"/>
          <w:b/>
          <w:bCs/>
          <w:color w:val="auto"/>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hint="default" w:eastAsia="宋体"/>
        <w:lang w:val="en-US" w:eastAsia="zh-CN"/>
      </w:rPr>
    </w:pPr>
    <w:r>
      <w:rPr>
        <w:rFonts w:hint="eastAsia"/>
        <w:lang w:val="en-US" w:eastAsia="zh-CN"/>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rFonts w:hint="eastAsia"/>
        <w:lang w:val="en-US" w:eastAsia="zh-CN"/>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lang w:val="en-US" w:eastAsia="zh-CN"/>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lang w:val="en-US" w:eastAsia="zh-CN"/>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lang w:val="en-US" w:eastAsia="zh-CN"/>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hint="eastAsia" w:eastAsia="宋体"/>
        <w:lang w:eastAsia="zh-CN"/>
      </w:rPr>
    </w:pPr>
    <w:r>
      <w:t></w:t>
    </w:r>
    <w:r>
      <w:rPr>
        <w:rFonts w:hint="eastAsia"/>
      </w:rPr>
      <w:t xml:space="preserve">                                             </w:t>
    </w:r>
    <w:r>
      <w:rPr>
        <w:rFonts w:hint="eastAsia"/>
        <w:lang w:val="en-US" w:eastAsia="zh-CN"/>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abstractNum w:abstractNumId="1">
    <w:nsid w:val="5559833E"/>
    <w:multiLevelType w:val="singleLevel"/>
    <w:tmpl w:val="5559833E"/>
    <w:lvl w:ilvl="0" w:tentative="0">
      <w:start w:val="1"/>
      <w:numFmt w:val="chineseCounting"/>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TJiODcwZTAyMmI2NTZjM2JiMmMxNzFiOGQ5YjIifQ=="/>
    <w:docVar w:name="KSO_WPS_MARK_KEY" w:val="5d62b055-f2c3-47ce-a2ab-fef55d009d6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5F0711"/>
    <w:rsid w:val="02644317"/>
    <w:rsid w:val="026B2E25"/>
    <w:rsid w:val="02824D4D"/>
    <w:rsid w:val="02BE3979"/>
    <w:rsid w:val="02DC4B10"/>
    <w:rsid w:val="02DD76CE"/>
    <w:rsid w:val="02F36323"/>
    <w:rsid w:val="02F5619C"/>
    <w:rsid w:val="0326446A"/>
    <w:rsid w:val="032D5555"/>
    <w:rsid w:val="036634D2"/>
    <w:rsid w:val="038A68D9"/>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207BC3"/>
    <w:rsid w:val="07245D42"/>
    <w:rsid w:val="07264C62"/>
    <w:rsid w:val="072F6604"/>
    <w:rsid w:val="074460BC"/>
    <w:rsid w:val="0779354C"/>
    <w:rsid w:val="077F0C95"/>
    <w:rsid w:val="07C300BD"/>
    <w:rsid w:val="07FE18F3"/>
    <w:rsid w:val="08061376"/>
    <w:rsid w:val="08452D77"/>
    <w:rsid w:val="085F14A2"/>
    <w:rsid w:val="086401F8"/>
    <w:rsid w:val="08751CAA"/>
    <w:rsid w:val="0876556A"/>
    <w:rsid w:val="087E4C40"/>
    <w:rsid w:val="08A53637"/>
    <w:rsid w:val="08A871D0"/>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E04166"/>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F010B8"/>
    <w:rsid w:val="0BF6188C"/>
    <w:rsid w:val="0BF73C91"/>
    <w:rsid w:val="0C170175"/>
    <w:rsid w:val="0C41327A"/>
    <w:rsid w:val="0C50464B"/>
    <w:rsid w:val="0C571A41"/>
    <w:rsid w:val="0C5C1171"/>
    <w:rsid w:val="0C5E1CBC"/>
    <w:rsid w:val="0C615B50"/>
    <w:rsid w:val="0C6E0EEC"/>
    <w:rsid w:val="0C784E0D"/>
    <w:rsid w:val="0C8445DA"/>
    <w:rsid w:val="0C87121B"/>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F50604"/>
    <w:rsid w:val="0DF702FE"/>
    <w:rsid w:val="0E060E51"/>
    <w:rsid w:val="0E22536A"/>
    <w:rsid w:val="0E24319C"/>
    <w:rsid w:val="0E373674"/>
    <w:rsid w:val="0E5604B2"/>
    <w:rsid w:val="0E6D5D79"/>
    <w:rsid w:val="0E6F14E6"/>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156805"/>
    <w:rsid w:val="10646583"/>
    <w:rsid w:val="107D4B15"/>
    <w:rsid w:val="10841832"/>
    <w:rsid w:val="108A3C80"/>
    <w:rsid w:val="10C26171"/>
    <w:rsid w:val="10DC700E"/>
    <w:rsid w:val="10F33360"/>
    <w:rsid w:val="10F4083A"/>
    <w:rsid w:val="10FC16EA"/>
    <w:rsid w:val="110F1D40"/>
    <w:rsid w:val="11266F33"/>
    <w:rsid w:val="113055C1"/>
    <w:rsid w:val="118963A1"/>
    <w:rsid w:val="11C6522A"/>
    <w:rsid w:val="11E104CC"/>
    <w:rsid w:val="11E20309"/>
    <w:rsid w:val="11E44B84"/>
    <w:rsid w:val="12255233"/>
    <w:rsid w:val="12530213"/>
    <w:rsid w:val="127723A9"/>
    <w:rsid w:val="12862074"/>
    <w:rsid w:val="12883966"/>
    <w:rsid w:val="129E45B4"/>
    <w:rsid w:val="12D21374"/>
    <w:rsid w:val="12D81596"/>
    <w:rsid w:val="13072A44"/>
    <w:rsid w:val="131A1B7F"/>
    <w:rsid w:val="13474EA5"/>
    <w:rsid w:val="135F4BE2"/>
    <w:rsid w:val="13913864"/>
    <w:rsid w:val="139B1A0A"/>
    <w:rsid w:val="139B5BDE"/>
    <w:rsid w:val="139D25C7"/>
    <w:rsid w:val="13BF3CE4"/>
    <w:rsid w:val="140F0A5D"/>
    <w:rsid w:val="141008D8"/>
    <w:rsid w:val="14125FE6"/>
    <w:rsid w:val="142B70E5"/>
    <w:rsid w:val="14500381"/>
    <w:rsid w:val="146D271E"/>
    <w:rsid w:val="14982588"/>
    <w:rsid w:val="149A5AD9"/>
    <w:rsid w:val="14A7619D"/>
    <w:rsid w:val="14F25B02"/>
    <w:rsid w:val="150536C3"/>
    <w:rsid w:val="150C1963"/>
    <w:rsid w:val="151447A0"/>
    <w:rsid w:val="154A6454"/>
    <w:rsid w:val="15762120"/>
    <w:rsid w:val="15844A86"/>
    <w:rsid w:val="15F56AC3"/>
    <w:rsid w:val="1608540D"/>
    <w:rsid w:val="16204A74"/>
    <w:rsid w:val="166C515D"/>
    <w:rsid w:val="16A8729C"/>
    <w:rsid w:val="16B33777"/>
    <w:rsid w:val="16BC70A7"/>
    <w:rsid w:val="16C6339E"/>
    <w:rsid w:val="16C730F7"/>
    <w:rsid w:val="16D47B08"/>
    <w:rsid w:val="16D6012D"/>
    <w:rsid w:val="16FE2244"/>
    <w:rsid w:val="172F2D79"/>
    <w:rsid w:val="17557BEF"/>
    <w:rsid w:val="176D1E2A"/>
    <w:rsid w:val="17852075"/>
    <w:rsid w:val="178B06F1"/>
    <w:rsid w:val="17A05FFC"/>
    <w:rsid w:val="17D349C1"/>
    <w:rsid w:val="17E066D8"/>
    <w:rsid w:val="1830729E"/>
    <w:rsid w:val="18394486"/>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A209CF"/>
    <w:rsid w:val="1BB4777D"/>
    <w:rsid w:val="1BD75AB8"/>
    <w:rsid w:val="1BE22A26"/>
    <w:rsid w:val="1C0459C2"/>
    <w:rsid w:val="1C1B3B4A"/>
    <w:rsid w:val="1C537570"/>
    <w:rsid w:val="1C88086E"/>
    <w:rsid w:val="1CA045EE"/>
    <w:rsid w:val="1CC47A8B"/>
    <w:rsid w:val="1D266CE1"/>
    <w:rsid w:val="1D3963AF"/>
    <w:rsid w:val="1D6A673C"/>
    <w:rsid w:val="1D9247AE"/>
    <w:rsid w:val="1DB567EC"/>
    <w:rsid w:val="1DEC22C4"/>
    <w:rsid w:val="1DF51A98"/>
    <w:rsid w:val="1E3D060F"/>
    <w:rsid w:val="1E3F7D2E"/>
    <w:rsid w:val="1E4134E4"/>
    <w:rsid w:val="1E5062B3"/>
    <w:rsid w:val="1E523514"/>
    <w:rsid w:val="1E714A66"/>
    <w:rsid w:val="1E730E11"/>
    <w:rsid w:val="1E802593"/>
    <w:rsid w:val="1E8B6156"/>
    <w:rsid w:val="1EA703CC"/>
    <w:rsid w:val="1EB7330C"/>
    <w:rsid w:val="1F0A0FF3"/>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3D3B00"/>
    <w:rsid w:val="216133FC"/>
    <w:rsid w:val="218944CA"/>
    <w:rsid w:val="21D56769"/>
    <w:rsid w:val="21D62C50"/>
    <w:rsid w:val="21E52EF3"/>
    <w:rsid w:val="21FB5D7B"/>
    <w:rsid w:val="220B1C3D"/>
    <w:rsid w:val="221D1D20"/>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54F52B1"/>
    <w:rsid w:val="258B00E2"/>
    <w:rsid w:val="25A34E23"/>
    <w:rsid w:val="25A917A6"/>
    <w:rsid w:val="25BE27CC"/>
    <w:rsid w:val="25E92F53"/>
    <w:rsid w:val="25F74A5C"/>
    <w:rsid w:val="2628662C"/>
    <w:rsid w:val="262D45DE"/>
    <w:rsid w:val="266E6AE8"/>
    <w:rsid w:val="267E09C1"/>
    <w:rsid w:val="26871DC8"/>
    <w:rsid w:val="26A53EF9"/>
    <w:rsid w:val="26A6481F"/>
    <w:rsid w:val="26A94201"/>
    <w:rsid w:val="26AC274F"/>
    <w:rsid w:val="270377E9"/>
    <w:rsid w:val="27044A29"/>
    <w:rsid w:val="271D34C8"/>
    <w:rsid w:val="2729764F"/>
    <w:rsid w:val="272F6449"/>
    <w:rsid w:val="274C4FBA"/>
    <w:rsid w:val="276142BF"/>
    <w:rsid w:val="27783712"/>
    <w:rsid w:val="27907362"/>
    <w:rsid w:val="279B7084"/>
    <w:rsid w:val="27A02A0E"/>
    <w:rsid w:val="282D0BDB"/>
    <w:rsid w:val="28333E1D"/>
    <w:rsid w:val="28454BD6"/>
    <w:rsid w:val="28455253"/>
    <w:rsid w:val="28551971"/>
    <w:rsid w:val="285B1C53"/>
    <w:rsid w:val="28857E9D"/>
    <w:rsid w:val="289F7086"/>
    <w:rsid w:val="28C32028"/>
    <w:rsid w:val="28CC490F"/>
    <w:rsid w:val="28DE40AA"/>
    <w:rsid w:val="29345E77"/>
    <w:rsid w:val="29453CBE"/>
    <w:rsid w:val="294C65AD"/>
    <w:rsid w:val="294E3480"/>
    <w:rsid w:val="29806583"/>
    <w:rsid w:val="298B3C4C"/>
    <w:rsid w:val="29947C0A"/>
    <w:rsid w:val="29F26D24"/>
    <w:rsid w:val="2A15033F"/>
    <w:rsid w:val="2A1662C1"/>
    <w:rsid w:val="2A1C7367"/>
    <w:rsid w:val="2A2815FA"/>
    <w:rsid w:val="2A6D6092"/>
    <w:rsid w:val="2A7D76B4"/>
    <w:rsid w:val="2A830ABD"/>
    <w:rsid w:val="2AD8021A"/>
    <w:rsid w:val="2AEE1B3B"/>
    <w:rsid w:val="2AF47F2E"/>
    <w:rsid w:val="2B437463"/>
    <w:rsid w:val="2B7807EE"/>
    <w:rsid w:val="2B8C47CE"/>
    <w:rsid w:val="2BA50BF7"/>
    <w:rsid w:val="2BBF00EC"/>
    <w:rsid w:val="2BC37CFD"/>
    <w:rsid w:val="2BD5237F"/>
    <w:rsid w:val="2BE536CE"/>
    <w:rsid w:val="2BE758D9"/>
    <w:rsid w:val="2BEA7DD3"/>
    <w:rsid w:val="2C09049E"/>
    <w:rsid w:val="2C0A653C"/>
    <w:rsid w:val="2C191F85"/>
    <w:rsid w:val="2C37616F"/>
    <w:rsid w:val="2C8C4873"/>
    <w:rsid w:val="2C994A93"/>
    <w:rsid w:val="2CE82D6F"/>
    <w:rsid w:val="2D2216DE"/>
    <w:rsid w:val="2D343236"/>
    <w:rsid w:val="2D956040"/>
    <w:rsid w:val="2DC53663"/>
    <w:rsid w:val="2DD15014"/>
    <w:rsid w:val="2DF72DE4"/>
    <w:rsid w:val="2E0220AF"/>
    <w:rsid w:val="2E4B082A"/>
    <w:rsid w:val="2E5D4E86"/>
    <w:rsid w:val="2E5D790B"/>
    <w:rsid w:val="2E776A61"/>
    <w:rsid w:val="2E9A143D"/>
    <w:rsid w:val="2E9A3C18"/>
    <w:rsid w:val="2EBB0FEE"/>
    <w:rsid w:val="2EC63002"/>
    <w:rsid w:val="2ECB46DA"/>
    <w:rsid w:val="2F064D1A"/>
    <w:rsid w:val="2F0A6B38"/>
    <w:rsid w:val="2F0E78D3"/>
    <w:rsid w:val="2F32435C"/>
    <w:rsid w:val="2F946CCB"/>
    <w:rsid w:val="2FD25781"/>
    <w:rsid w:val="2FDE33BA"/>
    <w:rsid w:val="2FF346DE"/>
    <w:rsid w:val="2FFB7730"/>
    <w:rsid w:val="2FFD7934"/>
    <w:rsid w:val="30201A01"/>
    <w:rsid w:val="30733ACD"/>
    <w:rsid w:val="308C3862"/>
    <w:rsid w:val="309379D8"/>
    <w:rsid w:val="309B6899"/>
    <w:rsid w:val="30A270F7"/>
    <w:rsid w:val="30DF1478"/>
    <w:rsid w:val="30EA055D"/>
    <w:rsid w:val="30EC586F"/>
    <w:rsid w:val="319C6071"/>
    <w:rsid w:val="31AC537E"/>
    <w:rsid w:val="31B420C4"/>
    <w:rsid w:val="31B82C24"/>
    <w:rsid w:val="31C17BA9"/>
    <w:rsid w:val="31C549B6"/>
    <w:rsid w:val="31E3679B"/>
    <w:rsid w:val="31E732FD"/>
    <w:rsid w:val="32517576"/>
    <w:rsid w:val="3262346C"/>
    <w:rsid w:val="32A64673"/>
    <w:rsid w:val="32BE5C2C"/>
    <w:rsid w:val="32FB6478"/>
    <w:rsid w:val="331E793D"/>
    <w:rsid w:val="332637C2"/>
    <w:rsid w:val="33263B3F"/>
    <w:rsid w:val="336963EB"/>
    <w:rsid w:val="33816EEB"/>
    <w:rsid w:val="338863E7"/>
    <w:rsid w:val="33EB55CD"/>
    <w:rsid w:val="33EC4C02"/>
    <w:rsid w:val="340D2360"/>
    <w:rsid w:val="3410665D"/>
    <w:rsid w:val="34211214"/>
    <w:rsid w:val="342E63AB"/>
    <w:rsid w:val="34433534"/>
    <w:rsid w:val="3466782F"/>
    <w:rsid w:val="347B5D1E"/>
    <w:rsid w:val="34950E68"/>
    <w:rsid w:val="34986E94"/>
    <w:rsid w:val="34AF62C9"/>
    <w:rsid w:val="34CB4388"/>
    <w:rsid w:val="34DC2C0A"/>
    <w:rsid w:val="34FA6E12"/>
    <w:rsid w:val="354D7158"/>
    <w:rsid w:val="358D5588"/>
    <w:rsid w:val="36136070"/>
    <w:rsid w:val="363A3B40"/>
    <w:rsid w:val="365302AE"/>
    <w:rsid w:val="36607A0A"/>
    <w:rsid w:val="366E227C"/>
    <w:rsid w:val="366F2E0D"/>
    <w:rsid w:val="367B6A5C"/>
    <w:rsid w:val="36A74ADA"/>
    <w:rsid w:val="36AD60D5"/>
    <w:rsid w:val="36B224F9"/>
    <w:rsid w:val="36EC0CC9"/>
    <w:rsid w:val="37390A8E"/>
    <w:rsid w:val="373F410B"/>
    <w:rsid w:val="37512853"/>
    <w:rsid w:val="3756404C"/>
    <w:rsid w:val="376A0174"/>
    <w:rsid w:val="378C13F6"/>
    <w:rsid w:val="37BD1A5A"/>
    <w:rsid w:val="37E16E9C"/>
    <w:rsid w:val="37EE7094"/>
    <w:rsid w:val="38296C89"/>
    <w:rsid w:val="383002EB"/>
    <w:rsid w:val="38586797"/>
    <w:rsid w:val="388843DC"/>
    <w:rsid w:val="38BC0149"/>
    <w:rsid w:val="38D87D1C"/>
    <w:rsid w:val="38DE6D4B"/>
    <w:rsid w:val="391F535F"/>
    <w:rsid w:val="392E73EA"/>
    <w:rsid w:val="39636459"/>
    <w:rsid w:val="396B7F6C"/>
    <w:rsid w:val="399C14F7"/>
    <w:rsid w:val="39B417A9"/>
    <w:rsid w:val="39F5707E"/>
    <w:rsid w:val="39FC5695"/>
    <w:rsid w:val="3A006D8E"/>
    <w:rsid w:val="3A3651E5"/>
    <w:rsid w:val="3A4E2342"/>
    <w:rsid w:val="3A744481"/>
    <w:rsid w:val="3A8C7BEF"/>
    <w:rsid w:val="3A906246"/>
    <w:rsid w:val="3AC10178"/>
    <w:rsid w:val="3B2349B7"/>
    <w:rsid w:val="3B4677B8"/>
    <w:rsid w:val="3B616CFF"/>
    <w:rsid w:val="3B6259F6"/>
    <w:rsid w:val="3B894B0B"/>
    <w:rsid w:val="3B976654"/>
    <w:rsid w:val="3B9B68EE"/>
    <w:rsid w:val="3B9C11DA"/>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19356B"/>
    <w:rsid w:val="401E1828"/>
    <w:rsid w:val="40592157"/>
    <w:rsid w:val="406E1CAE"/>
    <w:rsid w:val="40937DD1"/>
    <w:rsid w:val="40A0133A"/>
    <w:rsid w:val="40C31A53"/>
    <w:rsid w:val="40F33AA5"/>
    <w:rsid w:val="40F92A66"/>
    <w:rsid w:val="40FF545D"/>
    <w:rsid w:val="410067C8"/>
    <w:rsid w:val="413C45E3"/>
    <w:rsid w:val="4147433B"/>
    <w:rsid w:val="418F0D2A"/>
    <w:rsid w:val="419500D6"/>
    <w:rsid w:val="41D01505"/>
    <w:rsid w:val="4238518B"/>
    <w:rsid w:val="42474939"/>
    <w:rsid w:val="424C3C57"/>
    <w:rsid w:val="42613FF3"/>
    <w:rsid w:val="42660D96"/>
    <w:rsid w:val="428667D2"/>
    <w:rsid w:val="42CD1CE0"/>
    <w:rsid w:val="42D53E10"/>
    <w:rsid w:val="42E1381E"/>
    <w:rsid w:val="42ED6459"/>
    <w:rsid w:val="42FE58DD"/>
    <w:rsid w:val="43174B3D"/>
    <w:rsid w:val="433F0E43"/>
    <w:rsid w:val="434B790E"/>
    <w:rsid w:val="4360274F"/>
    <w:rsid w:val="43977AB6"/>
    <w:rsid w:val="43A3342B"/>
    <w:rsid w:val="43C77C27"/>
    <w:rsid w:val="43DE09EE"/>
    <w:rsid w:val="44002FAD"/>
    <w:rsid w:val="4430589B"/>
    <w:rsid w:val="44356927"/>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707271"/>
    <w:rsid w:val="4B9739F7"/>
    <w:rsid w:val="4B974368"/>
    <w:rsid w:val="4B9A6B21"/>
    <w:rsid w:val="4B9C1FA2"/>
    <w:rsid w:val="4BE96C25"/>
    <w:rsid w:val="4BEE2503"/>
    <w:rsid w:val="4BF80D38"/>
    <w:rsid w:val="4C0A2544"/>
    <w:rsid w:val="4C245A30"/>
    <w:rsid w:val="4C5D53ED"/>
    <w:rsid w:val="4C676029"/>
    <w:rsid w:val="4CAF7256"/>
    <w:rsid w:val="4CB6685F"/>
    <w:rsid w:val="4CC367FE"/>
    <w:rsid w:val="4D077F3C"/>
    <w:rsid w:val="4D0E2C0C"/>
    <w:rsid w:val="4D123355"/>
    <w:rsid w:val="4D2A3B31"/>
    <w:rsid w:val="4D312C52"/>
    <w:rsid w:val="4D4B0F25"/>
    <w:rsid w:val="4D905305"/>
    <w:rsid w:val="4D964A72"/>
    <w:rsid w:val="4D9C1254"/>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21480F"/>
    <w:rsid w:val="505D15FC"/>
    <w:rsid w:val="50707CB0"/>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F4743E"/>
    <w:rsid w:val="522E4CC3"/>
    <w:rsid w:val="5244713B"/>
    <w:rsid w:val="52615633"/>
    <w:rsid w:val="526A04DD"/>
    <w:rsid w:val="52977FD4"/>
    <w:rsid w:val="52A25790"/>
    <w:rsid w:val="52A96B6F"/>
    <w:rsid w:val="52B45975"/>
    <w:rsid w:val="52D94AA4"/>
    <w:rsid w:val="52EA3A62"/>
    <w:rsid w:val="52F50BB8"/>
    <w:rsid w:val="53097272"/>
    <w:rsid w:val="53544462"/>
    <w:rsid w:val="53676980"/>
    <w:rsid w:val="538F5C1B"/>
    <w:rsid w:val="53960CB2"/>
    <w:rsid w:val="5397158E"/>
    <w:rsid w:val="53D42C20"/>
    <w:rsid w:val="54013861"/>
    <w:rsid w:val="54487265"/>
    <w:rsid w:val="544D6070"/>
    <w:rsid w:val="545B4ECF"/>
    <w:rsid w:val="54605E1E"/>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1C1BE8"/>
    <w:rsid w:val="566B6D1E"/>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A85BE2"/>
    <w:rsid w:val="5AAD6F28"/>
    <w:rsid w:val="5AD63A24"/>
    <w:rsid w:val="5AE51FB6"/>
    <w:rsid w:val="5B2E1A1D"/>
    <w:rsid w:val="5B7C3583"/>
    <w:rsid w:val="5B843A1C"/>
    <w:rsid w:val="5B873E3F"/>
    <w:rsid w:val="5C014087"/>
    <w:rsid w:val="5C02690E"/>
    <w:rsid w:val="5C196DA7"/>
    <w:rsid w:val="5C2A048C"/>
    <w:rsid w:val="5C35640B"/>
    <w:rsid w:val="5C7422AE"/>
    <w:rsid w:val="5C80234E"/>
    <w:rsid w:val="5C8A680C"/>
    <w:rsid w:val="5CE45C2B"/>
    <w:rsid w:val="5CEB387F"/>
    <w:rsid w:val="5D0C4701"/>
    <w:rsid w:val="5D0F0395"/>
    <w:rsid w:val="5D221076"/>
    <w:rsid w:val="5D397964"/>
    <w:rsid w:val="5D551783"/>
    <w:rsid w:val="5D5A391C"/>
    <w:rsid w:val="5D5F10C0"/>
    <w:rsid w:val="5D891B7B"/>
    <w:rsid w:val="5D8A5E82"/>
    <w:rsid w:val="5D930F65"/>
    <w:rsid w:val="5D945FAA"/>
    <w:rsid w:val="5DAD38EE"/>
    <w:rsid w:val="5DB440DA"/>
    <w:rsid w:val="5E006862"/>
    <w:rsid w:val="5E0207B9"/>
    <w:rsid w:val="5E093CEF"/>
    <w:rsid w:val="5E1834A1"/>
    <w:rsid w:val="5E261785"/>
    <w:rsid w:val="5E4A7017"/>
    <w:rsid w:val="5E552BBA"/>
    <w:rsid w:val="5E611C10"/>
    <w:rsid w:val="5E626095"/>
    <w:rsid w:val="5E74631F"/>
    <w:rsid w:val="5E765627"/>
    <w:rsid w:val="5E7A0F3F"/>
    <w:rsid w:val="5E866777"/>
    <w:rsid w:val="5EC869A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232584"/>
    <w:rsid w:val="60305BC5"/>
    <w:rsid w:val="605864BB"/>
    <w:rsid w:val="607330CE"/>
    <w:rsid w:val="60825176"/>
    <w:rsid w:val="60873AD9"/>
    <w:rsid w:val="609F2AC4"/>
    <w:rsid w:val="60C413D5"/>
    <w:rsid w:val="60FA2EE8"/>
    <w:rsid w:val="61054A27"/>
    <w:rsid w:val="610A52BC"/>
    <w:rsid w:val="611D2366"/>
    <w:rsid w:val="61421856"/>
    <w:rsid w:val="615227C4"/>
    <w:rsid w:val="61654E3F"/>
    <w:rsid w:val="6182292A"/>
    <w:rsid w:val="618B5F69"/>
    <w:rsid w:val="61985864"/>
    <w:rsid w:val="619F7F92"/>
    <w:rsid w:val="61BB155E"/>
    <w:rsid w:val="61BD2EFD"/>
    <w:rsid w:val="61F94C26"/>
    <w:rsid w:val="62000E56"/>
    <w:rsid w:val="62244584"/>
    <w:rsid w:val="624F3E49"/>
    <w:rsid w:val="62632286"/>
    <w:rsid w:val="62775066"/>
    <w:rsid w:val="62885958"/>
    <w:rsid w:val="628903DB"/>
    <w:rsid w:val="62C860CC"/>
    <w:rsid w:val="62DE35CC"/>
    <w:rsid w:val="62F40B65"/>
    <w:rsid w:val="62FC2CFE"/>
    <w:rsid w:val="63024505"/>
    <w:rsid w:val="63540CCD"/>
    <w:rsid w:val="635B1DB5"/>
    <w:rsid w:val="63711FED"/>
    <w:rsid w:val="63880DDC"/>
    <w:rsid w:val="63885935"/>
    <w:rsid w:val="638D750D"/>
    <w:rsid w:val="63AC52D2"/>
    <w:rsid w:val="63AC6CC0"/>
    <w:rsid w:val="63B048E8"/>
    <w:rsid w:val="64043733"/>
    <w:rsid w:val="64055776"/>
    <w:rsid w:val="64175397"/>
    <w:rsid w:val="64240056"/>
    <w:rsid w:val="643E143A"/>
    <w:rsid w:val="644A0C02"/>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CF0E04"/>
    <w:rsid w:val="66DE04FB"/>
    <w:rsid w:val="66F85C8F"/>
    <w:rsid w:val="671E7365"/>
    <w:rsid w:val="67230B7E"/>
    <w:rsid w:val="672F3F24"/>
    <w:rsid w:val="673E055F"/>
    <w:rsid w:val="67551CE3"/>
    <w:rsid w:val="678A31C2"/>
    <w:rsid w:val="67A22552"/>
    <w:rsid w:val="67A530AB"/>
    <w:rsid w:val="67B22DCC"/>
    <w:rsid w:val="67BE5F1A"/>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627681"/>
    <w:rsid w:val="6977531D"/>
    <w:rsid w:val="69B51747"/>
    <w:rsid w:val="69BD5BBB"/>
    <w:rsid w:val="69CC2BFF"/>
    <w:rsid w:val="69D327F2"/>
    <w:rsid w:val="69FD55B8"/>
    <w:rsid w:val="6A0B1C62"/>
    <w:rsid w:val="6A0C584D"/>
    <w:rsid w:val="6A0D3F4C"/>
    <w:rsid w:val="6A2406C8"/>
    <w:rsid w:val="6A4B328A"/>
    <w:rsid w:val="6A4B36BE"/>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31226F"/>
    <w:rsid w:val="6C390C24"/>
    <w:rsid w:val="6C552F0B"/>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51CA3"/>
    <w:rsid w:val="6E8335BD"/>
    <w:rsid w:val="6E8E12EF"/>
    <w:rsid w:val="6E9045AA"/>
    <w:rsid w:val="6E972936"/>
    <w:rsid w:val="6EB74327"/>
    <w:rsid w:val="6EC91D52"/>
    <w:rsid w:val="6ED446C5"/>
    <w:rsid w:val="6EDD6C63"/>
    <w:rsid w:val="6F184A18"/>
    <w:rsid w:val="6F2A7D94"/>
    <w:rsid w:val="6F802313"/>
    <w:rsid w:val="6F8331F1"/>
    <w:rsid w:val="6FAE1A09"/>
    <w:rsid w:val="6FD75BF8"/>
    <w:rsid w:val="6FEF3B3E"/>
    <w:rsid w:val="707723D0"/>
    <w:rsid w:val="70DB77AC"/>
    <w:rsid w:val="70F5661B"/>
    <w:rsid w:val="70FF0D7D"/>
    <w:rsid w:val="71360107"/>
    <w:rsid w:val="713B688E"/>
    <w:rsid w:val="7183561A"/>
    <w:rsid w:val="71BE6408"/>
    <w:rsid w:val="71D43752"/>
    <w:rsid w:val="71D7083C"/>
    <w:rsid w:val="71F1796A"/>
    <w:rsid w:val="720846CC"/>
    <w:rsid w:val="72154626"/>
    <w:rsid w:val="72202699"/>
    <w:rsid w:val="72262B5D"/>
    <w:rsid w:val="72283FF7"/>
    <w:rsid w:val="722E7212"/>
    <w:rsid w:val="723A0474"/>
    <w:rsid w:val="725923E4"/>
    <w:rsid w:val="72864BF7"/>
    <w:rsid w:val="729023FC"/>
    <w:rsid w:val="733470C6"/>
    <w:rsid w:val="73533CC2"/>
    <w:rsid w:val="736D2DF9"/>
    <w:rsid w:val="73C0646E"/>
    <w:rsid w:val="742222F5"/>
    <w:rsid w:val="742348D0"/>
    <w:rsid w:val="74476126"/>
    <w:rsid w:val="74624977"/>
    <w:rsid w:val="74706664"/>
    <w:rsid w:val="7475702A"/>
    <w:rsid w:val="747F3682"/>
    <w:rsid w:val="749C4185"/>
    <w:rsid w:val="74A73931"/>
    <w:rsid w:val="74BE006A"/>
    <w:rsid w:val="75067759"/>
    <w:rsid w:val="752E6DCD"/>
    <w:rsid w:val="7551380D"/>
    <w:rsid w:val="75600BE5"/>
    <w:rsid w:val="7564475C"/>
    <w:rsid w:val="75834A5C"/>
    <w:rsid w:val="7583797F"/>
    <w:rsid w:val="75D20F1D"/>
    <w:rsid w:val="75DA2C18"/>
    <w:rsid w:val="75F54412"/>
    <w:rsid w:val="75FF1B9F"/>
    <w:rsid w:val="761969BC"/>
    <w:rsid w:val="761D08E0"/>
    <w:rsid w:val="76400B70"/>
    <w:rsid w:val="765D347C"/>
    <w:rsid w:val="76826699"/>
    <w:rsid w:val="7688753D"/>
    <w:rsid w:val="76C87133"/>
    <w:rsid w:val="76CD08D5"/>
    <w:rsid w:val="76DB4B92"/>
    <w:rsid w:val="76FF4961"/>
    <w:rsid w:val="77052AA4"/>
    <w:rsid w:val="77136511"/>
    <w:rsid w:val="77340A39"/>
    <w:rsid w:val="77351FD0"/>
    <w:rsid w:val="77472422"/>
    <w:rsid w:val="777F31F2"/>
    <w:rsid w:val="77BC4C63"/>
    <w:rsid w:val="77D1700D"/>
    <w:rsid w:val="77E4568D"/>
    <w:rsid w:val="77EC04CC"/>
    <w:rsid w:val="78006A23"/>
    <w:rsid w:val="78775729"/>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E64CF7"/>
    <w:rsid w:val="7BEE0103"/>
    <w:rsid w:val="7C0A0FE4"/>
    <w:rsid w:val="7C254906"/>
    <w:rsid w:val="7C5022FF"/>
    <w:rsid w:val="7C590818"/>
    <w:rsid w:val="7C6E0182"/>
    <w:rsid w:val="7C7C10F6"/>
    <w:rsid w:val="7C853BEA"/>
    <w:rsid w:val="7C881368"/>
    <w:rsid w:val="7CE27788"/>
    <w:rsid w:val="7CEE3F95"/>
    <w:rsid w:val="7D0357E5"/>
    <w:rsid w:val="7D0C32F1"/>
    <w:rsid w:val="7D0F408D"/>
    <w:rsid w:val="7D491C6C"/>
    <w:rsid w:val="7D5429C0"/>
    <w:rsid w:val="7D6E6D43"/>
    <w:rsid w:val="7D7069D2"/>
    <w:rsid w:val="7D894AA5"/>
    <w:rsid w:val="7D8E125C"/>
    <w:rsid w:val="7D945071"/>
    <w:rsid w:val="7DAD6DD7"/>
    <w:rsid w:val="7DB57A34"/>
    <w:rsid w:val="7DDB10A1"/>
    <w:rsid w:val="7DE60973"/>
    <w:rsid w:val="7DEF0916"/>
    <w:rsid w:val="7E1E5218"/>
    <w:rsid w:val="7E7514D4"/>
    <w:rsid w:val="7E9A4E1F"/>
    <w:rsid w:val="7EA7723A"/>
    <w:rsid w:val="7EB659FE"/>
    <w:rsid w:val="7EBC6AFC"/>
    <w:rsid w:val="7EF56FBB"/>
    <w:rsid w:val="7EFC38CE"/>
    <w:rsid w:val="7F015C50"/>
    <w:rsid w:val="7F067E4D"/>
    <w:rsid w:val="7F0768EB"/>
    <w:rsid w:val="7F143BEC"/>
    <w:rsid w:val="7F6137FA"/>
    <w:rsid w:val="7F715AF2"/>
    <w:rsid w:val="7F793597"/>
    <w:rsid w:val="7F886E69"/>
    <w:rsid w:val="7FCF2D12"/>
    <w:rsid w:val="7FFA1DC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5"/>
    <w:qFormat/>
    <w:uiPriority w:val="0"/>
    <w:pPr>
      <w:ind w:firstLine="420"/>
    </w:pPr>
    <w:rPr>
      <w:rFonts w:hAnsi="Calibri" w:cs="Times New Roman"/>
      <w:snapToGrid/>
      <w:szCs w:val="20"/>
    </w:rPr>
  </w:style>
  <w:style w:type="paragraph" w:styleId="3">
    <w:name w:val="Body Text"/>
    <w:basedOn w:val="1"/>
    <w:next w:val="2"/>
    <w:link w:val="434"/>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index 8"/>
    <w:basedOn w:val="1"/>
    <w:next w:val="1"/>
    <w:qFormat/>
    <w:uiPriority w:val="0"/>
    <w:pPr>
      <w:ind w:left="2940"/>
    </w:p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Normal Indent"/>
    <w:basedOn w:val="1"/>
    <w:next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234"/>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7"/>
    <w:qFormat/>
    <w:uiPriority w:val="0"/>
    <w:pPr>
      <w:shd w:val="clear" w:color="auto" w:fill="000080"/>
    </w:pPr>
  </w:style>
  <w:style w:type="paragraph" w:styleId="23">
    <w:name w:val="annotation text"/>
    <w:basedOn w:val="1"/>
    <w:link w:val="348"/>
    <w:qFormat/>
    <w:uiPriority w:val="99"/>
    <w:pPr>
      <w:jc w:val="left"/>
    </w:pPr>
  </w:style>
  <w:style w:type="paragraph" w:styleId="24">
    <w:name w:val="Salutation"/>
    <w:basedOn w:val="1"/>
    <w:next w:val="1"/>
    <w:link w:val="302"/>
    <w:qFormat/>
    <w:uiPriority w:val="0"/>
    <w:rPr>
      <w:rFonts w:ascii="仿宋_GB2312" w:eastAsia="仿宋_GB2312"/>
      <w:sz w:val="28"/>
      <w:szCs w:val="20"/>
    </w:rPr>
  </w:style>
  <w:style w:type="paragraph" w:styleId="25">
    <w:name w:val="Body Text 3"/>
    <w:basedOn w:val="1"/>
    <w:link w:val="334"/>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28"/>
    <w:link w:val="269"/>
    <w:qFormat/>
    <w:uiPriority w:val="0"/>
    <w:pPr>
      <w:spacing w:line="480" w:lineRule="exact"/>
      <w:ind w:firstLine="480" w:firstLineChars="200"/>
    </w:pPr>
    <w:rPr>
      <w:rFonts w:ascii="宋体" w:hAnsi="宋体"/>
      <w:sz w:val="24"/>
    </w:rPr>
  </w:style>
  <w:style w:type="paragraph" w:styleId="28">
    <w:name w:val="envelope return"/>
    <w:basedOn w:val="1"/>
    <w:qFormat/>
    <w:uiPriority w:val="0"/>
    <w:pPr>
      <w:snapToGrid w:val="0"/>
    </w:pPr>
    <w:rPr>
      <w:rFonts w:ascii="Arial" w:hAnsi="Arial"/>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30"/>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6"/>
    <w:qFormat/>
    <w:uiPriority w:val="0"/>
    <w:pPr>
      <w:ind w:left="100" w:leftChars="2500"/>
    </w:pPr>
    <w:rPr>
      <w:rFonts w:ascii="宋体"/>
      <w:sz w:val="24"/>
      <w:szCs w:val="21"/>
      <w:lang w:val="zh-CN"/>
    </w:rPr>
  </w:style>
  <w:style w:type="paragraph" w:styleId="40">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1">
    <w:name w:val="endnote text"/>
    <w:basedOn w:val="1"/>
    <w:link w:val="935"/>
    <w:qFormat/>
    <w:uiPriority w:val="0"/>
    <w:rPr>
      <w:lang w:val="zh-CN"/>
    </w:rPr>
  </w:style>
  <w:style w:type="paragraph" w:styleId="42">
    <w:name w:val="Balloon Text"/>
    <w:basedOn w:val="1"/>
    <w:link w:val="193"/>
    <w:qFormat/>
    <w:uiPriority w:val="0"/>
    <w:rPr>
      <w:sz w:val="18"/>
      <w:szCs w:val="18"/>
    </w:rPr>
  </w:style>
  <w:style w:type="paragraph" w:styleId="43">
    <w:name w:val="footer"/>
    <w:basedOn w:val="1"/>
    <w:link w:val="387"/>
    <w:qFormat/>
    <w:uiPriority w:val="99"/>
    <w:pPr>
      <w:tabs>
        <w:tab w:val="center" w:pos="4153"/>
        <w:tab w:val="right" w:pos="8306"/>
      </w:tabs>
      <w:snapToGrid w:val="0"/>
      <w:jc w:val="left"/>
    </w:pPr>
    <w:rPr>
      <w:sz w:val="18"/>
      <w:szCs w:val="18"/>
    </w:rPr>
  </w:style>
  <w:style w:type="paragraph" w:styleId="44">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9"/>
    <w:link w:val="314"/>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9"/>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6"/>
    <w:qFormat/>
    <w:uiPriority w:val="0"/>
    <w:pPr>
      <w:spacing w:after="120" w:line="480" w:lineRule="auto"/>
    </w:pPr>
  </w:style>
  <w:style w:type="paragraph" w:styleId="59">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3"/>
    <w:next w:val="23"/>
    <w:link w:val="101"/>
    <w:qFormat/>
    <w:uiPriority w:val="0"/>
    <w:rPr>
      <w:b/>
      <w:bCs/>
    </w:rPr>
  </w:style>
  <w:style w:type="paragraph" w:styleId="63">
    <w:name w:val="Body Text First Indent 2"/>
    <w:basedOn w:val="27"/>
    <w:next w:val="1"/>
    <w:link w:val="126"/>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首行缩进1"/>
    <w:basedOn w:val="3"/>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2">
    <w:name w:val="Default"/>
    <w:next w:val="83"/>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4">
    <w:name w:val="[Normal]"/>
    <w:qFormat/>
    <w:uiPriority w:val="0"/>
    <w:rPr>
      <w:rFonts w:ascii="宋体" w:hAnsi="宋体" w:eastAsia="宋体" w:cs="Times New Roman"/>
      <w:sz w:val="24"/>
      <w:lang w:val="zh-CN" w:eastAsia="zh-CN" w:bidi="ar-SA"/>
    </w:rPr>
  </w:style>
  <w:style w:type="paragraph" w:styleId="85">
    <w:name w:val="List Paragraph"/>
    <w:basedOn w:val="1"/>
    <w:qFormat/>
    <w:uiPriority w:val="34"/>
    <w:pPr>
      <w:spacing w:line="360" w:lineRule="auto"/>
      <w:ind w:firstLine="200" w:firstLineChars="200"/>
    </w:pPr>
    <w:rPr>
      <w:rFonts w:eastAsia="楷体_GB2312" w:cs="Lucida Sans"/>
      <w:sz w:val="24"/>
    </w:rPr>
  </w:style>
  <w:style w:type="paragraph" w:customStyle="1" w:styleId="86">
    <w:name w:val="正文文本首行缩进 21"/>
    <w:basedOn w:val="27"/>
    <w:qFormat/>
    <w:uiPriority w:val="99"/>
    <w:pPr>
      <w:spacing w:line="200" w:lineRule="atLeast"/>
      <w:ind w:firstLine="420"/>
    </w:pPr>
    <w:rPr>
      <w:rFonts w:hAnsi="Courier New"/>
      <w:spacing w:val="-4"/>
      <w:sz w:val="18"/>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2"/>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3"/>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1"/>
    <w:qFormat/>
    <w:uiPriority w:val="0"/>
    <w:rPr>
      <w:rFonts w:ascii="Arial" w:hAnsi="Arial" w:eastAsia="黑体" w:cs="Arial"/>
      <w:snapToGrid w:val="0"/>
      <w:kern w:val="0"/>
      <w:szCs w:val="21"/>
    </w:rPr>
  </w:style>
  <w:style w:type="character" w:customStyle="1" w:styleId="130">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50"/>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10"/>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6"/>
    <w:link w:val="175"/>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9"/>
    <w:qFormat/>
    <w:uiPriority w:val="0"/>
    <w:rPr>
      <w:rFonts w:ascii="宋体"/>
      <w:kern w:val="2"/>
      <w:sz w:val="24"/>
      <w:szCs w:val="21"/>
      <w:lang w:val="zh-CN"/>
    </w:rPr>
  </w:style>
  <w:style w:type="character" w:customStyle="1" w:styleId="187">
    <w:name w:val="标题 9 Char"/>
    <w:link w:val="13"/>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2"/>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9"/>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2"/>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1"/>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3"/>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8"/>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20"/>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2"/>
    <w:qFormat/>
    <w:uiPriority w:val="0"/>
    <w:rPr>
      <w:rFonts w:ascii="仿宋_GB2312" w:eastAsia="仿宋_GB2312" w:cs="仿宋_GB2312"/>
      <w:color w:val="000000"/>
      <w:sz w:val="24"/>
      <w:szCs w:val="24"/>
      <w:lang w:val="en-US" w:eastAsia="zh-CN" w:bidi="ar-SA"/>
    </w:rPr>
  </w:style>
  <w:style w:type="paragraph" w:customStyle="1" w:styleId="24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5"/>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7"/>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5"/>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1"/>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9"/>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4"/>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9"/>
    <w:qFormat/>
    <w:uiPriority w:val="0"/>
    <w:rPr>
      <w:rFonts w:ascii="黑体" w:hAnsi="Courier New" w:eastAsia="黑体"/>
    </w:rPr>
  </w:style>
  <w:style w:type="character" w:customStyle="1" w:styleId="306">
    <w:name w:val="正文文本 2 Char1"/>
    <w:link w:val="58"/>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8"/>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1"/>
    <w:qFormat/>
    <w:uiPriority w:val="0"/>
    <w:rPr>
      <w:b/>
      <w:bCs/>
      <w:kern w:val="2"/>
      <w:sz w:val="24"/>
      <w:szCs w:val="24"/>
    </w:rPr>
  </w:style>
  <w:style w:type="character" w:customStyle="1" w:styleId="312">
    <w:name w:val="正文文本缩进 2 Char"/>
    <w:link w:val="40"/>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3"/>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2"/>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8"/>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5"/>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3"/>
    <w:qFormat/>
    <w:uiPriority w:val="0"/>
    <w:rPr>
      <w:kern w:val="2"/>
      <w:sz w:val="21"/>
      <w:szCs w:val="24"/>
    </w:rPr>
  </w:style>
  <w:style w:type="character" w:customStyle="1" w:styleId="349">
    <w:name w:val="签名 Char"/>
    <w:link w:val="45"/>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2"/>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5"/>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3"/>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4"/>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9"/>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5">
    <w:name w:val="gray6"/>
    <w:basedOn w:val="71"/>
    <w:qFormat/>
    <w:uiPriority w:val="0"/>
    <w:rPr>
      <w:rFonts w:ascii="Arial" w:hAnsi="Arial" w:eastAsia="黑体" w:cs="Arial"/>
      <w:snapToGrid w:val="0"/>
      <w:kern w:val="0"/>
      <w:szCs w:val="21"/>
    </w:rPr>
  </w:style>
  <w:style w:type="character" w:customStyle="1" w:styleId="436">
    <w:name w:val="hui"/>
    <w:basedOn w:val="71"/>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8"/>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8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6"/>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7"/>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9"/>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7"/>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9"/>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next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8"/>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2"/>
    <w:next w:val="82"/>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2"/>
    <w:next w:val="82"/>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8"/>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6"/>
    <w:next w:val="1"/>
    <w:qFormat/>
    <w:uiPriority w:val="0"/>
    <w:pPr>
      <w:tabs>
        <w:tab w:val="left" w:pos="578"/>
        <w:tab w:val="left" w:pos="900"/>
        <w:tab w:val="left" w:pos="1440"/>
      </w:tabs>
      <w:ind w:left="1440" w:hanging="360"/>
    </w:pPr>
    <w:rPr>
      <w:rFonts w:ascii="仿宋" w:eastAsia="仿宋" w:cs="宋体"/>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5"/>
    <w:qFormat/>
    <w:uiPriority w:val="0"/>
    <w:pPr>
      <w:tabs>
        <w:tab w:val="left" w:pos="840"/>
      </w:tabs>
      <w:adjustRightInd/>
      <w:ind w:left="840" w:hanging="420"/>
    </w:pPr>
  </w:style>
  <w:style w:type="paragraph" w:customStyle="1" w:styleId="630">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8"/>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0"/>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7"/>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22"/>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85"/>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qFormat/>
    <w:uiPriority w:val="0"/>
    <w:pPr>
      <w:tabs>
        <w:tab w:val="left" w:pos="1080"/>
      </w:tabs>
      <w:ind w:left="1080" w:hanging="1080"/>
    </w:pPr>
  </w:style>
  <w:style w:type="paragraph" w:customStyle="1" w:styleId="900">
    <w:name w:val="数字标题1"/>
    <w:basedOn w:val="5"/>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1"/>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85"/>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6"/>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Body text|1"/>
    <w:basedOn w:val="1"/>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character" w:customStyle="1" w:styleId="968">
    <w:name w:val="font101"/>
    <w:basedOn w:val="71"/>
    <w:qFormat/>
    <w:uiPriority w:val="0"/>
    <w:rPr>
      <w:rFonts w:hint="eastAsia" w:ascii="宋体" w:hAnsi="宋体" w:eastAsia="宋体" w:cs="宋体"/>
      <w:color w:val="FF0000"/>
      <w:sz w:val="20"/>
      <w:szCs w:val="20"/>
      <w:u w:val="none"/>
    </w:rPr>
  </w:style>
  <w:style w:type="paragraph" w:customStyle="1" w:styleId="969">
    <w:name w:val="封面编号"/>
    <w:basedOn w:val="1"/>
    <w:qFormat/>
    <w:uiPriority w:val="0"/>
    <w:pPr>
      <w:spacing w:line="360" w:lineRule="auto"/>
      <w:jc w:val="center"/>
    </w:pPr>
    <w:rPr>
      <w:rFonts w:ascii="黑体" w:hAnsi="宋体" w:eastAsia="黑体" w:cs="宋体"/>
      <w:b/>
      <w:bCs/>
      <w:sz w:val="38"/>
      <w:szCs w:val="20"/>
    </w:rPr>
  </w:style>
  <w:style w:type="table" w:customStyle="1" w:styleId="970">
    <w:name w:val="Table Normal"/>
    <w:semiHidden/>
    <w:unhideWhenUsed/>
    <w:qFormat/>
    <w:uiPriority w:val="0"/>
    <w:tblPr>
      <w:tblCellMar>
        <w:top w:w="0" w:type="dxa"/>
        <w:left w:w="0" w:type="dxa"/>
        <w:bottom w:w="0" w:type="dxa"/>
        <w:right w:w="0" w:type="dxa"/>
      </w:tblCellMar>
    </w:tblPr>
  </w:style>
  <w:style w:type="character" w:customStyle="1" w:styleId="971">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972">
    <w:name w:val="font122"/>
    <w:basedOn w:val="71"/>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customXml" Target="../customXml/item2.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30.png"/><Relationship Id="rId45" Type="http://schemas.openxmlformats.org/officeDocument/2006/relationships/image" Target="media/image29.jpeg"/><Relationship Id="rId44" Type="http://schemas.openxmlformats.org/officeDocument/2006/relationships/image" Target="media/image28.jpeg"/><Relationship Id="rId43" Type="http://schemas.openxmlformats.org/officeDocument/2006/relationships/image" Target="media/image27.png"/><Relationship Id="rId42" Type="http://schemas.openxmlformats.org/officeDocument/2006/relationships/image" Target="media/image26.png"/><Relationship Id="rId41" Type="http://schemas.openxmlformats.org/officeDocument/2006/relationships/image" Target="media/image25.png"/><Relationship Id="rId40" Type="http://schemas.openxmlformats.org/officeDocument/2006/relationships/image" Target="media/image24.png"/><Relationship Id="rId4" Type="http://schemas.openxmlformats.org/officeDocument/2006/relationships/header" Target="header2.xml"/><Relationship Id="rId39" Type="http://schemas.openxmlformats.org/officeDocument/2006/relationships/image" Target="media/image23.png"/><Relationship Id="rId38" Type="http://schemas.openxmlformats.org/officeDocument/2006/relationships/image" Target="media/image22.png"/><Relationship Id="rId37" Type="http://schemas.openxmlformats.org/officeDocument/2006/relationships/image" Target="media/image21.png"/><Relationship Id="rId36" Type="http://schemas.openxmlformats.org/officeDocument/2006/relationships/image" Target="media/image20.png"/><Relationship Id="rId35" Type="http://schemas.openxmlformats.org/officeDocument/2006/relationships/image" Target="media/image19.png"/><Relationship Id="rId34" Type="http://schemas.openxmlformats.org/officeDocument/2006/relationships/image" Target="media/image18.png"/><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header" Target="header1.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42</Pages>
  <Words>15900</Words>
  <Characters>17426</Characters>
  <Lines>293</Lines>
  <Paragraphs>82</Paragraphs>
  <TotalTime>1</TotalTime>
  <ScaleCrop>false</ScaleCrop>
  <LinksUpToDate>false</LinksUpToDate>
  <CharactersWithSpaces>20846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DELL</cp:lastModifiedBy>
  <cp:lastPrinted>2021-12-27T03:06:00Z</cp:lastPrinted>
  <dcterms:modified xsi:type="dcterms:W3CDTF">2024-05-20T00:33:25Z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C4EAD3BBE8854D1389617F613D326486_13</vt:lpwstr>
  </property>
  <property fmtid="{D5CDD505-2E9C-101B-9397-08002B2CF9AE}" pid="5" name="commondata">
    <vt:lpwstr>eyJoZGlkIjoiMzdkYTNjODAzOWEyZTBjZWI2OWE0Y2U2MTNhOGNiNmUifQ==</vt:lpwstr>
  </property>
</Properties>
</file>