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pStyle w:val="972"/>
        <w:spacing w:line="760" w:lineRule="exact"/>
        <w:rPr>
          <w:rFonts w:ascii="宋体" w:eastAsia="宋体"/>
          <w:color w:val="auto"/>
          <w:sz w:val="72"/>
          <w:szCs w:val="72"/>
          <w:highlight w:val="none"/>
        </w:rPr>
      </w:pPr>
    </w:p>
    <w:p>
      <w:pPr>
        <w:jc w:val="center"/>
        <w:rPr>
          <w:rFonts w:hint="default"/>
          <w:b/>
          <w:bCs/>
          <w:color w:val="auto"/>
          <w:sz w:val="44"/>
          <w:szCs w:val="44"/>
          <w:highlight w:val="none"/>
          <w:lang w:val="en-US" w:eastAsia="zh-CN"/>
        </w:rPr>
      </w:pPr>
      <w:r>
        <w:rPr>
          <w:rFonts w:hint="eastAsia"/>
          <w:b/>
          <w:bCs/>
          <w:color w:val="auto"/>
          <w:sz w:val="44"/>
          <w:szCs w:val="44"/>
          <w:highlight w:val="none"/>
          <w:lang w:val="en-US" w:eastAsia="zh-CN"/>
        </w:rPr>
        <w:t>杭州萧山环城建设开发有限公司2024年度选址论证服务采购项目</w:t>
      </w:r>
    </w:p>
    <w:p>
      <w:pPr>
        <w:adjustRightInd/>
        <w:spacing w:line="360" w:lineRule="auto"/>
        <w:jc w:val="center"/>
        <w:rPr>
          <w:rFonts w:ascii="宋体" w:hAnsi="宋体" w:cs="宋体"/>
          <w:b/>
          <w:bCs/>
          <w:color w:val="auto"/>
          <w:sz w:val="72"/>
          <w:szCs w:val="72"/>
          <w:highlight w:val="none"/>
        </w:rPr>
      </w:pPr>
    </w:p>
    <w:p>
      <w:pPr>
        <w:adjustRightInd/>
        <w:spacing w:line="360" w:lineRule="auto"/>
        <w:jc w:val="center"/>
        <w:rPr>
          <w:rFonts w:hint="eastAsia" w:ascii="宋体" w:hAnsi="宋体" w:cs="宋体"/>
          <w:b/>
          <w:bCs/>
          <w:color w:val="auto"/>
          <w:sz w:val="72"/>
          <w:szCs w:val="72"/>
          <w:highlight w:val="none"/>
        </w:rPr>
      </w:pPr>
    </w:p>
    <w:p>
      <w:pPr>
        <w:adjustRightInd/>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公开竞争文件</w:t>
      </w:r>
    </w:p>
    <w:p>
      <w:pPr>
        <w:adjustRightInd/>
        <w:spacing w:line="360" w:lineRule="auto"/>
        <w:jc w:val="center"/>
        <w:rPr>
          <w:rFonts w:ascii="宋体" w:hAnsi="宋体" w:cs="宋体"/>
          <w:b/>
          <w:color w:val="auto"/>
          <w:sz w:val="40"/>
          <w:szCs w:val="40"/>
          <w:highlight w:val="none"/>
        </w:rPr>
      </w:pPr>
      <w:r>
        <w:rPr>
          <w:rFonts w:hint="eastAsia" w:ascii="宋体" w:hAnsi="宋体" w:cs="宋体"/>
          <w:b/>
          <w:color w:val="auto"/>
          <w:sz w:val="40"/>
          <w:szCs w:val="40"/>
          <w:highlight w:val="none"/>
        </w:rPr>
        <w:t>（电子交易）</w:t>
      </w:r>
    </w:p>
    <w:p>
      <w:pPr>
        <w:snapToGrid w:val="0"/>
        <w:spacing w:line="360" w:lineRule="auto"/>
        <w:jc w:val="center"/>
        <w:rPr>
          <w:rFonts w:ascii="宋体" w:hAnsi="宋体" w:cs="宋体"/>
          <w:b/>
          <w:bCs/>
          <w:color w:val="auto"/>
          <w:sz w:val="30"/>
          <w:szCs w:val="30"/>
          <w:highlight w:val="none"/>
        </w:rPr>
      </w:pPr>
    </w:p>
    <w:p>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rPr>
        <w:t>交易编号：HC2024-001</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pStyle w:val="89"/>
        <w:rPr>
          <w:rFonts w:cs="宋体"/>
          <w:color w:val="auto"/>
          <w:highlight w:val="none"/>
        </w:rPr>
      </w:pPr>
    </w:p>
    <w:p>
      <w:pPr>
        <w:spacing w:line="360" w:lineRule="auto"/>
        <w:rPr>
          <w:rFonts w:hint="eastAsia" w:ascii="宋体" w:hAnsi="宋体" w:cs="宋体"/>
          <w:b/>
          <w:color w:val="auto"/>
          <w:sz w:val="32"/>
          <w:szCs w:val="30"/>
          <w:highlight w:val="none"/>
        </w:rPr>
      </w:pPr>
    </w:p>
    <w:p>
      <w:pPr>
        <w:spacing w:line="360" w:lineRule="auto"/>
        <w:ind w:firstLine="964" w:firstLineChars="300"/>
        <w:rPr>
          <w:rFonts w:hint="eastAsia" w:ascii="宋体" w:hAnsi="宋体" w:cs="宋体"/>
          <w:b/>
          <w:color w:val="auto"/>
          <w:sz w:val="32"/>
          <w:szCs w:val="30"/>
          <w:highlight w:val="none"/>
        </w:rPr>
      </w:pPr>
    </w:p>
    <w:p>
      <w:pPr>
        <w:spacing w:line="360" w:lineRule="auto"/>
        <w:ind w:firstLine="964" w:firstLineChars="300"/>
        <w:rPr>
          <w:rFonts w:hint="eastAsia" w:ascii="宋体" w:hAnsi="宋体" w:eastAsia="宋体" w:cs="宋体"/>
          <w:b/>
          <w:color w:val="auto"/>
          <w:spacing w:val="-20"/>
          <w:sz w:val="32"/>
          <w:szCs w:val="30"/>
          <w:highlight w:val="none"/>
          <w:lang w:eastAsia="zh-CN"/>
        </w:rPr>
      </w:pPr>
      <w:r>
        <w:rPr>
          <w:rFonts w:hint="eastAsia" w:ascii="宋体" w:hAnsi="宋体" w:cs="宋体"/>
          <w:b/>
          <w:color w:val="auto"/>
          <w:sz w:val="32"/>
          <w:szCs w:val="30"/>
          <w:highlight w:val="none"/>
        </w:rPr>
        <w:t>交易发起人：</w:t>
      </w:r>
      <w:r>
        <w:rPr>
          <w:rFonts w:hint="eastAsia" w:ascii="宋体" w:hAnsi="宋体" w:cs="宋体"/>
          <w:b/>
          <w:color w:val="auto"/>
          <w:spacing w:val="34"/>
          <w:sz w:val="32"/>
          <w:szCs w:val="30"/>
          <w:highlight w:val="none"/>
          <w:lang w:eastAsia="zh-CN"/>
        </w:rPr>
        <w:t>杭州萧山环城建设开发有限公司</w:t>
      </w:r>
    </w:p>
    <w:p>
      <w:pPr>
        <w:spacing w:line="360" w:lineRule="auto"/>
        <w:ind w:firstLine="964" w:firstLineChars="300"/>
        <w:rPr>
          <w:rFonts w:ascii="宋体" w:hAnsi="宋体" w:cs="宋体"/>
          <w:b/>
          <w:color w:val="auto"/>
          <w:sz w:val="32"/>
          <w:szCs w:val="32"/>
          <w:highlight w:val="none"/>
        </w:rPr>
      </w:pPr>
      <w:r>
        <w:rPr>
          <w:rFonts w:hint="eastAsia" w:ascii="宋体" w:hAnsi="宋体" w:cs="宋体"/>
          <w:b/>
          <w:color w:val="auto"/>
          <w:sz w:val="32"/>
          <w:szCs w:val="30"/>
          <w:highlight w:val="none"/>
        </w:rPr>
        <w:t>代理机构：杭州博望建设工程招标投标代理有限公司</w:t>
      </w:r>
    </w:p>
    <w:p>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二〇二</w:t>
      </w:r>
      <w:r>
        <w:rPr>
          <w:rFonts w:hint="eastAsia" w:ascii="宋体" w:hAnsi="宋体" w:cs="宋体"/>
          <w:b/>
          <w:color w:val="auto"/>
          <w:sz w:val="32"/>
          <w:szCs w:val="32"/>
          <w:highlight w:val="none"/>
          <w:lang w:val="en-US" w:eastAsia="zh-CN"/>
        </w:rPr>
        <w:t>四</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val="en-US" w:eastAsia="zh-CN"/>
        </w:rPr>
        <w:t>十四</w:t>
      </w:r>
      <w:r>
        <w:rPr>
          <w:rFonts w:hint="eastAsia" w:ascii="宋体" w:hAnsi="宋体" w:cs="宋体"/>
          <w:b/>
          <w:color w:val="auto"/>
          <w:sz w:val="32"/>
          <w:szCs w:val="32"/>
          <w:highlight w:val="none"/>
        </w:rPr>
        <w:t>日</w:t>
      </w:r>
    </w:p>
    <w:p>
      <w:pPr>
        <w:jc w:val="center"/>
        <w:rPr>
          <w:rFonts w:ascii="宋体" w:hAnsi="宋体" w:cs="宋体"/>
          <w:b/>
          <w:color w:val="auto"/>
          <w:sz w:val="48"/>
          <w:szCs w:val="48"/>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pPr>
        <w:pStyle w:val="37"/>
        <w:rPr>
          <w:color w:val="auto"/>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响应人须知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交易需求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交易办法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交易公告</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一、基本情况</w:t>
      </w:r>
    </w:p>
    <w:p>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交易编号：</w:t>
      </w:r>
      <w:r>
        <w:rPr>
          <w:rFonts w:hint="eastAsia" w:ascii="宋体" w:hAnsi="宋体" w:eastAsia="宋体" w:cs="宋体"/>
          <w:bCs/>
          <w:color w:val="auto"/>
          <w:sz w:val="24"/>
          <w:highlight w:val="none"/>
          <w:lang w:eastAsia="zh-CN"/>
        </w:rPr>
        <w:t>HC2024-001</w:t>
      </w:r>
    </w:p>
    <w:p>
      <w:pPr>
        <w:spacing w:line="360" w:lineRule="auto"/>
        <w:ind w:firstLine="482" w:firstLineChars="200"/>
        <w:rPr>
          <w:rFonts w:hint="eastAsia" w:ascii="宋体" w:hAnsi="宋体" w:eastAsia="宋体" w:cs="宋体"/>
          <w:bCs/>
          <w:color w:val="auto"/>
          <w:sz w:val="24"/>
          <w:highlight w:val="none"/>
          <w:lang w:eastAsia="zh-CN"/>
        </w:rPr>
      </w:pPr>
      <w:r>
        <w:rPr>
          <w:rFonts w:hint="eastAsia" w:ascii="宋体" w:hAnsi="宋体" w:cs="宋体"/>
          <w:b/>
          <w:color w:val="auto"/>
          <w:sz w:val="24"/>
          <w:highlight w:val="none"/>
        </w:rPr>
        <w:t>交易名称：</w:t>
      </w:r>
      <w:r>
        <w:rPr>
          <w:rFonts w:hint="eastAsia" w:ascii="宋体" w:hAnsi="宋体" w:cs="宋体"/>
          <w:bCs/>
          <w:color w:val="auto"/>
          <w:sz w:val="24"/>
          <w:highlight w:val="none"/>
          <w:lang w:eastAsia="zh-CN"/>
        </w:rPr>
        <w:t>杭州萧山环城建设开发有限公司2024年度选址论证服务采购项目</w:t>
      </w:r>
    </w:p>
    <w:p>
      <w:pPr>
        <w:spacing w:line="360" w:lineRule="auto"/>
        <w:ind w:firstLine="482" w:firstLineChars="200"/>
        <w:rPr>
          <w:rFonts w:hint="default" w:ascii="宋体" w:hAnsi="宋体" w:cs="宋体"/>
          <w:bCs/>
          <w:color w:val="auto"/>
          <w:sz w:val="24"/>
          <w:highlight w:val="none"/>
          <w:lang w:val="en-US" w:eastAsia="zh-CN"/>
        </w:rPr>
      </w:pPr>
      <w:r>
        <w:rPr>
          <w:rFonts w:hint="eastAsia" w:ascii="宋体" w:hAnsi="宋体" w:cs="宋体"/>
          <w:b/>
          <w:color w:val="auto"/>
          <w:sz w:val="24"/>
          <w:highlight w:val="none"/>
        </w:rPr>
        <w:t>预算金额：</w:t>
      </w:r>
      <w:r>
        <w:rPr>
          <w:rFonts w:hint="eastAsia" w:ascii="宋体" w:hAnsi="宋体" w:cs="宋体"/>
          <w:bCs/>
          <w:color w:val="auto"/>
          <w:sz w:val="24"/>
          <w:highlight w:val="none"/>
          <w:lang w:val="en-US" w:eastAsia="zh-CN"/>
        </w:rPr>
        <w:t>950000.00元</w:t>
      </w:r>
    </w:p>
    <w:p>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最高限价：</w:t>
      </w:r>
      <w:r>
        <w:rPr>
          <w:rFonts w:hint="eastAsia" w:ascii="宋体" w:hAnsi="宋体" w:eastAsia="宋体" w:cs="宋体"/>
          <w:bCs/>
          <w:color w:val="auto"/>
          <w:sz w:val="24"/>
          <w:highlight w:val="none"/>
          <w:lang w:val="en-US" w:eastAsia="zh-CN"/>
        </w:rPr>
        <w:t>5公顷（含）/宗以下地块：10万元/宗；5公顷/宗以上地块：12万元/宗</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交易需求：</w:t>
      </w:r>
      <w:r>
        <w:rPr>
          <w:rFonts w:hint="eastAsia" w:ascii="宋体" w:hAnsi="宋体" w:cs="宋体"/>
          <w:bCs/>
          <w:color w:val="auto"/>
          <w:sz w:val="24"/>
          <w:highlight w:val="none"/>
          <w:lang w:eastAsia="zh-CN"/>
        </w:rPr>
        <w:t>2024年度选址论证服务，</w:t>
      </w:r>
      <w:r>
        <w:rPr>
          <w:rFonts w:hint="eastAsia" w:ascii="宋体" w:hAnsi="宋体" w:cs="宋体"/>
          <w:bCs/>
          <w:color w:val="auto"/>
          <w:sz w:val="24"/>
          <w:highlight w:val="none"/>
          <w:lang w:val="en-US" w:eastAsia="zh-CN"/>
        </w:rPr>
        <w:t>1年，</w:t>
      </w:r>
      <w:bookmarkStart w:id="389" w:name="_GoBack"/>
      <w:bookmarkEnd w:id="389"/>
      <w:r>
        <w:rPr>
          <w:rFonts w:hint="eastAsia" w:ascii="宋体" w:hAnsi="宋体" w:cs="宋体"/>
          <w:color w:val="auto"/>
          <w:sz w:val="24"/>
          <w:highlight w:val="none"/>
        </w:rPr>
        <w:t>详见交易需求。</w:t>
      </w:r>
    </w:p>
    <w:p>
      <w:pPr>
        <w:pStyle w:val="17"/>
        <w:spacing w:line="360" w:lineRule="auto"/>
        <w:ind w:firstLine="482" w:firstLineChars="200"/>
        <w:rPr>
          <w:rFonts w:hAnsi="宋体" w:cs="宋体"/>
          <w:color w:val="auto"/>
          <w:highlight w:val="none"/>
        </w:rPr>
      </w:pPr>
      <w:r>
        <w:rPr>
          <w:rFonts w:hint="eastAsia" w:hAnsi="宋体" w:cs="宋体"/>
          <w:b/>
          <w:color w:val="auto"/>
          <w:sz w:val="24"/>
          <w:szCs w:val="18"/>
          <w:highlight w:val="none"/>
        </w:rPr>
        <w:t>合同履约期限：</w:t>
      </w:r>
      <w:r>
        <w:rPr>
          <w:rFonts w:hint="eastAsia" w:hAnsi="宋体" w:cs="宋体"/>
          <w:color w:val="auto"/>
          <w:sz w:val="24"/>
          <w:szCs w:val="28"/>
          <w:highlight w:val="none"/>
        </w:rPr>
        <w:t>详见公开竞争文件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pStyle w:val="62"/>
        <w:ind w:firstLine="480" w:firstLineChars="200"/>
        <w:rPr>
          <w:rFonts w:hint="eastAsia" w:hAnsi="宋体" w:eastAsia="宋体" w:cs="宋体"/>
          <w:color w:val="auto"/>
          <w:highlight w:val="none"/>
          <w:lang w:val="en-US" w:eastAsia="zh-CN"/>
        </w:rPr>
      </w:pPr>
      <w:r>
        <w:rPr>
          <w:rFonts w:hint="eastAsia" w:hAnsi="宋体" w:cs="宋体"/>
          <w:color w:val="auto"/>
          <w:highlight w:val="none"/>
        </w:rPr>
        <w:t>7、本项目的特定资格要求：</w:t>
      </w:r>
      <w:r>
        <w:rPr>
          <w:rFonts w:hint="eastAsia" w:hAnsi="宋体" w:cs="宋体"/>
          <w:color w:val="auto"/>
          <w:highlight w:val="none"/>
          <w:lang w:val="en-US" w:eastAsia="zh-CN"/>
        </w:rPr>
        <w:t>响应人</w:t>
      </w:r>
      <w:r>
        <w:rPr>
          <w:rFonts w:hint="eastAsia" w:hAnsi="宋体" w:cs="宋体"/>
          <w:color w:val="auto"/>
          <w:highlight w:val="none"/>
        </w:rPr>
        <w:t>具有城市规划行政主管部门颁发的城市规划编制单位乙级及以上资质证书（浙江省外的企业需取得有效的浙江省行业主管部门备案的“外省企业进入浙江省承接业务等级备案证明”）</w:t>
      </w:r>
      <w:r>
        <w:rPr>
          <w:rFonts w:hint="eastAsia" w:hAnsi="宋体" w:cs="宋体"/>
          <w:color w:val="auto"/>
          <w:highlight w:val="none"/>
          <w:lang w:eastAsia="zh-CN"/>
        </w:rPr>
        <w:t>；</w:t>
      </w:r>
    </w:p>
    <w:p>
      <w:pPr>
        <w:pStyle w:val="62"/>
        <w:ind w:firstLine="480" w:firstLineChars="200"/>
        <w:rPr>
          <w:rFonts w:hAnsi="宋体" w:cs="宋体"/>
          <w:color w:val="auto"/>
          <w:highlight w:val="none"/>
          <w:lang w:val="en-US"/>
        </w:rPr>
      </w:pPr>
      <w:r>
        <w:rPr>
          <w:rFonts w:hint="eastAsia" w:hAnsi="宋体" w:cs="宋体"/>
          <w:color w:val="auto"/>
          <w:highlight w:val="none"/>
          <w:lang w:val="en-US"/>
        </w:rPr>
        <w:t>8、</w:t>
      </w:r>
      <w:r>
        <w:rPr>
          <w:rFonts w:hint="eastAsia" w:hAnsi="宋体" w:cs="宋体"/>
          <w:color w:val="auto"/>
          <w:highlight w:val="none"/>
        </w:rPr>
        <w:t>本项目不接受联合体参与（潜在响应人能独立完成本项目）。</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三、获取公开竞争文件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 xml:space="preserve">平台（https://www.zcygov.cn/） </w:t>
      </w:r>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方式</w:t>
      </w:r>
      <w:r>
        <w:rPr>
          <w:rFonts w:hint="eastAsia" w:ascii="宋体" w:hAnsi="宋体" w:cs="宋体"/>
          <w:b/>
          <w:color w:val="auto"/>
          <w:sz w:val="24"/>
          <w:highlight w:val="none"/>
          <w:lang w:eastAsia="zh-CN"/>
        </w:rPr>
        <w:t>：</w:t>
      </w:r>
      <w:r>
        <w:rPr>
          <w:rFonts w:hint="eastAsia" w:ascii="宋体" w:hAnsi="宋体" w:cs="宋体"/>
          <w:color w:val="auto"/>
          <w:sz w:val="24"/>
          <w:highlight w:val="none"/>
        </w:rPr>
        <w:t>响应人登录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平台https://www.zcygov.cn/在线申请获取公开竞争文件（进入“项目采购”应用，在获取</w:t>
      </w:r>
      <w:r>
        <w:rPr>
          <w:rFonts w:hint="eastAsia" w:ascii="宋体" w:hAnsi="宋体" w:cs="宋体"/>
          <w:color w:val="auto"/>
          <w:sz w:val="24"/>
          <w:highlight w:val="none"/>
          <w:lang w:eastAsia="zh-CN"/>
        </w:rPr>
        <w:t>公开竞争文件</w:t>
      </w:r>
      <w:r>
        <w:rPr>
          <w:rFonts w:hint="eastAsia" w:ascii="宋体" w:hAnsi="宋体" w:cs="宋体"/>
          <w:color w:val="auto"/>
          <w:sz w:val="24"/>
          <w:highlight w:val="none"/>
        </w:rPr>
        <w:t>菜单中选择项目，申请获取公开竞争文件）</w:t>
      </w:r>
      <w:r>
        <w:rPr>
          <w:rFonts w:hint="eastAsia" w:ascii="宋体" w:hAnsi="宋体" w:cs="宋体"/>
          <w:color w:val="auto"/>
          <w:sz w:val="24"/>
          <w:highlight w:val="none"/>
          <w:lang w:eastAsia="zh-CN"/>
        </w:rPr>
        <w:t>。</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日14点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 xml:space="preserve">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日14点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平台（https://www.zcygov.cn/）</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五、其他补充事宜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2、其他事项：电子招投标的说明：①电子招投标：本项目以数据电文形式，依托“</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平台（https://www.zcygov.cn/） ”进行招投标活动，不接受纸质响应文件；②投标准备：注册账号--点击“商家入驻”，进行政府采购供应商资料填写；申领CA数字证书---申领流程详见“浙江政府采购网-下载专区-电子交易客户端-CA驱动和申领流程”；安装“</w:t>
      </w:r>
      <w:r>
        <w:rPr>
          <w:rFonts w:hint="eastAsia" w:ascii="宋体" w:hAnsi="宋体" w:cs="宋体"/>
          <w:color w:val="auto"/>
          <w:sz w:val="24"/>
          <w:highlight w:val="none"/>
          <w:lang w:eastAsia="zh-CN"/>
        </w:rPr>
        <w:t>政采云电子交易客户端</w:t>
      </w:r>
      <w:r>
        <w:rPr>
          <w:rFonts w:hint="eastAsia" w:ascii="宋体" w:hAnsi="宋体" w:cs="宋体"/>
          <w:color w:val="auto"/>
          <w:sz w:val="24"/>
          <w:highlight w:val="none"/>
        </w:rPr>
        <w:t>”----前往“浙江政府采购网-下载专区-电子交易客户端”进行下载并安装；③公开竞争文件的获取：使用账号登录或者使用CA登录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平台；进入“项目采购”应用，在获取</w:t>
      </w:r>
      <w:r>
        <w:rPr>
          <w:rFonts w:hint="eastAsia" w:ascii="宋体" w:hAnsi="宋体" w:cs="宋体"/>
          <w:color w:val="auto"/>
          <w:sz w:val="24"/>
          <w:highlight w:val="none"/>
          <w:lang w:eastAsia="zh-CN"/>
        </w:rPr>
        <w:t>公开竞争文件</w:t>
      </w:r>
      <w:r>
        <w:rPr>
          <w:rFonts w:hint="eastAsia" w:ascii="宋体" w:hAnsi="宋体" w:cs="宋体"/>
          <w:color w:val="auto"/>
          <w:sz w:val="24"/>
          <w:highlight w:val="none"/>
        </w:rPr>
        <w:t>菜单中选择项目，获取公开竞争文件；④响应文件的制作：在“</w:t>
      </w:r>
      <w:r>
        <w:rPr>
          <w:rFonts w:hint="eastAsia" w:ascii="宋体" w:hAnsi="宋体" w:cs="宋体"/>
          <w:color w:val="auto"/>
          <w:sz w:val="24"/>
          <w:highlight w:val="none"/>
          <w:lang w:eastAsia="zh-CN"/>
        </w:rPr>
        <w:t>政采云电子交易客户端</w:t>
      </w:r>
      <w:r>
        <w:rPr>
          <w:rFonts w:hint="eastAsia" w:ascii="宋体" w:hAnsi="宋体" w:cs="宋体"/>
          <w:color w:val="auto"/>
          <w:sz w:val="24"/>
          <w:highlight w:val="none"/>
        </w:rPr>
        <w:t>”中完成“填写基本信息”“导入响应文件”“标书关联”“标书检查”“电子签名”“生成电子标书”等操作；⑤交易发起人、代理机构将依托</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平台；⑨响应文件的解密：响应人按照平台提示和公开竞争文件的规定在半小时内完成在线解密。通过“</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平台”上传递交的响应文件无法按时解密，视为响应文件撤回；⑩具体操作指南：详见</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平台“服务中心-帮助文档-项目采购-操作流程-电子招投标-政府采购项目电子交易管理操作指南-供应商”。</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六、对本次交易提出异议、投诉，请按以下方式联系</w:t>
      </w:r>
    </w:p>
    <w:p>
      <w:pPr>
        <w:widowControl/>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1、交易发起人信息</w:t>
      </w:r>
    </w:p>
    <w:p>
      <w:pPr>
        <w:spacing w:line="360" w:lineRule="auto"/>
        <w:ind w:firstLine="480" w:firstLineChars="200"/>
        <w:jc w:val="left"/>
        <w:rPr>
          <w:rFonts w:hint="eastAsia" w:ascii="宋体" w:hAnsi="宋体" w:eastAsia="宋体" w:cs="宋体"/>
          <w:bCs/>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杭州萧山环城建设开发有限公司</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地址：杭州市萧山区北干街道金城路1038号水务大厦C座</w:t>
      </w:r>
    </w:p>
    <w:p>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王柠昊</w:t>
      </w:r>
    </w:p>
    <w:p>
      <w:pPr>
        <w:spacing w:line="360" w:lineRule="auto"/>
        <w:ind w:firstLine="480" w:firstLineChars="200"/>
        <w:jc w:val="left"/>
        <w:rPr>
          <w:rFonts w:hint="default" w:ascii="宋体" w:hAnsi="宋体" w:cs="宋体"/>
          <w:color w:val="auto"/>
          <w:sz w:val="24"/>
          <w:szCs w:val="28"/>
          <w:highlight w:val="none"/>
          <w:lang w:val="en-US"/>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0571-82767037</w:t>
      </w:r>
    </w:p>
    <w:p>
      <w:pPr>
        <w:spacing w:line="360" w:lineRule="auto"/>
        <w:ind w:firstLine="480" w:firstLineChars="200"/>
        <w:jc w:val="left"/>
        <w:rPr>
          <w:rFonts w:ascii="宋体" w:hAnsi="宋体" w:cs="宋体"/>
          <w:color w:val="auto"/>
          <w:sz w:val="24"/>
          <w:szCs w:val="28"/>
          <w:highlight w:val="none"/>
        </w:rPr>
      </w:pPr>
      <w:bookmarkStart w:id="10" w:name="_Toc28359009"/>
      <w:bookmarkStart w:id="11" w:name="_Toc28359086"/>
      <w:r>
        <w:rPr>
          <w:rFonts w:hint="eastAsia" w:ascii="宋体" w:hAnsi="宋体" w:cs="宋体"/>
          <w:color w:val="auto"/>
          <w:sz w:val="24"/>
          <w:szCs w:val="28"/>
          <w:highlight w:val="none"/>
        </w:rPr>
        <w:t>2</w:t>
      </w:r>
      <w:bookmarkEnd w:id="10"/>
      <w:bookmarkEnd w:id="11"/>
      <w:r>
        <w:rPr>
          <w:rFonts w:hint="eastAsia" w:ascii="宋体" w:hAnsi="宋体" w:cs="宋体"/>
          <w:color w:val="auto"/>
          <w:sz w:val="24"/>
          <w:szCs w:val="28"/>
          <w:highlight w:val="none"/>
        </w:rPr>
        <w:t>、代理机构信息</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名称：杭州博望建设工程招标投标代理有限公司</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地址：杭州市萧山区金城路433号天汇园一幢A座5楼</w:t>
      </w:r>
    </w:p>
    <w:p>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cs="宋体"/>
          <w:color w:val="auto"/>
          <w:sz w:val="24"/>
          <w:szCs w:val="28"/>
          <w:highlight w:val="none"/>
        </w:rPr>
        <w:t>项目联系人（询问）：</w:t>
      </w:r>
      <w:r>
        <w:rPr>
          <w:rFonts w:hint="eastAsia" w:ascii="宋体" w:hAnsi="宋体" w:cs="宋体"/>
          <w:color w:val="auto"/>
          <w:sz w:val="24"/>
          <w:szCs w:val="28"/>
          <w:highlight w:val="none"/>
          <w:lang w:val="en-US" w:eastAsia="zh-CN"/>
        </w:rPr>
        <w:t>赵鑫华</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szCs w:val="28"/>
          <w:highlight w:val="none"/>
        </w:rPr>
        <w:t>项目联系方式（询问）：0571-83881208</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若对项目电子交易系统操作有疑问，可登录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（https://www.zcygov.cn/），点击右侧咨询小采，获取采小蜜智能服务管家帮助，或拨打</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响应人须知</w:t>
      </w:r>
      <w:bookmarkEnd w:id="8"/>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w:t>
            </w:r>
            <w:r>
              <w:rPr>
                <w:rFonts w:hint="eastAsia" w:ascii="宋体" w:hAnsi="宋体" w:cs="宋体"/>
                <w:color w:val="auto"/>
                <w:kern w:val="0"/>
                <w:sz w:val="24"/>
                <w:highlight w:val="none"/>
              </w:rPr>
              <w:t>A货物类</w:t>
            </w:r>
            <w:r>
              <w:rPr>
                <w:rFonts w:hint="eastAsia" w:ascii="宋体" w:hAnsi="宋体" w:cs="宋体"/>
                <w:color w:val="auto"/>
                <w:sz w:val="24"/>
                <w:highlight w:val="none"/>
              </w:rPr>
              <w:t>。</w:t>
            </w:r>
          </w:p>
          <w:p>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B服务类</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A适用</w:t>
            </w:r>
            <w:r>
              <w:rPr>
                <w:rFonts w:hint="eastAsia" w:ascii="宋体" w:hAnsi="宋体" w:cs="宋体"/>
                <w:color w:val="auto"/>
                <w:sz w:val="24"/>
                <w:highlight w:val="none"/>
              </w:rPr>
              <w:t>。</w:t>
            </w:r>
          </w:p>
          <w:p>
            <w:pPr>
              <w:rPr>
                <w:rFonts w:ascii="宋体" w:hAnsi="宋体" w:cs="宋体"/>
                <w:color w:val="auto"/>
                <w:kern w:val="0"/>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B不适用</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highlight w:val="none"/>
              </w:rPr>
            </w:pPr>
            <w:r>
              <w:rPr>
                <w:rFonts w:hint="eastAsia" w:ascii="宋体" w:hAnsi="宋体" w:cs="宋体"/>
                <w:bCs/>
                <w:color w:val="auto"/>
                <w:sz w:val="24"/>
                <w:highlight w:val="none"/>
              </w:rPr>
              <w:t>（√）</w:t>
            </w:r>
            <w:r>
              <w:rPr>
                <w:rFonts w:hint="eastAsia" w:ascii="宋体" w:hAnsi="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B</w:t>
            </w:r>
            <w:r>
              <w:rPr>
                <w:rFonts w:hint="eastAsia" w:ascii="宋体" w:hAnsi="宋体" w:cs="宋体"/>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现场踏勘</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cs="宋体"/>
                <w:color w:val="auto"/>
                <w:sz w:val="24"/>
                <w:highlight w:val="none"/>
                <w:lang w:eastAsia="zh-CN"/>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交易发起人</w:t>
            </w:r>
            <w:r>
              <w:rPr>
                <w:rFonts w:hint="eastAsia" w:ascii="宋体" w:hAnsi="宋体" w:cs="宋体"/>
                <w:bCs/>
                <w:color w:val="auto"/>
                <w:sz w:val="24"/>
                <w:highlight w:val="none"/>
                <w:lang w:eastAsia="zh-CN"/>
              </w:rPr>
              <w:t>不组织踏勘现场。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color w:val="auto"/>
                <w:highlight w:val="none"/>
              </w:rPr>
            </w:pPr>
            <w:r>
              <w:rPr>
                <w:rFonts w:hint="eastAsia" w:ascii="宋体" w:hAnsi="宋体" w:cs="宋体"/>
                <w:b/>
                <w:bCs/>
                <w:color w:val="auto"/>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宋体" w:hAnsi="宋体" w:cs="宋体"/>
                <w:color w:val="auto"/>
                <w:highlight w:val="none"/>
              </w:rPr>
            </w:pPr>
            <w:r>
              <w:rPr>
                <w:rFonts w:hint="eastAsia" w:ascii="宋体" w:hAnsi="宋体" w:cs="宋体"/>
                <w:bCs/>
                <w:color w:val="auto"/>
                <w:sz w:val="24"/>
                <w:highlight w:val="none"/>
              </w:rPr>
              <w:t>（√）</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3"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color w:val="auto"/>
                <w:sz w:val="24"/>
                <w:highlight w:val="none"/>
              </w:rPr>
              <w:t>（1）资格证明文件：见公开竞争文件第二部分10.1。</w:t>
            </w:r>
          </w:p>
          <w:p>
            <w:pPr>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响应人未提供有效的资格证明文件的，视为响应人不具备公开竞争文件中规定的资格要求，交易无效。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有关本项目实施所需的所有费用（不含增值税）均计入报价（即税前价），增值税税率需单独体现。</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。响应文件中价格全部采用人民币报价。公开竞争文件未列明，而响应人认为必需的费用也需列入报价。</w:t>
            </w:r>
          </w:p>
          <w:p>
            <w:pPr>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交易报价出现下列情形的，交易无效：</w:t>
            </w:r>
          </w:p>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响应文件出现不是唯一的、有选择性交易报价的；</w:t>
            </w:r>
          </w:p>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交易报价超过公开竞争文件中规定的预算金额或者最高限价的；</w:t>
            </w:r>
          </w:p>
          <w:p>
            <w:pPr>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pPr>
              <w:ind w:firstLine="480" w:firstLineChars="200"/>
              <w:rPr>
                <w:rFonts w:ascii="宋体" w:hAnsi="宋体" w:cs="宋体"/>
                <w:color w:val="auto"/>
                <w:kern w:val="0"/>
                <w:sz w:val="24"/>
                <w:highlight w:val="none"/>
                <w:lang w:val="zh-CN"/>
              </w:rPr>
            </w:pPr>
            <w:r>
              <w:rPr>
                <w:rFonts w:hint="eastAsia" w:ascii="宋体" w:hAnsi="宋体" w:cs="宋体"/>
                <w:bCs/>
                <w:color w:val="auto"/>
                <w:kern w:val="0"/>
                <w:sz w:val="24"/>
                <w:highlight w:val="none"/>
              </w:rPr>
              <w:t>响应人对根据修正原则修正后的报价不确认的。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3"/>
              <w:ind w:hanging="4"/>
              <w:rPr>
                <w:rFonts w:hAnsi="宋体" w:cs="宋体"/>
                <w:color w:val="auto"/>
                <w:kern w:val="28"/>
                <w:sz w:val="24"/>
                <w:szCs w:val="24"/>
                <w:highlight w:val="none"/>
              </w:rPr>
            </w:pPr>
            <w:r>
              <w:rPr>
                <w:rFonts w:hint="eastAsia" w:hAnsi="宋体" w:cs="宋体"/>
                <w:color w:val="auto"/>
                <w:kern w:val="28"/>
                <w:sz w:val="24"/>
                <w:szCs w:val="24"/>
                <w:highlight w:val="none"/>
              </w:rPr>
              <w:t>备份文件是否收取：不收取。</w:t>
            </w:r>
          </w:p>
          <w:p>
            <w:pPr>
              <w:pStyle w:val="33"/>
              <w:ind w:hanging="4"/>
              <w:rPr>
                <w:rFonts w:hAnsi="宋体" w:cs="宋体"/>
                <w:color w:val="auto"/>
                <w:kern w:val="28"/>
                <w:sz w:val="24"/>
                <w:szCs w:val="24"/>
                <w:highlight w:val="none"/>
              </w:rPr>
            </w:pPr>
            <w:r>
              <w:rPr>
                <w:rFonts w:hint="eastAsia" w:hAnsi="宋体" w:cs="宋体"/>
                <w:b/>
                <w:color w:val="auto"/>
                <w:sz w:val="24"/>
                <w:highlight w:val="none"/>
              </w:rPr>
              <w:t>成交单位在成交后提供纸质响应文件一正</w:t>
            </w:r>
            <w:r>
              <w:rPr>
                <w:rFonts w:hint="eastAsia" w:hAnsi="宋体" w:cs="宋体"/>
                <w:b/>
                <w:color w:val="auto"/>
                <w:sz w:val="24"/>
                <w:highlight w:val="none"/>
                <w:lang w:val="en-US" w:eastAsia="zh-CN"/>
              </w:rPr>
              <w:t>二</w:t>
            </w:r>
            <w:r>
              <w:rPr>
                <w:rFonts w:hint="eastAsia" w:hAnsi="宋体" w:cs="宋体"/>
                <w:b/>
                <w:color w:val="auto"/>
                <w:sz w:val="24"/>
                <w:highlight w:val="none"/>
              </w:rPr>
              <w:t>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400" w:lineRule="exact"/>
              <w:jc w:val="left"/>
              <w:rPr>
                <w:rFonts w:ascii="宋体" w:hAnsi="宋体" w:cs="宋体"/>
                <w:bCs/>
                <w:color w:val="auto"/>
                <w:kern w:val="0"/>
                <w:sz w:val="24"/>
                <w:highlight w:val="none"/>
              </w:rPr>
            </w:pPr>
            <w:r>
              <w:rPr>
                <w:rFonts w:hint="eastAsia" w:ascii="宋体" w:hAnsi="宋体" w:eastAsia="宋体" w:cs="宋体"/>
                <w:color w:val="auto"/>
                <w:kern w:val="28"/>
                <w:sz w:val="24"/>
                <w:highlight w:val="none"/>
              </w:rPr>
              <w:t>本项目采购代理费</w:t>
            </w:r>
            <w:r>
              <w:rPr>
                <w:rFonts w:hint="eastAsia" w:ascii="宋体" w:hAnsi="宋体" w:eastAsia="宋体" w:cs="宋体"/>
                <w:color w:val="auto"/>
                <w:kern w:val="28"/>
                <w:sz w:val="24"/>
                <w:highlight w:val="none"/>
                <w:lang w:val="en-US" w:eastAsia="zh-CN"/>
              </w:rPr>
              <w:t>由</w:t>
            </w:r>
            <w:r>
              <w:rPr>
                <w:rFonts w:hint="eastAsia" w:ascii="宋体" w:hAnsi="宋体" w:cs="宋体"/>
                <w:color w:val="auto"/>
                <w:kern w:val="28"/>
                <w:sz w:val="24"/>
                <w:highlight w:val="none"/>
                <w:lang w:val="en-US" w:eastAsia="zh-CN"/>
              </w:rPr>
              <w:t>交易发起人</w:t>
            </w:r>
            <w:r>
              <w:rPr>
                <w:rFonts w:hint="eastAsia" w:ascii="宋体" w:hAnsi="宋体" w:eastAsia="宋体" w:cs="宋体"/>
                <w:color w:val="auto"/>
                <w:kern w:val="28"/>
                <w:sz w:val="24"/>
                <w:highlight w:val="none"/>
                <w:lang w:val="en-US" w:eastAsia="zh-CN"/>
              </w:rPr>
              <w:t>支付</w:t>
            </w:r>
            <w:r>
              <w:rPr>
                <w:rFonts w:hint="eastAsia" w:ascii="宋体" w:hAnsi="宋体" w:cs="宋体"/>
                <w:color w:val="auto"/>
                <w:kern w:val="28"/>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
                <w:color w:val="auto"/>
                <w:sz w:val="24"/>
                <w:highlight w:val="none"/>
              </w:rPr>
            </w:pPr>
            <w:r>
              <w:rPr>
                <w:rFonts w:hint="eastAsia" w:ascii="宋体" w:hAnsi="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3"/>
              <w:ind w:hanging="4"/>
              <w:rPr>
                <w:rFonts w:hAnsi="宋体" w:cs="宋体"/>
                <w:bCs/>
                <w:color w:val="auto"/>
                <w:kern w:val="0"/>
                <w:sz w:val="24"/>
                <w:highlight w:val="none"/>
              </w:rPr>
            </w:pPr>
            <w:r>
              <w:rPr>
                <w:rFonts w:hint="eastAsia" w:hAnsi="宋体" w:cs="宋体"/>
                <w:snapToGrid/>
                <w:color w:val="auto"/>
                <w:sz w:val="24"/>
                <w:szCs w:val="24"/>
                <w:highlight w:val="none"/>
                <w:lang w:val="en-US" w:eastAsia="zh-CN"/>
              </w:rPr>
              <w:t>预算金额的</w:t>
            </w:r>
            <w:r>
              <w:rPr>
                <w:rFonts w:hint="eastAsia" w:hAnsi="宋体" w:cs="宋体"/>
                <w:b w:val="0"/>
                <w:bCs w:val="0"/>
                <w:snapToGrid/>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质量保证金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3"/>
              <w:ind w:hanging="4"/>
              <w:rPr>
                <w:rFonts w:hint="default" w:hAnsi="宋体" w:cs="宋体"/>
                <w:snapToGrid/>
                <w:color w:val="auto"/>
                <w:sz w:val="24"/>
                <w:szCs w:val="24"/>
                <w:highlight w:val="none"/>
                <w:lang w:val="en-US"/>
              </w:rPr>
            </w:pPr>
            <w:r>
              <w:rPr>
                <w:rFonts w:hint="eastAsia" w:hAnsi="宋体" w:cs="宋体"/>
                <w:b w:val="0"/>
                <w:bCs/>
                <w:color w:val="auto"/>
                <w:sz w:val="24"/>
                <w:highlight w:val="none"/>
                <w:lang w:val="en-US" w:eastAsia="zh-CN"/>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本项目由交易发起人进行资格文件及信用信息查询。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2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500" w:lineRule="exact"/>
              <w:rPr>
                <w:rFonts w:ascii="宋体" w:hAnsi="宋体" w:cs="宋体"/>
                <w:color w:val="auto"/>
                <w:sz w:val="24"/>
                <w:highlight w:val="none"/>
              </w:rPr>
            </w:pPr>
            <w:r>
              <w:rPr>
                <w:rFonts w:hint="eastAsia" w:ascii="宋体" w:hAnsi="宋体" w:cs="宋体"/>
                <w:color w:val="auto"/>
                <w:sz w:val="24"/>
                <w:highlight w:val="none"/>
              </w:rPr>
              <w:t>代理机构异议接收人：</w:t>
            </w:r>
            <w:r>
              <w:rPr>
                <w:rFonts w:hint="eastAsia" w:ascii="宋体" w:hAnsi="宋体" w:cs="宋体"/>
                <w:color w:val="auto"/>
                <w:sz w:val="24"/>
                <w:highlight w:val="none"/>
                <w:u w:val="single"/>
              </w:rPr>
              <w:t>高华萍</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0571-838812</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8</w:t>
            </w:r>
          </w:p>
          <w:p>
            <w:pPr>
              <w:snapToGrid w:val="0"/>
              <w:spacing w:line="500" w:lineRule="exact"/>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杭州市萧山区金城路433号天汇园一幢A座5楼</w:t>
            </w:r>
          </w:p>
          <w:p>
            <w:pPr>
              <w:snapToGrid w:val="0"/>
              <w:spacing w:line="500" w:lineRule="exact"/>
              <w:rPr>
                <w:rFonts w:ascii="宋体" w:hAnsi="宋体" w:cs="宋体"/>
                <w:color w:val="auto"/>
                <w:sz w:val="24"/>
                <w:highlight w:val="none"/>
              </w:rPr>
            </w:pPr>
            <w:r>
              <w:rPr>
                <w:rFonts w:hint="eastAsia" w:ascii="宋体" w:hAnsi="宋体" w:cs="宋体"/>
                <w:color w:val="auto"/>
                <w:sz w:val="24"/>
                <w:highlight w:val="none"/>
              </w:rPr>
              <w:t>邮箱：</w:t>
            </w:r>
            <w:r>
              <w:rPr>
                <w:rFonts w:hint="eastAsia" w:ascii="宋体" w:hAnsi="宋体" w:cs="宋体"/>
                <w:color w:val="auto"/>
                <w:sz w:val="24"/>
                <w:highlight w:val="none"/>
                <w:u w:val="single"/>
              </w:rPr>
              <w:t>751200605@qq.com</w:t>
            </w:r>
          </w:p>
          <w:p>
            <w:pPr>
              <w:snapToGrid w:val="0"/>
              <w:spacing w:line="400" w:lineRule="exact"/>
              <w:rPr>
                <w:rFonts w:ascii="宋体" w:hAnsi="宋体" w:cs="宋体"/>
                <w:b/>
                <w:color w:val="auto"/>
                <w:sz w:val="24"/>
                <w:highlight w:val="none"/>
              </w:rPr>
            </w:pPr>
            <w:r>
              <w:rPr>
                <w:rFonts w:hint="eastAsia" w:ascii="宋体" w:hAnsi="宋体" w:cs="宋体"/>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本项目涉及资格条件、交易需求、评分办法及交易过程中有关现场考察或开标前答疑会事项由交易发起人进行答复。</w:t>
            </w:r>
          </w:p>
          <w:p>
            <w:pPr>
              <w:pStyle w:val="33"/>
              <w:spacing w:line="400" w:lineRule="exact"/>
              <w:ind w:hanging="4"/>
              <w:rPr>
                <w:rFonts w:hAnsi="宋体" w:cs="宋体"/>
                <w:color w:val="auto"/>
                <w:sz w:val="24"/>
                <w:highlight w:val="none"/>
              </w:rPr>
            </w:pPr>
            <w:r>
              <w:rPr>
                <w:rFonts w:hint="eastAsia" w:hAnsi="宋体" w:cs="宋体"/>
                <w:color w:val="auto"/>
                <w:sz w:val="24"/>
                <w:highlight w:val="none"/>
              </w:rPr>
              <w:t>涉及流程组织等相关事项，由代理机构进行答复。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bl>
    <w:p>
      <w:pPr>
        <w:snapToGrid w:val="0"/>
        <w:spacing w:line="360" w:lineRule="auto"/>
        <w:jc w:val="center"/>
        <w:rPr>
          <w:rFonts w:ascii="宋体" w:hAnsi="宋体" w:cs="宋体"/>
          <w:b/>
          <w:color w:val="auto"/>
          <w:sz w:val="32"/>
          <w:szCs w:val="20"/>
          <w:highlight w:val="none"/>
        </w:rPr>
      </w:pPr>
    </w:p>
    <w:bookmarkEnd w:id="9"/>
    <w:p>
      <w:pPr>
        <w:rPr>
          <w:rFonts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460" w:lineRule="exact"/>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pPr>
        <w:snapToGrid w:val="0"/>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本公开竞争文件适用于该项目的交易、响应、评审、资格审查及信用信息查询、评审、定标、合同、验收等行为（法律、法规另有规定的，从其规定）。</w:t>
      </w:r>
    </w:p>
    <w:p>
      <w:pPr>
        <w:adjustRightInd/>
        <w:spacing w:line="460" w:lineRule="exact"/>
        <w:outlineLvl w:val="0"/>
        <w:rPr>
          <w:rFonts w:ascii="宋体" w:hAnsi="宋体" w:cs="宋体"/>
          <w:b/>
          <w:color w:val="auto"/>
          <w:sz w:val="24"/>
          <w:highlight w:val="none"/>
        </w:rPr>
      </w:pPr>
      <w:r>
        <w:rPr>
          <w:rFonts w:hint="eastAsia" w:ascii="宋体" w:hAnsi="宋体" w:cs="宋体"/>
          <w:b/>
          <w:color w:val="auto"/>
          <w:sz w:val="24"/>
          <w:highlight w:val="none"/>
        </w:rPr>
        <w:t>2.定义</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2.1“交易发起人”系指交易公告中载明的本项目的交易发起人。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2.2“代理机构”系指交易公告中载明的本项目的代理机构。</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2.3“响应人”系指响应</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、参加投标竞争的法人、其他组织或者自然人。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pPr>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2.6“电子交易平台”是指本项目交易活动所依托的</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平台（https://www.zcygov.cn/）。</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2.7“▲”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pPr>
        <w:spacing w:line="460" w:lineRule="exact"/>
        <w:rPr>
          <w:rFonts w:ascii="宋体" w:hAnsi="宋体" w:cs="宋体"/>
          <w:b/>
          <w:color w:val="auto"/>
          <w:sz w:val="24"/>
          <w:highlight w:val="none"/>
        </w:rPr>
      </w:pPr>
      <w:r>
        <w:rPr>
          <w:rFonts w:hint="eastAsia" w:ascii="宋体" w:hAnsi="宋体" w:cs="宋体"/>
          <w:b/>
          <w:color w:val="auto"/>
          <w:sz w:val="24"/>
          <w:highlight w:val="none"/>
        </w:rPr>
        <w:t>3.异议、投诉</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.1响应人异议</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响应人对</w:t>
      </w:r>
      <w:r>
        <w:rPr>
          <w:rFonts w:hint="eastAsia" w:ascii="宋体" w:hAnsi="宋体" w:cs="宋体"/>
          <w:color w:val="auto"/>
          <w:kern w:val="0"/>
          <w:sz w:val="24"/>
          <w:highlight w:val="none"/>
        </w:rPr>
        <w:t>交易</w:t>
      </w:r>
      <w:r>
        <w:rPr>
          <w:rFonts w:hint="eastAsia" w:ascii="宋体" w:hAnsi="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.2响应人异议</w:t>
      </w:r>
    </w:p>
    <w:p>
      <w:pPr>
        <w:pStyle w:val="33"/>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.1提出</w:t>
      </w:r>
      <w:r>
        <w:rPr>
          <w:rFonts w:hint="eastAsia" w:hAnsi="宋体" w:cs="宋体"/>
          <w:color w:val="auto"/>
          <w:kern w:val="0"/>
          <w:sz w:val="24"/>
          <w:highlight w:val="none"/>
          <w:lang w:val="zh-CN"/>
        </w:rPr>
        <w:t>异议</w:t>
      </w:r>
      <w:r>
        <w:rPr>
          <w:rFonts w:hint="eastAsia" w:hAnsi="宋体" w:cs="宋体"/>
          <w:color w:val="auto"/>
          <w:sz w:val="24"/>
          <w:highlight w:val="none"/>
        </w:rPr>
        <w:t>的响应人应当是参与所质</w:t>
      </w:r>
      <w:r>
        <w:rPr>
          <w:rFonts w:hint="eastAsia" w:hAnsi="宋体" w:cs="宋体"/>
          <w:color w:val="auto"/>
          <w:kern w:val="0"/>
          <w:sz w:val="24"/>
          <w:highlight w:val="none"/>
          <w:lang w:val="zh-CN"/>
        </w:rPr>
        <w:t>异议</w:t>
      </w:r>
      <w:r>
        <w:rPr>
          <w:rFonts w:hint="eastAsia" w:hAnsi="宋体" w:cs="宋体"/>
          <w:color w:val="auto"/>
          <w:sz w:val="24"/>
          <w:highlight w:val="none"/>
        </w:rPr>
        <w:t>项目交易活动的响应人。潜在响应人已依法获取其可</w:t>
      </w:r>
      <w:r>
        <w:rPr>
          <w:rFonts w:hint="eastAsia" w:hAnsi="宋体" w:cs="宋体"/>
          <w:color w:val="auto"/>
          <w:kern w:val="0"/>
          <w:sz w:val="24"/>
          <w:highlight w:val="none"/>
          <w:lang w:val="zh-CN"/>
        </w:rPr>
        <w:t>异议</w:t>
      </w:r>
      <w:r>
        <w:rPr>
          <w:rFonts w:hint="eastAsia" w:hAnsi="宋体" w:cs="宋体"/>
          <w:color w:val="auto"/>
          <w:sz w:val="24"/>
          <w:highlight w:val="none"/>
        </w:rPr>
        <w:t>的公开竞争文件的，可以对该文件提出</w:t>
      </w:r>
      <w:r>
        <w:rPr>
          <w:rFonts w:hint="eastAsia" w:hAnsi="宋体" w:cs="宋体"/>
          <w:color w:val="auto"/>
          <w:kern w:val="0"/>
          <w:sz w:val="24"/>
          <w:highlight w:val="none"/>
          <w:lang w:val="zh-CN"/>
        </w:rPr>
        <w:t>异议</w:t>
      </w:r>
      <w:r>
        <w:rPr>
          <w:rFonts w:hint="eastAsia" w:hAnsi="宋体" w:cs="宋体"/>
          <w:color w:val="auto"/>
          <w:sz w:val="24"/>
          <w:highlight w:val="none"/>
        </w:rPr>
        <w:t>。</w:t>
      </w:r>
    </w:p>
    <w:p>
      <w:pPr>
        <w:pStyle w:val="33"/>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hAnsi="宋体" w:cs="宋体"/>
          <w:color w:val="auto"/>
          <w:kern w:val="0"/>
          <w:sz w:val="24"/>
          <w:highlight w:val="none"/>
          <w:lang w:val="zh-CN"/>
        </w:rPr>
        <w:t>异议</w:t>
      </w:r>
      <w:r>
        <w:rPr>
          <w:rFonts w:hint="eastAsia" w:hAnsi="宋体" w:cs="宋体"/>
          <w:color w:val="auto"/>
          <w:sz w:val="24"/>
          <w:highlight w:val="none"/>
        </w:rPr>
        <w:t>，否则，交易发起人或者代理机构不予受理：</w:t>
      </w:r>
    </w:p>
    <w:p>
      <w:pPr>
        <w:pStyle w:val="33"/>
        <w:spacing w:line="460" w:lineRule="exact"/>
        <w:ind w:firstLine="420" w:firstLineChars="175"/>
        <w:rPr>
          <w:rFonts w:hAnsi="宋体" w:cs="宋体"/>
          <w:color w:val="auto"/>
          <w:sz w:val="24"/>
          <w:highlight w:val="none"/>
        </w:rPr>
      </w:pPr>
      <w:r>
        <w:rPr>
          <w:rFonts w:hint="eastAsia" w:hAnsi="宋体" w:cs="宋体"/>
          <w:color w:val="auto"/>
          <w:sz w:val="24"/>
          <w:highlight w:val="none"/>
        </w:rPr>
        <w:t>3.2.2.1对交易过程提出</w:t>
      </w:r>
      <w:r>
        <w:rPr>
          <w:rFonts w:hint="eastAsia" w:hAnsi="宋体" w:cs="宋体"/>
          <w:color w:val="auto"/>
          <w:kern w:val="0"/>
          <w:sz w:val="24"/>
          <w:highlight w:val="none"/>
          <w:lang w:val="zh-CN"/>
        </w:rPr>
        <w:t>异议</w:t>
      </w:r>
      <w:r>
        <w:rPr>
          <w:rFonts w:hint="eastAsia" w:hAnsi="宋体" w:cs="宋体"/>
          <w:color w:val="auto"/>
          <w:sz w:val="24"/>
          <w:highlight w:val="none"/>
        </w:rPr>
        <w:t>的，</w:t>
      </w:r>
      <w:r>
        <w:rPr>
          <w:rFonts w:hint="eastAsia" w:hAnsi="宋体" w:cs="宋体"/>
          <w:color w:val="auto"/>
          <w:kern w:val="0"/>
          <w:sz w:val="24"/>
          <w:highlight w:val="none"/>
          <w:lang w:val="zh-CN"/>
        </w:rPr>
        <w:t>异议</w:t>
      </w:r>
      <w:r>
        <w:rPr>
          <w:rFonts w:hint="eastAsia" w:hAnsi="宋体" w:cs="宋体"/>
          <w:color w:val="auto"/>
          <w:sz w:val="24"/>
          <w:highlight w:val="none"/>
        </w:rPr>
        <w:t>期限为各交易程序环节结束之日起计算。对同一交易程序环节的</w:t>
      </w:r>
      <w:r>
        <w:rPr>
          <w:rFonts w:hint="eastAsia" w:hAnsi="宋体" w:cs="宋体"/>
          <w:color w:val="auto"/>
          <w:kern w:val="0"/>
          <w:sz w:val="24"/>
          <w:highlight w:val="none"/>
          <w:lang w:val="zh-CN"/>
        </w:rPr>
        <w:t>异议</w:t>
      </w:r>
      <w:r>
        <w:rPr>
          <w:rFonts w:hint="eastAsia" w:hAnsi="宋体" w:cs="宋体"/>
          <w:color w:val="auto"/>
          <w:sz w:val="24"/>
          <w:highlight w:val="none"/>
        </w:rPr>
        <w:t>，响应人须一次性提出。</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w:t>
      </w:r>
      <w:r>
        <w:rPr>
          <w:rFonts w:hint="eastAsia" w:hAnsi="宋体" w:cs="宋体"/>
          <w:color w:val="auto"/>
          <w:sz w:val="24"/>
          <w:highlight w:val="none"/>
        </w:rPr>
        <w:t>响应人提出</w:t>
      </w:r>
      <w:r>
        <w:rPr>
          <w:rFonts w:hint="eastAsia" w:hAnsi="宋体" w:cs="宋体"/>
          <w:color w:val="auto"/>
          <w:kern w:val="0"/>
          <w:sz w:val="24"/>
          <w:highlight w:val="none"/>
          <w:lang w:val="zh-CN"/>
        </w:rPr>
        <w:t>异议</w:t>
      </w:r>
      <w:r>
        <w:rPr>
          <w:rFonts w:hint="eastAsia" w:hAnsi="宋体" w:cs="宋体"/>
          <w:color w:val="auto"/>
          <w:sz w:val="24"/>
          <w:highlight w:val="none"/>
        </w:rPr>
        <w:t>应当提交</w:t>
      </w:r>
      <w:r>
        <w:rPr>
          <w:rFonts w:hint="eastAsia" w:hAnsi="宋体" w:cs="宋体"/>
          <w:color w:val="auto"/>
          <w:kern w:val="0"/>
          <w:sz w:val="24"/>
          <w:highlight w:val="none"/>
          <w:lang w:val="zh-CN"/>
        </w:rPr>
        <w:t>异议</w:t>
      </w:r>
      <w:r>
        <w:rPr>
          <w:rFonts w:hint="eastAsia" w:hAnsi="宋体" w:cs="宋体"/>
          <w:color w:val="auto"/>
          <w:sz w:val="24"/>
          <w:highlight w:val="none"/>
        </w:rPr>
        <w:t>函和必要的证明材料。</w:t>
      </w:r>
      <w:r>
        <w:rPr>
          <w:rFonts w:hint="eastAsia" w:hAnsi="宋体" w:cs="宋体"/>
          <w:color w:val="auto"/>
          <w:kern w:val="0"/>
          <w:sz w:val="24"/>
          <w:highlight w:val="none"/>
          <w:lang w:val="zh-CN"/>
        </w:rPr>
        <w:t>异议</w:t>
      </w:r>
      <w:r>
        <w:rPr>
          <w:rFonts w:hint="eastAsia" w:hAnsi="宋体" w:cs="宋体"/>
          <w:color w:val="auto"/>
          <w:sz w:val="24"/>
          <w:highlight w:val="none"/>
        </w:rPr>
        <w:t>函应当包括下列内容：</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.2.3.1响应人的姓名或者名称、地址、邮编、联系人及联系电话；</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.2.3.2异议项目的名称、编号；</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.2.3.3具体、明确的异议事项和与异议事项相关的请求；</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.2.3.4事实依据；</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.2.3.5必要的法律依据；</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.2.3.6提出异议的日期。</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异议函范本及制作说明详见附件</w:t>
      </w:r>
      <w:r>
        <w:rPr>
          <w:rFonts w:hint="eastAsia" w:hAnsi="宋体" w:cs="宋体"/>
          <w:color w:val="auto"/>
          <w:kern w:val="0"/>
          <w:sz w:val="24"/>
          <w:highlight w:val="none"/>
        </w:rPr>
        <w:t>1</w:t>
      </w:r>
      <w:r>
        <w:rPr>
          <w:rFonts w:hint="eastAsia" w:hAnsi="宋体" w:cs="宋体"/>
          <w:color w:val="auto"/>
          <w:kern w:val="0"/>
          <w:sz w:val="24"/>
          <w:highlight w:val="none"/>
          <w:lang w:val="zh-CN"/>
        </w:rPr>
        <w:t>。</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.2.4交易发起人或者代理机构应当在收到响应人的书面异议后</w:t>
      </w:r>
      <w:r>
        <w:rPr>
          <w:rFonts w:hint="eastAsia" w:hAnsi="宋体" w:cs="宋体"/>
          <w:color w:val="auto"/>
          <w:kern w:val="0"/>
          <w:sz w:val="24"/>
          <w:highlight w:val="none"/>
        </w:rPr>
        <w:t>3</w:t>
      </w:r>
      <w:r>
        <w:rPr>
          <w:rFonts w:hint="eastAsia" w:hAnsi="宋体" w:cs="宋体"/>
          <w:color w:val="auto"/>
          <w:kern w:val="0"/>
          <w:sz w:val="24"/>
          <w:highlight w:val="none"/>
          <w:lang w:val="zh-CN"/>
        </w:rPr>
        <w:t>日内作出答复，并以书面形式通知异议响应人和其他与异议处理结果有利害关系的交易当事人，但答复的内容不得涉及商业秘密。</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.2.5询问或者异议事项可能影响</w:t>
      </w:r>
      <w:r>
        <w:rPr>
          <w:rFonts w:hint="eastAsia" w:hAnsi="宋体" w:cs="宋体"/>
          <w:color w:val="auto"/>
          <w:kern w:val="0"/>
          <w:sz w:val="24"/>
          <w:highlight w:val="none"/>
        </w:rPr>
        <w:t>交易</w:t>
      </w:r>
      <w:r>
        <w:rPr>
          <w:rFonts w:hint="eastAsia" w:hAnsi="宋体" w:cs="宋体"/>
          <w:color w:val="auto"/>
          <w:kern w:val="0"/>
          <w:sz w:val="24"/>
          <w:highlight w:val="none"/>
          <w:lang w:val="zh-CN"/>
        </w:rPr>
        <w:t>结果的，交易发起人应当暂停签订合同，已经签订合同的，应当中止履行合同。</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.3响应人投诉</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hAnsi="宋体" w:cs="宋体"/>
          <w:color w:val="auto"/>
          <w:kern w:val="0"/>
          <w:sz w:val="24"/>
          <w:highlight w:val="none"/>
        </w:rPr>
        <w:t>10</w:t>
      </w:r>
      <w:r>
        <w:rPr>
          <w:rFonts w:hint="eastAsia" w:hAnsi="宋体" w:cs="宋体"/>
          <w:color w:val="auto"/>
          <w:kern w:val="0"/>
          <w:sz w:val="24"/>
          <w:highlight w:val="none"/>
          <w:lang w:val="zh-CN"/>
        </w:rPr>
        <w:t>日内向基层监督机构部门提出投诉。</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.3.2响应人投诉的事项不得超出已异议事项的范围，基于异议答复内容提出的投诉事项除外。</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.3.3响应人投诉应当有明确的请求和必要的证明材料。</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w:t>
      </w:r>
      <w:r>
        <w:rPr>
          <w:rFonts w:hint="eastAsia" w:hAnsi="宋体" w:cs="宋体"/>
          <w:color w:val="auto"/>
          <w:kern w:val="0"/>
          <w:sz w:val="24"/>
          <w:highlight w:val="none"/>
        </w:rPr>
        <w:t>4</w:t>
      </w:r>
      <w:r>
        <w:rPr>
          <w:rFonts w:hint="eastAsia" w:hAnsi="宋体" w:cs="宋体"/>
          <w:color w:val="auto"/>
          <w:kern w:val="0"/>
          <w:sz w:val="24"/>
          <w:highlight w:val="none"/>
          <w:lang w:val="zh-CN"/>
        </w:rPr>
        <w:t>以联合体形式参加交易活动的，其投诉应当由组成联合体的所有响应人共同提出。</w:t>
      </w:r>
    </w:p>
    <w:p>
      <w:pPr>
        <w:pStyle w:val="33"/>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投诉书范本及制作说明详见附件</w:t>
      </w:r>
      <w:r>
        <w:rPr>
          <w:rFonts w:hint="eastAsia" w:hAnsi="宋体" w:cs="宋体"/>
          <w:color w:val="auto"/>
          <w:kern w:val="0"/>
          <w:sz w:val="24"/>
          <w:highlight w:val="none"/>
        </w:rPr>
        <w:t>2</w:t>
      </w:r>
      <w:r>
        <w:rPr>
          <w:rFonts w:hint="eastAsia" w:hAnsi="宋体" w:cs="宋体"/>
          <w:color w:val="auto"/>
          <w:kern w:val="0"/>
          <w:sz w:val="24"/>
          <w:highlight w:val="none"/>
          <w:lang w:val="zh-CN"/>
        </w:rPr>
        <w:t>。</w:t>
      </w:r>
    </w:p>
    <w:p>
      <w:pPr>
        <w:pStyle w:val="140"/>
        <w:snapToGrid w:val="0"/>
        <w:spacing w:before="0" w:line="460" w:lineRule="exact"/>
        <w:ind w:firstLine="360"/>
        <w:rPr>
          <w:rFonts w:ascii="宋体" w:hAnsi="宋体" w:cs="宋体"/>
          <w:color w:val="auto"/>
          <w:sz w:val="18"/>
          <w:szCs w:val="18"/>
          <w:highlight w:val="none"/>
        </w:rPr>
      </w:pPr>
    </w:p>
    <w:p>
      <w:pPr>
        <w:adjustRightInd/>
        <w:spacing w:line="460" w:lineRule="exact"/>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二、公开竞争文件的构成、澄清、修改</w:t>
      </w:r>
    </w:p>
    <w:p>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4．公开竞争文件的构成</w:t>
      </w:r>
    </w:p>
    <w:p>
      <w:pPr>
        <w:pStyle w:val="33"/>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4.1公开竞争文件包括下列文件及附件：</w:t>
      </w:r>
    </w:p>
    <w:p>
      <w:pPr>
        <w:pStyle w:val="33"/>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4.1.1交易公告；</w:t>
      </w:r>
    </w:p>
    <w:p>
      <w:pPr>
        <w:pStyle w:val="33"/>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4.1.2响应人须知；</w:t>
      </w:r>
    </w:p>
    <w:p>
      <w:pPr>
        <w:pStyle w:val="33"/>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4.1.3交易需求；</w:t>
      </w:r>
    </w:p>
    <w:p>
      <w:pPr>
        <w:pStyle w:val="33"/>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4.1.4交易办法；</w:t>
      </w:r>
    </w:p>
    <w:p>
      <w:pPr>
        <w:pStyle w:val="33"/>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4.1.5拟签订的合同文本；</w:t>
      </w:r>
    </w:p>
    <w:p>
      <w:pPr>
        <w:pStyle w:val="33"/>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highlight w:val="none"/>
        </w:rPr>
        <w:t>4.1.6</w:t>
      </w:r>
      <w:r>
        <w:rPr>
          <w:rFonts w:hint="eastAsia" w:hAnsi="宋体" w:cs="宋体"/>
          <w:color w:val="auto"/>
          <w:sz w:val="24"/>
          <w:szCs w:val="24"/>
          <w:highlight w:val="none"/>
        </w:rPr>
        <w:t>应提交的有关格式范例。</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4.2与本项目有关的</w:t>
      </w:r>
      <w:r>
        <w:rPr>
          <w:rFonts w:hint="eastAsia" w:ascii="宋体" w:hAnsi="宋体" w:cs="宋体"/>
          <w:bCs/>
          <w:color w:val="auto"/>
          <w:sz w:val="24"/>
          <w:highlight w:val="none"/>
        </w:rPr>
        <w:t>澄清或者修改的内容为公开竞争文件的组成部分</w:t>
      </w:r>
      <w:r>
        <w:rPr>
          <w:rFonts w:hint="eastAsia" w:ascii="宋体" w:hAnsi="宋体" w:cs="宋体"/>
          <w:color w:val="auto"/>
          <w:sz w:val="24"/>
          <w:highlight w:val="none"/>
        </w:rPr>
        <w:t>。</w:t>
      </w:r>
    </w:p>
    <w:p>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5.公开竞争文件的澄清、修改</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5.1已获取公开竞争文件的潜在响应人，若有问题需要澄清，应于响应截止时间前，以书面形式向代理机构提出。</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pPr>
        <w:adjustRightInd/>
        <w:spacing w:line="460" w:lineRule="exact"/>
        <w:jc w:val="center"/>
        <w:outlineLvl w:val="0"/>
        <w:rPr>
          <w:rFonts w:ascii="宋体" w:hAnsi="宋体" w:cs="宋体"/>
          <w:b/>
          <w:color w:val="auto"/>
          <w:sz w:val="30"/>
          <w:szCs w:val="20"/>
          <w:highlight w:val="none"/>
        </w:rPr>
      </w:pPr>
    </w:p>
    <w:p>
      <w:pPr>
        <w:adjustRightInd/>
        <w:spacing w:line="460" w:lineRule="exact"/>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三、响应</w:t>
      </w:r>
    </w:p>
    <w:p>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6.公开竞争文件的获取</w:t>
      </w:r>
    </w:p>
    <w:p>
      <w:pPr>
        <w:spacing w:line="460" w:lineRule="exact"/>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详见交易公告中获取公开竞争文件的时间期限、地点、方式及公开竞争文件售价。</w:t>
      </w:r>
    </w:p>
    <w:p>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7.交易前答疑会或现场考察</w:t>
      </w:r>
    </w:p>
    <w:p>
      <w:pPr>
        <w:pStyle w:val="33"/>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交易发起人组织潜在响应人现场考察或者召开交易前答疑会的，潜在响应人按第二部分响应人须知前附表的规定参加现场考察或者开标前答疑会。</w:t>
      </w:r>
    </w:p>
    <w:p>
      <w:pPr>
        <w:pStyle w:val="33"/>
        <w:spacing w:line="460" w:lineRule="exact"/>
        <w:rPr>
          <w:rFonts w:hAnsi="宋体" w:cs="宋体"/>
          <w:b/>
          <w:color w:val="auto"/>
          <w:szCs w:val="24"/>
          <w:highlight w:val="none"/>
        </w:rPr>
      </w:pPr>
      <w:r>
        <w:rPr>
          <w:rFonts w:hint="eastAsia" w:hAnsi="宋体" w:cs="宋体"/>
          <w:b/>
          <w:color w:val="auto"/>
          <w:kern w:val="28"/>
          <w:sz w:val="24"/>
          <w:szCs w:val="24"/>
          <w:highlight w:val="none"/>
        </w:rPr>
        <w:t>8.交易保证金</w:t>
      </w:r>
    </w:p>
    <w:p>
      <w:pPr>
        <w:pStyle w:val="17"/>
        <w:spacing w:line="460" w:lineRule="exact"/>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9.响应文件的语言</w:t>
      </w:r>
    </w:p>
    <w:p>
      <w:pPr>
        <w:autoSpaceDE w:val="0"/>
        <w:autoSpaceDN w:val="0"/>
        <w:spacing w:line="4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响应文件及响应人与交易有关的来往通知、函件和文件均应使用中文。</w:t>
      </w:r>
    </w:p>
    <w:p>
      <w:pPr>
        <w:pStyle w:val="33"/>
        <w:spacing w:line="460" w:lineRule="exact"/>
        <w:rPr>
          <w:rFonts w:hAnsi="宋体" w:cs="宋体"/>
          <w:b/>
          <w:color w:val="auto"/>
          <w:sz w:val="24"/>
          <w:szCs w:val="24"/>
          <w:highlight w:val="none"/>
        </w:rPr>
      </w:pPr>
      <w:r>
        <w:rPr>
          <w:rFonts w:hint="eastAsia" w:hAnsi="宋体" w:cs="宋体"/>
          <w:b/>
          <w:color w:val="auto"/>
          <w:sz w:val="24"/>
          <w:szCs w:val="24"/>
          <w:highlight w:val="none"/>
        </w:rPr>
        <w:t>10.响应文件的组成</w:t>
      </w:r>
    </w:p>
    <w:p>
      <w:pPr>
        <w:snapToGrid w:val="0"/>
        <w:spacing w:line="4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10.1资格文件：</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10.1.1符合参加交易活动应当具备的一般条件的承诺函；</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10.1.2本项目的特定资格要求。</w:t>
      </w:r>
    </w:p>
    <w:p>
      <w:pPr>
        <w:snapToGrid w:val="0"/>
        <w:spacing w:line="460" w:lineRule="exact"/>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0</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10.2.1交易函；</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10.2.2授权委托书或法定代表人（单位负责人、自然人本人）身份证明；</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10.2.3营业执照；</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10.2.4符合性审查资料；</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10.2.5评审标准相应的商务技术资料；</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10.2.6商务技术偏离表；</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10.2.7</w:t>
      </w:r>
      <w:r>
        <w:rPr>
          <w:rFonts w:hint="eastAsia" w:ascii="宋体" w:hAnsi="宋体" w:cs="宋体"/>
          <w:color w:val="auto"/>
          <w:sz w:val="24"/>
          <w:highlight w:val="none"/>
          <w:lang w:val="zh-CN"/>
        </w:rPr>
        <w:t>响应人廉洁自律承诺书。</w:t>
      </w:r>
    </w:p>
    <w:p>
      <w:pPr>
        <w:snapToGrid w:val="0"/>
        <w:spacing w:line="460" w:lineRule="exact"/>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w:t>
      </w:r>
      <w:r>
        <w:rPr>
          <w:rFonts w:hint="eastAsia" w:ascii="宋体" w:hAnsi="宋体" w:cs="宋体"/>
          <w:b/>
          <w:bCs/>
          <w:color w:val="auto"/>
          <w:kern w:val="0"/>
          <w:sz w:val="24"/>
          <w:highlight w:val="none"/>
        </w:rPr>
        <w:t>0</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10.3.1交易一览表（报价表）。</w:t>
      </w:r>
    </w:p>
    <w:p>
      <w:pPr>
        <w:spacing w:line="460" w:lineRule="exact"/>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响应文件含有交易发起人不能接受的附加条件的，交易无效；</w:t>
      </w:r>
    </w:p>
    <w:p>
      <w:pPr>
        <w:spacing w:line="460" w:lineRule="exact"/>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响应人提供虚假材料投标的，交易无效。</w:t>
      </w:r>
    </w:p>
    <w:p>
      <w:pPr>
        <w:pStyle w:val="140"/>
        <w:snapToGrid w:val="0"/>
        <w:spacing w:before="0" w:line="460" w:lineRule="exact"/>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11</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响应文件的编制</w:t>
      </w:r>
    </w:p>
    <w:p>
      <w:pPr>
        <w:spacing w:line="460" w:lineRule="exact"/>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.2响应人进行电子投标应安装客户端软件—“政采云电子交易客户端”，并按照公开竞争文件和电子交易平台的要求编制并加密响应文件。响应人未按规定加密的响应文件，电子交易平台将拒收并提示。</w:t>
      </w:r>
    </w:p>
    <w:p>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snapToGrid w:val="0"/>
        <w:spacing w:line="460" w:lineRule="exact"/>
        <w:rPr>
          <w:rFonts w:ascii="宋体" w:hAnsi="宋体" w:cs="宋体"/>
          <w:b/>
          <w:color w:val="auto"/>
          <w:sz w:val="24"/>
          <w:highlight w:val="none"/>
        </w:rPr>
      </w:pPr>
      <w:r>
        <w:rPr>
          <w:rFonts w:hint="eastAsia" w:ascii="宋体" w:hAnsi="宋体" w:cs="宋体"/>
          <w:b/>
          <w:color w:val="auto"/>
          <w:sz w:val="24"/>
          <w:highlight w:val="none"/>
        </w:rPr>
        <w:t>12.响应文件的签署、盖章</w:t>
      </w:r>
    </w:p>
    <w:p>
      <w:pPr>
        <w:pStyle w:val="140"/>
        <w:snapToGrid w:val="0"/>
        <w:spacing w:before="0" w:line="460" w:lineRule="exact"/>
        <w:ind w:firstLine="480"/>
        <w:rPr>
          <w:rFonts w:ascii="宋体" w:hAnsi="宋体" w:cs="宋体"/>
          <w:b/>
          <w:color w:val="auto"/>
          <w:highlight w:val="none"/>
        </w:rPr>
      </w:pPr>
      <w:r>
        <w:rPr>
          <w:rFonts w:hint="eastAsia" w:ascii="宋体" w:hAnsi="宋体" w:cs="宋体"/>
          <w:color w:val="auto"/>
          <w:szCs w:val="24"/>
          <w:highlight w:val="none"/>
        </w:rPr>
        <w:t>12.1响应文件按照公开竞争文件第六部分格式要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▲响应人的响应文件未按照公开竞争文件要求签署、盖章的，其交易无效</w:t>
      </w:r>
      <w:r>
        <w:rPr>
          <w:rFonts w:hint="eastAsia" w:ascii="宋体" w:hAnsi="宋体" w:cs="宋体"/>
          <w:color w:val="auto"/>
          <w:szCs w:val="24"/>
          <w:highlight w:val="none"/>
        </w:rPr>
        <w:t>。</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12.2为确保网上操作合法、有效和安全，响应人应当在响应截止时间前完成在“</w:t>
      </w:r>
      <w:r>
        <w:rPr>
          <w:rFonts w:hint="eastAsia" w:ascii="宋体" w:hAnsi="宋体" w:cs="宋体"/>
          <w:color w:val="auto"/>
          <w:highlight w:val="none"/>
          <w:lang w:eastAsia="zh-CN"/>
        </w:rPr>
        <w:t>乐采云</w:t>
      </w:r>
      <w:r>
        <w:rPr>
          <w:rFonts w:hint="eastAsia" w:ascii="宋体" w:hAnsi="宋体" w:cs="宋体"/>
          <w:color w:val="auto"/>
          <w:highlight w:val="none"/>
        </w:rPr>
        <w:t>平台”的身份认证，确保在电子投标过程中能够对相关数据电文进行加密和使用电子签名。</w:t>
      </w:r>
    </w:p>
    <w:p>
      <w:pPr>
        <w:pStyle w:val="140"/>
        <w:snapToGrid w:val="0"/>
        <w:spacing w:before="0" w:line="460" w:lineRule="exact"/>
        <w:ind w:firstLine="480"/>
        <w:rPr>
          <w:rFonts w:ascii="宋体" w:hAnsi="宋体" w:cs="宋体"/>
          <w:color w:val="auto"/>
          <w:szCs w:val="24"/>
          <w:highlight w:val="none"/>
        </w:rPr>
      </w:pPr>
      <w:r>
        <w:rPr>
          <w:rFonts w:hint="eastAsia" w:ascii="宋体" w:hAnsi="宋体" w:cs="宋体"/>
          <w:color w:val="auto"/>
          <w:highlight w:val="none"/>
        </w:rPr>
        <w:t>12.3公开竞争文件对响应文件签署、盖章的要求适用于电子签名。</w:t>
      </w:r>
    </w:p>
    <w:p>
      <w:pPr>
        <w:pStyle w:val="14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13.响应文件的提交、补充、修改、撤回</w:t>
      </w:r>
    </w:p>
    <w:p>
      <w:pPr>
        <w:pStyle w:val="140"/>
        <w:spacing w:line="460" w:lineRule="exact"/>
        <w:ind w:firstLine="480"/>
        <w:rPr>
          <w:rFonts w:ascii="宋体" w:hAnsi="宋体" w:cs="宋体"/>
          <w:color w:val="auto"/>
          <w:szCs w:val="24"/>
          <w:highlight w:val="none"/>
        </w:rPr>
      </w:pPr>
      <w:r>
        <w:rPr>
          <w:rFonts w:hint="eastAsia" w:ascii="宋体" w:hAnsi="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pPr>
        <w:pStyle w:val="140"/>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pPr>
        <w:pStyle w:val="140"/>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pPr>
        <w:pStyle w:val="33"/>
        <w:numPr>
          <w:ilvl w:val="0"/>
          <w:numId w:val="1"/>
        </w:numPr>
        <w:spacing w:line="460" w:lineRule="exact"/>
        <w:rPr>
          <w:rFonts w:hAnsi="宋体" w:cs="宋体"/>
          <w:b/>
          <w:color w:val="auto"/>
          <w:sz w:val="24"/>
          <w:szCs w:val="24"/>
          <w:highlight w:val="none"/>
        </w:rPr>
      </w:pPr>
      <w:r>
        <w:rPr>
          <w:rFonts w:hint="eastAsia" w:hAnsi="宋体" w:cs="宋体"/>
          <w:b/>
          <w:color w:val="auto"/>
          <w:sz w:val="24"/>
          <w:szCs w:val="24"/>
          <w:highlight w:val="none"/>
        </w:rPr>
        <w:t>备份响应文件</w:t>
      </w:r>
    </w:p>
    <w:p>
      <w:pPr>
        <w:pStyle w:val="33"/>
        <w:spacing w:line="460" w:lineRule="exact"/>
        <w:ind w:firstLine="480" w:firstLineChars="200"/>
        <w:rPr>
          <w:rFonts w:hAnsi="宋体" w:cs="宋体"/>
          <w:b/>
          <w:color w:val="auto"/>
          <w:sz w:val="24"/>
          <w:szCs w:val="24"/>
          <w:highlight w:val="none"/>
        </w:rPr>
      </w:pPr>
      <w:r>
        <w:rPr>
          <w:rFonts w:hint="eastAsia" w:hAnsi="宋体" w:cs="宋体"/>
          <w:color w:val="auto"/>
          <w:kern w:val="28"/>
          <w:sz w:val="24"/>
          <w:szCs w:val="24"/>
          <w:highlight w:val="none"/>
        </w:rPr>
        <w:t>不收取备份响应文件。</w:t>
      </w:r>
    </w:p>
    <w:p>
      <w:pPr>
        <w:pStyle w:val="14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15.响应文件的无效处理</w:t>
      </w:r>
    </w:p>
    <w:p>
      <w:pPr>
        <w:pStyle w:val="2"/>
        <w:spacing w:line="460" w:lineRule="exact"/>
        <w:rPr>
          <w:rFonts w:cs="宋体"/>
          <w:color w:val="auto"/>
          <w:szCs w:val="21"/>
          <w:highlight w:val="none"/>
        </w:rPr>
      </w:pPr>
      <w:r>
        <w:rPr>
          <w:rFonts w:hint="eastAsia" w:cs="宋体"/>
          <w:color w:val="auto"/>
          <w:szCs w:val="21"/>
          <w:highlight w:val="none"/>
        </w:rPr>
        <w:t>有公开竞争文件第四部分</w:t>
      </w:r>
      <w:r>
        <w:rPr>
          <w:rFonts w:hint="eastAsia" w:cs="宋体"/>
          <w:color w:val="auto"/>
          <w:highlight w:val="none"/>
        </w:rPr>
        <w:t>4.2规定</w:t>
      </w:r>
      <w:r>
        <w:rPr>
          <w:rFonts w:hint="eastAsia" w:cs="宋体"/>
          <w:color w:val="auto"/>
          <w:szCs w:val="21"/>
          <w:highlight w:val="none"/>
        </w:rPr>
        <w:t>的情形之一的，交易无效：</w:t>
      </w:r>
    </w:p>
    <w:p>
      <w:pPr>
        <w:pStyle w:val="14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16.交易有效期</w:t>
      </w:r>
    </w:p>
    <w:p>
      <w:pPr>
        <w:spacing w:line="460" w:lineRule="exact"/>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16.1交易有效期为从提交响应文件的截止之日起90天。▲</w:t>
      </w:r>
      <w:r>
        <w:rPr>
          <w:rFonts w:hint="eastAsia" w:ascii="宋体" w:hAnsi="宋体" w:cs="宋体"/>
          <w:b/>
          <w:color w:val="auto"/>
          <w:sz w:val="24"/>
          <w:szCs w:val="20"/>
          <w:highlight w:val="none"/>
        </w:rPr>
        <w:t>响应人的响应文件中承</w:t>
      </w:r>
      <w:r>
        <w:rPr>
          <w:rFonts w:hint="eastAsia" w:ascii="宋体" w:hAnsi="宋体" w:cs="宋体"/>
          <w:b/>
          <w:color w:val="auto"/>
          <w:sz w:val="24"/>
          <w:szCs w:val="21"/>
          <w:highlight w:val="none"/>
        </w:rPr>
        <w:t>诺的交易有效期少于公开竞争文件中载明的交易有效期的，交易无效。</w:t>
      </w:r>
    </w:p>
    <w:p>
      <w:pPr>
        <w:pStyle w:val="140"/>
        <w:spacing w:before="0" w:line="460" w:lineRule="exact"/>
        <w:ind w:firstLine="480"/>
        <w:rPr>
          <w:rFonts w:ascii="宋体" w:hAnsi="宋体" w:cs="宋体"/>
          <w:color w:val="auto"/>
          <w:highlight w:val="none"/>
        </w:rPr>
      </w:pPr>
      <w:r>
        <w:rPr>
          <w:rFonts w:hint="eastAsia" w:ascii="宋体" w:hAnsi="宋体" w:cs="宋体"/>
          <w:color w:val="auto"/>
          <w:highlight w:val="none"/>
        </w:rPr>
        <w:t>16.2响应文件合格投递后，自投标截止日期起，在交易有效期内有效。</w:t>
      </w:r>
    </w:p>
    <w:p>
      <w:pPr>
        <w:pStyle w:val="140"/>
        <w:spacing w:before="0" w:line="460" w:lineRule="exact"/>
        <w:ind w:firstLine="480"/>
        <w:rPr>
          <w:rFonts w:ascii="宋体" w:hAnsi="宋体" w:cs="宋体"/>
          <w:color w:val="auto"/>
          <w:highlight w:val="none"/>
        </w:rPr>
      </w:pPr>
      <w:r>
        <w:rPr>
          <w:rFonts w:hint="eastAsia" w:ascii="宋体" w:hAnsi="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pPr>
        <w:pStyle w:val="140"/>
        <w:spacing w:before="0" w:line="460" w:lineRule="exact"/>
        <w:ind w:firstLine="643"/>
        <w:rPr>
          <w:rFonts w:ascii="宋体" w:hAnsi="宋体" w:cs="宋体"/>
          <w:b/>
          <w:color w:val="auto"/>
          <w:sz w:val="32"/>
          <w:highlight w:val="none"/>
        </w:rPr>
      </w:pPr>
    </w:p>
    <w:p>
      <w:pPr>
        <w:pStyle w:val="140"/>
        <w:spacing w:before="0" w:line="460" w:lineRule="exact"/>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w:t>
      </w:r>
    </w:p>
    <w:p>
      <w:pPr>
        <w:pStyle w:val="564"/>
        <w:spacing w:before="0" w:line="460" w:lineRule="exact"/>
        <w:ind w:left="0" w:firstLine="0"/>
        <w:contextualSpacing/>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 xml:space="preserve">17.交易 </w:t>
      </w:r>
    </w:p>
    <w:p>
      <w:pPr>
        <w:pStyle w:val="564"/>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17.1代理机构按照公开竞争文件规定的时间通过电子交易平台组织开标，所有响应人均应当准时在线参加。响应人不足3家的，不得开标。</w:t>
      </w:r>
    </w:p>
    <w:p>
      <w:pPr>
        <w:pStyle w:val="564"/>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pPr>
        <w:pStyle w:val="564"/>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17.3响应文件未按时解密，视为响应文件撤回。</w:t>
      </w:r>
    </w:p>
    <w:p>
      <w:pPr>
        <w:pStyle w:val="2"/>
        <w:spacing w:line="460" w:lineRule="exact"/>
        <w:ind w:left="479" w:hanging="479" w:hangingChars="199"/>
        <w:rPr>
          <w:rFonts w:cs="宋体"/>
          <w:b/>
          <w:color w:val="auto"/>
          <w:highlight w:val="none"/>
        </w:rPr>
      </w:pPr>
      <w:r>
        <w:rPr>
          <w:rFonts w:hint="eastAsia" w:cs="宋体"/>
          <w:b/>
          <w:color w:val="auto"/>
          <w:highlight w:val="none"/>
        </w:rPr>
        <w:t>18、资格审查</w:t>
      </w:r>
    </w:p>
    <w:p>
      <w:pPr>
        <w:pStyle w:val="140"/>
        <w:spacing w:before="0" w:line="46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18.1交易后，交易发起人或代理机构将依法对响应人的资格进行审查。</w:t>
      </w:r>
    </w:p>
    <w:p>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18.2</w:t>
      </w:r>
      <w:r>
        <w:rPr>
          <w:rFonts w:hint="eastAsia" w:ascii="宋体" w:hAnsi="宋体" w:cs="宋体"/>
          <w:color w:val="auto"/>
          <w:sz w:val="24"/>
          <w:highlight w:val="none"/>
        </w:rPr>
        <w:t>交易发起人或代理机构依据法律法规和公开竞争文件的规定，对响应人的基本资格条件、特定资格条件进行审查。</w:t>
      </w:r>
    </w:p>
    <w:p>
      <w:pPr>
        <w:pStyle w:val="140"/>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18.3响应人未按照公开竞争文件要求提供与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响应人不具备公开竞争文件中规定的资格要求，其交易无效。</w:t>
      </w:r>
    </w:p>
    <w:p>
      <w:pPr>
        <w:pStyle w:val="140"/>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4对未通过资格审查的响应人，交易发起人或代理机构告知其未通过的原因。</w:t>
      </w:r>
    </w:p>
    <w:p>
      <w:pPr>
        <w:pStyle w:val="140"/>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5合格响应人不足3家的，不再评标。</w:t>
      </w:r>
    </w:p>
    <w:p>
      <w:pPr>
        <w:pStyle w:val="140"/>
        <w:spacing w:before="0" w:line="460" w:lineRule="exact"/>
        <w:ind w:firstLine="0" w:firstLineChars="0"/>
        <w:rPr>
          <w:rFonts w:ascii="宋体" w:hAnsi="宋体" w:cs="宋体"/>
          <w:color w:val="auto"/>
          <w:kern w:val="0"/>
          <w:szCs w:val="24"/>
          <w:highlight w:val="none"/>
        </w:rPr>
      </w:pPr>
    </w:p>
    <w:p>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五、评审</w:t>
      </w:r>
    </w:p>
    <w:p>
      <w:pPr>
        <w:spacing w:line="460" w:lineRule="exact"/>
        <w:rPr>
          <w:rFonts w:hint="eastAsia" w:ascii="宋体" w:hAnsi="宋体" w:cs="宋体"/>
          <w:b/>
          <w:color w:val="auto"/>
          <w:sz w:val="24"/>
          <w:highlight w:val="none"/>
        </w:rPr>
      </w:pPr>
      <w:bookmarkStart w:id="14" w:name="_Toc91899903"/>
      <w:r>
        <w:rPr>
          <w:rFonts w:hint="eastAsia" w:ascii="宋体" w:hAnsi="宋体" w:cs="宋体"/>
          <w:b/>
          <w:color w:val="auto"/>
          <w:sz w:val="24"/>
          <w:highlight w:val="none"/>
        </w:rPr>
        <w:t>19.</w:t>
      </w:r>
      <w:r>
        <w:rPr>
          <w:rFonts w:hint="eastAsia" w:ascii="宋体" w:hAnsi="宋体" w:cs="宋体"/>
          <w:b w:val="0"/>
          <w:bCs/>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pPr>
        <w:spacing w:line="460" w:lineRule="exact"/>
        <w:rPr>
          <w:rFonts w:ascii="宋体" w:hAnsi="宋体" w:cs="宋体"/>
          <w:b/>
          <w:color w:val="auto"/>
          <w:sz w:val="24"/>
          <w:highlight w:val="none"/>
        </w:rPr>
      </w:pPr>
      <w:r>
        <w:rPr>
          <w:rFonts w:hint="eastAsia" w:ascii="宋体" w:hAnsi="宋体" w:cs="宋体"/>
          <w:b/>
          <w:color w:val="auto"/>
          <w:sz w:val="24"/>
          <w:highlight w:val="none"/>
        </w:rPr>
        <w:t>详见公开竞争文件第四部分交易办法。</w:t>
      </w:r>
    </w:p>
    <w:p>
      <w:pPr>
        <w:spacing w:line="460" w:lineRule="exact"/>
        <w:rPr>
          <w:rFonts w:ascii="宋体" w:hAnsi="宋体" w:cs="宋体"/>
          <w:b/>
          <w:color w:val="auto"/>
          <w:sz w:val="24"/>
          <w:highlight w:val="none"/>
        </w:rPr>
      </w:pPr>
    </w:p>
    <w:p>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pPr>
        <w:pStyle w:val="2"/>
        <w:spacing w:line="460" w:lineRule="exact"/>
        <w:ind w:left="479" w:hanging="479" w:hangingChars="199"/>
        <w:rPr>
          <w:rFonts w:cs="宋体"/>
          <w:b/>
          <w:color w:val="auto"/>
          <w:highlight w:val="none"/>
        </w:rPr>
      </w:pPr>
      <w:r>
        <w:rPr>
          <w:rFonts w:hint="eastAsia" w:cs="宋体"/>
          <w:b/>
          <w:color w:val="auto"/>
          <w:highlight w:val="none"/>
        </w:rPr>
        <w:t>20.确定成交响应人</w:t>
      </w:r>
    </w:p>
    <w:p>
      <w:pPr>
        <w:pStyle w:val="140"/>
        <w:snapToGrid w:val="0"/>
        <w:spacing w:before="0" w:line="460" w:lineRule="exact"/>
        <w:ind w:firstLine="480"/>
        <w:rPr>
          <w:rFonts w:ascii="宋体" w:hAnsi="宋体" w:cs="宋体"/>
          <w:b/>
          <w:color w:val="auto"/>
          <w:szCs w:val="24"/>
          <w:highlight w:val="none"/>
        </w:rPr>
      </w:pPr>
      <w:r>
        <w:rPr>
          <w:rFonts w:hint="eastAsia" w:ascii="宋体" w:hAnsi="宋体" w:cs="宋体"/>
          <w:color w:val="auto"/>
          <w:szCs w:val="24"/>
          <w:highlight w:val="none"/>
        </w:rPr>
        <w:t>交易发起人将自收到评审报告之日起5个工作日内通过电子交易平台在评审报告推荐的成交候选人中按顺序确定成交响应人。</w:t>
      </w:r>
    </w:p>
    <w:p>
      <w:pPr>
        <w:pStyle w:val="140"/>
        <w:snapToGrid w:val="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21.成交通知与成交结果公告</w:t>
      </w:r>
    </w:p>
    <w:p>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21.2成交结果公告内容包括交易发起人及其委托的代理机构的名称、地址、联系方式，项目名称和交易编号，成交人名称、地址和成交金额。</w:t>
      </w:r>
    </w:p>
    <w:p>
      <w:pPr>
        <w:snapToGrid w:val="0"/>
        <w:spacing w:line="460" w:lineRule="exact"/>
        <w:ind w:left="120" w:leftChars="57" w:firstLine="482" w:firstLineChars="150"/>
        <w:jc w:val="center"/>
        <w:rPr>
          <w:rFonts w:ascii="宋体" w:hAnsi="宋体" w:cs="宋体"/>
          <w:b/>
          <w:color w:val="auto"/>
          <w:sz w:val="32"/>
          <w:highlight w:val="none"/>
        </w:rPr>
      </w:pPr>
    </w:p>
    <w:p>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
        <w:spacing w:line="460" w:lineRule="exact"/>
        <w:ind w:left="479" w:hanging="479" w:hangingChars="199"/>
        <w:rPr>
          <w:rFonts w:cs="宋体"/>
          <w:b/>
          <w:color w:val="auto"/>
          <w:highlight w:val="none"/>
        </w:rPr>
      </w:pPr>
      <w:r>
        <w:rPr>
          <w:rFonts w:hint="eastAsia" w:cs="宋体"/>
          <w:b/>
          <w:color w:val="auto"/>
          <w:highlight w:val="none"/>
        </w:rPr>
        <w:t>22.</w:t>
      </w:r>
      <w:r>
        <w:rPr>
          <w:rFonts w:hint="eastAsia" w:cs="宋体"/>
          <w:color w:val="auto"/>
          <w:highlight w:val="none"/>
        </w:rPr>
        <w:t>合同主要条款详见第五部分拟签订的合同文本。</w:t>
      </w:r>
    </w:p>
    <w:p>
      <w:pPr>
        <w:pStyle w:val="2"/>
        <w:spacing w:line="460" w:lineRule="exact"/>
        <w:ind w:left="479" w:hanging="479" w:hangingChars="199"/>
        <w:rPr>
          <w:rFonts w:cs="宋体"/>
          <w:b/>
          <w:color w:val="auto"/>
          <w:highlight w:val="none"/>
        </w:rPr>
      </w:pPr>
      <w:r>
        <w:rPr>
          <w:rFonts w:hint="eastAsia" w:cs="宋体"/>
          <w:b/>
          <w:color w:val="auto"/>
          <w:highlight w:val="none"/>
        </w:rPr>
        <w:t>23.合同的签订</w:t>
      </w:r>
    </w:p>
    <w:p>
      <w:pPr>
        <w:widowControl/>
        <w:shd w:val="clear" w:color="auto" w:fill="FFFFFF"/>
        <w:spacing w:line="460" w:lineRule="exact"/>
        <w:ind w:firstLine="480"/>
        <w:jc w:val="left"/>
        <w:rPr>
          <w:rFonts w:ascii="宋体" w:hAnsi="宋体" w:cs="宋体"/>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 xml:space="preserve"> 交易发起人与成交人应当通过电子交易平台在成交通知书发出之日起三十日内，按照公开竞争文件确定的事项签订书面合同。</w:t>
      </w:r>
    </w:p>
    <w:p>
      <w:pPr>
        <w:pStyle w:val="140"/>
        <w:snapToGrid w:val="0"/>
        <w:spacing w:before="0" w:line="460" w:lineRule="exact"/>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23.3如签订合同并生效后，响应人无故拒绝或延期，除按照合同条款处理外，列入不良行为记录一次，并给予通报。</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23.4成交响应人拒绝与交易发起人签订合同的，交易发起人可以按照评审报告推荐的</w:t>
      </w:r>
      <w:r>
        <w:rPr>
          <w:rFonts w:hint="eastAsia" w:ascii="宋体" w:hAnsi="宋体" w:cs="宋体"/>
          <w:color w:val="auto"/>
          <w:kern w:val="0"/>
          <w:highlight w:val="none"/>
        </w:rPr>
        <w:t>成交</w:t>
      </w:r>
      <w:r>
        <w:rPr>
          <w:rFonts w:hint="eastAsia" w:ascii="宋体" w:hAnsi="宋体" w:cs="宋体"/>
          <w:color w:val="auto"/>
          <w:highlight w:val="none"/>
        </w:rPr>
        <w:t>或者成交候选人名单排序，确定下一候选人为成交响应人，也可以重新开展交易活动。</w:t>
      </w:r>
    </w:p>
    <w:p>
      <w:pPr>
        <w:pStyle w:val="140"/>
        <w:snapToGrid w:val="0"/>
        <w:spacing w:before="0" w:after="120" w:line="460" w:lineRule="exact"/>
        <w:ind w:firstLine="480"/>
        <w:rPr>
          <w:rFonts w:ascii="宋体" w:hAnsi="宋体" w:cs="宋体"/>
          <w:color w:val="auto"/>
          <w:highlight w:val="none"/>
        </w:rPr>
      </w:pPr>
      <w:r>
        <w:rPr>
          <w:rFonts w:hint="eastAsia" w:ascii="宋体" w:hAnsi="宋体" w:cs="宋体"/>
          <w:color w:val="auto"/>
          <w:highlight w:val="none"/>
        </w:rPr>
        <w:t>23.5书面合同由交易发起人与成交响应人根据公开竞争文件、响应文件等内容签订合同。</w:t>
      </w:r>
    </w:p>
    <w:p>
      <w:pPr>
        <w:pStyle w:val="2"/>
        <w:spacing w:line="460" w:lineRule="exact"/>
        <w:ind w:left="479" w:hanging="479" w:hangingChars="199"/>
        <w:rPr>
          <w:rFonts w:cs="宋体"/>
          <w:b/>
          <w:color w:val="auto"/>
          <w:highlight w:val="none"/>
        </w:rPr>
      </w:pPr>
      <w:r>
        <w:rPr>
          <w:rFonts w:hint="eastAsia" w:cs="宋体"/>
          <w:b/>
          <w:color w:val="auto"/>
          <w:highlight w:val="none"/>
        </w:rPr>
        <w:t>24.履约保证金：</w:t>
      </w:r>
      <w:r>
        <w:rPr>
          <w:rFonts w:hint="eastAsia" w:cs="宋体"/>
          <w:snapToGrid/>
          <w:color w:val="auto"/>
          <w:sz w:val="24"/>
          <w:szCs w:val="24"/>
          <w:highlight w:val="none"/>
          <w:lang w:val="en-US" w:eastAsia="zh-CN"/>
        </w:rPr>
        <w:t>详见前附表</w:t>
      </w:r>
      <w:r>
        <w:rPr>
          <w:rFonts w:hint="eastAsia" w:hAnsi="宋体" w:cs="宋体"/>
          <w:b w:val="0"/>
          <w:bCs w:val="0"/>
          <w:snapToGrid/>
          <w:color w:val="auto"/>
          <w:sz w:val="24"/>
          <w:szCs w:val="24"/>
          <w:highlight w:val="none"/>
        </w:rPr>
        <w:t>。</w:t>
      </w:r>
    </w:p>
    <w:p>
      <w:pPr>
        <w:snapToGrid w:val="0"/>
        <w:spacing w:line="460" w:lineRule="exact"/>
        <w:ind w:firstLine="3357" w:firstLineChars="1045"/>
        <w:rPr>
          <w:rFonts w:ascii="宋体" w:hAnsi="宋体" w:cs="宋体"/>
          <w:b/>
          <w:color w:val="auto"/>
          <w:sz w:val="32"/>
          <w:highlight w:val="none"/>
        </w:rPr>
      </w:pPr>
    </w:p>
    <w:p>
      <w:pPr>
        <w:snapToGrid w:val="0"/>
        <w:spacing w:line="460" w:lineRule="exact"/>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40"/>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color w:val="auto"/>
          <w:szCs w:val="24"/>
          <w:highlight w:val="none"/>
        </w:rPr>
        <w:t>5.电子交易活动的中止。</w:t>
      </w:r>
      <w:r>
        <w:rPr>
          <w:rFonts w:hint="eastAsia" w:ascii="宋体" w:hAnsi="宋体" w:cs="宋体"/>
          <w:bCs/>
          <w:color w:val="auto"/>
          <w:szCs w:val="24"/>
          <w:highlight w:val="none"/>
        </w:rPr>
        <w:t>交易</w:t>
      </w:r>
      <w:r>
        <w:rPr>
          <w:rFonts w:hint="eastAsia" w:ascii="宋体" w:hAnsi="宋体" w:cs="宋体"/>
          <w:color w:val="auto"/>
          <w:highlight w:val="none"/>
        </w:rPr>
        <w:t>过程中出现以下情形，导致电子交易平台无法正常运行，或者无法保证电子交易的公平、公正和安全时，代理机构可中止电子交易活动：</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25.3电子交易平台发现严重安全漏洞，有潜在泄密危险的；</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25.4病毒发作导致不能进行正常操作的； </w:t>
      </w:r>
    </w:p>
    <w:p>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25.5其他无法保证电子交易的公平、公正和安全的情况。</w:t>
      </w:r>
    </w:p>
    <w:p>
      <w:pPr>
        <w:pStyle w:val="140"/>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26.</w:t>
      </w:r>
      <w:r>
        <w:rPr>
          <w:rFonts w:hint="eastAsia" w:ascii="宋体" w:hAnsi="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
        <w:spacing w:line="460" w:lineRule="exact"/>
        <w:ind w:firstLine="0" w:firstLineChars="0"/>
        <w:rPr>
          <w:rFonts w:cs="宋体"/>
          <w:b/>
          <w:color w:val="auto"/>
          <w:highlight w:val="none"/>
        </w:rPr>
      </w:pPr>
      <w:r>
        <w:rPr>
          <w:rFonts w:hint="eastAsia" w:cs="宋体"/>
          <w:b/>
          <w:color w:val="auto"/>
          <w:highlight w:val="none"/>
        </w:rPr>
        <w:t>27.验收</w:t>
      </w:r>
    </w:p>
    <w:p>
      <w:pPr>
        <w:tabs>
          <w:tab w:val="left" w:pos="0"/>
        </w:tabs>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27.1交易发起人应当组织对响应人履约的验收。</w:t>
      </w:r>
    </w:p>
    <w:bookmarkEnd w:id="12"/>
    <w:bookmarkEnd w:id="13"/>
    <w:bookmarkEnd w:id="14"/>
    <w:p>
      <w:pPr>
        <w:rPr>
          <w:rFonts w:ascii="宋体" w:hAnsi="宋体" w:cs="宋体"/>
          <w:b/>
          <w:color w:val="auto"/>
          <w:sz w:val="36"/>
          <w:szCs w:val="36"/>
          <w:highlight w:val="none"/>
        </w:rPr>
      </w:pPr>
      <w:bookmarkStart w:id="15" w:name="第四部分"/>
      <w:r>
        <w:rPr>
          <w:rFonts w:hint="eastAsia" w:ascii="宋体" w:hAnsi="宋体" w:cs="宋体"/>
          <w:b/>
          <w:color w:val="auto"/>
          <w:sz w:val="36"/>
          <w:szCs w:val="36"/>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第三部分   交易需求</w:t>
      </w: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属于实质性要求条款的，请用符号“▲”标明，否则属于非实质性要求。</w:t>
      </w:r>
    </w:p>
    <w:p>
      <w:pPr>
        <w:numPr>
          <w:ilvl w:val="0"/>
          <w:numId w:val="0"/>
        </w:numPr>
        <w:spacing w:line="360" w:lineRule="auto"/>
        <w:ind w:left="0" w:leftChars="0" w:firstLine="0" w:firstLineChars="0"/>
        <w:jc w:val="center"/>
        <w:rPr>
          <w:rFonts w:ascii="宋体" w:hAnsi="宋体" w:cs="宋体"/>
          <w:b/>
          <w:color w:val="auto"/>
          <w:sz w:val="28"/>
          <w:szCs w:val="28"/>
          <w:highlight w:val="none"/>
        </w:rPr>
      </w:pPr>
      <w:r>
        <w:rPr>
          <w:rFonts w:ascii="宋体" w:hAnsi="宋体" w:eastAsia="宋体" w:cs="宋体"/>
          <w:b/>
          <w:color w:val="auto"/>
          <w:kern w:val="2"/>
          <w:sz w:val="28"/>
          <w:szCs w:val="28"/>
          <w:highlight w:val="none"/>
          <w:lang w:val="en-US" w:eastAsia="zh-CN" w:bidi="ar-SA"/>
        </w:rPr>
        <w:t>一、</w:t>
      </w:r>
      <w:r>
        <w:rPr>
          <w:rFonts w:hint="eastAsia" w:ascii="宋体" w:hAnsi="宋体" w:cs="宋体"/>
          <w:b/>
          <w:color w:val="auto"/>
          <w:sz w:val="28"/>
          <w:szCs w:val="28"/>
          <w:highlight w:val="none"/>
        </w:rPr>
        <w:t>交易一览表</w:t>
      </w:r>
    </w:p>
    <w:p>
      <w:pPr>
        <w:spacing w:after="120"/>
        <w:rPr>
          <w:rFonts w:ascii="宋体" w:hAnsi="宋体" w:cs="宋体"/>
          <w:color w:val="auto"/>
          <w:highlight w:val="none"/>
        </w:rPr>
      </w:pPr>
      <w:r>
        <w:rPr>
          <w:rFonts w:hint="eastAsia" w:ascii="宋体" w:hAnsi="宋体" w:cs="宋体"/>
          <w:color w:val="auto"/>
          <w:sz w:val="24"/>
          <w:highlight w:val="none"/>
        </w:rPr>
        <w:t>标项：1</w:t>
      </w:r>
    </w:p>
    <w:tbl>
      <w:tblPr>
        <w:tblStyle w:val="64"/>
        <w:tblW w:w="9049" w:type="dxa"/>
        <w:jc w:val="center"/>
        <w:tblLayout w:type="fixed"/>
        <w:tblCellMar>
          <w:top w:w="0" w:type="dxa"/>
          <w:left w:w="0" w:type="dxa"/>
          <w:bottom w:w="0" w:type="dxa"/>
          <w:right w:w="0" w:type="dxa"/>
        </w:tblCellMar>
      </w:tblPr>
      <w:tblGrid>
        <w:gridCol w:w="765"/>
        <w:gridCol w:w="3313"/>
        <w:gridCol w:w="1942"/>
        <w:gridCol w:w="960"/>
        <w:gridCol w:w="960"/>
        <w:gridCol w:w="1109"/>
      </w:tblGrid>
      <w:tr>
        <w:tblPrEx>
          <w:tblCellMar>
            <w:top w:w="0" w:type="dxa"/>
            <w:left w:w="0" w:type="dxa"/>
            <w:bottom w:w="0" w:type="dxa"/>
            <w:right w:w="0" w:type="dxa"/>
          </w:tblCellMar>
        </w:tblPrEx>
        <w:trPr>
          <w:cantSplit/>
          <w:trHeight w:val="514"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序号</w:t>
            </w:r>
          </w:p>
        </w:tc>
        <w:tc>
          <w:tcPr>
            <w:tcW w:w="33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名称</w:t>
            </w:r>
          </w:p>
        </w:tc>
        <w:tc>
          <w:tcPr>
            <w:tcW w:w="19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具体服务要求</w:t>
            </w:r>
          </w:p>
        </w:tc>
        <w:tc>
          <w:tcPr>
            <w:tcW w:w="9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单位</w:t>
            </w:r>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1109"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CellMar>
            <w:top w:w="0" w:type="dxa"/>
            <w:left w:w="0" w:type="dxa"/>
            <w:bottom w:w="0" w:type="dxa"/>
            <w:right w:w="0" w:type="dxa"/>
          </w:tblCellMar>
        </w:tblPrEx>
        <w:trPr>
          <w:cantSplit/>
          <w:trHeight w:val="735"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33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杭州萧山环城建设开发有限公司</w:t>
            </w:r>
            <w:r>
              <w:rPr>
                <w:rFonts w:hint="eastAsia" w:ascii="宋体" w:hAnsi="宋体" w:cs="宋体"/>
                <w:color w:val="auto"/>
                <w:sz w:val="24"/>
                <w:highlight w:val="none"/>
                <w:lang w:val="en-US" w:eastAsia="zh-CN"/>
              </w:rPr>
              <w:t>2024年度选址论证服务</w:t>
            </w:r>
            <w:r>
              <w:rPr>
                <w:rFonts w:hint="eastAsia" w:ascii="宋体" w:hAnsi="宋体" w:eastAsia="宋体" w:cs="宋体"/>
                <w:color w:val="auto"/>
                <w:sz w:val="24"/>
                <w:highlight w:val="none"/>
                <w:lang w:val="en-US" w:eastAsia="zh-CN"/>
              </w:rPr>
              <w:t>采购项目</w:t>
            </w:r>
          </w:p>
        </w:tc>
        <w:tc>
          <w:tcPr>
            <w:tcW w:w="19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详见交易需求</w:t>
            </w:r>
          </w:p>
        </w:tc>
        <w:tc>
          <w:tcPr>
            <w:tcW w:w="9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年</w:t>
            </w:r>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109" w:type="dxa"/>
            <w:tcBorders>
              <w:top w:val="single" w:color="auto" w:sz="4" w:space="0"/>
              <w:left w:val="nil"/>
              <w:bottom w:val="single" w:color="auto" w:sz="4" w:space="0"/>
              <w:right w:val="single" w:color="auto" w:sz="4" w:space="0"/>
            </w:tcBorders>
            <w:vAlign w:val="center"/>
          </w:tcPr>
          <w:p>
            <w:pPr>
              <w:rPr>
                <w:rFonts w:ascii="宋体" w:hAnsi="宋体" w:cs="宋体"/>
                <w:color w:val="auto"/>
                <w:sz w:val="24"/>
                <w:highlight w:val="none"/>
              </w:rPr>
            </w:pPr>
          </w:p>
        </w:tc>
      </w:tr>
    </w:tbl>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注：1、本项目预算金额：</w:t>
      </w:r>
      <w:r>
        <w:rPr>
          <w:rFonts w:hint="eastAsia" w:hAnsi="宋体" w:cs="宋体"/>
          <w:color w:val="auto"/>
          <w:sz w:val="24"/>
          <w:szCs w:val="24"/>
          <w:highlight w:val="none"/>
          <w:lang w:val="en-US" w:eastAsia="zh-CN"/>
        </w:rPr>
        <w:t>950000.00</w:t>
      </w:r>
      <w:r>
        <w:rPr>
          <w:rFonts w:hint="eastAsia" w:ascii="宋体" w:hAnsi="宋体" w:eastAsia="宋体" w:cs="宋体"/>
          <w:color w:val="auto"/>
          <w:sz w:val="24"/>
          <w:szCs w:val="24"/>
          <w:highlight w:val="none"/>
          <w:lang w:val="en-US" w:eastAsia="zh-CN"/>
        </w:rPr>
        <w:t>元。</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▲2、本项目按单价报价，根据具体单个项目进行结算，规划地块用地面积5公顷</w:t>
      </w:r>
      <w:r>
        <w:rPr>
          <w:rFonts w:hint="eastAsia" w:hAnsi="宋体" w:cs="宋体"/>
          <w:color w:val="auto"/>
          <w:sz w:val="24"/>
          <w:szCs w:val="24"/>
          <w:highlight w:val="none"/>
          <w:lang w:val="en-US" w:eastAsia="zh-CN"/>
        </w:rPr>
        <w:t>（含）</w:t>
      </w:r>
      <w:r>
        <w:rPr>
          <w:rFonts w:hint="eastAsia" w:ascii="宋体"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宗</w:t>
      </w:r>
      <w:r>
        <w:rPr>
          <w:rFonts w:hint="eastAsia" w:ascii="宋体" w:hAnsi="宋体" w:eastAsia="宋体" w:cs="宋体"/>
          <w:color w:val="auto"/>
          <w:sz w:val="24"/>
          <w:szCs w:val="24"/>
          <w:highlight w:val="none"/>
          <w:lang w:val="en-US" w:eastAsia="zh-CN"/>
        </w:rPr>
        <w:t>以下地块的，</w:t>
      </w:r>
      <w:r>
        <w:rPr>
          <w:rFonts w:hint="eastAsia" w:hAnsi="宋体" w:cs="宋体"/>
          <w:color w:val="auto"/>
          <w:sz w:val="24"/>
          <w:szCs w:val="24"/>
          <w:highlight w:val="none"/>
          <w:lang w:val="en-US" w:eastAsia="zh-CN"/>
        </w:rPr>
        <w:t>投标单价不超过</w:t>
      </w:r>
      <w:r>
        <w:rPr>
          <w:rFonts w:hint="eastAsia" w:ascii="宋体" w:hAnsi="宋体" w:eastAsia="宋体" w:cs="宋体"/>
          <w:color w:val="auto"/>
          <w:sz w:val="24"/>
          <w:szCs w:val="24"/>
          <w:highlight w:val="none"/>
          <w:lang w:val="en-US" w:eastAsia="zh-CN"/>
        </w:rPr>
        <w:t>10万元/</w:t>
      </w:r>
      <w:r>
        <w:rPr>
          <w:rFonts w:hint="eastAsia" w:hAnsi="宋体" w:cs="宋体"/>
          <w:color w:val="auto"/>
          <w:sz w:val="24"/>
          <w:szCs w:val="24"/>
          <w:highlight w:val="none"/>
          <w:lang w:val="en-US" w:eastAsia="zh-CN"/>
        </w:rPr>
        <w:t>宗；</w:t>
      </w:r>
      <w:r>
        <w:rPr>
          <w:rFonts w:hint="eastAsia" w:ascii="宋体" w:hAnsi="宋体" w:eastAsia="宋体" w:cs="宋体"/>
          <w:color w:val="auto"/>
          <w:sz w:val="24"/>
          <w:szCs w:val="24"/>
          <w:highlight w:val="none"/>
          <w:lang w:val="en-US" w:eastAsia="zh-CN"/>
        </w:rPr>
        <w:t>5公顷/宗以上地块的，</w:t>
      </w:r>
      <w:r>
        <w:rPr>
          <w:rFonts w:hint="eastAsia" w:hAnsi="宋体" w:cs="宋体"/>
          <w:color w:val="auto"/>
          <w:sz w:val="24"/>
          <w:szCs w:val="24"/>
          <w:highlight w:val="none"/>
          <w:lang w:val="en-US" w:eastAsia="zh-CN"/>
        </w:rPr>
        <w:t>投标单价不超过</w:t>
      </w:r>
      <w:r>
        <w:rPr>
          <w:rFonts w:hint="eastAsia" w:ascii="宋体" w:hAnsi="宋体" w:eastAsia="宋体" w:cs="宋体"/>
          <w:color w:val="auto"/>
          <w:sz w:val="24"/>
          <w:szCs w:val="24"/>
          <w:highlight w:val="none"/>
          <w:lang w:val="en-US" w:eastAsia="zh-CN"/>
        </w:rPr>
        <w:t>12万元/宗，地块按规划用地性质划分和规划道路分隔界定。</w:t>
      </w:r>
    </w:p>
    <w:p>
      <w:pPr>
        <w:pStyle w:val="3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lang w:val="en-US" w:eastAsia="zh-CN"/>
        </w:rPr>
      </w:pPr>
    </w:p>
    <w:p>
      <w:pPr>
        <w:numPr>
          <w:ilvl w:val="0"/>
          <w:numId w:val="0"/>
        </w:numPr>
        <w:spacing w:line="360" w:lineRule="auto"/>
        <w:ind w:left="0" w:leftChars="0" w:firstLine="0" w:firstLineChars="0"/>
        <w:jc w:val="center"/>
        <w:rPr>
          <w:rFonts w:hint="eastAsia" w:ascii="宋体" w:hAnsi="宋体" w:eastAsia="宋体" w:cs="宋体"/>
          <w:b/>
          <w:color w:val="auto"/>
          <w:kern w:val="2"/>
          <w:sz w:val="28"/>
          <w:szCs w:val="28"/>
          <w:highlight w:val="none"/>
          <w:lang w:val="en-US" w:eastAsia="zh-CN" w:bidi="ar-SA"/>
        </w:rPr>
      </w:pPr>
    </w:p>
    <w:p>
      <w:pPr>
        <w:numPr>
          <w:ilvl w:val="0"/>
          <w:numId w:val="0"/>
        </w:numPr>
        <w:spacing w:line="360" w:lineRule="auto"/>
        <w:ind w:left="0" w:leftChars="0" w:firstLine="0" w:firstLineChars="0"/>
        <w:jc w:val="center"/>
        <w:rPr>
          <w:rFonts w:hint="eastAsia" w:ascii="宋体" w:hAnsi="宋体" w:cs="宋体"/>
          <w:b/>
          <w:color w:val="auto"/>
          <w:sz w:val="28"/>
          <w:szCs w:val="28"/>
          <w:highlight w:val="none"/>
        </w:rPr>
      </w:pPr>
      <w:r>
        <w:rPr>
          <w:rFonts w:hint="eastAsia" w:ascii="宋体" w:hAnsi="宋体" w:eastAsia="宋体" w:cs="宋体"/>
          <w:b/>
          <w:color w:val="auto"/>
          <w:kern w:val="2"/>
          <w:sz w:val="28"/>
          <w:szCs w:val="28"/>
          <w:highlight w:val="none"/>
          <w:lang w:val="en-US" w:eastAsia="zh-CN" w:bidi="ar-SA"/>
        </w:rPr>
        <w:t>二、</w:t>
      </w:r>
      <w:r>
        <w:rPr>
          <w:rFonts w:hint="eastAsia" w:ascii="宋体" w:hAnsi="宋体" w:cs="宋体"/>
          <w:b/>
          <w:color w:val="auto"/>
          <w:sz w:val="28"/>
          <w:szCs w:val="28"/>
          <w:highlight w:val="none"/>
        </w:rPr>
        <w:t>交易需求</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仿宋"/>
          <w:b/>
          <w:color w:val="auto"/>
          <w:sz w:val="24"/>
          <w:highlight w:val="none"/>
        </w:rPr>
      </w:pPr>
      <w:bookmarkStart w:id="16" w:name="_Toc275037796"/>
      <w:bookmarkStart w:id="17" w:name="_Toc229566662"/>
      <w:bookmarkStart w:id="18" w:name="_Toc155322445"/>
      <w:bookmarkStart w:id="19" w:name="_Toc276765284"/>
      <w:r>
        <w:rPr>
          <w:rFonts w:hint="eastAsia" w:ascii="宋体" w:hAnsi="宋体" w:eastAsia="宋体" w:cs="仿宋"/>
          <w:b/>
          <w:color w:val="auto"/>
          <w:sz w:val="24"/>
          <w:highlight w:val="none"/>
          <w:lang w:val="en-US" w:eastAsia="zh-CN"/>
        </w:rPr>
        <w:t>一、</w:t>
      </w:r>
      <w:r>
        <w:rPr>
          <w:rFonts w:hint="eastAsia" w:ascii="宋体" w:hAnsi="宋体" w:eastAsia="宋体" w:cs="仿宋"/>
          <w:b/>
          <w:color w:val="auto"/>
          <w:sz w:val="24"/>
          <w:highlight w:val="none"/>
        </w:rPr>
        <w:t>交易内容及范围</w:t>
      </w:r>
      <w:bookmarkEnd w:id="16"/>
      <w:bookmarkEnd w:id="17"/>
      <w:bookmarkEnd w:id="18"/>
      <w:bookmarkEnd w:id="19"/>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default" w:ascii="宋体" w:hAnsi="宋体" w:eastAsia="宋体" w:cs="仿宋"/>
          <w:color w:val="auto"/>
          <w:sz w:val="24"/>
          <w:szCs w:val="28"/>
          <w:highlight w:val="none"/>
          <w:lang w:val="en-US" w:eastAsia="zh-CN"/>
        </w:rPr>
      </w:pPr>
      <w:r>
        <w:rPr>
          <w:rFonts w:hint="eastAsia" w:ascii="宋体" w:hAnsi="宋体" w:eastAsia="宋体" w:cs="仿宋"/>
          <w:color w:val="auto"/>
          <w:sz w:val="24"/>
          <w:szCs w:val="28"/>
          <w:highlight w:val="none"/>
          <w:lang w:val="en-US" w:eastAsia="zh-CN"/>
        </w:rPr>
        <w:t>杭州萧山环城建设开发有限公司</w:t>
      </w:r>
      <w:r>
        <w:rPr>
          <w:rFonts w:hint="eastAsia" w:ascii="宋体" w:hAnsi="宋体" w:eastAsia="宋体" w:cs="仿宋"/>
          <w:color w:val="auto"/>
          <w:sz w:val="24"/>
          <w:szCs w:val="28"/>
          <w:highlight w:val="none"/>
        </w:rPr>
        <w:t>范围内的</w:t>
      </w:r>
      <w:r>
        <w:rPr>
          <w:rFonts w:hint="eastAsia" w:ascii="宋体" w:hAnsi="宋体" w:eastAsia="宋体" w:cs="仿宋"/>
          <w:color w:val="auto"/>
          <w:sz w:val="24"/>
          <w:szCs w:val="28"/>
          <w:highlight w:val="none"/>
          <w:lang w:val="en-US" w:eastAsia="zh-CN"/>
        </w:rPr>
        <w:t>选址论证项目（具体以任务委托单为准）。</w:t>
      </w:r>
    </w:p>
    <w:p>
      <w:pPr>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宋体" w:hAnsi="宋体" w:eastAsia="宋体" w:cs="仿宋"/>
          <w:color w:val="auto"/>
          <w:sz w:val="24"/>
          <w:szCs w:val="28"/>
          <w:highlight w:val="none"/>
          <w:lang w:eastAsia="zh-CN"/>
        </w:rPr>
      </w:pPr>
      <w:bookmarkStart w:id="20" w:name="_Toc276765285"/>
      <w:r>
        <w:rPr>
          <w:rFonts w:hint="eastAsia" w:ascii="宋体" w:hAnsi="宋体" w:eastAsia="宋体" w:cs="仿宋"/>
          <w:b/>
          <w:color w:val="auto"/>
          <w:sz w:val="24"/>
          <w:highlight w:val="none"/>
          <w:lang w:val="en-US" w:eastAsia="zh-CN"/>
        </w:rPr>
        <w:t>二、</w:t>
      </w:r>
      <w:r>
        <w:rPr>
          <w:rFonts w:hint="eastAsia" w:ascii="宋体" w:hAnsi="宋体" w:eastAsia="宋体" w:cs="仿宋"/>
          <w:b/>
          <w:color w:val="auto"/>
          <w:sz w:val="24"/>
          <w:highlight w:val="none"/>
        </w:rPr>
        <w:t xml:space="preserve"> 质量要求：</w:t>
      </w:r>
      <w:bookmarkEnd w:id="20"/>
      <w:r>
        <w:rPr>
          <w:rFonts w:hint="eastAsia" w:ascii="宋体" w:hAnsi="宋体" w:eastAsia="宋体" w:cs="仿宋"/>
          <w:color w:val="auto"/>
          <w:sz w:val="24"/>
          <w:szCs w:val="28"/>
          <w:highlight w:val="none"/>
        </w:rPr>
        <w:t>满足</w:t>
      </w:r>
      <w:r>
        <w:rPr>
          <w:rFonts w:hint="eastAsia" w:ascii="宋体" w:hAnsi="宋体" w:eastAsia="宋体" w:cs="仿宋"/>
          <w:color w:val="auto"/>
          <w:sz w:val="24"/>
          <w:szCs w:val="28"/>
          <w:highlight w:val="none"/>
          <w:lang w:val="en-US" w:eastAsia="zh-CN"/>
        </w:rPr>
        <w:t>交易发起人</w:t>
      </w:r>
      <w:r>
        <w:rPr>
          <w:rFonts w:hint="eastAsia" w:ascii="宋体" w:hAnsi="宋体" w:eastAsia="宋体" w:cs="仿宋"/>
          <w:color w:val="auto"/>
          <w:sz w:val="24"/>
          <w:szCs w:val="28"/>
          <w:highlight w:val="none"/>
        </w:rPr>
        <w:t>要求</w:t>
      </w:r>
      <w:r>
        <w:rPr>
          <w:rFonts w:hint="eastAsia" w:ascii="宋体" w:hAnsi="宋体" w:eastAsia="宋体" w:cs="仿宋"/>
          <w:color w:val="auto"/>
          <w:sz w:val="24"/>
          <w:szCs w:val="28"/>
          <w:highlight w:val="none"/>
          <w:lang w:eastAsia="zh-CN"/>
        </w:rPr>
        <w:t>。</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仿宋"/>
          <w:b/>
          <w:color w:val="auto"/>
          <w:sz w:val="24"/>
          <w:highlight w:val="none"/>
        </w:rPr>
      </w:pPr>
      <w:bookmarkStart w:id="21" w:name="_Toc276765286"/>
      <w:r>
        <w:rPr>
          <w:rFonts w:hint="eastAsia" w:ascii="宋体" w:hAnsi="宋体" w:eastAsia="宋体" w:cs="仿宋"/>
          <w:b/>
          <w:color w:val="auto"/>
          <w:sz w:val="24"/>
          <w:highlight w:val="none"/>
          <w:lang w:val="en-US" w:eastAsia="zh-CN"/>
        </w:rPr>
        <w:t>三、</w:t>
      </w:r>
      <w:r>
        <w:rPr>
          <w:rFonts w:hint="eastAsia" w:ascii="宋体" w:hAnsi="宋体" w:eastAsia="宋体" w:cs="仿宋"/>
          <w:b/>
          <w:color w:val="auto"/>
          <w:sz w:val="24"/>
          <w:highlight w:val="none"/>
        </w:rPr>
        <w:t>其他要求：</w:t>
      </w:r>
      <w:bookmarkEnd w:id="21"/>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仿宋"/>
          <w:color w:val="auto"/>
          <w:sz w:val="24"/>
          <w:szCs w:val="28"/>
          <w:highlight w:val="none"/>
        </w:rPr>
      </w:pPr>
      <w:r>
        <w:rPr>
          <w:rFonts w:hint="eastAsia" w:ascii="宋体" w:hAnsi="宋体" w:eastAsia="宋体" w:cs="仿宋"/>
          <w:color w:val="auto"/>
          <w:sz w:val="24"/>
          <w:szCs w:val="28"/>
          <w:highlight w:val="none"/>
        </w:rPr>
        <w:t>1. 成交单位必须根据项目情况有针对性的组建专门工作小组</w:t>
      </w:r>
      <w:r>
        <w:rPr>
          <w:rFonts w:hint="eastAsia" w:ascii="宋体" w:hAnsi="宋体" w:cs="仿宋"/>
          <w:color w:val="auto"/>
          <w:sz w:val="24"/>
          <w:szCs w:val="28"/>
          <w:highlight w:val="none"/>
          <w:lang w:eastAsia="zh-CN"/>
        </w:rPr>
        <w:t>（</w:t>
      </w:r>
      <w:r>
        <w:rPr>
          <w:rFonts w:hint="eastAsia" w:ascii="宋体" w:hAnsi="宋体" w:cs="仿宋"/>
          <w:color w:val="auto"/>
          <w:sz w:val="24"/>
          <w:szCs w:val="28"/>
          <w:highlight w:val="none"/>
          <w:lang w:val="en-US" w:eastAsia="zh-CN"/>
        </w:rPr>
        <w:t>1位项目负责人、5位组员）</w:t>
      </w:r>
      <w:r>
        <w:rPr>
          <w:rFonts w:hint="eastAsia" w:ascii="宋体" w:hAnsi="宋体" w:eastAsia="宋体" w:cs="仿宋"/>
          <w:color w:val="auto"/>
          <w:sz w:val="24"/>
          <w:szCs w:val="28"/>
          <w:highlight w:val="none"/>
        </w:rPr>
        <w:t>，认真制定工作的进度计划，认真完成各事项。工作小组按规定配备相应专业资格的服务人员，并在方案中予以明确，提供工作小组人员情况表。</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仿宋"/>
          <w:color w:val="auto"/>
          <w:sz w:val="24"/>
          <w:szCs w:val="28"/>
          <w:highlight w:val="none"/>
        </w:rPr>
      </w:pPr>
      <w:r>
        <w:rPr>
          <w:rFonts w:hint="eastAsia" w:ascii="宋体" w:hAnsi="宋体" w:eastAsia="宋体" w:cs="仿宋"/>
          <w:color w:val="auto"/>
          <w:sz w:val="24"/>
          <w:szCs w:val="28"/>
          <w:highlight w:val="none"/>
        </w:rPr>
        <w:t>2. 做好相关法律、法规及规章的解释工作。依据委托合同维护</w:t>
      </w:r>
      <w:r>
        <w:rPr>
          <w:rFonts w:hint="eastAsia" w:ascii="宋体" w:hAnsi="宋体" w:eastAsia="宋体" w:cs="仿宋"/>
          <w:color w:val="auto"/>
          <w:sz w:val="24"/>
          <w:szCs w:val="28"/>
          <w:highlight w:val="none"/>
          <w:lang w:eastAsia="zh-CN"/>
        </w:rPr>
        <w:t>采购人</w:t>
      </w:r>
      <w:r>
        <w:rPr>
          <w:rFonts w:hint="eastAsia" w:ascii="宋体" w:hAnsi="宋体" w:eastAsia="宋体" w:cs="仿宋"/>
          <w:color w:val="auto"/>
          <w:sz w:val="24"/>
          <w:szCs w:val="28"/>
          <w:highlight w:val="none"/>
        </w:rPr>
        <w:t>的合法权益，对服务事项内应当保密的内容保守秘密。</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仿宋"/>
          <w:color w:val="auto"/>
          <w:sz w:val="24"/>
          <w:szCs w:val="28"/>
          <w:highlight w:val="none"/>
        </w:rPr>
      </w:pPr>
      <w:r>
        <w:rPr>
          <w:rFonts w:hint="eastAsia" w:ascii="宋体" w:hAnsi="宋体" w:eastAsia="宋体" w:cs="仿宋"/>
          <w:color w:val="auto"/>
          <w:sz w:val="24"/>
          <w:szCs w:val="28"/>
          <w:highlight w:val="none"/>
        </w:rPr>
        <w:t>3．项目负责人应具有较强的协调沟通能力，具有较强的工作责任感和敬业精神。</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仿宋"/>
          <w:color w:val="auto"/>
          <w:sz w:val="24"/>
          <w:szCs w:val="28"/>
          <w:highlight w:val="none"/>
        </w:rPr>
      </w:pPr>
      <w:r>
        <w:rPr>
          <w:rFonts w:hint="eastAsia" w:ascii="宋体" w:hAnsi="宋体" w:eastAsia="宋体" w:cs="仿宋"/>
          <w:color w:val="auto"/>
          <w:sz w:val="24"/>
          <w:szCs w:val="28"/>
          <w:highlight w:val="none"/>
        </w:rPr>
        <w:t>4. 提供工作实施方案：具有符合性、合理性、可操作性、内控制度、风险保障措施。对所有工作保证在规定的标准期限内完成，包括工作计划（如何保证在规定期限内完成，包括时间和资源安排），如何投入人员，控制方案、争议解决机制、以及服务过程中遇到的特别需要</w:t>
      </w:r>
      <w:r>
        <w:rPr>
          <w:rFonts w:hint="eastAsia" w:ascii="宋体" w:hAnsi="宋体" w:eastAsia="宋体" w:cs="仿宋"/>
          <w:color w:val="auto"/>
          <w:sz w:val="24"/>
          <w:szCs w:val="28"/>
          <w:highlight w:val="none"/>
          <w:lang w:eastAsia="zh-CN"/>
        </w:rPr>
        <w:t>采购人</w:t>
      </w:r>
      <w:r>
        <w:rPr>
          <w:rFonts w:hint="eastAsia" w:ascii="宋体" w:hAnsi="宋体" w:eastAsia="宋体" w:cs="仿宋"/>
          <w:color w:val="auto"/>
          <w:sz w:val="24"/>
          <w:szCs w:val="28"/>
          <w:highlight w:val="none"/>
        </w:rPr>
        <w:t>协调的事项和原因及解决方案等。</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仿宋"/>
          <w:color w:val="auto"/>
          <w:sz w:val="24"/>
          <w:szCs w:val="28"/>
          <w:highlight w:val="none"/>
        </w:rPr>
      </w:pPr>
      <w:r>
        <w:rPr>
          <w:rFonts w:hint="eastAsia" w:ascii="宋体" w:hAnsi="宋体" w:eastAsia="宋体" w:cs="仿宋"/>
          <w:color w:val="auto"/>
          <w:sz w:val="24"/>
          <w:szCs w:val="28"/>
          <w:highlight w:val="none"/>
        </w:rPr>
        <w:t>5. 提供质量保证措施：质量内控体系的建立情况、质量管理制度的建设情况以及内控制度健全有效性自我评价及其他能证明质量管理健全有效的材料。</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仿宋"/>
          <w:color w:val="auto"/>
          <w:sz w:val="24"/>
          <w:szCs w:val="28"/>
          <w:highlight w:val="none"/>
        </w:rPr>
      </w:pPr>
      <w:r>
        <w:rPr>
          <w:rFonts w:hint="eastAsia" w:ascii="宋体" w:hAnsi="宋体" w:eastAsia="宋体" w:cs="仿宋"/>
          <w:color w:val="auto"/>
          <w:sz w:val="24"/>
          <w:szCs w:val="28"/>
          <w:highlight w:val="none"/>
        </w:rPr>
        <w:t>6. 提供相关服务人员工作守则及廉政措施。</w:t>
      </w:r>
    </w:p>
    <w:p>
      <w:pPr>
        <w:keepNext w:val="0"/>
        <w:keepLines w:val="0"/>
        <w:pageBreakBefore w:val="0"/>
        <w:kinsoku/>
        <w:wordWrap/>
        <w:overflowPunct/>
        <w:topLinePunct w:val="0"/>
        <w:autoSpaceDE/>
        <w:autoSpaceDN/>
        <w:bidi w:val="0"/>
        <w:snapToGrid/>
        <w:spacing w:line="360" w:lineRule="auto"/>
        <w:ind w:right="31" w:rightChars="15"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1.2 主要</w:t>
      </w:r>
      <w:r>
        <w:rPr>
          <w:rFonts w:ascii="宋体" w:hAnsi="宋体" w:cs="宋体"/>
          <w:b/>
          <w:color w:val="auto"/>
          <w:sz w:val="24"/>
          <w:highlight w:val="none"/>
        </w:rPr>
        <w:t>技术内容</w:t>
      </w:r>
    </w:p>
    <w:p>
      <w:pPr>
        <w:keepNext w:val="0"/>
        <w:keepLines w:val="0"/>
        <w:pageBreakBefore w:val="0"/>
        <w:kinsoku/>
        <w:wordWrap/>
        <w:overflowPunct/>
        <w:topLinePunct w:val="0"/>
        <w:autoSpaceDE/>
        <w:autoSpaceDN/>
        <w:bidi w:val="0"/>
        <w:snapToGrid/>
        <w:spacing w:line="360" w:lineRule="auto"/>
        <w:ind w:right="31" w:rightChars="15"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1.2.1 规划</w:t>
      </w:r>
      <w:r>
        <w:rPr>
          <w:rFonts w:ascii="宋体" w:hAnsi="宋体" w:cs="宋体"/>
          <w:b/>
          <w:color w:val="auto"/>
          <w:sz w:val="24"/>
          <w:highlight w:val="none"/>
        </w:rPr>
        <w:t>研究</w:t>
      </w:r>
    </w:p>
    <w:p>
      <w:pPr>
        <w:keepNext w:val="0"/>
        <w:keepLines w:val="0"/>
        <w:pageBreakBefore w:val="0"/>
        <w:kinsoku/>
        <w:wordWrap/>
        <w:overflowPunct/>
        <w:topLinePunct w:val="0"/>
        <w:autoSpaceDE/>
        <w:autoSpaceDN/>
        <w:bidi w:val="0"/>
        <w:snapToGrid/>
        <w:spacing w:line="360" w:lineRule="auto"/>
        <w:ind w:right="31" w:rightChars="15"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结合规划研究</w:t>
      </w:r>
      <w:r>
        <w:rPr>
          <w:rFonts w:ascii="宋体" w:hAnsi="宋体" w:cs="宋体"/>
          <w:color w:val="auto"/>
          <w:sz w:val="24"/>
          <w:highlight w:val="none"/>
        </w:rPr>
        <w:t>范围内的</w:t>
      </w:r>
      <w:r>
        <w:rPr>
          <w:rFonts w:hint="eastAsia" w:ascii="宋体" w:hAnsi="宋体" w:cs="宋体"/>
          <w:color w:val="auto"/>
          <w:sz w:val="24"/>
          <w:highlight w:val="none"/>
        </w:rPr>
        <w:t>自然地理环境与</w:t>
      </w:r>
      <w:r>
        <w:rPr>
          <w:rFonts w:ascii="宋体" w:hAnsi="宋体" w:cs="宋体"/>
          <w:color w:val="auto"/>
          <w:sz w:val="24"/>
          <w:highlight w:val="none"/>
        </w:rPr>
        <w:t>现有</w:t>
      </w:r>
      <w:r>
        <w:rPr>
          <w:rFonts w:hint="eastAsia" w:ascii="宋体" w:hAnsi="宋体" w:cs="宋体"/>
          <w:color w:val="auto"/>
          <w:sz w:val="24"/>
          <w:highlight w:val="none"/>
        </w:rPr>
        <w:t>建设条件，综合考虑城市开发</w:t>
      </w:r>
      <w:r>
        <w:rPr>
          <w:rFonts w:ascii="宋体" w:hAnsi="宋体" w:cs="宋体"/>
          <w:color w:val="auto"/>
          <w:sz w:val="24"/>
          <w:highlight w:val="none"/>
        </w:rPr>
        <w:t>边界、</w:t>
      </w:r>
      <w:r>
        <w:rPr>
          <w:rFonts w:hint="eastAsia" w:ascii="宋体" w:hAnsi="宋体" w:cs="宋体"/>
          <w:color w:val="auto"/>
          <w:sz w:val="24"/>
          <w:highlight w:val="none"/>
        </w:rPr>
        <w:t>国土</w:t>
      </w:r>
      <w:r>
        <w:rPr>
          <w:rFonts w:ascii="宋体" w:hAnsi="宋体" w:cs="宋体"/>
          <w:color w:val="auto"/>
          <w:sz w:val="24"/>
          <w:highlight w:val="none"/>
        </w:rPr>
        <w:t>空间规划、</w:t>
      </w:r>
      <w:r>
        <w:rPr>
          <w:rFonts w:hint="eastAsia" w:ascii="宋体" w:hAnsi="宋体" w:cs="宋体"/>
          <w:color w:val="auto"/>
          <w:sz w:val="24"/>
          <w:highlight w:val="none"/>
        </w:rPr>
        <w:t>城市设计</w:t>
      </w:r>
      <w:r>
        <w:rPr>
          <w:rFonts w:ascii="宋体" w:hAnsi="宋体" w:cs="宋体"/>
          <w:color w:val="auto"/>
          <w:sz w:val="24"/>
          <w:highlight w:val="none"/>
        </w:rPr>
        <w:t>及建筑方案等上位规划及相关规划的</w:t>
      </w:r>
      <w:r>
        <w:rPr>
          <w:rFonts w:hint="eastAsia" w:ascii="宋体" w:hAnsi="宋体" w:cs="宋体"/>
          <w:color w:val="auto"/>
          <w:sz w:val="24"/>
          <w:highlight w:val="none"/>
        </w:rPr>
        <w:t>叠合评估，对</w:t>
      </w:r>
      <w:r>
        <w:rPr>
          <w:rFonts w:ascii="宋体" w:hAnsi="宋体" w:cs="宋体"/>
          <w:color w:val="auto"/>
          <w:sz w:val="24"/>
          <w:highlight w:val="none"/>
        </w:rPr>
        <w:t>规划范围内的用地进行规划研究</w:t>
      </w:r>
      <w:r>
        <w:rPr>
          <w:rFonts w:hint="eastAsia" w:ascii="宋体" w:hAnsi="宋体" w:cs="宋体"/>
          <w:color w:val="auto"/>
          <w:sz w:val="24"/>
          <w:highlight w:val="none"/>
        </w:rPr>
        <w:t>。通过整合</w:t>
      </w:r>
      <w:r>
        <w:rPr>
          <w:rFonts w:ascii="宋体" w:hAnsi="宋体" w:cs="宋体"/>
          <w:color w:val="auto"/>
          <w:sz w:val="24"/>
          <w:highlight w:val="none"/>
        </w:rPr>
        <w:t>空间布局，优化用地结构，完善功能配套，</w:t>
      </w:r>
      <w:r>
        <w:rPr>
          <w:rFonts w:hint="eastAsia" w:ascii="宋体" w:hAnsi="宋体" w:cs="宋体"/>
          <w:color w:val="auto"/>
          <w:sz w:val="24"/>
          <w:highlight w:val="none"/>
        </w:rPr>
        <w:t>明确</w:t>
      </w:r>
      <w:r>
        <w:rPr>
          <w:rFonts w:ascii="宋体" w:hAnsi="宋体" w:cs="宋体"/>
          <w:color w:val="auto"/>
          <w:sz w:val="24"/>
          <w:highlight w:val="none"/>
        </w:rPr>
        <w:t>开发规模，</w:t>
      </w:r>
      <w:r>
        <w:rPr>
          <w:rFonts w:hint="eastAsia" w:ascii="宋体" w:hAnsi="宋体" w:cs="宋体"/>
          <w:color w:val="auto"/>
          <w:sz w:val="24"/>
          <w:highlight w:val="none"/>
        </w:rPr>
        <w:t>为具体</w:t>
      </w:r>
      <w:r>
        <w:rPr>
          <w:rFonts w:ascii="宋体" w:hAnsi="宋体" w:cs="宋体"/>
          <w:color w:val="auto"/>
          <w:sz w:val="24"/>
          <w:highlight w:val="none"/>
        </w:rPr>
        <w:t>地块的选址论证及控规局部调整提供规划基础。</w:t>
      </w:r>
    </w:p>
    <w:p>
      <w:pPr>
        <w:keepNext w:val="0"/>
        <w:keepLines w:val="0"/>
        <w:pageBreakBefore w:val="0"/>
        <w:kinsoku/>
        <w:wordWrap/>
        <w:overflowPunct/>
        <w:topLinePunct w:val="0"/>
        <w:autoSpaceDE/>
        <w:autoSpaceDN/>
        <w:bidi w:val="0"/>
        <w:snapToGrid/>
        <w:spacing w:line="360" w:lineRule="auto"/>
        <w:ind w:right="31" w:rightChars="15" w:firstLine="482" w:firstLineChars="200"/>
        <w:textAlignment w:val="auto"/>
        <w:rPr>
          <w:rFonts w:ascii="宋体" w:hAnsi="宋体" w:cs="宋体"/>
          <w:b/>
          <w:color w:val="auto"/>
          <w:sz w:val="24"/>
          <w:highlight w:val="none"/>
        </w:rPr>
      </w:pPr>
      <w:r>
        <w:rPr>
          <w:rFonts w:ascii="宋体" w:hAnsi="宋体" w:cs="宋体"/>
          <w:b/>
          <w:color w:val="auto"/>
          <w:sz w:val="24"/>
          <w:highlight w:val="none"/>
        </w:rPr>
        <w:t xml:space="preserve">1.2.2 </w:t>
      </w:r>
      <w:r>
        <w:rPr>
          <w:rFonts w:hint="eastAsia" w:ascii="宋体" w:hAnsi="宋体" w:cs="宋体"/>
          <w:b/>
          <w:color w:val="auto"/>
          <w:sz w:val="24"/>
          <w:highlight w:val="none"/>
        </w:rPr>
        <w:t>选址</w:t>
      </w:r>
      <w:r>
        <w:rPr>
          <w:rFonts w:ascii="宋体" w:hAnsi="宋体" w:cs="宋体"/>
          <w:b/>
          <w:color w:val="auto"/>
          <w:sz w:val="24"/>
          <w:highlight w:val="none"/>
        </w:rPr>
        <w:t>论证暨控规调整</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结合用地</w:t>
      </w:r>
      <w:r>
        <w:rPr>
          <w:rFonts w:ascii="宋体" w:hAnsi="宋体" w:cs="宋体"/>
          <w:color w:val="auto"/>
          <w:sz w:val="24"/>
          <w:highlight w:val="none"/>
        </w:rPr>
        <w:t>规划研究、片区城市设计及</w:t>
      </w:r>
      <w:r>
        <w:rPr>
          <w:rFonts w:hint="eastAsia" w:ascii="宋体" w:hAnsi="宋体" w:cs="宋体"/>
          <w:color w:val="auto"/>
          <w:sz w:val="24"/>
          <w:highlight w:val="none"/>
        </w:rPr>
        <w:t>车辆</w:t>
      </w:r>
      <w:r>
        <w:rPr>
          <w:rFonts w:ascii="宋体" w:hAnsi="宋体" w:cs="宋体"/>
          <w:color w:val="auto"/>
          <w:sz w:val="24"/>
          <w:highlight w:val="none"/>
        </w:rPr>
        <w:t>段盖上地块建筑方案，对地块的选址论证研究。</w:t>
      </w:r>
      <w:r>
        <w:rPr>
          <w:rFonts w:hint="eastAsia" w:ascii="宋体" w:hAnsi="宋体" w:cs="宋体"/>
          <w:color w:val="auto"/>
          <w:sz w:val="24"/>
          <w:highlight w:val="none"/>
        </w:rPr>
        <w:t>主要考虑规划</w:t>
      </w:r>
      <w:r>
        <w:rPr>
          <w:rFonts w:ascii="宋体" w:hAnsi="宋体" w:cs="宋体"/>
          <w:color w:val="auto"/>
          <w:sz w:val="24"/>
          <w:highlight w:val="none"/>
        </w:rPr>
        <w:t>范围</w:t>
      </w:r>
      <w:r>
        <w:rPr>
          <w:rFonts w:hint="eastAsia" w:ascii="宋体" w:hAnsi="宋体" w:cs="宋体"/>
          <w:color w:val="auto"/>
          <w:sz w:val="24"/>
          <w:highlight w:val="none"/>
        </w:rPr>
        <w:t>周边相关影响因素及相关技术规范要求，通过对现状用地、建设情况以及上位规划</w:t>
      </w:r>
      <w:r>
        <w:rPr>
          <w:rFonts w:ascii="宋体" w:hAnsi="宋体" w:cs="宋体"/>
          <w:color w:val="auto"/>
          <w:sz w:val="24"/>
          <w:highlight w:val="none"/>
        </w:rPr>
        <w:t>及相关规划的</w:t>
      </w:r>
      <w:r>
        <w:rPr>
          <w:rFonts w:hint="eastAsia" w:ascii="宋体" w:hAnsi="宋体" w:cs="宋体"/>
          <w:color w:val="auto"/>
          <w:sz w:val="24"/>
          <w:highlight w:val="none"/>
        </w:rPr>
        <w:t>分析，</w:t>
      </w:r>
      <w:r>
        <w:rPr>
          <w:rFonts w:ascii="宋体" w:hAnsi="宋体" w:cs="宋体"/>
          <w:color w:val="auto"/>
          <w:sz w:val="24"/>
          <w:highlight w:val="none"/>
        </w:rPr>
        <w:t>并</w:t>
      </w:r>
      <w:r>
        <w:rPr>
          <w:rFonts w:hint="eastAsia" w:ascii="宋体" w:hAnsi="宋体" w:cs="宋体"/>
          <w:color w:val="auto"/>
          <w:sz w:val="24"/>
          <w:highlight w:val="none"/>
        </w:rPr>
        <w:t>依据相关规范要求对拟调整地块的规划指标进行论证，通过用地功能、交通组织、日照影响、三维景观等方面综合分析，进行总平布置和相应的规划指标论证，提出规划设计条件建议，</w:t>
      </w:r>
      <w:r>
        <w:rPr>
          <w:rFonts w:ascii="宋体" w:hAnsi="宋体" w:cs="宋体"/>
          <w:color w:val="auto"/>
          <w:sz w:val="24"/>
          <w:highlight w:val="none"/>
        </w:rPr>
        <w:t>并提出</w:t>
      </w:r>
      <w:r>
        <w:rPr>
          <w:rFonts w:hint="eastAsia" w:ascii="宋体" w:hAnsi="宋体" w:cs="宋体"/>
          <w:color w:val="auto"/>
          <w:sz w:val="24"/>
          <w:highlight w:val="none"/>
        </w:rPr>
        <w:t>控规</w:t>
      </w:r>
      <w:r>
        <w:rPr>
          <w:rFonts w:ascii="宋体" w:hAnsi="宋体" w:cs="宋体"/>
          <w:color w:val="auto"/>
          <w:sz w:val="24"/>
          <w:highlight w:val="none"/>
        </w:rPr>
        <w:t>用地</w:t>
      </w:r>
      <w:r>
        <w:rPr>
          <w:rFonts w:hint="eastAsia" w:ascii="宋体" w:hAnsi="宋体" w:cs="宋体"/>
          <w:color w:val="auto"/>
          <w:sz w:val="24"/>
          <w:highlight w:val="none"/>
        </w:rPr>
        <w:t>局部</w:t>
      </w:r>
      <w:r>
        <w:rPr>
          <w:rFonts w:ascii="宋体" w:hAnsi="宋体" w:cs="宋体"/>
          <w:color w:val="auto"/>
          <w:sz w:val="24"/>
          <w:highlight w:val="none"/>
        </w:rPr>
        <w:t>调整的合理建议</w:t>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snapToGrid/>
        <w:spacing w:line="360" w:lineRule="auto"/>
        <w:ind w:right="31" w:rightChars="15" w:firstLine="482" w:firstLineChars="200"/>
        <w:textAlignment w:val="auto"/>
        <w:rPr>
          <w:rFonts w:ascii="宋体" w:hAnsi="宋体" w:cs="宋体"/>
          <w:b/>
          <w:color w:val="auto"/>
          <w:sz w:val="24"/>
          <w:highlight w:val="none"/>
        </w:rPr>
      </w:pPr>
      <w:r>
        <w:rPr>
          <w:rFonts w:ascii="宋体" w:hAnsi="宋体" w:cs="宋体"/>
          <w:b/>
          <w:color w:val="auto"/>
          <w:sz w:val="24"/>
          <w:highlight w:val="none"/>
        </w:rPr>
        <w:t xml:space="preserve">1.2.3 </w:t>
      </w:r>
      <w:r>
        <w:rPr>
          <w:rFonts w:hint="eastAsia" w:ascii="宋体" w:hAnsi="宋体" w:cs="宋体"/>
          <w:b/>
          <w:color w:val="auto"/>
          <w:sz w:val="24"/>
          <w:highlight w:val="none"/>
        </w:rPr>
        <w:t>交通影响分析</w:t>
      </w:r>
    </w:p>
    <w:p>
      <w:pPr>
        <w:pStyle w:val="54"/>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根据拟调整</w:t>
      </w:r>
      <w:r>
        <w:rPr>
          <w:rFonts w:ascii="宋体" w:hAnsi="宋体" w:cs="宋体"/>
          <w:color w:val="auto"/>
          <w:szCs w:val="24"/>
          <w:highlight w:val="none"/>
        </w:rPr>
        <w:t>地块</w:t>
      </w:r>
      <w:r>
        <w:rPr>
          <w:rFonts w:hint="eastAsia" w:ascii="宋体" w:hAnsi="宋体" w:cs="宋体"/>
          <w:color w:val="auto"/>
          <w:szCs w:val="24"/>
          <w:highlight w:val="none"/>
        </w:rPr>
        <w:t>的地理位置、用地规模、建筑规模、周边路网容量需求以及周边道路网的情况，对本项目进行交通影响分析。分析评价设计总图的出入口位置、交通组织、停车泊位的安排及流向，分析项目开发规模，并提出结论和建议，作为后续设计参考。</w:t>
      </w:r>
    </w:p>
    <w:p>
      <w:pPr>
        <w:keepNext w:val="0"/>
        <w:keepLines w:val="0"/>
        <w:pageBreakBefore w:val="0"/>
        <w:kinsoku/>
        <w:wordWrap/>
        <w:overflowPunct/>
        <w:topLinePunct w:val="0"/>
        <w:autoSpaceDE/>
        <w:autoSpaceDN/>
        <w:bidi w:val="0"/>
        <w:snapToGrid/>
        <w:spacing w:line="360" w:lineRule="auto"/>
        <w:ind w:right="31" w:rightChars="15" w:firstLine="482" w:firstLineChars="200"/>
        <w:textAlignment w:val="auto"/>
        <w:rPr>
          <w:rFonts w:ascii="宋体" w:hAnsi="宋体" w:cs="宋体"/>
          <w:b/>
          <w:color w:val="auto"/>
          <w:sz w:val="24"/>
          <w:highlight w:val="none"/>
        </w:rPr>
      </w:pPr>
      <w:r>
        <w:rPr>
          <w:rFonts w:ascii="宋体" w:hAnsi="宋体" w:cs="宋体"/>
          <w:b/>
          <w:color w:val="auto"/>
          <w:sz w:val="24"/>
          <w:highlight w:val="none"/>
        </w:rPr>
        <w:t xml:space="preserve">1.2.4 </w:t>
      </w:r>
      <w:r>
        <w:rPr>
          <w:rFonts w:hint="eastAsia" w:ascii="宋体" w:hAnsi="宋体" w:cs="宋体"/>
          <w:b/>
          <w:color w:val="auto"/>
          <w:sz w:val="24"/>
          <w:highlight w:val="none"/>
        </w:rPr>
        <w:t>日照影响</w:t>
      </w:r>
      <w:r>
        <w:rPr>
          <w:rFonts w:ascii="宋体" w:hAnsi="宋体" w:cs="宋体"/>
          <w:b/>
          <w:color w:val="auto"/>
          <w:sz w:val="24"/>
          <w:highlight w:val="none"/>
        </w:rPr>
        <w:t>分析</w:t>
      </w:r>
    </w:p>
    <w:p>
      <w:pPr>
        <w:keepNext w:val="0"/>
        <w:keepLines w:val="0"/>
        <w:pageBreakBefore w:val="0"/>
        <w:kinsoku/>
        <w:wordWrap/>
        <w:overflowPunct/>
        <w:topLinePunct w:val="0"/>
        <w:autoSpaceDE/>
        <w:autoSpaceDN/>
        <w:bidi w:val="0"/>
        <w:snapToGrid/>
        <w:spacing w:line="360" w:lineRule="auto"/>
        <w:ind w:right="31" w:rightChars="15"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根据</w:t>
      </w:r>
      <w:r>
        <w:rPr>
          <w:rFonts w:ascii="宋体" w:hAnsi="宋体" w:cs="宋体"/>
          <w:color w:val="auto"/>
          <w:sz w:val="24"/>
          <w:highlight w:val="none"/>
        </w:rPr>
        <w:t>相关</w:t>
      </w:r>
      <w:r>
        <w:rPr>
          <w:rFonts w:hint="eastAsia" w:ascii="宋体" w:hAnsi="宋体" w:cs="宋体"/>
          <w:color w:val="auto"/>
          <w:sz w:val="24"/>
          <w:highlight w:val="none"/>
        </w:rPr>
        <w:t>要求</w:t>
      </w:r>
      <w:r>
        <w:rPr>
          <w:rFonts w:ascii="宋体" w:hAnsi="宋体" w:cs="宋体"/>
          <w:color w:val="auto"/>
          <w:sz w:val="24"/>
          <w:highlight w:val="none"/>
        </w:rPr>
        <w:t>，对拟调整</w:t>
      </w:r>
      <w:r>
        <w:rPr>
          <w:rFonts w:hint="eastAsia" w:ascii="宋体" w:hAnsi="宋体" w:cs="宋体"/>
          <w:color w:val="auto"/>
          <w:sz w:val="24"/>
          <w:highlight w:val="none"/>
        </w:rPr>
        <w:t>地块选址</w:t>
      </w:r>
      <w:r>
        <w:rPr>
          <w:rFonts w:ascii="宋体" w:hAnsi="宋体" w:cs="宋体"/>
          <w:color w:val="auto"/>
          <w:sz w:val="24"/>
          <w:highlight w:val="none"/>
        </w:rPr>
        <w:t>论证方案进行日照分析。</w:t>
      </w:r>
    </w:p>
    <w:p>
      <w:pPr>
        <w:keepNext w:val="0"/>
        <w:keepLines w:val="0"/>
        <w:pageBreakBefore w:val="0"/>
        <w:kinsoku/>
        <w:wordWrap/>
        <w:overflowPunct/>
        <w:topLinePunct w:val="0"/>
        <w:autoSpaceDE/>
        <w:autoSpaceDN/>
        <w:bidi w:val="0"/>
        <w:snapToGrid/>
        <w:spacing w:line="360" w:lineRule="auto"/>
        <w:ind w:right="31" w:rightChars="15" w:firstLine="482" w:firstLineChars="200"/>
        <w:textAlignment w:val="auto"/>
        <w:rPr>
          <w:rFonts w:hint="default" w:ascii="宋体" w:hAnsi="宋体" w:eastAsia="宋体" w:cs="宋体"/>
          <w:b/>
          <w:color w:val="auto"/>
          <w:sz w:val="24"/>
          <w:highlight w:val="none"/>
          <w:lang w:val="en-US" w:eastAsia="zh-CN"/>
        </w:rPr>
      </w:pPr>
      <w:r>
        <w:rPr>
          <w:rFonts w:ascii="宋体" w:hAnsi="宋体" w:cs="宋体"/>
          <w:b/>
          <w:color w:val="auto"/>
          <w:sz w:val="24"/>
          <w:highlight w:val="none"/>
        </w:rPr>
        <w:t xml:space="preserve">1.2.5 </w:t>
      </w:r>
      <w:r>
        <w:rPr>
          <w:rFonts w:hint="eastAsia" w:ascii="宋体" w:hAnsi="宋体" w:cs="宋体"/>
          <w:b/>
          <w:color w:val="auto"/>
          <w:sz w:val="24"/>
          <w:highlight w:val="none"/>
        </w:rPr>
        <w:t>三维景观</w:t>
      </w:r>
      <w:r>
        <w:rPr>
          <w:rFonts w:ascii="宋体" w:hAnsi="宋体" w:cs="宋体"/>
          <w:b/>
          <w:color w:val="auto"/>
          <w:sz w:val="24"/>
          <w:highlight w:val="none"/>
        </w:rPr>
        <w:t>分析</w:t>
      </w:r>
    </w:p>
    <w:p>
      <w:pPr>
        <w:pStyle w:val="54"/>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szCs w:val="24"/>
          <w:highlight w:val="none"/>
        </w:rPr>
      </w:pPr>
      <w:r>
        <w:rPr>
          <w:rFonts w:hint="eastAsia" w:ascii="宋体" w:hAnsi="宋体" w:cs="宋体"/>
          <w:color w:val="auto"/>
          <w:highlight w:val="none"/>
        </w:rPr>
        <w:t>根据选址论证</w:t>
      </w:r>
      <w:r>
        <w:rPr>
          <w:rFonts w:ascii="宋体" w:hAnsi="宋体" w:cs="宋体"/>
          <w:color w:val="auto"/>
          <w:highlight w:val="none"/>
        </w:rPr>
        <w:t>方案</w:t>
      </w:r>
      <w:r>
        <w:rPr>
          <w:rFonts w:hint="eastAsia" w:ascii="宋体" w:hAnsi="宋体" w:cs="宋体"/>
          <w:color w:val="auto"/>
          <w:highlight w:val="none"/>
        </w:rPr>
        <w:t>的设计资料及相关数据，制作建筑三维数字模型，置入杭州市城市数字景观模型系统中，模拟分析该建筑物建成后对项目周边的景观影响，提供相应的分</w:t>
      </w:r>
      <w:r>
        <w:rPr>
          <w:rFonts w:hint="eastAsia" w:ascii="宋体" w:hAnsi="宋体" w:cs="宋体"/>
          <w:color w:val="auto"/>
          <w:szCs w:val="24"/>
          <w:highlight w:val="none"/>
        </w:rPr>
        <w:t>析成果和评估意见。</w:t>
      </w:r>
    </w:p>
    <w:p>
      <w:pPr>
        <w:pStyle w:val="54"/>
        <w:keepNext w:val="0"/>
        <w:keepLines w:val="0"/>
        <w:pageBreakBefore w:val="0"/>
        <w:kinsoku/>
        <w:wordWrap/>
        <w:overflowPunct/>
        <w:topLinePunct w:val="0"/>
        <w:autoSpaceDE/>
        <w:autoSpaceDN/>
        <w:bidi w:val="0"/>
        <w:snapToGrid/>
        <w:spacing w:line="360" w:lineRule="auto"/>
        <w:ind w:firstLine="482" w:firstLineChars="200"/>
        <w:textAlignment w:val="auto"/>
        <w:rPr>
          <w:rFonts w:ascii="宋体" w:hAnsi="宋体" w:cs="宋体"/>
          <w:b/>
          <w:color w:val="auto"/>
          <w:szCs w:val="24"/>
          <w:highlight w:val="none"/>
        </w:rPr>
      </w:pPr>
      <w:r>
        <w:rPr>
          <w:rFonts w:ascii="宋体" w:hAnsi="宋体" w:cs="宋体"/>
          <w:b/>
          <w:color w:val="auto"/>
          <w:szCs w:val="24"/>
          <w:highlight w:val="none"/>
        </w:rPr>
        <w:t>1.2.6</w:t>
      </w:r>
      <w:r>
        <w:rPr>
          <w:rFonts w:hint="eastAsia" w:ascii="宋体" w:hAnsi="宋体" w:cs="宋体"/>
          <w:b/>
          <w:color w:val="auto"/>
          <w:szCs w:val="24"/>
          <w:highlight w:val="none"/>
        </w:rPr>
        <w:t>其他</w:t>
      </w:r>
    </w:p>
    <w:p>
      <w:pPr>
        <w:pStyle w:val="54"/>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若应有关管理部门要求须增加专题论证内容如：城市</w:t>
      </w:r>
      <w:r>
        <w:rPr>
          <w:rFonts w:ascii="宋体" w:hAnsi="宋体" w:cs="宋体"/>
          <w:color w:val="auto"/>
          <w:szCs w:val="24"/>
          <w:highlight w:val="none"/>
        </w:rPr>
        <w:t>设计专篇</w:t>
      </w:r>
      <w:r>
        <w:rPr>
          <w:rFonts w:hint="eastAsia" w:ascii="宋体" w:hAnsi="宋体" w:cs="宋体"/>
          <w:color w:val="auto"/>
          <w:szCs w:val="24"/>
          <w:highlight w:val="none"/>
        </w:rPr>
        <w:t>、市政</w:t>
      </w:r>
      <w:r>
        <w:rPr>
          <w:rFonts w:ascii="宋体" w:hAnsi="宋体" w:cs="宋体"/>
          <w:color w:val="auto"/>
          <w:szCs w:val="24"/>
          <w:highlight w:val="none"/>
        </w:rPr>
        <w:t>专篇、</w:t>
      </w:r>
      <w:r>
        <w:rPr>
          <w:rFonts w:hint="eastAsia" w:ascii="宋体" w:hAnsi="宋体" w:cs="宋体"/>
          <w:color w:val="auto"/>
          <w:szCs w:val="24"/>
          <w:highlight w:val="none"/>
        </w:rPr>
        <w:t>环境影响评价专篇、安全</w:t>
      </w:r>
      <w:r>
        <w:rPr>
          <w:rFonts w:ascii="宋体" w:hAnsi="宋体" w:cs="宋体"/>
          <w:color w:val="auto"/>
          <w:szCs w:val="24"/>
          <w:highlight w:val="none"/>
        </w:rPr>
        <w:t>影响评价专篇、</w:t>
      </w:r>
      <w:r>
        <w:rPr>
          <w:rFonts w:hint="eastAsia" w:ascii="宋体" w:hAnsi="宋体" w:cs="宋体"/>
          <w:color w:val="auto"/>
          <w:szCs w:val="24"/>
          <w:highlight w:val="none"/>
        </w:rPr>
        <w:t>地质灾害评估专篇等，不属于</w:t>
      </w:r>
      <w:r>
        <w:rPr>
          <w:rFonts w:ascii="宋体" w:hAnsi="宋体" w:cs="宋体"/>
          <w:color w:val="auto"/>
          <w:szCs w:val="24"/>
          <w:highlight w:val="none"/>
        </w:rPr>
        <w:t>本次采购内容，</w:t>
      </w:r>
      <w:r>
        <w:rPr>
          <w:rFonts w:hint="eastAsia" w:ascii="宋体" w:hAnsi="宋体" w:cs="宋体"/>
          <w:color w:val="auto"/>
          <w:szCs w:val="24"/>
          <w:highlight w:val="none"/>
        </w:rPr>
        <w:t>需另行委托。</w:t>
      </w:r>
    </w:p>
    <w:p>
      <w:pPr>
        <w:pStyle w:val="54"/>
        <w:keepNext w:val="0"/>
        <w:keepLines w:val="0"/>
        <w:pageBreakBefore w:val="0"/>
        <w:kinsoku/>
        <w:wordWrap/>
        <w:overflowPunct/>
        <w:topLinePunct w:val="0"/>
        <w:autoSpaceDE/>
        <w:autoSpaceDN/>
        <w:bidi w:val="0"/>
        <w:snapToGrid/>
        <w:spacing w:line="360" w:lineRule="auto"/>
        <w:ind w:firstLine="482" w:firstLineChars="200"/>
        <w:textAlignment w:val="auto"/>
        <w:rPr>
          <w:rFonts w:ascii="宋体" w:hAnsi="宋体" w:cs="宋体"/>
          <w:b/>
          <w:color w:val="auto"/>
          <w:szCs w:val="24"/>
          <w:highlight w:val="none"/>
        </w:rPr>
      </w:pPr>
      <w:r>
        <w:rPr>
          <w:rFonts w:hint="eastAsia" w:ascii="宋体" w:hAnsi="宋体" w:cs="宋体"/>
          <w:b/>
          <w:color w:val="auto"/>
          <w:szCs w:val="24"/>
          <w:highlight w:val="none"/>
        </w:rPr>
        <w:t>1.</w:t>
      </w:r>
      <w:r>
        <w:rPr>
          <w:rFonts w:ascii="宋体" w:hAnsi="宋体" w:cs="宋体"/>
          <w:b/>
          <w:color w:val="auto"/>
          <w:szCs w:val="24"/>
          <w:highlight w:val="none"/>
        </w:rPr>
        <w:t>3</w:t>
      </w:r>
      <w:r>
        <w:rPr>
          <w:rFonts w:hint="eastAsia" w:ascii="宋体" w:hAnsi="宋体" w:cs="宋体"/>
          <w:b/>
          <w:color w:val="auto"/>
          <w:szCs w:val="24"/>
          <w:highlight w:val="none"/>
        </w:rPr>
        <w:t xml:space="preserve"> 成果要求</w:t>
      </w:r>
    </w:p>
    <w:p>
      <w:pPr>
        <w:pStyle w:val="54"/>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最终成果应包括：规划说明和图集。</w:t>
      </w:r>
    </w:p>
    <w:p>
      <w:pPr>
        <w:keepNext w:val="0"/>
        <w:keepLines w:val="0"/>
        <w:pageBreakBefore w:val="0"/>
        <w:kinsoku/>
        <w:wordWrap/>
        <w:overflowPunct/>
        <w:topLinePunct w:val="0"/>
        <w:autoSpaceDE/>
        <w:autoSpaceDN/>
        <w:bidi w:val="0"/>
        <w:snapToGrid/>
        <w:spacing w:line="360" w:lineRule="auto"/>
        <w:ind w:right="31" w:rightChars="15" w:firstLine="480" w:firstLineChars="200"/>
        <w:textAlignment w:val="auto"/>
        <w:rPr>
          <w:color w:val="auto"/>
          <w:sz w:val="24"/>
          <w:highlight w:val="none"/>
        </w:rPr>
      </w:pPr>
      <w:r>
        <w:rPr>
          <w:rFonts w:hint="eastAsia" w:ascii="宋体" w:hAnsi="宋体" w:cs="宋体"/>
          <w:color w:val="auto"/>
          <w:sz w:val="24"/>
          <w:highlight w:val="none"/>
        </w:rPr>
        <w:t>规划说明应</w:t>
      </w:r>
      <w:r>
        <w:rPr>
          <w:rFonts w:hint="eastAsia"/>
          <w:color w:val="auto"/>
          <w:sz w:val="24"/>
          <w:highlight w:val="none"/>
        </w:rPr>
        <w:t>反映各项技术经济指标，明确论证结论，</w:t>
      </w:r>
      <w:r>
        <w:rPr>
          <w:color w:val="auto"/>
          <w:sz w:val="24"/>
          <w:highlight w:val="none"/>
        </w:rPr>
        <w:t>并包含交通影响评价、三维景观分析等专篇</w:t>
      </w:r>
      <w:r>
        <w:rPr>
          <w:rFonts w:hint="eastAsia"/>
          <w:color w:val="auto"/>
          <w:sz w:val="24"/>
          <w:highlight w:val="none"/>
        </w:rPr>
        <w:t>。</w:t>
      </w:r>
    </w:p>
    <w:p>
      <w:pPr>
        <w:keepNext w:val="0"/>
        <w:keepLines w:val="0"/>
        <w:pageBreakBefore w:val="0"/>
        <w:kinsoku/>
        <w:wordWrap/>
        <w:overflowPunct/>
        <w:topLinePunct w:val="0"/>
        <w:autoSpaceDE/>
        <w:autoSpaceDN/>
        <w:bidi w:val="0"/>
        <w:snapToGrid/>
        <w:spacing w:line="360" w:lineRule="auto"/>
        <w:ind w:right="31" w:rightChars="15"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图集应包括：总平面</w:t>
      </w:r>
      <w:r>
        <w:rPr>
          <w:rFonts w:ascii="宋体" w:hAnsi="宋体" w:cs="宋体"/>
          <w:color w:val="auto"/>
          <w:sz w:val="24"/>
          <w:highlight w:val="none"/>
        </w:rPr>
        <w:t>图、现状分析图、用地规划图、规划条件图</w:t>
      </w:r>
      <w:r>
        <w:rPr>
          <w:rFonts w:hint="eastAsia" w:ascii="宋体" w:hAnsi="宋体" w:cs="宋体"/>
          <w:color w:val="auto"/>
          <w:sz w:val="24"/>
          <w:highlight w:val="none"/>
        </w:rPr>
        <w:t>以及其他说明规划意图的相关图纸。</w:t>
      </w:r>
    </w:p>
    <w:p>
      <w:pPr>
        <w:keepNext w:val="0"/>
        <w:keepLines w:val="0"/>
        <w:pageBreakBefore w:val="0"/>
        <w:kinsoku/>
        <w:wordWrap/>
        <w:overflowPunct/>
        <w:topLinePunct w:val="0"/>
        <w:autoSpaceDE/>
        <w:autoSpaceDN/>
        <w:bidi w:val="0"/>
        <w:snapToGrid/>
        <w:spacing w:line="360" w:lineRule="auto"/>
        <w:ind w:right="31" w:rightChars="15"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电子文档：包括规划说明电子文档（</w:t>
      </w:r>
      <w:r>
        <w:rPr>
          <w:rFonts w:ascii="宋体" w:hAnsi="宋体" w:cs="宋体"/>
          <w:color w:val="auto"/>
          <w:sz w:val="24"/>
          <w:highlight w:val="none"/>
        </w:rPr>
        <w:t>PDF</w:t>
      </w:r>
      <w:r>
        <w:rPr>
          <w:rFonts w:hint="eastAsia" w:ascii="宋体" w:hAnsi="宋体" w:cs="宋体"/>
          <w:color w:val="auto"/>
          <w:sz w:val="24"/>
          <w:highlight w:val="none"/>
        </w:rPr>
        <w:t>格式）以及规划图纸电子文档（jpg格式）。涉及空间位置的电子文件须以dwg格式提交。</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成果提交要求：中间成果提交</w:t>
      </w:r>
      <w:r>
        <w:rPr>
          <w:rFonts w:ascii="宋体" w:hAnsi="宋体" w:cs="宋体"/>
          <w:color w:val="auto"/>
          <w:sz w:val="24"/>
          <w:highlight w:val="none"/>
        </w:rPr>
        <w:t>3</w:t>
      </w:r>
      <w:r>
        <w:rPr>
          <w:rFonts w:hint="eastAsia" w:ascii="宋体" w:hAnsi="宋体" w:cs="宋体"/>
          <w:color w:val="auto"/>
          <w:sz w:val="24"/>
          <w:highlight w:val="none"/>
        </w:rPr>
        <w:t>套；最终成果提交</w:t>
      </w:r>
      <w:r>
        <w:rPr>
          <w:rFonts w:ascii="宋体" w:hAnsi="宋体" w:cs="宋体"/>
          <w:color w:val="auto"/>
          <w:sz w:val="24"/>
          <w:highlight w:val="none"/>
        </w:rPr>
        <w:t>5</w:t>
      </w:r>
      <w:r>
        <w:rPr>
          <w:rFonts w:hint="eastAsia" w:ascii="宋体" w:hAnsi="宋体" w:cs="宋体"/>
          <w:color w:val="auto"/>
          <w:sz w:val="24"/>
          <w:highlight w:val="none"/>
        </w:rPr>
        <w:t>套，电子文档（光盘）2套（具体数量根据实际需求有所变动）。</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宋体" w:hAnsi="宋体" w:cs="仿宋"/>
          <w:b/>
          <w:color w:val="auto"/>
          <w:sz w:val="24"/>
          <w:highlight w:val="none"/>
        </w:rPr>
      </w:pPr>
      <w:r>
        <w:rPr>
          <w:rFonts w:hint="eastAsia" w:ascii="宋体" w:hAnsi="宋体" w:cs="仿宋"/>
          <w:b/>
          <w:color w:val="auto"/>
          <w:sz w:val="24"/>
          <w:highlight w:val="none"/>
          <w:lang w:val="en-US" w:eastAsia="zh-CN"/>
        </w:rPr>
        <w:t>四</w:t>
      </w:r>
      <w:r>
        <w:rPr>
          <w:rFonts w:hint="eastAsia" w:ascii="宋体" w:hAnsi="宋体" w:cs="仿宋"/>
          <w:b/>
          <w:color w:val="auto"/>
          <w:sz w:val="24"/>
          <w:highlight w:val="none"/>
        </w:rPr>
        <w:t>、服务期</w:t>
      </w:r>
    </w:p>
    <w:p>
      <w:pPr>
        <w:pStyle w:val="62"/>
        <w:keepNext w:val="0"/>
        <w:keepLines w:val="0"/>
        <w:pageBreakBefore w:val="0"/>
        <w:widowControl w:val="0"/>
        <w:kinsoku/>
        <w:wordWrap/>
        <w:overflowPunct/>
        <w:topLinePunct w:val="0"/>
        <w:bidi w:val="0"/>
        <w:adjustRightInd w:val="0"/>
        <w:ind w:firstLine="480" w:firstLineChars="200"/>
        <w:textAlignment w:val="auto"/>
        <w:rPr>
          <w:color w:val="auto"/>
          <w:highlight w:val="none"/>
          <w:lang w:val="en-US"/>
        </w:rPr>
      </w:pPr>
      <w:r>
        <w:rPr>
          <w:rFonts w:hint="eastAsia" w:hAnsi="宋体"/>
          <w:color w:val="auto"/>
          <w:highlight w:val="none"/>
        </w:rPr>
        <w:t>服务期：合同签订后</w:t>
      </w:r>
      <w:r>
        <w:rPr>
          <w:rFonts w:hint="eastAsia" w:hAnsi="宋体"/>
          <w:color w:val="auto"/>
          <w:highlight w:val="none"/>
          <w:lang w:val="en-US" w:eastAsia="zh-CN"/>
        </w:rPr>
        <w:t>1</w:t>
      </w:r>
      <w:r>
        <w:rPr>
          <w:rFonts w:hint="eastAsia" w:hAnsi="宋体"/>
          <w:color w:val="auto"/>
          <w:highlight w:val="none"/>
        </w:rPr>
        <w:t>年。</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宋体" w:hAnsi="宋体" w:cs="仿宋"/>
          <w:b/>
          <w:color w:val="auto"/>
          <w:sz w:val="24"/>
          <w:highlight w:val="none"/>
        </w:rPr>
      </w:pPr>
      <w:r>
        <w:rPr>
          <w:rFonts w:hint="eastAsia" w:ascii="宋体" w:hAnsi="宋体" w:cs="仿宋"/>
          <w:b/>
          <w:color w:val="auto"/>
          <w:sz w:val="24"/>
          <w:highlight w:val="none"/>
          <w:lang w:val="en-US" w:eastAsia="zh-CN"/>
        </w:rPr>
        <w:t>五</w:t>
      </w:r>
      <w:r>
        <w:rPr>
          <w:rFonts w:hint="eastAsia" w:ascii="宋体" w:hAnsi="宋体" w:cs="仿宋"/>
          <w:b/>
          <w:color w:val="auto"/>
          <w:sz w:val="24"/>
          <w:highlight w:val="none"/>
        </w:rPr>
        <w:t>、付款方式</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hint="eastAsia" w:ascii="宋体" w:hAnsi="宋体" w:cs="仿宋"/>
          <w:bCs/>
          <w:color w:val="auto"/>
          <w:sz w:val="24"/>
          <w:highlight w:val="none"/>
          <w:lang w:val="zh-CN"/>
        </w:rPr>
        <w:t>支付方式：完成并出具成果报告，</w:t>
      </w:r>
      <w:r>
        <w:rPr>
          <w:rFonts w:hint="eastAsia" w:ascii="宋体" w:hAnsi="宋体" w:cs="仿宋"/>
          <w:bCs/>
          <w:color w:val="auto"/>
          <w:sz w:val="24"/>
          <w:highlight w:val="none"/>
          <w:lang w:val="en-US" w:eastAsia="zh-CN"/>
        </w:rPr>
        <w:t>且经项目主管部门最终批复</w:t>
      </w:r>
      <w:r>
        <w:rPr>
          <w:rFonts w:hint="eastAsia" w:ascii="宋体" w:hAnsi="宋体" w:cs="仿宋"/>
          <w:bCs/>
          <w:color w:val="auto"/>
          <w:sz w:val="24"/>
          <w:highlight w:val="none"/>
          <w:lang w:val="zh-CN"/>
        </w:rPr>
        <w:t>，并由</w:t>
      </w:r>
      <w:r>
        <w:rPr>
          <w:rFonts w:hint="eastAsia" w:ascii="宋体" w:hAnsi="宋体" w:cs="仿宋"/>
          <w:bCs/>
          <w:color w:val="auto"/>
          <w:sz w:val="24"/>
          <w:highlight w:val="none"/>
        </w:rPr>
        <w:t>交易发起人</w:t>
      </w:r>
      <w:r>
        <w:rPr>
          <w:rFonts w:hint="eastAsia" w:ascii="宋体" w:hAnsi="宋体" w:cs="仿宋"/>
          <w:bCs/>
          <w:color w:val="auto"/>
          <w:sz w:val="24"/>
          <w:highlight w:val="none"/>
          <w:lang w:val="zh-CN"/>
        </w:rPr>
        <w:t>确认后，服务期满后根据</w:t>
      </w:r>
      <w:r>
        <w:rPr>
          <w:rFonts w:hint="eastAsia" w:ascii="宋体" w:hAnsi="宋体"/>
          <w:color w:val="auto"/>
          <w:sz w:val="24"/>
          <w:highlight w:val="none"/>
        </w:rPr>
        <w:t>实际完成的服务量乘以服务中标单价作为最终项目结算价一次性支付</w:t>
      </w:r>
      <w:r>
        <w:rPr>
          <w:rFonts w:hint="eastAsia" w:ascii="宋体" w:hAnsi="宋体" w:cs="仿宋"/>
          <w:bCs/>
          <w:color w:val="auto"/>
          <w:sz w:val="24"/>
          <w:highlight w:val="none"/>
          <w:lang w:val="zh-CN"/>
        </w:rPr>
        <w:t>（以实际完成并经交易发起人确认为准）。</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宋体" w:hAnsi="宋体" w:cs="仿宋"/>
          <w:b/>
          <w:color w:val="auto"/>
          <w:sz w:val="24"/>
          <w:highlight w:val="none"/>
        </w:rPr>
      </w:pPr>
      <w:r>
        <w:rPr>
          <w:rFonts w:hint="eastAsia" w:ascii="宋体" w:hAnsi="宋体" w:cs="仿宋"/>
          <w:b/>
          <w:color w:val="auto"/>
          <w:sz w:val="24"/>
          <w:highlight w:val="none"/>
          <w:lang w:val="en-US" w:eastAsia="zh-CN"/>
        </w:rPr>
        <w:t>六</w:t>
      </w:r>
      <w:r>
        <w:rPr>
          <w:rFonts w:hint="eastAsia" w:ascii="宋体" w:hAnsi="宋体" w:cs="仿宋"/>
          <w:b/>
          <w:color w:val="auto"/>
          <w:sz w:val="24"/>
          <w:highlight w:val="none"/>
        </w:rPr>
        <w:t>、其它</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1、响应人应自行承担报价风险。结算依据实际完成的服务量乘以服务中标单价作为最终项目结算价，结算价最高不超过本项目预算价。</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olor w:val="auto"/>
          <w:sz w:val="24"/>
          <w:highlight w:val="none"/>
          <w:lang w:val="en-US"/>
        </w:rPr>
      </w:pPr>
      <w:r>
        <w:rPr>
          <w:rFonts w:hint="eastAsia" w:ascii="宋体" w:hAnsi="宋体"/>
          <w:color w:val="auto"/>
          <w:sz w:val="24"/>
          <w:highlight w:val="none"/>
          <w:lang w:val="en-US"/>
        </w:rPr>
        <w:t>2、从合同签订之日起一年内，按照</w:t>
      </w:r>
      <w:r>
        <w:rPr>
          <w:rFonts w:hint="eastAsia" w:ascii="宋体" w:hAnsi="宋体"/>
          <w:color w:val="auto"/>
          <w:sz w:val="24"/>
          <w:highlight w:val="none"/>
        </w:rPr>
        <w:t>交易发起人</w:t>
      </w:r>
      <w:r>
        <w:rPr>
          <w:rFonts w:hint="eastAsia" w:ascii="宋体" w:hAnsi="宋体"/>
          <w:color w:val="auto"/>
          <w:sz w:val="24"/>
          <w:highlight w:val="none"/>
          <w:lang w:val="en-US"/>
        </w:rPr>
        <w:t>要求进行相应服务工作并提交成果报告，直至一年期满或服务费用达到项目预算金额为止。</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olor w:val="auto"/>
          <w:sz w:val="24"/>
          <w:highlight w:val="none"/>
          <w:lang w:val="en-US"/>
        </w:rPr>
      </w:pP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olor w:val="auto"/>
          <w:sz w:val="24"/>
          <w:highlight w:val="none"/>
          <w:lang w:val="en-US"/>
        </w:rPr>
      </w:pP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color w:val="auto"/>
          <w:sz w:val="24"/>
          <w:highlight w:val="none"/>
          <w:lang w:val="en-US" w:eastAsia="zh-CN"/>
        </w:rPr>
      </w:pPr>
      <w:r>
        <w:rPr>
          <w:rFonts w:hint="eastAsia" w:ascii="宋体" w:hAnsi="宋体" w:eastAsia="宋体" w:cs="宋体"/>
          <w:color w:val="auto"/>
          <w:sz w:val="24"/>
          <w:szCs w:val="24"/>
          <w:highlight w:val="none"/>
          <w:lang w:eastAsia="zh-CN"/>
        </w:rPr>
        <w:t>注：</w:t>
      </w:r>
      <w:r>
        <w:rPr>
          <w:rFonts w:hint="eastAsia" w:ascii="宋体" w:hAnsi="宋体" w:eastAsia="宋体" w:cs="宋体"/>
          <w:color w:val="auto"/>
          <w:sz w:val="24"/>
          <w:szCs w:val="24"/>
          <w:highlight w:val="none"/>
          <w:lang w:val="en-US" w:eastAsia="zh-CN"/>
        </w:rPr>
        <w:t>公开竞争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中打</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内容为实质性要求，不允许有负偏离，否则将以涉及无效响应条款作无效响应。</w:t>
      </w:r>
    </w:p>
    <w:p>
      <w:pPr>
        <w:keepNext w:val="0"/>
        <w:keepLines w:val="0"/>
        <w:pageBreakBefore w:val="0"/>
        <w:widowControl w:val="0"/>
        <w:kinsoku/>
        <w:wordWrap/>
        <w:overflowPunct/>
        <w:topLinePunct w:val="0"/>
        <w:autoSpaceDE/>
        <w:autoSpaceDN/>
        <w:bidi w:val="0"/>
        <w:adjustRightInd w:val="0"/>
        <w:snapToGrid/>
        <w:spacing w:line="360" w:lineRule="auto"/>
        <w:ind w:firstLine="723" w:firstLineChars="200"/>
        <w:jc w:val="left"/>
        <w:textAlignment w:val="auto"/>
        <w:rPr>
          <w:rFonts w:hint="eastAsia" w:ascii="宋体" w:hAnsi="宋体" w:cs="宋体"/>
          <w:b/>
          <w:color w:val="auto"/>
          <w:sz w:val="36"/>
          <w:szCs w:val="36"/>
          <w:highlight w:val="none"/>
          <w:lang w:val="en-US" w:eastAsia="zh-CN"/>
        </w:rPr>
      </w:pP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2" w:name="_Toc184314418"/>
      <w:bookmarkEnd w:id="22"/>
      <w:bookmarkStart w:id="23" w:name="_Toc184314464"/>
      <w:bookmarkEnd w:id="23"/>
      <w:bookmarkStart w:id="24" w:name="_Toc184310308"/>
      <w:bookmarkEnd w:id="24"/>
      <w:bookmarkStart w:id="25" w:name="_Toc184312096"/>
      <w:bookmarkEnd w:id="25"/>
      <w:bookmarkStart w:id="26" w:name="_Toc184312093"/>
      <w:bookmarkEnd w:id="26"/>
      <w:bookmarkStart w:id="27" w:name="_Toc184312090"/>
      <w:bookmarkEnd w:id="27"/>
      <w:bookmarkStart w:id="28" w:name="_Toc184308066"/>
      <w:bookmarkEnd w:id="28"/>
      <w:bookmarkStart w:id="29" w:name="_Toc184308102"/>
      <w:bookmarkEnd w:id="29"/>
      <w:bookmarkStart w:id="30" w:name="_Toc184310325"/>
      <w:bookmarkEnd w:id="30"/>
      <w:bookmarkStart w:id="31" w:name="_Toc184314448"/>
      <w:bookmarkEnd w:id="31"/>
      <w:bookmarkStart w:id="32" w:name="_Toc184313241"/>
      <w:bookmarkEnd w:id="32"/>
      <w:bookmarkStart w:id="33" w:name="_Toc184312073"/>
      <w:bookmarkEnd w:id="33"/>
      <w:bookmarkStart w:id="34" w:name="_Toc184308082"/>
      <w:bookmarkEnd w:id="34"/>
      <w:bookmarkStart w:id="35" w:name="_Toc184313302"/>
      <w:bookmarkEnd w:id="35"/>
      <w:bookmarkStart w:id="36" w:name="_Toc184314466"/>
      <w:bookmarkEnd w:id="36"/>
      <w:bookmarkStart w:id="37" w:name="_Toc184314426"/>
      <w:bookmarkEnd w:id="37"/>
      <w:bookmarkStart w:id="38" w:name="_Toc184313258"/>
      <w:bookmarkEnd w:id="38"/>
      <w:bookmarkStart w:id="39" w:name="_Toc184313289"/>
      <w:bookmarkEnd w:id="39"/>
      <w:bookmarkStart w:id="40" w:name="_Toc184314478"/>
      <w:bookmarkEnd w:id="40"/>
      <w:bookmarkStart w:id="41" w:name="_Toc184314447"/>
      <w:bookmarkEnd w:id="41"/>
      <w:bookmarkStart w:id="42" w:name="_Toc184313299"/>
      <w:bookmarkEnd w:id="42"/>
      <w:bookmarkStart w:id="43" w:name="_Toc184308057"/>
      <w:bookmarkEnd w:id="43"/>
      <w:bookmarkStart w:id="44" w:name="_Toc184312134"/>
      <w:bookmarkEnd w:id="44"/>
      <w:bookmarkStart w:id="45" w:name="_Toc184310288"/>
      <w:bookmarkEnd w:id="45"/>
      <w:bookmarkStart w:id="46" w:name="_Toc184308068"/>
      <w:bookmarkEnd w:id="46"/>
      <w:bookmarkStart w:id="47" w:name="_Toc184310279"/>
      <w:bookmarkEnd w:id="47"/>
      <w:bookmarkStart w:id="48" w:name="_Toc184314437"/>
      <w:bookmarkEnd w:id="48"/>
      <w:bookmarkStart w:id="49" w:name="_Toc184310299"/>
      <w:bookmarkEnd w:id="49"/>
      <w:bookmarkStart w:id="50" w:name="_Toc184308037"/>
      <w:bookmarkEnd w:id="50"/>
      <w:bookmarkStart w:id="51" w:name="_Toc184308036"/>
      <w:bookmarkEnd w:id="51"/>
      <w:bookmarkStart w:id="52" w:name="_Toc184310285"/>
      <w:bookmarkEnd w:id="52"/>
      <w:bookmarkStart w:id="53" w:name="_Toc184308047"/>
      <w:bookmarkEnd w:id="53"/>
      <w:bookmarkStart w:id="54" w:name="_Toc184308089"/>
      <w:bookmarkEnd w:id="54"/>
      <w:bookmarkStart w:id="55" w:name="_Toc184308051"/>
      <w:bookmarkEnd w:id="55"/>
      <w:bookmarkStart w:id="56" w:name="_Toc184313278"/>
      <w:bookmarkEnd w:id="56"/>
      <w:bookmarkStart w:id="57" w:name="_Toc184308106"/>
      <w:bookmarkEnd w:id="57"/>
      <w:bookmarkStart w:id="58" w:name="_Toc184314438"/>
      <w:bookmarkEnd w:id="58"/>
      <w:bookmarkStart w:id="59" w:name="_Toc184310284"/>
      <w:bookmarkEnd w:id="59"/>
      <w:bookmarkStart w:id="60" w:name="_Toc184310283"/>
      <w:bookmarkEnd w:id="60"/>
      <w:bookmarkStart w:id="61" w:name="_Toc184313245"/>
      <w:bookmarkEnd w:id="61"/>
      <w:bookmarkStart w:id="62" w:name="_Toc184314434"/>
      <w:bookmarkEnd w:id="62"/>
      <w:bookmarkStart w:id="63" w:name="_Toc184308092"/>
      <w:bookmarkEnd w:id="63"/>
      <w:bookmarkStart w:id="64" w:name="_Toc184310273"/>
      <w:bookmarkEnd w:id="64"/>
      <w:bookmarkStart w:id="65" w:name="_Toc184312076"/>
      <w:bookmarkEnd w:id="65"/>
      <w:bookmarkStart w:id="66" w:name="_Toc184313279"/>
      <w:bookmarkEnd w:id="66"/>
      <w:bookmarkStart w:id="67" w:name="_Toc184308084"/>
      <w:bookmarkEnd w:id="67"/>
      <w:bookmarkStart w:id="68" w:name="_Toc184308091"/>
      <w:bookmarkEnd w:id="68"/>
      <w:bookmarkStart w:id="69" w:name="_Toc184308099"/>
      <w:bookmarkEnd w:id="69"/>
      <w:bookmarkStart w:id="70" w:name="_Toc184312136"/>
      <w:bookmarkEnd w:id="70"/>
      <w:bookmarkStart w:id="71" w:name="_Toc184308040"/>
      <w:bookmarkEnd w:id="71"/>
      <w:bookmarkStart w:id="72" w:name="_Toc184314465"/>
      <w:bookmarkEnd w:id="72"/>
      <w:bookmarkStart w:id="73" w:name="_Toc184313265"/>
      <w:bookmarkEnd w:id="73"/>
      <w:bookmarkStart w:id="74" w:name="_Toc184310275"/>
      <w:bookmarkEnd w:id="74"/>
      <w:bookmarkStart w:id="75" w:name="_Toc184312135"/>
      <w:bookmarkEnd w:id="75"/>
      <w:bookmarkStart w:id="76" w:name="_Toc184308061"/>
      <w:bookmarkEnd w:id="76"/>
      <w:bookmarkStart w:id="77" w:name="_Toc184314459"/>
      <w:bookmarkEnd w:id="77"/>
      <w:bookmarkStart w:id="78" w:name="_Toc184313264"/>
      <w:bookmarkEnd w:id="78"/>
      <w:bookmarkStart w:id="79" w:name="_Toc184314474"/>
      <w:bookmarkEnd w:id="79"/>
      <w:bookmarkStart w:id="80" w:name="_Toc184310300"/>
      <w:bookmarkEnd w:id="80"/>
      <w:bookmarkStart w:id="81" w:name="_Toc184308055"/>
      <w:bookmarkEnd w:id="81"/>
      <w:bookmarkStart w:id="82" w:name="_Toc184313246"/>
      <w:bookmarkEnd w:id="82"/>
      <w:bookmarkStart w:id="83" w:name="_Toc184313288"/>
      <w:bookmarkEnd w:id="83"/>
      <w:bookmarkStart w:id="84" w:name="_Toc184314477"/>
      <w:bookmarkEnd w:id="84"/>
      <w:bookmarkStart w:id="85" w:name="_Toc184314433"/>
      <w:bookmarkEnd w:id="85"/>
      <w:bookmarkStart w:id="86" w:name="_Toc184308038"/>
      <w:bookmarkEnd w:id="86"/>
      <w:bookmarkStart w:id="87" w:name="_Toc184314427"/>
      <w:bookmarkEnd w:id="87"/>
      <w:bookmarkStart w:id="88" w:name="_Toc184314423"/>
      <w:bookmarkEnd w:id="88"/>
      <w:bookmarkStart w:id="89" w:name="_Toc184314454"/>
      <w:bookmarkEnd w:id="89"/>
      <w:bookmarkStart w:id="90" w:name="_Toc184310341"/>
      <w:bookmarkEnd w:id="90"/>
      <w:bookmarkStart w:id="91" w:name="_Toc184313287"/>
      <w:bookmarkEnd w:id="91"/>
      <w:bookmarkStart w:id="92" w:name="_Toc184310277"/>
      <w:bookmarkEnd w:id="92"/>
      <w:bookmarkStart w:id="93" w:name="_Toc184310309"/>
      <w:bookmarkEnd w:id="93"/>
      <w:bookmarkStart w:id="94" w:name="_Toc184308043"/>
      <w:bookmarkEnd w:id="94"/>
      <w:bookmarkStart w:id="95" w:name="_Toc184310331"/>
      <w:bookmarkEnd w:id="95"/>
      <w:bookmarkStart w:id="96" w:name="_Toc184308074"/>
      <w:bookmarkEnd w:id="96"/>
      <w:bookmarkStart w:id="97" w:name="_Toc184312099"/>
      <w:bookmarkEnd w:id="97"/>
      <w:bookmarkStart w:id="98" w:name="_Toc184308062"/>
      <w:bookmarkEnd w:id="98"/>
      <w:bookmarkStart w:id="99" w:name="_Toc184314452"/>
      <w:bookmarkEnd w:id="99"/>
      <w:bookmarkStart w:id="100" w:name="_Toc184314467"/>
      <w:bookmarkEnd w:id="100"/>
      <w:bookmarkStart w:id="101" w:name="_Toc184312118"/>
      <w:bookmarkEnd w:id="101"/>
      <w:bookmarkStart w:id="102" w:name="_Toc184308107"/>
      <w:bookmarkEnd w:id="102"/>
      <w:bookmarkStart w:id="103" w:name="_Toc184313305"/>
      <w:bookmarkEnd w:id="103"/>
      <w:bookmarkStart w:id="104" w:name="_Toc184312116"/>
      <w:bookmarkEnd w:id="104"/>
      <w:bookmarkStart w:id="105" w:name="_Toc184308046"/>
      <w:bookmarkEnd w:id="105"/>
      <w:bookmarkStart w:id="106" w:name="_Toc184314431"/>
      <w:bookmarkEnd w:id="106"/>
      <w:bookmarkStart w:id="107" w:name="_Toc184310315"/>
      <w:bookmarkEnd w:id="107"/>
      <w:bookmarkStart w:id="108" w:name="_Toc184312084"/>
      <w:bookmarkEnd w:id="108"/>
      <w:bookmarkStart w:id="109" w:name="_Toc184314473"/>
      <w:bookmarkEnd w:id="109"/>
      <w:bookmarkStart w:id="110" w:name="_Toc184314455"/>
      <w:bookmarkEnd w:id="110"/>
      <w:bookmarkStart w:id="111" w:name="_Toc184312087"/>
      <w:bookmarkEnd w:id="111"/>
      <w:bookmarkStart w:id="112" w:name="_Toc184308093"/>
      <w:bookmarkEnd w:id="112"/>
      <w:bookmarkStart w:id="113" w:name="_Toc184308104"/>
      <w:bookmarkEnd w:id="113"/>
      <w:bookmarkStart w:id="114" w:name="_Toc184312072"/>
      <w:bookmarkEnd w:id="114"/>
      <w:bookmarkStart w:id="115" w:name="_Toc184312074"/>
      <w:bookmarkEnd w:id="115"/>
      <w:bookmarkStart w:id="116" w:name="_Toc184312112"/>
      <w:bookmarkEnd w:id="116"/>
      <w:bookmarkStart w:id="117" w:name="_Toc184308056"/>
      <w:bookmarkEnd w:id="117"/>
      <w:bookmarkStart w:id="118" w:name="_Toc184312088"/>
      <w:bookmarkEnd w:id="118"/>
      <w:bookmarkStart w:id="119" w:name="_Toc184310340"/>
      <w:bookmarkEnd w:id="119"/>
      <w:bookmarkStart w:id="120" w:name="_Toc184308059"/>
      <w:bookmarkEnd w:id="120"/>
      <w:bookmarkStart w:id="121" w:name="_Toc184313266"/>
      <w:bookmarkEnd w:id="121"/>
      <w:bookmarkStart w:id="122" w:name="_Toc184312080"/>
      <w:bookmarkEnd w:id="122"/>
      <w:bookmarkStart w:id="123" w:name="_Toc184313293"/>
      <w:bookmarkEnd w:id="123"/>
      <w:bookmarkStart w:id="124" w:name="_Toc184313254"/>
      <w:bookmarkEnd w:id="124"/>
      <w:bookmarkStart w:id="125" w:name="_Toc184313280"/>
      <w:bookmarkEnd w:id="125"/>
      <w:bookmarkStart w:id="126" w:name="_Toc184314420"/>
      <w:bookmarkEnd w:id="126"/>
      <w:bookmarkStart w:id="127" w:name="_Toc184313248"/>
      <w:bookmarkEnd w:id="127"/>
      <w:bookmarkStart w:id="128" w:name="_Toc184313283"/>
      <w:bookmarkEnd w:id="128"/>
      <w:bookmarkStart w:id="129" w:name="_Toc184308105"/>
      <w:bookmarkEnd w:id="129"/>
      <w:bookmarkStart w:id="130" w:name="_Toc184308063"/>
      <w:bookmarkEnd w:id="130"/>
      <w:bookmarkStart w:id="131" w:name="_Toc184313304"/>
      <w:bookmarkEnd w:id="131"/>
      <w:bookmarkStart w:id="132" w:name="_Toc184314416"/>
      <w:bookmarkEnd w:id="132"/>
      <w:bookmarkStart w:id="133" w:name="_Toc184312138"/>
      <w:bookmarkEnd w:id="133"/>
      <w:bookmarkStart w:id="134" w:name="_Toc184308079"/>
      <w:bookmarkEnd w:id="134"/>
      <w:bookmarkStart w:id="135" w:name="_Toc184313310"/>
      <w:bookmarkEnd w:id="135"/>
      <w:bookmarkStart w:id="136" w:name="_Toc184308101"/>
      <w:bookmarkEnd w:id="136"/>
      <w:bookmarkStart w:id="137" w:name="_Toc184310338"/>
      <w:bookmarkEnd w:id="137"/>
      <w:bookmarkStart w:id="138" w:name="_Toc184310336"/>
      <w:bookmarkEnd w:id="138"/>
      <w:bookmarkStart w:id="139" w:name="_Toc184308039"/>
      <w:bookmarkEnd w:id="139"/>
      <w:bookmarkStart w:id="140" w:name="_Toc184314435"/>
      <w:bookmarkEnd w:id="140"/>
      <w:bookmarkStart w:id="141" w:name="_Toc184313286"/>
      <w:bookmarkEnd w:id="141"/>
      <w:bookmarkStart w:id="142" w:name="_Toc184310297"/>
      <w:bookmarkEnd w:id="142"/>
      <w:bookmarkStart w:id="143" w:name="_Toc184314446"/>
      <w:bookmarkEnd w:id="143"/>
      <w:bookmarkStart w:id="144" w:name="_Toc184314422"/>
      <w:bookmarkEnd w:id="144"/>
      <w:bookmarkStart w:id="145" w:name="_Toc184313306"/>
      <w:bookmarkEnd w:id="145"/>
      <w:bookmarkStart w:id="146" w:name="_Toc184308070"/>
      <w:bookmarkEnd w:id="146"/>
      <w:bookmarkStart w:id="147" w:name="_Toc184312120"/>
      <w:bookmarkEnd w:id="147"/>
      <w:bookmarkStart w:id="148" w:name="_Toc184314472"/>
      <w:bookmarkEnd w:id="148"/>
      <w:bookmarkStart w:id="149" w:name="_Toc184313275"/>
      <w:bookmarkEnd w:id="149"/>
      <w:bookmarkStart w:id="150" w:name="_Toc184312078"/>
      <w:bookmarkEnd w:id="150"/>
      <w:bookmarkStart w:id="151" w:name="_Toc184308078"/>
      <w:bookmarkEnd w:id="151"/>
      <w:bookmarkStart w:id="152" w:name="_Toc184308050"/>
      <w:bookmarkEnd w:id="152"/>
      <w:bookmarkStart w:id="153" w:name="_Toc184314471"/>
      <w:bookmarkEnd w:id="153"/>
      <w:bookmarkStart w:id="154" w:name="_Toc184308083"/>
      <w:bookmarkEnd w:id="154"/>
      <w:bookmarkStart w:id="155" w:name="_Toc184310319"/>
      <w:bookmarkEnd w:id="155"/>
      <w:bookmarkStart w:id="156" w:name="_Toc184312092"/>
      <w:bookmarkEnd w:id="156"/>
      <w:bookmarkStart w:id="157" w:name="_Toc184310320"/>
      <w:bookmarkEnd w:id="157"/>
      <w:bookmarkStart w:id="158" w:name="_Toc184314414"/>
      <w:bookmarkEnd w:id="158"/>
      <w:bookmarkStart w:id="159" w:name="_Toc184312131"/>
      <w:bookmarkEnd w:id="159"/>
      <w:bookmarkStart w:id="160" w:name="_Toc184312119"/>
      <w:bookmarkEnd w:id="160"/>
      <w:bookmarkStart w:id="161" w:name="_Toc184314469"/>
      <w:bookmarkEnd w:id="161"/>
      <w:bookmarkStart w:id="162" w:name="_Toc184313291"/>
      <w:bookmarkEnd w:id="162"/>
      <w:bookmarkStart w:id="163" w:name="_Toc184310321"/>
      <w:bookmarkEnd w:id="163"/>
      <w:bookmarkStart w:id="164" w:name="_Toc184312122"/>
      <w:bookmarkEnd w:id="164"/>
      <w:bookmarkStart w:id="165" w:name="_Toc184314429"/>
      <w:bookmarkEnd w:id="165"/>
      <w:bookmarkStart w:id="166" w:name="_Toc184310334"/>
      <w:bookmarkEnd w:id="166"/>
      <w:bookmarkStart w:id="167" w:name="_Toc184312107"/>
      <w:bookmarkEnd w:id="167"/>
      <w:bookmarkStart w:id="168" w:name="_Toc184313281"/>
      <w:bookmarkEnd w:id="168"/>
      <w:bookmarkStart w:id="169" w:name="_Toc184313308"/>
      <w:bookmarkEnd w:id="169"/>
      <w:bookmarkStart w:id="170" w:name="_Toc184310298"/>
      <w:bookmarkEnd w:id="170"/>
      <w:bookmarkStart w:id="171" w:name="_Toc184313250"/>
      <w:bookmarkEnd w:id="171"/>
      <w:bookmarkStart w:id="172" w:name="_Toc184313260"/>
      <w:bookmarkEnd w:id="172"/>
      <w:bookmarkStart w:id="173" w:name="_Toc184310295"/>
      <w:bookmarkEnd w:id="173"/>
      <w:bookmarkStart w:id="174" w:name="_Toc184308065"/>
      <w:bookmarkEnd w:id="174"/>
      <w:bookmarkStart w:id="175" w:name="_Toc184312110"/>
      <w:bookmarkEnd w:id="175"/>
      <w:bookmarkStart w:id="176" w:name="_Toc184314458"/>
      <w:bookmarkEnd w:id="176"/>
      <w:bookmarkStart w:id="177" w:name="_Toc184312098"/>
      <w:bookmarkEnd w:id="177"/>
      <w:bookmarkStart w:id="178" w:name="_Toc184312086"/>
      <w:bookmarkEnd w:id="178"/>
      <w:bookmarkStart w:id="179" w:name="_Toc184313252"/>
      <w:bookmarkEnd w:id="179"/>
      <w:bookmarkStart w:id="180" w:name="_Toc184314461"/>
      <w:bookmarkEnd w:id="180"/>
      <w:bookmarkStart w:id="181" w:name="_Toc184314445"/>
      <w:bookmarkEnd w:id="181"/>
      <w:bookmarkStart w:id="182" w:name="_Toc184312104"/>
      <w:bookmarkEnd w:id="182"/>
      <w:bookmarkStart w:id="183" w:name="_Toc184312139"/>
      <w:bookmarkEnd w:id="183"/>
      <w:bookmarkStart w:id="184" w:name="_Toc184312079"/>
      <w:bookmarkEnd w:id="184"/>
      <w:bookmarkStart w:id="185" w:name="_Toc184313300"/>
      <w:bookmarkEnd w:id="185"/>
      <w:bookmarkStart w:id="186" w:name="_Toc184313294"/>
      <w:bookmarkEnd w:id="186"/>
      <w:bookmarkStart w:id="187" w:name="_Toc184312077"/>
      <w:bookmarkEnd w:id="187"/>
      <w:bookmarkStart w:id="188" w:name="_Toc184313297"/>
      <w:bookmarkEnd w:id="188"/>
      <w:bookmarkStart w:id="189" w:name="_Toc184308069"/>
      <w:bookmarkEnd w:id="189"/>
      <w:bookmarkStart w:id="190" w:name="_Toc184313298"/>
      <w:bookmarkEnd w:id="190"/>
      <w:bookmarkStart w:id="191" w:name="_Toc184308097"/>
      <w:bookmarkEnd w:id="191"/>
      <w:bookmarkStart w:id="192" w:name="_Toc184312105"/>
      <w:bookmarkEnd w:id="192"/>
      <w:bookmarkStart w:id="193" w:name="_Toc184310276"/>
      <w:bookmarkEnd w:id="193"/>
      <w:bookmarkStart w:id="194" w:name="_Toc184312102"/>
      <w:bookmarkEnd w:id="194"/>
      <w:bookmarkStart w:id="195" w:name="_Toc184314430"/>
      <w:bookmarkEnd w:id="195"/>
      <w:bookmarkStart w:id="196" w:name="_Toc184312071"/>
      <w:bookmarkEnd w:id="196"/>
      <w:bookmarkStart w:id="197" w:name="_Toc184312091"/>
      <w:bookmarkEnd w:id="197"/>
      <w:bookmarkStart w:id="198" w:name="_Toc184313295"/>
      <w:bookmarkEnd w:id="198"/>
      <w:bookmarkStart w:id="199" w:name="_Toc184310329"/>
      <w:bookmarkEnd w:id="199"/>
      <w:bookmarkStart w:id="200" w:name="_Toc184308042"/>
      <w:bookmarkEnd w:id="200"/>
      <w:bookmarkStart w:id="201" w:name="_Toc184314424"/>
      <w:bookmarkEnd w:id="201"/>
      <w:bookmarkStart w:id="202" w:name="_Toc184312115"/>
      <w:bookmarkEnd w:id="202"/>
      <w:bookmarkStart w:id="203" w:name="_Toc184314436"/>
      <w:bookmarkEnd w:id="203"/>
      <w:bookmarkStart w:id="204" w:name="_Toc184313259"/>
      <w:bookmarkEnd w:id="204"/>
      <w:bookmarkStart w:id="205" w:name="_Toc184308087"/>
      <w:bookmarkEnd w:id="205"/>
      <w:bookmarkStart w:id="206" w:name="_Toc184314413"/>
      <w:bookmarkEnd w:id="206"/>
      <w:bookmarkStart w:id="207" w:name="_Toc184313284"/>
      <w:bookmarkEnd w:id="207"/>
      <w:bookmarkStart w:id="208" w:name="_Toc184314481"/>
      <w:bookmarkEnd w:id="208"/>
      <w:bookmarkStart w:id="209" w:name="_Toc184308094"/>
      <w:bookmarkEnd w:id="209"/>
      <w:bookmarkStart w:id="210" w:name="_Toc184308095"/>
      <w:bookmarkEnd w:id="210"/>
      <w:bookmarkStart w:id="211" w:name="_Toc184313271"/>
      <w:bookmarkEnd w:id="211"/>
      <w:bookmarkStart w:id="212" w:name="_Toc184310317"/>
      <w:bookmarkEnd w:id="212"/>
      <w:bookmarkStart w:id="213" w:name="_Toc184314476"/>
      <w:bookmarkEnd w:id="213"/>
      <w:bookmarkStart w:id="214" w:name="_Toc184313268"/>
      <w:bookmarkEnd w:id="214"/>
      <w:bookmarkStart w:id="215" w:name="_Toc184308076"/>
      <w:bookmarkEnd w:id="215"/>
      <w:bookmarkStart w:id="216" w:name="_Toc184312089"/>
      <w:bookmarkEnd w:id="216"/>
      <w:bookmarkStart w:id="217" w:name="_Toc184314470"/>
      <w:bookmarkEnd w:id="217"/>
      <w:bookmarkStart w:id="218" w:name="_Toc184310311"/>
      <w:bookmarkEnd w:id="218"/>
      <w:bookmarkStart w:id="219" w:name="_Toc184308085"/>
      <w:bookmarkEnd w:id="219"/>
      <w:bookmarkStart w:id="220" w:name="_Toc184310301"/>
      <w:bookmarkEnd w:id="220"/>
      <w:bookmarkStart w:id="221" w:name="_Toc184310287"/>
      <w:bookmarkEnd w:id="221"/>
      <w:bookmarkStart w:id="222" w:name="_Toc184313238"/>
      <w:bookmarkEnd w:id="222"/>
      <w:bookmarkStart w:id="223" w:name="_Toc184312100"/>
      <w:bookmarkEnd w:id="223"/>
      <w:bookmarkStart w:id="224" w:name="_Toc184308108"/>
      <w:bookmarkEnd w:id="224"/>
      <w:bookmarkStart w:id="225" w:name="_Toc184313257"/>
      <w:bookmarkEnd w:id="225"/>
      <w:bookmarkStart w:id="226" w:name="_Toc184313269"/>
      <w:bookmarkEnd w:id="226"/>
      <w:bookmarkStart w:id="227" w:name="_Toc184312129"/>
      <w:bookmarkEnd w:id="227"/>
      <w:bookmarkStart w:id="228" w:name="_Toc184314421"/>
      <w:bookmarkEnd w:id="228"/>
      <w:bookmarkStart w:id="229" w:name="_Toc184312113"/>
      <w:bookmarkEnd w:id="229"/>
      <w:bookmarkStart w:id="230" w:name="_Toc184310318"/>
      <w:bookmarkEnd w:id="230"/>
      <w:bookmarkStart w:id="231" w:name="_Toc184308075"/>
      <w:bookmarkEnd w:id="231"/>
      <w:bookmarkStart w:id="232" w:name="_Toc184310327"/>
      <w:bookmarkEnd w:id="232"/>
      <w:bookmarkStart w:id="233" w:name="_Toc184310290"/>
      <w:bookmarkEnd w:id="233"/>
      <w:bookmarkStart w:id="234" w:name="_Toc184310323"/>
      <w:bookmarkEnd w:id="234"/>
      <w:bookmarkStart w:id="235" w:name="_Toc184313253"/>
      <w:bookmarkEnd w:id="235"/>
      <w:bookmarkStart w:id="236" w:name="_Toc184310306"/>
      <w:bookmarkEnd w:id="236"/>
      <w:bookmarkStart w:id="237" w:name="_Toc184308080"/>
      <w:bookmarkEnd w:id="237"/>
      <w:bookmarkStart w:id="238" w:name="_Toc184308049"/>
      <w:bookmarkEnd w:id="238"/>
      <w:bookmarkStart w:id="239" w:name="_Toc184312069"/>
      <w:bookmarkEnd w:id="239"/>
      <w:bookmarkStart w:id="240" w:name="_Toc184308044"/>
      <w:bookmarkEnd w:id="240"/>
      <w:bookmarkStart w:id="241" w:name="_Toc184310280"/>
      <w:bookmarkEnd w:id="241"/>
      <w:bookmarkStart w:id="242" w:name="_Toc184308098"/>
      <w:bookmarkEnd w:id="242"/>
      <w:bookmarkStart w:id="243" w:name="_Toc184312126"/>
      <w:bookmarkEnd w:id="243"/>
      <w:bookmarkStart w:id="244" w:name="_Toc184312101"/>
      <w:bookmarkEnd w:id="244"/>
      <w:bookmarkStart w:id="245" w:name="_Toc184313263"/>
      <w:bookmarkEnd w:id="245"/>
      <w:bookmarkStart w:id="246" w:name="_Toc184314425"/>
      <w:bookmarkEnd w:id="246"/>
      <w:bookmarkStart w:id="247" w:name="_Toc184308077"/>
      <w:bookmarkEnd w:id="247"/>
      <w:bookmarkStart w:id="248" w:name="_Toc184312114"/>
      <w:bookmarkEnd w:id="248"/>
      <w:bookmarkStart w:id="249" w:name="_Toc184308086"/>
      <w:bookmarkEnd w:id="249"/>
      <w:bookmarkStart w:id="250" w:name="_Toc184314410"/>
      <w:bookmarkEnd w:id="250"/>
      <w:bookmarkStart w:id="251" w:name="_Toc184312108"/>
      <w:bookmarkEnd w:id="251"/>
      <w:bookmarkStart w:id="252" w:name="_Toc184312068"/>
      <w:bookmarkEnd w:id="252"/>
      <w:bookmarkStart w:id="253" w:name="_Toc184313255"/>
      <w:bookmarkEnd w:id="253"/>
      <w:bookmarkStart w:id="254" w:name="_Toc184313277"/>
      <w:bookmarkEnd w:id="254"/>
      <w:bookmarkStart w:id="255" w:name="_Toc184310303"/>
      <w:bookmarkEnd w:id="255"/>
      <w:bookmarkStart w:id="256" w:name="_Toc184308081"/>
      <w:bookmarkEnd w:id="256"/>
      <w:bookmarkStart w:id="257" w:name="_Toc184308096"/>
      <w:bookmarkEnd w:id="257"/>
      <w:bookmarkStart w:id="258" w:name="_Toc184314443"/>
      <w:bookmarkEnd w:id="258"/>
      <w:bookmarkStart w:id="259" w:name="_Toc184310330"/>
      <w:bookmarkEnd w:id="259"/>
      <w:bookmarkStart w:id="260" w:name="_Toc184314419"/>
      <w:bookmarkEnd w:id="260"/>
      <w:bookmarkStart w:id="261" w:name="_Toc184314451"/>
      <w:bookmarkEnd w:id="261"/>
      <w:bookmarkStart w:id="262" w:name="_Toc184308064"/>
      <w:bookmarkEnd w:id="262"/>
      <w:bookmarkStart w:id="263" w:name="_Toc184308072"/>
      <w:bookmarkEnd w:id="263"/>
      <w:bookmarkStart w:id="264" w:name="_Toc184312067"/>
      <w:bookmarkEnd w:id="264"/>
      <w:bookmarkStart w:id="265" w:name="_Toc184313249"/>
      <w:bookmarkEnd w:id="265"/>
      <w:bookmarkStart w:id="266" w:name="_Toc184308073"/>
      <w:bookmarkEnd w:id="266"/>
      <w:bookmarkStart w:id="267" w:name="_Toc184314428"/>
      <w:bookmarkEnd w:id="267"/>
      <w:bookmarkStart w:id="268" w:name="_Toc184312137"/>
      <w:bookmarkEnd w:id="268"/>
      <w:bookmarkStart w:id="269" w:name="_Toc184313251"/>
      <w:bookmarkEnd w:id="269"/>
      <w:bookmarkStart w:id="270" w:name="_Toc184314462"/>
      <w:bookmarkEnd w:id="270"/>
      <w:bookmarkStart w:id="271" w:name="_Toc184314417"/>
      <w:bookmarkEnd w:id="271"/>
      <w:bookmarkStart w:id="272" w:name="_Toc184308058"/>
      <w:bookmarkEnd w:id="272"/>
      <w:bookmarkStart w:id="273" w:name="_Toc184313262"/>
      <w:bookmarkEnd w:id="273"/>
      <w:bookmarkStart w:id="274" w:name="_Toc184312130"/>
      <w:bookmarkEnd w:id="274"/>
      <w:bookmarkStart w:id="275" w:name="_Toc184314439"/>
      <w:bookmarkEnd w:id="275"/>
      <w:bookmarkStart w:id="276" w:name="_Toc184313273"/>
      <w:bookmarkEnd w:id="276"/>
      <w:bookmarkStart w:id="277" w:name="_Toc184310312"/>
      <w:bookmarkEnd w:id="277"/>
      <w:bookmarkStart w:id="278" w:name="_Toc184312082"/>
      <w:bookmarkEnd w:id="278"/>
      <w:bookmarkStart w:id="279" w:name="_Toc184313247"/>
      <w:bookmarkEnd w:id="279"/>
      <w:bookmarkStart w:id="280" w:name="_Toc184312111"/>
      <w:bookmarkEnd w:id="280"/>
      <w:bookmarkStart w:id="281" w:name="_Toc184312070"/>
      <w:bookmarkEnd w:id="281"/>
      <w:bookmarkStart w:id="282" w:name="_Toc184314453"/>
      <w:bookmarkEnd w:id="282"/>
      <w:bookmarkStart w:id="283" w:name="_Toc184310289"/>
      <w:bookmarkEnd w:id="283"/>
      <w:bookmarkStart w:id="284" w:name="_Toc184312117"/>
      <w:bookmarkEnd w:id="284"/>
      <w:bookmarkStart w:id="285" w:name="_Toc184312094"/>
      <w:bookmarkEnd w:id="285"/>
      <w:bookmarkStart w:id="286" w:name="_Toc184310282"/>
      <w:bookmarkEnd w:id="286"/>
      <w:bookmarkStart w:id="287" w:name="_Toc184310302"/>
      <w:bookmarkEnd w:id="287"/>
      <w:bookmarkStart w:id="288" w:name="_Toc184310332"/>
      <w:bookmarkEnd w:id="288"/>
      <w:bookmarkStart w:id="289" w:name="_Toc184312127"/>
      <w:bookmarkEnd w:id="289"/>
      <w:bookmarkStart w:id="290" w:name="_Toc184310316"/>
      <w:bookmarkEnd w:id="290"/>
      <w:bookmarkStart w:id="291" w:name="_Toc184313285"/>
      <w:bookmarkEnd w:id="291"/>
      <w:bookmarkStart w:id="292" w:name="_Toc184312133"/>
      <w:bookmarkEnd w:id="292"/>
      <w:bookmarkStart w:id="293" w:name="_Toc184313242"/>
      <w:bookmarkEnd w:id="293"/>
      <w:bookmarkStart w:id="294" w:name="_Toc184313243"/>
      <w:bookmarkEnd w:id="294"/>
      <w:bookmarkStart w:id="295" w:name="_Toc184310339"/>
      <w:bookmarkEnd w:id="295"/>
      <w:bookmarkStart w:id="296" w:name="_Toc184310296"/>
      <w:bookmarkEnd w:id="296"/>
      <w:bookmarkStart w:id="297" w:name="_Toc184313261"/>
      <w:bookmarkEnd w:id="297"/>
      <w:bookmarkStart w:id="298" w:name="_Toc184313240"/>
      <w:bookmarkEnd w:id="298"/>
      <w:bookmarkStart w:id="299" w:name="_Toc184313307"/>
      <w:bookmarkEnd w:id="299"/>
      <w:bookmarkStart w:id="300" w:name="_Toc184312125"/>
      <w:bookmarkEnd w:id="300"/>
      <w:bookmarkStart w:id="301" w:name="_Toc184312109"/>
      <w:bookmarkEnd w:id="301"/>
      <w:bookmarkStart w:id="302" w:name="_Toc184310272"/>
      <w:bookmarkEnd w:id="302"/>
      <w:bookmarkStart w:id="303" w:name="_Toc184313274"/>
      <w:bookmarkEnd w:id="303"/>
      <w:bookmarkStart w:id="304" w:name="_Toc184314411"/>
      <w:bookmarkEnd w:id="304"/>
      <w:bookmarkStart w:id="305" w:name="_Toc184308067"/>
      <w:bookmarkEnd w:id="305"/>
      <w:bookmarkStart w:id="306" w:name="_Toc184313303"/>
      <w:bookmarkEnd w:id="306"/>
      <w:bookmarkStart w:id="307" w:name="_Toc184308054"/>
      <w:bookmarkEnd w:id="307"/>
      <w:bookmarkStart w:id="308" w:name="_Toc184314460"/>
      <w:bookmarkEnd w:id="308"/>
      <w:bookmarkStart w:id="309" w:name="_Toc184310294"/>
      <w:bookmarkEnd w:id="309"/>
      <w:bookmarkStart w:id="310" w:name="_Toc184314480"/>
      <w:bookmarkEnd w:id="310"/>
      <w:bookmarkStart w:id="311" w:name="_Toc184314412"/>
      <w:bookmarkEnd w:id="311"/>
      <w:bookmarkStart w:id="312" w:name="_Toc184310344"/>
      <w:bookmarkEnd w:id="312"/>
      <w:bookmarkStart w:id="313" w:name="_Toc184312106"/>
      <w:bookmarkEnd w:id="313"/>
      <w:bookmarkStart w:id="314" w:name="_Toc184314440"/>
      <w:bookmarkEnd w:id="314"/>
      <w:bookmarkStart w:id="315" w:name="_Toc184314442"/>
      <w:bookmarkEnd w:id="315"/>
      <w:bookmarkStart w:id="316" w:name="_Toc184314457"/>
      <w:bookmarkEnd w:id="316"/>
      <w:bookmarkStart w:id="317" w:name="_Toc184314468"/>
      <w:bookmarkEnd w:id="317"/>
      <w:bookmarkStart w:id="318" w:name="_Toc184308041"/>
      <w:bookmarkEnd w:id="318"/>
      <w:bookmarkStart w:id="319" w:name="_Toc184308071"/>
      <w:bookmarkEnd w:id="319"/>
      <w:bookmarkStart w:id="320" w:name="_Toc184313256"/>
      <w:bookmarkEnd w:id="320"/>
      <w:bookmarkStart w:id="321" w:name="_Toc184310333"/>
      <w:bookmarkEnd w:id="321"/>
      <w:bookmarkStart w:id="322" w:name="_Toc184314415"/>
      <w:bookmarkEnd w:id="322"/>
      <w:bookmarkStart w:id="323" w:name="_Toc184310328"/>
      <w:bookmarkEnd w:id="323"/>
      <w:bookmarkStart w:id="324" w:name="_Toc184310314"/>
      <w:bookmarkEnd w:id="324"/>
      <w:bookmarkStart w:id="325" w:name="_Toc184310291"/>
      <w:bookmarkEnd w:id="325"/>
      <w:bookmarkStart w:id="326" w:name="_Toc184310293"/>
      <w:bookmarkEnd w:id="326"/>
      <w:bookmarkStart w:id="327" w:name="_Toc184313290"/>
      <w:bookmarkEnd w:id="327"/>
      <w:bookmarkStart w:id="328" w:name="_Toc184310305"/>
      <w:bookmarkEnd w:id="328"/>
      <w:bookmarkStart w:id="329" w:name="_Toc184312083"/>
      <w:bookmarkEnd w:id="329"/>
      <w:bookmarkStart w:id="330" w:name="_Toc184308052"/>
      <w:bookmarkEnd w:id="330"/>
      <w:bookmarkStart w:id="331" w:name="_Toc184313270"/>
      <w:bookmarkEnd w:id="331"/>
      <w:bookmarkStart w:id="332" w:name="_Toc184313296"/>
      <w:bookmarkEnd w:id="332"/>
      <w:bookmarkStart w:id="333" w:name="_Toc184310322"/>
      <w:bookmarkEnd w:id="333"/>
      <w:bookmarkStart w:id="334" w:name="_Toc184308088"/>
      <w:bookmarkEnd w:id="334"/>
      <w:bookmarkStart w:id="335" w:name="_Toc184310324"/>
      <w:bookmarkEnd w:id="335"/>
      <w:bookmarkStart w:id="336" w:name="_Toc184313276"/>
      <w:bookmarkEnd w:id="336"/>
      <w:bookmarkStart w:id="337" w:name="_Toc184310292"/>
      <w:bookmarkEnd w:id="337"/>
      <w:bookmarkStart w:id="338" w:name="_Toc184314463"/>
      <w:bookmarkEnd w:id="338"/>
      <w:bookmarkStart w:id="339" w:name="_Toc184310310"/>
      <w:bookmarkEnd w:id="339"/>
      <w:bookmarkStart w:id="340" w:name="_Toc184313272"/>
      <w:bookmarkEnd w:id="340"/>
      <w:bookmarkStart w:id="341" w:name="_Toc184308060"/>
      <w:bookmarkEnd w:id="341"/>
      <w:bookmarkStart w:id="342" w:name="_Toc184314441"/>
      <w:bookmarkEnd w:id="342"/>
      <w:bookmarkStart w:id="343" w:name="_Toc184308053"/>
      <w:bookmarkEnd w:id="343"/>
      <w:bookmarkStart w:id="344" w:name="_Toc184312132"/>
      <w:bookmarkEnd w:id="344"/>
      <w:bookmarkStart w:id="345" w:name="_Toc184312124"/>
      <w:bookmarkEnd w:id="345"/>
      <w:bookmarkStart w:id="346" w:name="_Toc184313267"/>
      <w:bookmarkEnd w:id="346"/>
      <w:bookmarkStart w:id="347" w:name="_Toc184310335"/>
      <w:bookmarkEnd w:id="347"/>
      <w:bookmarkStart w:id="348" w:name="_Toc184310274"/>
      <w:bookmarkEnd w:id="348"/>
      <w:bookmarkStart w:id="349" w:name="_Toc184314449"/>
      <w:bookmarkEnd w:id="349"/>
      <w:bookmarkStart w:id="350" w:name="_Toc184308103"/>
      <w:bookmarkEnd w:id="350"/>
      <w:bookmarkStart w:id="351" w:name="_Toc184312123"/>
      <w:bookmarkEnd w:id="351"/>
      <w:bookmarkStart w:id="352" w:name="_Toc184312085"/>
      <w:bookmarkEnd w:id="352"/>
      <w:bookmarkStart w:id="353" w:name="_Toc184310281"/>
      <w:bookmarkEnd w:id="353"/>
      <w:bookmarkStart w:id="354" w:name="_Toc184312121"/>
      <w:bookmarkEnd w:id="354"/>
      <w:bookmarkStart w:id="355" w:name="_Toc184313309"/>
      <w:bookmarkEnd w:id="355"/>
      <w:bookmarkStart w:id="356" w:name="_Toc184314475"/>
      <w:bookmarkEnd w:id="356"/>
      <w:bookmarkStart w:id="357" w:name="_Toc184308045"/>
      <w:bookmarkEnd w:id="357"/>
      <w:bookmarkStart w:id="358" w:name="_Toc184313301"/>
      <w:bookmarkEnd w:id="358"/>
      <w:bookmarkStart w:id="359" w:name="_Toc184310313"/>
      <w:bookmarkEnd w:id="359"/>
      <w:bookmarkStart w:id="360" w:name="_Toc184314444"/>
      <w:bookmarkEnd w:id="360"/>
      <w:bookmarkStart w:id="361" w:name="_Toc184312097"/>
      <w:bookmarkEnd w:id="361"/>
      <w:bookmarkStart w:id="362" w:name="_Toc184314479"/>
      <w:bookmarkEnd w:id="362"/>
      <w:bookmarkStart w:id="363" w:name="_Toc184310307"/>
      <w:bookmarkEnd w:id="363"/>
      <w:bookmarkStart w:id="364" w:name="_Toc184314456"/>
      <w:bookmarkEnd w:id="364"/>
      <w:bookmarkStart w:id="365" w:name="_Toc184313292"/>
      <w:bookmarkEnd w:id="365"/>
      <w:bookmarkStart w:id="366" w:name="_Toc184312075"/>
      <w:bookmarkEnd w:id="366"/>
      <w:bookmarkStart w:id="367" w:name="_Toc184312128"/>
      <w:bookmarkEnd w:id="367"/>
      <w:bookmarkStart w:id="368" w:name="_Toc184314482"/>
      <w:bookmarkEnd w:id="368"/>
      <w:bookmarkStart w:id="369" w:name="_Toc184310326"/>
      <w:bookmarkEnd w:id="369"/>
      <w:bookmarkStart w:id="370" w:name="_Toc184314450"/>
      <w:bookmarkEnd w:id="370"/>
      <w:bookmarkStart w:id="371" w:name="_Toc184312081"/>
      <w:bookmarkEnd w:id="371"/>
      <w:bookmarkStart w:id="372" w:name="_Toc184310286"/>
      <w:bookmarkEnd w:id="372"/>
      <w:bookmarkStart w:id="373" w:name="_Toc184310342"/>
      <w:bookmarkEnd w:id="373"/>
      <w:bookmarkStart w:id="374" w:name="_Toc184308090"/>
      <w:bookmarkEnd w:id="374"/>
      <w:bookmarkStart w:id="375" w:name="_Toc184308048"/>
      <w:bookmarkEnd w:id="375"/>
      <w:bookmarkStart w:id="376" w:name="_Toc184310278"/>
      <w:bookmarkEnd w:id="376"/>
      <w:bookmarkStart w:id="377" w:name="_Toc184310304"/>
      <w:bookmarkEnd w:id="377"/>
      <w:bookmarkStart w:id="378" w:name="_Toc184314432"/>
      <w:bookmarkEnd w:id="378"/>
      <w:bookmarkStart w:id="379" w:name="_Toc184313282"/>
      <w:bookmarkEnd w:id="379"/>
      <w:bookmarkStart w:id="380" w:name="_Toc184313239"/>
      <w:bookmarkEnd w:id="380"/>
      <w:bookmarkStart w:id="381" w:name="_Toc184308100"/>
      <w:bookmarkEnd w:id="381"/>
      <w:bookmarkStart w:id="382" w:name="_Toc184310343"/>
      <w:bookmarkEnd w:id="382"/>
      <w:bookmarkStart w:id="383" w:name="_Toc184313244"/>
      <w:bookmarkEnd w:id="383"/>
      <w:bookmarkStart w:id="384" w:name="_Toc184312095"/>
      <w:bookmarkEnd w:id="384"/>
      <w:bookmarkStart w:id="385" w:name="_Toc184312103"/>
      <w:bookmarkEnd w:id="385"/>
      <w:bookmarkStart w:id="386" w:name="_Toc184310337"/>
      <w:bookmarkEnd w:id="386"/>
      <w:r>
        <w:rPr>
          <w:rFonts w:hint="eastAsia" w:ascii="宋体" w:hAnsi="宋体" w:cs="宋体"/>
          <w:b/>
          <w:color w:val="auto"/>
          <w:sz w:val="36"/>
          <w:szCs w:val="36"/>
          <w:highlight w:val="none"/>
          <w:lang w:val="en-US" w:eastAsia="zh-CN"/>
        </w:rPr>
        <w:t>评审办法</w:t>
      </w:r>
    </w:p>
    <w:bookmarkEnd w:id="15"/>
    <w:p>
      <w:pPr>
        <w:snapToGrid w:val="0"/>
        <w:spacing w:line="360" w:lineRule="auto"/>
        <w:jc w:val="center"/>
        <w:rPr>
          <w:rFonts w:hint="eastAsia" w:ascii="宋体" w:hAnsi="宋体" w:eastAsia="宋体" w:cs="宋体"/>
          <w:b/>
          <w:color w:val="auto"/>
          <w:sz w:val="32"/>
          <w:szCs w:val="20"/>
          <w:highlight w:val="none"/>
        </w:rPr>
      </w:pPr>
      <w:bookmarkStart w:id="387" w:name="第五部分"/>
      <w:bookmarkStart w:id="388" w:name="_Toc86217003"/>
      <w:r>
        <w:rPr>
          <w:rFonts w:hint="eastAsia" w:ascii="宋体" w:hAnsi="宋体" w:eastAsia="宋体" w:cs="宋体"/>
          <w:b/>
          <w:color w:val="auto"/>
          <w:sz w:val="32"/>
          <w:szCs w:val="20"/>
          <w:highlight w:val="none"/>
          <w:lang w:eastAsia="zh-CN"/>
        </w:rPr>
        <w:t>交易办法</w:t>
      </w:r>
      <w:r>
        <w:rPr>
          <w:rFonts w:hint="eastAsia" w:ascii="宋体" w:hAnsi="宋体" w:eastAsia="宋体" w:cs="宋体"/>
          <w:b/>
          <w:color w:val="auto"/>
          <w:sz w:val="32"/>
          <w:szCs w:val="20"/>
          <w:highlight w:val="none"/>
        </w:rPr>
        <w:t>前附表</w:t>
      </w:r>
    </w:p>
    <w:p>
      <w:pPr>
        <w:widowControl/>
        <w:numPr>
          <w:ilvl w:val="0"/>
          <w:numId w:val="0"/>
        </w:numPr>
        <w:spacing w:line="360" w:lineRule="auto"/>
        <w:rPr>
          <w:rFonts w:hint="eastAsia" w:ascii="宋体" w:hAnsi="宋体" w:eastAsia="宋体" w:cs="宋体"/>
          <w:color w:val="auto"/>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商务技术部分（</w:t>
      </w:r>
      <w:r>
        <w:rPr>
          <w:rFonts w:hint="eastAsia" w:ascii="宋体" w:hAnsi="宋体" w:cs="宋体"/>
          <w:b/>
          <w:bCs/>
          <w:color w:val="auto"/>
          <w:sz w:val="24"/>
          <w:highlight w:val="none"/>
          <w:lang w:val="en-US" w:eastAsia="zh-CN"/>
        </w:rPr>
        <w:t>90</w:t>
      </w:r>
      <w:r>
        <w:rPr>
          <w:rFonts w:hint="eastAsia" w:ascii="宋体" w:hAnsi="宋体" w:eastAsia="宋体" w:cs="宋体"/>
          <w:b/>
          <w:bCs/>
          <w:color w:val="auto"/>
          <w:sz w:val="24"/>
          <w:highlight w:val="none"/>
        </w:rPr>
        <w:t>分）</w:t>
      </w:r>
      <w:r>
        <w:rPr>
          <w:rFonts w:hint="eastAsia" w:ascii="宋体" w:hAnsi="宋体" w:eastAsia="宋体" w:cs="宋体"/>
          <w:b/>
          <w:bCs/>
          <w:color w:val="auto"/>
          <w:sz w:val="24"/>
          <w:highlight w:val="none"/>
          <w:lang w:eastAsia="zh-CN"/>
        </w:rPr>
        <w:t>：</w:t>
      </w:r>
    </w:p>
    <w:tbl>
      <w:tblPr>
        <w:tblStyle w:val="64"/>
        <w:tblpPr w:leftFromText="180" w:rightFromText="180" w:vertAnchor="text" w:horzAnchor="page" w:tblpXSpec="center" w:tblpY="78"/>
        <w:tblOverlap w:val="never"/>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771"/>
        <w:gridCol w:w="1288"/>
        <w:gridCol w:w="5447"/>
        <w:gridCol w:w="739"/>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75" w:type="dxa"/>
            <w:noWrap/>
            <w:vAlign w:val="center"/>
          </w:tcPr>
          <w:p>
            <w:pPr>
              <w:spacing w:after="0" w:line="240" w:lineRule="auto"/>
              <w:jc w:val="center"/>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项目</w:t>
            </w:r>
          </w:p>
        </w:tc>
        <w:tc>
          <w:tcPr>
            <w:tcW w:w="771" w:type="dxa"/>
            <w:noWrap/>
            <w:vAlign w:val="center"/>
          </w:tcPr>
          <w:p>
            <w:pPr>
              <w:spacing w:after="0" w:line="240" w:lineRule="auto"/>
              <w:jc w:val="center"/>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序号</w:t>
            </w:r>
          </w:p>
        </w:tc>
        <w:tc>
          <w:tcPr>
            <w:tcW w:w="6735" w:type="dxa"/>
            <w:gridSpan w:val="2"/>
            <w:noWrap/>
            <w:vAlign w:val="center"/>
          </w:tcPr>
          <w:p>
            <w:pPr>
              <w:spacing w:after="0" w:line="240" w:lineRule="auto"/>
              <w:jc w:val="center"/>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评分内容和标准</w:t>
            </w:r>
          </w:p>
        </w:tc>
        <w:tc>
          <w:tcPr>
            <w:tcW w:w="739" w:type="dxa"/>
            <w:noWrap/>
            <w:vAlign w:val="center"/>
          </w:tcPr>
          <w:p>
            <w:pPr>
              <w:spacing w:after="0" w:line="240" w:lineRule="auto"/>
              <w:jc w:val="center"/>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分值</w:t>
            </w:r>
          </w:p>
          <w:p>
            <w:pPr>
              <w:spacing w:after="0" w:line="240" w:lineRule="auto"/>
              <w:jc w:val="center"/>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区间</w:t>
            </w:r>
          </w:p>
        </w:tc>
        <w:tc>
          <w:tcPr>
            <w:tcW w:w="978" w:type="dxa"/>
            <w:noWrap/>
            <w:vAlign w:val="center"/>
          </w:tcPr>
          <w:p>
            <w:pPr>
              <w:spacing w:after="0" w:line="240" w:lineRule="auto"/>
              <w:jc w:val="center"/>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5" w:type="dxa"/>
            <w:vMerge w:val="restart"/>
            <w:noWrap/>
            <w:vAlign w:val="center"/>
          </w:tcPr>
          <w:p>
            <w:pPr>
              <w:spacing w:after="0" w:line="240" w:lineRule="auto"/>
              <w:ind w:right="-13" w:rightChars="-6"/>
              <w:jc w:val="center"/>
              <w:rPr>
                <w:rFonts w:hint="eastAsia" w:ascii="宋体" w:hAnsi="宋体" w:eastAsia="宋体" w:cs="宋体"/>
                <w:b w:val="0"/>
                <w:bCs w:val="0"/>
                <w:i w:val="0"/>
                <w:iCs w:val="0"/>
                <w:color w:val="auto"/>
                <w:sz w:val="24"/>
                <w:szCs w:val="24"/>
                <w:highlight w:val="none"/>
                <w:lang w:eastAsia="zh-CN"/>
              </w:rPr>
            </w:pPr>
            <w:r>
              <w:rPr>
                <w:rFonts w:hint="eastAsia" w:ascii="宋体" w:hAnsi="宋体" w:eastAsia="宋体" w:cs="宋体"/>
                <w:b w:val="0"/>
                <w:bCs w:val="0"/>
                <w:i w:val="0"/>
                <w:iCs w:val="0"/>
                <w:color w:val="auto"/>
                <w:sz w:val="24"/>
                <w:szCs w:val="24"/>
                <w:highlight w:val="none"/>
              </w:rPr>
              <w:t>商务资信分</w:t>
            </w:r>
            <w:r>
              <w:rPr>
                <w:rFonts w:hint="eastAsia" w:ascii="宋体" w:hAnsi="宋体" w:cs="宋体"/>
                <w:b w:val="0"/>
                <w:bCs w:val="0"/>
                <w:i w:val="0"/>
                <w:iCs w:val="0"/>
                <w:color w:val="auto"/>
                <w:sz w:val="24"/>
                <w:szCs w:val="24"/>
                <w:highlight w:val="none"/>
                <w:lang w:eastAsia="zh-CN"/>
              </w:rPr>
              <w:t>（</w:t>
            </w:r>
            <w:r>
              <w:rPr>
                <w:rFonts w:hint="eastAsia" w:ascii="宋体" w:hAnsi="宋体" w:cs="宋体"/>
                <w:b w:val="0"/>
                <w:bCs w:val="0"/>
                <w:i w:val="0"/>
                <w:iCs w:val="0"/>
                <w:color w:val="auto"/>
                <w:sz w:val="24"/>
                <w:szCs w:val="24"/>
                <w:highlight w:val="none"/>
                <w:lang w:val="en-US" w:eastAsia="zh-CN"/>
              </w:rPr>
              <w:t>10分</w:t>
            </w:r>
            <w:r>
              <w:rPr>
                <w:rFonts w:hint="eastAsia" w:ascii="宋体" w:hAnsi="宋体" w:cs="宋体"/>
                <w:b w:val="0"/>
                <w:bCs w:val="0"/>
                <w:i w:val="0"/>
                <w:iCs w:val="0"/>
                <w:color w:val="auto"/>
                <w:sz w:val="24"/>
                <w:szCs w:val="24"/>
                <w:highlight w:val="none"/>
                <w:lang w:eastAsia="zh-CN"/>
              </w:rPr>
              <w:t>）</w:t>
            </w:r>
          </w:p>
        </w:tc>
        <w:tc>
          <w:tcPr>
            <w:tcW w:w="771" w:type="dxa"/>
            <w:noWrap/>
            <w:vAlign w:val="center"/>
          </w:tcPr>
          <w:p>
            <w:pPr>
              <w:pStyle w:val="6"/>
              <w:spacing w:before="0" w:after="0" w:line="240" w:lineRule="auto"/>
              <w:ind w:left="0" w:leftChars="0" w:firstLine="0" w:firstLineChars="0"/>
              <w:jc w:val="cente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1</w:t>
            </w:r>
          </w:p>
        </w:tc>
        <w:tc>
          <w:tcPr>
            <w:tcW w:w="6735" w:type="dxa"/>
            <w:gridSpan w:val="2"/>
            <w:noWrap/>
            <w:vAlign w:val="center"/>
          </w:tcPr>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供应商业绩(1分)：供应商自2021年1月1日以来以承担过类似规划方案设计业绩的每个得 0.5分，最高得1分。</w:t>
            </w:r>
          </w:p>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注：提供中标通知书或合同复印件，时间以中标通知书或合同签订日期为准。</w:t>
            </w:r>
          </w:p>
        </w:tc>
        <w:tc>
          <w:tcPr>
            <w:tcW w:w="739" w:type="dxa"/>
            <w:noWrap/>
            <w:vAlign w:val="center"/>
          </w:tcPr>
          <w:p>
            <w:pPr>
              <w:adjustRightInd w:val="0"/>
              <w:spacing w:after="0" w:line="240" w:lineRule="auto"/>
              <w:jc w:val="center"/>
              <w:rPr>
                <w:rFonts w:hint="default"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1</w:t>
            </w:r>
          </w:p>
        </w:tc>
        <w:tc>
          <w:tcPr>
            <w:tcW w:w="978" w:type="dxa"/>
            <w:noWrap/>
            <w:vAlign w:val="center"/>
          </w:tcPr>
          <w:p>
            <w:pPr>
              <w:adjustRightInd w:val="0"/>
              <w:spacing w:after="0" w:line="240" w:lineRule="auto"/>
              <w:jc w:val="center"/>
              <w:rPr>
                <w:rFonts w:hint="default"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775" w:type="dxa"/>
            <w:vMerge w:val="continue"/>
            <w:noWrap/>
            <w:vAlign w:val="center"/>
          </w:tcPr>
          <w:p>
            <w:pPr>
              <w:spacing w:after="0" w:line="240" w:lineRule="auto"/>
              <w:ind w:right="-13" w:rightChars="-6"/>
              <w:jc w:val="center"/>
              <w:rPr>
                <w:rFonts w:hint="eastAsia" w:ascii="宋体" w:hAnsi="宋体" w:eastAsia="宋体" w:cs="宋体"/>
                <w:b w:val="0"/>
                <w:bCs w:val="0"/>
                <w:i w:val="0"/>
                <w:iCs w:val="0"/>
                <w:color w:val="auto"/>
                <w:sz w:val="24"/>
                <w:szCs w:val="24"/>
                <w:highlight w:val="none"/>
              </w:rPr>
            </w:pPr>
          </w:p>
        </w:tc>
        <w:tc>
          <w:tcPr>
            <w:tcW w:w="771" w:type="dxa"/>
            <w:noWrap/>
            <w:vAlign w:val="center"/>
          </w:tcPr>
          <w:p>
            <w:pPr>
              <w:pStyle w:val="6"/>
              <w:spacing w:before="0" w:after="0" w:line="240" w:lineRule="auto"/>
              <w:ind w:left="0" w:leftChars="0" w:firstLine="0" w:firstLineChars="0"/>
              <w:jc w:val="center"/>
              <w:rPr>
                <w:rFonts w:hint="eastAsia" w:ascii="宋体" w:hAnsi="宋体" w:eastAsia="宋体" w:cs="宋体"/>
                <w:b w:val="0"/>
                <w:bCs w:val="0"/>
                <w:i w:val="0"/>
                <w:iCs w:val="0"/>
                <w:color w:val="auto"/>
                <w:sz w:val="24"/>
                <w:szCs w:val="24"/>
                <w:highlight w:val="none"/>
                <w:lang w:val="zh-CN" w:eastAsia="zh-CN"/>
              </w:rPr>
            </w:pPr>
            <w:r>
              <w:rPr>
                <w:rFonts w:hint="eastAsia" w:ascii="宋体" w:hAnsi="宋体" w:eastAsia="宋体" w:cs="宋体"/>
                <w:b w:val="0"/>
                <w:bCs w:val="0"/>
                <w:i w:val="0"/>
                <w:iCs w:val="0"/>
                <w:color w:val="auto"/>
                <w:sz w:val="24"/>
                <w:szCs w:val="24"/>
                <w:highlight w:val="none"/>
                <w:lang w:val="en-US" w:eastAsia="zh-CN"/>
              </w:rPr>
              <w:t>2</w:t>
            </w:r>
          </w:p>
        </w:tc>
        <w:tc>
          <w:tcPr>
            <w:tcW w:w="6735" w:type="dxa"/>
            <w:gridSpan w:val="2"/>
            <w:noWrap/>
            <w:vAlign w:val="center"/>
          </w:tcPr>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eastAsia="zh-CN"/>
              </w:rPr>
            </w:pPr>
            <w:r>
              <w:rPr>
                <w:rFonts w:hint="eastAsia" w:ascii="宋体" w:hAnsi="宋体" w:eastAsia="宋体" w:cs="宋体"/>
                <w:b w:val="0"/>
                <w:bCs w:val="0"/>
                <w:i w:val="0"/>
                <w:iCs w:val="0"/>
                <w:color w:val="auto"/>
                <w:sz w:val="24"/>
                <w:szCs w:val="24"/>
                <w:highlight w:val="none"/>
              </w:rPr>
              <w:t>根据</w:t>
            </w:r>
            <w:r>
              <w:rPr>
                <w:rFonts w:hint="eastAsia" w:ascii="宋体" w:hAnsi="宋体" w:eastAsia="宋体" w:cs="宋体"/>
                <w:b w:val="0"/>
                <w:bCs w:val="0"/>
                <w:i w:val="0"/>
                <w:iCs w:val="0"/>
                <w:color w:val="auto"/>
                <w:sz w:val="24"/>
                <w:szCs w:val="24"/>
                <w:highlight w:val="none"/>
                <w:lang w:eastAsia="zh-CN"/>
              </w:rPr>
              <w:t>供应商</w:t>
            </w:r>
            <w:r>
              <w:rPr>
                <w:rFonts w:hint="eastAsia" w:ascii="宋体" w:hAnsi="宋体" w:eastAsia="宋体" w:cs="宋体"/>
                <w:b w:val="0"/>
                <w:bCs w:val="0"/>
                <w:i w:val="0"/>
                <w:iCs w:val="0"/>
                <w:color w:val="auto"/>
                <w:sz w:val="24"/>
                <w:szCs w:val="24"/>
                <w:highlight w:val="none"/>
              </w:rPr>
              <w:t>针对本项目拟配备的人员在以下方面进行打分</w:t>
            </w:r>
            <w:r>
              <w:rPr>
                <w:rFonts w:hint="eastAsia" w:ascii="宋体" w:hAnsi="宋体" w:eastAsia="宋体" w:cs="宋体"/>
                <w:b w:val="0"/>
                <w:bCs w:val="0"/>
                <w:i w:val="0"/>
                <w:iCs w:val="0"/>
                <w:color w:val="auto"/>
                <w:sz w:val="24"/>
                <w:szCs w:val="24"/>
                <w:highlight w:val="none"/>
                <w:lang w:eastAsia="zh-CN"/>
              </w:rPr>
              <w:t>：</w:t>
            </w:r>
          </w:p>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1、规划专业负责人</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具有教授级高级工程师职称及注册规划师资格的得4分</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具有高级工程师职称及注册规划师资格的得</w:t>
            </w: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分</w:t>
            </w:r>
            <w:r>
              <w:rPr>
                <w:rFonts w:hint="eastAsia" w:ascii="宋体" w:hAnsi="宋体" w:eastAsia="宋体" w:cs="宋体"/>
                <w:b w:val="0"/>
                <w:bCs w:val="0"/>
                <w:i w:val="0"/>
                <w:iCs w:val="0"/>
                <w:color w:val="auto"/>
                <w:sz w:val="24"/>
                <w:szCs w:val="24"/>
                <w:highlight w:val="none"/>
                <w:lang w:eastAsia="zh-CN"/>
              </w:rPr>
              <w:t>。</w:t>
            </w:r>
          </w:p>
          <w:p>
            <w:pPr>
              <w:pStyle w:val="6"/>
              <w:numPr>
                <w:ilvl w:val="0"/>
                <w:numId w:val="0"/>
              </w:numPr>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kern w:val="2"/>
                <w:sz w:val="24"/>
                <w:szCs w:val="24"/>
                <w:highlight w:val="none"/>
                <w:lang w:val="zh-CN" w:eastAsia="zh-CN" w:bidi="ar-SA"/>
              </w:rPr>
              <w:t>2、</w:t>
            </w:r>
            <w:r>
              <w:rPr>
                <w:rFonts w:hint="eastAsia" w:ascii="宋体" w:hAnsi="宋体" w:eastAsia="宋体" w:cs="宋体"/>
                <w:b w:val="0"/>
                <w:bCs w:val="0"/>
                <w:i w:val="0"/>
                <w:iCs w:val="0"/>
                <w:color w:val="auto"/>
                <w:sz w:val="24"/>
                <w:szCs w:val="24"/>
                <w:highlight w:val="none"/>
              </w:rPr>
              <w:t>拟派项目组成员中(除项目负责人外</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最多5人</w:t>
            </w:r>
            <w:r>
              <w:rPr>
                <w:rFonts w:hint="eastAsia" w:ascii="宋体" w:hAnsi="宋体" w:eastAsia="宋体" w:cs="宋体"/>
                <w:b w:val="0"/>
                <w:bCs w:val="0"/>
                <w:i w:val="0"/>
                <w:iCs w:val="0"/>
                <w:color w:val="auto"/>
                <w:sz w:val="24"/>
                <w:szCs w:val="24"/>
                <w:highlight w:val="none"/>
              </w:rPr>
              <w:t>)具有城市(城乡)规划专业高级工程师及以上职称且同时具备国家注册规划师证书的每个得1分</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具有城市(城乡)规划专业</w:t>
            </w:r>
            <w:r>
              <w:rPr>
                <w:rFonts w:hint="eastAsia" w:ascii="宋体" w:hAnsi="宋体" w:eastAsia="宋体" w:cs="宋体"/>
                <w:b w:val="0"/>
                <w:bCs w:val="0"/>
                <w:i w:val="0"/>
                <w:iCs w:val="0"/>
                <w:color w:val="auto"/>
                <w:sz w:val="24"/>
                <w:szCs w:val="24"/>
                <w:highlight w:val="none"/>
                <w:lang w:val="en-US" w:eastAsia="zh-CN"/>
              </w:rPr>
              <w:t>中</w:t>
            </w:r>
            <w:r>
              <w:rPr>
                <w:rFonts w:hint="eastAsia" w:ascii="宋体" w:hAnsi="宋体" w:eastAsia="宋体" w:cs="宋体"/>
                <w:b w:val="0"/>
                <w:bCs w:val="0"/>
                <w:i w:val="0"/>
                <w:iCs w:val="0"/>
                <w:color w:val="auto"/>
                <w:sz w:val="24"/>
                <w:szCs w:val="24"/>
                <w:highlight w:val="none"/>
              </w:rPr>
              <w:t>级工程师职称且同时具备国家注册规划师证书的每个得</w:t>
            </w:r>
            <w:r>
              <w:rPr>
                <w:rFonts w:hint="eastAsia" w:ascii="宋体" w:hAnsi="宋体" w:eastAsia="宋体" w:cs="宋体"/>
                <w:b w:val="0"/>
                <w:bCs w:val="0"/>
                <w:i w:val="0"/>
                <w:iCs w:val="0"/>
                <w:color w:val="auto"/>
                <w:sz w:val="24"/>
                <w:szCs w:val="24"/>
                <w:highlight w:val="none"/>
                <w:lang w:val="en-US" w:eastAsia="zh-CN"/>
              </w:rPr>
              <w:t>0.5</w:t>
            </w:r>
            <w:r>
              <w:rPr>
                <w:rFonts w:hint="eastAsia" w:ascii="宋体" w:hAnsi="宋体" w:eastAsia="宋体" w:cs="宋体"/>
                <w:b w:val="0"/>
                <w:bCs w:val="0"/>
                <w:i w:val="0"/>
                <w:iCs w:val="0"/>
                <w:color w:val="auto"/>
                <w:sz w:val="24"/>
                <w:szCs w:val="24"/>
                <w:highlight w:val="none"/>
              </w:rPr>
              <w:t>分</w:t>
            </w:r>
            <w:r>
              <w:rPr>
                <w:rFonts w:hint="eastAsia" w:ascii="宋体" w:hAnsi="宋体" w:eastAsia="宋体" w:cs="宋体"/>
                <w:b w:val="0"/>
                <w:bCs w:val="0"/>
                <w:i w:val="0"/>
                <w:iCs w:val="0"/>
                <w:color w:val="auto"/>
                <w:sz w:val="24"/>
                <w:szCs w:val="24"/>
                <w:highlight w:val="none"/>
                <w:lang w:val="en-US" w:eastAsia="zh-CN"/>
              </w:rPr>
              <w:t>，</w:t>
            </w:r>
            <w:r>
              <w:rPr>
                <w:rFonts w:hint="eastAsia" w:ascii="宋体" w:hAnsi="宋体" w:eastAsia="宋体" w:cs="宋体"/>
                <w:b w:val="0"/>
                <w:bCs w:val="0"/>
                <w:i w:val="0"/>
                <w:iCs w:val="0"/>
                <w:color w:val="auto"/>
                <w:sz w:val="24"/>
                <w:szCs w:val="24"/>
                <w:highlight w:val="none"/>
              </w:rPr>
              <w:t>本项最高得5分</w:t>
            </w:r>
            <w:r>
              <w:rPr>
                <w:rFonts w:hint="eastAsia" w:ascii="宋体" w:hAnsi="宋体" w:eastAsia="宋体" w:cs="宋体"/>
                <w:b w:val="0"/>
                <w:bCs w:val="0"/>
                <w:i w:val="0"/>
                <w:iCs w:val="0"/>
                <w:color w:val="auto"/>
                <w:sz w:val="24"/>
                <w:szCs w:val="24"/>
                <w:highlight w:val="none"/>
                <w:lang w:eastAsia="zh-CN"/>
              </w:rPr>
              <w:t>。</w:t>
            </w:r>
          </w:p>
          <w:p>
            <w:pPr>
              <w:pStyle w:val="6"/>
              <w:numPr>
                <w:ilvl w:val="0"/>
                <w:numId w:val="0"/>
              </w:numPr>
              <w:spacing w:before="0" w:after="0" w:line="240" w:lineRule="auto"/>
              <w:ind w:leftChars="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注：</w:t>
            </w:r>
            <w:r>
              <w:rPr>
                <w:rFonts w:hint="eastAsia" w:ascii="宋体" w:hAnsi="宋体" w:eastAsia="宋体" w:cs="宋体"/>
                <w:b w:val="0"/>
                <w:bCs w:val="0"/>
                <w:i w:val="0"/>
                <w:iCs w:val="0"/>
                <w:color w:val="auto"/>
                <w:sz w:val="24"/>
                <w:szCs w:val="24"/>
                <w:highlight w:val="none"/>
              </w:rPr>
              <w:t>提供</w:t>
            </w:r>
            <w:r>
              <w:rPr>
                <w:rFonts w:hint="eastAsia" w:ascii="宋体" w:hAnsi="宋体" w:eastAsia="宋体" w:cs="宋体"/>
                <w:b w:val="0"/>
                <w:bCs w:val="0"/>
                <w:i w:val="0"/>
                <w:iCs w:val="0"/>
                <w:color w:val="auto"/>
                <w:sz w:val="24"/>
                <w:szCs w:val="24"/>
                <w:highlight w:val="none"/>
                <w:lang w:eastAsia="zh-CN"/>
              </w:rPr>
              <w:t>供应商</w:t>
            </w:r>
            <w:r>
              <w:rPr>
                <w:rFonts w:hint="eastAsia" w:ascii="宋体" w:hAnsi="宋体" w:eastAsia="宋体" w:cs="宋体"/>
                <w:b w:val="0"/>
                <w:bCs w:val="0"/>
                <w:i w:val="0"/>
                <w:iCs w:val="0"/>
                <w:color w:val="auto"/>
                <w:sz w:val="24"/>
                <w:szCs w:val="24"/>
                <w:highlight w:val="none"/>
              </w:rPr>
              <w:t>为相关人员缴纳的近3个月社保缴费证明，以及证书扫描件或其他资格证明材料复印件，不提供或提供不全不得分</w:t>
            </w:r>
            <w:r>
              <w:rPr>
                <w:rFonts w:hint="eastAsia" w:ascii="宋体" w:hAnsi="宋体" w:eastAsia="宋体" w:cs="宋体"/>
                <w:b w:val="0"/>
                <w:bCs w:val="0"/>
                <w:i w:val="0"/>
                <w:iCs w:val="0"/>
                <w:color w:val="auto"/>
                <w:sz w:val="24"/>
                <w:szCs w:val="24"/>
                <w:highlight w:val="none"/>
                <w:lang w:eastAsia="zh-CN"/>
              </w:rPr>
              <w:t>。</w:t>
            </w:r>
          </w:p>
        </w:tc>
        <w:tc>
          <w:tcPr>
            <w:tcW w:w="739" w:type="dxa"/>
            <w:noWrap/>
            <w:vAlign w:val="center"/>
          </w:tcPr>
          <w:p>
            <w:pPr>
              <w:adjustRightInd w:val="0"/>
              <w:spacing w:after="0" w:line="240" w:lineRule="auto"/>
              <w:jc w:val="center"/>
              <w:rPr>
                <w:rFonts w:hint="default"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9</w:t>
            </w:r>
          </w:p>
        </w:tc>
        <w:tc>
          <w:tcPr>
            <w:tcW w:w="978" w:type="dxa"/>
            <w:noWrap/>
            <w:vAlign w:val="center"/>
          </w:tcPr>
          <w:p>
            <w:pPr>
              <w:adjustRightInd w:val="0"/>
              <w:spacing w:after="0" w:line="240" w:lineRule="auto"/>
              <w:jc w:val="cente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75" w:type="dxa"/>
            <w:vMerge w:val="restart"/>
            <w:noWrap/>
            <w:vAlign w:val="center"/>
          </w:tcPr>
          <w:p>
            <w:pPr>
              <w:spacing w:after="0" w:line="240" w:lineRule="auto"/>
              <w:jc w:val="center"/>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技术分（</w:t>
            </w:r>
            <w:r>
              <w:rPr>
                <w:rFonts w:hint="eastAsia" w:ascii="宋体" w:hAnsi="宋体" w:cs="宋体"/>
                <w:b w:val="0"/>
                <w:bCs w:val="0"/>
                <w:i w:val="0"/>
                <w:iCs w:val="0"/>
                <w:color w:val="auto"/>
                <w:sz w:val="24"/>
                <w:szCs w:val="24"/>
                <w:highlight w:val="none"/>
                <w:lang w:val="en-US" w:eastAsia="zh-CN"/>
              </w:rPr>
              <w:t>80</w:t>
            </w:r>
            <w:r>
              <w:rPr>
                <w:rFonts w:hint="eastAsia" w:ascii="宋体" w:hAnsi="宋体" w:eastAsia="宋体" w:cs="宋体"/>
                <w:b w:val="0"/>
                <w:bCs w:val="0"/>
                <w:i w:val="0"/>
                <w:iCs w:val="0"/>
                <w:color w:val="auto"/>
                <w:sz w:val="24"/>
                <w:szCs w:val="24"/>
                <w:highlight w:val="none"/>
              </w:rPr>
              <w:t>分）</w:t>
            </w:r>
          </w:p>
        </w:tc>
        <w:tc>
          <w:tcPr>
            <w:tcW w:w="771" w:type="dxa"/>
            <w:vMerge w:val="restart"/>
            <w:noWrap/>
            <w:vAlign w:val="center"/>
          </w:tcPr>
          <w:p>
            <w:pPr>
              <w:spacing w:after="0" w:line="240" w:lineRule="auto"/>
              <w:jc w:val="center"/>
              <w:rPr>
                <w:rFonts w:hint="default" w:ascii="宋体" w:hAnsi="宋体" w:eastAsia="宋体" w:cs="宋体"/>
                <w:b w:val="0"/>
                <w:bCs w:val="0"/>
                <w:i w:val="0"/>
                <w:iCs w:val="0"/>
                <w:color w:val="auto"/>
                <w:sz w:val="24"/>
                <w:szCs w:val="24"/>
                <w:highlight w:val="none"/>
                <w:lang w:val="en-US" w:eastAsia="zh-CN" w:bidi="ar-SA"/>
              </w:rPr>
            </w:pPr>
            <w:r>
              <w:rPr>
                <w:rFonts w:hint="eastAsia" w:ascii="宋体" w:hAnsi="宋体" w:cs="宋体"/>
                <w:b w:val="0"/>
                <w:bCs w:val="0"/>
                <w:i w:val="0"/>
                <w:iCs w:val="0"/>
                <w:color w:val="auto"/>
                <w:sz w:val="24"/>
                <w:szCs w:val="24"/>
                <w:highlight w:val="none"/>
                <w:lang w:val="en-US" w:eastAsia="zh-CN" w:bidi="ar-SA"/>
              </w:rPr>
              <w:t>1</w:t>
            </w:r>
          </w:p>
        </w:tc>
        <w:tc>
          <w:tcPr>
            <w:tcW w:w="1288" w:type="dxa"/>
            <w:vMerge w:val="restart"/>
            <w:noWrap/>
            <w:vAlign w:val="center"/>
          </w:tcPr>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总体认知(20分)</w:t>
            </w:r>
          </w:p>
        </w:tc>
        <w:tc>
          <w:tcPr>
            <w:tcW w:w="5447" w:type="dxa"/>
            <w:noWrap/>
            <w:vAlign w:val="center"/>
          </w:tcPr>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供应商对项目背景、任务要求的理解程度，认识深入得3-5分，认识一般得1-2分，未提及的得0分。</w:t>
            </w:r>
          </w:p>
        </w:tc>
        <w:tc>
          <w:tcPr>
            <w:tcW w:w="739" w:type="dxa"/>
            <w:noWrap/>
            <w:vAlign w:val="center"/>
          </w:tcPr>
          <w:p>
            <w:pPr>
              <w:pStyle w:val="6"/>
              <w:spacing w:before="0" w:after="0" w:line="240" w:lineRule="auto"/>
              <w:ind w:left="0" w:leftChars="0" w:firstLine="0" w:firstLineChars="0"/>
              <w:jc w:val="center"/>
              <w:rPr>
                <w:rFonts w:hint="default"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5</w:t>
            </w:r>
          </w:p>
        </w:tc>
        <w:tc>
          <w:tcPr>
            <w:tcW w:w="978" w:type="dxa"/>
            <w:noWrap/>
            <w:vAlign w:val="center"/>
          </w:tcPr>
          <w:p>
            <w:pPr>
              <w:pStyle w:val="6"/>
              <w:spacing w:before="0" w:after="0" w:line="240" w:lineRule="auto"/>
              <w:ind w:left="0" w:leftChars="0" w:firstLine="0" w:firstLineChars="0"/>
              <w:jc w:val="center"/>
              <w:rPr>
                <w:rFonts w:hint="default"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75" w:type="dxa"/>
            <w:vMerge w:val="continue"/>
            <w:noWrap/>
            <w:vAlign w:val="center"/>
          </w:tcPr>
          <w:p>
            <w:pPr>
              <w:spacing w:after="0" w:line="240" w:lineRule="auto"/>
              <w:jc w:val="center"/>
              <w:rPr>
                <w:rFonts w:hint="eastAsia" w:ascii="宋体" w:hAnsi="宋体" w:eastAsia="宋体" w:cs="宋体"/>
                <w:b w:val="0"/>
                <w:bCs w:val="0"/>
                <w:i w:val="0"/>
                <w:iCs w:val="0"/>
                <w:color w:val="auto"/>
                <w:sz w:val="24"/>
                <w:szCs w:val="24"/>
                <w:highlight w:val="none"/>
              </w:rPr>
            </w:pPr>
          </w:p>
        </w:tc>
        <w:tc>
          <w:tcPr>
            <w:tcW w:w="771" w:type="dxa"/>
            <w:vMerge w:val="continue"/>
            <w:noWrap/>
            <w:vAlign w:val="center"/>
          </w:tcPr>
          <w:p>
            <w:pPr>
              <w:spacing w:after="0" w:line="240" w:lineRule="auto"/>
              <w:jc w:val="center"/>
              <w:rPr>
                <w:rFonts w:hint="default" w:ascii="宋体" w:hAnsi="宋体" w:eastAsia="宋体" w:cs="宋体"/>
                <w:b w:val="0"/>
                <w:bCs w:val="0"/>
                <w:i w:val="0"/>
                <w:iCs w:val="0"/>
                <w:color w:val="auto"/>
                <w:sz w:val="24"/>
                <w:szCs w:val="24"/>
                <w:highlight w:val="none"/>
                <w:lang w:val="en-US" w:eastAsia="zh-CN" w:bidi="ar-SA"/>
              </w:rPr>
            </w:pPr>
          </w:p>
        </w:tc>
        <w:tc>
          <w:tcPr>
            <w:tcW w:w="1288" w:type="dxa"/>
            <w:vMerge w:val="continue"/>
            <w:noWrap/>
            <w:vAlign w:val="center"/>
          </w:tcPr>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p>
        </w:tc>
        <w:tc>
          <w:tcPr>
            <w:tcW w:w="5447" w:type="dxa"/>
            <w:noWrap/>
            <w:vAlign w:val="center"/>
          </w:tcPr>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对杭州及项目规划范围内的上位规划及相关规划的认知及解读，认识深入得7-10分，认识良好得5-7分，认识一般得1-5分，未提及的得0分。</w:t>
            </w:r>
          </w:p>
        </w:tc>
        <w:tc>
          <w:tcPr>
            <w:tcW w:w="739" w:type="dxa"/>
            <w:noWrap/>
            <w:vAlign w:val="center"/>
          </w:tcPr>
          <w:p>
            <w:pPr>
              <w:pStyle w:val="6"/>
              <w:spacing w:before="0" w:after="0" w:line="240" w:lineRule="auto"/>
              <w:ind w:left="0" w:leftChars="0" w:firstLine="0" w:firstLineChars="0"/>
              <w:jc w:val="center"/>
              <w:rPr>
                <w:rFonts w:hint="default"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10</w:t>
            </w:r>
          </w:p>
        </w:tc>
        <w:tc>
          <w:tcPr>
            <w:tcW w:w="978" w:type="dxa"/>
            <w:noWrap/>
            <w:vAlign w:val="center"/>
          </w:tcPr>
          <w:p>
            <w:pPr>
              <w:spacing w:before="0" w:after="0" w:line="240" w:lineRule="auto"/>
              <w:ind w:left="0" w:leftChars="0" w:firstLine="0" w:firstLineChars="0"/>
              <w:jc w:val="cente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75" w:type="dxa"/>
            <w:vMerge w:val="continue"/>
            <w:noWrap/>
            <w:vAlign w:val="center"/>
          </w:tcPr>
          <w:p>
            <w:pPr>
              <w:spacing w:after="0" w:line="240" w:lineRule="auto"/>
              <w:jc w:val="center"/>
              <w:rPr>
                <w:rFonts w:hint="eastAsia" w:ascii="宋体" w:hAnsi="宋体" w:eastAsia="宋体" w:cs="宋体"/>
                <w:b w:val="0"/>
                <w:bCs w:val="0"/>
                <w:i w:val="0"/>
                <w:iCs w:val="0"/>
                <w:color w:val="auto"/>
                <w:sz w:val="24"/>
                <w:szCs w:val="24"/>
                <w:highlight w:val="none"/>
              </w:rPr>
            </w:pPr>
          </w:p>
        </w:tc>
        <w:tc>
          <w:tcPr>
            <w:tcW w:w="771" w:type="dxa"/>
            <w:vMerge w:val="continue"/>
            <w:noWrap/>
            <w:vAlign w:val="center"/>
          </w:tcPr>
          <w:p>
            <w:pPr>
              <w:spacing w:after="0" w:line="240" w:lineRule="auto"/>
              <w:jc w:val="center"/>
              <w:rPr>
                <w:rFonts w:hint="default" w:ascii="宋体" w:hAnsi="宋体" w:eastAsia="宋体" w:cs="宋体"/>
                <w:b w:val="0"/>
                <w:bCs w:val="0"/>
                <w:i w:val="0"/>
                <w:iCs w:val="0"/>
                <w:color w:val="auto"/>
                <w:sz w:val="24"/>
                <w:szCs w:val="24"/>
                <w:highlight w:val="none"/>
                <w:lang w:val="en-US" w:eastAsia="zh-CN" w:bidi="ar-SA"/>
              </w:rPr>
            </w:pPr>
          </w:p>
        </w:tc>
        <w:tc>
          <w:tcPr>
            <w:tcW w:w="1288" w:type="dxa"/>
            <w:vMerge w:val="continue"/>
            <w:noWrap/>
            <w:vAlign w:val="center"/>
          </w:tcPr>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p>
        </w:tc>
        <w:tc>
          <w:tcPr>
            <w:tcW w:w="5447" w:type="dxa"/>
            <w:noWrap/>
            <w:vAlign w:val="center"/>
          </w:tcPr>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对项目重难点的理解，认识深入得3-5分，认识一般得1-2分，未提及的得0分。</w:t>
            </w:r>
          </w:p>
        </w:tc>
        <w:tc>
          <w:tcPr>
            <w:tcW w:w="739" w:type="dxa"/>
            <w:noWrap/>
            <w:vAlign w:val="center"/>
          </w:tcPr>
          <w:p>
            <w:pPr>
              <w:pStyle w:val="6"/>
              <w:spacing w:before="0" w:after="0" w:line="240" w:lineRule="auto"/>
              <w:ind w:left="0" w:leftChars="0" w:firstLine="0" w:firstLineChars="0"/>
              <w:jc w:val="center"/>
              <w:rPr>
                <w:rFonts w:hint="default"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5</w:t>
            </w:r>
          </w:p>
        </w:tc>
        <w:tc>
          <w:tcPr>
            <w:tcW w:w="978" w:type="dxa"/>
            <w:noWrap/>
            <w:vAlign w:val="center"/>
          </w:tcPr>
          <w:p>
            <w:pPr>
              <w:spacing w:before="0" w:after="0" w:line="240" w:lineRule="auto"/>
              <w:ind w:left="0" w:leftChars="0" w:firstLine="0" w:firstLineChars="0"/>
              <w:jc w:val="cente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775" w:type="dxa"/>
            <w:vMerge w:val="continue"/>
            <w:noWrap/>
            <w:vAlign w:val="center"/>
          </w:tcPr>
          <w:p>
            <w:pPr>
              <w:spacing w:after="0" w:line="240" w:lineRule="auto"/>
              <w:jc w:val="center"/>
              <w:rPr>
                <w:rFonts w:hint="eastAsia" w:ascii="宋体" w:hAnsi="宋体" w:eastAsia="宋体" w:cs="宋体"/>
                <w:b w:val="0"/>
                <w:bCs w:val="0"/>
                <w:i w:val="0"/>
                <w:iCs w:val="0"/>
                <w:color w:val="auto"/>
                <w:sz w:val="24"/>
                <w:szCs w:val="24"/>
                <w:highlight w:val="none"/>
              </w:rPr>
            </w:pPr>
          </w:p>
        </w:tc>
        <w:tc>
          <w:tcPr>
            <w:tcW w:w="771" w:type="dxa"/>
            <w:vMerge w:val="restart"/>
            <w:noWrap/>
            <w:vAlign w:val="center"/>
          </w:tcPr>
          <w:p>
            <w:pPr>
              <w:spacing w:after="0" w:line="240" w:lineRule="auto"/>
              <w:jc w:val="center"/>
              <w:rPr>
                <w:rFonts w:hint="default" w:ascii="宋体" w:hAnsi="宋体" w:eastAsia="宋体" w:cs="宋体"/>
                <w:b w:val="0"/>
                <w:bCs w:val="0"/>
                <w:i w:val="0"/>
                <w:iCs w:val="0"/>
                <w:color w:val="auto"/>
                <w:sz w:val="24"/>
                <w:szCs w:val="24"/>
                <w:highlight w:val="none"/>
                <w:lang w:val="en-US" w:eastAsia="zh-CN"/>
              </w:rPr>
            </w:pPr>
            <w:r>
              <w:rPr>
                <w:rFonts w:hint="eastAsia" w:ascii="宋体" w:hAnsi="宋体" w:cs="宋体"/>
                <w:b w:val="0"/>
                <w:bCs w:val="0"/>
                <w:i w:val="0"/>
                <w:iCs w:val="0"/>
                <w:color w:val="auto"/>
                <w:sz w:val="24"/>
                <w:szCs w:val="24"/>
                <w:highlight w:val="none"/>
                <w:lang w:val="en-US" w:eastAsia="zh-CN" w:bidi="ar-SA"/>
              </w:rPr>
              <w:t>2</w:t>
            </w:r>
          </w:p>
        </w:tc>
        <w:tc>
          <w:tcPr>
            <w:tcW w:w="1288" w:type="dxa"/>
            <w:vMerge w:val="restart"/>
            <w:noWrap/>
            <w:vAlign w:val="center"/>
          </w:tcPr>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项目实施方案评价(50分)</w:t>
            </w:r>
          </w:p>
        </w:tc>
        <w:tc>
          <w:tcPr>
            <w:tcW w:w="5447" w:type="dxa"/>
            <w:noWrap/>
            <w:vAlign w:val="center"/>
          </w:tcPr>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对本项目涉及的各类技术服务内容的理解进行评价：</w:t>
            </w:r>
          </w:p>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(1)理解程度全面且准确的得10-15分；</w:t>
            </w:r>
          </w:p>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(2)理解程度存在缺陷单基本全面、准确的得6-10分；</w:t>
            </w:r>
          </w:p>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(3)理解程度不全面或不准确的得1-6分；未提及的得0分。</w:t>
            </w:r>
          </w:p>
        </w:tc>
        <w:tc>
          <w:tcPr>
            <w:tcW w:w="739" w:type="dxa"/>
            <w:noWrap/>
            <w:vAlign w:val="center"/>
          </w:tcPr>
          <w:p>
            <w:pPr>
              <w:pStyle w:val="6"/>
              <w:spacing w:before="0" w:after="0" w:line="240" w:lineRule="auto"/>
              <w:ind w:left="0" w:leftChars="0" w:firstLine="0" w:firstLineChars="0"/>
              <w:jc w:val="center"/>
              <w:rPr>
                <w:rFonts w:hint="default"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15</w:t>
            </w:r>
          </w:p>
        </w:tc>
        <w:tc>
          <w:tcPr>
            <w:tcW w:w="978" w:type="dxa"/>
            <w:noWrap/>
            <w:vAlign w:val="center"/>
          </w:tcPr>
          <w:p>
            <w:pPr>
              <w:spacing w:before="0" w:after="0" w:line="240" w:lineRule="auto"/>
              <w:ind w:left="0" w:leftChars="0" w:firstLine="0" w:firstLineChars="0"/>
              <w:jc w:val="cente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5" w:type="dxa"/>
            <w:vMerge w:val="continue"/>
            <w:noWrap/>
            <w:vAlign w:val="center"/>
          </w:tcPr>
          <w:p>
            <w:pPr>
              <w:spacing w:after="0" w:line="240" w:lineRule="auto"/>
              <w:jc w:val="center"/>
              <w:rPr>
                <w:rFonts w:hint="eastAsia" w:ascii="宋体" w:hAnsi="宋体" w:eastAsia="宋体" w:cs="宋体"/>
                <w:b w:val="0"/>
                <w:bCs w:val="0"/>
                <w:i w:val="0"/>
                <w:iCs w:val="0"/>
                <w:color w:val="auto"/>
                <w:sz w:val="24"/>
                <w:szCs w:val="24"/>
                <w:highlight w:val="none"/>
              </w:rPr>
            </w:pPr>
          </w:p>
        </w:tc>
        <w:tc>
          <w:tcPr>
            <w:tcW w:w="771" w:type="dxa"/>
            <w:vMerge w:val="continue"/>
            <w:noWrap/>
            <w:vAlign w:val="center"/>
          </w:tcPr>
          <w:p>
            <w:pPr>
              <w:spacing w:after="0" w:line="240" w:lineRule="auto"/>
              <w:jc w:val="center"/>
              <w:rPr>
                <w:rFonts w:hint="default" w:ascii="宋体" w:hAnsi="宋体" w:eastAsia="宋体" w:cs="宋体"/>
                <w:b w:val="0"/>
                <w:bCs w:val="0"/>
                <w:i w:val="0"/>
                <w:iCs w:val="0"/>
                <w:color w:val="auto"/>
                <w:sz w:val="24"/>
                <w:szCs w:val="24"/>
                <w:highlight w:val="none"/>
                <w:lang w:val="en-US" w:eastAsia="zh-CN" w:bidi="ar-SA"/>
              </w:rPr>
            </w:pPr>
          </w:p>
        </w:tc>
        <w:tc>
          <w:tcPr>
            <w:tcW w:w="1288" w:type="dxa"/>
            <w:vMerge w:val="continue"/>
            <w:noWrap/>
            <w:vAlign w:val="center"/>
          </w:tcPr>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p>
        </w:tc>
        <w:tc>
          <w:tcPr>
            <w:tcW w:w="5447" w:type="dxa"/>
            <w:noWrap/>
            <w:vAlign w:val="center"/>
          </w:tcPr>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对供应商在各类项目上的实施方案、设计经验进行评价：</w:t>
            </w:r>
          </w:p>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(1)参与的项目类型广、难度高的得 10-15 分；</w:t>
            </w:r>
          </w:p>
          <w:p>
            <w:pPr>
              <w:pStyle w:val="6"/>
              <w:spacing w:before="0" w:after="0" w:line="240" w:lineRule="auto"/>
              <w:ind w:left="0" w:leftChars="0" w:firstLine="0" w:firstLineChars="0"/>
              <w:rPr>
                <w:rFonts w:hint="eastAsia"/>
                <w:color w:val="auto"/>
                <w:highlight w:val="none"/>
                <w:lang w:val="en-US" w:eastAsia="zh-CN"/>
              </w:rPr>
            </w:pPr>
            <w:r>
              <w:rPr>
                <w:rFonts w:hint="eastAsia" w:ascii="宋体" w:hAnsi="宋体" w:eastAsia="宋体" w:cs="宋体"/>
                <w:b w:val="0"/>
                <w:bCs w:val="0"/>
                <w:i w:val="0"/>
                <w:iCs w:val="0"/>
                <w:color w:val="auto"/>
                <w:sz w:val="24"/>
                <w:szCs w:val="24"/>
                <w:highlight w:val="none"/>
                <w:lang w:val="en-US" w:eastAsia="zh-CN"/>
              </w:rPr>
              <w:t>(2)参与的项目类型一般、难度一般的得 5-10 分；</w:t>
            </w:r>
          </w:p>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(3)参与的项目类型少、难度低的得 1-5分；未提及的得0分。</w:t>
            </w:r>
          </w:p>
        </w:tc>
        <w:tc>
          <w:tcPr>
            <w:tcW w:w="739" w:type="dxa"/>
            <w:noWrap/>
            <w:vAlign w:val="center"/>
          </w:tcPr>
          <w:p>
            <w:pPr>
              <w:pStyle w:val="6"/>
              <w:spacing w:before="0" w:after="0" w:line="240" w:lineRule="auto"/>
              <w:ind w:left="0" w:leftChars="0" w:firstLine="0" w:firstLineChars="0"/>
              <w:jc w:val="center"/>
              <w:rPr>
                <w:rFonts w:hint="default"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15</w:t>
            </w:r>
          </w:p>
        </w:tc>
        <w:tc>
          <w:tcPr>
            <w:tcW w:w="978" w:type="dxa"/>
            <w:noWrap/>
            <w:vAlign w:val="center"/>
          </w:tcPr>
          <w:p>
            <w:pPr>
              <w:spacing w:before="0" w:after="0" w:line="240" w:lineRule="auto"/>
              <w:ind w:left="0" w:leftChars="0" w:firstLine="0" w:firstLineChars="0"/>
              <w:jc w:val="cente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5" w:type="dxa"/>
            <w:vMerge w:val="continue"/>
            <w:noWrap/>
            <w:vAlign w:val="center"/>
          </w:tcPr>
          <w:p>
            <w:pPr>
              <w:spacing w:after="0" w:line="240" w:lineRule="auto"/>
              <w:jc w:val="center"/>
              <w:rPr>
                <w:rFonts w:hint="eastAsia" w:ascii="宋体" w:hAnsi="宋体" w:eastAsia="宋体" w:cs="宋体"/>
                <w:b w:val="0"/>
                <w:bCs w:val="0"/>
                <w:i w:val="0"/>
                <w:iCs w:val="0"/>
                <w:color w:val="auto"/>
                <w:sz w:val="24"/>
                <w:szCs w:val="24"/>
                <w:highlight w:val="none"/>
              </w:rPr>
            </w:pPr>
          </w:p>
        </w:tc>
        <w:tc>
          <w:tcPr>
            <w:tcW w:w="771" w:type="dxa"/>
            <w:vMerge w:val="continue"/>
            <w:noWrap/>
            <w:vAlign w:val="center"/>
          </w:tcPr>
          <w:p>
            <w:pPr>
              <w:spacing w:after="0" w:line="240" w:lineRule="auto"/>
              <w:jc w:val="center"/>
              <w:rPr>
                <w:rFonts w:hint="default" w:ascii="宋体" w:hAnsi="宋体" w:eastAsia="宋体" w:cs="宋体"/>
                <w:b w:val="0"/>
                <w:bCs w:val="0"/>
                <w:i w:val="0"/>
                <w:iCs w:val="0"/>
                <w:color w:val="auto"/>
                <w:sz w:val="24"/>
                <w:szCs w:val="24"/>
                <w:highlight w:val="none"/>
                <w:lang w:val="en-US" w:eastAsia="zh-CN"/>
              </w:rPr>
            </w:pPr>
          </w:p>
        </w:tc>
        <w:tc>
          <w:tcPr>
            <w:tcW w:w="1288" w:type="dxa"/>
            <w:vMerge w:val="continue"/>
            <w:noWrap/>
            <w:vAlign w:val="center"/>
          </w:tcPr>
          <w:p>
            <w:pPr>
              <w:spacing w:after="0" w:line="240" w:lineRule="auto"/>
              <w:jc w:val="both"/>
              <w:rPr>
                <w:rFonts w:hint="eastAsia" w:ascii="宋体" w:hAnsi="宋体" w:eastAsia="宋体" w:cs="宋体"/>
                <w:b w:val="0"/>
                <w:bCs w:val="0"/>
                <w:i w:val="0"/>
                <w:iCs w:val="0"/>
                <w:color w:val="auto"/>
                <w:sz w:val="24"/>
                <w:szCs w:val="24"/>
                <w:highlight w:val="none"/>
              </w:rPr>
            </w:pPr>
          </w:p>
        </w:tc>
        <w:tc>
          <w:tcPr>
            <w:tcW w:w="5447" w:type="dxa"/>
            <w:noWrap/>
            <w:vAlign w:val="center"/>
          </w:tcPr>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对服务过程中可能遇到的问题分析及应对措施进行评价：</w:t>
            </w:r>
          </w:p>
          <w:p>
            <w:pPr>
              <w:pStyle w:val="6"/>
              <w:spacing w:before="0" w:after="0" w:line="240" w:lineRule="auto"/>
              <w:ind w:left="0" w:leftChars="0" w:firstLine="0" w:firstLineChars="0"/>
              <w:rPr>
                <w:rFonts w:hint="default"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优秀得 7-10 分；良好得 4-7分；一般得 1-4分；未提及得0分。</w:t>
            </w:r>
          </w:p>
        </w:tc>
        <w:tc>
          <w:tcPr>
            <w:tcW w:w="739" w:type="dxa"/>
            <w:noWrap/>
            <w:vAlign w:val="center"/>
          </w:tcPr>
          <w:p>
            <w:pPr>
              <w:pStyle w:val="6"/>
              <w:spacing w:before="0" w:after="0" w:line="240" w:lineRule="auto"/>
              <w:ind w:left="0" w:leftChars="0" w:firstLine="0" w:firstLineChars="0"/>
              <w:jc w:val="center"/>
              <w:rPr>
                <w:rFonts w:hint="default"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10</w:t>
            </w:r>
          </w:p>
        </w:tc>
        <w:tc>
          <w:tcPr>
            <w:tcW w:w="978" w:type="dxa"/>
            <w:noWrap/>
            <w:vAlign w:val="center"/>
          </w:tcPr>
          <w:p>
            <w:pPr>
              <w:pStyle w:val="6"/>
              <w:spacing w:before="0" w:after="0" w:line="240" w:lineRule="auto"/>
              <w:ind w:left="0" w:leftChars="0" w:firstLine="0" w:firstLineChars="0"/>
              <w:jc w:val="cente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5" w:type="dxa"/>
            <w:vMerge w:val="continue"/>
            <w:noWrap/>
            <w:vAlign w:val="center"/>
          </w:tcPr>
          <w:p>
            <w:pPr>
              <w:spacing w:after="0" w:line="240" w:lineRule="auto"/>
              <w:rPr>
                <w:rFonts w:hint="eastAsia" w:ascii="宋体" w:hAnsi="宋体" w:eastAsia="宋体" w:cs="宋体"/>
                <w:b w:val="0"/>
                <w:bCs w:val="0"/>
                <w:i w:val="0"/>
                <w:iCs w:val="0"/>
                <w:color w:val="auto"/>
                <w:sz w:val="24"/>
                <w:szCs w:val="24"/>
                <w:highlight w:val="none"/>
              </w:rPr>
            </w:pPr>
          </w:p>
        </w:tc>
        <w:tc>
          <w:tcPr>
            <w:tcW w:w="771" w:type="dxa"/>
            <w:vMerge w:val="continue"/>
            <w:noWrap/>
            <w:vAlign w:val="center"/>
          </w:tcPr>
          <w:p>
            <w:pPr>
              <w:spacing w:after="0" w:line="240" w:lineRule="auto"/>
              <w:jc w:val="center"/>
              <w:rPr>
                <w:rFonts w:hint="eastAsia" w:ascii="宋体" w:hAnsi="宋体" w:eastAsia="宋体" w:cs="宋体"/>
                <w:b w:val="0"/>
                <w:bCs w:val="0"/>
                <w:i w:val="0"/>
                <w:iCs w:val="0"/>
                <w:color w:val="auto"/>
                <w:sz w:val="24"/>
                <w:szCs w:val="24"/>
                <w:highlight w:val="none"/>
              </w:rPr>
            </w:pPr>
          </w:p>
        </w:tc>
        <w:tc>
          <w:tcPr>
            <w:tcW w:w="1288" w:type="dxa"/>
            <w:vMerge w:val="continue"/>
            <w:noWrap/>
            <w:vAlign w:val="center"/>
          </w:tcPr>
          <w:p>
            <w:pPr>
              <w:spacing w:after="0" w:line="240" w:lineRule="auto"/>
              <w:jc w:val="both"/>
              <w:rPr>
                <w:rFonts w:hint="eastAsia" w:ascii="宋体" w:hAnsi="宋体" w:eastAsia="宋体" w:cs="宋体"/>
                <w:b w:val="0"/>
                <w:bCs w:val="0"/>
                <w:i w:val="0"/>
                <w:iCs w:val="0"/>
                <w:color w:val="auto"/>
                <w:sz w:val="24"/>
                <w:szCs w:val="24"/>
                <w:highlight w:val="none"/>
              </w:rPr>
            </w:pPr>
          </w:p>
        </w:tc>
        <w:tc>
          <w:tcPr>
            <w:tcW w:w="5447" w:type="dxa"/>
            <w:noWrap/>
            <w:vAlign w:val="center"/>
          </w:tcPr>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服务过程中可能遇到的问题分析及应对措施进行评价：</w:t>
            </w:r>
          </w:p>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优秀 7-10分；良好得4-7分；一般得1-4分；未提及的得0分。</w:t>
            </w:r>
          </w:p>
        </w:tc>
        <w:tc>
          <w:tcPr>
            <w:tcW w:w="739" w:type="dxa"/>
            <w:noWrap/>
            <w:vAlign w:val="center"/>
          </w:tcPr>
          <w:p>
            <w:pPr>
              <w:pStyle w:val="6"/>
              <w:spacing w:before="0" w:after="0" w:line="240" w:lineRule="auto"/>
              <w:ind w:left="0" w:leftChars="0" w:firstLine="0" w:firstLineChars="0"/>
              <w:jc w:val="center"/>
              <w:rPr>
                <w:rFonts w:hint="default"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10</w:t>
            </w:r>
          </w:p>
        </w:tc>
        <w:tc>
          <w:tcPr>
            <w:tcW w:w="978" w:type="dxa"/>
            <w:noWrap/>
            <w:vAlign w:val="center"/>
          </w:tcPr>
          <w:p>
            <w:pPr>
              <w:spacing w:before="0" w:after="0" w:line="240" w:lineRule="auto"/>
              <w:ind w:left="0" w:leftChars="0" w:firstLine="0" w:firstLineChars="0"/>
              <w:jc w:val="cente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775" w:type="dxa"/>
            <w:vMerge w:val="continue"/>
            <w:noWrap/>
            <w:vAlign w:val="center"/>
          </w:tcPr>
          <w:p>
            <w:pPr>
              <w:spacing w:after="0" w:line="240" w:lineRule="auto"/>
              <w:rPr>
                <w:rFonts w:hint="eastAsia" w:ascii="宋体" w:hAnsi="宋体" w:eastAsia="宋体" w:cs="宋体"/>
                <w:b w:val="0"/>
                <w:bCs w:val="0"/>
                <w:i w:val="0"/>
                <w:iCs w:val="0"/>
                <w:color w:val="auto"/>
                <w:sz w:val="24"/>
                <w:szCs w:val="24"/>
                <w:highlight w:val="none"/>
              </w:rPr>
            </w:pPr>
          </w:p>
        </w:tc>
        <w:tc>
          <w:tcPr>
            <w:tcW w:w="771" w:type="dxa"/>
            <w:noWrap/>
            <w:vAlign w:val="center"/>
          </w:tcPr>
          <w:p>
            <w:pPr>
              <w:spacing w:after="0" w:line="240" w:lineRule="auto"/>
              <w:jc w:val="center"/>
              <w:rPr>
                <w:rFonts w:hint="eastAsia" w:ascii="宋体" w:hAnsi="宋体" w:eastAsia="宋体" w:cs="宋体"/>
                <w:b w:val="0"/>
                <w:bCs w:val="0"/>
                <w:i w:val="0"/>
                <w:iCs w:val="0"/>
                <w:color w:val="auto"/>
                <w:sz w:val="24"/>
                <w:szCs w:val="24"/>
                <w:highlight w:val="none"/>
                <w:lang w:val="en-US" w:eastAsia="zh-CN"/>
              </w:rPr>
            </w:pPr>
            <w:r>
              <w:rPr>
                <w:rFonts w:hint="eastAsia" w:ascii="宋体" w:hAnsi="宋体" w:cs="宋体"/>
                <w:b w:val="0"/>
                <w:bCs w:val="0"/>
                <w:i w:val="0"/>
                <w:iCs w:val="0"/>
                <w:color w:val="auto"/>
                <w:sz w:val="24"/>
                <w:szCs w:val="24"/>
                <w:highlight w:val="none"/>
                <w:lang w:val="en-US" w:eastAsia="zh-CN"/>
              </w:rPr>
              <w:t>3</w:t>
            </w:r>
          </w:p>
        </w:tc>
        <w:tc>
          <w:tcPr>
            <w:tcW w:w="1288" w:type="dxa"/>
            <w:noWrap/>
            <w:vAlign w:val="center"/>
          </w:tcPr>
          <w:p>
            <w:pPr>
              <w:spacing w:after="0" w:line="240" w:lineRule="auto"/>
              <w:jc w:val="both"/>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售后服务及承诺(5分)</w:t>
            </w:r>
          </w:p>
        </w:tc>
        <w:tc>
          <w:tcPr>
            <w:tcW w:w="5447" w:type="dxa"/>
            <w:noWrap/>
            <w:vAlign w:val="center"/>
          </w:tcPr>
          <w:p>
            <w:pPr>
              <w:pStyle w:val="6"/>
              <w:spacing w:before="0" w:after="0" w:line="240" w:lineRule="auto"/>
              <w:ind w:left="0" w:leftChars="0" w:firstLine="0" w:firstLineChars="0"/>
              <w:rPr>
                <w:rFonts w:hint="eastAsia" w:ascii="宋体" w:hAnsi="宋体" w:eastAsia="宋体" w:cs="宋体"/>
                <w:b w:val="0"/>
                <w:bCs w:val="0"/>
                <w:i w:val="0"/>
                <w:iCs w:val="0"/>
                <w:color w:val="auto"/>
                <w:spacing w:val="5"/>
                <w:sz w:val="24"/>
                <w:szCs w:val="24"/>
                <w:highlight w:val="none"/>
                <w:lang w:val="en-US" w:eastAsia="zh-CN" w:bidi="ar-SA"/>
              </w:rPr>
            </w:pPr>
            <w:r>
              <w:rPr>
                <w:rFonts w:hint="eastAsia" w:ascii="宋体" w:hAnsi="宋体" w:eastAsia="宋体" w:cs="宋体"/>
                <w:b w:val="0"/>
                <w:bCs w:val="0"/>
                <w:i w:val="0"/>
                <w:iCs w:val="0"/>
                <w:color w:val="auto"/>
                <w:spacing w:val="5"/>
                <w:sz w:val="24"/>
                <w:szCs w:val="24"/>
                <w:highlight w:val="none"/>
                <w:lang w:val="en-US" w:eastAsia="zh-CN" w:bidi="ar-SA"/>
              </w:rPr>
              <w:t>根据供应商售后服务方案和服务承诺的情况以及服务承诺的可行性、完整性以及落实服务承诺的保障措施、其他优惠承诺等打分。售后服务方案详尽、准确且合理可行的得3-5分；售后服务方案较详尽、准确且较合理可行的得 2-3分；售后服务方案粗略、缺陷较多，部分合理可行的得 1-2分；未提及的得0分。</w:t>
            </w:r>
          </w:p>
        </w:tc>
        <w:tc>
          <w:tcPr>
            <w:tcW w:w="739" w:type="dxa"/>
            <w:noWrap/>
            <w:vAlign w:val="center"/>
          </w:tcPr>
          <w:p>
            <w:pPr>
              <w:pStyle w:val="6"/>
              <w:spacing w:before="0" w:after="0" w:line="240" w:lineRule="auto"/>
              <w:ind w:left="0" w:leftChars="0" w:firstLine="0" w:firstLineChars="0"/>
              <w:jc w:val="center"/>
              <w:rPr>
                <w:rFonts w:hint="default" w:ascii="宋体" w:hAnsi="宋体" w:eastAsia="宋体" w:cs="宋体"/>
                <w:b w:val="0"/>
                <w:bCs w:val="0"/>
                <w:i w:val="0"/>
                <w:iCs w:val="0"/>
                <w:color w:val="auto"/>
                <w:spacing w:val="5"/>
                <w:sz w:val="24"/>
                <w:szCs w:val="24"/>
                <w:highlight w:val="none"/>
                <w:lang w:val="en-US" w:eastAsia="zh-CN" w:bidi="ar-SA"/>
              </w:rPr>
            </w:pPr>
            <w:r>
              <w:rPr>
                <w:rFonts w:hint="eastAsia" w:ascii="宋体" w:hAnsi="宋体" w:eastAsia="宋体" w:cs="宋体"/>
                <w:b w:val="0"/>
                <w:bCs w:val="0"/>
                <w:i w:val="0"/>
                <w:iCs w:val="0"/>
                <w:color w:val="auto"/>
                <w:spacing w:val="5"/>
                <w:sz w:val="24"/>
                <w:szCs w:val="24"/>
                <w:highlight w:val="none"/>
                <w:lang w:val="en-US" w:eastAsia="zh-CN" w:bidi="ar-SA"/>
              </w:rPr>
              <w:t>5</w:t>
            </w:r>
          </w:p>
        </w:tc>
        <w:tc>
          <w:tcPr>
            <w:tcW w:w="978" w:type="dxa"/>
            <w:noWrap/>
            <w:vAlign w:val="center"/>
          </w:tcPr>
          <w:p>
            <w:pPr>
              <w:spacing w:before="0" w:after="0" w:line="240" w:lineRule="auto"/>
              <w:ind w:left="0" w:leftChars="0" w:firstLine="0" w:firstLineChars="0"/>
              <w:jc w:val="center"/>
              <w:rPr>
                <w:rFonts w:hint="eastAsia" w:ascii="宋体" w:hAnsi="宋体" w:eastAsia="宋体" w:cs="宋体"/>
                <w:b w:val="0"/>
                <w:bCs w:val="0"/>
                <w:i w:val="0"/>
                <w:iCs w:val="0"/>
                <w:color w:val="auto"/>
                <w:spacing w:val="5"/>
                <w:sz w:val="24"/>
                <w:szCs w:val="24"/>
                <w:highlight w:val="none"/>
                <w:lang w:val="en-US" w:eastAsia="zh-CN" w:bidi="ar-SA"/>
              </w:rPr>
            </w:pPr>
            <w:r>
              <w:rPr>
                <w:rFonts w:hint="eastAsia" w:ascii="宋体" w:hAnsi="宋体" w:eastAsia="宋体" w:cs="宋体"/>
                <w:b w:val="0"/>
                <w:bCs w:val="0"/>
                <w:i w:val="0"/>
                <w:iCs w:val="0"/>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75" w:type="dxa"/>
            <w:vMerge w:val="continue"/>
            <w:noWrap/>
            <w:vAlign w:val="center"/>
          </w:tcPr>
          <w:p>
            <w:pPr>
              <w:spacing w:after="0" w:line="240" w:lineRule="auto"/>
              <w:rPr>
                <w:rFonts w:hint="eastAsia" w:ascii="宋体" w:hAnsi="宋体" w:eastAsia="宋体" w:cs="宋体"/>
                <w:b w:val="0"/>
                <w:bCs w:val="0"/>
                <w:i w:val="0"/>
                <w:iCs w:val="0"/>
                <w:color w:val="auto"/>
                <w:sz w:val="24"/>
                <w:szCs w:val="24"/>
                <w:highlight w:val="none"/>
              </w:rPr>
            </w:pPr>
          </w:p>
        </w:tc>
        <w:tc>
          <w:tcPr>
            <w:tcW w:w="771" w:type="dxa"/>
            <w:noWrap/>
            <w:vAlign w:val="center"/>
          </w:tcPr>
          <w:p>
            <w:pPr>
              <w:spacing w:after="0" w:line="240" w:lineRule="auto"/>
              <w:jc w:val="center"/>
              <w:rPr>
                <w:rFonts w:hint="eastAsia" w:ascii="宋体" w:hAnsi="宋体" w:eastAsia="宋体" w:cs="宋体"/>
                <w:b w:val="0"/>
                <w:bCs w:val="0"/>
                <w:i w:val="0"/>
                <w:iCs w:val="0"/>
                <w:color w:val="auto"/>
                <w:sz w:val="24"/>
                <w:szCs w:val="24"/>
                <w:highlight w:val="none"/>
                <w:lang w:val="en-US" w:eastAsia="zh-CN"/>
              </w:rPr>
            </w:pPr>
            <w:r>
              <w:rPr>
                <w:rFonts w:hint="eastAsia" w:ascii="宋体" w:hAnsi="宋体" w:cs="宋体"/>
                <w:b w:val="0"/>
                <w:bCs w:val="0"/>
                <w:i w:val="0"/>
                <w:iCs w:val="0"/>
                <w:color w:val="auto"/>
                <w:sz w:val="24"/>
                <w:szCs w:val="24"/>
                <w:highlight w:val="none"/>
                <w:lang w:val="en-US" w:eastAsia="zh-CN"/>
              </w:rPr>
              <w:t>4</w:t>
            </w:r>
          </w:p>
        </w:tc>
        <w:tc>
          <w:tcPr>
            <w:tcW w:w="1288" w:type="dxa"/>
            <w:noWrap/>
            <w:vAlign w:val="center"/>
          </w:tcPr>
          <w:p>
            <w:pPr>
              <w:spacing w:after="0" w:line="240" w:lineRule="auto"/>
              <w:jc w:val="both"/>
              <w:rPr>
                <w:rFonts w:hint="default"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质量保证</w:t>
            </w:r>
            <w:r>
              <w:rPr>
                <w:rFonts w:hint="eastAsia" w:ascii="宋体" w:hAnsi="宋体" w:eastAsia="宋体" w:cs="宋体"/>
                <w:b w:val="0"/>
                <w:bCs w:val="0"/>
                <w:i w:val="0"/>
                <w:iCs w:val="0"/>
                <w:color w:val="auto"/>
                <w:sz w:val="24"/>
                <w:szCs w:val="24"/>
                <w:highlight w:val="none"/>
                <w:lang w:val="en-US" w:eastAsia="zh-CN"/>
              </w:rPr>
              <w:t>措施、进度保证措施</w:t>
            </w:r>
            <w:r>
              <w:rPr>
                <w:rFonts w:hint="eastAsia" w:ascii="宋体" w:hAnsi="宋体" w:eastAsia="宋体" w:cs="宋体"/>
                <w:b w:val="0"/>
                <w:bCs w:val="0"/>
                <w:i w:val="0"/>
                <w:iCs w:val="0"/>
                <w:color w:val="auto"/>
                <w:sz w:val="24"/>
                <w:szCs w:val="24"/>
                <w:highlight w:val="none"/>
              </w:rPr>
              <w:t>(5分)</w:t>
            </w:r>
          </w:p>
        </w:tc>
        <w:tc>
          <w:tcPr>
            <w:tcW w:w="5447" w:type="dxa"/>
            <w:noWrap/>
            <w:vAlign w:val="center"/>
          </w:tcPr>
          <w:p>
            <w:pPr>
              <w:pStyle w:val="6"/>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供应商在工作过程中对贯彻执行国家及地方政府制定的相关专项规划、技术标准、政策、法规和业务主管部门的有关规定的工作谋划、整体部署、衔接沟通、整合协调方案。方案详细、完善、可行的得3-5 分；有欠缺的得 2-3 分；不详细、不完善的 1-2 分；未提及的得0分。</w:t>
            </w:r>
          </w:p>
        </w:tc>
        <w:tc>
          <w:tcPr>
            <w:tcW w:w="739" w:type="dxa"/>
            <w:noWrap/>
            <w:vAlign w:val="center"/>
          </w:tcPr>
          <w:p>
            <w:pPr>
              <w:pStyle w:val="6"/>
              <w:spacing w:before="0" w:after="0" w:line="240" w:lineRule="auto"/>
              <w:ind w:left="0" w:leftChars="0" w:firstLine="0" w:firstLineChars="0"/>
              <w:jc w:val="center"/>
              <w:rPr>
                <w:rFonts w:hint="default"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5</w:t>
            </w:r>
          </w:p>
        </w:tc>
        <w:tc>
          <w:tcPr>
            <w:tcW w:w="978" w:type="dxa"/>
            <w:noWrap/>
            <w:vAlign w:val="center"/>
          </w:tcPr>
          <w:p>
            <w:pPr>
              <w:spacing w:before="0" w:after="0" w:line="240" w:lineRule="auto"/>
              <w:ind w:left="0" w:leftChars="0" w:firstLine="0" w:firstLineChars="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主观分</w:t>
            </w:r>
          </w:p>
        </w:tc>
      </w:tr>
    </w:tbl>
    <w:p>
      <w:pPr>
        <w:widowControl/>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color w:val="auto"/>
          <w:sz w:val="24"/>
          <w:highlight w:val="none"/>
        </w:rPr>
        <w:t>备注：</w:t>
      </w:r>
      <w:r>
        <w:rPr>
          <w:rFonts w:hint="eastAsia" w:ascii="宋体" w:hAnsi="宋体" w:eastAsia="宋体" w:cs="宋体"/>
          <w:b w:val="0"/>
          <w:bCs w:val="0"/>
          <w:color w:val="auto"/>
          <w:sz w:val="24"/>
          <w:highlight w:val="none"/>
          <w:lang w:val="en-US" w:eastAsia="zh-CN"/>
        </w:rPr>
        <w:t>1、评分条款中涉及的业绩、荣誉、人员、社保等分公司均有效。</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2、响应</w:t>
      </w:r>
      <w:r>
        <w:rPr>
          <w:rFonts w:hint="eastAsia" w:ascii="宋体" w:hAnsi="宋体" w:eastAsia="宋体" w:cs="宋体"/>
          <w:color w:val="auto"/>
          <w:sz w:val="24"/>
          <w:highlight w:val="none"/>
        </w:rPr>
        <w:t>文件中如附有外文资料，必须逐一对应翻译成中文并加盖</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编制</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文件（商务技术文件部分）时，建议按此目录（序号和内容）提供评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sz w:val="24"/>
          <w:highlight w:val="none"/>
          <w:lang w:eastAsia="zh-CN"/>
        </w:rPr>
        <w:t>。</w:t>
      </w:r>
    </w:p>
    <w:p>
      <w:pPr>
        <w:widowControl/>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价格分（</w:t>
      </w: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rPr>
        <w:t>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69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5公顷（含）/宗以下地块：</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价格权值=0.</w:t>
            </w:r>
            <w:r>
              <w:rPr>
                <w:rFonts w:hint="eastAsia" w:ascii="宋体" w:hAnsi="宋体" w:cs="宋体"/>
                <w:color w:val="auto"/>
                <w:sz w:val="24"/>
                <w:highlight w:val="none"/>
                <w:lang w:val="en-US" w:eastAsia="zh-CN"/>
              </w:rPr>
              <w:t>05</w:t>
            </w:r>
          </w:p>
        </w:tc>
        <w:tc>
          <w:tcPr>
            <w:tcW w:w="69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最低有效响应价格为评标基准价</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响应报价得分=(评标基准价／响应报价)×价格权值×100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5公顷</w:t>
            </w:r>
            <w:r>
              <w:rPr>
                <w:rFonts w:hint="eastAsia" w:ascii="宋体" w:hAnsi="宋体" w:cs="宋体"/>
                <w:color w:val="auto"/>
                <w:sz w:val="24"/>
                <w:highlight w:val="none"/>
                <w:lang w:val="en-US" w:eastAsia="zh-CN"/>
              </w:rPr>
              <w:t>/宗以上地块：</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价格权值=0.</w:t>
            </w:r>
            <w:r>
              <w:rPr>
                <w:rFonts w:hint="eastAsia" w:ascii="宋体" w:hAnsi="宋体" w:cs="宋体"/>
                <w:color w:val="auto"/>
                <w:sz w:val="24"/>
                <w:highlight w:val="none"/>
                <w:lang w:val="en-US" w:eastAsia="zh-CN"/>
              </w:rPr>
              <w:t>05</w:t>
            </w:r>
          </w:p>
        </w:tc>
        <w:tc>
          <w:tcPr>
            <w:tcW w:w="69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最低有效响应价格为评标基准价</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响应报价得分=(评标基准价／响应报价)×价格权值×100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tc>
      </w:tr>
    </w:tbl>
    <w:p>
      <w:pPr>
        <w:rPr>
          <w:rFonts w:hint="eastAsia" w:ascii="宋体" w:hAnsi="宋体" w:eastAsia="宋体" w:cs="宋体"/>
          <w:b/>
          <w:color w:val="auto"/>
          <w:sz w:val="32"/>
          <w:highlight w:val="none"/>
        </w:rPr>
        <w:sectPr>
          <w:footerReference r:id="rId8" w:type="first"/>
          <w:footerReference r:id="rId7" w:type="default"/>
          <w:pgSz w:w="11906" w:h="16838"/>
          <w:pgMar w:top="1276" w:right="1418" w:bottom="1247" w:left="1418" w:header="851" w:footer="992" w:gutter="0"/>
          <w:pgNumType w:start="1"/>
          <w:cols w:space="720" w:num="1"/>
          <w:docGrid w:linePitch="312" w:charSpace="0"/>
        </w:sectPr>
      </w:pPr>
      <w:r>
        <w:rPr>
          <w:rFonts w:hint="eastAsia" w:ascii="宋体" w:hAnsi="宋体" w:eastAsia="宋体" w:cs="宋体"/>
          <w:b/>
          <w:color w:val="auto"/>
          <w:sz w:val="32"/>
          <w:highlight w:val="none"/>
        </w:rPr>
        <w:br w:type="page"/>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方法</w:t>
      </w:r>
    </w:p>
    <w:p>
      <w:pPr>
        <w:pageBreakBefore w:val="0"/>
        <w:kinsoku/>
        <w:wordWrap/>
        <w:overflowPunct/>
        <w:topLinePunct w:val="0"/>
        <w:autoSpaceDE/>
        <w:autoSpaceDN/>
        <w:bidi w:val="0"/>
        <w:adjustRightInd/>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w:t>
      </w:r>
      <w:r>
        <w:rPr>
          <w:rFonts w:hint="eastAsia" w:ascii="宋体" w:hAnsi="宋体" w:cs="宋体"/>
          <w:b/>
          <w:color w:val="auto"/>
          <w:kern w:val="0"/>
          <w:sz w:val="24"/>
          <w:highlight w:val="none"/>
          <w:lang w:eastAsia="zh-CN"/>
        </w:rPr>
        <w:t>综合评分法</w:t>
      </w:r>
      <w:r>
        <w:rPr>
          <w:rFonts w:hint="eastAsia" w:ascii="宋体" w:hAnsi="宋体" w:eastAsia="宋体" w:cs="宋体"/>
          <w:b/>
          <w:color w:val="auto"/>
          <w:kern w:val="0"/>
          <w:sz w:val="24"/>
          <w:highlight w:val="none"/>
        </w:rPr>
        <w:t>。</w:t>
      </w:r>
      <w:r>
        <w:rPr>
          <w:rFonts w:hint="eastAsia" w:ascii="宋体" w:hAnsi="宋体" w:cs="宋体"/>
          <w:color w:val="auto"/>
          <w:kern w:val="0"/>
          <w:sz w:val="24"/>
          <w:highlight w:val="none"/>
          <w:lang w:eastAsia="zh-CN"/>
        </w:rPr>
        <w:t>综合评分法</w:t>
      </w:r>
      <w:r>
        <w:rPr>
          <w:rFonts w:hint="eastAsia" w:ascii="宋体" w:hAnsi="宋体" w:eastAsia="宋体" w:cs="宋体"/>
          <w:color w:val="auto"/>
          <w:kern w:val="0"/>
          <w:sz w:val="24"/>
          <w:highlight w:val="none"/>
        </w:rPr>
        <w:t>，是指</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的评标方法。</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标准</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w:t>
      </w:r>
      <w:r>
        <w:rPr>
          <w:rFonts w:hint="eastAsia" w:ascii="宋体" w:hAnsi="宋体" w:eastAsia="宋体" w:cs="宋体"/>
          <w:color w:val="auto"/>
          <w:kern w:val="0"/>
          <w:sz w:val="24"/>
          <w:highlight w:val="none"/>
          <w:lang w:eastAsia="zh-CN"/>
        </w:rPr>
        <w:t>交易办法</w:t>
      </w:r>
      <w:r>
        <w:rPr>
          <w:rFonts w:hint="eastAsia" w:ascii="宋体" w:hAnsi="宋体" w:eastAsia="宋体" w:cs="宋体"/>
          <w:color w:val="auto"/>
          <w:kern w:val="0"/>
          <w:sz w:val="24"/>
          <w:highlight w:val="none"/>
        </w:rPr>
        <w:t>前附表。</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程序</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应当对符合资格的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进行符合性审查，以确定其是否满足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的实质性要求。不满足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中规定的评标方法和标准，对符合性审查合格的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进行商务和技术评估，综合比较与评价。</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w:t>
      </w:r>
      <w:r>
        <w:rPr>
          <w:rFonts w:hint="eastAsia" w:ascii="宋体" w:hAnsi="宋体" w:eastAsia="宋体" w:cs="宋体"/>
          <w:color w:val="auto"/>
          <w:kern w:val="0"/>
          <w:sz w:val="24"/>
          <w:highlight w:val="none"/>
          <w:lang w:eastAsia="zh-CN"/>
        </w:rPr>
        <w:t>审</w:t>
      </w:r>
      <w:r>
        <w:rPr>
          <w:rFonts w:hint="eastAsia" w:ascii="宋体" w:hAnsi="宋体" w:eastAsia="宋体" w:cs="宋体"/>
          <w:color w:val="auto"/>
          <w:kern w:val="0"/>
          <w:sz w:val="24"/>
          <w:highlight w:val="none"/>
        </w:rPr>
        <w:t>委员会各成员应当独立对每个</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的商务和技术文件进行评价，并汇总商务技术得分情况。</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w:t>
      </w:r>
      <w:r>
        <w:rPr>
          <w:rFonts w:hint="eastAsia" w:ascii="宋体" w:hAnsi="宋体" w:eastAsia="宋体" w:cs="宋体"/>
          <w:color w:val="auto"/>
          <w:kern w:val="0"/>
          <w:highlight w:val="none"/>
          <w:lang w:eastAsia="zh-CN"/>
        </w:rPr>
        <w:t>响应文件</w:t>
      </w:r>
      <w:r>
        <w:rPr>
          <w:rFonts w:hint="eastAsia" w:ascii="宋体" w:hAnsi="宋体" w:eastAsia="宋体" w:cs="宋体"/>
          <w:color w:val="auto"/>
          <w:kern w:val="0"/>
          <w:highlight w:val="none"/>
        </w:rPr>
        <w:t>报价出现前后不一致的，按照下列规定修正：</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(报价表)内容与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中相应内容不一致的，以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(报价表)为准</w:t>
      </w:r>
      <w:r>
        <w:rPr>
          <w:rFonts w:hint="eastAsia" w:ascii="宋体" w:hAnsi="宋体" w:eastAsia="宋体" w:cs="宋体"/>
          <w:color w:val="auto"/>
          <w:kern w:val="0"/>
          <w:szCs w:val="24"/>
          <w:highlight w:val="none"/>
          <w:lang w:eastAsia="zh-CN"/>
        </w:rPr>
        <w:t>；</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的总价为准，并修改单价</w:t>
      </w:r>
      <w:r>
        <w:rPr>
          <w:rFonts w:hint="eastAsia" w:ascii="宋体" w:hAnsi="宋体" w:eastAsia="宋体" w:cs="宋体"/>
          <w:color w:val="auto"/>
          <w:kern w:val="0"/>
          <w:szCs w:val="24"/>
          <w:highlight w:val="none"/>
          <w:lang w:eastAsia="zh-CN"/>
        </w:rPr>
        <w:t>；</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3.4.1.4总价金额与按单价汇总金额不一致的，以单价金额计算结果为准</w:t>
      </w:r>
      <w:r>
        <w:rPr>
          <w:rFonts w:hint="eastAsia" w:ascii="宋体" w:hAnsi="宋体" w:eastAsia="宋体" w:cs="宋体"/>
          <w:color w:val="auto"/>
          <w:kern w:val="0"/>
          <w:szCs w:val="24"/>
          <w:highlight w:val="none"/>
          <w:lang w:eastAsia="zh-CN"/>
        </w:rPr>
        <w:t>；</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pPr>
        <w:pageBreakBefore w:val="0"/>
        <w:widowControl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ageBreakBefore w:val="0"/>
        <w:widowControl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Style w:val="140"/>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认为</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的报价明显低于其他通过符合性审查</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不能证明其报价合理性的，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应当将其作为无效投标处理。</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w:t>
      </w:r>
      <w:r>
        <w:rPr>
          <w:rFonts w:hint="eastAsia" w:ascii="宋体" w:hAnsi="宋体" w:cs="宋体"/>
          <w:color w:val="auto"/>
          <w:kern w:val="0"/>
          <w:sz w:val="24"/>
          <w:highlight w:val="none"/>
          <w:lang w:eastAsia="zh-CN"/>
        </w:rPr>
        <w:t>综合评分法</w:t>
      </w:r>
      <w:r>
        <w:rPr>
          <w:rFonts w:hint="eastAsia" w:ascii="宋体" w:hAnsi="宋体" w:eastAsia="宋体" w:cs="宋体"/>
          <w:color w:val="auto"/>
          <w:kern w:val="0"/>
          <w:sz w:val="24"/>
          <w:highlight w:val="none"/>
        </w:rPr>
        <w:t>的，评标结果按评审后得分由高到低顺序排列。得分相同的，按</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由低到高顺序排列。得分且</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相同的并列。</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为排名第一的</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w:t>
      </w:r>
      <w:r>
        <w:rPr>
          <w:rFonts w:hint="eastAsia" w:ascii="宋体" w:hAnsi="宋体" w:eastAsia="宋体" w:cs="宋体"/>
          <w:b/>
          <w:color w:val="auto"/>
          <w:kern w:val="0"/>
          <w:sz w:val="24"/>
          <w:highlight w:val="none"/>
          <w:lang w:eastAsia="zh-CN"/>
        </w:rPr>
        <w:t>评审报告</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根据全体评标成员签字的原始评标记录和评标结果编写</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成员对需要共同认定的事项存在争议的，应当按照少数服从多数的原则作出结论。持不同意见的</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成员应当在</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上签署不同意见及理由，否则视为同意</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p>
    <w:p>
      <w:pPr>
        <w:pageBreakBefore w:val="0"/>
        <w:widowControl w:val="0"/>
        <w:kinsoku/>
        <w:wordWrap/>
        <w:overflowPunct/>
        <w:topLinePunct w:val="0"/>
        <w:autoSpaceDE/>
        <w:autoSpaceDN/>
        <w:bidi w:val="0"/>
        <w:snapToGrid w:val="0"/>
        <w:spacing w:line="57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pPr>
        <w:pStyle w:val="140"/>
        <w:pageBreakBefore w:val="0"/>
        <w:widowControl w:val="0"/>
        <w:kinsoku/>
        <w:wordWrap/>
        <w:overflowPunct/>
        <w:topLinePunct w:val="0"/>
        <w:autoSpaceDE/>
        <w:autoSpaceDN/>
        <w:bidi w:val="0"/>
        <w:spacing w:before="0" w:line="570" w:lineRule="exact"/>
        <w:ind w:left="0" w:leftChars="0" w:firstLine="482" w:firstLineChars="200"/>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w:t>
      </w:r>
      <w:r>
        <w:rPr>
          <w:rFonts w:hint="eastAsia" w:ascii="宋体" w:hAnsi="宋体" w:eastAsia="宋体" w:cs="宋体"/>
          <w:b/>
          <w:color w:val="auto"/>
          <w:kern w:val="0"/>
          <w:szCs w:val="24"/>
          <w:highlight w:val="none"/>
          <w:lang w:eastAsia="zh-CN"/>
        </w:rPr>
        <w:t>响应人</w:t>
      </w:r>
      <w:r>
        <w:rPr>
          <w:rFonts w:hint="eastAsia" w:ascii="宋体" w:hAnsi="宋体" w:eastAsia="宋体" w:cs="宋体"/>
          <w:b/>
          <w:color w:val="auto"/>
          <w:kern w:val="0"/>
          <w:szCs w:val="24"/>
          <w:highlight w:val="none"/>
        </w:rPr>
        <w:t>澄清、说明或者补正。</w:t>
      </w:r>
      <w:r>
        <w:rPr>
          <w:rFonts w:hint="eastAsia" w:ascii="宋体" w:hAnsi="宋体" w:eastAsia="宋体" w:cs="宋体"/>
          <w:color w:val="auto"/>
          <w:kern w:val="0"/>
          <w:szCs w:val="24"/>
          <w:highlight w:val="none"/>
        </w:rPr>
        <w:t>对于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中含义不明确、同类问题表述不一致或者有明显文字和计算错误的内容需要</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作出必要的澄清、说明或者补正的，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和</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通过电子交易平台交换数据电文，</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提交使用电子签名的相关数据电文或通过平台上传加盖公章的扫描件。给予</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提交澄清、说明或补正的时间不得少于半小时，</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已经明确表示澄清说明或补正完毕的除外。</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的澄清、说明或者补正不得超出</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的范围或者改变</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的实质性内容。</w:t>
      </w:r>
    </w:p>
    <w:p>
      <w:pPr>
        <w:pStyle w:val="2"/>
        <w:pageBreakBefore w:val="0"/>
        <w:widowControl w:val="0"/>
        <w:kinsoku/>
        <w:wordWrap/>
        <w:overflowPunct/>
        <w:topLinePunct w:val="0"/>
        <w:autoSpaceDE/>
        <w:autoSpaceDN/>
        <w:bidi w:val="0"/>
        <w:spacing w:line="570" w:lineRule="exact"/>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w:t>
      </w:r>
      <w:r>
        <w:rPr>
          <w:rFonts w:hint="eastAsia" w:ascii="宋体" w:hAnsi="宋体" w:eastAsia="宋体" w:cs="宋体"/>
          <w:b/>
          <w:color w:val="auto"/>
          <w:kern w:val="0"/>
          <w:highlight w:val="none"/>
          <w:lang w:eastAsia="zh-CN"/>
        </w:rPr>
        <w:t>交易无效</w:t>
      </w:r>
      <w:r>
        <w:rPr>
          <w:rFonts w:hint="eastAsia" w:ascii="宋体" w:hAnsi="宋体" w:eastAsia="宋体" w:cs="宋体"/>
          <w:b/>
          <w:color w:val="auto"/>
          <w:kern w:val="0"/>
          <w:highlight w:val="none"/>
        </w:rPr>
        <w:t>。</w:t>
      </w:r>
      <w:r>
        <w:rPr>
          <w:rFonts w:hint="eastAsia" w:ascii="宋体" w:hAnsi="宋体" w:eastAsia="宋体" w:cs="宋体"/>
          <w:color w:val="auto"/>
          <w:szCs w:val="21"/>
          <w:highlight w:val="none"/>
        </w:rPr>
        <w:t>有下列情形之一的，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未提供有效的资格文件的，视为</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要求签署、盖章的；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含有</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不能接受的附加条件的；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中承诺的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少于</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中载明的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的；</w:t>
      </w:r>
    </w:p>
    <w:p>
      <w:pPr>
        <w:pageBreakBefore w:val="0"/>
        <w:widowControl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报价明显低于其他通过符合性审查</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对根据修正原则修正后的报价不确认的；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提供虚假材料投标的；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有恶意串通、妨碍其他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的竞争行为、损害</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或者其他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的合法权益情形的；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未在电子交易平台传输递交</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Style w:val="4"/>
        <w:pageBreakBefore w:val="0"/>
        <w:widowControl w:val="0"/>
        <w:kinsoku/>
        <w:wordWrap/>
        <w:overflowPunct/>
        <w:topLinePunct w:val="0"/>
        <w:autoSpaceDE/>
        <w:autoSpaceDN/>
        <w:bidi w:val="0"/>
        <w:spacing w:line="570" w:lineRule="exact"/>
        <w:ind w:left="433" w:leftChars="202" w:hanging="9" w:hangingChars="4"/>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公开竞争文件</w:t>
      </w:r>
      <w:r>
        <w:rPr>
          <w:rFonts w:hint="eastAsia" w:ascii="宋体" w:hAnsi="宋体" w:eastAsia="宋体" w:cs="宋体"/>
          <w:b w:val="0"/>
          <w:bCs w:val="0"/>
          <w:color w:val="auto"/>
          <w:kern w:val="0"/>
          <w:sz w:val="24"/>
          <w:szCs w:val="24"/>
          <w:highlight w:val="none"/>
          <w:lang w:val="en-US"/>
        </w:rPr>
        <w:t>的其它实质性要求的；</w:t>
      </w:r>
    </w:p>
    <w:p>
      <w:pPr>
        <w:pageBreakBefore w:val="0"/>
        <w:widowControl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法律、法规、规章（适用本市的）及省级以上规范性文件（适用本市的）规定的其他无效情形。</w:t>
      </w:r>
    </w:p>
    <w:p>
      <w:pPr>
        <w:pStyle w:val="2"/>
        <w:pageBreakBefore w:val="0"/>
        <w:widowControl w:val="0"/>
        <w:kinsoku/>
        <w:wordWrap/>
        <w:overflowPunct/>
        <w:topLinePunct w:val="0"/>
        <w:autoSpaceDE/>
        <w:autoSpaceDN/>
        <w:bidi w:val="0"/>
        <w:snapToGrid w:val="0"/>
        <w:spacing w:line="57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在</w:t>
      </w:r>
      <w:r>
        <w:rPr>
          <w:rFonts w:hint="eastAsia" w:ascii="宋体" w:hAnsi="宋体" w:eastAsia="宋体" w:cs="宋体"/>
          <w:color w:val="auto"/>
          <w:highlight w:val="none"/>
          <w:lang w:eastAsia="zh-CN"/>
        </w:rPr>
        <w:t>交易过程</w:t>
      </w:r>
      <w:r>
        <w:rPr>
          <w:rFonts w:hint="eastAsia" w:ascii="宋体" w:hAnsi="宋体" w:eastAsia="宋体" w:cs="宋体"/>
          <w:color w:val="auto"/>
          <w:highlight w:val="none"/>
        </w:rPr>
        <w:t>中，出现下列情形之一的，应予废标：</w:t>
      </w:r>
    </w:p>
    <w:p>
      <w:pPr>
        <w:pStyle w:val="2"/>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或者对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作实质响应的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不足3家的；</w:t>
      </w:r>
    </w:p>
    <w:p>
      <w:pPr>
        <w:pStyle w:val="2"/>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的报价均超过了采购预算，</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不能支付的；</w:t>
      </w:r>
    </w:p>
    <w:p>
      <w:pPr>
        <w:pStyle w:val="2"/>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应当将废标理由通知所有</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p>
    <w:p>
      <w:pPr>
        <w:pStyle w:val="2"/>
        <w:pageBreakBefore w:val="0"/>
        <w:widowControl w:val="0"/>
        <w:kinsoku/>
        <w:wordWrap/>
        <w:overflowPunct/>
        <w:topLinePunct w:val="0"/>
        <w:autoSpaceDE/>
        <w:autoSpaceDN/>
        <w:bidi w:val="0"/>
        <w:snapToGrid w:val="0"/>
        <w:spacing w:line="57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w:t>
      </w:r>
      <w:r>
        <w:rPr>
          <w:rFonts w:hint="eastAsia" w:ascii="宋体" w:hAnsi="宋体" w:eastAsia="宋体" w:cs="宋体"/>
          <w:b/>
          <w:color w:val="auto"/>
          <w:highlight w:val="none"/>
          <w:lang w:eastAsia="zh-CN"/>
        </w:rPr>
        <w:t>公开竞争文件</w:t>
      </w:r>
      <w:r>
        <w:rPr>
          <w:rFonts w:hint="eastAsia" w:ascii="宋体" w:hAnsi="宋体" w:eastAsia="宋体" w:cs="宋体"/>
          <w:b/>
          <w:color w:val="auto"/>
          <w:highlight w:val="none"/>
        </w:rPr>
        <w:t>，重新组织</w:t>
      </w:r>
      <w:r>
        <w:rPr>
          <w:rFonts w:hint="eastAsia" w:ascii="宋体" w:hAnsi="宋体" w:eastAsia="宋体" w:cs="宋体"/>
          <w:b/>
          <w:color w:val="auto"/>
          <w:highlight w:val="none"/>
          <w:lang w:eastAsia="zh-CN"/>
        </w:rPr>
        <w:t>交易</w:t>
      </w:r>
      <w:r>
        <w:rPr>
          <w:rFonts w:hint="eastAsia" w:ascii="宋体" w:hAnsi="宋体" w:eastAsia="宋体" w:cs="宋体"/>
          <w:b/>
          <w:color w:val="auto"/>
          <w:highlight w:val="none"/>
        </w:rPr>
        <w:t>活动。</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发现</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存在歧义、重大缺陷导致评标工作无法进行，或者</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内容违反国家有关强制性规定的，将停止评</w:t>
      </w:r>
      <w:r>
        <w:rPr>
          <w:rFonts w:hint="eastAsia" w:ascii="宋体" w:hAnsi="宋体" w:eastAsia="宋体" w:cs="宋体"/>
          <w:color w:val="auto"/>
          <w:highlight w:val="none"/>
          <w:lang w:eastAsia="zh-CN"/>
        </w:rPr>
        <w:t>审</w:t>
      </w:r>
      <w:r>
        <w:rPr>
          <w:rFonts w:hint="eastAsia" w:ascii="宋体" w:hAnsi="宋体" w:eastAsia="宋体" w:cs="宋体"/>
          <w:color w:val="auto"/>
          <w:highlight w:val="none"/>
        </w:rPr>
        <w:t>工作，并与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沟通并作书面记录。</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确认后，将修改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，重新组织</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pPr>
        <w:pStyle w:val="2"/>
        <w:pageBreakBefore w:val="0"/>
        <w:widowControl w:val="0"/>
        <w:kinsoku/>
        <w:wordWrap/>
        <w:overflowPunct/>
        <w:topLinePunct w:val="0"/>
        <w:autoSpaceDE/>
        <w:autoSpaceDN/>
        <w:bidi w:val="0"/>
        <w:snapToGrid w:val="0"/>
        <w:spacing w:line="57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w:t>
      </w:r>
      <w:r>
        <w:rPr>
          <w:rFonts w:hint="eastAsia" w:ascii="宋体" w:hAnsi="宋体" w:eastAsia="宋体" w:cs="宋体"/>
          <w:b/>
          <w:color w:val="auto"/>
          <w:kern w:val="0"/>
          <w:highlight w:val="none"/>
          <w:lang w:val="en-US" w:eastAsia="zh-CN"/>
        </w:rPr>
        <w:t>交易</w:t>
      </w:r>
      <w:r>
        <w:rPr>
          <w:rFonts w:hint="eastAsia" w:ascii="宋体" w:hAnsi="宋体" w:eastAsia="宋体" w:cs="宋体"/>
          <w:b/>
          <w:color w:val="auto"/>
          <w:kern w:val="0"/>
          <w:highlight w:val="none"/>
        </w:rPr>
        <w:t>。</w:t>
      </w:r>
      <w:r>
        <w:rPr>
          <w:rFonts w:hint="eastAsia" w:ascii="宋体" w:hAnsi="宋体" w:eastAsia="宋体" w:cs="宋体"/>
          <w:color w:val="auto"/>
          <w:highlight w:val="none"/>
        </w:rPr>
        <w:t>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、成交结果的，依照下列规定处理：</w:t>
      </w:r>
    </w:p>
    <w:p>
      <w:pPr>
        <w:pStyle w:val="2"/>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的，终止本次</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但尚未签订合同的，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7.3</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合同已签订但尚未履行的，撤销合同，从合格的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
        <w:pageBreakBefore w:val="0"/>
        <w:widowControl w:val="0"/>
        <w:kinsoku/>
        <w:wordWrap/>
        <w:overflowPunct/>
        <w:topLinePunct w:val="0"/>
        <w:autoSpaceDE/>
        <w:autoSpaceDN/>
        <w:bidi w:val="0"/>
        <w:snapToGrid w:val="0"/>
        <w:spacing w:line="5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7.4</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合同已经履行，给</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造成损失的，由责任人承担赔偿责任。</w:t>
      </w:r>
    </w:p>
    <w:p>
      <w:pPr>
        <w:pStyle w:val="2"/>
        <w:pageBreakBefore w:val="0"/>
        <w:widowControl w:val="0"/>
        <w:kinsoku/>
        <w:wordWrap/>
        <w:overflowPunct/>
        <w:topLinePunct w:val="0"/>
        <w:autoSpaceDE/>
        <w:autoSpaceDN/>
        <w:bidi w:val="0"/>
        <w:snapToGrid w:val="0"/>
        <w:spacing w:line="570" w:lineRule="exact"/>
        <w:ind w:firstLine="480" w:firstLineChars="200"/>
        <w:textAlignment w:val="auto"/>
        <w:rPr>
          <w:color w:val="auto"/>
          <w:highlight w:val="none"/>
        </w:rPr>
        <w:sectPr>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highlight w:val="none"/>
        </w:rPr>
        <w:t>7.5</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当事人有其他违反</w:t>
      </w:r>
      <w:r>
        <w:rPr>
          <w:rFonts w:hint="eastAsia" w:ascii="宋体" w:hAnsi="宋体" w:eastAsia="宋体" w:cs="宋体"/>
          <w:color w:val="auto"/>
          <w:kern w:val="0"/>
          <w:highlight w:val="none"/>
        </w:rPr>
        <w:t>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、成交无效的，依照7.1-7.4规定处理。</w:t>
      </w:r>
    </w:p>
    <w:p>
      <w:pPr>
        <w:rPr>
          <w:color w:val="auto"/>
          <w:highlight w:val="none"/>
        </w:rPr>
      </w:pPr>
    </w:p>
    <w:p>
      <w:pPr>
        <w:numPr>
          <w:ilvl w:val="0"/>
          <w:numId w:val="0"/>
        </w:numPr>
        <w:spacing w:line="360" w:lineRule="auto"/>
        <w:jc w:val="center"/>
        <w:outlineLvl w:val="0"/>
        <w:rPr>
          <w:rFonts w:hint="default"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kern w:val="2"/>
          <w:sz w:val="36"/>
          <w:szCs w:val="36"/>
          <w:highlight w:val="none"/>
          <w:lang w:val="en-US" w:eastAsia="zh-CN" w:bidi="ar-SA"/>
        </w:rPr>
        <w:t>第五部分</w:t>
      </w:r>
      <w:r>
        <w:rPr>
          <w:rFonts w:hint="eastAsia" w:ascii="宋体" w:hAnsi="宋体" w:cs="宋体"/>
          <w:b/>
          <w:bCs/>
          <w:color w:val="auto"/>
          <w:kern w:val="2"/>
          <w:sz w:val="36"/>
          <w:szCs w:val="36"/>
          <w:highlight w:val="none"/>
          <w:lang w:val="en-US" w:eastAsia="zh-CN" w:bidi="ar-SA"/>
        </w:rPr>
        <w:t xml:space="preserve"> </w:t>
      </w:r>
      <w:r>
        <w:rPr>
          <w:rFonts w:hint="eastAsia" w:ascii="宋体" w:hAnsi="宋体" w:cs="宋体"/>
          <w:b/>
          <w:bCs/>
          <w:color w:val="auto"/>
          <w:sz w:val="36"/>
          <w:szCs w:val="36"/>
          <w:highlight w:val="none"/>
        </w:rPr>
        <w:t>合同文本</w:t>
      </w:r>
    </w:p>
    <w:p>
      <w:pPr>
        <w:spacing w:line="360" w:lineRule="auto"/>
        <w:jc w:val="center"/>
        <w:rPr>
          <w:rFonts w:hint="eastAsia"/>
          <w:color w:val="auto"/>
          <w:sz w:val="36"/>
          <w:szCs w:val="36"/>
          <w:highlight w:val="none"/>
          <w:lang w:eastAsia="zh-CN"/>
        </w:rPr>
      </w:pPr>
      <w:r>
        <w:rPr>
          <w:rFonts w:hint="eastAsia"/>
          <w:color w:val="auto"/>
          <w:sz w:val="36"/>
          <w:szCs w:val="36"/>
          <w:highlight w:val="none"/>
          <w:lang w:eastAsia="zh-CN"/>
        </w:rPr>
        <w:t>合同（</w:t>
      </w:r>
      <w:r>
        <w:rPr>
          <w:rFonts w:hint="eastAsia"/>
          <w:color w:val="auto"/>
          <w:sz w:val="36"/>
          <w:szCs w:val="36"/>
          <w:highlight w:val="none"/>
          <w:lang w:val="en-US" w:eastAsia="zh-CN"/>
        </w:rPr>
        <w:t>参考</w:t>
      </w:r>
      <w:r>
        <w:rPr>
          <w:rFonts w:hint="eastAsia"/>
          <w:color w:val="auto"/>
          <w:sz w:val="36"/>
          <w:szCs w:val="36"/>
          <w:highlight w:val="none"/>
          <w:lang w:eastAsia="zh-CN"/>
        </w:rPr>
        <w:t>）</w:t>
      </w:r>
    </w:p>
    <w:p>
      <w:pPr>
        <w:spacing w:line="360" w:lineRule="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委托方：杭州萧山环城建设开发有限公司(以下简称甲方)</w:t>
      </w:r>
    </w:p>
    <w:p>
      <w:pPr>
        <w:spacing w:line="360" w:lineRule="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承接方：</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lang w:eastAsia="zh-CN"/>
        </w:rPr>
        <w:t xml:space="preserve">     (以下简称乙方)</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依照《中华人民共和国民法典》及有关法律法规，遵循公平、平等、自愿和诚实信用的原则，双方就以下内容协商一致，订立本合同。</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一、规划设计的内容、形式和要求：规划论证内容、技术深度要求按国家有关标准执行。</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1、主要内容与要求：</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主要内容包括：分析编制背景和项目基本情况，结合上层次规划及总体规划，结合选址应满足的用地、交通、周边环境等选址要求，确定选址并论证项目选址符合城市规划。(具体内容就具体项目而定)</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主要编制要求：编制建设项目选址论证报告，应根据《中华人民共和国城乡规划法》、《城市规划编制办法》等相关城乡规划有关法律法规、标准规范的要求，在《杭州市萧山次区域规划》、《杭州市萧山区综合交通规划》等萧山区原有规划的基础上，分析建设项目与城市长远发展、城市总体规划、专项规划的关系，论证项目选址是否符合风景名胜、历史文化和环境保护、公共安全和防灾减灾等要求，</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2、范围：视具体项目而定。</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3、成果形式：电子文件(论证报告与图集)及纸质文件。</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4、时间要求：就具体项目如甲方无特殊要求，按以下执行。</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①、20天必须完成选址论证方案初稿提交。</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②、30天必须完成选址论证方案评审稿提交。</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③、60天必须完成选址论证方案送审稿提交。</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④、乙方对选址论证方案的修改、完善及后续服务工作需延续至相关方案被法定完全批准为止，同时承担实施后的咨询、完善及补充编制的义务。</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二.履行期限、地点和方式：</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本合同自202</w:t>
      </w: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lang w:eastAsia="zh-CN"/>
        </w:rPr>
        <w:t>年</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lang w:eastAsia="zh-CN"/>
        </w:rPr>
        <w:t>月</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lang w:eastAsia="zh-CN"/>
        </w:rPr>
        <w:t>日至202</w:t>
      </w: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lang w:eastAsia="zh-CN"/>
        </w:rPr>
        <w:t>年</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lang w:eastAsia="zh-CN"/>
        </w:rPr>
        <w:t>月</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lang w:eastAsia="zh-CN"/>
        </w:rPr>
        <w:t>日在杭州萧山区(地点)履行。</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本合同的履行方式：</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该合同签订后，自单个项目委托确认之日起，乙方即按合同要求开展工作，及时沟通选址论证中的重要问题，及时提交阶段成果及最终成果。如合同所要求的配合工作延期或遇其他原因推迟合同签订，合同期限顺延。项目完成后乙方向甲方免费提供成果的电子文件2份(包括cad、word、jpg、ppt格式)论证报告与图集6套。(电子文件格式需符合《杭州市城市规划编制电子成果提交规范》要求)</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三、甲方的协作事项：</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在单个项目委托确认后三个工作日内，甲方应向乙方提供下列资料和工作条件：</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(一)按照乙方的提纲提供技术基础资料。(提纲清单另附)(如有)</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(二)商议并拟定工作日程。</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(三)为乙方在现场的工作提供工作上的方便。</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四、技术情报和资料的保密：</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乙方应对甲方提供的项目技术资料保密，合同完成时乙方应将甲方提供的全部资料归还甲方，仅限于双方技术人员在本项目范围内使用。</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五、验收、评价方法：</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选址论证报告达到了本合同第一项所列要求，论证报告通过区级相关部门评审，并取得区政府批复。</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本合同服务项目的保证期为一年。在保证期内发现服务质量缺陷的，乙方应当负责返工或者采取补救措施。但因甲方使用、保管不当引起的问题除外。</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超出签订合同时约定的技术内容，如增加内容、修改和调整内容等，都不属于保质期范围内，需重新委托。</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六、报酬及其支付方式：</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(一)单项目论证费：</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val="en-US" w:eastAsia="zh-CN"/>
        </w:rPr>
        <w:t>5公顷（含）/宗以下地块：</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lang w:val="en-US" w:eastAsia="zh-CN"/>
        </w:rPr>
        <w:t>万元/宗；5公顷/宗以上地块：</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lang w:val="en-US" w:eastAsia="zh-CN"/>
        </w:rPr>
        <w:t>万元/宗。</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乙方进行调查研究、分析论证、试验测定的经费和报告论证会务评审费、专家费由乙方承担，均已包含在每个项目的论证费中。</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评审稿在完成规划部门评审，乙方已按要求修改完成，因甲方再次要求修改既定条件、用地性质等原因，而造成选址论证报告进行较大修改的，应按一定比例收取返工费：返工一次按基价的50%增收设计费；若因正常技术原因造成规划成果审查未通过的，乙方进行无偿修改。对因甲方原因造成送审稿完成后项目中断的，按项目合同费用的60%收取。</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在规划送审成果提交后，因甲方要求重新更改论证规划设计条件、用地性质修改，或控制性详细规划调整等原因，造成选址论证报告重新编制的，按照新项目另行计费。</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(二)支付方式：</w:t>
      </w:r>
      <w:r>
        <w:rPr>
          <w:rFonts w:hint="eastAsia" w:asciiTheme="minorEastAsia" w:hAnsiTheme="minorEastAsia" w:eastAsiaTheme="minorEastAsia" w:cstheme="minorEastAsia"/>
          <w:color w:val="auto"/>
          <w:sz w:val="28"/>
          <w:szCs w:val="28"/>
          <w:highlight w:val="none"/>
          <w:lang w:val="zh-CN" w:eastAsia="zh-CN"/>
        </w:rPr>
        <w:t>完成并出具成果报告，</w:t>
      </w:r>
      <w:r>
        <w:rPr>
          <w:rFonts w:hint="eastAsia" w:asciiTheme="minorEastAsia" w:hAnsiTheme="minorEastAsia" w:eastAsiaTheme="minorEastAsia" w:cstheme="minorEastAsia"/>
          <w:color w:val="auto"/>
          <w:sz w:val="28"/>
          <w:szCs w:val="28"/>
          <w:highlight w:val="none"/>
          <w:lang w:val="en-US" w:eastAsia="zh-CN"/>
        </w:rPr>
        <w:t>且经项目主管部门最终批复</w:t>
      </w:r>
      <w:r>
        <w:rPr>
          <w:rFonts w:hint="eastAsia" w:asciiTheme="minorEastAsia" w:hAnsiTheme="minorEastAsia" w:eastAsiaTheme="minorEastAsia" w:cstheme="minorEastAsia"/>
          <w:color w:val="auto"/>
          <w:sz w:val="28"/>
          <w:szCs w:val="28"/>
          <w:highlight w:val="none"/>
          <w:lang w:val="zh-CN" w:eastAsia="zh-CN"/>
        </w:rPr>
        <w:t>，并由</w:t>
      </w:r>
      <w:r>
        <w:rPr>
          <w:rFonts w:hint="eastAsia" w:asciiTheme="minorEastAsia" w:hAnsiTheme="minorEastAsia" w:eastAsiaTheme="minorEastAsia" w:cstheme="minorEastAsia"/>
          <w:color w:val="auto"/>
          <w:sz w:val="28"/>
          <w:szCs w:val="28"/>
          <w:highlight w:val="none"/>
          <w:lang w:eastAsia="zh-CN"/>
        </w:rPr>
        <w:t>交易发起人</w:t>
      </w:r>
      <w:r>
        <w:rPr>
          <w:rFonts w:hint="eastAsia" w:asciiTheme="minorEastAsia" w:hAnsiTheme="minorEastAsia" w:eastAsiaTheme="minorEastAsia" w:cstheme="minorEastAsia"/>
          <w:color w:val="auto"/>
          <w:sz w:val="28"/>
          <w:szCs w:val="28"/>
          <w:highlight w:val="none"/>
          <w:lang w:val="zh-CN" w:eastAsia="zh-CN"/>
        </w:rPr>
        <w:t>确认后，服务期满后根据</w:t>
      </w:r>
      <w:r>
        <w:rPr>
          <w:rFonts w:hint="eastAsia" w:asciiTheme="minorEastAsia" w:hAnsiTheme="minorEastAsia" w:eastAsiaTheme="minorEastAsia" w:cstheme="minorEastAsia"/>
          <w:color w:val="auto"/>
          <w:sz w:val="28"/>
          <w:szCs w:val="28"/>
          <w:highlight w:val="none"/>
          <w:lang w:eastAsia="zh-CN"/>
        </w:rPr>
        <w:t>实际完成的服务量乘以服务中标单价作为最终项目结算价一次性支付</w:t>
      </w:r>
      <w:r>
        <w:rPr>
          <w:rFonts w:hint="eastAsia" w:asciiTheme="minorEastAsia" w:hAnsiTheme="minorEastAsia" w:eastAsiaTheme="minorEastAsia" w:cstheme="minorEastAsia"/>
          <w:color w:val="auto"/>
          <w:sz w:val="28"/>
          <w:szCs w:val="28"/>
          <w:highlight w:val="none"/>
          <w:lang w:val="zh-CN" w:eastAsia="zh-CN"/>
        </w:rPr>
        <w:t>（以实际完成并经交易发起人确认为准）。</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七、履约保证金：</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本合同的履约保证金为人民币</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lang w:eastAsia="zh-CN"/>
        </w:rPr>
        <w:t>,履约保证金用于保证乙方按协议履行其全部义务；待服务期满且所承接的全部项目完成后退还到乙方账户，无息退还。(如有违约，须扣除相应金额)。</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八、违约金或者损失赔偿额的计算方法：</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(一)在合同履行期间，因乙方原因终止或者解除合同，甲方不退还乙方上交的履约保证金。</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(二)违反本合同第一条约定，因乙方原因，延误了本合同完成时间或者双方另行约定的时间提交方案的，经甲方书面通知仍未提交的，乙方应当承担违约责任，承担方式和违约金额如下：</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每延误一天，应减收该项目应收费用的千分之二。</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(三)违反本合同第六条约定，未按金额和时间向乙方支付费用，甲方应当承担违约责任，承担方式和违约金额如下：每逾期支付一天，应承担逾期金额千分之二的逾期违约金。</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九、争议的解决办法：</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凡因本协议发生的或与本协议有关的一切争议，甲、乙双方应友好协商解决，协商不成时，双方可向萧山区人民法院起诉。</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十、其它</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(一)本合同一式陆份，甲方持肆份，乙方持贰份，双方签字盖章后生效。</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(二)本协议未尽事宜，双方可协商签订补充协议， 补充协议与本协议具有 同等法律效力</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(以下无正文)</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委托方名称(章):</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地址：</w:t>
      </w:r>
      <w:r>
        <w:rPr>
          <w:rFonts w:hint="eastAsia" w:asciiTheme="minorEastAsia" w:hAnsi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lang w:eastAsia="zh-CN"/>
        </w:rPr>
        <w:t>邮政编码：</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法定代表人或代表(签章):</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联系电话：</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开户银行及账号：</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签订日期：</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承接方名称(章):</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地址：</w:t>
      </w:r>
      <w:r>
        <w:rPr>
          <w:rFonts w:hint="eastAsia" w:asciiTheme="minorEastAsia" w:hAnsi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lang w:eastAsia="zh-CN"/>
        </w:rPr>
        <w:t>邮政编码：</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法定代表或代表(签章)</w:t>
      </w:r>
      <w:r>
        <w:rPr>
          <w:rFonts w:hint="eastAsia" w:asciiTheme="minorEastAsia" w:hAnsiTheme="minorEastAsia" w:cstheme="minorEastAsia"/>
          <w:color w:val="auto"/>
          <w:sz w:val="28"/>
          <w:szCs w:val="28"/>
          <w:highlight w:val="none"/>
          <w:lang w:eastAsia="zh-CN"/>
        </w:rPr>
        <w:t>：</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联系电话：</w:t>
      </w:r>
    </w:p>
    <w:p>
      <w:pPr>
        <w:spacing w:line="360" w:lineRule="auto"/>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开户银行及账号：</w:t>
      </w:r>
    </w:p>
    <w:p>
      <w:pPr>
        <w:spacing w:line="360" w:lineRule="auto"/>
        <w:ind w:firstLine="560" w:firstLineChars="200"/>
        <w:rPr>
          <w:rFonts w:hint="eastAsia" w:ascii="宋体" w:hAnsi="宋体" w:eastAsia="宋体" w:cs="宋体"/>
          <w:color w:val="auto"/>
          <w:highlight w:val="none"/>
          <w:lang w:eastAsia="zh-CN"/>
        </w:rPr>
      </w:pPr>
      <w:r>
        <w:rPr>
          <w:rFonts w:hint="eastAsia" w:asciiTheme="minorEastAsia" w:hAnsiTheme="minorEastAsia" w:eastAsiaTheme="minorEastAsia" w:cstheme="minorEastAsia"/>
          <w:color w:val="auto"/>
          <w:sz w:val="28"/>
          <w:szCs w:val="28"/>
          <w:highlight w:val="none"/>
          <w:lang w:eastAsia="zh-CN"/>
        </w:rPr>
        <w:t>签订日期：</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color w:val="auto"/>
          <w:highlight w:val="none"/>
        </w:rPr>
      </w:pPr>
    </w:p>
    <w:p>
      <w:pPr>
        <w:spacing w:before="42" w:line="240" w:lineRule="auto"/>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7"/>
      <w:r>
        <w:rPr>
          <w:rFonts w:hint="eastAsia" w:ascii="宋体" w:hAnsi="宋体" w:cs="宋体"/>
          <w:b/>
          <w:color w:val="auto"/>
          <w:sz w:val="36"/>
          <w:szCs w:val="20"/>
          <w:highlight w:val="none"/>
        </w:rPr>
        <w:t xml:space="preserve"> </w:t>
      </w:r>
      <w:bookmarkEnd w:id="388"/>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（1）符合参加交易活动应当具备的一般条件的承诺函…………………（页码）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符合参加交易活动应当具备的一般条件的承诺函</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rPr>
        <w:t>交易活动，郑重承诺：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响应人名称(电子签名)：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pPr>
        <w:spacing w:line="360" w:lineRule="auto"/>
        <w:jc w:val="center"/>
        <w:rPr>
          <w:rFonts w:ascii="宋体" w:hAnsi="宋体" w:cs="宋体"/>
          <w:color w:val="auto"/>
          <w:kern w:val="0"/>
          <w:sz w:val="24"/>
          <w:highlight w:val="none"/>
          <w:lang w:val="zh-CN"/>
        </w:rPr>
      </w:pPr>
    </w:p>
    <w:p>
      <w:pPr>
        <w:widowControl/>
        <w:spacing w:line="360" w:lineRule="auto"/>
        <w:ind w:left="15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jc w:val="distribute"/>
        <w:rPr>
          <w:rFonts w:ascii="宋体" w:hAnsi="宋体" w:cs="宋体"/>
          <w:color w:val="auto"/>
          <w:highlight w:val="none"/>
        </w:rPr>
      </w:pPr>
      <w:r>
        <w:rPr>
          <w:rFonts w:hint="eastAsia" w:ascii="宋体" w:hAnsi="宋体" w:cs="宋体"/>
          <w:color w:val="auto"/>
          <w:sz w:val="24"/>
          <w:highlight w:val="none"/>
        </w:rPr>
        <w:t>（1）交易函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（3）营业执照</w:t>
      </w:r>
      <w:r>
        <w:rPr>
          <w:rFonts w:hint="eastAsia" w:ascii="宋体" w:hAnsi="宋体" w:cs="宋体"/>
          <w:color w:val="auto"/>
          <w:highlight w:val="none"/>
        </w:rPr>
        <w:t>………………………………………………………………………………（页码）</w:t>
      </w:r>
    </w:p>
    <w:p>
      <w:pPr>
        <w:snapToGrid w:val="0"/>
        <w:spacing w:line="360" w:lineRule="auto"/>
        <w:ind w:firstLine="480" w:firstLineChars="200"/>
        <w:jc w:val="distribute"/>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（5）评审标准相应的商务技术资料</w:t>
      </w:r>
      <w:r>
        <w:rPr>
          <w:rFonts w:hint="eastAsia" w:ascii="宋体" w:hAnsi="宋体" w:cs="宋体"/>
          <w:color w:val="auto"/>
          <w:highlight w:val="none"/>
        </w:rPr>
        <w:t>……………………………………………………（页码）</w:t>
      </w:r>
    </w:p>
    <w:p>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（6）商务技术偏离表</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一、交易函</w:t>
      </w: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的有关活动，并对此项目进行投标。为此：</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2.1.2本项目的特定资格要求（如果有）。</w:t>
      </w:r>
    </w:p>
    <w:p>
      <w:pPr>
        <w:snapToGrid w:val="0"/>
        <w:spacing w:line="440" w:lineRule="exact"/>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2.2.1交易函；</w:t>
      </w:r>
      <w:r>
        <w:rPr>
          <w:rFonts w:hint="eastAsia" w:ascii="宋体" w:hAnsi="宋体" w:cs="宋体"/>
          <w:color w:val="auto"/>
          <w:sz w:val="24"/>
          <w:highlight w:val="none"/>
          <w:lang w:val="zh-CN"/>
        </w:rPr>
        <w:t xml:space="preserve"> </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2.2.3营业执照；</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pPr>
        <w:snapToGrid w:val="0"/>
        <w:spacing w:line="440" w:lineRule="exact"/>
        <w:ind w:left="420" w:leftChars="200" w:firstLine="480" w:firstLineChars="200"/>
        <w:rPr>
          <w:rFonts w:ascii="宋体" w:hAnsi="宋体" w:cs="宋体"/>
          <w:color w:val="auto"/>
          <w:highlight w:val="none"/>
        </w:rPr>
      </w:pPr>
      <w:r>
        <w:rPr>
          <w:rFonts w:hint="eastAsia" w:ascii="宋体" w:hAnsi="宋体" w:cs="宋体"/>
          <w:color w:val="auto"/>
          <w:sz w:val="24"/>
          <w:highlight w:val="none"/>
        </w:rPr>
        <w:t>2.2.5评审标准相应的商务技术资料；</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响应人廉洁自律承诺书。</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2.3.1交易一览表（报价表）。</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3、我方承诺除商务技术偏离表列出的偏离外，我方响应公开竞争文件的全部要求。</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4.3按照公开竞争文件要求提交履约保证金；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4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响应人名称（电子签名）：                          </w:t>
      </w:r>
    </w:p>
    <w:p>
      <w:pPr>
        <w:spacing w:line="440" w:lineRule="exact"/>
        <w:jc w:val="center"/>
        <w:rPr>
          <w:rFonts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color w:val="auto"/>
          <w:sz w:val="24"/>
          <w:highlight w:val="none"/>
        </w:rPr>
        <w:t>注：按本格式和要求提供。</w:t>
      </w:r>
    </w:p>
    <w:p>
      <w:pPr>
        <w:pStyle w:val="25"/>
        <w:rPr>
          <w:rFonts w:hAnsi="宋体" w:cs="宋体"/>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（项目名称）【交易编号：       】</w:t>
      </w:r>
      <w:r>
        <w:rPr>
          <w:rFonts w:hint="eastAsia" w:ascii="宋体" w:hAnsi="宋体" w:cs="宋体"/>
          <w:color w:val="auto"/>
          <w:kern w:val="0"/>
          <w:sz w:val="24"/>
          <w:highlight w:val="none"/>
          <w:lang w:val="zh-CN"/>
        </w:rPr>
        <w:t>交易项目的一切事项，其法律后果由我方承担。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响应人名称(电子签名)：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lang w:val="zh-CN"/>
        </w:rPr>
      </w:pPr>
      <w:r>
        <w:rPr>
          <w:rFonts w:hint="eastAsia" w:ascii="宋体" w:hAnsi="宋体" w:cs="宋体"/>
          <w:b/>
          <w:color w:val="auto"/>
          <w:kern w:val="0"/>
          <w:sz w:val="32"/>
          <w:szCs w:val="32"/>
          <w:highlight w:val="none"/>
          <w:lang w:val="zh-CN"/>
        </w:rPr>
        <w:t xml:space="preserve">    </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的身份证明（适用于法定代表人、单位负责人或者自然人本人代表响应人参加投标）</w:t>
      </w:r>
    </w:p>
    <w:p>
      <w:pPr>
        <w:pStyle w:val="15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响应人名称(电子签名)：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三、营业执照</w:t>
      </w:r>
    </w:p>
    <w:p>
      <w:pPr>
        <w:jc w:val="center"/>
        <w:rPr>
          <w:rFonts w:ascii="宋体" w:hAnsi="宋体" w:cs="宋体"/>
          <w:b/>
          <w:color w:val="auto"/>
          <w:kern w:val="0"/>
          <w:sz w:val="32"/>
          <w:szCs w:val="32"/>
          <w:highlight w:val="none"/>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响应人名称(电子签名)：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97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56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响应文件按照公开竞争文件要求签署、盖章。</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pPr>
              <w:jc w:val="center"/>
              <w:rPr>
                <w:rFonts w:ascii="宋体" w:hAnsi="宋体" w:cs="宋体"/>
                <w:color w:val="auto"/>
                <w:sz w:val="24"/>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t>见响应文件</w:t>
            </w:r>
          </w:p>
          <w:p>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响应文件中承诺的交易有效期不少于公开竞争文件中载明的交易有效期。</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交易函</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响应文件满足公开竞争文件的其它实质性要求。</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五、评审标准相应的商务技术资料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（按公开竞争文件第四部分交易办法前附表中“响应文件中评审标准相应的商务技术资料目录”提供资料。）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62"/>
        <w:rPr>
          <w:rFonts w:hAnsi="宋体" w:cs="宋体"/>
          <w:b/>
          <w:color w:val="auto"/>
          <w:kern w:val="0"/>
          <w:sz w:val="32"/>
          <w:szCs w:val="32"/>
          <w:highlight w:val="none"/>
        </w:rPr>
      </w:pPr>
    </w:p>
    <w:p>
      <w:pPr>
        <w:pStyle w:val="52"/>
        <w:rPr>
          <w:rFonts w:ascii="宋体" w:hAnsi="宋体" w:cs="宋体"/>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pacing w:line="360" w:lineRule="auto"/>
        <w:ind w:right="42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公开竞争文件章节及具体内容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响应人保证：除商务技术偏离表列出的偏离外，响应人响应公开竞争文件的全部要求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spacing w:line="360" w:lineRule="auto"/>
        <w:jc w:val="center"/>
        <w:rPr>
          <w:rFonts w:ascii="宋体" w:hAnsi="宋体" w:cs="宋体"/>
          <w:b/>
          <w:bCs/>
          <w:color w:val="auto"/>
          <w:sz w:val="24"/>
          <w:highlight w:val="none"/>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2"/>
        </w:numPr>
        <w:snapToGrid w:val="0"/>
        <w:spacing w:line="360" w:lineRule="auto"/>
        <w:rPr>
          <w:rFonts w:hint="eastAsia" w:ascii="宋体" w:hAnsi="宋体" w:cs="宋体"/>
          <w:color w:val="auto"/>
          <w:sz w:val="24"/>
          <w:highlight w:val="none"/>
        </w:rPr>
      </w:pPr>
      <w:r>
        <w:rPr>
          <w:rFonts w:hint="eastAsia" w:ascii="宋体" w:hAnsi="宋体" w:eastAsia="宋体" w:cs="宋体"/>
          <w:color w:val="auto"/>
          <w:highlight w:val="none"/>
        </w:rPr>
        <w:t>交易一览表</w:t>
      </w:r>
      <w:r>
        <w:rPr>
          <w:rFonts w:hint="eastAsia" w:ascii="宋体" w:hAnsi="宋体" w:cs="宋体"/>
          <w:color w:val="auto"/>
          <w:sz w:val="24"/>
          <w:highlight w:val="none"/>
        </w:rPr>
        <w:t>……………………………………………………………………（页码）</w:t>
      </w:r>
    </w:p>
    <w:p>
      <w:pPr>
        <w:numPr>
          <w:ilvl w:val="0"/>
          <w:numId w:val="2"/>
        </w:numPr>
        <w:snapToGrid w:val="0"/>
        <w:spacing w:line="360" w:lineRule="auto"/>
        <w:rPr>
          <w:rFonts w:ascii="宋体" w:hAnsi="宋体" w:cs="宋体"/>
          <w:color w:val="auto"/>
          <w:sz w:val="24"/>
          <w:highlight w:val="none"/>
        </w:rPr>
      </w:pPr>
      <w:r>
        <w:rPr>
          <w:rFonts w:hint="eastAsia" w:ascii="宋体" w:hAnsi="宋体" w:cs="宋体"/>
          <w:color w:val="auto"/>
          <w:sz w:val="24"/>
          <w:szCs w:val="24"/>
          <w:highlight w:val="none"/>
          <w:lang w:val="en-US" w:eastAsia="zh-CN"/>
        </w:rPr>
        <w:t>廉洁自律承诺书</w:t>
      </w:r>
      <w:r>
        <w:rPr>
          <w:rFonts w:hint="eastAsia" w:ascii="宋体" w:hAnsi="宋体" w:cs="宋体"/>
          <w:color w:val="auto"/>
          <w:sz w:val="24"/>
          <w:szCs w:val="24"/>
          <w:highlight w:val="none"/>
        </w:rPr>
        <w:t>…</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pStyle w:val="4"/>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一、交易一览表（报价表）</w:t>
      </w:r>
    </w:p>
    <w:p>
      <w:pPr>
        <w:spacing w:line="360" w:lineRule="exact"/>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交易发起</w:t>
      </w:r>
      <w:r>
        <w:rPr>
          <w:rFonts w:hint="eastAsia"/>
          <w:color w:val="auto"/>
          <w:sz w:val="24"/>
          <w:szCs w:val="24"/>
          <w:highlight w:val="none"/>
        </w:rPr>
        <w:t>人）、（采购代理机构）</w:t>
      </w:r>
      <w:r>
        <w:rPr>
          <w:rFonts w:hint="eastAsia"/>
          <w:color w:val="auto"/>
          <w:sz w:val="24"/>
          <w:szCs w:val="24"/>
          <w:highlight w:val="none"/>
          <w:lang w:val="zh-CN"/>
        </w:rPr>
        <w:t>：</w:t>
      </w:r>
    </w:p>
    <w:p>
      <w:pPr>
        <w:spacing w:line="360" w:lineRule="exact"/>
        <w:rPr>
          <w:color w:val="auto"/>
          <w:sz w:val="24"/>
          <w:szCs w:val="24"/>
          <w:highlight w:val="none"/>
          <w:lang w:val="zh-CN"/>
        </w:rPr>
      </w:pPr>
      <w:r>
        <w:rPr>
          <w:rFonts w:hint="eastAsia"/>
          <w:color w:val="auto"/>
          <w:sz w:val="24"/>
          <w:szCs w:val="24"/>
          <w:highlight w:val="none"/>
          <w:lang w:val="zh-CN"/>
        </w:rPr>
        <w:t>按你方交易文件要求，我们，本响应文件签字方，谨此向你方发出要约如下：如你方接受本响应，我方承诺按照如下交易一览表（报价表）的价格完成</w:t>
      </w:r>
      <w:r>
        <w:rPr>
          <w:rFonts w:hint="eastAsia"/>
          <w:color w:val="auto"/>
          <w:sz w:val="24"/>
          <w:szCs w:val="24"/>
          <w:highlight w:val="none"/>
        </w:rPr>
        <w:t>（项目名称）</w:t>
      </w:r>
      <w:r>
        <w:rPr>
          <w:rFonts w:hint="eastAsia"/>
          <w:color w:val="auto"/>
          <w:sz w:val="24"/>
          <w:szCs w:val="24"/>
          <w:highlight w:val="none"/>
          <w:lang w:val="zh-CN"/>
        </w:rPr>
        <w:t>【</w:t>
      </w:r>
      <w:r>
        <w:rPr>
          <w:rFonts w:hint="eastAsia"/>
          <w:color w:val="auto"/>
          <w:sz w:val="24"/>
          <w:szCs w:val="24"/>
          <w:highlight w:val="none"/>
        </w:rPr>
        <w:t>项目</w:t>
      </w:r>
      <w:r>
        <w:rPr>
          <w:rFonts w:hint="eastAsia"/>
          <w:color w:val="auto"/>
          <w:sz w:val="24"/>
          <w:szCs w:val="24"/>
          <w:highlight w:val="none"/>
          <w:lang w:val="zh-CN"/>
        </w:rPr>
        <w:t>编号：</w:t>
      </w:r>
      <w:r>
        <w:rPr>
          <w:rFonts w:hint="eastAsia"/>
          <w:color w:val="auto"/>
          <w:sz w:val="24"/>
          <w:szCs w:val="24"/>
          <w:highlight w:val="none"/>
        </w:rPr>
        <w:t>（采购编号）】的实施</w:t>
      </w:r>
      <w:r>
        <w:rPr>
          <w:rFonts w:hint="eastAsia"/>
          <w:color w:val="auto"/>
          <w:sz w:val="24"/>
          <w:szCs w:val="24"/>
          <w:highlight w:val="none"/>
          <w:lang w:val="zh-CN"/>
        </w:rPr>
        <w:t>。</w:t>
      </w:r>
    </w:p>
    <w:p>
      <w:pPr>
        <w:spacing w:line="400" w:lineRule="exact"/>
        <w:jc w:val="center"/>
        <w:rPr>
          <w:b/>
          <w:color w:val="auto"/>
          <w:highlight w:val="none"/>
          <w:lang w:val="zh-CN"/>
        </w:rPr>
      </w:pPr>
      <w:r>
        <w:rPr>
          <w:rFonts w:hint="eastAsia"/>
          <w:b/>
          <w:color w:val="auto"/>
          <w:sz w:val="24"/>
          <w:szCs w:val="24"/>
          <w:highlight w:val="none"/>
          <w:lang w:val="zh-CN"/>
        </w:rPr>
        <w:t>交易一览表（报价表）</w:t>
      </w:r>
      <w:r>
        <w:rPr>
          <w:b/>
          <w:color w:val="auto"/>
          <w:sz w:val="24"/>
          <w:szCs w:val="24"/>
          <w:highlight w:val="none"/>
          <w:lang w:val="zh-CN"/>
        </w:rPr>
        <w:t>(单位均为人民币元</w:t>
      </w:r>
      <w:r>
        <w:rPr>
          <w:rFonts w:hint="eastAsia"/>
          <w:b/>
          <w:color w:val="auto"/>
          <w:sz w:val="24"/>
          <w:szCs w:val="24"/>
          <w:highlight w:val="none"/>
          <w:lang w:val="zh-CN"/>
        </w:rPr>
        <w:t>，</w:t>
      </w:r>
      <w:r>
        <w:rPr>
          <w:rFonts w:hint="eastAsia"/>
          <w:b/>
          <w:color w:val="auto"/>
          <w:sz w:val="24"/>
          <w:szCs w:val="24"/>
          <w:highlight w:val="none"/>
          <w:lang w:val="en-US" w:eastAsia="zh-CN"/>
        </w:rPr>
        <w:t>至多保留2位小数</w:t>
      </w:r>
      <w:r>
        <w:rPr>
          <w:b/>
          <w:color w:val="auto"/>
          <w:sz w:val="24"/>
          <w:szCs w:val="24"/>
          <w:highlight w:val="none"/>
          <w:lang w:val="zh-CN"/>
        </w:rPr>
        <w:t xml:space="preserve">) </w:t>
      </w:r>
    </w:p>
    <w:tbl>
      <w:tblPr>
        <w:tblStyle w:val="64"/>
        <w:tblW w:w="14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3623"/>
        <w:gridCol w:w="1587"/>
        <w:gridCol w:w="847"/>
        <w:gridCol w:w="2262"/>
        <w:gridCol w:w="2262"/>
        <w:gridCol w:w="1414"/>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6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具体服务</w:t>
            </w: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投标报价（单价）</w:t>
            </w:r>
          </w:p>
          <w:p>
            <w:pPr>
              <w:jc w:val="center"/>
              <w:rPr>
                <w:rFonts w:ascii="宋体" w:hAnsi="宋体" w:cs="宋体"/>
                <w:b/>
                <w:color w:val="auto"/>
                <w:sz w:val="24"/>
                <w:highlight w:val="none"/>
              </w:rPr>
            </w:pPr>
            <w:r>
              <w:rPr>
                <w:rFonts w:hint="eastAsia" w:ascii="宋体" w:hAnsi="宋体" w:cs="宋体"/>
                <w:b/>
                <w:color w:val="auto"/>
                <w:sz w:val="24"/>
                <w:highlight w:val="none"/>
              </w:rPr>
              <w:t>（小写）</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投标报价（单价）</w:t>
            </w:r>
          </w:p>
          <w:p>
            <w:pPr>
              <w:jc w:val="center"/>
              <w:rPr>
                <w:rFonts w:ascii="宋体" w:hAnsi="宋体" w:cs="宋体"/>
                <w:b/>
                <w:color w:val="auto"/>
                <w:sz w:val="24"/>
                <w:highlight w:val="none"/>
              </w:rPr>
            </w:pPr>
            <w:r>
              <w:rPr>
                <w:rFonts w:hint="eastAsia" w:ascii="宋体" w:hAnsi="宋体" w:cs="宋体"/>
                <w:b/>
                <w:color w:val="auto"/>
                <w:sz w:val="24"/>
                <w:highlight w:val="none"/>
              </w:rPr>
              <w:t>（大写）</w:t>
            </w:r>
          </w:p>
        </w:tc>
        <w:tc>
          <w:tcPr>
            <w:tcW w:w="14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服务要求</w:t>
            </w:r>
          </w:p>
          <w:p>
            <w:pPr>
              <w:jc w:val="center"/>
              <w:rPr>
                <w:rFonts w:ascii="宋体" w:hAnsi="宋体" w:cs="宋体"/>
                <w:b/>
                <w:color w:val="auto"/>
                <w:sz w:val="24"/>
                <w:highlight w:val="none"/>
              </w:rPr>
            </w:pPr>
            <w:r>
              <w:rPr>
                <w:rFonts w:hint="eastAsia" w:ascii="宋体" w:hAnsi="宋体" w:cs="宋体"/>
                <w:b/>
                <w:color w:val="auto"/>
                <w:sz w:val="24"/>
                <w:highlight w:val="none"/>
              </w:rPr>
              <w:t>（年限）</w:t>
            </w: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36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rPr>
            </w:pPr>
            <w:r>
              <w:rPr>
                <w:rFonts w:hint="eastAsia" w:ascii="宋体" w:hAnsi="宋体" w:eastAsia="宋体" w:cs="宋体"/>
                <w:color w:val="auto"/>
                <w:sz w:val="24"/>
                <w:highlight w:val="none"/>
                <w:lang w:val="en-US" w:eastAsia="zh-CN"/>
              </w:rPr>
              <w:t>5公顷（含）/</w:t>
            </w:r>
            <w:r>
              <w:rPr>
                <w:rFonts w:hint="eastAsia" w:ascii="宋体" w:hAnsi="宋体" w:cs="仿宋"/>
                <w:color w:val="auto"/>
                <w:sz w:val="24"/>
                <w:szCs w:val="28"/>
                <w:highlight w:val="none"/>
              </w:rPr>
              <w:t>宗</w:t>
            </w:r>
            <w:r>
              <w:rPr>
                <w:rFonts w:hint="eastAsia" w:ascii="宋体" w:hAnsi="宋体" w:eastAsia="宋体" w:cs="宋体"/>
                <w:color w:val="auto"/>
                <w:sz w:val="24"/>
                <w:highlight w:val="none"/>
                <w:lang w:val="en-US" w:eastAsia="zh-CN"/>
              </w:rPr>
              <w:t>以下地块选址论证服务</w:t>
            </w: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仿宋"/>
                <w:color w:val="auto"/>
                <w:sz w:val="24"/>
                <w:szCs w:val="28"/>
                <w:highlight w:val="none"/>
              </w:rPr>
              <w:t>宗</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仿宋"/>
                <w:color w:val="auto"/>
                <w:sz w:val="24"/>
                <w:szCs w:val="28"/>
                <w:highlight w:val="none"/>
              </w:rPr>
              <w:t>万元/宗</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仿宋"/>
                <w:color w:val="auto"/>
                <w:sz w:val="24"/>
                <w:szCs w:val="28"/>
                <w:highlight w:val="none"/>
              </w:rPr>
              <w:t>万元/宗</w:t>
            </w:r>
          </w:p>
        </w:tc>
        <w:tc>
          <w:tcPr>
            <w:tcW w:w="14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1年</w:t>
            </w: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4"/>
                <w:highlight w:val="none"/>
              </w:rPr>
            </w:pPr>
            <w:r>
              <w:rPr>
                <w:rFonts w:hint="eastAsia" w:ascii="宋体" w:hAnsi="宋体"/>
                <w:bCs/>
                <w:color w:val="auto"/>
                <w:sz w:val="24"/>
                <w:highlight w:val="none"/>
              </w:rPr>
              <w:t>最高限价：</w:t>
            </w:r>
          </w:p>
          <w:p>
            <w:pPr>
              <w:jc w:val="center"/>
              <w:rPr>
                <w:rFonts w:ascii="宋体" w:hAnsi="宋体"/>
                <w:bCs/>
                <w:color w:val="auto"/>
                <w:sz w:val="24"/>
                <w:highlight w:val="none"/>
              </w:rPr>
            </w:pPr>
            <w:r>
              <w:rPr>
                <w:rFonts w:hint="eastAsia" w:ascii="宋体" w:hAnsi="宋体" w:cs="仿宋"/>
                <w:color w:val="auto"/>
                <w:sz w:val="24"/>
                <w:szCs w:val="28"/>
                <w:highlight w:val="none"/>
                <w:lang w:val="en-US" w:eastAsia="zh-CN"/>
              </w:rPr>
              <w:t>10</w:t>
            </w:r>
            <w:r>
              <w:rPr>
                <w:rFonts w:hint="eastAsia" w:ascii="宋体" w:hAnsi="宋体" w:cs="仿宋"/>
                <w:color w:val="auto"/>
                <w:sz w:val="24"/>
                <w:szCs w:val="28"/>
                <w:highlight w:val="none"/>
              </w:rPr>
              <w:t>万元/宗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36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auto"/>
                <w:sz w:val="24"/>
                <w:highlight w:val="none"/>
              </w:rPr>
            </w:pPr>
            <w:r>
              <w:rPr>
                <w:rFonts w:hint="eastAsia" w:ascii="宋体" w:hAnsi="宋体" w:eastAsia="宋体" w:cs="宋体"/>
                <w:color w:val="auto"/>
                <w:sz w:val="24"/>
                <w:highlight w:val="none"/>
                <w:lang w:val="en-US" w:eastAsia="zh-CN"/>
              </w:rPr>
              <w:t>5公顷/</w:t>
            </w:r>
            <w:r>
              <w:rPr>
                <w:rFonts w:hint="eastAsia" w:ascii="宋体" w:hAnsi="宋体" w:cs="仿宋"/>
                <w:color w:val="auto"/>
                <w:sz w:val="24"/>
                <w:szCs w:val="28"/>
                <w:highlight w:val="none"/>
              </w:rPr>
              <w:t>宗</w:t>
            </w:r>
            <w:r>
              <w:rPr>
                <w:rFonts w:hint="eastAsia" w:ascii="宋体" w:hAnsi="宋体" w:eastAsia="宋体" w:cs="宋体"/>
                <w:color w:val="auto"/>
                <w:sz w:val="24"/>
                <w:highlight w:val="none"/>
                <w:lang w:val="en-US" w:eastAsia="zh-CN"/>
              </w:rPr>
              <w:t>以上地块选址论证服务</w:t>
            </w: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仿宋"/>
                <w:color w:val="auto"/>
                <w:sz w:val="24"/>
                <w:szCs w:val="28"/>
                <w:highlight w:val="none"/>
              </w:rPr>
              <w:t>宗</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仿宋"/>
                <w:color w:val="auto"/>
                <w:sz w:val="24"/>
                <w:szCs w:val="28"/>
                <w:highlight w:val="none"/>
              </w:rPr>
              <w:t>万元/宗</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仿宋"/>
                <w:color w:val="auto"/>
                <w:sz w:val="24"/>
                <w:szCs w:val="28"/>
                <w:highlight w:val="none"/>
              </w:rPr>
              <w:t>万元/宗</w:t>
            </w:r>
          </w:p>
        </w:tc>
        <w:tc>
          <w:tcPr>
            <w:tcW w:w="14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1年</w:t>
            </w: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4"/>
                <w:highlight w:val="none"/>
              </w:rPr>
            </w:pPr>
            <w:r>
              <w:rPr>
                <w:rFonts w:hint="eastAsia" w:ascii="宋体" w:hAnsi="宋体"/>
                <w:bCs/>
                <w:color w:val="auto"/>
                <w:sz w:val="24"/>
                <w:highlight w:val="none"/>
              </w:rPr>
              <w:t>最高限价：</w:t>
            </w:r>
          </w:p>
          <w:p>
            <w:pPr>
              <w:jc w:val="center"/>
              <w:rPr>
                <w:rFonts w:ascii="宋体" w:hAnsi="宋体" w:cs="宋体"/>
                <w:color w:val="auto"/>
                <w:sz w:val="24"/>
                <w:highlight w:val="none"/>
              </w:rPr>
            </w:pPr>
            <w:r>
              <w:rPr>
                <w:rFonts w:hint="eastAsia" w:ascii="宋体" w:hAnsi="宋体" w:cs="仿宋"/>
                <w:color w:val="auto"/>
                <w:sz w:val="24"/>
                <w:szCs w:val="28"/>
                <w:highlight w:val="none"/>
                <w:lang w:val="en-US" w:eastAsia="zh-CN"/>
              </w:rPr>
              <w:t>12</w:t>
            </w:r>
            <w:r>
              <w:rPr>
                <w:rFonts w:hint="eastAsia" w:ascii="宋体" w:hAnsi="宋体" w:cs="仿宋"/>
                <w:color w:val="auto"/>
                <w:sz w:val="24"/>
                <w:szCs w:val="28"/>
                <w:highlight w:val="none"/>
              </w:rPr>
              <w:t>万元/宗</w:t>
            </w:r>
          </w:p>
        </w:tc>
      </w:tr>
    </w:tbl>
    <w:p>
      <w:pPr>
        <w:spacing w:line="360" w:lineRule="exact"/>
        <w:rPr>
          <w:b/>
          <w:color w:val="auto"/>
          <w:sz w:val="24"/>
          <w:szCs w:val="24"/>
          <w:highlight w:val="none"/>
          <w:lang w:val="zh-CN"/>
        </w:rPr>
      </w:pPr>
      <w:r>
        <w:rPr>
          <w:rFonts w:hint="eastAsia"/>
          <w:b/>
          <w:color w:val="auto"/>
          <w:sz w:val="24"/>
          <w:szCs w:val="24"/>
          <w:highlight w:val="none"/>
          <w:lang w:val="zh-CN"/>
        </w:rPr>
        <w:t>注：</w:t>
      </w:r>
    </w:p>
    <w:p>
      <w:pPr>
        <w:spacing w:line="360" w:lineRule="exact"/>
        <w:rPr>
          <w:color w:val="auto"/>
          <w:sz w:val="24"/>
          <w:szCs w:val="24"/>
          <w:highlight w:val="none"/>
          <w:lang w:val="zh-CN"/>
        </w:rPr>
      </w:pPr>
      <w:r>
        <w:rPr>
          <w:color w:val="auto"/>
          <w:sz w:val="24"/>
          <w:szCs w:val="24"/>
          <w:highlight w:val="none"/>
          <w:lang w:val="zh-CN"/>
        </w:rPr>
        <w:t>1、供应商需按本表格式填写，不得自行更改。</w:t>
      </w:r>
      <w:r>
        <w:rPr>
          <w:color w:val="auto"/>
          <w:sz w:val="24"/>
          <w:szCs w:val="24"/>
          <w:highlight w:val="none"/>
          <w:lang w:val="zh-CN"/>
        </w:rPr>
        <w:tab/>
      </w:r>
    </w:p>
    <w:p>
      <w:pPr>
        <w:spacing w:line="360" w:lineRule="exact"/>
        <w:rPr>
          <w:color w:val="auto"/>
          <w:sz w:val="24"/>
          <w:szCs w:val="24"/>
          <w:highlight w:val="none"/>
        </w:rPr>
      </w:pPr>
      <w:r>
        <w:rPr>
          <w:color w:val="auto"/>
          <w:sz w:val="24"/>
          <w:szCs w:val="24"/>
          <w:highlight w:val="none"/>
          <w:lang w:val="zh-CN"/>
        </w:rPr>
        <w:t>2、有关本项目实施所涉及的一切费用均计入报价。</w:t>
      </w:r>
      <w:r>
        <w:rPr>
          <w:rFonts w:hint="eastAsia"/>
          <w:b/>
          <w:color w:val="auto"/>
          <w:sz w:val="24"/>
          <w:szCs w:val="24"/>
          <w:highlight w:val="none"/>
          <w:lang w:val="zh-CN"/>
        </w:rPr>
        <w:t>采购人将以合同形式有偿取得货物或服务，不接受供应商给予的赠品、回扣或者与采购无关的其他商品、服务</w:t>
      </w:r>
      <w:r>
        <w:rPr>
          <w:rFonts w:hint="eastAsia"/>
          <w:color w:val="auto"/>
          <w:sz w:val="24"/>
          <w:szCs w:val="24"/>
          <w:highlight w:val="none"/>
          <w:lang w:val="zh-CN"/>
        </w:rPr>
        <w:t>，</w:t>
      </w:r>
      <w:r>
        <w:rPr>
          <w:rFonts w:hint="eastAsia"/>
          <w:b/>
          <w:color w:val="auto"/>
          <w:sz w:val="24"/>
          <w:szCs w:val="24"/>
          <w:highlight w:val="none"/>
          <w:lang w:val="zh-CN"/>
        </w:rPr>
        <w:t>不得出现“</w:t>
      </w:r>
      <w:r>
        <w:rPr>
          <w:b/>
          <w:color w:val="auto"/>
          <w:sz w:val="24"/>
          <w:szCs w:val="24"/>
          <w:highlight w:val="none"/>
          <w:lang w:val="zh-CN"/>
        </w:rPr>
        <w:t>0元”“免费赠送”等形式的无偿报价</w:t>
      </w:r>
      <w:r>
        <w:rPr>
          <w:rFonts w:hint="eastAsia"/>
          <w:b/>
          <w:color w:val="auto"/>
          <w:sz w:val="24"/>
          <w:szCs w:val="24"/>
          <w:highlight w:val="none"/>
          <w:lang w:val="zh-CN"/>
        </w:rPr>
        <w:t>，</w:t>
      </w:r>
      <w:r>
        <w:rPr>
          <w:rFonts w:hint="eastAsia"/>
          <w:b/>
          <w:color w:val="auto"/>
          <w:sz w:val="24"/>
          <w:szCs w:val="24"/>
          <w:highlight w:val="none"/>
        </w:rPr>
        <w:t>否则视为响应文件含有采购人不能接受的附加条件的，响应无效</w:t>
      </w:r>
      <w:r>
        <w:rPr>
          <w:rFonts w:hint="eastAsia"/>
          <w:b/>
          <w:color w:val="auto"/>
          <w:sz w:val="24"/>
          <w:szCs w:val="24"/>
          <w:highlight w:val="none"/>
          <w:lang w:val="zh-CN"/>
        </w:rPr>
        <w:t>；采购内容未包含在《交易一览表（报价表）》名称栏中，供应商不能作出合理解释的，</w:t>
      </w:r>
      <w:r>
        <w:rPr>
          <w:rFonts w:hint="eastAsia"/>
          <w:b/>
          <w:color w:val="auto"/>
          <w:sz w:val="24"/>
          <w:szCs w:val="24"/>
          <w:highlight w:val="none"/>
        </w:rPr>
        <w:t>视为响应文件含有采购人不能接受的附加条件的，响应无效。</w:t>
      </w:r>
    </w:p>
    <w:p>
      <w:pPr>
        <w:spacing w:line="360" w:lineRule="exact"/>
        <w:rPr>
          <w:color w:val="auto"/>
          <w:sz w:val="24"/>
          <w:szCs w:val="24"/>
          <w:highlight w:val="none"/>
          <w:lang w:val="zh-CN"/>
        </w:rPr>
      </w:pPr>
      <w:r>
        <w:rPr>
          <w:color w:val="auto"/>
          <w:sz w:val="24"/>
          <w:szCs w:val="24"/>
          <w:highlight w:val="none"/>
          <w:lang w:val="zh-CN"/>
        </w:rPr>
        <w:t>3、以上表格要求细分项目及报价，在“规格型号（或具体服务）”一栏中，货物类项目填写规格型号，服务类项目填写具体服务。</w:t>
      </w:r>
    </w:p>
    <w:p>
      <w:pPr>
        <w:spacing w:line="360" w:lineRule="exact"/>
        <w:rPr>
          <w:rFonts w:hint="eastAsia"/>
          <w:color w:val="auto"/>
          <w:sz w:val="24"/>
          <w:szCs w:val="24"/>
          <w:highlight w:val="none"/>
          <w:lang w:val="zh-CN"/>
        </w:rPr>
      </w:pPr>
      <w:r>
        <w:rPr>
          <w:color w:val="auto"/>
          <w:sz w:val="24"/>
          <w:szCs w:val="24"/>
          <w:highlight w:val="none"/>
          <w:lang w:val="zh-CN"/>
        </w:rPr>
        <w:t>4、特别提示：采购机构将对项目名称和项目编号，成交供应商名称、地址和成交金额，主要成交标的</w:t>
      </w:r>
      <w:r>
        <w:rPr>
          <w:rFonts w:hint="eastAsia"/>
          <w:color w:val="auto"/>
          <w:sz w:val="24"/>
          <w:szCs w:val="24"/>
          <w:highlight w:val="none"/>
          <w:lang w:val="zh-CN"/>
        </w:rPr>
        <w:t>的名称、规格型号、数量、单价、服务要求等予以公示。</w:t>
      </w:r>
    </w:p>
    <w:p>
      <w:pPr>
        <w:spacing w:line="360" w:lineRule="exact"/>
        <w:rPr>
          <w:rFonts w:hint="eastAsia"/>
          <w:color w:val="auto"/>
          <w:sz w:val="24"/>
          <w:szCs w:val="24"/>
          <w:highlight w:val="none"/>
          <w:lang w:val="zh-CN"/>
        </w:rPr>
      </w:pPr>
      <w:r>
        <w:rPr>
          <w:rFonts w:hint="eastAsia" w:ascii="Times New Roman" w:hAnsi="Times New Roman" w:eastAsia="宋体" w:cs="Times New Roman"/>
          <w:b/>
          <w:bCs/>
          <w:color w:val="auto"/>
          <w:sz w:val="24"/>
          <w:szCs w:val="24"/>
          <w:highlight w:val="none"/>
          <w:lang w:val="en-US" w:eastAsia="zh-CN"/>
        </w:rPr>
        <w:t>5</w:t>
      </w:r>
      <w:r>
        <w:rPr>
          <w:rFonts w:hint="eastAsia" w:ascii="Times New Roman" w:hAnsi="Times New Roman" w:eastAsia="宋体" w:cs="Times New Roman"/>
          <w:b/>
          <w:bCs/>
          <w:color w:val="auto"/>
          <w:sz w:val="24"/>
          <w:szCs w:val="24"/>
          <w:highlight w:val="none"/>
          <w:lang w:val="zh-CN"/>
        </w:rPr>
        <w:t>、特别说明：▲供应商报价低于项目最高限价50%的，应当在报价文件中详细阐述不影响产品质量或者诚信履约的具体原因，未做阐述说明的，投标无效。</w:t>
      </w:r>
    </w:p>
    <w:p>
      <w:pPr>
        <w:autoSpaceDE w:val="0"/>
        <w:autoSpaceDN w:val="0"/>
        <w:spacing w:line="360" w:lineRule="auto"/>
        <w:ind w:left="2" w:leftChars="1" w:right="1120" w:firstLine="7680" w:firstLineChars="3200"/>
        <w:jc w:val="left"/>
        <w:rPr>
          <w:rFonts w:hint="eastAsia" w:ascii="宋体" w:hAnsi="宋体" w:cs="宋体"/>
          <w:color w:val="auto"/>
          <w:kern w:val="0"/>
          <w:sz w:val="24"/>
          <w:highlight w:val="none"/>
          <w:lang w:val="zh-CN"/>
        </w:rPr>
      </w:pPr>
    </w:p>
    <w:p>
      <w:pPr>
        <w:autoSpaceDE w:val="0"/>
        <w:autoSpaceDN w:val="0"/>
        <w:spacing w:line="360" w:lineRule="auto"/>
        <w:ind w:left="2" w:leftChars="1" w:right="1120" w:firstLine="7680" w:firstLineChars="3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pPr>
        <w:spacing w:line="360" w:lineRule="exact"/>
        <w:ind w:firstLine="7680" w:firstLineChars="3200"/>
        <w:rPr>
          <w:rFonts w:ascii="仿宋_GB2312" w:eastAsia="仿宋_GB2312"/>
          <w:b/>
          <w:color w:val="auto"/>
          <w:sz w:val="24"/>
          <w:szCs w:val="24"/>
          <w:highlight w:val="none"/>
        </w:rPr>
        <w:sectPr>
          <w:pgSz w:w="16838" w:h="11906" w:orient="landscape"/>
          <w:pgMar w:top="1800" w:right="1440" w:bottom="1700" w:left="1440" w:header="851" w:footer="992" w:gutter="0"/>
          <w:pgNumType w:fmt="decimal"/>
          <w:cols w:space="720" w:num="1"/>
          <w:docGrid w:type="lines" w:linePitch="326"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r>
        <w:rPr>
          <w:rFonts w:hint="eastAsia" w:ascii="宋体" w:hAnsi="宋体" w:cs="宋体"/>
          <w:b/>
          <w:color w:val="auto"/>
          <w:spacing w:val="6"/>
          <w:sz w:val="32"/>
          <w:szCs w:val="32"/>
          <w:highlight w:val="none"/>
          <w:lang w:val="zh-CN"/>
        </w:rPr>
        <w:t>异议</w:t>
      </w:r>
      <w:r>
        <w:rPr>
          <w:rFonts w:hint="eastAsia" w:ascii="宋体" w:hAnsi="宋体" w:cs="宋体"/>
          <w:b/>
          <w:color w:val="auto"/>
          <w:spacing w:val="6"/>
          <w:sz w:val="32"/>
          <w:szCs w:val="32"/>
          <w:highlight w:val="none"/>
        </w:rPr>
        <w:t>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异议函范本</w:t>
      </w:r>
    </w:p>
    <w:p>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一、异议响应人基本信息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异议响应人：</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二、异议项目基本情况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异议项目的名称：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异议项目的编号：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公开竞争文件获取日期：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三、异议事项具体内容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四、与异议事项相关的异议请求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异议函制作说明：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1.响应人提出异议时，应提交异议函和必要的证明材料。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2.异议响应人若委托代理人进行异议的，异议函应按要求列明“授权代表”的有关内容，并在附件中提交由异议</w:t>
      </w:r>
      <w:r>
        <w:rPr>
          <w:rFonts w:hint="eastAsia" w:ascii="宋体" w:hAnsi="宋体" w:cs="宋体"/>
          <w:color w:val="auto"/>
          <w:kern w:val="0"/>
          <w:sz w:val="24"/>
          <w:highlight w:val="none"/>
        </w:rPr>
        <w:t>响应人签署的授权委托书。授权委托书应载明代理人的姓名或者名称、代理事项、具体权限、期限和相关事项。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3.异议响应人若对项目的某一分包进行异议，异议函中应列明具体分包号。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4.异议函的异议事项应具体、明确，并有必要的事实依据和法律依据。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5.异议函的异议请求应与异议事项相关。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相关响应人：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交易名称：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交易编号：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公开竞争文件公告: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成交结果公告: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三、异议基本情况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提出异议，异议事项为：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交易发起人/代理机构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日,就异议事项作出了答复/没有在法定期限内作出答复。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1.投诉人提起投诉时，应当提交投诉书和必要的证明材料，并按照被投诉人和与投诉事项有关的响应人数量提供投诉书副本。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4.投诉书应简要列明异议事项，异议函、异议答复等作为附件材料提供。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left"/>
        <w:rPr>
          <w:rFonts w:ascii="宋体" w:hAnsi="宋体" w:cs="宋体"/>
          <w:b/>
          <w:color w:val="auto"/>
          <w:spacing w:val="6"/>
          <w:sz w:val="32"/>
          <w:szCs w:val="32"/>
          <w:highlight w:val="none"/>
        </w:rPr>
      </w:pPr>
    </w:p>
    <w:p>
      <w:pPr>
        <w:autoSpaceDE w:val="0"/>
        <w:autoSpaceDN w:val="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w:t>
      </w:r>
    </w:p>
    <w:p>
      <w:pPr>
        <w:autoSpaceDE w:val="0"/>
        <w:autoSpaceDN w:val="0"/>
        <w:jc w:val="center"/>
        <w:rPr>
          <w:rFonts w:ascii="宋体" w:hAnsi="宋体" w:cs="宋体"/>
          <w:b/>
          <w:bCs/>
          <w:color w:val="auto"/>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（交易发起人）、（代理机构）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mMR6bYAAAACgEAAA8AAAAAAAAAAQAgAAAAIgAAAGRy&#10;cy9kb3ducmV2LnhtbFBLAQIUABQAAAAIAIdO4kAuJZg4PgIAAIkEAAAOAAAAAAAAAAEAIAAAACcB&#10;AABkcnMvZTJvRG9jLnhtbFBLBQYAAAAABgAGAFkBAADX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tabs>
          <w:tab w:val="left" w:pos="4925"/>
        </w:tabs>
        <w:spacing w:line="520" w:lineRule="exact"/>
        <w:rPr>
          <w:rFonts w:ascii="仿宋_GB2312" w:eastAsia="仿宋_GB2312" w:cs="仿宋_GB2312"/>
          <w:color w:val="auto"/>
          <w:highlight w:val="none"/>
        </w:rPr>
      </w:pPr>
    </w:p>
    <w:p>
      <w:pPr>
        <w:autoSpaceDE w:val="0"/>
        <w:autoSpaceDN w:val="0"/>
        <w:jc w:val="center"/>
        <w:rPr>
          <w:rFonts w:ascii="宋体" w:hAnsi="宋体" w:cs="宋体"/>
          <w:b/>
          <w:color w:val="auto"/>
          <w:spacing w:val="6"/>
          <w:sz w:val="32"/>
          <w:szCs w:val="32"/>
          <w:highlight w:val="none"/>
        </w:rPr>
      </w:pPr>
    </w:p>
    <w:sectPr>
      <w:headerReference r:id="rId14" w:type="first"/>
      <w:footerReference r:id="rId17" w:type="first"/>
      <w:headerReference r:id="rId13" w:type="default"/>
      <w:footerReference r:id="rId15" w:type="default"/>
      <w:footerReference r:id="rId1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0000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9B2569"/>
    <w:multiLevelType w:val="singleLevel"/>
    <w:tmpl w:val="1A9B2569"/>
    <w:lvl w:ilvl="0" w:tentative="0">
      <w:start w:val="1"/>
      <w:numFmt w:val="decimal"/>
      <w:suff w:val="nothing"/>
      <w:lvlText w:val="（%1）"/>
      <w:lvlJc w:val="left"/>
    </w:lvl>
  </w:abstractNum>
  <w:abstractNum w:abstractNumId="1">
    <w:nsid w:val="434CA0FB"/>
    <w:multiLevelType w:val="singleLevel"/>
    <w:tmpl w:val="434CA0FB"/>
    <w:lvl w:ilvl="0" w:tentative="0">
      <w:start w:val="1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NTJiODcwZTAyMmI2NTZjM2JiMmMxNzFiOGQ5YjIifQ=="/>
    <w:docVar w:name="KSO_WPS_MARK_KEY" w:val="b7fe1705-7f8c-4f6d-855d-d1ffbdc1c39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0DF"/>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6A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008"/>
    <w:rsid w:val="0024415B"/>
    <w:rsid w:val="00245565"/>
    <w:rsid w:val="002458C1"/>
    <w:rsid w:val="00245E62"/>
    <w:rsid w:val="002460D0"/>
    <w:rsid w:val="00246357"/>
    <w:rsid w:val="00247422"/>
    <w:rsid w:val="00247BA2"/>
    <w:rsid w:val="00250870"/>
    <w:rsid w:val="0025151C"/>
    <w:rsid w:val="0025184F"/>
    <w:rsid w:val="00251967"/>
    <w:rsid w:val="00252419"/>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392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FC2"/>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61F"/>
    <w:rsid w:val="005D0FB4"/>
    <w:rsid w:val="005D1176"/>
    <w:rsid w:val="005D1747"/>
    <w:rsid w:val="005D266D"/>
    <w:rsid w:val="005D306D"/>
    <w:rsid w:val="005D3327"/>
    <w:rsid w:val="005D4854"/>
    <w:rsid w:val="005D5BCF"/>
    <w:rsid w:val="005D65BF"/>
    <w:rsid w:val="005D6D84"/>
    <w:rsid w:val="005D70A1"/>
    <w:rsid w:val="005D75FC"/>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C1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10C"/>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2E12"/>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43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01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03FA"/>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7FA"/>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2ACA"/>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87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B6997"/>
    <w:rsid w:val="011F6449"/>
    <w:rsid w:val="01236AFB"/>
    <w:rsid w:val="017055D0"/>
    <w:rsid w:val="0178495D"/>
    <w:rsid w:val="019F7441"/>
    <w:rsid w:val="01A06AA0"/>
    <w:rsid w:val="01B37585"/>
    <w:rsid w:val="01B5399D"/>
    <w:rsid w:val="01C064F8"/>
    <w:rsid w:val="01D55165"/>
    <w:rsid w:val="01DF6BF8"/>
    <w:rsid w:val="01EC2C57"/>
    <w:rsid w:val="02021298"/>
    <w:rsid w:val="020B640B"/>
    <w:rsid w:val="02495CC7"/>
    <w:rsid w:val="0251230D"/>
    <w:rsid w:val="025F0711"/>
    <w:rsid w:val="02644317"/>
    <w:rsid w:val="026B2E25"/>
    <w:rsid w:val="02824D4D"/>
    <w:rsid w:val="02BE3979"/>
    <w:rsid w:val="02D3306E"/>
    <w:rsid w:val="02DC4B10"/>
    <w:rsid w:val="02DD76CE"/>
    <w:rsid w:val="02E828A9"/>
    <w:rsid w:val="02E84AFC"/>
    <w:rsid w:val="02F36323"/>
    <w:rsid w:val="02F5619C"/>
    <w:rsid w:val="030E12FE"/>
    <w:rsid w:val="03233C63"/>
    <w:rsid w:val="0326446A"/>
    <w:rsid w:val="032D5555"/>
    <w:rsid w:val="036634D2"/>
    <w:rsid w:val="036B7F76"/>
    <w:rsid w:val="037E0200"/>
    <w:rsid w:val="038A68D9"/>
    <w:rsid w:val="03A94C2C"/>
    <w:rsid w:val="03D66BA6"/>
    <w:rsid w:val="03DD35E4"/>
    <w:rsid w:val="04073203"/>
    <w:rsid w:val="04076900"/>
    <w:rsid w:val="041A5A3B"/>
    <w:rsid w:val="042311BA"/>
    <w:rsid w:val="042B157A"/>
    <w:rsid w:val="048F763B"/>
    <w:rsid w:val="049F330E"/>
    <w:rsid w:val="04AA775C"/>
    <w:rsid w:val="04AF1889"/>
    <w:rsid w:val="04B85F11"/>
    <w:rsid w:val="04E76BC6"/>
    <w:rsid w:val="04EE3F9B"/>
    <w:rsid w:val="04F15B2F"/>
    <w:rsid w:val="04F66F48"/>
    <w:rsid w:val="051E28A6"/>
    <w:rsid w:val="05251E14"/>
    <w:rsid w:val="054B35C3"/>
    <w:rsid w:val="05507636"/>
    <w:rsid w:val="05770BD6"/>
    <w:rsid w:val="058806C7"/>
    <w:rsid w:val="05A13F3E"/>
    <w:rsid w:val="05A16594"/>
    <w:rsid w:val="05A7762D"/>
    <w:rsid w:val="05BF4603"/>
    <w:rsid w:val="05C04DC2"/>
    <w:rsid w:val="05C210FA"/>
    <w:rsid w:val="060E5941"/>
    <w:rsid w:val="06110FAF"/>
    <w:rsid w:val="0618097E"/>
    <w:rsid w:val="06493CA7"/>
    <w:rsid w:val="065A6178"/>
    <w:rsid w:val="066D3597"/>
    <w:rsid w:val="066F1CF3"/>
    <w:rsid w:val="06930BB8"/>
    <w:rsid w:val="06956198"/>
    <w:rsid w:val="070103DE"/>
    <w:rsid w:val="07106873"/>
    <w:rsid w:val="071A4FFB"/>
    <w:rsid w:val="07245D42"/>
    <w:rsid w:val="07264C62"/>
    <w:rsid w:val="072F6604"/>
    <w:rsid w:val="074460BC"/>
    <w:rsid w:val="075859CA"/>
    <w:rsid w:val="0779354C"/>
    <w:rsid w:val="077F0C95"/>
    <w:rsid w:val="07C300BD"/>
    <w:rsid w:val="07FE18F3"/>
    <w:rsid w:val="08061376"/>
    <w:rsid w:val="08225E73"/>
    <w:rsid w:val="08452D77"/>
    <w:rsid w:val="086401F8"/>
    <w:rsid w:val="08751CAA"/>
    <w:rsid w:val="0876556A"/>
    <w:rsid w:val="087E4C40"/>
    <w:rsid w:val="08A53637"/>
    <w:rsid w:val="08A871D0"/>
    <w:rsid w:val="08D66AD6"/>
    <w:rsid w:val="08DA33A3"/>
    <w:rsid w:val="08E80F13"/>
    <w:rsid w:val="08EC3DDD"/>
    <w:rsid w:val="091328F8"/>
    <w:rsid w:val="092612F3"/>
    <w:rsid w:val="092748F4"/>
    <w:rsid w:val="09335624"/>
    <w:rsid w:val="093E11FE"/>
    <w:rsid w:val="0944690F"/>
    <w:rsid w:val="09535675"/>
    <w:rsid w:val="095F057D"/>
    <w:rsid w:val="0960544E"/>
    <w:rsid w:val="09642282"/>
    <w:rsid w:val="09733572"/>
    <w:rsid w:val="09772C16"/>
    <w:rsid w:val="098353B5"/>
    <w:rsid w:val="09A92330"/>
    <w:rsid w:val="09B06B87"/>
    <w:rsid w:val="09C13146"/>
    <w:rsid w:val="09E04166"/>
    <w:rsid w:val="09F81448"/>
    <w:rsid w:val="0A00672A"/>
    <w:rsid w:val="0A1C0718"/>
    <w:rsid w:val="0A2C10A7"/>
    <w:rsid w:val="0A3E7710"/>
    <w:rsid w:val="0A5B7E63"/>
    <w:rsid w:val="0A5E227D"/>
    <w:rsid w:val="0A7E7C65"/>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76461B"/>
    <w:rsid w:val="0B7F3F11"/>
    <w:rsid w:val="0B884417"/>
    <w:rsid w:val="0B93709B"/>
    <w:rsid w:val="0BB73C35"/>
    <w:rsid w:val="0BCB644C"/>
    <w:rsid w:val="0BF6188C"/>
    <w:rsid w:val="0BF73C91"/>
    <w:rsid w:val="0C170175"/>
    <w:rsid w:val="0C41327A"/>
    <w:rsid w:val="0C571A41"/>
    <w:rsid w:val="0C5C1171"/>
    <w:rsid w:val="0C5E1CBC"/>
    <w:rsid w:val="0C615B50"/>
    <w:rsid w:val="0C6E0EEC"/>
    <w:rsid w:val="0C711B61"/>
    <w:rsid w:val="0C8445DA"/>
    <w:rsid w:val="0C87121B"/>
    <w:rsid w:val="0CAE0BF3"/>
    <w:rsid w:val="0CB32298"/>
    <w:rsid w:val="0CC007F7"/>
    <w:rsid w:val="0CC617AC"/>
    <w:rsid w:val="0CFE707A"/>
    <w:rsid w:val="0D063BDA"/>
    <w:rsid w:val="0D08375F"/>
    <w:rsid w:val="0D184CFB"/>
    <w:rsid w:val="0D37621D"/>
    <w:rsid w:val="0D3D3B60"/>
    <w:rsid w:val="0D400115"/>
    <w:rsid w:val="0D4A7419"/>
    <w:rsid w:val="0D7F02AE"/>
    <w:rsid w:val="0D814026"/>
    <w:rsid w:val="0D827401"/>
    <w:rsid w:val="0D84094E"/>
    <w:rsid w:val="0D8A00E9"/>
    <w:rsid w:val="0D8D589E"/>
    <w:rsid w:val="0D95362E"/>
    <w:rsid w:val="0DA01C73"/>
    <w:rsid w:val="0DD63300"/>
    <w:rsid w:val="0DE348D2"/>
    <w:rsid w:val="0DF50604"/>
    <w:rsid w:val="0DF62E62"/>
    <w:rsid w:val="0DF702FE"/>
    <w:rsid w:val="0E060E51"/>
    <w:rsid w:val="0E22536A"/>
    <w:rsid w:val="0E24319C"/>
    <w:rsid w:val="0E373674"/>
    <w:rsid w:val="0E5005EE"/>
    <w:rsid w:val="0E5604B2"/>
    <w:rsid w:val="0E6D5D79"/>
    <w:rsid w:val="0E6F14E6"/>
    <w:rsid w:val="0E9D0089"/>
    <w:rsid w:val="0EB803EE"/>
    <w:rsid w:val="0EC30910"/>
    <w:rsid w:val="0EF94D4B"/>
    <w:rsid w:val="0F0B13B6"/>
    <w:rsid w:val="0F182768"/>
    <w:rsid w:val="0F4958DC"/>
    <w:rsid w:val="0F515DF7"/>
    <w:rsid w:val="0F596BA8"/>
    <w:rsid w:val="0F6248D2"/>
    <w:rsid w:val="0F635421"/>
    <w:rsid w:val="0F693536"/>
    <w:rsid w:val="0F7B0511"/>
    <w:rsid w:val="0F7B76D9"/>
    <w:rsid w:val="0F816ACD"/>
    <w:rsid w:val="0F9832DB"/>
    <w:rsid w:val="0FB26719"/>
    <w:rsid w:val="0FBF3FD2"/>
    <w:rsid w:val="0FBF7FF3"/>
    <w:rsid w:val="0FCF1C32"/>
    <w:rsid w:val="0FDA406B"/>
    <w:rsid w:val="0FFC3E38"/>
    <w:rsid w:val="10156805"/>
    <w:rsid w:val="105C0433"/>
    <w:rsid w:val="10646583"/>
    <w:rsid w:val="107D4B15"/>
    <w:rsid w:val="10841832"/>
    <w:rsid w:val="108A3C80"/>
    <w:rsid w:val="10BB15FD"/>
    <w:rsid w:val="10C26171"/>
    <w:rsid w:val="10D24F5A"/>
    <w:rsid w:val="10DC700E"/>
    <w:rsid w:val="10E24DDC"/>
    <w:rsid w:val="10E4410E"/>
    <w:rsid w:val="10F33360"/>
    <w:rsid w:val="10F4083A"/>
    <w:rsid w:val="10FC16EA"/>
    <w:rsid w:val="110F1D40"/>
    <w:rsid w:val="11266F33"/>
    <w:rsid w:val="11290EEC"/>
    <w:rsid w:val="118963A1"/>
    <w:rsid w:val="11C6522A"/>
    <w:rsid w:val="11CC783A"/>
    <w:rsid w:val="11E104CC"/>
    <w:rsid w:val="11E20309"/>
    <w:rsid w:val="12255233"/>
    <w:rsid w:val="12530213"/>
    <w:rsid w:val="126A32DB"/>
    <w:rsid w:val="127723A9"/>
    <w:rsid w:val="12862074"/>
    <w:rsid w:val="12883966"/>
    <w:rsid w:val="129E45B4"/>
    <w:rsid w:val="12C50511"/>
    <w:rsid w:val="12D21374"/>
    <w:rsid w:val="12D81596"/>
    <w:rsid w:val="12E806A4"/>
    <w:rsid w:val="12E84200"/>
    <w:rsid w:val="12FE3A23"/>
    <w:rsid w:val="13072A44"/>
    <w:rsid w:val="131A1B7F"/>
    <w:rsid w:val="131B7A00"/>
    <w:rsid w:val="134502E2"/>
    <w:rsid w:val="13474EA5"/>
    <w:rsid w:val="135F4BE2"/>
    <w:rsid w:val="13913864"/>
    <w:rsid w:val="139B1A0A"/>
    <w:rsid w:val="139B5BDE"/>
    <w:rsid w:val="139D25C7"/>
    <w:rsid w:val="13BF3CE4"/>
    <w:rsid w:val="13CB5B5C"/>
    <w:rsid w:val="13E0119D"/>
    <w:rsid w:val="14013E22"/>
    <w:rsid w:val="140F0A5D"/>
    <w:rsid w:val="141008D8"/>
    <w:rsid w:val="14125FE6"/>
    <w:rsid w:val="142B70E5"/>
    <w:rsid w:val="14445DAD"/>
    <w:rsid w:val="14500381"/>
    <w:rsid w:val="14630518"/>
    <w:rsid w:val="146D271E"/>
    <w:rsid w:val="14911CA6"/>
    <w:rsid w:val="14982588"/>
    <w:rsid w:val="149A5AD9"/>
    <w:rsid w:val="149C1746"/>
    <w:rsid w:val="14A7619D"/>
    <w:rsid w:val="14A800EA"/>
    <w:rsid w:val="14C30AC8"/>
    <w:rsid w:val="14F25B02"/>
    <w:rsid w:val="14FB5BB0"/>
    <w:rsid w:val="14FC21E4"/>
    <w:rsid w:val="150536C3"/>
    <w:rsid w:val="150C1963"/>
    <w:rsid w:val="151447A0"/>
    <w:rsid w:val="151B08BC"/>
    <w:rsid w:val="154975FB"/>
    <w:rsid w:val="154A6454"/>
    <w:rsid w:val="15762120"/>
    <w:rsid w:val="15844A86"/>
    <w:rsid w:val="15F56AC3"/>
    <w:rsid w:val="1608540D"/>
    <w:rsid w:val="160D3A64"/>
    <w:rsid w:val="1619089B"/>
    <w:rsid w:val="16204A74"/>
    <w:rsid w:val="166C515D"/>
    <w:rsid w:val="169326D4"/>
    <w:rsid w:val="16A8729C"/>
    <w:rsid w:val="16B33777"/>
    <w:rsid w:val="16BC70A7"/>
    <w:rsid w:val="16C6339E"/>
    <w:rsid w:val="16C730F7"/>
    <w:rsid w:val="16D6012D"/>
    <w:rsid w:val="16E66CA8"/>
    <w:rsid w:val="16FE2244"/>
    <w:rsid w:val="17081314"/>
    <w:rsid w:val="172A5A81"/>
    <w:rsid w:val="172F2D79"/>
    <w:rsid w:val="17557BEF"/>
    <w:rsid w:val="176D1E2A"/>
    <w:rsid w:val="17852075"/>
    <w:rsid w:val="178B06F1"/>
    <w:rsid w:val="179901BE"/>
    <w:rsid w:val="17996410"/>
    <w:rsid w:val="17A05FFC"/>
    <w:rsid w:val="17D349C1"/>
    <w:rsid w:val="17E066D8"/>
    <w:rsid w:val="1823570C"/>
    <w:rsid w:val="1830729E"/>
    <w:rsid w:val="18394486"/>
    <w:rsid w:val="185134E3"/>
    <w:rsid w:val="18641B32"/>
    <w:rsid w:val="1870062C"/>
    <w:rsid w:val="187E2872"/>
    <w:rsid w:val="18817102"/>
    <w:rsid w:val="18830A15"/>
    <w:rsid w:val="18852B28"/>
    <w:rsid w:val="188B5321"/>
    <w:rsid w:val="18C776A6"/>
    <w:rsid w:val="18CA21AC"/>
    <w:rsid w:val="18CB3E99"/>
    <w:rsid w:val="18D64F20"/>
    <w:rsid w:val="18EE574D"/>
    <w:rsid w:val="18F51424"/>
    <w:rsid w:val="19341F4D"/>
    <w:rsid w:val="195E2A95"/>
    <w:rsid w:val="197524E7"/>
    <w:rsid w:val="19761DA4"/>
    <w:rsid w:val="19932372"/>
    <w:rsid w:val="19A07A88"/>
    <w:rsid w:val="19A20DD5"/>
    <w:rsid w:val="19A76BC3"/>
    <w:rsid w:val="19AE03F1"/>
    <w:rsid w:val="19D16EBE"/>
    <w:rsid w:val="19F90A68"/>
    <w:rsid w:val="1A002777"/>
    <w:rsid w:val="1A071A03"/>
    <w:rsid w:val="1A1A5A79"/>
    <w:rsid w:val="1A1A697E"/>
    <w:rsid w:val="1A1F16AE"/>
    <w:rsid w:val="1A332204"/>
    <w:rsid w:val="1A3B5C77"/>
    <w:rsid w:val="1A4E1543"/>
    <w:rsid w:val="1A78287A"/>
    <w:rsid w:val="1A7A249A"/>
    <w:rsid w:val="1A984BAD"/>
    <w:rsid w:val="1AB8220E"/>
    <w:rsid w:val="1AC00A4A"/>
    <w:rsid w:val="1AC9700C"/>
    <w:rsid w:val="1AE4166C"/>
    <w:rsid w:val="1AF06CFB"/>
    <w:rsid w:val="1AF11B8D"/>
    <w:rsid w:val="1B11359C"/>
    <w:rsid w:val="1B2A271F"/>
    <w:rsid w:val="1B530544"/>
    <w:rsid w:val="1B55264E"/>
    <w:rsid w:val="1B713184"/>
    <w:rsid w:val="1B825FBC"/>
    <w:rsid w:val="1BA209CF"/>
    <w:rsid w:val="1BB4777D"/>
    <w:rsid w:val="1BD75AB8"/>
    <w:rsid w:val="1BE22A26"/>
    <w:rsid w:val="1BE31EF1"/>
    <w:rsid w:val="1BE91714"/>
    <w:rsid w:val="1BEE234F"/>
    <w:rsid w:val="1C0459C2"/>
    <w:rsid w:val="1C0F0A4F"/>
    <w:rsid w:val="1C1B3B4A"/>
    <w:rsid w:val="1C537570"/>
    <w:rsid w:val="1C5B5A42"/>
    <w:rsid w:val="1C88086E"/>
    <w:rsid w:val="1C9A2E97"/>
    <w:rsid w:val="1CA045EE"/>
    <w:rsid w:val="1CC47A8B"/>
    <w:rsid w:val="1CC86312"/>
    <w:rsid w:val="1D266CE1"/>
    <w:rsid w:val="1D3963AF"/>
    <w:rsid w:val="1D6A673C"/>
    <w:rsid w:val="1D84721B"/>
    <w:rsid w:val="1D9247AE"/>
    <w:rsid w:val="1DB567EC"/>
    <w:rsid w:val="1DCB5E3D"/>
    <w:rsid w:val="1DEC22C4"/>
    <w:rsid w:val="1DF51A98"/>
    <w:rsid w:val="1DFD519F"/>
    <w:rsid w:val="1E0D7198"/>
    <w:rsid w:val="1E3D060F"/>
    <w:rsid w:val="1E3F7D2E"/>
    <w:rsid w:val="1E4134E4"/>
    <w:rsid w:val="1E5062B3"/>
    <w:rsid w:val="1E523514"/>
    <w:rsid w:val="1E714A66"/>
    <w:rsid w:val="1E730E11"/>
    <w:rsid w:val="1E802593"/>
    <w:rsid w:val="1E8B6156"/>
    <w:rsid w:val="1EA703CC"/>
    <w:rsid w:val="1EB26790"/>
    <w:rsid w:val="1EB7330C"/>
    <w:rsid w:val="1F0A0FF3"/>
    <w:rsid w:val="1F4629DA"/>
    <w:rsid w:val="1F4E7AE0"/>
    <w:rsid w:val="1F5771FF"/>
    <w:rsid w:val="1FD664AC"/>
    <w:rsid w:val="1FE868A9"/>
    <w:rsid w:val="1FFB37C4"/>
    <w:rsid w:val="20034907"/>
    <w:rsid w:val="20173E4B"/>
    <w:rsid w:val="201C7BDE"/>
    <w:rsid w:val="20221083"/>
    <w:rsid w:val="204E48BC"/>
    <w:rsid w:val="208921B3"/>
    <w:rsid w:val="208F316F"/>
    <w:rsid w:val="2093370A"/>
    <w:rsid w:val="20973DEB"/>
    <w:rsid w:val="20B26522"/>
    <w:rsid w:val="20B34C6B"/>
    <w:rsid w:val="20B44310"/>
    <w:rsid w:val="20D61B3B"/>
    <w:rsid w:val="20DF1008"/>
    <w:rsid w:val="20EE2FE4"/>
    <w:rsid w:val="20F247A3"/>
    <w:rsid w:val="21004E0A"/>
    <w:rsid w:val="211116EB"/>
    <w:rsid w:val="211E01F0"/>
    <w:rsid w:val="212D6D8F"/>
    <w:rsid w:val="216133FC"/>
    <w:rsid w:val="218944CA"/>
    <w:rsid w:val="21D56769"/>
    <w:rsid w:val="21D62C50"/>
    <w:rsid w:val="21E52EF3"/>
    <w:rsid w:val="21FB5D7B"/>
    <w:rsid w:val="22032E04"/>
    <w:rsid w:val="220B1C3D"/>
    <w:rsid w:val="221D1D20"/>
    <w:rsid w:val="22334A87"/>
    <w:rsid w:val="227D367D"/>
    <w:rsid w:val="22B61EBB"/>
    <w:rsid w:val="22B83BEE"/>
    <w:rsid w:val="22BE6801"/>
    <w:rsid w:val="22C04C60"/>
    <w:rsid w:val="22E03145"/>
    <w:rsid w:val="23113F1A"/>
    <w:rsid w:val="233500BF"/>
    <w:rsid w:val="23377FF7"/>
    <w:rsid w:val="236B425F"/>
    <w:rsid w:val="23836192"/>
    <w:rsid w:val="238B1303"/>
    <w:rsid w:val="23901F29"/>
    <w:rsid w:val="239C0061"/>
    <w:rsid w:val="23B908A4"/>
    <w:rsid w:val="23C10750"/>
    <w:rsid w:val="23D36828"/>
    <w:rsid w:val="23E406C4"/>
    <w:rsid w:val="23E95BEF"/>
    <w:rsid w:val="23FC52F4"/>
    <w:rsid w:val="23FD0064"/>
    <w:rsid w:val="244C6C81"/>
    <w:rsid w:val="245375B0"/>
    <w:rsid w:val="24642C0A"/>
    <w:rsid w:val="24667B44"/>
    <w:rsid w:val="246A3BA8"/>
    <w:rsid w:val="247E6772"/>
    <w:rsid w:val="248B443A"/>
    <w:rsid w:val="2492728B"/>
    <w:rsid w:val="249307DC"/>
    <w:rsid w:val="24AF7273"/>
    <w:rsid w:val="24B22173"/>
    <w:rsid w:val="24B62CC7"/>
    <w:rsid w:val="24B95AD9"/>
    <w:rsid w:val="24BE24DA"/>
    <w:rsid w:val="24CF5825"/>
    <w:rsid w:val="24D663E6"/>
    <w:rsid w:val="24D77F2B"/>
    <w:rsid w:val="24E5358D"/>
    <w:rsid w:val="254F52B1"/>
    <w:rsid w:val="25837A55"/>
    <w:rsid w:val="258B00E2"/>
    <w:rsid w:val="258E4250"/>
    <w:rsid w:val="25A34E23"/>
    <w:rsid w:val="25A917A6"/>
    <w:rsid w:val="25B6018D"/>
    <w:rsid w:val="25BE27CC"/>
    <w:rsid w:val="25CF0F67"/>
    <w:rsid w:val="25D85F35"/>
    <w:rsid w:val="25E92F53"/>
    <w:rsid w:val="25F74A5C"/>
    <w:rsid w:val="2628662C"/>
    <w:rsid w:val="26287F13"/>
    <w:rsid w:val="262D45DE"/>
    <w:rsid w:val="265C50DF"/>
    <w:rsid w:val="266B0F78"/>
    <w:rsid w:val="266E6AE8"/>
    <w:rsid w:val="267E09C1"/>
    <w:rsid w:val="26871DC8"/>
    <w:rsid w:val="26A53EF9"/>
    <w:rsid w:val="26A56700"/>
    <w:rsid w:val="26A6481F"/>
    <w:rsid w:val="26A94201"/>
    <w:rsid w:val="26AC274F"/>
    <w:rsid w:val="270377E9"/>
    <w:rsid w:val="27044A29"/>
    <w:rsid w:val="271D34C8"/>
    <w:rsid w:val="272F6449"/>
    <w:rsid w:val="273A5E93"/>
    <w:rsid w:val="273F6C96"/>
    <w:rsid w:val="274C4FBA"/>
    <w:rsid w:val="276142BF"/>
    <w:rsid w:val="27783712"/>
    <w:rsid w:val="27907362"/>
    <w:rsid w:val="27910EB2"/>
    <w:rsid w:val="279B7084"/>
    <w:rsid w:val="27A02A0E"/>
    <w:rsid w:val="28052EE7"/>
    <w:rsid w:val="282D0BDB"/>
    <w:rsid w:val="28333E1D"/>
    <w:rsid w:val="28355CE1"/>
    <w:rsid w:val="28454BD6"/>
    <w:rsid w:val="28455253"/>
    <w:rsid w:val="28551971"/>
    <w:rsid w:val="285A69A0"/>
    <w:rsid w:val="285B1C53"/>
    <w:rsid w:val="287A4124"/>
    <w:rsid w:val="28814A83"/>
    <w:rsid w:val="2899001E"/>
    <w:rsid w:val="289F7086"/>
    <w:rsid w:val="28C32028"/>
    <w:rsid w:val="28CC490F"/>
    <w:rsid w:val="28DE40AA"/>
    <w:rsid w:val="29345E77"/>
    <w:rsid w:val="29453CBE"/>
    <w:rsid w:val="294C65AD"/>
    <w:rsid w:val="294E3480"/>
    <w:rsid w:val="29625C49"/>
    <w:rsid w:val="29806583"/>
    <w:rsid w:val="298B3C4C"/>
    <w:rsid w:val="29C46615"/>
    <w:rsid w:val="29EC23D0"/>
    <w:rsid w:val="29F26D24"/>
    <w:rsid w:val="2A15033F"/>
    <w:rsid w:val="2A1662C1"/>
    <w:rsid w:val="2A1C7367"/>
    <w:rsid w:val="2A2815FA"/>
    <w:rsid w:val="2A6D6092"/>
    <w:rsid w:val="2A7D76B4"/>
    <w:rsid w:val="2A830ABD"/>
    <w:rsid w:val="2A8A2314"/>
    <w:rsid w:val="2A8B5E0D"/>
    <w:rsid w:val="2AA12964"/>
    <w:rsid w:val="2AD8021A"/>
    <w:rsid w:val="2AEE1B3B"/>
    <w:rsid w:val="2AF47F2E"/>
    <w:rsid w:val="2B0025D7"/>
    <w:rsid w:val="2B1A10CF"/>
    <w:rsid w:val="2B2D22CA"/>
    <w:rsid w:val="2B437463"/>
    <w:rsid w:val="2B7807EE"/>
    <w:rsid w:val="2B8B2877"/>
    <w:rsid w:val="2B8C47CE"/>
    <w:rsid w:val="2B8C67CE"/>
    <w:rsid w:val="2BA50BF7"/>
    <w:rsid w:val="2BB563D7"/>
    <w:rsid w:val="2BBF00EC"/>
    <w:rsid w:val="2BC37CFD"/>
    <w:rsid w:val="2BD5237F"/>
    <w:rsid w:val="2BE536CE"/>
    <w:rsid w:val="2BE758D9"/>
    <w:rsid w:val="2BE76A97"/>
    <w:rsid w:val="2BEA7DD3"/>
    <w:rsid w:val="2C09049E"/>
    <w:rsid w:val="2C0A653C"/>
    <w:rsid w:val="2C0E0D23"/>
    <w:rsid w:val="2C191F85"/>
    <w:rsid w:val="2C8C4873"/>
    <w:rsid w:val="2C994A93"/>
    <w:rsid w:val="2C9F2D3A"/>
    <w:rsid w:val="2CE82D6F"/>
    <w:rsid w:val="2D2216DE"/>
    <w:rsid w:val="2D343236"/>
    <w:rsid w:val="2D65207D"/>
    <w:rsid w:val="2D6C5D01"/>
    <w:rsid w:val="2D6D6409"/>
    <w:rsid w:val="2D8D5C78"/>
    <w:rsid w:val="2D956040"/>
    <w:rsid w:val="2DC53663"/>
    <w:rsid w:val="2DD15014"/>
    <w:rsid w:val="2DD62E25"/>
    <w:rsid w:val="2DF57D44"/>
    <w:rsid w:val="2DF72DE4"/>
    <w:rsid w:val="2E0220AF"/>
    <w:rsid w:val="2E284D88"/>
    <w:rsid w:val="2E4B082A"/>
    <w:rsid w:val="2E5D4E86"/>
    <w:rsid w:val="2E5D790B"/>
    <w:rsid w:val="2E776A61"/>
    <w:rsid w:val="2E9A143D"/>
    <w:rsid w:val="2E9A3C18"/>
    <w:rsid w:val="2EBB0FEE"/>
    <w:rsid w:val="2EC63002"/>
    <w:rsid w:val="2ECB46DA"/>
    <w:rsid w:val="2F064D1A"/>
    <w:rsid w:val="2F0A6B38"/>
    <w:rsid w:val="2F0E78D3"/>
    <w:rsid w:val="2F4430A0"/>
    <w:rsid w:val="2F946CCB"/>
    <w:rsid w:val="2F975429"/>
    <w:rsid w:val="2FC8743B"/>
    <w:rsid w:val="2FD25781"/>
    <w:rsid w:val="2FDE33BA"/>
    <w:rsid w:val="2FF346DE"/>
    <w:rsid w:val="2FFB7730"/>
    <w:rsid w:val="2FFD7934"/>
    <w:rsid w:val="300D394D"/>
    <w:rsid w:val="30201A01"/>
    <w:rsid w:val="30462597"/>
    <w:rsid w:val="305667F5"/>
    <w:rsid w:val="30733ACD"/>
    <w:rsid w:val="30742360"/>
    <w:rsid w:val="30827221"/>
    <w:rsid w:val="308C3862"/>
    <w:rsid w:val="309379D8"/>
    <w:rsid w:val="309B6899"/>
    <w:rsid w:val="30A270F7"/>
    <w:rsid w:val="30D05919"/>
    <w:rsid w:val="30DF1478"/>
    <w:rsid w:val="30E91417"/>
    <w:rsid w:val="30EA055D"/>
    <w:rsid w:val="30EC586F"/>
    <w:rsid w:val="30F508D4"/>
    <w:rsid w:val="31174143"/>
    <w:rsid w:val="312B5ED3"/>
    <w:rsid w:val="31322E68"/>
    <w:rsid w:val="319C6071"/>
    <w:rsid w:val="31AC537E"/>
    <w:rsid w:val="31B420C4"/>
    <w:rsid w:val="31B82C24"/>
    <w:rsid w:val="31C17BA9"/>
    <w:rsid w:val="31C549B6"/>
    <w:rsid w:val="31E3679B"/>
    <w:rsid w:val="31E732FD"/>
    <w:rsid w:val="3212499D"/>
    <w:rsid w:val="32517576"/>
    <w:rsid w:val="3262346C"/>
    <w:rsid w:val="32A25643"/>
    <w:rsid w:val="32A64673"/>
    <w:rsid w:val="32B12408"/>
    <w:rsid w:val="32BE5C2C"/>
    <w:rsid w:val="32FB6478"/>
    <w:rsid w:val="331E793D"/>
    <w:rsid w:val="33240E2C"/>
    <w:rsid w:val="332637C2"/>
    <w:rsid w:val="33263B3F"/>
    <w:rsid w:val="33414C37"/>
    <w:rsid w:val="336963EB"/>
    <w:rsid w:val="33816EEB"/>
    <w:rsid w:val="338863E7"/>
    <w:rsid w:val="33A51E80"/>
    <w:rsid w:val="33A845DC"/>
    <w:rsid w:val="33EB55CD"/>
    <w:rsid w:val="33EC4C02"/>
    <w:rsid w:val="33F56B06"/>
    <w:rsid w:val="33F84E22"/>
    <w:rsid w:val="340D2360"/>
    <w:rsid w:val="3410665D"/>
    <w:rsid w:val="341F7742"/>
    <w:rsid w:val="34211214"/>
    <w:rsid w:val="342E63AB"/>
    <w:rsid w:val="34433534"/>
    <w:rsid w:val="345E036E"/>
    <w:rsid w:val="3466782F"/>
    <w:rsid w:val="347B5D1E"/>
    <w:rsid w:val="347C5A95"/>
    <w:rsid w:val="348F33B5"/>
    <w:rsid w:val="34950E68"/>
    <w:rsid w:val="34986E94"/>
    <w:rsid w:val="34AA5361"/>
    <w:rsid w:val="34AF62C9"/>
    <w:rsid w:val="34CB4388"/>
    <w:rsid w:val="34D66156"/>
    <w:rsid w:val="34D92909"/>
    <w:rsid w:val="34DC2C0A"/>
    <w:rsid w:val="34EC3BCC"/>
    <w:rsid w:val="34FA6E12"/>
    <w:rsid w:val="353D13E3"/>
    <w:rsid w:val="354D7158"/>
    <w:rsid w:val="354E6723"/>
    <w:rsid w:val="358D5588"/>
    <w:rsid w:val="35B069A7"/>
    <w:rsid w:val="35D7440F"/>
    <w:rsid w:val="35E05C46"/>
    <w:rsid w:val="35EF127D"/>
    <w:rsid w:val="36136070"/>
    <w:rsid w:val="36365688"/>
    <w:rsid w:val="363A3B40"/>
    <w:rsid w:val="365302AE"/>
    <w:rsid w:val="36607A0A"/>
    <w:rsid w:val="366A6C87"/>
    <w:rsid w:val="366E227C"/>
    <w:rsid w:val="366F2E0D"/>
    <w:rsid w:val="367B6A5C"/>
    <w:rsid w:val="36A74ADA"/>
    <w:rsid w:val="36AD60D5"/>
    <w:rsid w:val="36B224F9"/>
    <w:rsid w:val="36BD137C"/>
    <w:rsid w:val="36EC0CC9"/>
    <w:rsid w:val="37390A8E"/>
    <w:rsid w:val="373F410B"/>
    <w:rsid w:val="3756404C"/>
    <w:rsid w:val="376A0174"/>
    <w:rsid w:val="3772655E"/>
    <w:rsid w:val="378C13F6"/>
    <w:rsid w:val="37A662B4"/>
    <w:rsid w:val="37BD1A5A"/>
    <w:rsid w:val="37E16E9C"/>
    <w:rsid w:val="37EE7094"/>
    <w:rsid w:val="380803DD"/>
    <w:rsid w:val="38131FE2"/>
    <w:rsid w:val="382471D8"/>
    <w:rsid w:val="38296C89"/>
    <w:rsid w:val="383002EB"/>
    <w:rsid w:val="38586797"/>
    <w:rsid w:val="38602906"/>
    <w:rsid w:val="388843DC"/>
    <w:rsid w:val="38BC0149"/>
    <w:rsid w:val="38D87D1C"/>
    <w:rsid w:val="38DD3F57"/>
    <w:rsid w:val="38DE6D4B"/>
    <w:rsid w:val="391F535F"/>
    <w:rsid w:val="392E73EA"/>
    <w:rsid w:val="394F7350"/>
    <w:rsid w:val="39636459"/>
    <w:rsid w:val="396B7F6C"/>
    <w:rsid w:val="399C14F7"/>
    <w:rsid w:val="39B324CD"/>
    <w:rsid w:val="39B417A9"/>
    <w:rsid w:val="39F5707E"/>
    <w:rsid w:val="39FC5695"/>
    <w:rsid w:val="3A006D8E"/>
    <w:rsid w:val="3A3651E5"/>
    <w:rsid w:val="3A4E2342"/>
    <w:rsid w:val="3A744481"/>
    <w:rsid w:val="3A773F37"/>
    <w:rsid w:val="3A8C7BEF"/>
    <w:rsid w:val="3A906246"/>
    <w:rsid w:val="3AA842F0"/>
    <w:rsid w:val="3B133C60"/>
    <w:rsid w:val="3B2349B7"/>
    <w:rsid w:val="3B2D78CA"/>
    <w:rsid w:val="3B464036"/>
    <w:rsid w:val="3B4677B8"/>
    <w:rsid w:val="3B590718"/>
    <w:rsid w:val="3B616CFF"/>
    <w:rsid w:val="3B6259F6"/>
    <w:rsid w:val="3B75232A"/>
    <w:rsid w:val="3B894B0B"/>
    <w:rsid w:val="3B974891"/>
    <w:rsid w:val="3B976654"/>
    <w:rsid w:val="3B9B68EE"/>
    <w:rsid w:val="3BC01EFC"/>
    <w:rsid w:val="3BC36985"/>
    <w:rsid w:val="3BC52CC1"/>
    <w:rsid w:val="3BCA786A"/>
    <w:rsid w:val="3BD06659"/>
    <w:rsid w:val="3BD31E2F"/>
    <w:rsid w:val="3BF15831"/>
    <w:rsid w:val="3C092C4F"/>
    <w:rsid w:val="3C105946"/>
    <w:rsid w:val="3C2974B3"/>
    <w:rsid w:val="3C3262E6"/>
    <w:rsid w:val="3C3A44D8"/>
    <w:rsid w:val="3C471448"/>
    <w:rsid w:val="3C556941"/>
    <w:rsid w:val="3C5F759A"/>
    <w:rsid w:val="3C616601"/>
    <w:rsid w:val="3C6C525A"/>
    <w:rsid w:val="3C760652"/>
    <w:rsid w:val="3CA60D3D"/>
    <w:rsid w:val="3CA8464B"/>
    <w:rsid w:val="3CC904B6"/>
    <w:rsid w:val="3CCE23CB"/>
    <w:rsid w:val="3CD13E73"/>
    <w:rsid w:val="3CD17D17"/>
    <w:rsid w:val="3CED249E"/>
    <w:rsid w:val="3CEE6358"/>
    <w:rsid w:val="3D135173"/>
    <w:rsid w:val="3D3B2FFA"/>
    <w:rsid w:val="3D3C7F39"/>
    <w:rsid w:val="3D440F09"/>
    <w:rsid w:val="3D4504A0"/>
    <w:rsid w:val="3D5A1DE7"/>
    <w:rsid w:val="3D64467C"/>
    <w:rsid w:val="3D791A09"/>
    <w:rsid w:val="3D7E0A99"/>
    <w:rsid w:val="3D8734BB"/>
    <w:rsid w:val="3D932876"/>
    <w:rsid w:val="3D9A11D4"/>
    <w:rsid w:val="3DA16D89"/>
    <w:rsid w:val="3DA364BE"/>
    <w:rsid w:val="3DA475D8"/>
    <w:rsid w:val="3DB67810"/>
    <w:rsid w:val="3DD50C8A"/>
    <w:rsid w:val="3DE041CB"/>
    <w:rsid w:val="3DF71617"/>
    <w:rsid w:val="3E03620E"/>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0A7BF6"/>
    <w:rsid w:val="3F1D1096"/>
    <w:rsid w:val="3F2F0234"/>
    <w:rsid w:val="3F5707E4"/>
    <w:rsid w:val="3F6363FE"/>
    <w:rsid w:val="3F756B8F"/>
    <w:rsid w:val="3F8D4B70"/>
    <w:rsid w:val="3F95482B"/>
    <w:rsid w:val="3FAF4907"/>
    <w:rsid w:val="3FE468EA"/>
    <w:rsid w:val="3FE91433"/>
    <w:rsid w:val="4019356B"/>
    <w:rsid w:val="401E1828"/>
    <w:rsid w:val="4041301D"/>
    <w:rsid w:val="404F1CD1"/>
    <w:rsid w:val="40592157"/>
    <w:rsid w:val="406E1CAE"/>
    <w:rsid w:val="40937DD1"/>
    <w:rsid w:val="40996ECE"/>
    <w:rsid w:val="40A0133A"/>
    <w:rsid w:val="40C31A53"/>
    <w:rsid w:val="40F33AA5"/>
    <w:rsid w:val="40F57964"/>
    <w:rsid w:val="40F92A66"/>
    <w:rsid w:val="40FF545D"/>
    <w:rsid w:val="410067C8"/>
    <w:rsid w:val="411E2D31"/>
    <w:rsid w:val="413C45E3"/>
    <w:rsid w:val="4147433B"/>
    <w:rsid w:val="418F0D2A"/>
    <w:rsid w:val="419500D6"/>
    <w:rsid w:val="41962BCF"/>
    <w:rsid w:val="41B617E9"/>
    <w:rsid w:val="41D01505"/>
    <w:rsid w:val="41DA3027"/>
    <w:rsid w:val="4217061E"/>
    <w:rsid w:val="4238518B"/>
    <w:rsid w:val="42474939"/>
    <w:rsid w:val="424C3C57"/>
    <w:rsid w:val="42613FF3"/>
    <w:rsid w:val="42660D96"/>
    <w:rsid w:val="428667D2"/>
    <w:rsid w:val="428B67D2"/>
    <w:rsid w:val="429B4E76"/>
    <w:rsid w:val="42AC0CAD"/>
    <w:rsid w:val="42C02B16"/>
    <w:rsid w:val="42CD1CE0"/>
    <w:rsid w:val="42D53E10"/>
    <w:rsid w:val="42E1381E"/>
    <w:rsid w:val="42ED6459"/>
    <w:rsid w:val="42FE58DD"/>
    <w:rsid w:val="43122A4F"/>
    <w:rsid w:val="43174B3D"/>
    <w:rsid w:val="433F0E43"/>
    <w:rsid w:val="434B790E"/>
    <w:rsid w:val="4360274F"/>
    <w:rsid w:val="43977AB6"/>
    <w:rsid w:val="43A3342B"/>
    <w:rsid w:val="43B65AD0"/>
    <w:rsid w:val="43C77C27"/>
    <w:rsid w:val="43DE09EE"/>
    <w:rsid w:val="43F860E9"/>
    <w:rsid w:val="44002FAD"/>
    <w:rsid w:val="44103ECC"/>
    <w:rsid w:val="4430589B"/>
    <w:rsid w:val="44356927"/>
    <w:rsid w:val="444E7AB7"/>
    <w:rsid w:val="449101DD"/>
    <w:rsid w:val="449D00C3"/>
    <w:rsid w:val="44AB36BA"/>
    <w:rsid w:val="44B92B77"/>
    <w:rsid w:val="44DE1391"/>
    <w:rsid w:val="44E328F5"/>
    <w:rsid w:val="44E72961"/>
    <w:rsid w:val="44F3065E"/>
    <w:rsid w:val="45144786"/>
    <w:rsid w:val="451B225C"/>
    <w:rsid w:val="452410C9"/>
    <w:rsid w:val="452B71EC"/>
    <w:rsid w:val="452E1696"/>
    <w:rsid w:val="45317DFB"/>
    <w:rsid w:val="456D3CE4"/>
    <w:rsid w:val="4579042C"/>
    <w:rsid w:val="457E4BFD"/>
    <w:rsid w:val="457F0571"/>
    <w:rsid w:val="45851176"/>
    <w:rsid w:val="45853C91"/>
    <w:rsid w:val="458A2D71"/>
    <w:rsid w:val="458E4BD4"/>
    <w:rsid w:val="45C63B94"/>
    <w:rsid w:val="45F134FD"/>
    <w:rsid w:val="460E7DA5"/>
    <w:rsid w:val="461B579A"/>
    <w:rsid w:val="46323D4A"/>
    <w:rsid w:val="463351B6"/>
    <w:rsid w:val="46422483"/>
    <w:rsid w:val="46426740"/>
    <w:rsid w:val="4659254A"/>
    <w:rsid w:val="465B0637"/>
    <w:rsid w:val="465E3F0D"/>
    <w:rsid w:val="466A16E6"/>
    <w:rsid w:val="46791209"/>
    <w:rsid w:val="46893F2B"/>
    <w:rsid w:val="46C4686E"/>
    <w:rsid w:val="46D06EA9"/>
    <w:rsid w:val="46FD7572"/>
    <w:rsid w:val="472A3E43"/>
    <w:rsid w:val="472A6B09"/>
    <w:rsid w:val="47391126"/>
    <w:rsid w:val="473D0E4D"/>
    <w:rsid w:val="477B778F"/>
    <w:rsid w:val="478203EC"/>
    <w:rsid w:val="478464A5"/>
    <w:rsid w:val="47B025FA"/>
    <w:rsid w:val="47B40579"/>
    <w:rsid w:val="47EC7057"/>
    <w:rsid w:val="47EC7D13"/>
    <w:rsid w:val="48010DED"/>
    <w:rsid w:val="4809698F"/>
    <w:rsid w:val="48097DF4"/>
    <w:rsid w:val="480C2553"/>
    <w:rsid w:val="4811697D"/>
    <w:rsid w:val="484A2C8B"/>
    <w:rsid w:val="4867796E"/>
    <w:rsid w:val="48756309"/>
    <w:rsid w:val="487A3E25"/>
    <w:rsid w:val="487B0FC2"/>
    <w:rsid w:val="48833F78"/>
    <w:rsid w:val="488B5503"/>
    <w:rsid w:val="48937E21"/>
    <w:rsid w:val="48975AF1"/>
    <w:rsid w:val="489A0361"/>
    <w:rsid w:val="489D4E79"/>
    <w:rsid w:val="48B94FF3"/>
    <w:rsid w:val="48CD3EBF"/>
    <w:rsid w:val="48E37AAB"/>
    <w:rsid w:val="48EC362B"/>
    <w:rsid w:val="48FB2C50"/>
    <w:rsid w:val="48FD4B4C"/>
    <w:rsid w:val="490606C8"/>
    <w:rsid w:val="490A68E0"/>
    <w:rsid w:val="491055FE"/>
    <w:rsid w:val="49131B61"/>
    <w:rsid w:val="49261002"/>
    <w:rsid w:val="493A2D00"/>
    <w:rsid w:val="494C6EA1"/>
    <w:rsid w:val="494D4D8B"/>
    <w:rsid w:val="495F5B3E"/>
    <w:rsid w:val="496F77D7"/>
    <w:rsid w:val="497654FD"/>
    <w:rsid w:val="498F505D"/>
    <w:rsid w:val="49961747"/>
    <w:rsid w:val="49B64211"/>
    <w:rsid w:val="49F6167F"/>
    <w:rsid w:val="4A064FA0"/>
    <w:rsid w:val="4A0C76B0"/>
    <w:rsid w:val="4A16615C"/>
    <w:rsid w:val="4A4424D7"/>
    <w:rsid w:val="4A493572"/>
    <w:rsid w:val="4A525E27"/>
    <w:rsid w:val="4A5634BC"/>
    <w:rsid w:val="4A621223"/>
    <w:rsid w:val="4A6E0CA4"/>
    <w:rsid w:val="4A83134F"/>
    <w:rsid w:val="4AAC469A"/>
    <w:rsid w:val="4AB00BDC"/>
    <w:rsid w:val="4AB82D0F"/>
    <w:rsid w:val="4AD57AA1"/>
    <w:rsid w:val="4AEB7664"/>
    <w:rsid w:val="4AFD7C19"/>
    <w:rsid w:val="4B0567D1"/>
    <w:rsid w:val="4B1067E7"/>
    <w:rsid w:val="4B236AAE"/>
    <w:rsid w:val="4B555D27"/>
    <w:rsid w:val="4B707271"/>
    <w:rsid w:val="4B9739F7"/>
    <w:rsid w:val="4B974368"/>
    <w:rsid w:val="4B9A6B21"/>
    <w:rsid w:val="4B9C1FA2"/>
    <w:rsid w:val="4BB73B85"/>
    <w:rsid w:val="4BE96C25"/>
    <w:rsid w:val="4BEE2503"/>
    <w:rsid w:val="4C237EAA"/>
    <w:rsid w:val="4C245A30"/>
    <w:rsid w:val="4C2537F3"/>
    <w:rsid w:val="4C4579F1"/>
    <w:rsid w:val="4C5C2F8D"/>
    <w:rsid w:val="4C5D53ED"/>
    <w:rsid w:val="4C676029"/>
    <w:rsid w:val="4C8C2DBA"/>
    <w:rsid w:val="4CAF7256"/>
    <w:rsid w:val="4CB005C1"/>
    <w:rsid w:val="4CB6685F"/>
    <w:rsid w:val="4CBD71A8"/>
    <w:rsid w:val="4CC367FE"/>
    <w:rsid w:val="4D077F3C"/>
    <w:rsid w:val="4D123355"/>
    <w:rsid w:val="4D2A3B31"/>
    <w:rsid w:val="4D312C52"/>
    <w:rsid w:val="4D3D0468"/>
    <w:rsid w:val="4D3F03B7"/>
    <w:rsid w:val="4D4B0F25"/>
    <w:rsid w:val="4D905305"/>
    <w:rsid w:val="4D964A72"/>
    <w:rsid w:val="4D9C1254"/>
    <w:rsid w:val="4DDC25D7"/>
    <w:rsid w:val="4E1E04FA"/>
    <w:rsid w:val="4E526455"/>
    <w:rsid w:val="4E5A0B37"/>
    <w:rsid w:val="4E5F2074"/>
    <w:rsid w:val="4E793892"/>
    <w:rsid w:val="4E800872"/>
    <w:rsid w:val="4E9532A8"/>
    <w:rsid w:val="4E9A20A5"/>
    <w:rsid w:val="4EBD1C34"/>
    <w:rsid w:val="4EC569ED"/>
    <w:rsid w:val="4ED50EA1"/>
    <w:rsid w:val="4EEC050C"/>
    <w:rsid w:val="4EF833C6"/>
    <w:rsid w:val="4F104EC3"/>
    <w:rsid w:val="4F47354A"/>
    <w:rsid w:val="4F911C54"/>
    <w:rsid w:val="4F94527E"/>
    <w:rsid w:val="4FCD637F"/>
    <w:rsid w:val="4FE625E0"/>
    <w:rsid w:val="4FEB08B0"/>
    <w:rsid w:val="4FED5402"/>
    <w:rsid w:val="50003B61"/>
    <w:rsid w:val="5021480F"/>
    <w:rsid w:val="505D15FC"/>
    <w:rsid w:val="50707CB0"/>
    <w:rsid w:val="50755E1B"/>
    <w:rsid w:val="50962ECB"/>
    <w:rsid w:val="50A42E38"/>
    <w:rsid w:val="50A4577F"/>
    <w:rsid w:val="50B73D1F"/>
    <w:rsid w:val="50BD5BC9"/>
    <w:rsid w:val="50C11EEE"/>
    <w:rsid w:val="50D73351"/>
    <w:rsid w:val="50E97CFC"/>
    <w:rsid w:val="50F1399D"/>
    <w:rsid w:val="50FA4028"/>
    <w:rsid w:val="50FE434C"/>
    <w:rsid w:val="510D65B7"/>
    <w:rsid w:val="511157AB"/>
    <w:rsid w:val="51373825"/>
    <w:rsid w:val="513A1AEF"/>
    <w:rsid w:val="5142540C"/>
    <w:rsid w:val="518832C8"/>
    <w:rsid w:val="51A0432A"/>
    <w:rsid w:val="51A86090"/>
    <w:rsid w:val="51B7396D"/>
    <w:rsid w:val="51BF0246"/>
    <w:rsid w:val="51F4743E"/>
    <w:rsid w:val="52090ACB"/>
    <w:rsid w:val="522E4CC3"/>
    <w:rsid w:val="5244713B"/>
    <w:rsid w:val="52615633"/>
    <w:rsid w:val="526A04DD"/>
    <w:rsid w:val="52977FD4"/>
    <w:rsid w:val="52A25790"/>
    <w:rsid w:val="52A96B6F"/>
    <w:rsid w:val="52B45975"/>
    <w:rsid w:val="52CB543D"/>
    <w:rsid w:val="52D94AA4"/>
    <w:rsid w:val="52EA3A62"/>
    <w:rsid w:val="52F50BB8"/>
    <w:rsid w:val="53097272"/>
    <w:rsid w:val="53152E87"/>
    <w:rsid w:val="53544462"/>
    <w:rsid w:val="53676980"/>
    <w:rsid w:val="53960CB2"/>
    <w:rsid w:val="5397158E"/>
    <w:rsid w:val="53D42C20"/>
    <w:rsid w:val="53E42050"/>
    <w:rsid w:val="53E67D0C"/>
    <w:rsid w:val="54013861"/>
    <w:rsid w:val="541C372E"/>
    <w:rsid w:val="544032D3"/>
    <w:rsid w:val="54487265"/>
    <w:rsid w:val="544D6070"/>
    <w:rsid w:val="545B4ECF"/>
    <w:rsid w:val="54605E1E"/>
    <w:rsid w:val="54910775"/>
    <w:rsid w:val="54AC5238"/>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1C1BE8"/>
    <w:rsid w:val="565D3B8A"/>
    <w:rsid w:val="56620283"/>
    <w:rsid w:val="566B6D1E"/>
    <w:rsid w:val="569E129D"/>
    <w:rsid w:val="56BD5854"/>
    <w:rsid w:val="56C76EC1"/>
    <w:rsid w:val="57032A2C"/>
    <w:rsid w:val="570F5219"/>
    <w:rsid w:val="575D12B5"/>
    <w:rsid w:val="57610A87"/>
    <w:rsid w:val="577B1140"/>
    <w:rsid w:val="577B7F21"/>
    <w:rsid w:val="577F181B"/>
    <w:rsid w:val="57921984"/>
    <w:rsid w:val="579737F0"/>
    <w:rsid w:val="579B6AF6"/>
    <w:rsid w:val="579D4CED"/>
    <w:rsid w:val="57AB7B30"/>
    <w:rsid w:val="57AF5251"/>
    <w:rsid w:val="57B26373"/>
    <w:rsid w:val="57B3517E"/>
    <w:rsid w:val="57B63F04"/>
    <w:rsid w:val="57CD20C2"/>
    <w:rsid w:val="57D675AB"/>
    <w:rsid w:val="57D95FDD"/>
    <w:rsid w:val="57FD2F22"/>
    <w:rsid w:val="584D2325"/>
    <w:rsid w:val="584E184D"/>
    <w:rsid w:val="58917D2F"/>
    <w:rsid w:val="5894085C"/>
    <w:rsid w:val="58AE4F0C"/>
    <w:rsid w:val="58B85899"/>
    <w:rsid w:val="58C0702C"/>
    <w:rsid w:val="58E363A9"/>
    <w:rsid w:val="58F3790B"/>
    <w:rsid w:val="59272ECB"/>
    <w:rsid w:val="59307B25"/>
    <w:rsid w:val="595E1678"/>
    <w:rsid w:val="596D5BD4"/>
    <w:rsid w:val="596E0FB1"/>
    <w:rsid w:val="597E3DD8"/>
    <w:rsid w:val="59AB1AC0"/>
    <w:rsid w:val="59B31026"/>
    <w:rsid w:val="59F80043"/>
    <w:rsid w:val="5A09252F"/>
    <w:rsid w:val="5A0B2778"/>
    <w:rsid w:val="5A1B7FE4"/>
    <w:rsid w:val="5A2A7C7B"/>
    <w:rsid w:val="5A3E2560"/>
    <w:rsid w:val="5A5D3B6E"/>
    <w:rsid w:val="5A637A76"/>
    <w:rsid w:val="5A686384"/>
    <w:rsid w:val="5A6D33BA"/>
    <w:rsid w:val="5A792B1F"/>
    <w:rsid w:val="5A874767"/>
    <w:rsid w:val="5AA85BE2"/>
    <w:rsid w:val="5AAC4A22"/>
    <w:rsid w:val="5AAD6F28"/>
    <w:rsid w:val="5AC451BA"/>
    <w:rsid w:val="5AD63A24"/>
    <w:rsid w:val="5AE51FB6"/>
    <w:rsid w:val="5B1E5FDD"/>
    <w:rsid w:val="5B2E1A1D"/>
    <w:rsid w:val="5B455011"/>
    <w:rsid w:val="5B5559B5"/>
    <w:rsid w:val="5B843A1C"/>
    <w:rsid w:val="5B873E3F"/>
    <w:rsid w:val="5BC76675"/>
    <w:rsid w:val="5BF00249"/>
    <w:rsid w:val="5C02690E"/>
    <w:rsid w:val="5C196DA7"/>
    <w:rsid w:val="5C2A048C"/>
    <w:rsid w:val="5C35640B"/>
    <w:rsid w:val="5C7422AE"/>
    <w:rsid w:val="5C80234E"/>
    <w:rsid w:val="5C8A680C"/>
    <w:rsid w:val="5CBB1164"/>
    <w:rsid w:val="5CCE758F"/>
    <w:rsid w:val="5CD256AC"/>
    <w:rsid w:val="5CE45C2B"/>
    <w:rsid w:val="5CEB387F"/>
    <w:rsid w:val="5CF27722"/>
    <w:rsid w:val="5CFB5325"/>
    <w:rsid w:val="5D0C4701"/>
    <w:rsid w:val="5D0F0395"/>
    <w:rsid w:val="5D221076"/>
    <w:rsid w:val="5D38043B"/>
    <w:rsid w:val="5D397964"/>
    <w:rsid w:val="5D551783"/>
    <w:rsid w:val="5D5A391C"/>
    <w:rsid w:val="5D5C31CE"/>
    <w:rsid w:val="5D5F10C0"/>
    <w:rsid w:val="5D6308F7"/>
    <w:rsid w:val="5D891B7B"/>
    <w:rsid w:val="5D8A5E82"/>
    <w:rsid w:val="5D930F65"/>
    <w:rsid w:val="5D945FAA"/>
    <w:rsid w:val="5DAD38EE"/>
    <w:rsid w:val="5E006862"/>
    <w:rsid w:val="5E0207B9"/>
    <w:rsid w:val="5E093CEF"/>
    <w:rsid w:val="5E1834A1"/>
    <w:rsid w:val="5E261785"/>
    <w:rsid w:val="5E4A7017"/>
    <w:rsid w:val="5E552BBA"/>
    <w:rsid w:val="5E56783C"/>
    <w:rsid w:val="5E611C10"/>
    <w:rsid w:val="5E626095"/>
    <w:rsid w:val="5E6B4108"/>
    <w:rsid w:val="5E74631F"/>
    <w:rsid w:val="5E765627"/>
    <w:rsid w:val="5E7A0F3F"/>
    <w:rsid w:val="5E866777"/>
    <w:rsid w:val="5E9A5DEE"/>
    <w:rsid w:val="5EB15FBF"/>
    <w:rsid w:val="5EB91404"/>
    <w:rsid w:val="5EF13A09"/>
    <w:rsid w:val="5EF50A1B"/>
    <w:rsid w:val="5EFC7377"/>
    <w:rsid w:val="5F012A1A"/>
    <w:rsid w:val="5F06174D"/>
    <w:rsid w:val="5F101225"/>
    <w:rsid w:val="5F32711A"/>
    <w:rsid w:val="5F3A3602"/>
    <w:rsid w:val="5F45733B"/>
    <w:rsid w:val="5F4C0C3F"/>
    <w:rsid w:val="5F5B211E"/>
    <w:rsid w:val="5F6277C6"/>
    <w:rsid w:val="5F6D0B1D"/>
    <w:rsid w:val="5F8D0B82"/>
    <w:rsid w:val="5FCC5339"/>
    <w:rsid w:val="5FE34A5B"/>
    <w:rsid w:val="5FFE1E36"/>
    <w:rsid w:val="5FFF5CB2"/>
    <w:rsid w:val="60002155"/>
    <w:rsid w:val="60172C7B"/>
    <w:rsid w:val="60232584"/>
    <w:rsid w:val="602745AC"/>
    <w:rsid w:val="60275934"/>
    <w:rsid w:val="60305BC5"/>
    <w:rsid w:val="604D4C6F"/>
    <w:rsid w:val="605864BB"/>
    <w:rsid w:val="607330CE"/>
    <w:rsid w:val="607A3F88"/>
    <w:rsid w:val="60825176"/>
    <w:rsid w:val="60873AD9"/>
    <w:rsid w:val="60883EF9"/>
    <w:rsid w:val="609F2AC4"/>
    <w:rsid w:val="60C413D5"/>
    <w:rsid w:val="60FA2EE8"/>
    <w:rsid w:val="61054A27"/>
    <w:rsid w:val="6109503A"/>
    <w:rsid w:val="610A52BC"/>
    <w:rsid w:val="611D2366"/>
    <w:rsid w:val="61421856"/>
    <w:rsid w:val="615227C4"/>
    <w:rsid w:val="61626939"/>
    <w:rsid w:val="61654E3F"/>
    <w:rsid w:val="6182292A"/>
    <w:rsid w:val="618B5F69"/>
    <w:rsid w:val="61985864"/>
    <w:rsid w:val="619F7F92"/>
    <w:rsid w:val="61BB155E"/>
    <w:rsid w:val="61BD2EFD"/>
    <w:rsid w:val="61D1061E"/>
    <w:rsid w:val="61D70960"/>
    <w:rsid w:val="61F94C26"/>
    <w:rsid w:val="61FE4473"/>
    <w:rsid w:val="62000E56"/>
    <w:rsid w:val="62244584"/>
    <w:rsid w:val="624F3E49"/>
    <w:rsid w:val="62540537"/>
    <w:rsid w:val="625473B0"/>
    <w:rsid w:val="62586279"/>
    <w:rsid w:val="62632286"/>
    <w:rsid w:val="62775066"/>
    <w:rsid w:val="62885958"/>
    <w:rsid w:val="628903DB"/>
    <w:rsid w:val="62B47667"/>
    <w:rsid w:val="62C860CC"/>
    <w:rsid w:val="62F40B65"/>
    <w:rsid w:val="62FC2CFE"/>
    <w:rsid w:val="63024505"/>
    <w:rsid w:val="633923BD"/>
    <w:rsid w:val="63540CCD"/>
    <w:rsid w:val="635B1DB5"/>
    <w:rsid w:val="63711FED"/>
    <w:rsid w:val="63880DDC"/>
    <w:rsid w:val="63885935"/>
    <w:rsid w:val="6389298F"/>
    <w:rsid w:val="638D750D"/>
    <w:rsid w:val="639C0AAF"/>
    <w:rsid w:val="63AC52D2"/>
    <w:rsid w:val="63AC6CC0"/>
    <w:rsid w:val="63AE3C76"/>
    <w:rsid w:val="63B048E8"/>
    <w:rsid w:val="63BE65AF"/>
    <w:rsid w:val="63C17E4E"/>
    <w:rsid w:val="64043733"/>
    <w:rsid w:val="64055776"/>
    <w:rsid w:val="64175397"/>
    <w:rsid w:val="641A130C"/>
    <w:rsid w:val="64240056"/>
    <w:rsid w:val="643979E4"/>
    <w:rsid w:val="643E143A"/>
    <w:rsid w:val="644A0C02"/>
    <w:rsid w:val="647452F7"/>
    <w:rsid w:val="648B6EEF"/>
    <w:rsid w:val="64C158BF"/>
    <w:rsid w:val="64CE2EAA"/>
    <w:rsid w:val="65092215"/>
    <w:rsid w:val="653C3090"/>
    <w:rsid w:val="6545060B"/>
    <w:rsid w:val="65854376"/>
    <w:rsid w:val="658767BE"/>
    <w:rsid w:val="65882CD5"/>
    <w:rsid w:val="65892531"/>
    <w:rsid w:val="65E616BA"/>
    <w:rsid w:val="66153939"/>
    <w:rsid w:val="66195831"/>
    <w:rsid w:val="662B5A52"/>
    <w:rsid w:val="662E75B1"/>
    <w:rsid w:val="66342C2E"/>
    <w:rsid w:val="663E784C"/>
    <w:rsid w:val="66551A38"/>
    <w:rsid w:val="66662834"/>
    <w:rsid w:val="666D1F69"/>
    <w:rsid w:val="667133EA"/>
    <w:rsid w:val="6683763C"/>
    <w:rsid w:val="6688495F"/>
    <w:rsid w:val="668B6A45"/>
    <w:rsid w:val="66DE04FB"/>
    <w:rsid w:val="66F85C8F"/>
    <w:rsid w:val="67000CC4"/>
    <w:rsid w:val="67090CF6"/>
    <w:rsid w:val="671C2EDD"/>
    <w:rsid w:val="671E7365"/>
    <w:rsid w:val="67230B7E"/>
    <w:rsid w:val="672A3F5C"/>
    <w:rsid w:val="672B557E"/>
    <w:rsid w:val="672F3320"/>
    <w:rsid w:val="672F3F24"/>
    <w:rsid w:val="673B7F17"/>
    <w:rsid w:val="673E055F"/>
    <w:rsid w:val="67551CE3"/>
    <w:rsid w:val="677B0314"/>
    <w:rsid w:val="678F3DBF"/>
    <w:rsid w:val="67A22552"/>
    <w:rsid w:val="67A530AB"/>
    <w:rsid w:val="67B00574"/>
    <w:rsid w:val="67B22DCC"/>
    <w:rsid w:val="67B90A82"/>
    <w:rsid w:val="67BE71AA"/>
    <w:rsid w:val="67D90273"/>
    <w:rsid w:val="67DE5875"/>
    <w:rsid w:val="67E212BA"/>
    <w:rsid w:val="67E55852"/>
    <w:rsid w:val="67EB1AB4"/>
    <w:rsid w:val="67FA1285"/>
    <w:rsid w:val="68551F4F"/>
    <w:rsid w:val="68647B92"/>
    <w:rsid w:val="687C10C9"/>
    <w:rsid w:val="68840C16"/>
    <w:rsid w:val="68876EFB"/>
    <w:rsid w:val="68884654"/>
    <w:rsid w:val="688E6E24"/>
    <w:rsid w:val="689F444F"/>
    <w:rsid w:val="68A1639F"/>
    <w:rsid w:val="68B96DBB"/>
    <w:rsid w:val="68BB1E56"/>
    <w:rsid w:val="68CA2805"/>
    <w:rsid w:val="68E85AE5"/>
    <w:rsid w:val="68E937A3"/>
    <w:rsid w:val="68FC5484"/>
    <w:rsid w:val="692D78DC"/>
    <w:rsid w:val="693E15D3"/>
    <w:rsid w:val="69627681"/>
    <w:rsid w:val="696D1EDE"/>
    <w:rsid w:val="6977531D"/>
    <w:rsid w:val="69B51747"/>
    <w:rsid w:val="69BD5BBB"/>
    <w:rsid w:val="69CC2BFF"/>
    <w:rsid w:val="69D327F2"/>
    <w:rsid w:val="69FD55B8"/>
    <w:rsid w:val="6A0B1C62"/>
    <w:rsid w:val="6A0C584D"/>
    <w:rsid w:val="6A0D3F4C"/>
    <w:rsid w:val="6A2406C8"/>
    <w:rsid w:val="6A4B328A"/>
    <w:rsid w:val="6A4B36BE"/>
    <w:rsid w:val="6A4F6D30"/>
    <w:rsid w:val="6A60728C"/>
    <w:rsid w:val="6A8F2B46"/>
    <w:rsid w:val="6A9C2A7B"/>
    <w:rsid w:val="6AA47B81"/>
    <w:rsid w:val="6AB20DE6"/>
    <w:rsid w:val="6ABA3454"/>
    <w:rsid w:val="6AD743A0"/>
    <w:rsid w:val="6ADA106E"/>
    <w:rsid w:val="6ADC5EF8"/>
    <w:rsid w:val="6ADE0BD1"/>
    <w:rsid w:val="6AE96859"/>
    <w:rsid w:val="6B147746"/>
    <w:rsid w:val="6B24787C"/>
    <w:rsid w:val="6B33152A"/>
    <w:rsid w:val="6B573233"/>
    <w:rsid w:val="6B5B6274"/>
    <w:rsid w:val="6B694FD4"/>
    <w:rsid w:val="6B710BD6"/>
    <w:rsid w:val="6B935D53"/>
    <w:rsid w:val="6BCC7390"/>
    <w:rsid w:val="6C196F71"/>
    <w:rsid w:val="6C226FCB"/>
    <w:rsid w:val="6C31226F"/>
    <w:rsid w:val="6C390C24"/>
    <w:rsid w:val="6C552F0B"/>
    <w:rsid w:val="6C830396"/>
    <w:rsid w:val="6C8C2DF7"/>
    <w:rsid w:val="6C8C67B7"/>
    <w:rsid w:val="6C9D744C"/>
    <w:rsid w:val="6CE1459D"/>
    <w:rsid w:val="6CFD6256"/>
    <w:rsid w:val="6CFE67A8"/>
    <w:rsid w:val="6D167928"/>
    <w:rsid w:val="6D261515"/>
    <w:rsid w:val="6D26299B"/>
    <w:rsid w:val="6D4772EC"/>
    <w:rsid w:val="6D6D4FC1"/>
    <w:rsid w:val="6D785A21"/>
    <w:rsid w:val="6D8007DE"/>
    <w:rsid w:val="6D9078AF"/>
    <w:rsid w:val="6DAA3FEF"/>
    <w:rsid w:val="6DB523BB"/>
    <w:rsid w:val="6DC0172B"/>
    <w:rsid w:val="6DC47772"/>
    <w:rsid w:val="6DCB690C"/>
    <w:rsid w:val="6DD41A5B"/>
    <w:rsid w:val="6DD80303"/>
    <w:rsid w:val="6DF43C2E"/>
    <w:rsid w:val="6DF51CA3"/>
    <w:rsid w:val="6E684D47"/>
    <w:rsid w:val="6E8335BD"/>
    <w:rsid w:val="6E8E12EF"/>
    <w:rsid w:val="6E9045AA"/>
    <w:rsid w:val="6E972936"/>
    <w:rsid w:val="6EB74327"/>
    <w:rsid w:val="6EC91D52"/>
    <w:rsid w:val="6ED35697"/>
    <w:rsid w:val="6ED446C5"/>
    <w:rsid w:val="6F184A18"/>
    <w:rsid w:val="6F2A7D94"/>
    <w:rsid w:val="6F347F1E"/>
    <w:rsid w:val="6F6D0E8A"/>
    <w:rsid w:val="6F802313"/>
    <w:rsid w:val="6F8331F1"/>
    <w:rsid w:val="6FAE1A09"/>
    <w:rsid w:val="6FD75BF8"/>
    <w:rsid w:val="6FEF3B3E"/>
    <w:rsid w:val="6FF70753"/>
    <w:rsid w:val="70115CB9"/>
    <w:rsid w:val="705362D1"/>
    <w:rsid w:val="707723D0"/>
    <w:rsid w:val="70980188"/>
    <w:rsid w:val="70DB77AC"/>
    <w:rsid w:val="70F27898"/>
    <w:rsid w:val="70F5661B"/>
    <w:rsid w:val="70FF0D7D"/>
    <w:rsid w:val="71360107"/>
    <w:rsid w:val="713B688E"/>
    <w:rsid w:val="71593474"/>
    <w:rsid w:val="7183561A"/>
    <w:rsid w:val="71BE6408"/>
    <w:rsid w:val="71C64881"/>
    <w:rsid w:val="71D43752"/>
    <w:rsid w:val="71D7083C"/>
    <w:rsid w:val="71F1796A"/>
    <w:rsid w:val="720846CC"/>
    <w:rsid w:val="72154626"/>
    <w:rsid w:val="72202699"/>
    <w:rsid w:val="72262B5D"/>
    <w:rsid w:val="72283FF7"/>
    <w:rsid w:val="722E7212"/>
    <w:rsid w:val="723A0474"/>
    <w:rsid w:val="724A6828"/>
    <w:rsid w:val="725923E4"/>
    <w:rsid w:val="72864BF7"/>
    <w:rsid w:val="729023FC"/>
    <w:rsid w:val="72D153FC"/>
    <w:rsid w:val="72E72D01"/>
    <w:rsid w:val="733470C6"/>
    <w:rsid w:val="734E304B"/>
    <w:rsid w:val="73533CC2"/>
    <w:rsid w:val="73757CC9"/>
    <w:rsid w:val="739D75B7"/>
    <w:rsid w:val="73B06FFE"/>
    <w:rsid w:val="73BE3A62"/>
    <w:rsid w:val="73C0646E"/>
    <w:rsid w:val="74085625"/>
    <w:rsid w:val="742222F5"/>
    <w:rsid w:val="742348D0"/>
    <w:rsid w:val="74476126"/>
    <w:rsid w:val="744A23BB"/>
    <w:rsid w:val="7460720F"/>
    <w:rsid w:val="74624977"/>
    <w:rsid w:val="74706664"/>
    <w:rsid w:val="7475702A"/>
    <w:rsid w:val="747F3682"/>
    <w:rsid w:val="749C4185"/>
    <w:rsid w:val="749F7D37"/>
    <w:rsid w:val="74A60E8D"/>
    <w:rsid w:val="74A73931"/>
    <w:rsid w:val="74BE006A"/>
    <w:rsid w:val="74C91165"/>
    <w:rsid w:val="75067759"/>
    <w:rsid w:val="752E6DCD"/>
    <w:rsid w:val="752F65C4"/>
    <w:rsid w:val="75417C86"/>
    <w:rsid w:val="7551380D"/>
    <w:rsid w:val="75600BE5"/>
    <w:rsid w:val="7564475C"/>
    <w:rsid w:val="75834A5C"/>
    <w:rsid w:val="7583797F"/>
    <w:rsid w:val="758A310F"/>
    <w:rsid w:val="75952EE8"/>
    <w:rsid w:val="75D03F20"/>
    <w:rsid w:val="75D20F1D"/>
    <w:rsid w:val="75DA2C18"/>
    <w:rsid w:val="75F54412"/>
    <w:rsid w:val="761969BC"/>
    <w:rsid w:val="761D08E0"/>
    <w:rsid w:val="76400B70"/>
    <w:rsid w:val="765D347C"/>
    <w:rsid w:val="76826699"/>
    <w:rsid w:val="768F7938"/>
    <w:rsid w:val="76C87133"/>
    <w:rsid w:val="76CD08D5"/>
    <w:rsid w:val="76DB4B92"/>
    <w:rsid w:val="76DF266D"/>
    <w:rsid w:val="76FF4961"/>
    <w:rsid w:val="77052AA4"/>
    <w:rsid w:val="77136511"/>
    <w:rsid w:val="77340A39"/>
    <w:rsid w:val="77351FD0"/>
    <w:rsid w:val="77472422"/>
    <w:rsid w:val="77745210"/>
    <w:rsid w:val="777F31F2"/>
    <w:rsid w:val="77BC4C63"/>
    <w:rsid w:val="77D1700D"/>
    <w:rsid w:val="77DA1086"/>
    <w:rsid w:val="77E4568D"/>
    <w:rsid w:val="77EC04CC"/>
    <w:rsid w:val="78006A23"/>
    <w:rsid w:val="7859644F"/>
    <w:rsid w:val="78664B90"/>
    <w:rsid w:val="78775729"/>
    <w:rsid w:val="78A42DB0"/>
    <w:rsid w:val="78A656AB"/>
    <w:rsid w:val="78B2245C"/>
    <w:rsid w:val="78E172CC"/>
    <w:rsid w:val="78EA1D1F"/>
    <w:rsid w:val="7904172F"/>
    <w:rsid w:val="79062AD2"/>
    <w:rsid w:val="790F7E27"/>
    <w:rsid w:val="792A231A"/>
    <w:rsid w:val="79316829"/>
    <w:rsid w:val="79404FE3"/>
    <w:rsid w:val="79692435"/>
    <w:rsid w:val="797777F3"/>
    <w:rsid w:val="797C7409"/>
    <w:rsid w:val="797E66A9"/>
    <w:rsid w:val="79A97383"/>
    <w:rsid w:val="79C16FDE"/>
    <w:rsid w:val="79D5067E"/>
    <w:rsid w:val="79E27E8B"/>
    <w:rsid w:val="79F850CE"/>
    <w:rsid w:val="79FD443C"/>
    <w:rsid w:val="7A1D1975"/>
    <w:rsid w:val="7A3902E6"/>
    <w:rsid w:val="7A3E5150"/>
    <w:rsid w:val="7A4670D6"/>
    <w:rsid w:val="7A534B63"/>
    <w:rsid w:val="7A615382"/>
    <w:rsid w:val="7A653600"/>
    <w:rsid w:val="7A666C01"/>
    <w:rsid w:val="7A67303B"/>
    <w:rsid w:val="7A8772A3"/>
    <w:rsid w:val="7A910122"/>
    <w:rsid w:val="7AAB1D04"/>
    <w:rsid w:val="7ABA4368"/>
    <w:rsid w:val="7ABD2CC5"/>
    <w:rsid w:val="7AD05746"/>
    <w:rsid w:val="7AD90381"/>
    <w:rsid w:val="7B0F1951"/>
    <w:rsid w:val="7B226FCC"/>
    <w:rsid w:val="7B2446B7"/>
    <w:rsid w:val="7B257FFD"/>
    <w:rsid w:val="7B2C7CAA"/>
    <w:rsid w:val="7B343476"/>
    <w:rsid w:val="7B5A2978"/>
    <w:rsid w:val="7B5A7E4C"/>
    <w:rsid w:val="7B667AF9"/>
    <w:rsid w:val="7B7468F8"/>
    <w:rsid w:val="7BE64CF7"/>
    <w:rsid w:val="7BEE0103"/>
    <w:rsid w:val="7BFA3AA5"/>
    <w:rsid w:val="7BFD48E8"/>
    <w:rsid w:val="7C0515F5"/>
    <w:rsid w:val="7C0A0FE4"/>
    <w:rsid w:val="7C254906"/>
    <w:rsid w:val="7C4022C0"/>
    <w:rsid w:val="7C5022FF"/>
    <w:rsid w:val="7C590818"/>
    <w:rsid w:val="7C6E0182"/>
    <w:rsid w:val="7C7C10F6"/>
    <w:rsid w:val="7C853BEA"/>
    <w:rsid w:val="7C881368"/>
    <w:rsid w:val="7CE27788"/>
    <w:rsid w:val="7D0357E5"/>
    <w:rsid w:val="7D0C32F1"/>
    <w:rsid w:val="7D0F408D"/>
    <w:rsid w:val="7D287F1A"/>
    <w:rsid w:val="7D491C6C"/>
    <w:rsid w:val="7D4E22FA"/>
    <w:rsid w:val="7D5429C0"/>
    <w:rsid w:val="7D561D8E"/>
    <w:rsid w:val="7D6E6D43"/>
    <w:rsid w:val="7D6F7570"/>
    <w:rsid w:val="7D7069D2"/>
    <w:rsid w:val="7D7D498E"/>
    <w:rsid w:val="7D894AA5"/>
    <w:rsid w:val="7D8F021D"/>
    <w:rsid w:val="7D9B4E14"/>
    <w:rsid w:val="7DAD6DD7"/>
    <w:rsid w:val="7DB57A34"/>
    <w:rsid w:val="7DDB10A1"/>
    <w:rsid w:val="7DE60973"/>
    <w:rsid w:val="7DEF0916"/>
    <w:rsid w:val="7E184065"/>
    <w:rsid w:val="7E1E5218"/>
    <w:rsid w:val="7E7514D4"/>
    <w:rsid w:val="7E8D6E52"/>
    <w:rsid w:val="7E9764C7"/>
    <w:rsid w:val="7E9A4E1F"/>
    <w:rsid w:val="7EA7723A"/>
    <w:rsid w:val="7EB659FE"/>
    <w:rsid w:val="7EBC6AFC"/>
    <w:rsid w:val="7EF56FBB"/>
    <w:rsid w:val="7EFC38CE"/>
    <w:rsid w:val="7F067E4D"/>
    <w:rsid w:val="7F0768EB"/>
    <w:rsid w:val="7F143BEC"/>
    <w:rsid w:val="7F1629A4"/>
    <w:rsid w:val="7F49042A"/>
    <w:rsid w:val="7F5265F7"/>
    <w:rsid w:val="7F565496"/>
    <w:rsid w:val="7F6137FA"/>
    <w:rsid w:val="7F715AF2"/>
    <w:rsid w:val="7F793597"/>
    <w:rsid w:val="7F886E69"/>
    <w:rsid w:val="7FCF2D12"/>
    <w:rsid w:val="7FE44850"/>
    <w:rsid w:val="7FE707E4"/>
    <w:rsid w:val="7FF01447"/>
    <w:rsid w:val="7FFA1DC8"/>
    <w:rsid w:val="7FFD748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5">
    <w:name w:val="heading 3"/>
    <w:basedOn w:val="1"/>
    <w:next w:val="1"/>
    <w:link w:val="126"/>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72"/>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qFormat/>
    <w:uiPriority w:val="0"/>
    <w:pPr>
      <w:ind w:left="2940"/>
    </w:p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202"/>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11"/>
    <w:qFormat/>
    <w:uiPriority w:val="0"/>
    <w:pPr>
      <w:shd w:val="clear" w:color="auto" w:fill="000080"/>
    </w:pPr>
  </w:style>
  <w:style w:type="paragraph" w:styleId="21">
    <w:name w:val="annotation text"/>
    <w:basedOn w:val="1"/>
    <w:link w:val="351"/>
    <w:qFormat/>
    <w:uiPriority w:val="99"/>
    <w:pPr>
      <w:jc w:val="left"/>
    </w:pPr>
  </w:style>
  <w:style w:type="paragraph" w:styleId="22">
    <w:name w:val="Salutation"/>
    <w:basedOn w:val="1"/>
    <w:next w:val="1"/>
    <w:link w:val="305"/>
    <w:qFormat/>
    <w:uiPriority w:val="0"/>
    <w:rPr>
      <w:rFonts w:ascii="仿宋_GB2312" w:eastAsia="仿宋_GB2312"/>
      <w:sz w:val="28"/>
      <w:szCs w:val="20"/>
    </w:rPr>
  </w:style>
  <w:style w:type="paragraph" w:styleId="23">
    <w:name w:val="Body Text 3"/>
    <w:basedOn w:val="1"/>
    <w:link w:val="33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37"/>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90"/>
    <w:qFormat/>
    <w:uiPriority w:val="0"/>
    <w:pPr>
      <w:ind w:left="100" w:leftChars="2500"/>
    </w:pPr>
    <w:rPr>
      <w:rFonts w:ascii="宋体"/>
      <w:sz w:val="24"/>
      <w:szCs w:val="21"/>
      <w:lang w:val="zh-CN"/>
    </w:rPr>
  </w:style>
  <w:style w:type="paragraph" w:styleId="37">
    <w:name w:val="Body Text Indent 2"/>
    <w:basedOn w:val="1"/>
    <w:link w:val="315"/>
    <w:qFormat/>
    <w:uiPriority w:val="0"/>
    <w:pPr>
      <w:spacing w:line="360" w:lineRule="auto"/>
      <w:ind w:firstLine="601"/>
      <w:textAlignment w:val="baseline"/>
    </w:pPr>
    <w:rPr>
      <w:rFonts w:ascii="宋体"/>
      <w:kern w:val="0"/>
      <w:sz w:val="28"/>
      <w:szCs w:val="20"/>
    </w:rPr>
  </w:style>
  <w:style w:type="paragraph" w:styleId="38">
    <w:name w:val="endnote text"/>
    <w:basedOn w:val="1"/>
    <w:link w:val="938"/>
    <w:qFormat/>
    <w:uiPriority w:val="0"/>
    <w:rPr>
      <w:lang w:val="zh-CN"/>
    </w:rPr>
  </w:style>
  <w:style w:type="paragraph" w:styleId="39">
    <w:name w:val="Balloon Text"/>
    <w:basedOn w:val="1"/>
    <w:link w:val="197"/>
    <w:qFormat/>
    <w:uiPriority w:val="0"/>
    <w:rPr>
      <w:sz w:val="18"/>
      <w:szCs w:val="18"/>
    </w:rPr>
  </w:style>
  <w:style w:type="paragraph" w:styleId="40">
    <w:name w:val="footer"/>
    <w:basedOn w:val="1"/>
    <w:link w:val="390"/>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4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17"/>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9"/>
    <w:qFormat/>
    <w:uiPriority w:val="0"/>
    <w:pPr>
      <w:spacing w:after="120" w:line="480" w:lineRule="auto"/>
    </w:pPr>
  </w:style>
  <w:style w:type="paragraph" w:styleId="58">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5"/>
    <w:qFormat/>
    <w:uiPriority w:val="0"/>
    <w:rPr>
      <w:b/>
      <w:bCs/>
    </w:rPr>
  </w:style>
  <w:style w:type="paragraph" w:styleId="62">
    <w:name w:val="Body Text First Indent"/>
    <w:basedOn w:val="25"/>
    <w:next w:val="52"/>
    <w:link w:val="328"/>
    <w:qFormat/>
    <w:uiPriority w:val="0"/>
    <w:pPr>
      <w:ind w:firstLine="420"/>
    </w:pPr>
    <w:rPr>
      <w:rFonts w:hAnsi="Calibri" w:cs="Times New Roman"/>
      <w:snapToGrid/>
      <w:szCs w:val="20"/>
    </w:rPr>
  </w:style>
  <w:style w:type="paragraph" w:styleId="63">
    <w:name w:val="Body Text First Indent 2"/>
    <w:basedOn w:val="2"/>
    <w:link w:val="13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文章正文"/>
    <w:basedOn w:val="1"/>
    <w:next w:val="82"/>
    <w:qFormat/>
    <w:uiPriority w:val="0"/>
    <w:pPr>
      <w:spacing w:line="360" w:lineRule="auto"/>
      <w:ind w:firstLine="200" w:firstLineChars="200"/>
    </w:pPr>
    <w:rPr>
      <w:sz w:val="24"/>
    </w:rPr>
  </w:style>
  <w:style w:type="paragraph" w:customStyle="1" w:styleId="82">
    <w:name w:val="公式样式 变量"/>
    <w:qFormat/>
    <w:uiPriority w:val="0"/>
    <w:rPr>
      <w:rFonts w:ascii="Times New Roman" w:hAnsi="Times New Roman" w:eastAsia="宋体" w:cs="Times New Roman"/>
      <w:i/>
      <w:lang w:val="en-US" w:eastAsia="zh-CN" w:bidi="ar-SA"/>
    </w:rPr>
  </w:style>
  <w:style w:type="paragraph" w:customStyle="1" w:styleId="83">
    <w:name w:val="正文文本首行缩进 21"/>
    <w:basedOn w:val="2"/>
    <w:qFormat/>
    <w:uiPriority w:val="99"/>
    <w:pPr>
      <w:spacing w:line="200" w:lineRule="atLeast"/>
      <w:ind w:firstLine="420"/>
    </w:pPr>
    <w:rPr>
      <w:rFonts w:hAnsi="Courier New"/>
      <w:spacing w:val="-4"/>
      <w:sz w:val="18"/>
    </w:rPr>
  </w:style>
  <w:style w:type="paragraph" w:customStyle="1" w:styleId="84">
    <w:name w:val="xl53"/>
    <w:basedOn w:val="1"/>
    <w:next w:val="1"/>
    <w:qFormat/>
    <w:uiPriority w:val="0"/>
    <w:pPr>
      <w:spacing w:before="280" w:after="280" w:line="100" w:lineRule="exact"/>
      <w:jc w:val="center"/>
    </w:pPr>
    <w:rPr>
      <w:b/>
      <w:sz w:val="20"/>
    </w:rPr>
  </w:style>
  <w:style w:type="paragraph" w:customStyle="1" w:styleId="85">
    <w:name w:val="正文首行缩进1"/>
    <w:basedOn w:val="25"/>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6">
    <w:name w:val="Default"/>
    <w:next w:val="87"/>
    <w:link w:val="24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8">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9">
    <w:name w:val="[Normal]"/>
    <w:qFormat/>
    <w:uiPriority w:val="0"/>
    <w:rPr>
      <w:rFonts w:ascii="宋体" w:hAnsi="宋体" w:eastAsia="宋体" w:cs="Times New Roman"/>
      <w:sz w:val="24"/>
      <w:lang w:val="zh-CN" w:eastAsia="zh-CN" w:bidi="ar-SA"/>
    </w:rPr>
  </w:style>
  <w:style w:type="paragraph" w:styleId="90">
    <w:name w:val="List Paragraph"/>
    <w:basedOn w:val="1"/>
    <w:qFormat/>
    <w:uiPriority w:val="34"/>
    <w:pPr>
      <w:spacing w:line="360" w:lineRule="auto"/>
      <w:ind w:firstLine="200" w:firstLineChars="200"/>
    </w:pPr>
    <w:rPr>
      <w:rFonts w:eastAsia="楷体_GB2312" w:cs="Lucida Sans"/>
      <w:sz w:val="24"/>
    </w:rPr>
  </w:style>
  <w:style w:type="character" w:customStyle="1" w:styleId="91">
    <w:name w:val="表格非标题文字 Char"/>
    <w:link w:val="92"/>
    <w:qFormat/>
    <w:uiPriority w:val="0"/>
    <w:rPr>
      <w:rFonts w:ascii="Futura Bk" w:hAnsi="Futura Bk"/>
      <w:kern w:val="2"/>
      <w:sz w:val="18"/>
      <w:szCs w:val="21"/>
      <w:lang w:val="en-US" w:eastAsia="zh-CN" w:bidi="ar-SA"/>
    </w:rPr>
  </w:style>
  <w:style w:type="paragraph" w:customStyle="1" w:styleId="92">
    <w:name w:val="表格非标题文字"/>
    <w:link w:val="9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qFormat/>
    <w:locked/>
    <w:uiPriority w:val="0"/>
    <w:rPr>
      <w:rFonts w:ascii="宋体" w:hAnsi="宋体"/>
      <w:sz w:val="24"/>
    </w:rPr>
  </w:style>
  <w:style w:type="paragraph" w:customStyle="1" w:styleId="94">
    <w:name w:val="*正文"/>
    <w:basedOn w:val="1"/>
    <w:link w:val="93"/>
    <w:qFormat/>
    <w:uiPriority w:val="0"/>
    <w:pPr>
      <w:snapToGrid w:val="0"/>
      <w:spacing w:line="360" w:lineRule="auto"/>
      <w:ind w:firstLine="482"/>
      <w:jc w:val="left"/>
    </w:pPr>
    <w:rPr>
      <w:rFonts w:ascii="宋体" w:hAnsi="宋体"/>
      <w:kern w:val="0"/>
      <w:sz w:val="24"/>
      <w:szCs w:val="20"/>
    </w:rPr>
  </w:style>
  <w:style w:type="character" w:customStyle="1" w:styleId="95">
    <w:name w:val="Char Char71"/>
    <w:semiHidden/>
    <w:qFormat/>
    <w:uiPriority w:val="0"/>
    <w:rPr>
      <w:rFonts w:eastAsia="宋体"/>
      <w:kern w:val="2"/>
      <w:sz w:val="21"/>
      <w:szCs w:val="24"/>
      <w:lang w:val="en-US" w:eastAsia="zh-CN" w:bidi="ar-SA"/>
    </w:rPr>
  </w:style>
  <w:style w:type="character" w:customStyle="1" w:styleId="96">
    <w:name w:val="Char Char6"/>
    <w:qFormat/>
    <w:uiPriority w:val="0"/>
    <w:rPr>
      <w:rFonts w:eastAsia="宋体"/>
      <w:kern w:val="2"/>
      <w:sz w:val="21"/>
      <w:szCs w:val="24"/>
      <w:lang w:val="en-US" w:eastAsia="zh-CN" w:bidi="ar-SA"/>
    </w:rPr>
  </w:style>
  <w:style w:type="character" w:customStyle="1" w:styleId="97">
    <w:name w:val="正文缩进 Char"/>
    <w:qFormat/>
    <w:uiPriority w:val="0"/>
    <w:rPr>
      <w:rFonts w:eastAsia="宋体"/>
      <w:kern w:val="2"/>
      <w:sz w:val="21"/>
      <w:lang w:val="en-US" w:eastAsia="zh-CN"/>
    </w:rPr>
  </w:style>
  <w:style w:type="character" w:customStyle="1" w:styleId="98">
    <w:name w:val="正文首行缩进 Char1"/>
    <w:qFormat/>
    <w:uiPriority w:val="0"/>
    <w:rPr>
      <w:rFonts w:ascii="宋体" w:hAnsi="Times New Roman" w:eastAsia="宋体" w:cs="Times New Roman"/>
      <w:snapToGrid w:val="0"/>
      <w:kern w:val="2"/>
      <w:sz w:val="24"/>
      <w:szCs w:val="21"/>
      <w:lang w:val="zh-CN"/>
    </w:rPr>
  </w:style>
  <w:style w:type="character" w:customStyle="1" w:styleId="99">
    <w:name w:val="Char Char28"/>
    <w:qFormat/>
    <w:uiPriority w:val="6"/>
    <w:rPr>
      <w:rFonts w:ascii="仿宋_GB2312" w:hAnsi="仿宋_GB2312" w:eastAsia="仿宋_GB2312"/>
      <w:kern w:val="1"/>
      <w:sz w:val="28"/>
    </w:rPr>
  </w:style>
  <w:style w:type="character" w:customStyle="1" w:styleId="10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qFormat/>
    <w:uiPriority w:val="6"/>
    <w:rPr>
      <w:rFonts w:ascii="Times New Roman" w:hAnsi="Times New Roman" w:eastAsia="黑体" w:cs="Times New Roman"/>
      <w:b/>
      <w:kern w:val="0"/>
      <w:sz w:val="24"/>
      <w:szCs w:val="24"/>
    </w:rPr>
  </w:style>
  <w:style w:type="character" w:customStyle="1" w:styleId="102">
    <w:name w:val="U_正文 Char"/>
    <w:link w:val="103"/>
    <w:qFormat/>
    <w:uiPriority w:val="0"/>
    <w:rPr>
      <w:sz w:val="24"/>
      <w:szCs w:val="24"/>
    </w:rPr>
  </w:style>
  <w:style w:type="paragraph" w:customStyle="1" w:styleId="103">
    <w:name w:val="U_正文"/>
    <w:basedOn w:val="1"/>
    <w:link w:val="102"/>
    <w:qFormat/>
    <w:uiPriority w:val="0"/>
    <w:pPr>
      <w:adjustRightInd/>
      <w:spacing w:beforeLines="20" w:afterLines="20" w:line="300" w:lineRule="auto"/>
      <w:ind w:firstLine="200" w:firstLineChars="200"/>
    </w:pPr>
    <w:rPr>
      <w:kern w:val="0"/>
      <w:sz w:val="24"/>
    </w:rPr>
  </w:style>
  <w:style w:type="character" w:customStyle="1" w:styleId="104">
    <w:name w:val="HTML 地址 Char1"/>
    <w:qFormat/>
    <w:uiPriority w:val="0"/>
    <w:rPr>
      <w:rFonts w:ascii="Times New Roman" w:hAnsi="Times New Roman" w:eastAsia="宋体" w:cs="Times New Roman"/>
      <w:i/>
      <w:iCs/>
      <w:szCs w:val="24"/>
    </w:rPr>
  </w:style>
  <w:style w:type="character" w:customStyle="1" w:styleId="105">
    <w:name w:val="批注主题 字符"/>
    <w:link w:val="61"/>
    <w:qFormat/>
    <w:uiPriority w:val="0"/>
    <w:rPr>
      <w:b/>
      <w:bCs/>
      <w:kern w:val="2"/>
      <w:sz w:val="21"/>
      <w:szCs w:val="24"/>
    </w:rPr>
  </w:style>
  <w:style w:type="character" w:customStyle="1" w:styleId="106">
    <w:name w:val="Char Char51"/>
    <w:qFormat/>
    <w:uiPriority w:val="0"/>
    <w:rPr>
      <w:rFonts w:ascii="宋体" w:hAnsi="Courier New" w:eastAsia="宋体"/>
      <w:kern w:val="2"/>
      <w:sz w:val="21"/>
      <w:lang w:val="en-US" w:eastAsia="zh-CN"/>
    </w:rPr>
  </w:style>
  <w:style w:type="character" w:customStyle="1" w:styleId="107">
    <w:name w:val="表正文 Char"/>
    <w:qFormat/>
    <w:uiPriority w:val="0"/>
    <w:rPr>
      <w:rFonts w:ascii="宋体" w:eastAsia="宋体"/>
      <w:snapToGrid w:val="0"/>
      <w:color w:val="000000"/>
      <w:kern w:val="28"/>
      <w:sz w:val="28"/>
      <w:lang w:val="en-US" w:eastAsia="zh-CN" w:bidi="ar-SA"/>
    </w:rPr>
  </w:style>
  <w:style w:type="character" w:customStyle="1" w:styleId="108">
    <w:name w:val="Char Char34"/>
    <w:qFormat/>
    <w:uiPriority w:val="6"/>
    <w:rPr>
      <w:b/>
      <w:kern w:val="1"/>
      <w:sz w:val="28"/>
      <w:szCs w:val="28"/>
    </w:rPr>
  </w:style>
  <w:style w:type="character" w:customStyle="1" w:styleId="10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qFormat/>
    <w:uiPriority w:val="0"/>
    <w:rPr>
      <w:rFonts w:ascii="宋体" w:hAnsi="宋体" w:eastAsia="宋体"/>
      <w:kern w:val="2"/>
      <w:sz w:val="24"/>
      <w:lang w:bidi="ar-SA"/>
    </w:rPr>
  </w:style>
  <w:style w:type="paragraph" w:customStyle="1" w:styleId="111">
    <w:name w:val="哈哈正文"/>
    <w:basedOn w:val="1"/>
    <w:link w:val="110"/>
    <w:qFormat/>
    <w:uiPriority w:val="0"/>
    <w:pPr>
      <w:adjustRightInd/>
      <w:spacing w:line="360" w:lineRule="auto"/>
      <w:ind w:firstLine="200" w:firstLineChars="200"/>
    </w:pPr>
    <w:rPr>
      <w:rFonts w:ascii="宋体" w:hAnsi="宋体"/>
      <w:sz w:val="24"/>
      <w:szCs w:val="20"/>
    </w:rPr>
  </w:style>
  <w:style w:type="character" w:customStyle="1" w:styleId="112">
    <w:name w:val="未处理的提及1"/>
    <w:qFormat/>
    <w:uiPriority w:val="0"/>
    <w:rPr>
      <w:color w:val="808080"/>
      <w:shd w:val="clear" w:color="auto" w:fill="E6E6E6"/>
    </w:rPr>
  </w:style>
  <w:style w:type="character" w:customStyle="1" w:styleId="113">
    <w:name w:val="txt"/>
    <w:qFormat/>
    <w:uiPriority w:val="0"/>
    <w:rPr>
      <w:rFonts w:ascii="仿宋_GB2312" w:eastAsia="微软雅黑"/>
      <w:b/>
      <w:kern w:val="2"/>
      <w:sz w:val="32"/>
      <w:szCs w:val="32"/>
      <w:lang w:val="en-US" w:eastAsia="zh-CN" w:bidi="ar-SA"/>
    </w:rPr>
  </w:style>
  <w:style w:type="character" w:customStyle="1" w:styleId="114">
    <w:name w:val="二级标题 Char Char"/>
    <w:qFormat/>
    <w:uiPriority w:val="0"/>
    <w:rPr>
      <w:rFonts w:ascii="宋体" w:hAnsi="宋体" w:eastAsia="宋体"/>
      <w:b/>
      <w:snapToGrid w:val="0"/>
      <w:kern w:val="2"/>
      <w:sz w:val="24"/>
      <w:szCs w:val="24"/>
      <w:lang w:val="en-US" w:eastAsia="zh-CN" w:bidi="ar-SA"/>
    </w:rPr>
  </w:style>
  <w:style w:type="character" w:customStyle="1" w:styleId="115">
    <w:name w:val="Char Char32"/>
    <w:qFormat/>
    <w:uiPriority w:val="6"/>
    <w:rPr>
      <w:b/>
      <w:kern w:val="1"/>
      <w:sz w:val="24"/>
      <w:szCs w:val="24"/>
    </w:rPr>
  </w:style>
  <w:style w:type="character" w:customStyle="1" w:styleId="116">
    <w:name w:val="PI Char1"/>
    <w:qFormat/>
    <w:uiPriority w:val="0"/>
    <w:rPr>
      <w:rFonts w:ascii="宋体" w:hAnsi="宋体"/>
      <w:kern w:val="2"/>
      <w:sz w:val="24"/>
      <w:szCs w:val="24"/>
    </w:rPr>
  </w:style>
  <w:style w:type="character" w:customStyle="1" w:styleId="117">
    <w:name w:val="tw4winTerm"/>
    <w:qFormat/>
    <w:uiPriority w:val="0"/>
    <w:rPr>
      <w:color w:val="0000FF"/>
    </w:rPr>
  </w:style>
  <w:style w:type="character" w:customStyle="1" w:styleId="118">
    <w:name w:val="Footer Char"/>
    <w:qFormat/>
    <w:locked/>
    <w:uiPriority w:val="0"/>
    <w:rPr>
      <w:rFonts w:eastAsia="宋体"/>
      <w:kern w:val="2"/>
      <w:sz w:val="18"/>
      <w:lang w:val="en-US" w:eastAsia="zh-CN" w:bidi="ar-SA"/>
    </w:rPr>
  </w:style>
  <w:style w:type="character" w:customStyle="1" w:styleId="119">
    <w:name w:val="普通文字 Char Char1"/>
    <w:qFormat/>
    <w:uiPriority w:val="0"/>
    <w:rPr>
      <w:rFonts w:ascii="宋体" w:hAnsi="Courier New"/>
      <w:kern w:val="2"/>
      <w:sz w:val="21"/>
    </w:rPr>
  </w:style>
  <w:style w:type="character" w:customStyle="1" w:styleId="120">
    <w:name w:val="Char Char101"/>
    <w:qFormat/>
    <w:uiPriority w:val="6"/>
    <w:rPr>
      <w:rFonts w:ascii="宋体" w:hAnsi="宋体"/>
      <w:kern w:val="2"/>
      <w:sz w:val="21"/>
      <w:szCs w:val="24"/>
      <w:lang w:val="en-US" w:eastAsia="zh-CN"/>
    </w:rPr>
  </w:style>
  <w:style w:type="character" w:customStyle="1" w:styleId="121">
    <w:name w:val="标题 4 Char"/>
    <w:qFormat/>
    <w:uiPriority w:val="0"/>
    <w:rPr>
      <w:rFonts w:ascii="Arial" w:hAnsi="Arial" w:eastAsia="黑体"/>
      <w:b/>
      <w:kern w:val="2"/>
      <w:sz w:val="28"/>
    </w:rPr>
  </w:style>
  <w:style w:type="character" w:customStyle="1" w:styleId="122">
    <w:name w:val="链接"/>
    <w:qFormat/>
    <w:uiPriority w:val="0"/>
    <w:rPr>
      <w:color w:val="0000FF"/>
      <w:sz w:val="21"/>
      <w:szCs w:val="21"/>
      <w:u w:val="single"/>
    </w:rPr>
  </w:style>
  <w:style w:type="character" w:customStyle="1" w:styleId="123">
    <w:name w:val="h4 Char"/>
    <w:qFormat/>
    <w:uiPriority w:val="0"/>
    <w:rPr>
      <w:rFonts w:ascii="Arial" w:hAnsi="Arial" w:eastAsia="黑体"/>
      <w:b/>
      <w:bCs/>
      <w:kern w:val="2"/>
      <w:sz w:val="28"/>
      <w:szCs w:val="28"/>
      <w:lang w:val="zh-CN" w:eastAsia="zh-CN" w:bidi="ar-SA"/>
    </w:rPr>
  </w:style>
  <w:style w:type="character" w:customStyle="1" w:styleId="124">
    <w:name w:val="5正文 Char"/>
    <w:link w:val="125"/>
    <w:qFormat/>
    <w:uiPriority w:val="0"/>
    <w:rPr>
      <w:rFonts w:ascii="仿宋_GB2312" w:hAnsi="微软雅黑" w:eastAsia="仿宋_GB2312"/>
      <w:sz w:val="28"/>
      <w:szCs w:val="21"/>
    </w:rPr>
  </w:style>
  <w:style w:type="paragraph" w:customStyle="1" w:styleId="125">
    <w:name w:val="5正文"/>
    <w:basedOn w:val="1"/>
    <w:link w:val="12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标题 3 字符"/>
    <w:basedOn w:val="71"/>
    <w:link w:val="5"/>
    <w:qFormat/>
    <w:uiPriority w:val="9"/>
    <w:rPr>
      <w:b/>
      <w:bCs/>
      <w:sz w:val="32"/>
      <w:szCs w:val="32"/>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文本首行缩进 2 字符"/>
    <w:link w:val="63"/>
    <w:qFormat/>
    <w:uiPriority w:val="0"/>
    <w:rPr>
      <w:rFonts w:ascii="宋体" w:hAnsi="宋体"/>
      <w:kern w:val="2"/>
      <w:sz w:val="21"/>
      <w:szCs w:val="24"/>
    </w:rPr>
  </w:style>
  <w:style w:type="character" w:customStyle="1" w:styleId="131">
    <w:name w:val="font11"/>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71"/>
    <w:qFormat/>
    <w:uiPriority w:val="0"/>
    <w:rPr>
      <w:rFonts w:ascii="Arial" w:hAnsi="Arial" w:eastAsia="黑体" w:cs="Arial"/>
      <w:snapToGrid w:val="0"/>
      <w:kern w:val="0"/>
      <w:szCs w:val="21"/>
    </w:rPr>
  </w:style>
  <w:style w:type="character" w:customStyle="1" w:styleId="13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 w:val="24"/>
      <w:szCs w:val="20"/>
    </w:rPr>
  </w:style>
  <w:style w:type="character" w:customStyle="1" w:styleId="141">
    <w:name w:val="Char Char24"/>
    <w:qFormat/>
    <w:uiPriority w:val="6"/>
    <w:rPr>
      <w:kern w:val="1"/>
      <w:sz w:val="21"/>
    </w:rPr>
  </w:style>
  <w:style w:type="character" w:customStyle="1" w:styleId="142">
    <w:name w:val="副标题 字符"/>
    <w:link w:val="48"/>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semiHidden/>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locked/>
    <w:uiPriority w:val="0"/>
    <w:rPr>
      <w:rFonts w:eastAsia="宋体"/>
      <w:kern w:val="2"/>
      <w:sz w:val="21"/>
      <w:szCs w:val="24"/>
      <w:lang w:val="en-US" w:eastAsia="zh-CN" w:bidi="ar-SA"/>
    </w:rPr>
  </w:style>
  <w:style w:type="character" w:customStyle="1" w:styleId="155">
    <w:name w:val="font41"/>
    <w:qFormat/>
    <w:uiPriority w:val="0"/>
    <w:rPr>
      <w:rFonts w:hint="eastAsia" w:ascii="仿宋_GB2312" w:eastAsia="仿宋_GB2312" w:cs="仿宋_GB2312"/>
      <w:color w:val="000000"/>
      <w:sz w:val="22"/>
      <w:szCs w:val="22"/>
      <w:u w:val="none"/>
    </w:rPr>
  </w:style>
  <w:style w:type="character" w:customStyle="1" w:styleId="156">
    <w:name w:val="标题 6 字符"/>
    <w:link w:val="8"/>
    <w:qFormat/>
    <w:uiPriority w:val="0"/>
    <w:rPr>
      <w:rFonts w:ascii="Arial" w:hAnsi="Arial" w:eastAsia="黑体"/>
      <w:b/>
      <w:bCs/>
      <w:kern w:val="2"/>
      <w:sz w:val="24"/>
      <w:szCs w:val="24"/>
    </w:rPr>
  </w:style>
  <w:style w:type="character" w:customStyle="1" w:styleId="157">
    <w:name w:val="纯文本 Char_0"/>
    <w:link w:val="158"/>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qFormat/>
    <w:locked/>
    <w:uiPriority w:val="0"/>
    <w:rPr>
      <w:rFonts w:eastAsia="宋体"/>
      <w:kern w:val="2"/>
      <w:sz w:val="18"/>
      <w:szCs w:val="18"/>
      <w:lang w:val="en-US" w:eastAsia="zh-CN" w:bidi="ar-SA"/>
    </w:rPr>
  </w:style>
  <w:style w:type="character" w:customStyle="1" w:styleId="161">
    <w:name w:val="正文 项目2 Char"/>
    <w:basedOn w:val="162"/>
    <w:qFormat/>
    <w:uiPriority w:val="0"/>
    <w:rPr>
      <w:rFonts w:ascii="仿宋_GB2312" w:hAnsi="仿宋_GB2312" w:eastAsia="仿宋_GB2312"/>
      <w:kern w:val="2"/>
      <w:sz w:val="24"/>
      <w:lang w:bidi="ar-SA"/>
    </w:rPr>
  </w:style>
  <w:style w:type="character" w:customStyle="1" w:styleId="162">
    <w:name w:val="正文 项目 Char"/>
    <w:qFormat/>
    <w:uiPriority w:val="0"/>
    <w:rPr>
      <w:rFonts w:ascii="仿宋_GB2312" w:hAnsi="仿宋_GB2312" w:eastAsia="仿宋_GB2312"/>
      <w:kern w:val="2"/>
      <w:sz w:val="24"/>
      <w:lang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Char Char27"/>
    <w:qFormat/>
    <w:uiPriority w:val="6"/>
    <w:rPr>
      <w:rFonts w:ascii="宋体" w:hAnsi="宋体" w:eastAsia="宋体"/>
      <w:color w:val="000000"/>
      <w:kern w:val="1"/>
      <w:sz w:val="28"/>
      <w:lang w:val="en-US" w:eastAsia="zh-CN" w:bidi="ar-SA"/>
    </w:rPr>
  </w:style>
  <w:style w:type="character" w:customStyle="1" w:styleId="165">
    <w:name w:val="px14"/>
    <w:qFormat/>
    <w:uiPriority w:val="0"/>
    <w:rPr>
      <w:rFonts w:ascii="仿宋_GB2312" w:eastAsia="微软雅黑" w:cs="Times New Roman"/>
      <w:b/>
      <w:kern w:val="2"/>
      <w:sz w:val="32"/>
      <w:szCs w:val="32"/>
      <w:lang w:val="en-US" w:eastAsia="zh-CN" w:bidi="ar-SA"/>
    </w:rPr>
  </w:style>
  <w:style w:type="character" w:customStyle="1" w:styleId="166">
    <w:name w:val="HTML 预设格式 Char1"/>
    <w:qFormat/>
    <w:uiPriority w:val="0"/>
    <w:rPr>
      <w:rFonts w:ascii="Courier New" w:hAnsi="Courier New" w:eastAsia="宋体" w:cs="Courier New"/>
      <w:sz w:val="20"/>
      <w:szCs w:val="20"/>
    </w:rPr>
  </w:style>
  <w:style w:type="character" w:customStyle="1" w:styleId="167">
    <w:name w:val="普通文字 Char1"/>
    <w:qFormat/>
    <w:uiPriority w:val="0"/>
    <w:rPr>
      <w:rFonts w:ascii="宋体" w:hAnsi="Courier New" w:eastAsia="宋体"/>
      <w:kern w:val="2"/>
      <w:sz w:val="21"/>
      <w:lang w:val="en-US" w:eastAsia="zh-CN"/>
    </w:rPr>
  </w:style>
  <w:style w:type="character" w:customStyle="1" w:styleId="168">
    <w:name w:val="hei16b1"/>
    <w:qFormat/>
    <w:uiPriority w:val="0"/>
    <w:rPr>
      <w:rFonts w:hint="default" w:ascii="Arial" w:hAnsi="Arial" w:cs="Arial"/>
      <w:b/>
      <w:bCs/>
      <w:color w:val="000000"/>
      <w:sz w:val="24"/>
      <w:szCs w:val="24"/>
    </w:rPr>
  </w:style>
  <w:style w:type="character" w:customStyle="1" w:styleId="169">
    <w:name w:val="正文（绿盟科技） Char"/>
    <w:link w:val="170"/>
    <w:qFormat/>
    <w:uiPriority w:val="0"/>
    <w:rPr>
      <w:rFonts w:ascii="Arial" w:hAnsi="Arial"/>
      <w:sz w:val="21"/>
      <w:szCs w:val="21"/>
    </w:rPr>
  </w:style>
  <w:style w:type="paragraph" w:customStyle="1" w:styleId="170">
    <w:name w:val="正文（绿盟科技）"/>
    <w:link w:val="169"/>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qFormat/>
    <w:uiPriority w:val="6"/>
    <w:rPr>
      <w:rFonts w:ascii="宋体" w:hAnsi="宋体"/>
      <w:i/>
      <w:sz w:val="24"/>
      <w:szCs w:val="24"/>
    </w:rPr>
  </w:style>
  <w:style w:type="character" w:customStyle="1" w:styleId="172">
    <w:name w:val="页脚 Char"/>
    <w:qFormat/>
    <w:uiPriority w:val="0"/>
    <w:rPr>
      <w:rFonts w:eastAsia="仿宋_GB2312"/>
      <w:kern w:val="2"/>
      <w:sz w:val="18"/>
      <w:lang w:val="en-US" w:eastAsia="zh-CN"/>
    </w:rPr>
  </w:style>
  <w:style w:type="character" w:customStyle="1" w:styleId="173">
    <w:name w:val="批注主题 Char"/>
    <w:qFormat/>
    <w:uiPriority w:val="0"/>
    <w:rPr>
      <w:rFonts w:eastAsia="宋体"/>
      <w:b/>
      <w:bCs/>
      <w:kern w:val="2"/>
      <w:sz w:val="21"/>
      <w:szCs w:val="24"/>
      <w:lang w:val="en-US" w:eastAsia="zh-CN" w:bidi="ar-SA"/>
    </w:rPr>
  </w:style>
  <w:style w:type="character" w:customStyle="1" w:styleId="174">
    <w:name w:val="Comment Text Char"/>
    <w:qFormat/>
    <w:locked/>
    <w:uiPriority w:val="0"/>
    <w:rPr>
      <w:rFonts w:ascii="宋体" w:hAnsi="宋体" w:eastAsia="宋体"/>
      <w:kern w:val="2"/>
      <w:sz w:val="24"/>
      <w:lang w:val="en-US" w:eastAsia="zh-CN" w:bidi="ar-SA"/>
    </w:rPr>
  </w:style>
  <w:style w:type="character" w:customStyle="1" w:styleId="175">
    <w:name w:val="标题 2 字符"/>
    <w:qFormat/>
    <w:uiPriority w:val="1"/>
    <w:rPr>
      <w:rFonts w:ascii="仿宋_GB2312" w:hAnsi="Times New Roman" w:eastAsia="仿宋_GB2312" w:cs="Times New Roman"/>
      <w:b/>
      <w:kern w:val="2"/>
      <w:sz w:val="24"/>
      <w:lang w:val="zh-CN"/>
    </w:rPr>
  </w:style>
  <w:style w:type="character" w:customStyle="1" w:styleId="176">
    <w:name w:val="Char Char72"/>
    <w:qFormat/>
    <w:uiPriority w:val="0"/>
    <w:rPr>
      <w:rFonts w:eastAsia="宋体"/>
      <w:kern w:val="2"/>
      <w:sz w:val="21"/>
      <w:szCs w:val="24"/>
      <w:lang w:val="en-US" w:eastAsia="zh-CN" w:bidi="ar-SA"/>
    </w:rPr>
  </w:style>
  <w:style w:type="character" w:customStyle="1" w:styleId="177">
    <w:name w:val="正文文本缩进 Char2"/>
    <w:qFormat/>
    <w:uiPriority w:val="0"/>
    <w:rPr>
      <w:rFonts w:ascii="Times New Roman" w:hAnsi="Times New Roman" w:eastAsia="宋体" w:cs="Times New Roman"/>
      <w:snapToGrid w:val="0"/>
      <w:kern w:val="0"/>
      <w:szCs w:val="24"/>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qFormat/>
    <w:uiPriority w:val="0"/>
    <w:rPr>
      <w:sz w:val="32"/>
    </w:rPr>
  </w:style>
  <w:style w:type="paragraph" w:customStyle="1" w:styleId="180">
    <w:name w:val="表格名称"/>
    <w:basedOn w:val="4"/>
    <w:link w:val="179"/>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1">
    <w:name w:val="Char Char4"/>
    <w:qFormat/>
    <w:uiPriority w:val="0"/>
    <w:rPr>
      <w:rFonts w:eastAsia="宋体"/>
      <w:b/>
      <w:sz w:val="24"/>
      <w:lang w:val="en-GB" w:eastAsia="zh-CN" w:bidi="ar-SA"/>
    </w:rPr>
  </w:style>
  <w:style w:type="character" w:customStyle="1" w:styleId="182">
    <w:name w:val="c7 style3"/>
    <w:qFormat/>
    <w:uiPriority w:val="0"/>
  </w:style>
  <w:style w:type="character" w:customStyle="1" w:styleId="183">
    <w:name w:val="正文文本 3 Char1"/>
    <w:semiHidden/>
    <w:qFormat/>
    <w:uiPriority w:val="99"/>
    <w:rPr>
      <w:rFonts w:ascii="Times New Roman" w:hAnsi="Times New Roman" w:eastAsia="宋体" w:cs="Times New Roman"/>
      <w:sz w:val="16"/>
      <w:szCs w:val="16"/>
    </w:rPr>
  </w:style>
  <w:style w:type="character" w:customStyle="1" w:styleId="184">
    <w:name w:val="tw4winInternal"/>
    <w:qFormat/>
    <w:uiPriority w:val="0"/>
    <w:rPr>
      <w:rFonts w:ascii="Courier New" w:hAnsi="Courier New" w:cs="Courier New"/>
      <w:color w:val="FF0000"/>
      <w:lang w:val="en-US" w:eastAsia="zh-CN"/>
    </w:rPr>
  </w:style>
  <w:style w:type="character" w:customStyle="1" w:styleId="185">
    <w:name w:val="Char Char10"/>
    <w:semiHidden/>
    <w:qFormat/>
    <w:uiPriority w:val="0"/>
    <w:rPr>
      <w:rFonts w:ascii="宋体" w:hAnsi="宋体"/>
      <w:kern w:val="2"/>
      <w:sz w:val="21"/>
      <w:szCs w:val="24"/>
      <w:lang w:val="en-US" w:eastAsia="zh-CN"/>
    </w:rPr>
  </w:style>
  <w:style w:type="character" w:customStyle="1" w:styleId="186">
    <w:name w:val="shadow11"/>
    <w:qFormat/>
    <w:uiPriority w:val="0"/>
    <w:rPr>
      <w:color w:val="000000"/>
      <w:sz w:val="21"/>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Char Char"/>
    <w:qFormat/>
    <w:uiPriority w:val="0"/>
    <w:rPr>
      <w:rFonts w:ascii="宋体" w:hAnsi="Courier New" w:eastAsia="宋体"/>
      <w:kern w:val="2"/>
      <w:sz w:val="21"/>
      <w:lang w:val="en-US" w:eastAsia="zh-CN" w:bidi="ar-SA"/>
    </w:rPr>
  </w:style>
  <w:style w:type="character" w:customStyle="1" w:styleId="189">
    <w:name w:val="签名 Char1"/>
    <w:qFormat/>
    <w:uiPriority w:val="0"/>
    <w:rPr>
      <w:rFonts w:ascii="Times New Roman" w:hAnsi="Times New Roman" w:eastAsia="宋体" w:cs="Times New Roman"/>
      <w:szCs w:val="24"/>
    </w:rPr>
  </w:style>
  <w:style w:type="character" w:customStyle="1" w:styleId="190">
    <w:name w:val="日期 字符"/>
    <w:link w:val="36"/>
    <w:qFormat/>
    <w:uiPriority w:val="0"/>
    <w:rPr>
      <w:rFonts w:ascii="宋体"/>
      <w:kern w:val="2"/>
      <w:sz w:val="24"/>
      <w:szCs w:val="21"/>
      <w:lang w:val="zh-CN"/>
    </w:rPr>
  </w:style>
  <w:style w:type="character" w:customStyle="1" w:styleId="191">
    <w:name w:val="标题 9 字符"/>
    <w:link w:val="11"/>
    <w:qFormat/>
    <w:uiPriority w:val="0"/>
    <w:rPr>
      <w:rFonts w:ascii="Arial" w:hAnsi="Arial" w:eastAsia="黑体"/>
      <w:kern w:val="2"/>
      <w:sz w:val="21"/>
      <w:szCs w:val="21"/>
    </w:rPr>
  </w:style>
  <w:style w:type="character" w:customStyle="1" w:styleId="192">
    <w:name w:val="Char Char18"/>
    <w:qFormat/>
    <w:uiPriority w:val="6"/>
    <w:rPr>
      <w:rFonts w:ascii="宋体" w:hAnsi="宋体"/>
      <w:sz w:val="28"/>
    </w:rPr>
  </w:style>
  <w:style w:type="character" w:customStyle="1" w:styleId="193">
    <w:name w:val="批注文字 Char"/>
    <w:qFormat/>
    <w:uiPriority w:val="99"/>
    <w:rPr>
      <w:kern w:val="2"/>
      <w:sz w:val="21"/>
      <w:szCs w:val="24"/>
    </w:rPr>
  </w:style>
  <w:style w:type="character" w:customStyle="1" w:styleId="194">
    <w:name w:val="Char Char22"/>
    <w:qFormat/>
    <w:uiPriority w:val="6"/>
    <w:rPr>
      <w:rFonts w:ascii="宋体" w:hAnsi="宋体"/>
      <w:kern w:val="1"/>
      <w:sz w:val="24"/>
      <w:szCs w:val="24"/>
    </w:rPr>
  </w:style>
  <w:style w:type="character" w:customStyle="1" w:styleId="195">
    <w:name w:val="pt141"/>
    <w:qFormat/>
    <w:uiPriority w:val="0"/>
    <w:rPr>
      <w:color w:val="330066"/>
      <w:sz w:val="22"/>
      <w:szCs w:val="22"/>
    </w:rPr>
  </w:style>
  <w:style w:type="character" w:customStyle="1" w:styleId="196">
    <w:name w:val="正文文本缩进 2 Char1"/>
    <w:semiHidden/>
    <w:qFormat/>
    <w:uiPriority w:val="99"/>
    <w:rPr>
      <w:rFonts w:ascii="Times New Roman" w:hAnsi="Times New Roman" w:eastAsia="宋体" w:cs="Times New Roman"/>
      <w:szCs w:val="24"/>
    </w:rPr>
  </w:style>
  <w:style w:type="character" w:customStyle="1" w:styleId="197">
    <w:name w:val="批注框文本 字符1"/>
    <w:link w:val="39"/>
    <w:qFormat/>
    <w:uiPriority w:val="0"/>
    <w:rPr>
      <w:kern w:val="2"/>
      <w:sz w:val="18"/>
      <w:szCs w:val="18"/>
    </w:rPr>
  </w:style>
  <w:style w:type="character" w:customStyle="1" w:styleId="198">
    <w:name w:val="Char Char611"/>
    <w:qFormat/>
    <w:uiPriority w:val="0"/>
    <w:rPr>
      <w:rFonts w:eastAsia="宋体"/>
      <w:kern w:val="2"/>
      <w:sz w:val="21"/>
      <w:szCs w:val="24"/>
      <w:lang w:val="en-US" w:eastAsia="zh-CN" w:bidi="ar-SA"/>
    </w:rPr>
  </w:style>
  <w:style w:type="character" w:customStyle="1" w:styleId="199">
    <w:name w:val="highlight1"/>
    <w:qFormat/>
    <w:uiPriority w:val="0"/>
    <w:rPr>
      <w:rFonts w:ascii="仿宋_GB2312" w:eastAsia="微软雅黑"/>
      <w:b/>
      <w:kern w:val="2"/>
      <w:sz w:val="23"/>
      <w:szCs w:val="23"/>
      <w:lang w:val="en-US" w:eastAsia="zh-CN" w:bidi="ar-SA"/>
    </w:rPr>
  </w:style>
  <w:style w:type="character" w:customStyle="1" w:styleId="200">
    <w:name w:val="my正文 Char"/>
    <w:link w:val="201"/>
    <w:qFormat/>
    <w:locked/>
    <w:uiPriority w:val="0"/>
    <w:rPr>
      <w:rFonts w:ascii="Tahoma" w:hAnsi="Tahoma"/>
      <w:sz w:val="24"/>
      <w:szCs w:val="24"/>
    </w:rPr>
  </w:style>
  <w:style w:type="paragraph" w:customStyle="1" w:styleId="201">
    <w:name w:val="my正文"/>
    <w:basedOn w:val="1"/>
    <w:link w:val="200"/>
    <w:qFormat/>
    <w:uiPriority w:val="0"/>
    <w:pPr>
      <w:adjustRightInd/>
      <w:spacing w:line="360" w:lineRule="auto"/>
      <w:ind w:firstLine="480" w:firstLineChars="200"/>
    </w:pPr>
    <w:rPr>
      <w:rFonts w:ascii="Tahoma" w:hAnsi="Tahoma"/>
      <w:kern w:val="0"/>
      <w:sz w:val="24"/>
    </w:rPr>
  </w:style>
  <w:style w:type="character" w:customStyle="1" w:styleId="202">
    <w:name w:val="正文缩进 字符2"/>
    <w:link w:val="17"/>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qFormat/>
    <w:uiPriority w:val="0"/>
    <w:rPr>
      <w:color w:val="0000FF"/>
      <w:sz w:val="21"/>
    </w:rPr>
  </w:style>
  <w:style w:type="character" w:customStyle="1" w:styleId="204">
    <w:name w:val="页眉 Char"/>
    <w:qFormat/>
    <w:uiPriority w:val="0"/>
    <w:rPr>
      <w:rFonts w:eastAsia="仿宋_GB2312"/>
      <w:kern w:val="2"/>
      <w:sz w:val="18"/>
      <w:lang w:val="en-US" w:eastAsia="zh-CN"/>
    </w:rPr>
  </w:style>
  <w:style w:type="character" w:customStyle="1" w:styleId="205">
    <w:name w:val="FA正文 Char Char"/>
    <w:qFormat/>
    <w:uiPriority w:val="0"/>
    <w:rPr>
      <w:rFonts w:hAnsi="宋体"/>
      <w:kern w:val="2"/>
      <w:sz w:val="24"/>
      <w:lang w:bidi="ar-SA"/>
    </w:rPr>
  </w:style>
  <w:style w:type="character" w:customStyle="1" w:styleId="206">
    <w:name w:val="纯文本 字符"/>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qFormat/>
    <w:uiPriority w:val="0"/>
    <w:rPr>
      <w:rFonts w:ascii="宋体" w:hAnsi="宋体"/>
      <w:b/>
      <w:bCs/>
      <w:snapToGrid/>
      <w:sz w:val="28"/>
    </w:rPr>
  </w:style>
  <w:style w:type="paragraph" w:customStyle="1" w:styleId="208">
    <w:name w:val="3级"/>
    <w:basedOn w:val="209"/>
    <w:link w:val="207"/>
    <w:qFormat/>
    <w:uiPriority w:val="0"/>
    <w:pPr>
      <w:ind w:left="0" w:right="466" w:firstLine="288"/>
    </w:pPr>
    <w:rPr>
      <w:rFonts w:hAnsi="宋体"/>
      <w:snapToGrid/>
    </w:rPr>
  </w:style>
  <w:style w:type="paragraph" w:customStyle="1" w:styleId="20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0">
    <w:name w:val="myp11"/>
    <w:qFormat/>
    <w:uiPriority w:val="0"/>
    <w:rPr>
      <w:rFonts w:ascii="仿宋_GB2312" w:eastAsia="微软雅黑"/>
      <w:b/>
      <w:kern w:val="2"/>
      <w:sz w:val="32"/>
      <w:szCs w:val="32"/>
      <w:lang w:val="en-US" w:eastAsia="zh-CN" w:bidi="ar-SA"/>
    </w:rPr>
  </w:style>
  <w:style w:type="character" w:customStyle="1" w:styleId="211">
    <w:name w:val="文档结构图 字符"/>
    <w:link w:val="20"/>
    <w:qFormat/>
    <w:uiPriority w:val="0"/>
    <w:rPr>
      <w:kern w:val="2"/>
      <w:sz w:val="21"/>
      <w:szCs w:val="24"/>
      <w:shd w:val="clear" w:color="auto" w:fill="000080"/>
    </w:rPr>
  </w:style>
  <w:style w:type="character" w:customStyle="1" w:styleId="212">
    <w:name w:val="H6 Char"/>
    <w:qFormat/>
    <w:uiPriority w:val="0"/>
    <w:rPr>
      <w:rFonts w:ascii="Arial" w:hAnsi="Arial" w:eastAsia="黑体"/>
      <w:b/>
      <w:bCs/>
      <w:kern w:val="2"/>
      <w:sz w:val="24"/>
      <w:szCs w:val="24"/>
    </w:rPr>
  </w:style>
  <w:style w:type="character" w:customStyle="1" w:styleId="213">
    <w:name w:val="Char Char91"/>
    <w:qFormat/>
    <w:uiPriority w:val="0"/>
    <w:rPr>
      <w:rFonts w:eastAsia="宋体"/>
      <w:kern w:val="2"/>
      <w:sz w:val="18"/>
      <w:szCs w:val="18"/>
      <w:lang w:val="en-US" w:eastAsia="zh-CN" w:bidi="ar-SA"/>
    </w:rPr>
  </w:style>
  <w:style w:type="character" w:customStyle="1" w:styleId="214">
    <w:name w:val="副标题 Char1"/>
    <w:qFormat/>
    <w:uiPriority w:val="0"/>
    <w:rPr>
      <w:rFonts w:ascii="Cambria" w:hAnsi="Cambria" w:eastAsia="宋体" w:cs="Times New Roman"/>
      <w:b/>
      <w:bCs/>
      <w:snapToGrid w:val="0"/>
      <w:kern w:val="28"/>
      <w:sz w:val="32"/>
      <w:szCs w:val="32"/>
    </w:rPr>
  </w:style>
  <w:style w:type="character" w:customStyle="1" w:styleId="215">
    <w:name w:val="font61"/>
    <w:qFormat/>
    <w:uiPriority w:val="0"/>
    <w:rPr>
      <w:rFonts w:hint="eastAsia" w:ascii="仿宋" w:hAnsi="仿宋" w:eastAsia="仿宋" w:cs="仿宋"/>
      <w:color w:val="000000"/>
      <w:sz w:val="20"/>
      <w:szCs w:val="20"/>
      <w:u w:val="none"/>
    </w:rPr>
  </w:style>
  <w:style w:type="character" w:customStyle="1" w:styleId="2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qFormat/>
    <w:uiPriority w:val="0"/>
    <w:rPr>
      <w:rFonts w:eastAsia="宋体"/>
      <w:b/>
      <w:bCs/>
      <w:kern w:val="2"/>
      <w:sz w:val="21"/>
      <w:szCs w:val="24"/>
      <w:lang w:val="en-US" w:eastAsia="zh-CN" w:bidi="ar-SA"/>
    </w:rPr>
  </w:style>
  <w:style w:type="character" w:customStyle="1" w:styleId="218">
    <w:name w:val="标题 2 Char"/>
    <w:qFormat/>
    <w:uiPriority w:val="0"/>
    <w:rPr>
      <w:rFonts w:ascii="Arial" w:hAnsi="Arial" w:eastAsia="黑体"/>
      <w:b/>
      <w:kern w:val="2"/>
      <w:sz w:val="32"/>
      <w:lang w:val="en-US" w:eastAsia="zh-CN"/>
    </w:rPr>
  </w:style>
  <w:style w:type="character" w:customStyle="1" w:styleId="219">
    <w:name w:val="maywed421"/>
    <w:qFormat/>
    <w:uiPriority w:val="0"/>
    <w:rPr>
      <w:color w:val="366FB6"/>
      <w:u w:val="none"/>
    </w:rPr>
  </w:style>
  <w:style w:type="character" w:customStyle="1" w:styleId="220">
    <w:name w:val="正文文本缩进 Char"/>
    <w:qFormat/>
    <w:uiPriority w:val="0"/>
    <w:rPr>
      <w:rFonts w:ascii="宋体" w:hAnsi="宋体"/>
      <w:kern w:val="2"/>
      <w:sz w:val="24"/>
      <w:szCs w:val="24"/>
    </w:rPr>
  </w:style>
  <w:style w:type="character" w:customStyle="1" w:styleId="221">
    <w:name w:val="Char Char102"/>
    <w:semiHidden/>
    <w:qFormat/>
    <w:uiPriority w:val="0"/>
    <w:rPr>
      <w:rFonts w:ascii="宋体" w:hAnsi="宋体"/>
      <w:kern w:val="2"/>
      <w:sz w:val="21"/>
      <w:szCs w:val="24"/>
      <w:lang w:val="en-US" w:eastAsia="zh-CN"/>
    </w:rPr>
  </w:style>
  <w:style w:type="character" w:customStyle="1" w:styleId="222">
    <w:name w:val="页眉 Char1"/>
    <w:qFormat/>
    <w:uiPriority w:val="0"/>
    <w:rPr>
      <w:rFonts w:eastAsia="宋体"/>
      <w:kern w:val="2"/>
      <w:sz w:val="18"/>
      <w:szCs w:val="18"/>
      <w:lang w:val="en-US" w:eastAsia="zh-CN" w:bidi="ar-SA"/>
    </w:rPr>
  </w:style>
  <w:style w:type="character" w:customStyle="1" w:styleId="223">
    <w:name w:val="md"/>
    <w:basedOn w:val="71"/>
    <w:qFormat/>
    <w:uiPriority w:val="0"/>
    <w:rPr>
      <w:rFonts w:ascii="Arial" w:hAnsi="Arial" w:eastAsia="黑体" w:cs="Arial"/>
      <w:snapToGrid w:val="0"/>
      <w:kern w:val="0"/>
      <w:szCs w:val="21"/>
    </w:rPr>
  </w:style>
  <w:style w:type="character" w:customStyle="1" w:styleId="224">
    <w:name w:val="big1"/>
    <w:qFormat/>
    <w:uiPriority w:val="0"/>
    <w:rPr>
      <w:rFonts w:hint="eastAsia" w:ascii="宋体" w:hAnsi="宋体" w:eastAsia="宋体"/>
      <w:color w:val="333333"/>
      <w:sz w:val="22"/>
      <w:szCs w:val="22"/>
    </w:rPr>
  </w:style>
  <w:style w:type="character" w:customStyle="1" w:styleId="225">
    <w:name w:val="Char Char311"/>
    <w:qFormat/>
    <w:uiPriority w:val="0"/>
    <w:rPr>
      <w:rFonts w:eastAsia="宋体"/>
      <w:kern w:val="2"/>
      <w:sz w:val="21"/>
      <w:szCs w:val="24"/>
      <w:lang w:val="en-US" w:eastAsia="zh-CN" w:bidi="ar-SA"/>
    </w:rPr>
  </w:style>
  <w:style w:type="character" w:customStyle="1" w:styleId="226">
    <w:name w:val="Char Char81"/>
    <w:qFormat/>
    <w:uiPriority w:val="6"/>
    <w:rPr>
      <w:rFonts w:eastAsia="宋体"/>
      <w:b/>
      <w:sz w:val="24"/>
      <w:lang w:val="en-GB" w:eastAsia="zh-CN"/>
    </w:rPr>
  </w:style>
  <w:style w:type="character" w:customStyle="1" w:styleId="227">
    <w:name w:val="样式3 Char"/>
    <w:basedOn w:val="178"/>
    <w:qFormat/>
    <w:uiPriority w:val="0"/>
    <w:rPr>
      <w:rFonts w:ascii="仿宋_GB2312" w:hAnsi="仿宋" w:eastAsia="仿宋_GB2312" w:cs="仿宋_GB2312"/>
      <w:sz w:val="32"/>
      <w:szCs w:val="30"/>
      <w:lang w:val="zh-CN"/>
    </w:rPr>
  </w:style>
  <w:style w:type="character" w:customStyle="1" w:styleId="228">
    <w:name w:val="HTML 地址 字符"/>
    <w:link w:val="30"/>
    <w:qFormat/>
    <w:uiPriority w:val="0"/>
    <w:rPr>
      <w:rFonts w:ascii="宋体" w:hAnsi="宋体"/>
      <w:i/>
      <w:iCs/>
      <w:sz w:val="24"/>
      <w:szCs w:val="24"/>
    </w:rPr>
  </w:style>
  <w:style w:type="character" w:customStyle="1" w:styleId="229">
    <w:name w:val="正文首行缩进 2 Char1"/>
    <w:qFormat/>
    <w:uiPriority w:val="0"/>
    <w:rPr>
      <w:rFonts w:ascii="Times New Roman" w:hAnsi="Times New Roman" w:eastAsia="宋体" w:cs="Times New Roman"/>
      <w:kern w:val="2"/>
      <w:sz w:val="24"/>
      <w:szCs w:val="24"/>
    </w:rPr>
  </w:style>
  <w:style w:type="character" w:customStyle="1" w:styleId="230">
    <w:name w:val="副标题 Char2"/>
    <w:qFormat/>
    <w:uiPriority w:val="0"/>
    <w:rPr>
      <w:rFonts w:ascii="Cambria" w:hAnsi="Cambria" w:eastAsia="宋体" w:cs="Times New Roman"/>
      <w:b/>
      <w:bCs/>
      <w:snapToGrid w:val="0"/>
      <w:kern w:val="28"/>
      <w:sz w:val="32"/>
      <w:szCs w:val="32"/>
    </w:rPr>
  </w:style>
  <w:style w:type="character" w:customStyle="1" w:styleId="231">
    <w:name w:val="标题4-dyf Char"/>
    <w:link w:val="232"/>
    <w:qFormat/>
    <w:uiPriority w:val="0"/>
    <w:rPr>
      <w:rFonts w:ascii="Cambria" w:hAnsi="Cambria"/>
      <w:b/>
      <w:bCs/>
      <w:color w:val="000000"/>
      <w:kern w:val="2"/>
      <w:sz w:val="21"/>
      <w:szCs w:val="21"/>
    </w:rPr>
  </w:style>
  <w:style w:type="paragraph" w:customStyle="1" w:styleId="232">
    <w:name w:val="标题4-dyf"/>
    <w:basedOn w:val="6"/>
    <w:link w:val="23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qFormat/>
    <w:uiPriority w:val="0"/>
    <w:rPr>
      <w:rFonts w:ascii="宋体" w:hAnsi="宋体" w:eastAsia="宋体"/>
      <w:color w:val="333333"/>
      <w:sz w:val="21"/>
      <w:szCs w:val="21"/>
      <w:u w:val="none"/>
    </w:rPr>
  </w:style>
  <w:style w:type="character" w:customStyle="1" w:styleId="234">
    <w:name w:val="冯 Char"/>
    <w:link w:val="235"/>
    <w:qFormat/>
    <w:uiPriority w:val="0"/>
    <w:rPr>
      <w:rFonts w:ascii="宋体" w:hAnsi="宋体"/>
      <w:color w:val="000000"/>
      <w:sz w:val="24"/>
      <w:szCs w:val="24"/>
    </w:rPr>
  </w:style>
  <w:style w:type="paragraph" w:customStyle="1" w:styleId="235">
    <w:name w:val="冯"/>
    <w:basedOn w:val="1"/>
    <w:link w:val="234"/>
    <w:qFormat/>
    <w:uiPriority w:val="0"/>
    <w:pPr>
      <w:widowControl/>
      <w:adjustRightInd/>
      <w:spacing w:line="360" w:lineRule="auto"/>
      <w:ind w:firstLine="480" w:firstLineChars="200"/>
    </w:pPr>
    <w:rPr>
      <w:rFonts w:ascii="宋体" w:hAnsi="宋体"/>
      <w:color w:val="000000"/>
      <w:kern w:val="0"/>
      <w:sz w:val="24"/>
    </w:rPr>
  </w:style>
  <w:style w:type="character" w:customStyle="1" w:styleId="236">
    <w:name w:val="Header Char"/>
    <w:qFormat/>
    <w:locked/>
    <w:uiPriority w:val="0"/>
    <w:rPr>
      <w:rFonts w:eastAsia="宋体"/>
      <w:kern w:val="2"/>
      <w:sz w:val="18"/>
      <w:szCs w:val="18"/>
      <w:lang w:val="en-US" w:eastAsia="zh-CN" w:bidi="ar-SA"/>
    </w:rPr>
  </w:style>
  <w:style w:type="character" w:customStyle="1" w:styleId="237">
    <w:name w:val="Char Char12"/>
    <w:qFormat/>
    <w:uiPriority w:val="0"/>
    <w:rPr>
      <w:rFonts w:ascii="仿宋_GB2312" w:eastAsia="仿宋_GB2312"/>
      <w:b/>
      <w:bCs/>
      <w:kern w:val="2"/>
      <w:sz w:val="24"/>
      <w:szCs w:val="24"/>
      <w:lang w:val="zh-CN" w:eastAsia="zh-CN" w:bidi="ar-SA"/>
    </w:rPr>
  </w:style>
  <w:style w:type="character" w:customStyle="1" w:styleId="238">
    <w:name w:val="题注 字符"/>
    <w:link w:val="18"/>
    <w:qFormat/>
    <w:uiPriority w:val="0"/>
    <w:rPr>
      <w:b/>
      <w:kern w:val="2"/>
      <w:sz w:val="28"/>
    </w:rPr>
  </w:style>
  <w:style w:type="character" w:customStyle="1" w:styleId="239">
    <w:name w:val="普通文字 Char3"/>
    <w:qFormat/>
    <w:uiPriority w:val="0"/>
    <w:rPr>
      <w:rFonts w:ascii="宋体" w:hAnsi="Courier New" w:eastAsia="宋体"/>
      <w:kern w:val="2"/>
      <w:sz w:val="21"/>
      <w:lang w:val="en-US" w:eastAsia="zh-CN" w:bidi="ar-SA"/>
    </w:rPr>
  </w:style>
  <w:style w:type="character" w:customStyle="1" w:styleId="240">
    <w:name w:val="公文正文 Char"/>
    <w:qFormat/>
    <w:uiPriority w:val="0"/>
    <w:rPr>
      <w:rFonts w:ascii="仿宋_GB2312" w:eastAsia="仿宋_GB2312"/>
      <w:kern w:val="2"/>
      <w:sz w:val="24"/>
      <w:szCs w:val="24"/>
      <w:lang w:val="en-US" w:eastAsia="zh-CN" w:bidi="ar-SA"/>
    </w:rPr>
  </w:style>
  <w:style w:type="character" w:customStyle="1" w:styleId="241">
    <w:name w:val="正文首行缩进 Char Char Char Char Char"/>
    <w:qFormat/>
    <w:uiPriority w:val="0"/>
    <w:rPr>
      <w:rFonts w:ascii="宋体"/>
      <w:kern w:val="2"/>
      <w:sz w:val="24"/>
      <w:lang w:val="zh-CN"/>
    </w:rPr>
  </w:style>
  <w:style w:type="character" w:customStyle="1" w:styleId="242">
    <w:name w:val="PI Char"/>
    <w:qFormat/>
    <w:uiPriority w:val="0"/>
    <w:rPr>
      <w:rFonts w:ascii="宋体" w:hAnsi="宋体" w:eastAsia="宋体"/>
      <w:kern w:val="2"/>
      <w:sz w:val="24"/>
      <w:szCs w:val="24"/>
      <w:lang w:val="en-US" w:eastAsia="zh-CN" w:bidi="ar-SA"/>
    </w:rPr>
  </w:style>
  <w:style w:type="character" w:customStyle="1" w:styleId="243">
    <w:name w:val="Default Char"/>
    <w:link w:val="86"/>
    <w:qFormat/>
    <w:uiPriority w:val="0"/>
    <w:rPr>
      <w:rFonts w:ascii="仿宋_GB2312" w:eastAsia="仿宋_GB2312" w:cs="仿宋_GB2312"/>
      <w:color w:val="000000"/>
      <w:sz w:val="24"/>
      <w:szCs w:val="24"/>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90"/>
    <w:link w:val="264"/>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字符1"/>
    <w:link w:val="2"/>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字符1"/>
    <w:link w:val="3"/>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字符"/>
    <w:link w:val="60"/>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字符"/>
    <w:link w:val="7"/>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字符"/>
    <w:link w:val="22"/>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字符"/>
    <w:link w:val="58"/>
    <w:qFormat/>
    <w:uiPriority w:val="0"/>
    <w:rPr>
      <w:rFonts w:ascii="黑体" w:hAnsi="Courier New" w:eastAsia="黑体"/>
    </w:rPr>
  </w:style>
  <w:style w:type="character" w:customStyle="1" w:styleId="309">
    <w:name w:val="正文文本 2 字符1"/>
    <w:link w:val="57"/>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6"/>
    <w:link w:val="4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字符"/>
    <w:link w:val="9"/>
    <w:qFormat/>
    <w:uiPriority w:val="0"/>
    <w:rPr>
      <w:b/>
      <w:bCs/>
      <w:kern w:val="2"/>
      <w:sz w:val="24"/>
      <w:szCs w:val="24"/>
    </w:rPr>
  </w:style>
  <w:style w:type="character" w:customStyle="1" w:styleId="315">
    <w:name w:val="正文文本缩进 2 字符"/>
    <w:link w:val="37"/>
    <w:qFormat/>
    <w:uiPriority w:val="0"/>
    <w:rPr>
      <w:rFonts w:ascii="宋体" w:hAnsi="Times New Roman" w:eastAsia="宋体" w:cs="Times New Roman"/>
      <w:kern w:val="0"/>
      <w:sz w:val="28"/>
      <w:szCs w:val="20"/>
      <w:lang w:val="en-US" w:eastAsia="zh-CN" w:bidi="ar-SA"/>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字符"/>
    <w:link w:val="51"/>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文本首行缩进 字符"/>
    <w:link w:val="62"/>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字符1"/>
    <w:link w:val="6"/>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字符"/>
    <w:link w:val="23"/>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字符1"/>
    <w:link w:val="21"/>
    <w:qFormat/>
    <w:uiPriority w:val="0"/>
    <w:rPr>
      <w:kern w:val="2"/>
      <w:sz w:val="21"/>
      <w:szCs w:val="24"/>
    </w:rPr>
  </w:style>
  <w:style w:type="character" w:customStyle="1" w:styleId="352">
    <w:name w:val="签名 字符"/>
    <w:link w:val="43"/>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10"/>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字符"/>
    <w:link w:val="54"/>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字符2"/>
    <w:link w:val="40"/>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字符2"/>
    <w:link w:val="42"/>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156"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1"/>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17"/>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8">
    <w:name w:val="gray6"/>
    <w:basedOn w:val="71"/>
    <w:qFormat/>
    <w:uiPriority w:val="0"/>
    <w:rPr>
      <w:rFonts w:ascii="Arial" w:hAnsi="Arial" w:eastAsia="黑体" w:cs="Arial"/>
      <w:snapToGrid w:val="0"/>
      <w:kern w:val="0"/>
      <w:szCs w:val="21"/>
    </w:rPr>
  </w:style>
  <w:style w:type="character" w:customStyle="1" w:styleId="439">
    <w:name w:val="hui"/>
    <w:basedOn w:val="71"/>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6"/>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312"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spacing w:before="0" w:after="0"/>
      <w:outlineLvl w:val="5"/>
    </w:pPr>
  </w:style>
  <w:style w:type="paragraph" w:customStyle="1" w:styleId="481">
    <w:name w:val="5级标题"/>
    <w:basedOn w:val="48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2">
    <w:name w:val="4级标题"/>
    <w:basedOn w:val="9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9"/>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4"/>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5"/>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7"/>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5"/>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6"/>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6"/>
    <w:next w:val="86"/>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6"/>
    <w:next w:val="86"/>
    <w:qFormat/>
    <w:uiPriority w:val="0"/>
    <w:rPr>
      <w:rFonts w:ascii="宋体" w:eastAsia="宋体" w:cs="Times New Roman"/>
      <w:color w:val="auto"/>
    </w:rPr>
  </w:style>
  <w:style w:type="paragraph" w:customStyle="1" w:styleId="55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156"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7"/>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4"/>
    <w:next w:val="1"/>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3"/>
    <w:qFormat/>
    <w:uiPriority w:val="0"/>
    <w:pPr>
      <w:tabs>
        <w:tab w:val="left" w:pos="840"/>
      </w:tabs>
      <w:adjustRightInd/>
      <w:ind w:left="840" w:hanging="420"/>
    </w:pPr>
  </w:style>
  <w:style w:type="paragraph" w:customStyle="1" w:styleId="63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156"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0" w:beforeLines="0" w:after="0" w:afterLines="0"/>
      <w:ind w:left="1680"/>
      <w:outlineLvl w:val="2"/>
    </w:pPr>
  </w:style>
  <w:style w:type="paragraph" w:customStyle="1" w:styleId="665">
    <w:name w:val="章标题"/>
    <w:next w:val="64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6"/>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7"/>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5"/>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20"/>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90"/>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5"/>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7"/>
    <w:next w:val="1"/>
    <w:qFormat/>
    <w:uiPriority w:val="0"/>
    <w:pPr>
      <w:tabs>
        <w:tab w:val="left" w:pos="1080"/>
      </w:tabs>
      <w:ind w:left="1080" w:hanging="1080"/>
    </w:pPr>
  </w:style>
  <w:style w:type="paragraph" w:customStyle="1" w:styleId="903">
    <w:name w:val="数字标题1"/>
    <w:basedOn w:val="3"/>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50"/>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字符"/>
    <w:link w:val="38"/>
    <w:qFormat/>
    <w:uiPriority w:val="0"/>
    <w:rPr>
      <w:kern w:val="2"/>
      <w:sz w:val="21"/>
      <w:szCs w:val="24"/>
      <w:lang w:val="zh-CN"/>
    </w:rPr>
  </w:style>
  <w:style w:type="character" w:customStyle="1" w:styleId="939">
    <w:name w:val="无间隔 字符"/>
    <w:link w:val="490"/>
    <w:qFormat/>
    <w:uiPriority w:val="99"/>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90"/>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4"/>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Body text|1"/>
    <w:basedOn w:val="1"/>
    <w:qFormat/>
    <w:uiPriority w:val="0"/>
    <w:pPr>
      <w:spacing w:line="391" w:lineRule="auto"/>
      <w:ind w:firstLine="400"/>
    </w:pPr>
    <w:rPr>
      <w:rFonts w:ascii="宋体" w:hAnsi="宋体" w:cs="宋体"/>
      <w:lang w:val="zh-TW" w:eastAsia="zh-TW" w:bidi="zh-TW"/>
    </w:rPr>
  </w:style>
  <w:style w:type="character" w:customStyle="1" w:styleId="971">
    <w:name w:val="font101"/>
    <w:basedOn w:val="71"/>
    <w:qFormat/>
    <w:uiPriority w:val="0"/>
    <w:rPr>
      <w:rFonts w:hint="eastAsia" w:ascii="宋体" w:hAnsi="宋体" w:eastAsia="宋体" w:cs="宋体"/>
      <w:color w:val="FF0000"/>
      <w:sz w:val="20"/>
      <w:szCs w:val="20"/>
      <w:u w:val="none"/>
    </w:rPr>
  </w:style>
  <w:style w:type="paragraph" w:customStyle="1" w:styleId="972">
    <w:name w:val="封面编号"/>
    <w:basedOn w:val="1"/>
    <w:qFormat/>
    <w:uiPriority w:val="0"/>
    <w:pPr>
      <w:spacing w:line="360" w:lineRule="auto"/>
      <w:jc w:val="center"/>
    </w:pPr>
    <w:rPr>
      <w:rFonts w:ascii="黑体" w:hAnsi="宋体" w:eastAsia="黑体" w:cs="宋体"/>
      <w:b/>
      <w:bCs/>
      <w:sz w:val="38"/>
      <w:szCs w:val="20"/>
    </w:rPr>
  </w:style>
  <w:style w:type="table" w:customStyle="1" w:styleId="973">
    <w:name w:val="Table Normal"/>
    <w:semiHidden/>
    <w:unhideWhenUsed/>
    <w:qFormat/>
    <w:uiPriority w:val="0"/>
    <w:tblPr>
      <w:tblCellMar>
        <w:top w:w="0" w:type="dxa"/>
        <w:left w:w="0" w:type="dxa"/>
        <w:bottom w:w="0" w:type="dxa"/>
        <w:right w:w="0" w:type="dxa"/>
      </w:tblCellMar>
    </w:tblPr>
  </w:style>
  <w:style w:type="character" w:customStyle="1" w:styleId="97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44</Pages>
  <Words>18743</Words>
  <Characters>19824</Characters>
  <Lines>191</Lines>
  <Paragraphs>53</Paragraphs>
  <TotalTime>4</TotalTime>
  <ScaleCrop>false</ScaleCrop>
  <LinksUpToDate>false</LinksUpToDate>
  <CharactersWithSpaces>22825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DELL</cp:lastModifiedBy>
  <cp:lastPrinted>2021-12-27T03:06:00Z</cp:lastPrinted>
  <dcterms:modified xsi:type="dcterms:W3CDTF">2024-05-14T08:45:52Z</dcterms:modified>
  <dc:title>杭州市市民卡扩大发卡工程</dc:title>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53E76045FAEA480990621F351BBF5DC2_13</vt:lpwstr>
  </property>
  <property fmtid="{D5CDD505-2E9C-101B-9397-08002B2CF9AE}" pid="5" name="commondata">
    <vt:lpwstr>eyJoZGlkIjoiMzdkYTNjODAzOWEyZTBjZWI2OWE0Y2U2MTNhOGNiNmUifQ==</vt:lpwstr>
  </property>
</Properties>
</file>