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color w:val="auto"/>
          <w:sz w:val="48"/>
          <w:szCs w:val="48"/>
          <w:highlight w:val="none"/>
          <w:lang w:eastAsia="zh-CN"/>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lang w:eastAsia="zh-CN"/>
        </w:rPr>
        <w:t>2023-2024年度盈丰街道楼宇泛光照明养护项目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 xml:space="preserve">招标文件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YF-2023-JDGK-ZCY7</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杭州市萧山区人民政府盈丰街道办事处</w:t>
      </w:r>
    </w:p>
    <w:p>
      <w:pPr>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杭州博望建设工程招标投标代理有限公司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2023</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06</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15</w:t>
      </w:r>
      <w:r>
        <w:rPr>
          <w:rFonts w:hint="eastAsia" w:ascii="仿宋" w:hAnsi="仿宋" w:eastAsia="仿宋" w:cs="仿宋"/>
          <w:bCs/>
          <w:color w:val="auto"/>
          <w:sz w:val="32"/>
          <w:szCs w:val="32"/>
          <w:highlight w:val="none"/>
        </w:rPr>
        <w:t>日</w:t>
      </w:r>
    </w:p>
    <w:p>
      <w:pPr>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rPr>
        <w:t>本招标文件为202</w:t>
      </w:r>
      <w:r>
        <w:rPr>
          <w:rFonts w:hint="eastAsia" w:ascii="仿宋" w:hAnsi="仿宋" w:eastAsia="仿宋" w:cs="仿宋"/>
          <w:color w:val="auto"/>
          <w:highlight w:val="none"/>
          <w:lang w:val="en-US" w:eastAsia="zh-CN"/>
        </w:rPr>
        <w:t>3年5月1日稿</w:t>
      </w:r>
      <w:r>
        <w:rPr>
          <w:rFonts w:hint="eastAsia" w:ascii="仿宋" w:hAnsi="仿宋" w:eastAsia="仿宋" w:cs="仿宋"/>
          <w:color w:val="auto"/>
          <w:highlight w:val="none"/>
        </w:rPr>
        <w:t>，请各位投标人详细阅读各项条款</w:t>
      </w:r>
      <w:r>
        <w:rPr>
          <w:rFonts w:hint="eastAsia" w:ascii="仿宋" w:hAnsi="仿宋" w:eastAsia="仿宋" w:cs="仿宋"/>
          <w:color w:val="auto"/>
          <w:highlight w:val="none"/>
          <w:lang w:eastAsia="zh-CN"/>
        </w:rPr>
        <w:t>。</w:t>
      </w:r>
    </w:p>
    <w:p>
      <w:pPr>
        <w:pStyle w:val="4"/>
        <w:rPr>
          <w:rFonts w:hint="eastAsia" w:ascii="仿宋" w:hAnsi="仿宋" w:eastAsia="仿宋" w:cs="仿宋"/>
          <w:color w:val="auto"/>
          <w:highlight w:val="none"/>
        </w:rPr>
      </w:pP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pStyle w:val="634"/>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2023-2024年度盈丰街道楼宇泛光照明养护项目</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https://www.zcygov.cn/）获取（下载）招标文件，并于202</w:t>
      </w:r>
      <w:r>
        <w:rPr>
          <w:rStyle w:val="76"/>
          <w:rFonts w:hint="eastAsia" w:ascii="仿宋" w:hAnsi="仿宋" w:eastAsia="仿宋" w:cs="仿宋"/>
          <w:snapToGrid/>
          <w:color w:val="auto"/>
          <w:kern w:val="2"/>
          <w:sz w:val="24"/>
          <w:szCs w:val="24"/>
          <w:highlight w:val="none"/>
          <w:lang w:val="en-US" w:eastAsia="zh-CN"/>
        </w:rPr>
        <w:t>3</w:t>
      </w:r>
      <w:r>
        <w:rPr>
          <w:rStyle w:val="76"/>
          <w:rFonts w:hint="eastAsia" w:ascii="仿宋" w:hAnsi="仿宋" w:eastAsia="仿宋" w:cs="仿宋"/>
          <w:snapToGrid/>
          <w:color w:val="auto"/>
          <w:kern w:val="2"/>
          <w:sz w:val="24"/>
          <w:szCs w:val="24"/>
          <w:highlight w:val="none"/>
        </w:rPr>
        <w:t>年</w:t>
      </w:r>
      <w:r>
        <w:rPr>
          <w:rStyle w:val="76"/>
          <w:rFonts w:hint="eastAsia" w:ascii="仿宋" w:hAnsi="仿宋" w:eastAsia="仿宋" w:cs="仿宋"/>
          <w:snapToGrid/>
          <w:color w:val="auto"/>
          <w:kern w:val="2"/>
          <w:sz w:val="24"/>
          <w:szCs w:val="24"/>
          <w:highlight w:val="none"/>
          <w:lang w:val="en-US" w:eastAsia="zh-CN"/>
        </w:rPr>
        <w:t>07</w:t>
      </w:r>
      <w:r>
        <w:rPr>
          <w:rStyle w:val="76"/>
          <w:rFonts w:hint="eastAsia" w:ascii="仿宋" w:hAnsi="仿宋" w:eastAsia="仿宋" w:cs="仿宋"/>
          <w:snapToGrid/>
          <w:color w:val="auto"/>
          <w:kern w:val="2"/>
          <w:sz w:val="24"/>
          <w:szCs w:val="24"/>
          <w:highlight w:val="none"/>
        </w:rPr>
        <w:t>月</w:t>
      </w:r>
      <w:r>
        <w:rPr>
          <w:rStyle w:val="76"/>
          <w:rFonts w:hint="eastAsia" w:ascii="仿宋" w:hAnsi="仿宋" w:eastAsia="仿宋" w:cs="仿宋"/>
          <w:snapToGrid/>
          <w:color w:val="auto"/>
          <w:kern w:val="2"/>
          <w:sz w:val="24"/>
          <w:szCs w:val="24"/>
          <w:highlight w:val="none"/>
          <w:lang w:val="en-US" w:eastAsia="zh-CN"/>
        </w:rPr>
        <w:t>05</w:t>
      </w:r>
      <w:r>
        <w:rPr>
          <w:rStyle w:val="76"/>
          <w:rFonts w:hint="eastAsia" w:ascii="仿宋" w:hAnsi="仿宋" w:eastAsia="仿宋" w:cs="仿宋"/>
          <w:snapToGrid/>
          <w:color w:val="auto"/>
          <w:kern w:val="2"/>
          <w:sz w:val="24"/>
          <w:szCs w:val="24"/>
          <w:highlight w:val="none"/>
        </w:rPr>
        <w:t>日</w:t>
      </w:r>
      <w:r>
        <w:rPr>
          <w:rStyle w:val="76"/>
          <w:rFonts w:hint="eastAsia" w:ascii="仿宋" w:hAnsi="仿宋" w:eastAsia="仿宋" w:cs="仿宋"/>
          <w:snapToGrid/>
          <w:color w:val="auto"/>
          <w:kern w:val="2"/>
          <w:sz w:val="24"/>
          <w:szCs w:val="24"/>
          <w:highlight w:val="none"/>
          <w:lang w:val="en-US" w:eastAsia="zh-CN"/>
        </w:rPr>
        <w:t>09</w:t>
      </w:r>
      <w:r>
        <w:rPr>
          <w:rStyle w:val="76"/>
          <w:rFonts w:hint="eastAsia" w:ascii="仿宋" w:hAnsi="仿宋" w:eastAsia="仿宋" w:cs="仿宋"/>
          <w:snapToGrid/>
          <w:color w:val="auto"/>
          <w:kern w:val="2"/>
          <w:sz w:val="24"/>
          <w:szCs w:val="24"/>
          <w:highlight w:val="none"/>
        </w:rPr>
        <w:t>点</w:t>
      </w:r>
      <w:r>
        <w:rPr>
          <w:rStyle w:val="76"/>
          <w:rFonts w:hint="eastAsia" w:ascii="仿宋" w:hAnsi="仿宋" w:eastAsia="仿宋" w:cs="仿宋"/>
          <w:snapToGrid/>
          <w:color w:val="auto"/>
          <w:kern w:val="2"/>
          <w:sz w:val="24"/>
          <w:szCs w:val="24"/>
          <w:highlight w:val="none"/>
          <w:lang w:val="en-US" w:eastAsia="zh-CN"/>
        </w:rPr>
        <w:t>00</w:t>
      </w:r>
      <w:r>
        <w:rPr>
          <w:rStyle w:val="76"/>
          <w:rFonts w:hint="eastAsia" w:ascii="仿宋" w:hAnsi="仿宋" w:eastAsia="仿宋" w:cs="仿宋"/>
          <w:snapToGrid/>
          <w:color w:val="auto"/>
          <w:kern w:val="2"/>
          <w:sz w:val="24"/>
          <w:szCs w:val="24"/>
          <w:highlight w:val="none"/>
        </w:rPr>
        <w:t>分00秒</w:t>
      </w:r>
      <w:r>
        <w:rPr>
          <w:rStyle w:val="76"/>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rPr>
        <w:t>YF-2023-JDGK-ZCY7</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lang w:eastAsia="zh-CN"/>
        </w:rPr>
        <w:t>2023-2024年度盈丰街道楼宇泛光照明养护项目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val="0"/>
          <w:bCs/>
          <w:color w:val="auto"/>
          <w:sz w:val="24"/>
          <w:highlight w:val="none"/>
        </w:rPr>
        <w:t>14600000</w:t>
      </w:r>
      <w:r>
        <w:rPr>
          <w:rFonts w:hint="eastAsia" w:ascii="仿宋" w:hAnsi="仿宋" w:eastAsia="仿宋" w:cs="仿宋"/>
          <w:b w:val="0"/>
          <w:bCs/>
          <w:color w:val="auto"/>
          <w:sz w:val="24"/>
          <w:highlight w:val="none"/>
          <w:lang w:val="en-US" w:eastAsia="zh-CN"/>
        </w:rPr>
        <w:t>.00</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val="0"/>
          <w:bCs/>
          <w:color w:val="auto"/>
          <w:sz w:val="24"/>
          <w:highlight w:val="none"/>
        </w:rPr>
        <w:t>14600000</w:t>
      </w:r>
      <w:r>
        <w:rPr>
          <w:rFonts w:hint="eastAsia" w:ascii="仿宋" w:hAnsi="仿宋" w:eastAsia="仿宋" w:cs="仿宋"/>
          <w:b w:val="0"/>
          <w:bCs/>
          <w:color w:val="auto"/>
          <w:sz w:val="24"/>
          <w:highlight w:val="none"/>
          <w:lang w:val="en-US" w:eastAsia="zh-CN"/>
        </w:rPr>
        <w:t>.00</w:t>
      </w:r>
      <w:r>
        <w:rPr>
          <w:rFonts w:hint="eastAsia" w:ascii="仿宋" w:hAnsi="仿宋" w:eastAsia="仿宋" w:cs="仿宋"/>
          <w:color w:val="auto"/>
          <w:sz w:val="24"/>
          <w:highlight w:val="none"/>
        </w:rPr>
        <w:t xml:space="preserve"> </w:t>
      </w:r>
    </w:p>
    <w:p>
      <w:pPr>
        <w:pStyle w:val="15"/>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color w:val="auto"/>
          <w:sz w:val="24"/>
          <w:highlight w:val="none"/>
          <w:lang w:eastAsia="zh-CN"/>
        </w:rPr>
        <w:t>2023-2024年度盈丰街道楼宇泛光照明养护项目</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color w:val="auto"/>
          <w:sz w:val="24"/>
          <w:highlight w:val="none"/>
          <w:lang w:eastAsia="zh-CN"/>
        </w:rPr>
        <w:t>2023-2024年度盈丰街道楼宇泛光照明养护</w:t>
      </w:r>
      <w:r>
        <w:rPr>
          <w:rFonts w:hint="eastAsia" w:ascii="仿宋" w:hAnsi="仿宋" w:eastAsia="仿宋" w:cs="仿宋"/>
          <w:bCs/>
          <w:snapToGrid/>
          <w:color w:val="auto"/>
          <w:kern w:val="2"/>
          <w:sz w:val="24"/>
          <w:szCs w:val="24"/>
          <w:highlight w:val="none"/>
        </w:rPr>
        <w:t>。</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28"/>
        <w:ind w:firstLine="482"/>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 w:val="0"/>
          <w:bCs/>
          <w:color w:val="auto"/>
          <w:highlight w:val="none"/>
          <w:lang w:val="en-US" w:eastAsia="zh-CN"/>
        </w:rPr>
        <w:t>2年</w:t>
      </w:r>
      <w:r>
        <w:rPr>
          <w:rFonts w:hint="eastAsia" w:ascii="仿宋" w:hAnsi="仿宋" w:eastAsia="仿宋" w:cs="仿宋"/>
          <w:color w:val="auto"/>
          <w:highlight w:val="none"/>
        </w:rPr>
        <w:t xml:space="preserve"> </w:t>
      </w:r>
    </w:p>
    <w:p>
      <w:pPr>
        <w:pStyle w:val="15"/>
        <w:spacing w:line="360" w:lineRule="auto"/>
        <w:ind w:firstLine="480"/>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t xml:space="preserve"> </w:t>
      </w:r>
      <w:sdt>
        <w:sdtPr>
          <w:rPr>
            <w:rFonts w:hint="eastAsia" w:ascii="仿宋" w:hAnsi="仿宋" w:eastAsia="仿宋" w:cs="仿宋"/>
            <w:color w:val="auto"/>
            <w:kern w:val="0"/>
            <w:sz w:val="24"/>
            <w:highlight w:val="none"/>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2861692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02470430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3368540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w:t>
      </w:r>
    </w:p>
    <w:p>
      <w:pPr>
        <w:snapToGrid w:val="0"/>
        <w:spacing w:line="360" w:lineRule="auto"/>
        <w:ind w:firstLine="480" w:firstLineChars="200"/>
        <w:rPr>
          <w:rFonts w:hint="eastAsia" w:ascii="仿宋" w:hAnsi="仿宋" w:eastAsia="仿宋" w:cs="仿宋"/>
          <w:color w:val="auto"/>
          <w:sz w:val="24"/>
          <w:highlight w:val="none"/>
          <w:lang w:eastAsia="zh-CN"/>
        </w:rPr>
      </w:pPr>
      <w:sdt>
        <w:sdtPr>
          <w:rPr>
            <w:rFonts w:hint="eastAsia" w:ascii="仿宋" w:hAnsi="仿宋" w:eastAsia="仿宋" w:cs="仿宋"/>
            <w:color w:val="auto"/>
            <w:kern w:val="0"/>
            <w:sz w:val="24"/>
            <w:highlight w:val="none"/>
          </w:rPr>
          <w:id w:val="-150898254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无</w:t>
      </w:r>
      <w:r>
        <w:rPr>
          <w:rFonts w:hint="eastAsia" w:ascii="仿宋" w:hAnsi="仿宋" w:eastAsia="仿宋" w:cs="仿宋"/>
          <w:color w:val="auto"/>
          <w:sz w:val="24"/>
          <w:highlight w:val="none"/>
          <w:lang w:eastAsia="zh-CN"/>
        </w:rPr>
        <w:t>；</w:t>
      </w:r>
    </w:p>
    <w:p>
      <w:pPr>
        <w:snapToGrid w:val="0"/>
        <w:spacing w:line="360" w:lineRule="auto"/>
        <w:ind w:firstLine="480" w:firstLineChars="200"/>
        <w:rPr>
          <w:rFonts w:hint="eastAsia" w:ascii="仿宋" w:hAnsi="仿宋" w:eastAsia="仿宋" w:cs="仿宋"/>
          <w:color w:val="auto"/>
          <w:sz w:val="24"/>
          <w:highlight w:val="none"/>
          <w:u w:val="single"/>
        </w:rPr>
      </w:pPr>
      <w:sdt>
        <w:sdtPr>
          <w:rPr>
            <w:rFonts w:hint="eastAsia" w:ascii="仿宋" w:hAnsi="仿宋" w:eastAsia="仿宋" w:cs="仿宋"/>
            <w:color w:val="auto"/>
            <w:kern w:val="0"/>
            <w:sz w:val="24"/>
            <w:highlight w:val="none"/>
          </w:rPr>
          <w:id w:val="-160711229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有特定资格要求：</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07</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0</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07</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07</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05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
          <w:color w:val="auto"/>
          <w:sz w:val="24"/>
          <w:highlight w:val="none"/>
          <w:lang w:val="en-US" w:eastAsia="zh-CN"/>
        </w:rPr>
        <w:t>项目是否接收备份文件，以前附表说明为准。</w:t>
      </w:r>
      <w:r>
        <w:rPr>
          <w:rFonts w:hint="eastAsia" w:ascii="仿宋" w:hAnsi="仿宋" w:eastAsia="仿宋" w:cs="仿宋"/>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1.采购人信息</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lang w:eastAsia="zh-CN"/>
        </w:rPr>
      </w:pPr>
      <w:r>
        <w:rPr>
          <w:rFonts w:hint="eastAsia" w:ascii="仿宋" w:hAnsi="仿宋" w:eastAsia="仿宋" w:cs="仿宋"/>
          <w:color w:val="auto"/>
          <w:kern w:val="2"/>
          <w:sz w:val="24"/>
          <w:highlight w:val="none"/>
        </w:rPr>
        <w:t>名称：</w:t>
      </w:r>
      <w:r>
        <w:rPr>
          <w:rFonts w:hint="eastAsia" w:ascii="仿宋" w:hAnsi="仿宋" w:eastAsia="仿宋" w:cs="仿宋"/>
          <w:color w:val="auto"/>
          <w:kern w:val="2"/>
          <w:sz w:val="24"/>
          <w:highlight w:val="none"/>
          <w:lang w:eastAsia="zh-CN"/>
        </w:rPr>
        <w:t>杭州市萧山区人民政府盈丰街道办事处</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地址：杭州市萧山区市心北路857号盈丰街道办事处</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项目联系人（询问）：</w:t>
      </w:r>
      <w:r>
        <w:rPr>
          <w:rFonts w:hint="eastAsia" w:ascii="仿宋" w:hAnsi="仿宋" w:eastAsia="仿宋" w:cs="仿宋"/>
          <w:color w:val="auto"/>
          <w:kern w:val="2"/>
          <w:sz w:val="24"/>
          <w:highlight w:val="none"/>
          <w:lang w:val="en-US" w:eastAsia="zh-CN"/>
        </w:rPr>
        <w:t>黄虞庆</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项目联系方式（询问）：</w:t>
      </w:r>
      <w:r>
        <w:rPr>
          <w:rFonts w:hint="eastAsia" w:ascii="仿宋" w:hAnsi="仿宋" w:eastAsia="仿宋" w:cs="仿宋"/>
          <w:color w:val="auto"/>
          <w:kern w:val="2"/>
          <w:sz w:val="24"/>
          <w:highlight w:val="none"/>
          <w:lang w:val="en-US" w:eastAsia="zh-CN"/>
        </w:rPr>
        <w:t>0571-82600922</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质疑联系人：汪阳一帆</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质疑联系方式：</w:t>
      </w:r>
      <w:bookmarkStart w:id="11" w:name="_Toc28359086"/>
      <w:bookmarkStart w:id="12" w:name="_Toc28359009"/>
      <w:r>
        <w:rPr>
          <w:rFonts w:hint="eastAsia" w:ascii="仿宋" w:hAnsi="仿宋" w:eastAsia="仿宋" w:cs="仿宋"/>
          <w:color w:val="auto"/>
          <w:kern w:val="2"/>
          <w:sz w:val="24"/>
          <w:highlight w:val="none"/>
        </w:rPr>
        <w:t>0571-82951301</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2.采购代理机构信息</w:t>
      </w:r>
      <w:bookmarkEnd w:id="11"/>
      <w:bookmarkEnd w:id="12"/>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名称：杭州博望建设工程招标投标代理有限公司</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地址：杭州市萧山区金城路433号天汇园一幢A座5楼</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传真：0571-83881208</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lang w:eastAsia="zh-CN"/>
        </w:rPr>
      </w:pPr>
      <w:r>
        <w:rPr>
          <w:rFonts w:hint="eastAsia" w:ascii="仿宋" w:hAnsi="仿宋" w:eastAsia="仿宋" w:cs="仿宋"/>
          <w:color w:val="auto"/>
          <w:kern w:val="2"/>
          <w:sz w:val="24"/>
          <w:highlight w:val="none"/>
        </w:rPr>
        <w:t>项目联系人（询问）：</w:t>
      </w:r>
      <w:r>
        <w:rPr>
          <w:rFonts w:hint="eastAsia" w:ascii="仿宋" w:hAnsi="仿宋" w:eastAsia="仿宋" w:cs="仿宋"/>
          <w:color w:val="auto"/>
          <w:kern w:val="2"/>
          <w:sz w:val="24"/>
          <w:highlight w:val="none"/>
          <w:lang w:val="en-US" w:eastAsia="zh-CN"/>
        </w:rPr>
        <w:t>赵鑫华</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项目联系方式（询问）：0571-83881208</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质疑联系人：高华萍</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质疑联系方式：0571-83881208</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3.同级政府采购监督管理部门</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名称：萧山区财政局</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地址：萧山区人民路318号</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传真：0571-82756122</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联系人：汤先生</w:t>
      </w:r>
    </w:p>
    <w:p>
      <w:pPr>
        <w:spacing w:line="360" w:lineRule="auto"/>
        <w:ind w:left="237" w:leftChars="113" w:firstLine="180" w:firstLineChars="75"/>
        <w:rPr>
          <w:rFonts w:hint="eastAsia" w:ascii="仿宋" w:hAnsi="仿宋" w:eastAsia="仿宋" w:cs="仿宋"/>
          <w:color w:val="auto"/>
          <w:sz w:val="24"/>
          <w:highlight w:val="none"/>
          <w:lang w:val="en-US" w:eastAsia="zh-CN"/>
        </w:rPr>
      </w:pPr>
      <w:r>
        <w:rPr>
          <w:rFonts w:hint="eastAsia" w:ascii="仿宋" w:hAnsi="仿宋" w:eastAsia="仿宋" w:cs="仿宋"/>
          <w:color w:val="auto"/>
          <w:kern w:val="2"/>
          <w:sz w:val="24"/>
          <w:highlight w:val="none"/>
        </w:rPr>
        <w:t>监督投诉电话：0571-82756122</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lang w:val="en-US" w:eastAsia="zh-CN"/>
        </w:rPr>
      </w:pPr>
    </w:p>
    <w:p>
      <w:pPr>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bookmarkStart w:id="521" w:name="_GoBack"/>
      <w:bookmarkEnd w:id="521"/>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6"/>
        <w:gridCol w:w="1952"/>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1" w:hRule="atLeast"/>
          <w:tblHeader/>
          <w:jc w:val="center"/>
        </w:trPr>
        <w:tc>
          <w:tcPr>
            <w:tcW w:w="666"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461"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w:t>
            </w:r>
          </w:p>
        </w:tc>
        <w:tc>
          <w:tcPr>
            <w:tcW w:w="6461" w:type="dxa"/>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3"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采购标的及其对应的中小企业划分标准所属行业</w:t>
            </w:r>
          </w:p>
        </w:tc>
        <w:tc>
          <w:tcPr>
            <w:tcW w:w="6461" w:type="dxa"/>
            <w:vAlign w:val="center"/>
          </w:tcPr>
          <w:p>
            <w:pPr>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（1）标的：</w:t>
            </w:r>
            <w:r>
              <w:rPr>
                <w:rFonts w:hint="eastAsia" w:ascii="仿宋" w:hAnsi="仿宋" w:eastAsia="仿宋" w:cs="仿宋"/>
                <w:color w:val="auto"/>
                <w:sz w:val="24"/>
                <w:szCs w:val="24"/>
                <w:highlight w:val="none"/>
                <w:u w:val="single"/>
                <w:lang w:eastAsia="zh-CN"/>
              </w:rPr>
              <w:t>2023-2024年度盈丰街道楼宇泛光照明养护</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其他未列明行业（其他服务业）</w:t>
            </w:r>
            <w:r>
              <w:rPr>
                <w:rFonts w:hint="eastAsia" w:ascii="仿宋" w:hAnsi="仿宋" w:eastAsia="仿宋" w:cs="仿宋"/>
                <w:color w:val="auto"/>
                <w:sz w:val="24"/>
                <w:szCs w:val="24"/>
                <w:highlight w:val="none"/>
              </w:rPr>
              <w:t>行业；</w:t>
            </w:r>
          </w:p>
          <w:p>
            <w:pPr>
              <w:spacing w:line="240" w:lineRule="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3"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461" w:type="dxa"/>
            <w:vAlign w:val="center"/>
          </w:tcPr>
          <w:p>
            <w:pPr>
              <w:spacing w:line="240" w:lineRule="auto"/>
              <w:rPr>
                <w:rFonts w:hint="eastAsia" w:ascii="仿宋" w:hAnsi="仿宋" w:eastAsia="仿宋" w:cs="仿宋"/>
                <w:color w:val="auto"/>
                <w:kern w:val="0"/>
                <w:sz w:val="24"/>
                <w:szCs w:val="24"/>
                <w:highlight w:val="none"/>
              </w:rPr>
            </w:pPr>
            <w:sdt>
              <w:sdtPr>
                <w:rPr>
                  <w:rFonts w:hint="eastAsia" w:ascii="仿宋" w:hAnsi="仿宋" w:eastAsia="仿宋" w:cs="仿宋"/>
                  <w:color w:val="auto"/>
                  <w:kern w:val="0"/>
                  <w:sz w:val="24"/>
                  <w:szCs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sym w:font="Wingdings" w:char="F0FE"/>
                </w:r>
              </w:sdtContent>
            </w:sdt>
            <w:r>
              <w:rPr>
                <w:rFonts w:hint="eastAsia" w:ascii="仿宋" w:hAnsi="仿宋" w:eastAsia="仿宋" w:cs="仿宋"/>
                <w:color w:val="auto"/>
                <w:kern w:val="0"/>
                <w:sz w:val="24"/>
                <w:szCs w:val="24"/>
                <w:highlight w:val="none"/>
              </w:rPr>
              <w:t>本项目不允许采购进口产品。</w:t>
            </w:r>
          </w:p>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优先采购向我国企业转让技术、与我国企业签订消化吸收再创新方案的供应商的进口产品，详见</w:t>
            </w:r>
            <w:r>
              <w:rPr>
                <w:rFonts w:hint="eastAsia" w:ascii="仿宋" w:hAnsi="仿宋" w:eastAsia="仿宋" w:cs="仿宋"/>
                <w:color w:val="auto"/>
                <w:kern w:val="0"/>
                <w:sz w:val="24"/>
                <w:szCs w:val="24"/>
                <w:highlight w:val="none"/>
                <w:u w:val="single"/>
              </w:rPr>
              <w:t>评分标准</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52" w:type="dxa"/>
            <w:vAlign w:val="center"/>
          </w:tcPr>
          <w:p>
            <w:pPr>
              <w:snapToGrid w:val="0"/>
              <w:spacing w:line="24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477286927"/>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 xml:space="preserve"> A</w:t>
            </w:r>
            <w:r>
              <w:rPr>
                <w:rFonts w:hint="eastAsia" w:ascii="仿宋" w:hAnsi="仿宋" w:eastAsia="仿宋" w:cs="仿宋"/>
                <w:color w:val="auto"/>
                <w:sz w:val="24"/>
                <w:szCs w:val="24"/>
                <w:highlight w:val="none"/>
              </w:rPr>
              <w:t>同意将非主体、</w:t>
            </w:r>
            <w:r>
              <w:rPr>
                <w:rFonts w:hint="eastAsia" w:ascii="仿宋" w:hAnsi="仿宋" w:eastAsia="仿宋" w:cs="仿宋"/>
                <w:color w:val="auto"/>
                <w:sz w:val="24"/>
                <w:szCs w:val="24"/>
                <w:highlight w:val="none"/>
              </w:rPr>
              <w:t>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运输</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r>
              <w:rPr>
                <w:rFonts w:hint="eastAsia" w:ascii="仿宋" w:hAnsi="仿宋" w:eastAsia="仿宋" w:cs="仿宋"/>
                <w:color w:val="auto"/>
                <w:sz w:val="24"/>
                <w:szCs w:val="24"/>
                <w:highlight w:val="none"/>
              </w:rPr>
              <w:t>。</w:t>
            </w:r>
          </w:p>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276331357"/>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 xml:space="preserve"> B</w:t>
            </w:r>
            <w:r>
              <w:rPr>
                <w:rFonts w:hint="eastAsia" w:ascii="仿宋" w:hAnsi="仿宋" w:eastAsia="仿宋" w:cs="仿宋"/>
                <w:color w:val="auto"/>
                <w:sz w:val="24"/>
                <w:szCs w:val="24"/>
                <w:highlight w:val="none"/>
              </w:rPr>
              <w:t>不同意分包。</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line="240" w:lineRule="auto"/>
              <w:rPr>
                <w:rFonts w:hint="eastAsia" w:ascii="仿宋" w:hAnsi="仿宋" w:eastAsia="仿宋" w:cs="仿宋"/>
                <w:b/>
                <w:color w:val="auto"/>
                <w:sz w:val="24"/>
                <w:szCs w:val="24"/>
                <w:highlight w:val="none"/>
              </w:rPr>
            </w:pPr>
            <w:sdt>
              <w:sdtPr>
                <w:rPr>
                  <w:rFonts w:hint="eastAsia" w:ascii="仿宋" w:hAnsi="仿宋" w:eastAsia="仿宋" w:cs="仿宋"/>
                  <w:color w:val="auto"/>
                  <w:kern w:val="0"/>
                  <w:sz w:val="24"/>
                  <w:szCs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B要求提供</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952" w:type="dxa"/>
            <w:vAlign w:val="center"/>
          </w:tcPr>
          <w:p>
            <w:pPr>
              <w:snapToGrid w:val="0"/>
              <w:spacing w:line="24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240" w:lineRule="auto"/>
              <w:rPr>
                <w:rFonts w:hint="eastAsia" w:ascii="仿宋" w:hAnsi="仿宋" w:eastAsia="仿宋" w:cs="仿宋"/>
                <w:b/>
                <w:color w:val="auto"/>
                <w:kern w:val="0"/>
                <w:sz w:val="24"/>
                <w:szCs w:val="24"/>
                <w:highlight w:val="none"/>
                <w:lang w:val="zh-CN"/>
              </w:rPr>
            </w:pPr>
            <w:sdt>
              <w:sdtPr>
                <w:rPr>
                  <w:rFonts w:hint="eastAsia" w:ascii="仿宋" w:hAnsi="仿宋" w:eastAsia="仿宋" w:cs="仿宋"/>
                  <w:color w:val="auto"/>
                  <w:kern w:val="0"/>
                  <w:sz w:val="24"/>
                  <w:szCs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Merge w:val="restart"/>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952" w:type="dxa"/>
            <w:vMerge w:val="restart"/>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461" w:type="dxa"/>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line="240" w:lineRule="auto"/>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1" w:hRule="atLeast"/>
          <w:tblHeader/>
          <w:jc w:val="center"/>
        </w:trPr>
        <w:tc>
          <w:tcPr>
            <w:tcW w:w="666" w:type="dxa"/>
            <w:vMerge w:val="continue"/>
            <w:vAlign w:val="center"/>
          </w:tcPr>
          <w:p>
            <w:pPr>
              <w:snapToGrid w:val="0"/>
              <w:spacing w:line="240" w:lineRule="auto"/>
              <w:jc w:val="center"/>
              <w:rPr>
                <w:rFonts w:hint="eastAsia" w:ascii="仿宋" w:hAnsi="仿宋" w:eastAsia="仿宋" w:cs="仿宋"/>
                <w:color w:val="auto"/>
                <w:sz w:val="24"/>
                <w:szCs w:val="24"/>
                <w:highlight w:val="none"/>
              </w:rPr>
            </w:pPr>
          </w:p>
        </w:tc>
        <w:tc>
          <w:tcPr>
            <w:tcW w:w="1952" w:type="dxa"/>
            <w:vMerge w:val="continue"/>
            <w:vAlign w:val="center"/>
          </w:tcPr>
          <w:p>
            <w:pPr>
              <w:snapToGrid w:val="0"/>
              <w:spacing w:line="240" w:lineRule="auto"/>
              <w:jc w:val="center"/>
              <w:rPr>
                <w:rFonts w:hint="eastAsia" w:ascii="仿宋" w:hAnsi="仿宋" w:eastAsia="仿宋" w:cs="仿宋"/>
                <w:b/>
                <w:color w:val="auto"/>
                <w:sz w:val="24"/>
                <w:szCs w:val="24"/>
                <w:highlight w:val="none"/>
              </w:rPr>
            </w:pPr>
          </w:p>
        </w:tc>
        <w:tc>
          <w:tcPr>
            <w:tcW w:w="6461" w:type="dxa"/>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3"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461" w:type="dxa"/>
            <w:vAlign w:val="center"/>
          </w:tcPr>
          <w:p>
            <w:pPr>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8"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461" w:type="dxa"/>
            <w:vAlign w:val="center"/>
          </w:tcPr>
          <w:p>
            <w:pPr>
              <w:snapToGrid w:val="0"/>
              <w:spacing w:line="240" w:lineRule="auto"/>
              <w:jc w:val="left"/>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b/>
                <w:bCs/>
                <w:color w:val="auto"/>
                <w:kern w:val="0"/>
                <w:sz w:val="24"/>
                <w:szCs w:val="24"/>
                <w:highlight w:val="none"/>
                <w:lang w:val="zh-CN"/>
              </w:rPr>
              <w:t>投标文件</w:t>
            </w:r>
            <w:r>
              <w:rPr>
                <w:rFonts w:hint="eastAsia" w:ascii="仿宋" w:hAnsi="仿宋" w:eastAsia="仿宋" w:cs="仿宋"/>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szCs w:val="24"/>
                <w:highlight w:val="none"/>
                <w:lang w:val="zh-CN"/>
              </w:rPr>
              <w:t>提醒：验收时检测费用由采购人承担，不包含在投标总价中。</w:t>
            </w:r>
          </w:p>
          <w:p>
            <w:pPr>
              <w:snapToGrid w:val="0"/>
              <w:spacing w:line="240" w:lineRule="auto"/>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snapToGrid w:val="0"/>
              <w:spacing w:line="240" w:lineRule="auto"/>
              <w:ind w:firstLine="241" w:firstLineChars="10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snapToGrid w:val="0"/>
              <w:spacing w:line="240" w:lineRule="auto"/>
              <w:ind w:firstLine="241" w:firstLineChars="100"/>
              <w:jc w:val="left"/>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spacing w:line="240" w:lineRule="auto"/>
              <w:ind w:firstLine="241" w:firstLineChars="10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spacing w:line="24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6"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461" w:type="dxa"/>
            <w:vAlign w:val="center"/>
          </w:tcPr>
          <w:p>
            <w:pPr>
              <w:spacing w:line="24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24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本项目支持《杭州市萧山区政府采购支持中小企业信用融资暂行办法》。</w:t>
            </w:r>
          </w:p>
          <w:p>
            <w:pPr>
              <w:spacing w:line="24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备份投标文件送达地点和签收人员 </w:t>
            </w:r>
          </w:p>
        </w:tc>
        <w:tc>
          <w:tcPr>
            <w:tcW w:w="6461" w:type="dxa"/>
            <w:vAlign w:val="center"/>
          </w:tcPr>
          <w:p>
            <w:pPr>
              <w:pStyle w:val="32"/>
              <w:spacing w:line="240" w:lineRule="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lang w:val="en-US" w:eastAsia="zh-CN"/>
              </w:rPr>
              <w:t>本项目</w:t>
            </w:r>
            <w:r>
              <w:rPr>
                <w:rFonts w:hint="eastAsia" w:ascii="仿宋" w:hAnsi="仿宋" w:eastAsia="仿宋" w:cs="仿宋"/>
                <w:color w:val="auto"/>
                <w:kern w:val="28"/>
                <w:sz w:val="24"/>
                <w:szCs w:val="24"/>
                <w:highlight w:val="none"/>
              </w:rPr>
              <w:t>备份文件是否收取：不收取</w:t>
            </w:r>
            <w:r>
              <w:rPr>
                <w:rFonts w:hint="eastAsia" w:ascii="仿宋" w:hAnsi="仿宋" w:eastAsia="仿宋" w:cs="仿宋"/>
                <w:b w:val="0"/>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采购机构代理费用</w:t>
            </w:r>
          </w:p>
        </w:tc>
        <w:tc>
          <w:tcPr>
            <w:tcW w:w="6461" w:type="dxa"/>
            <w:vAlign w:val="center"/>
          </w:tcPr>
          <w:p>
            <w:pPr>
              <w:pStyle w:val="32"/>
              <w:spacing w:line="240" w:lineRule="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sz w:val="24"/>
                <w:szCs w:val="24"/>
                <w:highlight w:val="none"/>
                <w:lang w:val="zh-CN"/>
              </w:rPr>
              <w:t>本项目采购代理费由</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lang w:val="zh-CN"/>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blHeader/>
          <w:jc w:val="center"/>
        </w:trPr>
        <w:tc>
          <w:tcPr>
            <w:tcW w:w="666" w:type="dxa"/>
            <w:vAlign w:val="center"/>
          </w:tcPr>
          <w:p>
            <w:pPr>
              <w:spacing w:after="0"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p>
        </w:tc>
        <w:tc>
          <w:tcPr>
            <w:tcW w:w="1952" w:type="dxa"/>
            <w:vAlign w:val="center"/>
          </w:tcPr>
          <w:p>
            <w:pPr>
              <w:spacing w:after="0" w:line="24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szCs w:val="24"/>
                <w:highlight w:val="none"/>
              </w:rPr>
              <w:t>资格审查和信用信息审查</w:t>
            </w:r>
          </w:p>
        </w:tc>
        <w:tc>
          <w:tcPr>
            <w:tcW w:w="6461" w:type="dxa"/>
            <w:vAlign w:val="center"/>
          </w:tcPr>
          <w:p>
            <w:pPr>
              <w:spacing w:after="0" w:line="24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本项目由</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rPr>
              <w:t>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94" w:hRule="atLeast"/>
          <w:tblHeader/>
          <w:jc w:val="center"/>
        </w:trPr>
        <w:tc>
          <w:tcPr>
            <w:tcW w:w="666" w:type="dxa"/>
            <w:vAlign w:val="center"/>
          </w:tcPr>
          <w:p>
            <w:pPr>
              <w:spacing w:after="0"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p>
        </w:tc>
        <w:tc>
          <w:tcPr>
            <w:tcW w:w="1952" w:type="dxa"/>
            <w:vAlign w:val="center"/>
          </w:tcPr>
          <w:p>
            <w:pPr>
              <w:spacing w:after="0" w:line="24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质疑接收人及答复</w:t>
            </w:r>
          </w:p>
        </w:tc>
        <w:tc>
          <w:tcPr>
            <w:tcW w:w="6461" w:type="dxa"/>
            <w:vAlign w:val="center"/>
          </w:tcPr>
          <w:p>
            <w:pPr>
              <w:snapToGrid w:val="0"/>
              <w:spacing w:after="0" w:line="24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采购人、采购机构质疑接收人、联系方式：详见公告</w:t>
            </w:r>
          </w:p>
          <w:p>
            <w:pPr>
              <w:snapToGrid w:val="0"/>
              <w:spacing w:after="0" w:line="24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线上提交质疑方式：政采云线上质疑路径：项目采购-询问质疑投诉-质疑列表。请使用ca签章在每一页质疑文件中加盖电子公章，上传完整附件。</w:t>
            </w:r>
          </w:p>
          <w:p>
            <w:pPr>
              <w:snapToGrid w:val="0"/>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本项目涉及</w:t>
            </w:r>
            <w:r>
              <w:rPr>
                <w:rFonts w:hint="eastAsia" w:ascii="仿宋" w:hAnsi="仿宋" w:eastAsia="仿宋" w:cs="仿宋"/>
                <w:color w:val="auto"/>
                <w:sz w:val="24"/>
                <w:szCs w:val="24"/>
                <w:highlight w:val="none"/>
              </w:rPr>
              <w:t>资格条件、采购需求、评分办法及采购过程中有关现场考察或开标前答疑会等事项由采购人进行答复。</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6" w:hRule="atLeast"/>
          <w:tblHeader/>
          <w:jc w:val="center"/>
        </w:trPr>
        <w:tc>
          <w:tcPr>
            <w:tcW w:w="666" w:type="dxa"/>
            <w:vAlign w:val="center"/>
          </w:tcPr>
          <w:p>
            <w:pPr>
              <w:spacing w:after="0"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952" w:type="dxa"/>
            <w:vAlign w:val="center"/>
          </w:tcPr>
          <w:p>
            <w:pPr>
              <w:spacing w:after="0" w:line="24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履约验收</w:t>
            </w:r>
          </w:p>
        </w:tc>
        <w:tc>
          <w:tcPr>
            <w:tcW w:w="6461" w:type="dxa"/>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已有新文件</w:t>
            </w:r>
            <w:r>
              <w:rPr>
                <w:rFonts w:hint="eastAsia" w:ascii="仿宋" w:hAnsi="仿宋" w:eastAsia="仿宋" w:cs="仿宋"/>
                <w:color w:val="auto"/>
                <w:sz w:val="24"/>
                <w:szCs w:val="24"/>
                <w:highlight w:val="none"/>
                <w:lang w:val="en-US" w:eastAsia="zh-CN"/>
              </w:rPr>
              <w:t>规定</w:t>
            </w:r>
            <w:r>
              <w:rPr>
                <w:rFonts w:hint="eastAsia" w:ascii="仿宋" w:hAnsi="仿宋" w:eastAsia="仿宋" w:cs="仿宋"/>
                <w:color w:val="auto"/>
                <w:sz w:val="24"/>
                <w:szCs w:val="24"/>
                <w:highlight w:val="none"/>
              </w:rPr>
              <w:t>，按照最新文件执行）。存在隐蔽工程的项目，采购单位及供应商应在货物到货并将实施安装前，申请进行初验收。</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Merge w:val="restart"/>
            <w:vAlign w:val="center"/>
          </w:tcPr>
          <w:p>
            <w:pPr>
              <w:snapToGrid w:val="0"/>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952" w:type="dxa"/>
            <w:vMerge w:val="restart"/>
            <w:vAlign w:val="center"/>
          </w:tcPr>
          <w:p>
            <w:pPr>
              <w:snapToGrid w:val="0"/>
              <w:spacing w:line="240"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461" w:type="dxa"/>
            <w:vAlign w:val="center"/>
          </w:tcPr>
          <w:p>
            <w:pPr>
              <w:spacing w:line="240" w:lineRule="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6" w:hRule="atLeast"/>
          <w:tblHeader/>
          <w:jc w:val="center"/>
        </w:trPr>
        <w:tc>
          <w:tcPr>
            <w:tcW w:w="666" w:type="dxa"/>
            <w:vMerge w:val="continue"/>
            <w:vAlign w:val="center"/>
          </w:tcPr>
          <w:p>
            <w:pPr>
              <w:snapToGrid w:val="0"/>
              <w:spacing w:line="240" w:lineRule="auto"/>
              <w:jc w:val="center"/>
              <w:rPr>
                <w:rFonts w:hint="eastAsia" w:ascii="仿宋" w:hAnsi="仿宋" w:eastAsia="仿宋" w:cs="仿宋"/>
                <w:color w:val="auto"/>
                <w:sz w:val="24"/>
                <w:szCs w:val="24"/>
                <w:highlight w:val="none"/>
              </w:rPr>
            </w:pPr>
          </w:p>
        </w:tc>
        <w:tc>
          <w:tcPr>
            <w:tcW w:w="1952" w:type="dxa"/>
            <w:vMerge w:val="continue"/>
            <w:vAlign w:val="center"/>
          </w:tcPr>
          <w:p>
            <w:pPr>
              <w:snapToGrid w:val="0"/>
              <w:spacing w:line="240" w:lineRule="auto"/>
              <w:jc w:val="center"/>
              <w:rPr>
                <w:rFonts w:hint="eastAsia" w:ascii="仿宋" w:hAnsi="仿宋" w:eastAsia="仿宋" w:cs="仿宋"/>
                <w:b/>
                <w:color w:val="auto"/>
                <w:sz w:val="24"/>
                <w:szCs w:val="24"/>
                <w:highlight w:val="none"/>
              </w:rPr>
            </w:pP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369766551"/>
                <w14:checkbox>
                  <w14:checked w14:val="0"/>
                  <w14:checkedState w14:val="00FE" w14:font="Wingdings"/>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联合体投标的，联合体各方均需按招标文件第四部分评标标准要求提供资信证明文件，否则视为不符合相关要求。</w:t>
            </w:r>
          </w:p>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1052570136"/>
                <w14:checkbox>
                  <w14:checked w14:val="1"/>
                  <w14:checkedState w14:val="00FE" w14:font="Wingdings"/>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sym w:font="Wingdings" w:char="F0FE"/>
                </w:r>
              </w:sdtContent>
            </w:sdt>
            <w:r>
              <w:rPr>
                <w:rFonts w:hint="eastAsia" w:ascii="仿宋" w:hAnsi="仿宋" w:eastAsia="仿宋" w:cs="仿宋"/>
                <w:color w:val="auto"/>
                <w:sz w:val="24"/>
                <w:szCs w:val="24"/>
                <w:highlight w:val="none"/>
              </w:rPr>
              <w:t>联合体投标的，联合体中有一方或者联合体成员根据分工按招标文件第四部分评标标准要求提供资信证明文件的，视为符合了相关要求。</w:t>
            </w:r>
            <w:r>
              <w:rPr>
                <w:rFonts w:hint="eastAsia" w:ascii="仿宋" w:hAnsi="仿宋" w:eastAsia="仿宋" w:cs="仿宋"/>
                <w:color w:val="auto"/>
                <w:sz w:val="24"/>
                <w:szCs w:val="24"/>
                <w:highlight w:val="none"/>
              </w:rPr>
              <w:br w:type="textWrapping"/>
            </w:r>
            <w:r>
              <w:rPr>
                <w:rFonts w:hint="eastAsia" w:ascii="仿宋" w:hAnsi="仿宋" w:eastAsia="仿宋" w:cs="仿宋"/>
                <w:color w:val="auto"/>
                <w:kern w:val="0"/>
                <w:sz w:val="24"/>
                <w:szCs w:val="24"/>
                <w:highlight w:val="none"/>
              </w:rPr>
              <w:t>评审因素对应的要求视为采购需求的一部分。</w:t>
            </w:r>
          </w:p>
          <w:p>
            <w:pPr>
              <w:spacing w:line="24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严格执行预算限价，项目如涉及办公用房装修、通用办公设备家具的不得超限额标准。（萧财国资【2019】389号）</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18</w:t>
            </w:r>
          </w:p>
        </w:tc>
        <w:tc>
          <w:tcPr>
            <w:tcW w:w="1952" w:type="dxa"/>
            <w:vAlign w:val="center"/>
          </w:tcPr>
          <w:p>
            <w:pPr>
              <w:spacing w:after="0"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投标文件份数</w:t>
            </w:r>
          </w:p>
        </w:tc>
        <w:tc>
          <w:tcPr>
            <w:tcW w:w="6461" w:type="dxa"/>
            <w:vAlign w:val="center"/>
          </w:tcPr>
          <w:p>
            <w:pPr>
              <w:spacing w:after="0" w:line="240" w:lineRule="auto"/>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中标人应在中标后向采购代理机构提供纸质投标文件一正二副（加盖公章）。</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3" w:name="_Toc164416483"/>
      <w:bookmarkStart w:id="14" w:name="第三部分"/>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”系指招标公告中载明的本项目的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仿宋" w:hAnsi="仿宋" w:eastAsia="仿宋" w:cs="仿宋"/>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color w:val="auto"/>
          <w:sz w:val="24"/>
          <w:highlight w:val="none"/>
        </w:rPr>
        <w:t>（</w:t>
      </w:r>
      <w:r>
        <w:rPr>
          <w:rFonts w:hint="eastAsia" w:ascii="仿宋" w:hAnsi="仿宋" w:eastAsia="仿宋" w:cs="仿宋"/>
          <w:snapToGrid w:val="0"/>
          <w:color w:val="auto"/>
          <w:kern w:val="28"/>
          <w:sz w:val="24"/>
          <w:highlight w:val="none"/>
        </w:rPr>
        <w:t>招标文件第四部分</w:t>
      </w:r>
      <w:r>
        <w:rPr>
          <w:rFonts w:hint="eastAsia" w:ascii="仿宋" w:hAnsi="仿宋" w:eastAsia="仿宋" w:cs="仿宋"/>
          <w:color w:val="auto"/>
          <w:sz w:val="24"/>
          <w:highlight w:val="none"/>
          <w:u w:val="single"/>
        </w:rPr>
        <w:t>评标办分法明确具体的扣除比例，未明确的，</w:t>
      </w:r>
      <w:r>
        <w:rPr>
          <w:rFonts w:hint="eastAsia" w:ascii="仿宋" w:hAnsi="仿宋" w:eastAsia="仿宋" w:cs="仿宋"/>
          <w:color w:val="auto"/>
          <w:sz w:val="24"/>
          <w:highlight w:val="none"/>
        </w:rPr>
        <w:t>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w:t>
      </w:r>
      <w:r>
        <w:rPr>
          <w:rFonts w:hint="eastAsia" w:ascii="仿宋" w:hAnsi="仿宋" w:eastAsia="仿宋" w:cs="仿宋"/>
          <w:color w:val="auto"/>
          <w:sz w:val="24"/>
          <w:highlight w:val="none"/>
        </w:rPr>
        <w:t>，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color w:val="auto"/>
          <w:sz w:val="24"/>
          <w:highlight w:val="none"/>
        </w:rPr>
        <w:t>（</w:t>
      </w:r>
      <w:r>
        <w:rPr>
          <w:rFonts w:hint="eastAsia" w:ascii="仿宋" w:hAnsi="仿宋" w:eastAsia="仿宋" w:cs="仿宋"/>
          <w:snapToGrid w:val="0"/>
          <w:color w:val="auto"/>
          <w:kern w:val="28"/>
          <w:sz w:val="24"/>
          <w:highlight w:val="none"/>
        </w:rPr>
        <w:t>招标文件第四部分</w:t>
      </w:r>
      <w:r>
        <w:rPr>
          <w:rFonts w:hint="eastAsia" w:ascii="仿宋" w:hAnsi="仿宋" w:eastAsia="仿宋" w:cs="仿宋"/>
          <w:color w:val="auto"/>
          <w:sz w:val="24"/>
          <w:highlight w:val="none"/>
          <w:u w:val="single"/>
        </w:rPr>
        <w:t>评标办分法明确具体的扣除比例，未明确的，</w:t>
      </w:r>
      <w:r>
        <w:rPr>
          <w:rFonts w:hint="eastAsia" w:ascii="仿宋" w:hAnsi="仿宋" w:eastAsia="仿宋" w:cs="仿宋"/>
          <w:color w:val="auto"/>
          <w:sz w:val="24"/>
          <w:highlight w:val="none"/>
        </w:rPr>
        <w:t>给予6%的扣除）</w:t>
      </w:r>
      <w:r>
        <w:rPr>
          <w:rFonts w:hint="eastAsia" w:ascii="仿宋" w:hAnsi="仿宋" w:eastAsia="仿宋" w:cs="仿宋"/>
          <w:color w:val="auto"/>
          <w:sz w:val="24"/>
          <w:highlight w:val="none"/>
        </w:rPr>
        <w:t>，用扣除后的价格参加评审。组成联合体或者接受分包的小微企业与联合体内其他企业、分包企业之间存在直接控股、管理关系的，不享受价格扣除优惠政策。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hint="eastAsia"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15"/>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2"/>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4.4.5</w:t>
      </w:r>
      <w:r>
        <w:rPr>
          <w:rFonts w:hint="eastAsia" w:ascii="仿宋" w:hAnsi="仿宋" w:eastAsia="仿宋" w:cs="仿宋"/>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8"/>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2"/>
        <w:spacing w:line="36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6. 招标文件的澄清、修改</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5"/>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11.1资格文件：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snapToGrid w:val="0"/>
          <w:color w:val="auto"/>
          <w:kern w:val="28"/>
          <w:sz w:val="24"/>
          <w:szCs w:val="20"/>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2" w:firstLineChars="200"/>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2" w:firstLineChars="200"/>
        <w:rPr>
          <w:rFonts w:hint="eastAsia" w:ascii="仿宋" w:hAnsi="仿宋" w:eastAsia="仿宋" w:cs="仿宋"/>
          <w:b/>
          <w:bCs/>
          <w:color w:val="auto"/>
          <w:sz w:val="24"/>
          <w:highlight w:val="none"/>
          <w:u w:val="single"/>
          <w:lang w:val="zh-CN"/>
        </w:rPr>
      </w:pPr>
      <w:r>
        <w:rPr>
          <w:rFonts w:hint="eastAsia" w:ascii="仿宋" w:hAnsi="仿宋" w:eastAsia="仿宋" w:cs="仿宋"/>
          <w:b/>
          <w:bCs/>
          <w:color w:val="auto"/>
          <w:kern w:val="0"/>
          <w:sz w:val="24"/>
          <w:highlight w:val="none"/>
          <w:lang w:val="zh-CN"/>
        </w:rPr>
        <w:t>11.</w:t>
      </w:r>
      <w:r>
        <w:rPr>
          <w:rFonts w:hint="eastAsia" w:ascii="仿宋" w:hAnsi="仿宋" w:eastAsia="仿宋" w:cs="仿宋"/>
          <w:b/>
          <w:bCs/>
          <w:color w:val="auto"/>
          <w:kern w:val="0"/>
          <w:sz w:val="24"/>
          <w:highlight w:val="none"/>
        </w:rPr>
        <w:t>3</w:t>
      </w:r>
      <w:r>
        <w:rPr>
          <w:rFonts w:hint="eastAsia" w:ascii="仿宋" w:hAnsi="仿宋" w:eastAsia="仿宋" w:cs="仿宋"/>
          <w:b/>
          <w:bCs/>
          <w:color w:val="auto"/>
          <w:sz w:val="24"/>
          <w:highlight w:val="none"/>
        </w:rPr>
        <w:t xml:space="preserve">报价文件：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28"/>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8"/>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28"/>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w:t>
      </w:r>
      <w:r>
        <w:rPr>
          <w:rFonts w:hint="eastAsia" w:ascii="仿宋" w:hAnsi="仿宋" w:eastAsia="仿宋" w:cs="仿宋"/>
          <w:color w:val="auto"/>
          <w:szCs w:val="24"/>
          <w:highlight w:val="none"/>
        </w:rPr>
        <w:t>供应商撤回投标不得损害国家利益、社会公共利益、采购人利益、代理机构利益、其他供应商利益，否则，供应商撤销（撤回）投标无效。</w:t>
      </w:r>
      <w:r>
        <w:rPr>
          <w:rFonts w:hint="eastAsia" w:ascii="仿宋" w:hAnsi="仿宋" w:eastAsia="仿宋" w:cs="仿宋"/>
          <w:color w:val="auto"/>
          <w:szCs w:val="24"/>
          <w:highlight w:val="none"/>
        </w:rPr>
        <w:t>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可以视情况延长投标文件提交的截止时间。在上述情况下，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与投标人以前在投标截止期方面的全部权利、责任和义务，将适用于延长至新的投标截止期。</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2"/>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2"/>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4"/>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8"/>
        <w:spacing w:before="0"/>
        <w:ind w:firstLine="480"/>
        <w:jc w:val="left"/>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可以以书面形式通知投标人延长投标有效期。投标人同意延长的，不得要求或被允许修改其投标文件，投标人拒绝延长的，其投标无效。</w:t>
      </w:r>
      <w:r>
        <w:rPr>
          <w:rFonts w:hint="eastAsia" w:ascii="仿宋" w:hAnsi="仿宋" w:eastAsia="仿宋" w:cs="仿宋"/>
          <w:color w:val="auto"/>
          <w:highlight w:val="none"/>
        </w:rPr>
        <w:br w:type="textWrapping"/>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17.4在投标截止时间起至投标有效期届满，供应商投标文件不可撤销。</w:t>
      </w:r>
    </w:p>
    <w:p>
      <w:pPr>
        <w:pStyle w:val="128"/>
        <w:spacing w:before="0"/>
        <w:ind w:firstLine="480"/>
        <w:rPr>
          <w:rFonts w:hint="eastAsia" w:ascii="仿宋" w:hAnsi="仿宋" w:eastAsia="仿宋" w:cs="仿宋"/>
          <w:color w:val="auto"/>
          <w:highlight w:val="none"/>
        </w:rPr>
      </w:pPr>
    </w:p>
    <w:p>
      <w:pPr>
        <w:pStyle w:val="128"/>
        <w:spacing w:before="0"/>
        <w:ind w:firstLine="643"/>
        <w:rPr>
          <w:rFonts w:hint="eastAsia" w:ascii="仿宋" w:hAnsi="仿宋" w:eastAsia="仿宋" w:cs="仿宋"/>
          <w:b/>
          <w:color w:val="auto"/>
          <w:sz w:val="32"/>
          <w:highlight w:val="none"/>
        </w:rPr>
      </w:pPr>
    </w:p>
    <w:p>
      <w:pPr>
        <w:pStyle w:val="128"/>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4"/>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4"/>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19.1开标后，采购人将依据法律法规和招标文件的规定，对投标人的资格进行审查。</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19.2投标人未按照招标文件要求提供与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3对未通过资格审查的投标人，告知其未通过的原因。</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val="en-US" w:eastAsia="zh-CN"/>
        </w:rPr>
        <w:t>采购人</w:t>
      </w:r>
      <w:r>
        <w:rPr>
          <w:rFonts w:hint="eastAsia" w:ascii="仿宋" w:hAnsi="仿宋" w:eastAsia="仿宋" w:cs="仿宋"/>
          <w:color w:val="auto"/>
          <w:kern w:val="0"/>
          <w:szCs w:val="24"/>
          <w:highlight w:val="none"/>
        </w:rPr>
        <w:t>将在资格审查时通过“信用中国”网站(www.creditchina.gov.cn)、中国政府采购网(www.ccgp.gov.cn)渠道查询投标人接受资格时的信用记录。</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8"/>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5"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28"/>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仿宋" w:hAnsi="仿宋" w:eastAsia="仿宋" w:cs="仿宋"/>
          <w:color w:val="auto"/>
          <w:szCs w:val="24"/>
          <w:highlight w:val="none"/>
        </w:rPr>
        <w:t>在采购结果确认环节，中标（成交）候选人撤销投标（响应）文件不能成为采购人不确认采购结果的正当理由。</w:t>
      </w:r>
      <w:r>
        <w:rPr>
          <w:rFonts w:hint="eastAsia" w:ascii="仿宋" w:hAnsi="仿宋" w:eastAsia="仿宋" w:cs="仿宋"/>
          <w:color w:val="auto"/>
          <w:szCs w:val="24"/>
          <w:highlight w:val="none"/>
        </w:rPr>
        <w:t>中标、成交通知书和中标、成交结果公告应当在规定时间内同时发出。</w:t>
      </w:r>
    </w:p>
    <w:p>
      <w:pPr>
        <w:pStyle w:val="128"/>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16" w:name="_Hlk101184471"/>
      <w:r>
        <w:rPr>
          <w:rFonts w:hint="eastAsia" w:ascii="仿宋" w:hAnsi="仿宋" w:eastAsia="仿宋" w:cs="仿宋"/>
          <w:color w:val="auto"/>
          <w:sz w:val="24"/>
          <w:highlight w:val="none"/>
        </w:rPr>
        <w:t>资格审查情况、评审专家抽取规则、符合性审查情况、</w:t>
      </w:r>
      <w:bookmarkEnd w:id="16"/>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w:t>
      </w:r>
      <w:r>
        <w:rPr>
          <w:rFonts w:hint="eastAsia" w:ascii="仿宋" w:hAnsi="仿宋" w:eastAsia="仿宋" w:cs="仿宋"/>
          <w:color w:val="auto"/>
          <w:sz w:val="24"/>
          <w:highlight w:val="none"/>
        </w:rPr>
        <w:t>，鼓励根据项目特点、供应商诚信等因素免收履约保证金或降低缴纳比例</w:t>
      </w:r>
      <w:r>
        <w:rPr>
          <w:rFonts w:hint="eastAsia" w:ascii="仿宋" w:hAnsi="仿宋" w:eastAsia="仿宋" w:cs="仿宋"/>
          <w:color w:val="auto"/>
          <w:sz w:val="24"/>
          <w:highlight w:val="none"/>
        </w:rPr>
        <w:t>。鼓励和支持供应商以银行、保险公司出具的保函形式提供履约保证金。采购人不得拒收履约保函，项目验收结束后应及时退还，延迟退还的，应当按照合同约定和法律规定承担相应的赔偿责任。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w:t>
      </w:r>
      <w:r>
        <w:rPr>
          <w:rFonts w:hint="eastAsia" w:ascii="仿宋" w:hAnsi="仿宋" w:eastAsia="仿宋" w:cs="仿宋"/>
          <w:color w:val="auto"/>
          <w:sz w:val="24"/>
          <w:highlight w:val="none"/>
        </w:rPr>
        <w:t>不低于</w:t>
      </w:r>
      <w:r>
        <w:rPr>
          <w:rFonts w:hint="eastAsia" w:ascii="仿宋" w:hAnsi="仿宋" w:eastAsia="仿宋" w:cs="仿宋"/>
          <w:color w:val="auto"/>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8"/>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28"/>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4"/>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5"/>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7" w:name="_Hlt68073093"/>
      <w:bookmarkEnd w:id="17"/>
      <w:bookmarkStart w:id="18" w:name="_Hlt74729768"/>
      <w:bookmarkEnd w:id="18"/>
      <w:bookmarkStart w:id="19" w:name="_Hlt74707468"/>
      <w:bookmarkEnd w:id="19"/>
      <w:bookmarkStart w:id="20" w:name="_Hlt75236290"/>
      <w:bookmarkEnd w:id="20"/>
      <w:bookmarkStart w:id="21" w:name="_Hlt74730295"/>
      <w:bookmarkEnd w:id="21"/>
      <w:bookmarkStart w:id="22" w:name="_Hlt68057669"/>
      <w:bookmarkEnd w:id="22"/>
      <w:bookmarkStart w:id="23" w:name="_Hlt68072998"/>
      <w:bookmarkEnd w:id="23"/>
      <w:bookmarkStart w:id="24" w:name="_Hlt75236101"/>
      <w:bookmarkEnd w:id="24"/>
      <w:bookmarkStart w:id="25" w:name="_Hlt68072990"/>
      <w:bookmarkEnd w:id="25"/>
      <w:bookmarkStart w:id="26" w:name="_Hlt75236011"/>
      <w:bookmarkEnd w:id="26"/>
      <w:bookmarkStart w:id="27" w:name="_Hlt74714665"/>
      <w:bookmarkEnd w:id="27"/>
      <w:bookmarkStart w:id="28" w:name="_Hlt68403820"/>
      <w:bookmarkEnd w:id="28"/>
    </w:p>
    <w:bookmarkEnd w:id="13"/>
    <w:bookmarkEnd w:id="14"/>
    <w:p>
      <w:pPr>
        <w:spacing w:line="360" w:lineRule="auto"/>
        <w:jc w:val="center"/>
        <w:outlineLvl w:val="0"/>
        <w:rPr>
          <w:rFonts w:hint="eastAsia" w:ascii="仿宋" w:hAnsi="仿宋" w:eastAsia="仿宋" w:cs="仿宋"/>
          <w:b/>
          <w:color w:val="auto"/>
          <w:sz w:val="36"/>
          <w:szCs w:val="36"/>
          <w:highlight w:val="none"/>
        </w:rPr>
      </w:pPr>
      <w:bookmarkStart w:id="29" w:name="第四部分"/>
      <w:r>
        <w:rPr>
          <w:rFonts w:hint="eastAsia" w:ascii="仿宋" w:hAnsi="仿宋" w:eastAsia="仿宋" w:cs="仿宋"/>
          <w:b/>
          <w:color w:val="auto"/>
          <w:sz w:val="36"/>
          <w:szCs w:val="36"/>
          <w:highlight w:val="none"/>
        </w:rPr>
        <w:t>第三部分   采购需求</w:t>
      </w:r>
    </w:p>
    <w:p>
      <w:pPr>
        <w:snapToGrid w:val="0"/>
        <w:rPr>
          <w:rStyle w:val="962"/>
          <w:rFonts w:hint="eastAsia" w:ascii="仿宋" w:hAnsi="仿宋" w:eastAsia="仿宋" w:cs="仿宋"/>
          <w:color w:val="auto"/>
          <w:highlight w:val="none"/>
        </w:rPr>
      </w:pPr>
      <w:r>
        <w:rPr>
          <w:rStyle w:val="962"/>
          <w:rFonts w:hint="eastAsia" w:ascii="仿宋" w:hAnsi="仿宋" w:eastAsia="仿宋" w:cs="仿宋"/>
          <w:color w:val="auto"/>
          <w:highlight w:val="none"/>
        </w:rPr>
        <w:t>属于实质性要求条款的，请用符号“▲”标明，否则属于非实质性要求。</w:t>
      </w:r>
    </w:p>
    <w:p>
      <w:pPr>
        <w:snapToGrid w:val="0"/>
        <w:rPr>
          <w:rStyle w:val="962"/>
          <w:rFonts w:hint="eastAsia" w:ascii="仿宋" w:hAnsi="仿宋" w:eastAsia="仿宋" w:cs="仿宋"/>
          <w:color w:val="auto"/>
          <w:highlight w:val="none"/>
        </w:rPr>
      </w:pPr>
      <w:r>
        <w:rPr>
          <w:rStyle w:val="962"/>
          <w:rFonts w:hint="eastAsia" w:ascii="仿宋" w:hAnsi="仿宋" w:eastAsia="仿宋" w:cs="仿宋"/>
          <w:color w:val="auto"/>
          <w:highlight w:val="none"/>
        </w:rPr>
        <w:t>“★”系产品采购项目中单一产品或核心产品。</w:t>
      </w:r>
    </w:p>
    <w:p>
      <w:pPr>
        <w:pStyle w:val="4"/>
        <w:rPr>
          <w:rFonts w:hint="eastAsia" w:ascii="仿宋" w:hAnsi="仿宋" w:eastAsia="仿宋" w:cs="仿宋"/>
          <w:color w:val="auto"/>
          <w:highlight w:val="none"/>
        </w:rPr>
      </w:pPr>
    </w:p>
    <w:p>
      <w:pPr>
        <w:pStyle w:val="4"/>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招标一览表</w:t>
      </w:r>
    </w:p>
    <w:p>
      <w:pPr>
        <w:pStyle w:val="5"/>
        <w:spacing w:line="24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标项</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2023-2024年度盈丰街道楼宇泛光照明养护项目</w:t>
      </w:r>
    </w:p>
    <w:tbl>
      <w:tblPr>
        <w:tblStyle w:val="62"/>
        <w:tblpPr w:leftFromText="180" w:rightFromText="180" w:vertAnchor="text" w:horzAnchor="margin" w:tblpXSpec="center" w:tblpY="63"/>
        <w:tblOverlap w:val="never"/>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3152"/>
        <w:gridCol w:w="600"/>
        <w:gridCol w:w="600"/>
        <w:gridCol w:w="1350"/>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3" w:hRule="atLeast"/>
          <w:jc w:val="center"/>
        </w:trPr>
        <w:tc>
          <w:tcPr>
            <w:tcW w:w="523"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152"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600"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600"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1350"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预算（元）</w:t>
            </w:r>
          </w:p>
        </w:tc>
        <w:tc>
          <w:tcPr>
            <w:tcW w:w="1331"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简要规格描述或基本情况介绍</w:t>
            </w:r>
          </w:p>
        </w:tc>
        <w:tc>
          <w:tcPr>
            <w:tcW w:w="1331"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jc w:val="center"/>
        </w:trPr>
        <w:tc>
          <w:tcPr>
            <w:tcW w:w="523"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152"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2023-2024年度盈丰街道楼宇泛光照明养护项目</w:t>
            </w:r>
          </w:p>
        </w:tc>
        <w:tc>
          <w:tcPr>
            <w:tcW w:w="600"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600"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年</w:t>
            </w:r>
          </w:p>
        </w:tc>
        <w:tc>
          <w:tcPr>
            <w:tcW w:w="1350" w:type="dxa"/>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14600000.00</w:t>
            </w:r>
          </w:p>
        </w:tc>
        <w:tc>
          <w:tcPr>
            <w:tcW w:w="1331" w:type="dxa"/>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详见</w:t>
            </w:r>
            <w:r>
              <w:rPr>
                <w:rFonts w:hint="eastAsia" w:ascii="仿宋" w:hAnsi="仿宋" w:eastAsia="仿宋" w:cs="仿宋"/>
                <w:color w:val="auto"/>
                <w:sz w:val="24"/>
                <w:szCs w:val="24"/>
                <w:highlight w:val="none"/>
              </w:rPr>
              <w:t>需求</w:t>
            </w:r>
          </w:p>
        </w:tc>
        <w:tc>
          <w:tcPr>
            <w:tcW w:w="1331" w:type="dxa"/>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14600000.00</w:t>
            </w:r>
          </w:p>
        </w:tc>
      </w:tr>
    </w:tbl>
    <w:p>
      <w:pPr>
        <w:pStyle w:val="4"/>
        <w:numPr>
          <w:ilvl w:val="0"/>
          <w:numId w:val="0"/>
        </w:numPr>
        <w:ind w:leftChars="0"/>
        <w:rPr>
          <w:rFonts w:hint="eastAsia" w:ascii="仿宋" w:hAnsi="仿宋" w:eastAsia="仿宋" w:cs="仿宋"/>
          <w:b/>
          <w:color w:val="auto"/>
          <w:sz w:val="22"/>
          <w:szCs w:val="22"/>
          <w:highlight w:val="none"/>
        </w:rPr>
      </w:pPr>
    </w:p>
    <w:p>
      <w:pPr>
        <w:rPr>
          <w:rFonts w:hint="eastAsia" w:ascii="仿宋" w:hAnsi="仿宋" w:eastAsia="仿宋" w:cs="仿宋"/>
          <w:b/>
          <w:color w:val="auto"/>
          <w:sz w:val="22"/>
          <w:szCs w:val="22"/>
          <w:highlight w:val="none"/>
        </w:rPr>
      </w:pPr>
    </w:p>
    <w:p>
      <w:pPr>
        <w:pStyle w:val="4"/>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采购需求</w:t>
      </w:r>
    </w:p>
    <w:p>
      <w:pPr>
        <w:keepNext w:val="0"/>
        <w:keepLines w:val="0"/>
        <w:pageBreakBefore w:val="0"/>
        <w:kinsoku/>
        <w:wordWrap/>
        <w:overflowPunct/>
        <w:topLinePunct w:val="0"/>
        <w:bidi w:val="0"/>
        <w:snapToGrid/>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一</w:t>
      </w:r>
      <w:r>
        <w:rPr>
          <w:rFonts w:hint="eastAsia" w:ascii="仿宋" w:hAnsi="仿宋" w:eastAsia="仿宋" w:cs="仿宋"/>
          <w:b/>
          <w:color w:val="auto"/>
          <w:sz w:val="24"/>
          <w:szCs w:val="24"/>
          <w:highlight w:val="none"/>
        </w:rPr>
        <w:t>、技术</w:t>
      </w:r>
      <w:r>
        <w:rPr>
          <w:rFonts w:hint="eastAsia" w:ascii="仿宋" w:hAnsi="仿宋" w:eastAsia="仿宋" w:cs="仿宋"/>
          <w:b/>
          <w:color w:val="auto"/>
          <w:sz w:val="24"/>
          <w:szCs w:val="24"/>
          <w:highlight w:val="none"/>
          <w:lang w:val="en-US" w:eastAsia="zh-CN"/>
        </w:rPr>
        <w:t>需求</w:t>
      </w:r>
    </w:p>
    <w:p>
      <w:pPr>
        <w:keepNext w:val="0"/>
        <w:keepLines w:val="0"/>
        <w:pageBreakBefore w:val="0"/>
        <w:numPr>
          <w:ilvl w:val="0"/>
          <w:numId w:val="0"/>
        </w:numPr>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服务范围：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为萧山区盈丰街道楼宇、安置小区泛光照明养护维修项目，楼宇泛光照明养护维修：江宁2期（明州医院）、国丰大厦、世纪晶钻、春和钱塘、万和国际、保亿中心、三宏国际、天林广场、国金中心、港汇中心、H-08商务综合体-左右世界、协和辉丰、诺德财富中心、丰盛大厦、望京大厦、丽晶国际、宝盛世纪中心、浙江商会大厦(含传化大厦)、明新广场-江南明城、宝信大厦外立面、农业发展大厦的泛光照明道。安置小区泛光照明养护维修：丰东花苑、宁东花苑、丰瑞南苑、盈一佳苑、佳丰北苑、利一家园、丰瑞北苑 、利二花苑、顺丰家园、丰北家园、佳丰南苑、七甲船闸、钱江枢纽闸站、天人大厦、和美家、顺发.佳境天城、顺发.江南丽锦、三宏国际、天林广场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考虑到亚运、巡查等要求，等其它采购人有临时要求的单体养护任务。</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val="en-US" w:eastAsia="zh-CN"/>
        </w:rPr>
        <w:t>泛光照明养护维修项目</w:t>
      </w:r>
      <w:r>
        <w:rPr>
          <w:rFonts w:hint="eastAsia" w:ascii="仿宋" w:hAnsi="仿宋" w:eastAsia="仿宋" w:cs="仿宋"/>
          <w:color w:val="auto"/>
          <w:sz w:val="24"/>
          <w:szCs w:val="24"/>
          <w:highlight w:val="none"/>
        </w:rPr>
        <w:t>范围内所有设施和设备进行</w:t>
      </w:r>
      <w:r>
        <w:rPr>
          <w:rFonts w:hint="eastAsia" w:ascii="仿宋" w:hAnsi="仿宋" w:eastAsia="仿宋" w:cs="仿宋"/>
          <w:color w:val="auto"/>
          <w:sz w:val="24"/>
          <w:szCs w:val="24"/>
          <w:highlight w:val="none"/>
          <w:lang w:val="en-US" w:eastAsia="zh-CN"/>
        </w:rPr>
        <w:t>养护、维修等</w:t>
      </w:r>
      <w:r>
        <w:rPr>
          <w:rFonts w:hint="eastAsia" w:ascii="仿宋" w:hAnsi="仿宋" w:eastAsia="仿宋" w:cs="仿宋"/>
          <w:color w:val="auto"/>
          <w:sz w:val="24"/>
          <w:szCs w:val="24"/>
          <w:highlight w:val="none"/>
        </w:rPr>
        <w:t>，确保设施、显示内容和控制网络</w:t>
      </w:r>
      <w:r>
        <w:rPr>
          <w:rFonts w:hint="eastAsia" w:ascii="仿宋" w:hAnsi="仿宋" w:eastAsia="仿宋" w:cs="仿宋"/>
          <w:color w:val="auto"/>
          <w:sz w:val="24"/>
          <w:szCs w:val="24"/>
          <w:highlight w:val="none"/>
          <w:lang w:val="en-US" w:eastAsia="zh-CN"/>
        </w:rPr>
        <w:t>等项目所包含的一切内容</w:t>
      </w:r>
      <w:r>
        <w:rPr>
          <w:rFonts w:hint="eastAsia" w:ascii="仿宋" w:hAnsi="仿宋" w:eastAsia="仿宋" w:cs="仿宋"/>
          <w:color w:val="auto"/>
          <w:sz w:val="24"/>
          <w:szCs w:val="24"/>
          <w:highlight w:val="none"/>
        </w:rPr>
        <w:t>安全正常。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设备要求：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所有设备的生产、制作、安装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养护、维修</w:t>
      </w:r>
      <w:r>
        <w:rPr>
          <w:rFonts w:hint="eastAsia" w:ascii="仿宋" w:hAnsi="仿宋" w:eastAsia="仿宋" w:cs="仿宋"/>
          <w:color w:val="auto"/>
          <w:sz w:val="24"/>
          <w:szCs w:val="24"/>
          <w:highlight w:val="none"/>
        </w:rPr>
        <w:t>等各项技术标准，应当符合国家（强制性）标准、规范要求；国家没有相应标准、规范的，可使用行业标准、规定。</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三、泛光照明养护维修</w:t>
      </w:r>
      <w:r>
        <w:rPr>
          <w:rFonts w:hint="eastAsia" w:ascii="仿宋" w:hAnsi="仿宋" w:eastAsia="仿宋" w:cs="仿宋"/>
          <w:color w:val="auto"/>
          <w:sz w:val="24"/>
          <w:szCs w:val="24"/>
          <w:highlight w:val="none"/>
        </w:rPr>
        <w:t>一览表：</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1、楼宇泛光照明养护维修：</w:t>
      </w:r>
    </w:p>
    <w:tbl>
      <w:tblPr>
        <w:tblStyle w:val="62"/>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5458"/>
        <w:gridCol w:w="107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序号</w:t>
            </w:r>
          </w:p>
        </w:tc>
        <w:tc>
          <w:tcPr>
            <w:tcW w:w="545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项目名称</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单位</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江宁2期（明州医院）</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国丰大厦</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世纪晶钻</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m</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春和钱塘</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万和国际</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裙房线型LED洗墙灯养护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单端壁灯养护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线条投光灯养护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点光源艺术装饰灯具养护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保亿中心</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LED线条灯养护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三宏国际</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φ50超高亮二次封装点光源养护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m</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线条洗墙灯养护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17</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LED内透灯</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18</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1°角投光灯养护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天林广场</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22</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LED点光源养护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国金中心</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m</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LED像素灯养护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港汇中心</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26</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27</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LED线条灯养护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H-08商务综合体-左右世界</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28</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29</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二次封装LED点光源养护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二次封装LED像素灯养护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31</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荧光灯养护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协和辉丰</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LED点光源养护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34</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LED投射灯养护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35</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36</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LED线条灯养护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诺德财富中心</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37</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壁灯养护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38</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39</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LED线条投光灯养护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40</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LED点光源养护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LED线条灯养护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丰盛大厦</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42</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望京大厦</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43</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44</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LED线条灯养护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丽晶国际</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45</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m</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宝盛世纪中心</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46</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LED点光源养护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47</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48</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LED线条灯养护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49</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浙江商会大厦(含传化大厦)</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50</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LED线条灯</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明新广场-江南明城</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51</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投光灯LED</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52</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洗墙灯</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53</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T5云石壁灯</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宝信大厦外立面</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54</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十字星光点源灯6W</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农业发展大厦</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55</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竖向LED点光源养护2.5W</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56</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屋顶投光灯养护150w钠灯</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57</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屋顶定制梦幻世界数码灯养护10w/L=1000mm</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58</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屋顶定制梦幻世界数码灯养护5w/L=500mm</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59</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屋顶定制梦幻世界数码灯养护13w/L=1350mm</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60</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屋顶定制梦幻世界数码灯养护8.5w/L=850mm</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成套配电箱养护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62</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成套配电箱养护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63</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成套配电箱养护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64</w:t>
            </w:r>
          </w:p>
        </w:tc>
        <w:tc>
          <w:tcPr>
            <w:tcW w:w="5458"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24V电源控制箱养护</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8"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p>
        </w:tc>
      </w:tr>
    </w:tbl>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2、安置小区泛光照明养护维修：</w:t>
      </w:r>
    </w:p>
    <w:tbl>
      <w:tblPr>
        <w:tblStyle w:val="62"/>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5440"/>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Merge w:val="restart"/>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序号</w:t>
            </w:r>
          </w:p>
        </w:tc>
        <w:tc>
          <w:tcPr>
            <w:tcW w:w="5440" w:type="dxa"/>
            <w:vMerge w:val="restart"/>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项目名称</w:t>
            </w:r>
          </w:p>
        </w:tc>
        <w:tc>
          <w:tcPr>
            <w:tcW w:w="1077" w:type="dxa"/>
            <w:vMerge w:val="restart"/>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单位</w:t>
            </w:r>
          </w:p>
        </w:tc>
        <w:tc>
          <w:tcPr>
            <w:tcW w:w="1077" w:type="dxa"/>
            <w:vMerge w:val="restart"/>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5" w:type="dxa"/>
            <w:vMerge w:val="continue"/>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vMerge w:val="continue"/>
            <w:shd w:val="clear" w:color="auto" w:fill="FFFFFF"/>
            <w:noWrap w:val="0"/>
            <w:vAlign w:val="center"/>
          </w:tcPr>
          <w:p>
            <w:pPr>
              <w:jc w:val="left"/>
              <w:rPr>
                <w:rFonts w:hint="eastAsia" w:ascii="仿宋" w:hAnsi="仿宋" w:eastAsia="仿宋" w:cs="仿宋"/>
                <w:color w:val="auto"/>
                <w:sz w:val="24"/>
                <w:szCs w:val="24"/>
                <w:highlight w:val="none"/>
              </w:rPr>
            </w:pPr>
          </w:p>
        </w:tc>
        <w:tc>
          <w:tcPr>
            <w:tcW w:w="1077" w:type="dxa"/>
            <w:vMerge w:val="continue"/>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vMerge w:val="continue"/>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钱江世纪城安置小区</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丰东花苑、宁东花苑</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丰瑞南苑</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盈一佳苑</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佳丰北苑</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利一家园</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丰瑞北苑</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利二花苑</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LED投光灯养护36W/3000K/30度/DC24V/COS∮≥0.9/IP65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LED投光灯养护12W/3000K/15度/DC24V/COS∮≥0.9/IP65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壁灯养护T5/56W/3000K/AC220V/COS∮≥0.9/IP65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LED洗墙灯养护36W/3000K/30度/L=1000MM/DC24V/COS∮≥0.9/IP65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LED洗墙灯养护24W/3000K/15度/L=500MM/DC24V/COS∮≥0.9/IP65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顺丰家园</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LED投光灯养护12W/3000K/8度/AC220V/COS∮≥0.9/IP65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LED洗墙灯养护15W/3000K/15度/L=1000MM/DC24V/COS∮≥0.9/IP65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LED洗墙灯养护15W/3000K/15度/L=500MM/DC24V/COS∮≥0.9/IP65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丰北家园</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LED投光灯养护36W/3000K/30度/DC24V/COS∮≥0.9/IP65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佳丰南苑</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LED投光灯养护36W/3000K/30度/DC24V/COS∮≥0.9/IP65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LED瓦楞灯养护1W/3000K/8度/DC24V/COS∮≥0.9/IP66</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LED射灯养护9W/3000K/15度/DC24V/COS∮≥0.9/IP66</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落地式成套配电箱养护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七甲船闸</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LED投光灯养护LED/36W/3000K/15°/L=1000mm/AC220V 50Hz/COSΦ≥0.9/IP65（含光源）</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LED地埋灯养护LED/36W/3000K/60°/L=1000mm/AC220V 50Hz/COSΦ≥0.9/IP67（含光源）</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落地式景观照明配电箱养护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钱江枢纽闸站</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LED瓦楞灯养护LED/1W/3000K/8°/DC24V/COSΦ≥0.9/IP65LED/1W/3000K/8°/DC24V/COSΦ≥0.9/IP65（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LED洗墙灯养护LED/15W/3000K/15°/L=1000mm/DC24V/COSΦ≥0.9/IP65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LED投光灯养护LED/18W/3000K/15°/AC220V/50Hz/COSΦ≥0.9/IP65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LED投光灯养护LED/72W/RGB/15°/L=1000mm/AC220V/50Hz/COSΦ≥0.9/IP65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LED投光灯养护LED/150W/5600K/30°/AC220V/50Hz/COSΦ≥0.9/IP65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LED地埋灯养护LED/36W/3000K/8°/AC220V/50Hz/COSΦ≥0.9/IP67</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落地式景观照明配电箱养护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落地式景观照明配电箱养护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主控器养护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天人大厦</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LED像素灯（L2）LED/ 18W/RGB/110°/L=1000mm/灯具支持DMX512通信协议的外置控制器/AC220V 50Hz/COSΦ≥0.9/IP65养护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LED点光源灯（L1）LED/1.2W/RGB/110°/相邻灯具中心间距：200mm/灯具支持DMX512通信协议的外置控制器/DC24/COSΦ≥0.9/IP65养护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LED像素灯（L3）LED/ 18W/5600K/110°/L=1000mm/AC220V 50Hz/COSΦ≥0.9/IP65养护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LED面板灯（L4)LED/ 30W/5600K/110°/L=1000mm/AC220V 50Hz/COSΦ≥0.9/IP65养护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主控器养护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分控器养护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适配器养护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和美家</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LED投光灯（L1）养护LED/24W/3000K/15°/L=1000mm/DC24V 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LED洗墙灯（L2）养护LED/15W/3000K/15°/L=1000mm/DC24V 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LED壁灯（L3）养护LED/12W/3000K/15°/DC24V 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顺发.佳境天城</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LED洗墙灯（L2）养护LED/15W/3000K/15°/L=1000mm/DC24V 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LED投光灯（L1）养护LED/24W/3000K/15°/L=1000mm/DC24V 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LED壁灯（L3）养护LED/12W/3000K/15°/DC24V 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顺发.江南丽锦</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LED洗墙灯（L2）养护ED/15W/3000K/15°/L=1000mm/DC24V 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LED投光灯（L1）养护LED/28W/3000K/15°/AC220V 50Hz/COSΦ≥0.9/IP65</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落地式配电箱养护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89</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开关电源养护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三宏国际</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90</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φ50超高亮二次封装点光源养护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91</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洗墙灯养护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m</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92</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线条洗墙灯养护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93</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LED内透灯</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94</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投光灯养护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95</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1°角投光灯养护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天林广场</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96</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LED投光灯养护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97</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LED洗墙灯养护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765"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98</w:t>
            </w:r>
          </w:p>
        </w:tc>
        <w:tc>
          <w:tcPr>
            <w:tcW w:w="5440" w:type="dxa"/>
            <w:shd w:val="clear" w:color="auto" w:fill="FFFFFF"/>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LED点光源养护</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套</w:t>
            </w:r>
          </w:p>
        </w:tc>
        <w:tc>
          <w:tcPr>
            <w:tcW w:w="1077" w:type="dxa"/>
            <w:shd w:val="clear" w:color="auto" w:fill="FFFFFF"/>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571</w:t>
            </w:r>
          </w:p>
        </w:tc>
      </w:tr>
    </w:tbl>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3、考虑到亚运、巡查等要求，等其它采购人有临时要求的单体养护任务。</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四、</w:t>
      </w:r>
      <w:r>
        <w:rPr>
          <w:rFonts w:hint="eastAsia" w:ascii="仿宋" w:hAnsi="仿宋" w:eastAsia="仿宋" w:cs="仿宋"/>
          <w:color w:val="auto"/>
          <w:sz w:val="24"/>
          <w:szCs w:val="24"/>
          <w:highlight w:val="none"/>
        </w:rPr>
        <w:t>安装施工及验收要求：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设备安装配套光源和其他必要附件，以达到安全、完整，保证设备正常工作。在设备安装完成时，应该进行试运行，在确保设备及运行满足设计及相关规范要求，经各方验收合格后进行相关移交工作。</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、设备技术要求：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照明设备所有带电部分应采用绝缘、遮拦或外护物保护，距地面2.5m以下的照明设备应使用工具才能打开外壳进行光源维护；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室外安装照明配电箱、开关电源箱与LED控制箱等应采用防水、防尘型，防护等级不应低于IP54，落地安装时箱底距地不小于300mm；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室外配电箱内元器件距地面2.5m以下的电气设备应借助于钥匙或工具才能开启；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LED灯具应选用专用开关电源，LED灯具输入电压应与开关电源输出电压一致；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在正常视角范围内的光源可直视灯具，必须采取有效防眩光措施，应将照明的光线严格控制在被照区域内，限制灯具产生的干扰光，超出被照区域的溢散光不应超过15%；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对人员可触及的照明设备，当表面高于60</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时，必须采用隔离保护措施；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照明灯具的功率因数不应小于0.9；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为保证不影响电源启动和照明效果，末端灯光电压偏差允许值为+5%、-10%，分支回路的线路走向可根据现场实际情况做适当调整。</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六</w:t>
      </w:r>
      <w:r>
        <w:rPr>
          <w:rFonts w:hint="eastAsia" w:ascii="仿宋" w:hAnsi="仿宋" w:eastAsia="仿宋" w:cs="仿宋"/>
          <w:b w:val="0"/>
          <w:bCs/>
          <w:color w:val="auto"/>
          <w:sz w:val="24"/>
          <w:szCs w:val="24"/>
          <w:highlight w:val="none"/>
        </w:rPr>
        <w:t>、养护要求</w:t>
      </w:r>
      <w:r>
        <w:rPr>
          <w:rFonts w:hint="eastAsia" w:ascii="仿宋" w:hAnsi="仿宋" w:eastAsia="仿宋" w:cs="仿宋"/>
          <w:b w:val="0"/>
          <w:bCs/>
          <w:color w:val="auto"/>
          <w:sz w:val="24"/>
          <w:szCs w:val="24"/>
          <w:highlight w:val="none"/>
          <w:lang w:eastAsia="zh-CN"/>
        </w:rPr>
        <w:t>：</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1、参数指标：</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泛光照明亮灯率在99.5%及以上，设施完好率在98%及以上。</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亮灯率定义：正常亮灯运行的亮灯数量与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第一次移交给中标人正常运行的亮灯数量的比值。</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设施完好率定义：完好设施数量与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第一次移交给中标人完好设施数量的比值。</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设施包括配电箱、主控、分控、支架、电缆、线槽和其他附属设施。</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2、养护响应：</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投标人应设专人与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联络，</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通知后应在24小时内响应，黑灯和线路故障通知后48小时内修复、拍照并文字回复</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，无法及时修复的应在时限内通知</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并说明原因，其他情况应在48小时内回复</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3、养护台账</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要求报送养护维修记录（包括电子台账）。养护维修记录应包括以下内容：养护车辆、人员、巡查设施清单、维修更换设施清单、故障类型和其他必要内容。</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4、照明配电箱：</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月一次设施巡查，每六个月测量一次各相电流、电压、接地电阻，对照《城市道路照明施工及验收规程》做好记录，定期清洁，及时修复故障，更换失效元器件，确保门锁灵活，配件齐全，编号清晰，运行安全。照明配电箱被撞坏应及时报警并尽快修复，修复费用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5、电缆管线：</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期巡视，防止打桩、开挖、重压、化学腐蚀等因素及自然灾害原因影响线路安全运行；对查出的线路缺陷、隐患等及时维修，认真处理，对照《城市道路照明施工及验收规程》做好记录，线缆被盗后应报警并采取防盗保护措施，线缆被人为损坏的，应通知</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、尽快修复并主动与损坏方沟通，修复费用包含在投标总价中。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6、工作井：</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工作井内应整齐清洁，不积水，井盖完好平整，不沉陷，井内线路走向、标志牌保持字迹清楚，及时修复破损的井盖，修复费用包含在投标总价中。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7、灯杆：</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每天巡视，十天完成所有灯杆的一轮巡查，修复破损的门盖、紧固螺栓、防腐油漆、混凝土包脚等，定期清洁灯杆。根据</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通知及时迁移、拆除设置不合理的灯杆，在需要处补装。每六个月一次测量接地电阻，检查灯杆编号、灯杆垂直度，发现灯杆上悬挂广告应及时通知</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。灯杆被撞坏应及时报警并尽快修复，修复费用包含在投标总价中。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8、灯具：</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每天巡视、及时更换失效或缺失的元器件，在质保期内的元器件应联系质保厂家供货，定期清洁灯具。灯具被盗被撞坏应及时报警并尽快修复，修复费用包含在投标总价中。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9、主控、分控：</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定期清洁泛光照明设施主控、分控，确保设施运行正常稳定。清洁、维修费用包含在投标总价中。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10、养护</w:t>
      </w:r>
      <w:r>
        <w:rPr>
          <w:rFonts w:hint="eastAsia" w:ascii="仿宋" w:hAnsi="仿宋" w:eastAsia="仿宋" w:cs="仿宋"/>
          <w:color w:val="auto"/>
          <w:sz w:val="24"/>
          <w:szCs w:val="24"/>
          <w:highlight w:val="none"/>
          <w:lang w:val="en-US" w:eastAsia="zh-CN"/>
        </w:rPr>
        <w:t>团队</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成立项目管理团队，明确职责分工，团队应该包项目负责人、技术负责人、施工员、安全员、质量员、资料员、材料员、特种作业人员、巡查值守人员、网络运维人员等岗位，并配备相应人员。养护团队配备人员10人及以上（包括项目负责人）。其中专职安全员</w:t>
      </w:r>
      <w:r>
        <w:rPr>
          <w:rFonts w:hint="eastAsia" w:ascii="仿宋" w:hAnsi="仿宋" w:eastAsia="仿宋" w:cs="仿宋"/>
          <w:b w:val="0"/>
          <w:bCs/>
          <w:color w:val="auto"/>
          <w:sz w:val="24"/>
          <w:szCs w:val="24"/>
          <w:highlight w:val="none"/>
          <w:lang w:val="en-US" w:eastAsia="zh-CN"/>
        </w:rPr>
        <w:t>具有</w:t>
      </w:r>
      <w:r>
        <w:rPr>
          <w:rFonts w:hint="eastAsia" w:ascii="仿宋" w:hAnsi="仿宋" w:eastAsia="仿宋" w:cs="仿宋"/>
          <w:b w:val="0"/>
          <w:bCs/>
          <w:color w:val="auto"/>
          <w:sz w:val="24"/>
          <w:szCs w:val="24"/>
          <w:highlight w:val="none"/>
        </w:rPr>
        <w:t>安全考核C类证书。</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所有人员经费包含在投标总价中。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11、车辆、工具等：</w:t>
      </w:r>
    </w:p>
    <w:p>
      <w:pPr>
        <w:keepNext w:val="0"/>
        <w:keepLines w:val="0"/>
        <w:pageBreakBefore w:val="0"/>
        <w:kinsoku/>
        <w:wordWrap/>
        <w:overflowPunct/>
        <w:topLinePunct w:val="0"/>
        <w:bidi w:val="0"/>
        <w:snapToGrid/>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▲①自有工程救险车一辆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行驶证上需标有“工程救险”</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② 自有登高车一辆</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提供发票及车辆行驶证</w:t>
      </w:r>
      <w:r>
        <w:rPr>
          <w:rFonts w:hint="eastAsia" w:ascii="仿宋" w:hAnsi="仿宋" w:eastAsia="仿宋" w:cs="仿宋"/>
          <w:b/>
          <w:bCs/>
          <w:color w:val="auto"/>
          <w:sz w:val="24"/>
          <w:szCs w:val="24"/>
          <w:highlight w:val="none"/>
          <w:lang w:val="en-US" w:eastAsia="zh-CN"/>
        </w:rPr>
        <w:t>材料</w:t>
      </w:r>
      <w:r>
        <w:rPr>
          <w:rFonts w:hint="eastAsia" w:ascii="仿宋" w:hAnsi="仿宋" w:eastAsia="仿宋" w:cs="仿宋"/>
          <w:b/>
          <w:bCs/>
          <w:color w:val="auto"/>
          <w:sz w:val="24"/>
          <w:szCs w:val="24"/>
          <w:highlight w:val="none"/>
          <w:lang w:eastAsia="zh-CN"/>
        </w:rPr>
        <w:t>）</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其余</w:t>
      </w:r>
      <w:r>
        <w:rPr>
          <w:rFonts w:hint="eastAsia" w:ascii="仿宋" w:hAnsi="仿宋" w:eastAsia="仿宋" w:cs="仿宋"/>
          <w:color w:val="auto"/>
          <w:sz w:val="24"/>
          <w:szCs w:val="24"/>
          <w:highlight w:val="none"/>
        </w:rPr>
        <w:t>所有车辆、检测仪器、工具及专用安全器材等</w:t>
      </w:r>
      <w:r>
        <w:rPr>
          <w:rFonts w:hint="eastAsia" w:ascii="仿宋" w:hAnsi="仿宋" w:eastAsia="仿宋" w:cs="仿宋"/>
          <w:color w:val="auto"/>
          <w:sz w:val="24"/>
          <w:szCs w:val="24"/>
          <w:highlight w:val="none"/>
          <w:lang w:val="en-US" w:eastAsia="zh-CN"/>
        </w:rPr>
        <w:t>也</w:t>
      </w:r>
      <w:r>
        <w:rPr>
          <w:rFonts w:hint="eastAsia" w:ascii="仿宋" w:hAnsi="仿宋" w:eastAsia="仿宋" w:cs="仿宋"/>
          <w:color w:val="auto"/>
          <w:sz w:val="24"/>
          <w:szCs w:val="24"/>
          <w:highlight w:val="none"/>
        </w:rPr>
        <w:t>均由投标人自备，包括保险，维修，燃油等，车辆使用费用包含在投标总价中。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12、养护材料：</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投标人使用的养护材料，必须经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书面确认后方可安装，养护材料质量不应低于现有泛光照明设施零件质量，材料采购和安装费用包含在投标总价中。确实采购困难的，可向</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递交书面说明，由</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统一采购并在养护费用中扣除。</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照明项目移交：</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本招标项目</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年后须移交给</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，移交项目配合费用已包含在投标总价中。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七</w:t>
      </w:r>
      <w:r>
        <w:rPr>
          <w:rFonts w:hint="eastAsia" w:ascii="仿宋" w:hAnsi="仿宋" w:eastAsia="仿宋" w:cs="仿宋"/>
          <w:color w:val="auto"/>
          <w:sz w:val="24"/>
          <w:szCs w:val="24"/>
          <w:highlight w:val="none"/>
        </w:rPr>
        <w:t>、服务承诺：</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维护</w:t>
      </w:r>
      <w:r>
        <w:rPr>
          <w:rFonts w:hint="eastAsia" w:ascii="仿宋" w:hAnsi="仿宋" w:eastAsia="仿宋" w:cs="仿宋"/>
          <w:color w:val="auto"/>
          <w:sz w:val="24"/>
          <w:szCs w:val="24"/>
          <w:highlight w:val="none"/>
        </w:rPr>
        <w:t>期内，中标人须承诺安排专业服务人员每周5×8小时的技术支持，负责日常所有设备</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维护</w:t>
      </w:r>
      <w:r>
        <w:rPr>
          <w:rFonts w:hint="eastAsia" w:ascii="仿宋" w:hAnsi="仿宋" w:eastAsia="仿宋" w:cs="仿宋"/>
          <w:color w:val="auto"/>
          <w:sz w:val="24"/>
          <w:szCs w:val="24"/>
          <w:highlight w:val="none"/>
          <w:lang w:val="en-US" w:eastAsia="zh-CN"/>
        </w:rPr>
        <w:t>保证正常运行</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中标人必须保证在维护期间除去地震、洪水、战争因素外每天设备完好率在98%以上（包括因人为因素造成的设备及系统的故障），必须安排专用设备和人员作为日常维护力量。</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设备维修和故障件替换服务，确保系统处于正常工作状态：中标人应提供快速技术服务，接到报修电话后，服务响应时间为2</w:t>
      </w:r>
      <w:r>
        <w:rPr>
          <w:rFonts w:hint="eastAsia" w:ascii="仿宋" w:hAnsi="仿宋" w:eastAsia="仿宋" w:cs="仿宋"/>
          <w:color w:val="auto"/>
          <w:sz w:val="24"/>
          <w:szCs w:val="24"/>
          <w:highlight w:val="none"/>
          <w:lang w:val="en-US" w:eastAsia="zh-CN"/>
        </w:rPr>
        <w:t>小时</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小时内到达故障现场，设备故障24小时内解决。若故障无法在</w:t>
      </w: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小时内解决的，中标人应提供备品备件进行临时更换，待维修设备维修完成后更换，以保证系统正常运行。</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中标人须配合</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的重大活动的技术保障工作。</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维护</w:t>
      </w:r>
      <w:r>
        <w:rPr>
          <w:rFonts w:hint="eastAsia" w:ascii="仿宋" w:hAnsi="仿宋" w:eastAsia="仿宋" w:cs="仿宋"/>
          <w:color w:val="auto"/>
          <w:sz w:val="24"/>
          <w:szCs w:val="24"/>
          <w:highlight w:val="none"/>
        </w:rPr>
        <w:t>期过后，中标人应同样提供免费电话咨询服务，并应承诺提供产品上门维护服务。</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维护</w:t>
      </w:r>
      <w:r>
        <w:rPr>
          <w:rFonts w:hint="eastAsia" w:ascii="仿宋" w:hAnsi="仿宋" w:eastAsia="仿宋" w:cs="仿宋"/>
          <w:color w:val="auto"/>
          <w:sz w:val="24"/>
          <w:szCs w:val="24"/>
          <w:highlight w:val="none"/>
        </w:rPr>
        <w:t>期过后，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如需要中标人提供售后服务的，中标人应以优惠价格提供售后服务。</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八</w:t>
      </w:r>
      <w:r>
        <w:rPr>
          <w:rFonts w:hint="eastAsia" w:ascii="仿宋" w:hAnsi="仿宋" w:eastAsia="仿宋" w:cs="仿宋"/>
          <w:color w:val="auto"/>
          <w:sz w:val="24"/>
          <w:szCs w:val="24"/>
          <w:highlight w:val="none"/>
        </w:rPr>
        <w:t>、其他要求</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养护维修人员须经过安全教育培训，严格按规定着装及穿戴，严格遵守《电工操作规程》及有关安全规章制度，严格按操作规程进行施工和作业。养护完毕做到工完料清、场净，中标人应对养护人员进行一年不少于二次的安全教育培训。</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2、未经照明管理部门许可，不得在非亮灯时段内通电检查维修。</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3、中标人应主动上报线缆施工等隐蔽工程进度，主动拍照留存，配合</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进行施工质量抽查，因违规施工导致照明设施重大损失或造成社会不良影响情节严重的，可终止合同。</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4、中标人应无条件服从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的调度管理。</w:t>
      </w:r>
    </w:p>
    <w:p>
      <w:pPr>
        <w:pStyle w:val="61"/>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p>
    <w:p>
      <w:pPr>
        <w:keepNext w:val="0"/>
        <w:keepLines w:val="0"/>
        <w:pageBreakBefore w:val="0"/>
        <w:kinsoku/>
        <w:wordWrap/>
        <w:overflowPunct/>
        <w:topLinePunct w:val="0"/>
        <w:bidi w:val="0"/>
        <w:snapToGrid/>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、商务</w:t>
      </w:r>
      <w:r>
        <w:rPr>
          <w:rFonts w:hint="eastAsia" w:ascii="仿宋" w:hAnsi="仿宋" w:eastAsia="仿宋" w:cs="仿宋"/>
          <w:b/>
          <w:color w:val="auto"/>
          <w:sz w:val="24"/>
          <w:szCs w:val="24"/>
          <w:highlight w:val="none"/>
          <w:lang w:val="en-US" w:eastAsia="zh-CN"/>
        </w:rPr>
        <w:t>需求</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服务时间</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1、服务时间：2年（具体时间以合同签订为准）。</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2、服务地点：采购人指定地点。</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二、付款方式</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同签订，且乙方缴纳合同金额的1%作为履约保证金后，甲方支付合同金额的20%作为预付款，本项目服务费用经确认后按季度结算付款，根据考核办法扣除考核金后拨付，付款时间为季度次月的10日前（遇节假顺延）支付；服务期满完成各项设施内容移交后，根据采购人各项考核验收成果一次性付清合同款，并无息退还履约保证金，具体要求在合同中明确。</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三、其他优惠条件</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由投标人提供。</w:t>
      </w: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highlight w:val="none"/>
          <w:lang w:val="en-US" w:eastAsia="zh-CN"/>
        </w:rPr>
      </w:pPr>
    </w:p>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24"/>
          <w:highlight w:val="none"/>
        </w:rPr>
        <w:t>注：招标文件中打▲内容为实质性要求，不允许有负偏离，否则将以涉及无效投标条款作无效投标。</w:t>
      </w:r>
    </w:p>
    <w:p>
      <w:pPr>
        <w:spacing w:line="360" w:lineRule="auto"/>
        <w:ind w:firstLine="181" w:firstLineChars="50"/>
        <w:rPr>
          <w:rFonts w:hint="eastAsia" w:ascii="仿宋" w:hAnsi="仿宋" w:eastAsia="仿宋" w:cs="仿宋"/>
          <w:b/>
          <w:color w:val="auto"/>
          <w:sz w:val="36"/>
          <w:szCs w:val="36"/>
          <w:highlight w:val="none"/>
        </w:rPr>
      </w:pPr>
    </w:p>
    <w:p>
      <w:pPr>
        <w:spacing w:line="360" w:lineRule="auto"/>
        <w:rPr>
          <w:rFonts w:hint="eastAsia" w:ascii="仿宋" w:hAnsi="仿宋" w:eastAsia="仿宋" w:cs="仿宋"/>
          <w:color w:val="auto"/>
          <w:sz w:val="24"/>
          <w:highlight w:val="none"/>
        </w:rPr>
      </w:pPr>
    </w:p>
    <w:p>
      <w:pPr>
        <w:widowControl/>
        <w:ind w:firstLine="720" w:firstLineChars="300"/>
        <w:jc w:val="left"/>
        <w:rPr>
          <w:rFonts w:hint="eastAsia" w:ascii="仿宋" w:hAnsi="仿宋" w:eastAsia="仿宋" w:cs="仿宋"/>
          <w:bCs/>
          <w:color w:val="auto"/>
          <w:sz w:val="24"/>
          <w:highlight w:val="none"/>
        </w:rPr>
      </w:pPr>
    </w:p>
    <w:p>
      <w:pPr>
        <w:rPr>
          <w:rFonts w:hint="eastAsia" w:ascii="仿宋" w:hAnsi="仿宋" w:eastAsia="仿宋" w:cs="仿宋"/>
          <w:snapToGrid w:val="0"/>
          <w:color w:val="auto"/>
          <w:kern w:val="0"/>
          <w:sz w:val="24"/>
          <w:highlight w:val="none"/>
        </w:r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30" w:name="_Toc184312085"/>
      <w:bookmarkEnd w:id="30"/>
      <w:bookmarkStart w:id="31" w:name="_Toc184313274"/>
      <w:bookmarkEnd w:id="31"/>
      <w:bookmarkStart w:id="32" w:name="_Toc184312083"/>
      <w:bookmarkEnd w:id="32"/>
      <w:bookmarkStart w:id="33" w:name="_Toc184312135"/>
      <w:bookmarkEnd w:id="33"/>
      <w:bookmarkStart w:id="34" w:name="_Toc184313310"/>
      <w:bookmarkEnd w:id="34"/>
      <w:bookmarkStart w:id="35" w:name="_Toc184313255"/>
      <w:bookmarkEnd w:id="35"/>
      <w:bookmarkStart w:id="36" w:name="_Toc184308066"/>
      <w:bookmarkEnd w:id="36"/>
      <w:bookmarkStart w:id="37" w:name="_Toc184310342"/>
      <w:bookmarkEnd w:id="37"/>
      <w:bookmarkStart w:id="38" w:name="_Toc184314431"/>
      <w:bookmarkEnd w:id="38"/>
      <w:bookmarkStart w:id="39" w:name="_Toc184308080"/>
      <w:bookmarkEnd w:id="39"/>
      <w:bookmarkStart w:id="40" w:name="_Toc184308088"/>
      <w:bookmarkEnd w:id="40"/>
      <w:bookmarkStart w:id="41" w:name="_Toc184313242"/>
      <w:bookmarkEnd w:id="41"/>
      <w:bookmarkStart w:id="42" w:name="_Toc184308038"/>
      <w:bookmarkEnd w:id="42"/>
      <w:bookmarkStart w:id="43" w:name="_Toc184314449"/>
      <w:bookmarkEnd w:id="43"/>
      <w:bookmarkStart w:id="44" w:name="_Toc184314480"/>
      <w:bookmarkEnd w:id="44"/>
      <w:bookmarkStart w:id="45" w:name="_Toc184308082"/>
      <w:bookmarkEnd w:id="45"/>
      <w:bookmarkStart w:id="46" w:name="_Toc184310293"/>
      <w:bookmarkEnd w:id="46"/>
      <w:bookmarkStart w:id="47" w:name="_Toc184312101"/>
      <w:bookmarkEnd w:id="47"/>
      <w:bookmarkStart w:id="48" w:name="_Toc184313302"/>
      <w:bookmarkEnd w:id="48"/>
      <w:bookmarkStart w:id="49" w:name="_Toc184308083"/>
      <w:bookmarkEnd w:id="49"/>
      <w:bookmarkStart w:id="50" w:name="_Toc184308039"/>
      <w:bookmarkEnd w:id="50"/>
      <w:bookmarkStart w:id="51" w:name="_Toc184310281"/>
      <w:bookmarkEnd w:id="51"/>
      <w:bookmarkStart w:id="52" w:name="_Toc184310331"/>
      <w:bookmarkEnd w:id="52"/>
      <w:bookmarkStart w:id="53" w:name="_Toc184313284"/>
      <w:bookmarkEnd w:id="53"/>
      <w:bookmarkStart w:id="54" w:name="_Toc184310305"/>
      <w:bookmarkEnd w:id="54"/>
      <w:bookmarkStart w:id="55" w:name="_Toc184314423"/>
      <w:bookmarkEnd w:id="55"/>
      <w:bookmarkStart w:id="56" w:name="_Toc184310313"/>
      <w:bookmarkEnd w:id="56"/>
      <w:bookmarkStart w:id="57" w:name="_Toc184310274"/>
      <w:bookmarkEnd w:id="57"/>
      <w:bookmarkStart w:id="58" w:name="_Toc184310327"/>
      <w:bookmarkEnd w:id="58"/>
      <w:bookmarkStart w:id="59" w:name="_Toc184308057"/>
      <w:bookmarkEnd w:id="59"/>
      <w:bookmarkStart w:id="60" w:name="_Toc184313258"/>
      <w:bookmarkEnd w:id="60"/>
      <w:bookmarkStart w:id="61" w:name="_Toc184312136"/>
      <w:bookmarkEnd w:id="61"/>
      <w:bookmarkStart w:id="62" w:name="_Toc184308071"/>
      <w:bookmarkEnd w:id="62"/>
      <w:bookmarkStart w:id="63" w:name="_Toc184314472"/>
      <w:bookmarkEnd w:id="63"/>
      <w:bookmarkStart w:id="64" w:name="_Toc184313240"/>
      <w:bookmarkEnd w:id="64"/>
      <w:bookmarkStart w:id="65" w:name="_Toc184312115"/>
      <w:bookmarkEnd w:id="65"/>
      <w:bookmarkStart w:id="66" w:name="_Toc184310320"/>
      <w:bookmarkEnd w:id="66"/>
      <w:bookmarkStart w:id="67" w:name="_Toc184313293"/>
      <w:bookmarkEnd w:id="67"/>
      <w:bookmarkStart w:id="68" w:name="_Toc184312076"/>
      <w:bookmarkEnd w:id="68"/>
      <w:bookmarkStart w:id="69" w:name="_Toc184313289"/>
      <w:bookmarkEnd w:id="69"/>
      <w:bookmarkStart w:id="70" w:name="_Toc184313287"/>
      <w:bookmarkEnd w:id="70"/>
      <w:bookmarkStart w:id="71" w:name="_Toc184314457"/>
      <w:bookmarkEnd w:id="71"/>
      <w:bookmarkStart w:id="72" w:name="_Toc184314452"/>
      <w:bookmarkEnd w:id="72"/>
      <w:bookmarkStart w:id="73" w:name="_Toc184314471"/>
      <w:bookmarkEnd w:id="73"/>
      <w:bookmarkStart w:id="74" w:name="_Toc184314430"/>
      <w:bookmarkEnd w:id="74"/>
      <w:bookmarkStart w:id="75" w:name="_Toc184312080"/>
      <w:bookmarkEnd w:id="75"/>
      <w:bookmarkStart w:id="76" w:name="_Toc184314410"/>
      <w:bookmarkEnd w:id="76"/>
      <w:bookmarkStart w:id="77" w:name="_Toc184313276"/>
      <w:bookmarkEnd w:id="77"/>
      <w:bookmarkStart w:id="78" w:name="_Toc184308047"/>
      <w:bookmarkEnd w:id="78"/>
      <w:bookmarkStart w:id="79" w:name="_Toc184312070"/>
      <w:bookmarkEnd w:id="79"/>
      <w:bookmarkStart w:id="80" w:name="_Toc184310308"/>
      <w:bookmarkEnd w:id="80"/>
      <w:bookmarkStart w:id="81" w:name="_Toc184314465"/>
      <w:bookmarkEnd w:id="81"/>
      <w:bookmarkStart w:id="82" w:name="_Toc184313283"/>
      <w:bookmarkEnd w:id="82"/>
      <w:bookmarkStart w:id="83" w:name="_Toc184312103"/>
      <w:bookmarkEnd w:id="83"/>
      <w:bookmarkStart w:id="84" w:name="_Toc184308067"/>
      <w:bookmarkEnd w:id="84"/>
      <w:bookmarkStart w:id="85" w:name="_Toc184312107"/>
      <w:bookmarkEnd w:id="85"/>
      <w:bookmarkStart w:id="86" w:name="_Toc184314479"/>
      <w:bookmarkEnd w:id="86"/>
      <w:bookmarkStart w:id="87" w:name="_Toc184310295"/>
      <w:bookmarkEnd w:id="87"/>
      <w:bookmarkStart w:id="88" w:name="_Toc184310310"/>
      <w:bookmarkEnd w:id="88"/>
      <w:bookmarkStart w:id="89" w:name="_Toc184308093"/>
      <w:bookmarkEnd w:id="89"/>
      <w:bookmarkStart w:id="90" w:name="_Toc184310282"/>
      <w:bookmarkEnd w:id="90"/>
      <w:bookmarkStart w:id="91" w:name="_Toc184314467"/>
      <w:bookmarkEnd w:id="91"/>
      <w:bookmarkStart w:id="92" w:name="_Toc184314475"/>
      <w:bookmarkEnd w:id="92"/>
      <w:bookmarkStart w:id="93" w:name="_Toc184312119"/>
      <w:bookmarkEnd w:id="93"/>
      <w:bookmarkStart w:id="94" w:name="_Toc184312110"/>
      <w:bookmarkEnd w:id="94"/>
      <w:bookmarkStart w:id="95" w:name="_Toc184312074"/>
      <w:bookmarkEnd w:id="95"/>
      <w:bookmarkStart w:id="96" w:name="_Toc184308053"/>
      <w:bookmarkEnd w:id="96"/>
      <w:bookmarkStart w:id="97" w:name="_Toc184310292"/>
      <w:bookmarkEnd w:id="97"/>
      <w:bookmarkStart w:id="98" w:name="_Toc184312102"/>
      <w:bookmarkEnd w:id="98"/>
      <w:bookmarkStart w:id="99" w:name="_Toc184308049"/>
      <w:bookmarkEnd w:id="99"/>
      <w:bookmarkStart w:id="100" w:name="_Toc184310306"/>
      <w:bookmarkEnd w:id="100"/>
      <w:bookmarkStart w:id="101" w:name="_Toc184310340"/>
      <w:bookmarkEnd w:id="101"/>
      <w:bookmarkStart w:id="102" w:name="_Toc184314425"/>
      <w:bookmarkEnd w:id="102"/>
      <w:bookmarkStart w:id="103" w:name="_Toc184310343"/>
      <w:bookmarkEnd w:id="103"/>
      <w:bookmarkStart w:id="104" w:name="_Toc184308087"/>
      <w:bookmarkEnd w:id="104"/>
      <w:bookmarkStart w:id="105" w:name="_Toc184312072"/>
      <w:bookmarkEnd w:id="105"/>
      <w:bookmarkStart w:id="106" w:name="_Toc184313260"/>
      <w:bookmarkEnd w:id="106"/>
      <w:bookmarkStart w:id="107" w:name="_Toc184312105"/>
      <w:bookmarkEnd w:id="107"/>
      <w:bookmarkStart w:id="108" w:name="_Toc184310298"/>
      <w:bookmarkEnd w:id="108"/>
      <w:bookmarkStart w:id="109" w:name="_Toc184310300"/>
      <w:bookmarkEnd w:id="109"/>
      <w:bookmarkStart w:id="110" w:name="_Toc184308097"/>
      <w:bookmarkEnd w:id="110"/>
      <w:bookmarkStart w:id="111" w:name="_Toc184308055"/>
      <w:bookmarkEnd w:id="111"/>
      <w:bookmarkStart w:id="112" w:name="_Toc184312093"/>
      <w:bookmarkEnd w:id="112"/>
      <w:bookmarkStart w:id="113" w:name="_Toc184314418"/>
      <w:bookmarkEnd w:id="113"/>
      <w:bookmarkStart w:id="114" w:name="_Toc184312088"/>
      <w:bookmarkEnd w:id="114"/>
      <w:bookmarkStart w:id="115" w:name="_Toc184314466"/>
      <w:bookmarkEnd w:id="115"/>
      <w:bookmarkStart w:id="116" w:name="_Toc184313278"/>
      <w:bookmarkEnd w:id="116"/>
      <w:bookmarkStart w:id="117" w:name="_Toc184314468"/>
      <w:bookmarkEnd w:id="117"/>
      <w:bookmarkStart w:id="118" w:name="_Toc184308068"/>
      <w:bookmarkEnd w:id="118"/>
      <w:bookmarkStart w:id="119" w:name="_Toc184314440"/>
      <w:bookmarkEnd w:id="119"/>
      <w:bookmarkStart w:id="120" w:name="_Toc184312124"/>
      <w:bookmarkEnd w:id="120"/>
      <w:bookmarkStart w:id="121" w:name="_Toc184310304"/>
      <w:bookmarkEnd w:id="121"/>
      <w:bookmarkStart w:id="122" w:name="_Toc184314435"/>
      <w:bookmarkEnd w:id="122"/>
      <w:bookmarkStart w:id="123" w:name="_Toc184310336"/>
      <w:bookmarkEnd w:id="123"/>
      <w:bookmarkStart w:id="124" w:name="_Toc184313288"/>
      <w:bookmarkEnd w:id="124"/>
      <w:bookmarkStart w:id="125" w:name="_Toc184314455"/>
      <w:bookmarkEnd w:id="125"/>
      <w:bookmarkStart w:id="126" w:name="_Toc184308052"/>
      <w:bookmarkEnd w:id="126"/>
      <w:bookmarkStart w:id="127" w:name="_Toc184312117"/>
      <w:bookmarkEnd w:id="127"/>
      <w:bookmarkStart w:id="128" w:name="_Toc184314416"/>
      <w:bookmarkEnd w:id="128"/>
      <w:bookmarkStart w:id="129" w:name="_Toc184310319"/>
      <w:bookmarkEnd w:id="129"/>
      <w:bookmarkStart w:id="130" w:name="_Toc184310329"/>
      <w:bookmarkEnd w:id="130"/>
      <w:bookmarkStart w:id="131" w:name="_Toc184308106"/>
      <w:bookmarkEnd w:id="131"/>
      <w:bookmarkStart w:id="132" w:name="_Toc184310278"/>
      <w:bookmarkEnd w:id="132"/>
      <w:bookmarkStart w:id="133" w:name="_Toc184313297"/>
      <w:bookmarkEnd w:id="133"/>
      <w:bookmarkStart w:id="134" w:name="_Toc184314426"/>
      <w:bookmarkEnd w:id="134"/>
      <w:bookmarkStart w:id="135" w:name="_Toc184312104"/>
      <w:bookmarkEnd w:id="135"/>
      <w:bookmarkStart w:id="136" w:name="_Toc184312075"/>
      <w:bookmarkEnd w:id="136"/>
      <w:bookmarkStart w:id="137" w:name="_Toc184313309"/>
      <w:bookmarkEnd w:id="137"/>
      <w:bookmarkStart w:id="138" w:name="_Toc184313295"/>
      <w:bookmarkEnd w:id="138"/>
      <w:bookmarkStart w:id="139" w:name="_Toc184310338"/>
      <w:bookmarkEnd w:id="139"/>
      <w:bookmarkStart w:id="140" w:name="_Toc184314444"/>
      <w:bookmarkEnd w:id="140"/>
      <w:bookmarkStart w:id="141" w:name="_Toc184310324"/>
      <w:bookmarkEnd w:id="141"/>
      <w:bookmarkStart w:id="142" w:name="_Toc184313252"/>
      <w:bookmarkEnd w:id="142"/>
      <w:bookmarkStart w:id="143" w:name="_Toc184314429"/>
      <w:bookmarkEnd w:id="143"/>
      <w:bookmarkStart w:id="144" w:name="_Toc184308098"/>
      <w:bookmarkEnd w:id="144"/>
      <w:bookmarkStart w:id="145" w:name="_Toc184314411"/>
      <w:bookmarkEnd w:id="145"/>
      <w:bookmarkStart w:id="146" w:name="_Toc184313286"/>
      <w:bookmarkEnd w:id="146"/>
      <w:bookmarkStart w:id="147" w:name="_Toc184310326"/>
      <w:bookmarkEnd w:id="147"/>
      <w:bookmarkStart w:id="148" w:name="_Toc184314413"/>
      <w:bookmarkEnd w:id="148"/>
      <w:bookmarkStart w:id="149" w:name="_Toc184314421"/>
      <w:bookmarkEnd w:id="149"/>
      <w:bookmarkStart w:id="150" w:name="_Toc184314436"/>
      <w:bookmarkEnd w:id="150"/>
      <w:bookmarkStart w:id="151" w:name="_Toc184308073"/>
      <w:bookmarkEnd w:id="151"/>
      <w:bookmarkStart w:id="152" w:name="_Toc184310272"/>
      <w:bookmarkEnd w:id="152"/>
      <w:bookmarkStart w:id="153" w:name="_Toc184314481"/>
      <w:bookmarkEnd w:id="153"/>
      <w:bookmarkStart w:id="154" w:name="_Toc184310312"/>
      <w:bookmarkEnd w:id="154"/>
      <w:bookmarkStart w:id="155" w:name="_Toc184312128"/>
      <w:bookmarkEnd w:id="155"/>
      <w:bookmarkStart w:id="156" w:name="_Toc184312099"/>
      <w:bookmarkEnd w:id="156"/>
      <w:bookmarkStart w:id="157" w:name="_Toc184308060"/>
      <w:bookmarkEnd w:id="157"/>
      <w:bookmarkStart w:id="158" w:name="_Toc184310283"/>
      <w:bookmarkEnd w:id="158"/>
      <w:bookmarkStart w:id="159" w:name="_Toc184314456"/>
      <w:bookmarkEnd w:id="159"/>
      <w:bookmarkStart w:id="160" w:name="_Toc184314441"/>
      <w:bookmarkEnd w:id="160"/>
      <w:bookmarkStart w:id="161" w:name="_Toc184312095"/>
      <w:bookmarkEnd w:id="161"/>
      <w:bookmarkStart w:id="162" w:name="_Toc184312078"/>
      <w:bookmarkEnd w:id="162"/>
      <w:bookmarkStart w:id="163" w:name="_Toc184313268"/>
      <w:bookmarkEnd w:id="163"/>
      <w:bookmarkStart w:id="164" w:name="_Toc184308036"/>
      <w:bookmarkEnd w:id="164"/>
      <w:bookmarkStart w:id="165" w:name="_Toc184312139"/>
      <w:bookmarkEnd w:id="165"/>
      <w:bookmarkStart w:id="166" w:name="_Toc184312086"/>
      <w:bookmarkEnd w:id="166"/>
      <w:bookmarkStart w:id="167" w:name="_Toc184312131"/>
      <w:bookmarkEnd w:id="167"/>
      <w:bookmarkStart w:id="168" w:name="_Toc184314451"/>
      <w:bookmarkEnd w:id="168"/>
      <w:bookmarkStart w:id="169" w:name="_Toc184308050"/>
      <w:bookmarkEnd w:id="169"/>
      <w:bookmarkStart w:id="170" w:name="_Toc184313271"/>
      <w:bookmarkEnd w:id="170"/>
      <w:bookmarkStart w:id="171" w:name="_Toc184313291"/>
      <w:bookmarkEnd w:id="171"/>
      <w:bookmarkStart w:id="172" w:name="_Toc184314415"/>
      <w:bookmarkEnd w:id="172"/>
      <w:bookmarkStart w:id="173" w:name="_Toc184314460"/>
      <w:bookmarkEnd w:id="173"/>
      <w:bookmarkStart w:id="174" w:name="_Toc184308037"/>
      <w:bookmarkEnd w:id="174"/>
      <w:bookmarkStart w:id="175" w:name="_Toc184308051"/>
      <w:bookmarkEnd w:id="175"/>
      <w:bookmarkStart w:id="176" w:name="_Toc184308108"/>
      <w:bookmarkEnd w:id="176"/>
      <w:bookmarkStart w:id="177" w:name="_Toc184310334"/>
      <w:bookmarkEnd w:id="177"/>
      <w:bookmarkStart w:id="178" w:name="_Toc184313263"/>
      <w:bookmarkEnd w:id="178"/>
      <w:bookmarkStart w:id="179" w:name="_Toc184312094"/>
      <w:bookmarkEnd w:id="179"/>
      <w:bookmarkStart w:id="180" w:name="_Toc184312091"/>
      <w:bookmarkEnd w:id="180"/>
      <w:bookmarkStart w:id="181" w:name="_Toc184314469"/>
      <w:bookmarkEnd w:id="181"/>
      <w:bookmarkStart w:id="182" w:name="_Toc184313301"/>
      <w:bookmarkEnd w:id="182"/>
      <w:bookmarkStart w:id="183" w:name="_Toc184312096"/>
      <w:bookmarkEnd w:id="183"/>
      <w:bookmarkStart w:id="184" w:name="_Toc184312112"/>
      <w:bookmarkEnd w:id="184"/>
      <w:bookmarkStart w:id="185" w:name="_Toc184313246"/>
      <w:bookmarkEnd w:id="185"/>
      <w:bookmarkStart w:id="186" w:name="_Toc184308085"/>
      <w:bookmarkEnd w:id="186"/>
      <w:bookmarkStart w:id="187" w:name="_Toc184310280"/>
      <w:bookmarkEnd w:id="187"/>
      <w:bookmarkStart w:id="188" w:name="_Toc184308107"/>
      <w:bookmarkEnd w:id="188"/>
      <w:bookmarkStart w:id="189" w:name="_Toc184314424"/>
      <w:bookmarkEnd w:id="189"/>
      <w:bookmarkStart w:id="190" w:name="_Toc184308101"/>
      <w:bookmarkEnd w:id="190"/>
      <w:bookmarkStart w:id="191" w:name="_Toc184312134"/>
      <w:bookmarkEnd w:id="191"/>
      <w:bookmarkStart w:id="192" w:name="_Toc184310323"/>
      <w:bookmarkEnd w:id="192"/>
      <w:bookmarkStart w:id="193" w:name="_Toc184308069"/>
      <w:bookmarkEnd w:id="193"/>
      <w:bookmarkStart w:id="194" w:name="_Toc184314420"/>
      <w:bookmarkEnd w:id="194"/>
      <w:bookmarkStart w:id="195" w:name="_Toc184314450"/>
      <w:bookmarkEnd w:id="195"/>
      <w:bookmarkStart w:id="196" w:name="_Toc184308078"/>
      <w:bookmarkEnd w:id="196"/>
      <w:bookmarkStart w:id="197" w:name="_Toc184308063"/>
      <w:bookmarkEnd w:id="197"/>
      <w:bookmarkStart w:id="198" w:name="_Toc184308074"/>
      <w:bookmarkEnd w:id="198"/>
      <w:bookmarkStart w:id="199" w:name="_Toc184314445"/>
      <w:bookmarkEnd w:id="199"/>
      <w:bookmarkStart w:id="200" w:name="_Toc184314428"/>
      <w:bookmarkEnd w:id="200"/>
      <w:bookmarkStart w:id="201" w:name="_Toc184308046"/>
      <w:bookmarkEnd w:id="201"/>
      <w:bookmarkStart w:id="202" w:name="_Toc184312090"/>
      <w:bookmarkEnd w:id="202"/>
      <w:bookmarkStart w:id="203" w:name="_Toc184308100"/>
      <w:bookmarkEnd w:id="203"/>
      <w:bookmarkStart w:id="204" w:name="_Toc184310309"/>
      <w:bookmarkEnd w:id="204"/>
      <w:bookmarkStart w:id="205" w:name="_Toc184308092"/>
      <w:bookmarkEnd w:id="205"/>
      <w:bookmarkStart w:id="206" w:name="_Toc184314422"/>
      <w:bookmarkEnd w:id="206"/>
      <w:bookmarkStart w:id="207" w:name="_Toc184313296"/>
      <w:bookmarkEnd w:id="207"/>
      <w:bookmarkStart w:id="208" w:name="_Toc184313307"/>
      <w:bookmarkEnd w:id="208"/>
      <w:bookmarkStart w:id="209" w:name="_Toc184314478"/>
      <w:bookmarkEnd w:id="209"/>
      <w:bookmarkStart w:id="210" w:name="_Toc184313277"/>
      <w:bookmarkEnd w:id="210"/>
      <w:bookmarkStart w:id="211" w:name="_Toc184308079"/>
      <w:bookmarkEnd w:id="211"/>
      <w:bookmarkStart w:id="212" w:name="_Toc184313273"/>
      <w:bookmarkEnd w:id="212"/>
      <w:bookmarkStart w:id="213" w:name="_Toc184312129"/>
      <w:bookmarkEnd w:id="213"/>
      <w:bookmarkStart w:id="214" w:name="_Toc184313248"/>
      <w:bookmarkEnd w:id="214"/>
      <w:bookmarkStart w:id="215" w:name="_Toc184308099"/>
      <w:bookmarkEnd w:id="215"/>
      <w:bookmarkStart w:id="216" w:name="_Toc184312079"/>
      <w:bookmarkEnd w:id="216"/>
      <w:bookmarkStart w:id="217" w:name="_Toc184312109"/>
      <w:bookmarkEnd w:id="217"/>
      <w:bookmarkStart w:id="218" w:name="_Toc184310285"/>
      <w:bookmarkEnd w:id="218"/>
      <w:bookmarkStart w:id="219" w:name="_Toc184314427"/>
      <w:bookmarkEnd w:id="219"/>
      <w:bookmarkStart w:id="220" w:name="_Toc184314414"/>
      <w:bookmarkEnd w:id="220"/>
      <w:bookmarkStart w:id="221" w:name="_Toc184312073"/>
      <w:bookmarkEnd w:id="221"/>
      <w:bookmarkStart w:id="222" w:name="_Toc184310273"/>
      <w:bookmarkEnd w:id="222"/>
      <w:bookmarkStart w:id="223" w:name="_Toc184312098"/>
      <w:bookmarkEnd w:id="223"/>
      <w:bookmarkStart w:id="224" w:name="_Toc184313280"/>
      <w:bookmarkEnd w:id="224"/>
      <w:bookmarkStart w:id="225" w:name="_Toc184310287"/>
      <w:bookmarkEnd w:id="225"/>
      <w:bookmarkStart w:id="226" w:name="_Toc184313243"/>
      <w:bookmarkEnd w:id="226"/>
      <w:bookmarkStart w:id="227" w:name="_Toc184314454"/>
      <w:bookmarkEnd w:id="227"/>
      <w:bookmarkStart w:id="228" w:name="_Toc184310302"/>
      <w:bookmarkEnd w:id="228"/>
      <w:bookmarkStart w:id="229" w:name="_Toc184312132"/>
      <w:bookmarkEnd w:id="229"/>
      <w:bookmarkStart w:id="230" w:name="_Toc184313249"/>
      <w:bookmarkEnd w:id="230"/>
      <w:bookmarkStart w:id="231" w:name="_Toc184313306"/>
      <w:bookmarkEnd w:id="231"/>
      <w:bookmarkStart w:id="232" w:name="_Toc184313285"/>
      <w:bookmarkEnd w:id="232"/>
      <w:bookmarkStart w:id="233" w:name="_Toc184310307"/>
      <w:bookmarkEnd w:id="233"/>
      <w:bookmarkStart w:id="234" w:name="_Toc184313270"/>
      <w:bookmarkEnd w:id="234"/>
      <w:bookmarkStart w:id="235" w:name="_Toc184314476"/>
      <w:bookmarkEnd w:id="235"/>
      <w:bookmarkStart w:id="236" w:name="_Toc184314446"/>
      <w:bookmarkEnd w:id="236"/>
      <w:bookmarkStart w:id="237" w:name="_Toc184308048"/>
      <w:bookmarkEnd w:id="237"/>
      <w:bookmarkStart w:id="238" w:name="_Toc184312071"/>
      <w:bookmarkEnd w:id="238"/>
      <w:bookmarkStart w:id="239" w:name="_Toc184313281"/>
      <w:bookmarkEnd w:id="239"/>
      <w:bookmarkStart w:id="240" w:name="_Toc184308059"/>
      <w:bookmarkEnd w:id="240"/>
      <w:bookmarkStart w:id="241" w:name="_Toc184313282"/>
      <w:bookmarkEnd w:id="241"/>
      <w:bookmarkStart w:id="242" w:name="_Toc184314419"/>
      <w:bookmarkEnd w:id="242"/>
      <w:bookmarkStart w:id="243" w:name="_Toc184313247"/>
      <w:bookmarkEnd w:id="243"/>
      <w:bookmarkStart w:id="244" w:name="_Toc184314448"/>
      <w:bookmarkEnd w:id="244"/>
      <w:bookmarkStart w:id="245" w:name="_Toc184314464"/>
      <w:bookmarkEnd w:id="245"/>
      <w:bookmarkStart w:id="246" w:name="_Toc184308043"/>
      <w:bookmarkEnd w:id="246"/>
      <w:bookmarkStart w:id="247" w:name="_Toc184310284"/>
      <w:bookmarkEnd w:id="247"/>
      <w:bookmarkStart w:id="248" w:name="_Toc184314437"/>
      <w:bookmarkEnd w:id="248"/>
      <w:bookmarkStart w:id="249" w:name="_Toc184314473"/>
      <w:bookmarkEnd w:id="249"/>
      <w:bookmarkStart w:id="250" w:name="_Toc184312122"/>
      <w:bookmarkEnd w:id="250"/>
      <w:bookmarkStart w:id="251" w:name="_Toc184312069"/>
      <w:bookmarkEnd w:id="251"/>
      <w:bookmarkStart w:id="252" w:name="_Toc184308072"/>
      <w:bookmarkEnd w:id="252"/>
      <w:bookmarkStart w:id="253" w:name="_Toc184308041"/>
      <w:bookmarkEnd w:id="253"/>
      <w:bookmarkStart w:id="254" w:name="_Toc184310328"/>
      <w:bookmarkEnd w:id="254"/>
      <w:bookmarkStart w:id="255" w:name="_Toc184313245"/>
      <w:bookmarkEnd w:id="255"/>
      <w:bookmarkStart w:id="256" w:name="_Toc184313241"/>
      <w:bookmarkEnd w:id="256"/>
      <w:bookmarkStart w:id="257" w:name="_Toc184313250"/>
      <w:bookmarkEnd w:id="257"/>
      <w:bookmarkStart w:id="258" w:name="_Toc184313269"/>
      <w:bookmarkEnd w:id="258"/>
      <w:bookmarkStart w:id="259" w:name="_Toc184310296"/>
      <w:bookmarkEnd w:id="259"/>
      <w:bookmarkStart w:id="260" w:name="_Toc184312077"/>
      <w:bookmarkEnd w:id="260"/>
      <w:bookmarkStart w:id="261" w:name="_Toc184312087"/>
      <w:bookmarkEnd w:id="261"/>
      <w:bookmarkStart w:id="262" w:name="_Toc184314459"/>
      <w:bookmarkEnd w:id="262"/>
      <w:bookmarkStart w:id="263" w:name="_Toc184308091"/>
      <w:bookmarkEnd w:id="263"/>
      <w:bookmarkStart w:id="264" w:name="_Toc184313304"/>
      <w:bookmarkEnd w:id="264"/>
      <w:bookmarkStart w:id="265" w:name="_Toc184312126"/>
      <w:bookmarkEnd w:id="265"/>
      <w:bookmarkStart w:id="266" w:name="_Toc184310289"/>
      <w:bookmarkEnd w:id="266"/>
      <w:bookmarkStart w:id="267" w:name="_Toc184312130"/>
      <w:bookmarkEnd w:id="267"/>
      <w:bookmarkStart w:id="268" w:name="_Toc184312106"/>
      <w:bookmarkEnd w:id="268"/>
      <w:bookmarkStart w:id="269" w:name="_Toc184310315"/>
      <w:bookmarkEnd w:id="269"/>
      <w:bookmarkStart w:id="270" w:name="_Toc184314474"/>
      <w:bookmarkEnd w:id="270"/>
      <w:bookmarkStart w:id="271" w:name="_Toc184310290"/>
      <w:bookmarkEnd w:id="271"/>
      <w:bookmarkStart w:id="272" w:name="_Toc184313275"/>
      <w:bookmarkEnd w:id="272"/>
      <w:bookmarkStart w:id="273" w:name="_Toc184313272"/>
      <w:bookmarkEnd w:id="273"/>
      <w:bookmarkStart w:id="274" w:name="_Toc184314442"/>
      <w:bookmarkEnd w:id="274"/>
      <w:bookmarkStart w:id="275" w:name="_Toc184308103"/>
      <w:bookmarkEnd w:id="275"/>
      <w:bookmarkStart w:id="276" w:name="_Toc184310330"/>
      <w:bookmarkEnd w:id="276"/>
      <w:bookmarkStart w:id="277" w:name="_Toc184312123"/>
      <w:bookmarkEnd w:id="277"/>
      <w:bookmarkStart w:id="278" w:name="_Toc184310303"/>
      <w:bookmarkEnd w:id="278"/>
      <w:bookmarkStart w:id="279" w:name="_Toc184314477"/>
      <w:bookmarkEnd w:id="279"/>
      <w:bookmarkStart w:id="280" w:name="_Toc184313244"/>
      <w:bookmarkEnd w:id="280"/>
      <w:bookmarkStart w:id="281" w:name="_Toc184308075"/>
      <w:bookmarkEnd w:id="281"/>
      <w:bookmarkStart w:id="282" w:name="_Toc184312097"/>
      <w:bookmarkEnd w:id="282"/>
      <w:bookmarkStart w:id="283" w:name="_Toc184312113"/>
      <w:bookmarkEnd w:id="283"/>
      <w:bookmarkStart w:id="284" w:name="_Toc184310314"/>
      <w:bookmarkEnd w:id="284"/>
      <w:bookmarkStart w:id="285" w:name="_Toc184310276"/>
      <w:bookmarkEnd w:id="285"/>
      <w:bookmarkStart w:id="286" w:name="_Toc184312121"/>
      <w:bookmarkEnd w:id="286"/>
      <w:bookmarkStart w:id="287" w:name="_Toc184313254"/>
      <w:bookmarkEnd w:id="287"/>
      <w:bookmarkStart w:id="288" w:name="_Toc184308095"/>
      <w:bookmarkEnd w:id="288"/>
      <w:bookmarkStart w:id="289" w:name="_Toc184313251"/>
      <w:bookmarkEnd w:id="289"/>
      <w:bookmarkStart w:id="290" w:name="_Toc184312127"/>
      <w:bookmarkEnd w:id="290"/>
      <w:bookmarkStart w:id="291" w:name="_Toc184308077"/>
      <w:bookmarkEnd w:id="291"/>
      <w:bookmarkStart w:id="292" w:name="_Toc184314458"/>
      <w:bookmarkEnd w:id="292"/>
      <w:bookmarkStart w:id="293" w:name="_Toc184310294"/>
      <w:bookmarkEnd w:id="293"/>
      <w:bookmarkStart w:id="294" w:name="_Toc184308105"/>
      <w:bookmarkEnd w:id="294"/>
      <w:bookmarkStart w:id="295" w:name="_Toc184308056"/>
      <w:bookmarkEnd w:id="295"/>
      <w:bookmarkStart w:id="296" w:name="_Toc184308090"/>
      <w:bookmarkEnd w:id="296"/>
      <w:bookmarkStart w:id="297" w:name="_Toc184312138"/>
      <w:bookmarkEnd w:id="297"/>
      <w:bookmarkStart w:id="298" w:name="_Toc184313267"/>
      <w:bookmarkEnd w:id="298"/>
      <w:bookmarkStart w:id="299" w:name="_Toc184310318"/>
      <w:bookmarkEnd w:id="299"/>
      <w:bookmarkStart w:id="300" w:name="_Toc184313261"/>
      <w:bookmarkEnd w:id="300"/>
      <w:bookmarkStart w:id="301" w:name="_Toc184313308"/>
      <w:bookmarkEnd w:id="301"/>
      <w:bookmarkStart w:id="302" w:name="_Toc184314470"/>
      <w:bookmarkEnd w:id="302"/>
      <w:bookmarkStart w:id="303" w:name="_Toc184313299"/>
      <w:bookmarkEnd w:id="303"/>
      <w:bookmarkStart w:id="304" w:name="_Toc184310332"/>
      <w:bookmarkEnd w:id="304"/>
      <w:bookmarkStart w:id="305" w:name="_Toc184308065"/>
      <w:bookmarkEnd w:id="305"/>
      <w:bookmarkStart w:id="306" w:name="_Toc184312082"/>
      <w:bookmarkEnd w:id="306"/>
      <w:bookmarkStart w:id="307" w:name="_Toc184312111"/>
      <w:bookmarkEnd w:id="307"/>
      <w:bookmarkStart w:id="308" w:name="_Toc184310337"/>
      <w:bookmarkEnd w:id="308"/>
      <w:bookmarkStart w:id="309" w:name="_Toc184312084"/>
      <w:bookmarkEnd w:id="309"/>
      <w:bookmarkStart w:id="310" w:name="_Toc184313279"/>
      <w:bookmarkEnd w:id="310"/>
      <w:bookmarkStart w:id="311" w:name="_Toc184310339"/>
      <w:bookmarkEnd w:id="311"/>
      <w:bookmarkStart w:id="312" w:name="_Toc184310275"/>
      <w:bookmarkEnd w:id="312"/>
      <w:bookmarkStart w:id="313" w:name="_Toc184308096"/>
      <w:bookmarkEnd w:id="313"/>
      <w:bookmarkStart w:id="314" w:name="_Toc184313265"/>
      <w:bookmarkEnd w:id="314"/>
      <w:bookmarkStart w:id="315" w:name="_Toc184313262"/>
      <w:bookmarkEnd w:id="315"/>
      <w:bookmarkStart w:id="316" w:name="_Toc184308070"/>
      <w:bookmarkEnd w:id="316"/>
      <w:bookmarkStart w:id="317" w:name="_Toc184312100"/>
      <w:bookmarkEnd w:id="317"/>
      <w:bookmarkStart w:id="318" w:name="_Toc184314443"/>
      <w:bookmarkEnd w:id="318"/>
      <w:bookmarkStart w:id="319" w:name="_Toc184308084"/>
      <w:bookmarkEnd w:id="319"/>
      <w:bookmarkStart w:id="320" w:name="_Toc184313264"/>
      <w:bookmarkEnd w:id="320"/>
      <w:bookmarkStart w:id="321" w:name="_Toc184310279"/>
      <w:bookmarkEnd w:id="321"/>
      <w:bookmarkStart w:id="322" w:name="_Toc184310321"/>
      <w:bookmarkEnd w:id="322"/>
      <w:bookmarkStart w:id="323" w:name="_Toc184312108"/>
      <w:bookmarkEnd w:id="323"/>
      <w:bookmarkStart w:id="324" w:name="_Toc184314433"/>
      <w:bookmarkEnd w:id="324"/>
      <w:bookmarkStart w:id="325" w:name="_Toc184314453"/>
      <w:bookmarkEnd w:id="325"/>
      <w:bookmarkStart w:id="326" w:name="_Toc184314447"/>
      <w:bookmarkEnd w:id="326"/>
      <w:bookmarkStart w:id="327" w:name="_Toc184313257"/>
      <w:bookmarkEnd w:id="327"/>
      <w:bookmarkStart w:id="328" w:name="_Toc184308040"/>
      <w:bookmarkEnd w:id="328"/>
      <w:bookmarkStart w:id="329" w:name="_Toc184314462"/>
      <w:bookmarkEnd w:id="329"/>
      <w:bookmarkStart w:id="330" w:name="_Toc184314461"/>
      <w:bookmarkEnd w:id="330"/>
      <w:bookmarkStart w:id="331" w:name="_Toc184313298"/>
      <w:bookmarkEnd w:id="331"/>
      <w:bookmarkStart w:id="332" w:name="_Toc184313239"/>
      <w:bookmarkEnd w:id="332"/>
      <w:bookmarkStart w:id="333" w:name="_Toc184313266"/>
      <w:bookmarkEnd w:id="333"/>
      <w:bookmarkStart w:id="334" w:name="_Toc184308044"/>
      <w:bookmarkEnd w:id="334"/>
      <w:bookmarkStart w:id="335" w:name="_Toc184310322"/>
      <w:bookmarkEnd w:id="335"/>
      <w:bookmarkStart w:id="336" w:name="_Toc184312114"/>
      <w:bookmarkEnd w:id="336"/>
      <w:bookmarkStart w:id="337" w:name="_Toc184308054"/>
      <w:bookmarkEnd w:id="337"/>
      <w:bookmarkStart w:id="338" w:name="_Toc184314463"/>
      <w:bookmarkEnd w:id="338"/>
      <w:bookmarkStart w:id="339" w:name="_Toc184308061"/>
      <w:bookmarkEnd w:id="339"/>
      <w:bookmarkStart w:id="340" w:name="_Toc184312133"/>
      <w:bookmarkEnd w:id="340"/>
      <w:bookmarkStart w:id="341" w:name="_Toc184314439"/>
      <w:bookmarkEnd w:id="341"/>
      <w:bookmarkStart w:id="342" w:name="_Toc184312081"/>
      <w:bookmarkEnd w:id="342"/>
      <w:bookmarkStart w:id="343" w:name="_Toc184308089"/>
      <w:bookmarkEnd w:id="343"/>
      <w:bookmarkStart w:id="344" w:name="_Toc184313303"/>
      <w:bookmarkEnd w:id="344"/>
      <w:bookmarkStart w:id="345" w:name="_Toc184313253"/>
      <w:bookmarkEnd w:id="345"/>
      <w:bookmarkStart w:id="346" w:name="_Toc184314434"/>
      <w:bookmarkEnd w:id="346"/>
      <w:bookmarkStart w:id="347" w:name="_Toc184312089"/>
      <w:bookmarkEnd w:id="347"/>
      <w:bookmarkStart w:id="348" w:name="_Toc184310317"/>
      <w:bookmarkEnd w:id="348"/>
      <w:bookmarkStart w:id="349" w:name="_Toc184310297"/>
      <w:bookmarkEnd w:id="349"/>
      <w:bookmarkStart w:id="350" w:name="_Toc184310341"/>
      <w:bookmarkEnd w:id="350"/>
      <w:bookmarkStart w:id="351" w:name="_Toc184313238"/>
      <w:bookmarkEnd w:id="351"/>
      <w:bookmarkStart w:id="352" w:name="_Toc184308104"/>
      <w:bookmarkEnd w:id="352"/>
      <w:bookmarkStart w:id="353" w:name="_Toc184312067"/>
      <w:bookmarkEnd w:id="353"/>
      <w:bookmarkStart w:id="354" w:name="_Toc184314412"/>
      <w:bookmarkEnd w:id="354"/>
      <w:bookmarkStart w:id="355" w:name="_Toc184313305"/>
      <w:bookmarkEnd w:id="355"/>
      <w:bookmarkStart w:id="356" w:name="_Toc184310325"/>
      <w:bookmarkEnd w:id="356"/>
      <w:bookmarkStart w:id="357" w:name="_Toc184310344"/>
      <w:bookmarkEnd w:id="357"/>
      <w:bookmarkStart w:id="358" w:name="_Toc184308081"/>
      <w:bookmarkEnd w:id="358"/>
      <w:bookmarkStart w:id="359" w:name="_Toc184308094"/>
      <w:bookmarkEnd w:id="359"/>
      <w:bookmarkStart w:id="360" w:name="_Toc184312116"/>
      <w:bookmarkEnd w:id="360"/>
      <w:bookmarkStart w:id="361" w:name="_Toc184310335"/>
      <w:bookmarkEnd w:id="361"/>
      <w:bookmarkStart w:id="362" w:name="_Toc184314438"/>
      <w:bookmarkEnd w:id="362"/>
      <w:bookmarkStart w:id="363" w:name="_Toc184310291"/>
      <w:bookmarkEnd w:id="363"/>
      <w:bookmarkStart w:id="364" w:name="_Toc184308102"/>
      <w:bookmarkEnd w:id="364"/>
      <w:bookmarkStart w:id="365" w:name="_Toc184310301"/>
      <w:bookmarkEnd w:id="365"/>
      <w:bookmarkStart w:id="366" w:name="_Toc184313300"/>
      <w:bookmarkEnd w:id="366"/>
      <w:bookmarkStart w:id="367" w:name="_Toc184314482"/>
      <w:bookmarkEnd w:id="367"/>
      <w:bookmarkStart w:id="368" w:name="_Toc184312137"/>
      <w:bookmarkEnd w:id="368"/>
      <w:bookmarkStart w:id="369" w:name="_Toc184310299"/>
      <w:bookmarkEnd w:id="369"/>
      <w:bookmarkStart w:id="370" w:name="_Toc184312068"/>
      <w:bookmarkEnd w:id="370"/>
      <w:bookmarkStart w:id="371" w:name="_Toc184308045"/>
      <w:bookmarkEnd w:id="371"/>
      <w:bookmarkStart w:id="372" w:name="_Toc184312120"/>
      <w:bookmarkEnd w:id="372"/>
      <w:bookmarkStart w:id="373" w:name="_Toc184308064"/>
      <w:bookmarkEnd w:id="373"/>
      <w:bookmarkStart w:id="374" w:name="_Toc184308076"/>
      <w:bookmarkEnd w:id="374"/>
      <w:bookmarkStart w:id="375" w:name="_Toc184314417"/>
      <w:bookmarkEnd w:id="375"/>
      <w:bookmarkStart w:id="376" w:name="_Toc184308086"/>
      <w:bookmarkEnd w:id="376"/>
      <w:bookmarkStart w:id="377" w:name="_Toc184312092"/>
      <w:bookmarkEnd w:id="377"/>
      <w:bookmarkStart w:id="378" w:name="_Toc184313294"/>
      <w:bookmarkEnd w:id="378"/>
      <w:bookmarkStart w:id="379" w:name="_Toc184310311"/>
      <w:bookmarkEnd w:id="379"/>
      <w:bookmarkStart w:id="380" w:name="_Toc184314432"/>
      <w:bookmarkEnd w:id="380"/>
      <w:bookmarkStart w:id="381" w:name="_Toc184313290"/>
      <w:bookmarkEnd w:id="381"/>
      <w:bookmarkStart w:id="382" w:name="_Toc184308058"/>
      <w:bookmarkEnd w:id="382"/>
      <w:bookmarkStart w:id="383" w:name="_Toc184313259"/>
      <w:bookmarkEnd w:id="383"/>
      <w:bookmarkStart w:id="384" w:name="_Toc184310316"/>
      <w:bookmarkEnd w:id="384"/>
      <w:bookmarkStart w:id="385" w:name="_Toc184308062"/>
      <w:bookmarkEnd w:id="385"/>
      <w:bookmarkStart w:id="386" w:name="_Toc184310333"/>
      <w:bookmarkEnd w:id="386"/>
      <w:bookmarkStart w:id="387" w:name="_Toc184310288"/>
      <w:bookmarkEnd w:id="387"/>
      <w:bookmarkStart w:id="388" w:name="_Toc184312118"/>
      <w:bookmarkEnd w:id="388"/>
      <w:bookmarkStart w:id="389" w:name="_Toc184313256"/>
      <w:bookmarkEnd w:id="389"/>
      <w:bookmarkStart w:id="390" w:name="_Toc184310286"/>
      <w:bookmarkEnd w:id="390"/>
      <w:bookmarkStart w:id="391" w:name="_Toc184313292"/>
      <w:bookmarkEnd w:id="391"/>
      <w:bookmarkStart w:id="392" w:name="_Toc184310277"/>
      <w:bookmarkEnd w:id="392"/>
      <w:bookmarkStart w:id="393" w:name="_Toc184308042"/>
      <w:bookmarkEnd w:id="393"/>
      <w:bookmarkStart w:id="394" w:name="_Toc184312125"/>
      <w:bookmarkEnd w:id="394"/>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2"/>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57"/>
        <w:gridCol w:w="555"/>
        <w:gridCol w:w="1611"/>
        <w:gridCol w:w="5124"/>
        <w:gridCol w:w="750"/>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92" w:hRule="atLeast"/>
          <w:jc w:val="center"/>
        </w:trPr>
        <w:tc>
          <w:tcPr>
            <w:tcW w:w="657"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7290" w:type="dxa"/>
            <w:gridSpan w:val="3"/>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评分内容和标准</w:t>
            </w:r>
          </w:p>
        </w:tc>
        <w:tc>
          <w:tcPr>
            <w:tcW w:w="750"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权重</w:t>
            </w:r>
          </w:p>
        </w:tc>
        <w:tc>
          <w:tcPr>
            <w:tcW w:w="1021"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64" w:hRule="atLeast"/>
          <w:jc w:val="center"/>
        </w:trPr>
        <w:tc>
          <w:tcPr>
            <w:tcW w:w="657" w:type="dxa"/>
            <w:vMerge w:val="restart"/>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商务资信</w:t>
            </w:r>
            <w:r>
              <w:rPr>
                <w:rFonts w:hint="eastAsia" w:ascii="仿宋" w:hAnsi="仿宋" w:eastAsia="仿宋" w:cs="仿宋"/>
                <w:color w:val="auto"/>
                <w:sz w:val="24"/>
                <w:szCs w:val="24"/>
                <w:highlight w:val="none"/>
                <w:lang w:val="en-US" w:eastAsia="zh-CN"/>
              </w:rPr>
              <w:t>部</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20</w:t>
            </w:r>
          </w:p>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w:t>
            </w:r>
          </w:p>
        </w:tc>
        <w:tc>
          <w:tcPr>
            <w:tcW w:w="555"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p>
        </w:tc>
        <w:tc>
          <w:tcPr>
            <w:tcW w:w="6735" w:type="dxa"/>
            <w:gridSpan w:val="2"/>
            <w:shd w:val="clear" w:color="auto" w:fill="FFFFFF"/>
            <w:noWrap w:val="0"/>
            <w:vAlign w:val="center"/>
          </w:tcPr>
          <w:p>
            <w:pPr>
              <w:spacing w:line="240" w:lineRule="auto"/>
              <w:textAlignment w:val="baseline"/>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投标人具有</w:t>
            </w:r>
            <w:r>
              <w:rPr>
                <w:rFonts w:hint="eastAsia" w:ascii="仿宋" w:hAnsi="仿宋" w:eastAsia="仿宋" w:cs="仿宋"/>
                <w:color w:val="auto"/>
                <w:sz w:val="24"/>
                <w:szCs w:val="24"/>
                <w:highlight w:val="none"/>
                <w:lang w:val="en-US" w:eastAsia="zh-CN"/>
              </w:rPr>
              <w:t>有效期内的</w:t>
            </w:r>
            <w:r>
              <w:rPr>
                <w:rFonts w:hint="eastAsia" w:ascii="仿宋" w:hAnsi="仿宋" w:eastAsia="仿宋" w:cs="仿宋"/>
                <w:color w:val="auto"/>
                <w:sz w:val="24"/>
                <w:szCs w:val="24"/>
                <w:highlight w:val="none"/>
                <w:lang w:val="zh-CN"/>
              </w:rPr>
              <w:t>质量管理体系认证证书、环境管理体系认证证书、职业健康安全管理体系认证证书、社会责任管理体系认证证书、信息安全管理体系认证证书、售后服务认证证书，</w:t>
            </w:r>
            <w:r>
              <w:rPr>
                <w:rFonts w:hint="eastAsia" w:ascii="仿宋" w:hAnsi="仿宋" w:eastAsia="仿宋" w:cs="仿宋"/>
                <w:color w:val="auto"/>
                <w:sz w:val="24"/>
                <w:szCs w:val="24"/>
                <w:highlight w:val="none"/>
                <w:lang w:val="en-US" w:eastAsia="zh-CN"/>
              </w:rPr>
              <w:t>全部满足得5分，每缺少1项扣1分。</w:t>
            </w:r>
            <w:r>
              <w:rPr>
                <w:rFonts w:hint="eastAsia" w:ascii="仿宋" w:hAnsi="仿宋" w:eastAsia="仿宋" w:cs="仿宋"/>
                <w:color w:val="auto"/>
                <w:sz w:val="24"/>
                <w:szCs w:val="24"/>
                <w:highlight w:val="none"/>
                <w:lang w:val="zh-CN"/>
              </w:rPr>
              <w:t>（提供认证证书</w:t>
            </w:r>
            <w:r>
              <w:rPr>
                <w:rFonts w:hint="eastAsia" w:ascii="仿宋" w:hAnsi="仿宋" w:eastAsia="仿宋" w:cs="仿宋"/>
                <w:color w:val="auto"/>
                <w:sz w:val="24"/>
                <w:szCs w:val="24"/>
                <w:highlight w:val="none"/>
                <w:lang w:val="en-US" w:eastAsia="zh-CN"/>
              </w:rPr>
              <w:t>材料</w:t>
            </w:r>
            <w:r>
              <w:rPr>
                <w:rFonts w:hint="eastAsia" w:ascii="仿宋" w:hAnsi="仿宋" w:eastAsia="仿宋" w:cs="仿宋"/>
                <w:color w:val="auto"/>
                <w:sz w:val="24"/>
                <w:szCs w:val="24"/>
                <w:highlight w:val="none"/>
                <w:lang w:val="zh-CN"/>
              </w:rPr>
              <w:t>及中国国家认可监督管理委员会网站认证信息查询页面</w:t>
            </w:r>
            <w:r>
              <w:rPr>
                <w:rFonts w:hint="eastAsia" w:ascii="仿宋" w:hAnsi="仿宋" w:eastAsia="仿宋" w:cs="仿宋"/>
                <w:color w:val="auto"/>
                <w:sz w:val="24"/>
                <w:szCs w:val="24"/>
                <w:highlight w:val="none"/>
                <w:lang w:val="en-US" w:eastAsia="zh-CN"/>
              </w:rPr>
              <w:t>截图，不提供或提供不全的不得分</w:t>
            </w:r>
            <w:r>
              <w:rPr>
                <w:rFonts w:hint="eastAsia" w:ascii="仿宋" w:hAnsi="仿宋" w:eastAsia="仿宋" w:cs="仿宋"/>
                <w:color w:val="auto"/>
                <w:sz w:val="24"/>
                <w:szCs w:val="24"/>
                <w:highlight w:val="none"/>
                <w:lang w:val="zh-CN"/>
              </w:rPr>
              <w:t>）</w:t>
            </w:r>
          </w:p>
        </w:tc>
        <w:tc>
          <w:tcPr>
            <w:tcW w:w="750"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021"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81" w:hRule="atLeast"/>
          <w:jc w:val="center"/>
        </w:trPr>
        <w:tc>
          <w:tcPr>
            <w:tcW w:w="657" w:type="dxa"/>
            <w:vMerge w:val="continue"/>
            <w:shd w:val="clear" w:color="auto" w:fill="FFFFFF"/>
            <w:noWrap w:val="0"/>
            <w:vAlign w:val="center"/>
          </w:tcPr>
          <w:p>
            <w:pPr>
              <w:spacing w:line="240" w:lineRule="auto"/>
              <w:textAlignment w:val="baseline"/>
              <w:rPr>
                <w:rFonts w:hint="eastAsia" w:ascii="仿宋" w:hAnsi="仿宋" w:eastAsia="仿宋" w:cs="仿宋"/>
                <w:color w:val="auto"/>
                <w:sz w:val="24"/>
                <w:szCs w:val="24"/>
                <w:highlight w:val="none"/>
              </w:rPr>
            </w:pPr>
          </w:p>
        </w:tc>
        <w:tc>
          <w:tcPr>
            <w:tcW w:w="555" w:type="dxa"/>
            <w:shd w:val="clear" w:color="auto" w:fill="FFFFFF"/>
            <w:noWrap w:val="0"/>
            <w:vAlign w:val="center"/>
          </w:tcPr>
          <w:p>
            <w:pPr>
              <w:spacing w:line="240" w:lineRule="auto"/>
              <w:jc w:val="center"/>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w:t>
            </w:r>
          </w:p>
        </w:tc>
        <w:tc>
          <w:tcPr>
            <w:tcW w:w="6735" w:type="dxa"/>
            <w:gridSpan w:val="2"/>
            <w:shd w:val="clear" w:color="auto" w:fill="FFFFFF"/>
            <w:noWrap w:val="0"/>
            <w:vAlign w:val="center"/>
          </w:tcPr>
          <w:p>
            <w:pPr>
              <w:spacing w:line="240" w:lineRule="auto"/>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kern w:val="2"/>
                <w:sz w:val="24"/>
                <w:szCs w:val="24"/>
                <w:highlight w:val="none"/>
              </w:rPr>
              <w:t>投标人具有电子与智能化工程专业承包</w:t>
            </w:r>
            <w:r>
              <w:rPr>
                <w:rFonts w:hint="eastAsia" w:ascii="仿宋" w:hAnsi="仿宋" w:eastAsia="仿宋" w:cs="仿宋"/>
                <w:b w:val="0"/>
                <w:bCs w:val="0"/>
                <w:color w:val="auto"/>
                <w:kern w:val="2"/>
                <w:sz w:val="24"/>
                <w:szCs w:val="24"/>
                <w:highlight w:val="none"/>
                <w:lang w:val="en-US" w:eastAsia="zh-CN"/>
              </w:rPr>
              <w:t>二级及以上</w:t>
            </w:r>
            <w:r>
              <w:rPr>
                <w:rFonts w:hint="eastAsia" w:ascii="仿宋" w:hAnsi="仿宋" w:eastAsia="仿宋" w:cs="仿宋"/>
                <w:b w:val="0"/>
                <w:bCs w:val="0"/>
                <w:color w:val="auto"/>
                <w:kern w:val="2"/>
                <w:sz w:val="24"/>
                <w:szCs w:val="24"/>
                <w:highlight w:val="none"/>
              </w:rPr>
              <w:t>资质</w:t>
            </w:r>
            <w:r>
              <w:rPr>
                <w:rFonts w:hint="eastAsia" w:ascii="仿宋" w:hAnsi="仿宋" w:eastAsia="仿宋" w:cs="仿宋"/>
                <w:b w:val="0"/>
                <w:bCs w:val="0"/>
                <w:color w:val="auto"/>
                <w:kern w:val="2"/>
                <w:sz w:val="24"/>
                <w:szCs w:val="24"/>
                <w:highlight w:val="none"/>
                <w:lang w:val="en-US" w:eastAsia="zh-CN"/>
              </w:rPr>
              <w:t>的，得1分。具有城市道路照明工程专业承包二级及以上资质的，得1分。（提供资质证书材料，不提供不得分）</w:t>
            </w:r>
          </w:p>
        </w:tc>
        <w:tc>
          <w:tcPr>
            <w:tcW w:w="750" w:type="dxa"/>
            <w:shd w:val="clear" w:color="auto" w:fill="FFFFFF"/>
            <w:noWrap w:val="0"/>
            <w:vAlign w:val="center"/>
          </w:tcPr>
          <w:p>
            <w:pPr>
              <w:spacing w:line="240" w:lineRule="auto"/>
              <w:jc w:val="center"/>
              <w:textAlignment w:val="baseline"/>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2</w:t>
            </w:r>
          </w:p>
        </w:tc>
        <w:tc>
          <w:tcPr>
            <w:tcW w:w="1021" w:type="dxa"/>
            <w:shd w:val="clear" w:color="auto" w:fill="FFFFFF"/>
            <w:noWrap w:val="0"/>
            <w:vAlign w:val="center"/>
          </w:tcPr>
          <w:p>
            <w:pPr>
              <w:spacing w:line="240" w:lineRule="auto"/>
              <w:jc w:val="center"/>
              <w:textAlignment w:val="baseline"/>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5" w:hRule="atLeast"/>
          <w:jc w:val="center"/>
        </w:trPr>
        <w:tc>
          <w:tcPr>
            <w:tcW w:w="657" w:type="dxa"/>
            <w:vMerge w:val="continue"/>
            <w:shd w:val="clear" w:color="auto" w:fill="FFFFFF"/>
            <w:noWrap w:val="0"/>
            <w:vAlign w:val="center"/>
          </w:tcPr>
          <w:p>
            <w:pPr>
              <w:spacing w:line="240" w:lineRule="auto"/>
              <w:textAlignment w:val="baseline"/>
              <w:rPr>
                <w:rFonts w:hint="eastAsia" w:ascii="仿宋" w:hAnsi="仿宋" w:eastAsia="仿宋" w:cs="仿宋"/>
                <w:color w:val="auto"/>
                <w:sz w:val="24"/>
                <w:szCs w:val="24"/>
                <w:highlight w:val="none"/>
              </w:rPr>
            </w:pPr>
          </w:p>
        </w:tc>
        <w:tc>
          <w:tcPr>
            <w:tcW w:w="555"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735" w:type="dxa"/>
            <w:gridSpan w:val="2"/>
            <w:shd w:val="clear" w:color="auto" w:fill="FFFFFF"/>
            <w:noWrap w:val="0"/>
            <w:vAlign w:val="center"/>
          </w:tcPr>
          <w:p>
            <w:pPr>
              <w:spacing w:line="240" w:lineRule="auto"/>
              <w:textAlignment w:val="baseline"/>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年1月1日以来（以</w:t>
            </w:r>
            <w:r>
              <w:rPr>
                <w:rFonts w:hint="eastAsia" w:ascii="仿宋" w:hAnsi="仿宋" w:eastAsia="仿宋" w:cs="仿宋"/>
                <w:color w:val="auto"/>
                <w:sz w:val="24"/>
                <w:szCs w:val="24"/>
                <w:highlight w:val="none"/>
                <w:lang w:val="en-US" w:eastAsia="zh-CN"/>
              </w:rPr>
              <w:t>获奖</w:t>
            </w:r>
            <w:r>
              <w:rPr>
                <w:rFonts w:hint="eastAsia" w:ascii="仿宋" w:hAnsi="仿宋" w:eastAsia="仿宋" w:cs="仿宋"/>
                <w:color w:val="auto"/>
                <w:sz w:val="24"/>
                <w:szCs w:val="24"/>
                <w:highlight w:val="none"/>
                <w:lang w:val="zh-CN"/>
              </w:rPr>
              <w:t>时间为准），投标人承担的室外亮化类项目，获得建设行政主管部门颁发荣誉的，省级及以上得5分，市级得3分，区级得1分，以最高得奖为准，不重复计算得分。（提供获奖文件（或获奖证书）、对应业绩合同资料、竣工验收合格材料，不提供或提供不全的不得分）</w:t>
            </w:r>
          </w:p>
        </w:tc>
        <w:tc>
          <w:tcPr>
            <w:tcW w:w="750"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1021"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9" w:hRule="atLeast"/>
          <w:jc w:val="center"/>
        </w:trPr>
        <w:tc>
          <w:tcPr>
            <w:tcW w:w="657" w:type="dxa"/>
            <w:vMerge w:val="continue"/>
            <w:shd w:val="clear" w:color="auto" w:fill="FFFFFF"/>
            <w:noWrap w:val="0"/>
            <w:vAlign w:val="center"/>
          </w:tcPr>
          <w:p>
            <w:pPr>
              <w:spacing w:line="240" w:lineRule="auto"/>
              <w:textAlignment w:val="baseline"/>
              <w:rPr>
                <w:rFonts w:hint="eastAsia" w:ascii="仿宋" w:hAnsi="仿宋" w:eastAsia="仿宋" w:cs="仿宋"/>
                <w:color w:val="auto"/>
                <w:sz w:val="24"/>
                <w:szCs w:val="24"/>
                <w:highlight w:val="none"/>
              </w:rPr>
            </w:pPr>
          </w:p>
        </w:tc>
        <w:tc>
          <w:tcPr>
            <w:tcW w:w="555"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735" w:type="dxa"/>
            <w:gridSpan w:val="2"/>
            <w:shd w:val="clear" w:color="auto" w:fill="FFFFFF"/>
            <w:noWrap w:val="0"/>
            <w:vAlign w:val="center"/>
          </w:tcPr>
          <w:p>
            <w:pPr>
              <w:spacing w:line="240" w:lineRule="auto"/>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201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年1月1日以来（以合同签订时间为准）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投标人承担过</w:t>
            </w:r>
            <w:r>
              <w:rPr>
                <w:rFonts w:hint="eastAsia" w:ascii="仿宋" w:hAnsi="仿宋" w:eastAsia="仿宋" w:cs="仿宋"/>
                <w:color w:val="auto"/>
                <w:sz w:val="24"/>
                <w:szCs w:val="24"/>
                <w:highlight w:val="none"/>
                <w:lang w:val="en-US" w:eastAsia="zh-CN"/>
              </w:rPr>
              <w:t>政府公建（含国企）项目同类养护</w:t>
            </w:r>
            <w:r>
              <w:rPr>
                <w:rFonts w:hint="eastAsia" w:ascii="仿宋" w:hAnsi="仿宋" w:eastAsia="仿宋" w:cs="仿宋"/>
                <w:color w:val="auto"/>
                <w:sz w:val="24"/>
                <w:szCs w:val="24"/>
                <w:highlight w:val="none"/>
              </w:rPr>
              <w:t>业绩</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，每个得</w:t>
            </w:r>
            <w:r>
              <w:rPr>
                <w:rFonts w:hint="eastAsia" w:ascii="仿宋" w:hAnsi="仿宋" w:eastAsia="仿宋" w:cs="仿宋"/>
                <w:color w:val="auto"/>
                <w:sz w:val="24"/>
                <w:szCs w:val="24"/>
                <w:highlight w:val="none"/>
                <w:lang w:val="en-US" w:eastAsia="zh-CN"/>
              </w:rPr>
              <w:t>0.25</w:t>
            </w:r>
            <w:r>
              <w:rPr>
                <w:rFonts w:hint="eastAsia" w:ascii="仿宋" w:hAnsi="仿宋" w:eastAsia="仿宋" w:cs="仿宋"/>
                <w:color w:val="auto"/>
                <w:sz w:val="24"/>
                <w:szCs w:val="24"/>
                <w:highlight w:val="none"/>
              </w:rPr>
              <w:t>分，最高</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分。其中，在</w:t>
            </w:r>
            <w:r>
              <w:rPr>
                <w:rFonts w:hint="eastAsia" w:ascii="仿宋" w:hAnsi="仿宋" w:eastAsia="仿宋" w:cs="仿宋"/>
                <w:color w:val="auto"/>
                <w:sz w:val="24"/>
                <w:szCs w:val="24"/>
                <w:highlight w:val="none"/>
                <w:lang w:val="en-US" w:eastAsia="zh-CN"/>
              </w:rPr>
              <w:t>以上</w:t>
            </w:r>
            <w:r>
              <w:rPr>
                <w:rFonts w:hint="eastAsia" w:ascii="仿宋" w:hAnsi="仿宋" w:eastAsia="仿宋" w:cs="仿宋"/>
                <w:color w:val="auto"/>
                <w:sz w:val="24"/>
                <w:szCs w:val="24"/>
                <w:highlight w:val="none"/>
              </w:rPr>
              <w:t>业绩</w:t>
            </w:r>
            <w:r>
              <w:rPr>
                <w:rFonts w:hint="eastAsia" w:ascii="仿宋" w:hAnsi="仿宋" w:eastAsia="仿宋" w:cs="仿宋"/>
                <w:color w:val="auto"/>
                <w:sz w:val="24"/>
                <w:szCs w:val="24"/>
                <w:highlight w:val="none"/>
                <w:lang w:val="en-US" w:eastAsia="zh-CN"/>
              </w:rPr>
              <w:t>中</w:t>
            </w:r>
            <w:r>
              <w:rPr>
                <w:rFonts w:hint="eastAsia" w:ascii="仿宋" w:hAnsi="仿宋" w:eastAsia="仿宋" w:cs="仿宋"/>
                <w:color w:val="auto"/>
                <w:sz w:val="24"/>
                <w:szCs w:val="24"/>
                <w:highlight w:val="none"/>
              </w:rPr>
              <w:t>具有养护200米</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rPr>
              <w:t>以上高楼的，额外再得1分。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w:t>
            </w:r>
            <w:r>
              <w:rPr>
                <w:rFonts w:hint="eastAsia" w:ascii="仿宋" w:hAnsi="仿宋" w:eastAsia="仿宋" w:cs="仿宋"/>
                <w:color w:val="auto"/>
                <w:sz w:val="24"/>
                <w:szCs w:val="24"/>
                <w:highlight w:val="none"/>
                <w:lang w:eastAsia="zh-CN"/>
              </w:rPr>
              <w:t>业绩合同和中标通知书</w:t>
            </w:r>
            <w:r>
              <w:rPr>
                <w:rFonts w:hint="eastAsia" w:ascii="仿宋" w:hAnsi="仿宋" w:eastAsia="仿宋" w:cs="仿宋"/>
                <w:color w:val="auto"/>
                <w:sz w:val="24"/>
                <w:szCs w:val="24"/>
                <w:highlight w:val="none"/>
                <w:lang w:val="en-US" w:eastAsia="zh-CN"/>
              </w:rPr>
              <w:t>材料，合同或中标通知书中无法体现楼层高度的，需另提供相关佐证材料，不提供或提供不全的不得分</w:t>
            </w:r>
            <w:r>
              <w:rPr>
                <w:rFonts w:hint="eastAsia" w:ascii="仿宋" w:hAnsi="仿宋" w:eastAsia="仿宋" w:cs="仿宋"/>
                <w:color w:val="auto"/>
                <w:sz w:val="24"/>
                <w:szCs w:val="24"/>
                <w:highlight w:val="none"/>
                <w:lang w:eastAsia="zh-CN"/>
              </w:rPr>
              <w:t>）</w:t>
            </w:r>
          </w:p>
          <w:p>
            <w:pPr>
              <w:spacing w:line="240" w:lineRule="auto"/>
              <w:textAlignment w:val="baseline"/>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eastAsia="zh-CN"/>
              </w:rPr>
              <w:t>注：同一个项目，续签业绩不重复计</w:t>
            </w:r>
            <w:r>
              <w:rPr>
                <w:rFonts w:hint="eastAsia" w:ascii="仿宋" w:hAnsi="仿宋" w:eastAsia="仿宋" w:cs="仿宋"/>
                <w:color w:val="auto"/>
                <w:sz w:val="24"/>
                <w:szCs w:val="24"/>
                <w:highlight w:val="none"/>
                <w:lang w:val="en-US" w:eastAsia="zh-CN"/>
              </w:rPr>
              <w:t>分。</w:t>
            </w:r>
          </w:p>
        </w:tc>
        <w:tc>
          <w:tcPr>
            <w:tcW w:w="750"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p>
        </w:tc>
        <w:tc>
          <w:tcPr>
            <w:tcW w:w="1021"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2" w:hRule="atLeast"/>
          <w:jc w:val="center"/>
        </w:trPr>
        <w:tc>
          <w:tcPr>
            <w:tcW w:w="657" w:type="dxa"/>
            <w:vMerge w:val="continue"/>
            <w:shd w:val="clear" w:color="auto" w:fill="FFFFFF"/>
            <w:noWrap w:val="0"/>
            <w:vAlign w:val="center"/>
          </w:tcPr>
          <w:p>
            <w:pPr>
              <w:spacing w:line="240" w:lineRule="auto"/>
              <w:textAlignment w:val="baseline"/>
              <w:rPr>
                <w:rFonts w:hint="eastAsia" w:ascii="仿宋" w:hAnsi="仿宋" w:eastAsia="仿宋" w:cs="仿宋"/>
                <w:color w:val="auto"/>
                <w:sz w:val="24"/>
                <w:szCs w:val="24"/>
                <w:highlight w:val="none"/>
              </w:rPr>
            </w:pPr>
          </w:p>
        </w:tc>
        <w:tc>
          <w:tcPr>
            <w:tcW w:w="555" w:type="dxa"/>
            <w:shd w:val="clear" w:color="auto" w:fill="FFFFFF"/>
            <w:noWrap w:val="0"/>
            <w:vAlign w:val="center"/>
          </w:tcPr>
          <w:p>
            <w:pPr>
              <w:spacing w:line="240" w:lineRule="auto"/>
              <w:jc w:val="center"/>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735" w:type="dxa"/>
            <w:gridSpan w:val="2"/>
            <w:shd w:val="clear" w:color="auto" w:fill="FFFFFF"/>
            <w:noWrap w:val="0"/>
            <w:vAlign w:val="center"/>
          </w:tcPr>
          <w:p>
            <w:pPr>
              <w:widowControl/>
              <w:spacing w:line="240" w:lineRule="auto"/>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投标人具有在媒体墙上设计重大活动的相关经验,</w:t>
            </w:r>
            <w:r>
              <w:rPr>
                <w:rFonts w:hint="eastAsia" w:ascii="仿宋" w:hAnsi="仿宋" w:eastAsia="仿宋" w:cs="仿宋"/>
                <w:color w:val="auto"/>
                <w:sz w:val="24"/>
                <w:szCs w:val="24"/>
                <w:highlight w:val="none"/>
                <w:lang w:val="zh-CN"/>
              </w:rPr>
              <w:t>提供相关设计单位合作协议的，</w:t>
            </w:r>
            <w:r>
              <w:rPr>
                <w:rFonts w:hint="eastAsia" w:ascii="仿宋" w:hAnsi="仿宋" w:eastAsia="仿宋" w:cs="仿宋"/>
                <w:color w:val="auto"/>
                <w:sz w:val="24"/>
                <w:szCs w:val="24"/>
                <w:highlight w:val="none"/>
                <w:lang w:val="en-US" w:eastAsia="zh-CN"/>
              </w:rPr>
              <w:t>每个得</w:t>
            </w:r>
            <w:r>
              <w:rPr>
                <w:rFonts w:hint="eastAsia" w:ascii="仿宋" w:hAnsi="仿宋" w:eastAsia="仿宋" w:cs="仿宋"/>
                <w:color w:val="auto"/>
                <w:sz w:val="24"/>
                <w:szCs w:val="24"/>
                <w:highlight w:val="none"/>
              </w:rPr>
              <w:t>1分，</w:t>
            </w:r>
            <w:r>
              <w:rPr>
                <w:rFonts w:hint="eastAsia" w:ascii="仿宋" w:hAnsi="仿宋" w:eastAsia="仿宋" w:cs="仿宋"/>
                <w:color w:val="auto"/>
                <w:sz w:val="24"/>
                <w:szCs w:val="24"/>
                <w:highlight w:val="none"/>
                <w:lang w:val="en-US" w:eastAsia="zh-CN"/>
              </w:rPr>
              <w:t>最高得</w:t>
            </w:r>
            <w:r>
              <w:rPr>
                <w:rFonts w:hint="eastAsia" w:ascii="仿宋" w:hAnsi="仿宋" w:eastAsia="仿宋" w:cs="仿宋"/>
                <w:color w:val="auto"/>
                <w:sz w:val="24"/>
                <w:szCs w:val="24"/>
                <w:highlight w:val="none"/>
              </w:rPr>
              <w:t>2分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提供协议书材料，不提供不得分</w:t>
            </w:r>
            <w:r>
              <w:rPr>
                <w:rFonts w:hint="eastAsia" w:ascii="仿宋" w:hAnsi="仿宋" w:eastAsia="仿宋" w:cs="仿宋"/>
                <w:color w:val="auto"/>
                <w:sz w:val="24"/>
                <w:szCs w:val="24"/>
                <w:highlight w:val="none"/>
                <w:lang w:eastAsia="zh-CN"/>
              </w:rPr>
              <w:t>）</w:t>
            </w:r>
          </w:p>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w:t>
            </w:r>
            <w:r>
              <w:rPr>
                <w:rFonts w:hint="eastAsia" w:ascii="仿宋" w:hAnsi="仿宋" w:eastAsia="仿宋" w:cs="仿宋"/>
                <w:color w:val="auto"/>
                <w:sz w:val="24"/>
                <w:szCs w:val="24"/>
                <w:highlight w:val="none"/>
                <w:lang w:val="en-US" w:eastAsia="zh-CN"/>
              </w:rPr>
              <w:t>具有</w:t>
            </w:r>
            <w:r>
              <w:rPr>
                <w:rFonts w:hint="eastAsia" w:ascii="仿宋" w:hAnsi="仿宋" w:eastAsia="仿宋" w:cs="仿宋"/>
                <w:color w:val="auto"/>
                <w:sz w:val="24"/>
                <w:szCs w:val="24"/>
                <w:highlight w:val="none"/>
              </w:rPr>
              <w:t>注册电气工程师</w:t>
            </w:r>
            <w:r>
              <w:rPr>
                <w:rFonts w:hint="eastAsia" w:ascii="仿宋" w:hAnsi="仿宋" w:eastAsia="仿宋" w:cs="仿宋"/>
                <w:color w:val="auto"/>
                <w:sz w:val="24"/>
                <w:szCs w:val="24"/>
                <w:highlight w:val="none"/>
                <w:lang w:val="en-US" w:eastAsia="zh-CN"/>
              </w:rPr>
              <w:t>的，每</w:t>
            </w:r>
            <w:r>
              <w:rPr>
                <w:rFonts w:hint="eastAsia" w:ascii="仿宋" w:hAnsi="仿宋" w:eastAsia="仿宋" w:cs="仿宋"/>
                <w:color w:val="auto"/>
                <w:sz w:val="24"/>
                <w:szCs w:val="24"/>
                <w:highlight w:val="none"/>
              </w:rPr>
              <w:t>名得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最高得4</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提供人员证书和所在投标人</w:t>
            </w:r>
            <w:r>
              <w:rPr>
                <w:rFonts w:hint="eastAsia" w:ascii="仿宋" w:hAnsi="仿宋" w:eastAsia="仿宋" w:cs="仿宋"/>
                <w:color w:val="auto"/>
                <w:sz w:val="24"/>
                <w:szCs w:val="24"/>
                <w:highlight w:val="none"/>
              </w:rPr>
              <w:t>近6个月社保缴纳证明</w:t>
            </w:r>
            <w:r>
              <w:rPr>
                <w:rFonts w:hint="eastAsia" w:ascii="仿宋" w:hAnsi="仿宋" w:eastAsia="仿宋" w:cs="仿宋"/>
                <w:color w:val="auto"/>
                <w:sz w:val="24"/>
                <w:szCs w:val="24"/>
                <w:highlight w:val="none"/>
                <w:lang w:val="en-US" w:eastAsia="zh-CN"/>
              </w:rPr>
              <w:t>材料，不提供或提供不全的不得分</w:t>
            </w:r>
            <w:r>
              <w:rPr>
                <w:rFonts w:hint="eastAsia" w:ascii="仿宋" w:hAnsi="仿宋" w:eastAsia="仿宋" w:cs="仿宋"/>
                <w:color w:val="auto"/>
                <w:sz w:val="24"/>
                <w:szCs w:val="24"/>
                <w:highlight w:val="none"/>
                <w:lang w:eastAsia="zh-CN"/>
              </w:rPr>
              <w:t>）</w:t>
            </w:r>
          </w:p>
        </w:tc>
        <w:tc>
          <w:tcPr>
            <w:tcW w:w="750" w:type="dxa"/>
            <w:shd w:val="clear" w:color="auto" w:fill="FFFFFF"/>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lang w:eastAsia="zh-CN"/>
              </w:rPr>
            </w:pPr>
            <w:r>
              <w:rPr>
                <w:rFonts w:hint="eastAsia" w:ascii="仿宋" w:hAnsi="仿宋" w:eastAsia="仿宋" w:cs="仿宋"/>
                <w:bCs/>
                <w:color w:val="auto"/>
                <w:kern w:val="0"/>
                <w:sz w:val="24"/>
                <w:szCs w:val="24"/>
                <w:highlight w:val="none"/>
                <w:lang w:val="en-US" w:eastAsia="zh-CN"/>
              </w:rPr>
              <w:t>6</w:t>
            </w:r>
          </w:p>
        </w:tc>
        <w:tc>
          <w:tcPr>
            <w:tcW w:w="1021" w:type="dxa"/>
            <w:shd w:val="clear" w:color="auto" w:fill="FFFFFF"/>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rPr>
            </w:pPr>
            <w:r>
              <w:rPr>
                <w:rFonts w:hint="eastAsia" w:ascii="仿宋" w:hAnsi="仿宋" w:eastAsia="仿宋" w:cs="仿宋"/>
                <w:color w:val="auto"/>
                <w:kern w:val="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01" w:hRule="atLeast"/>
          <w:jc w:val="center"/>
        </w:trPr>
        <w:tc>
          <w:tcPr>
            <w:tcW w:w="657" w:type="dxa"/>
            <w:vMerge w:val="restart"/>
            <w:shd w:val="clear" w:color="auto" w:fill="FFFFFF"/>
            <w:noWrap w:val="0"/>
            <w:vAlign w:val="center"/>
          </w:tcPr>
          <w:p>
            <w:pPr>
              <w:snapToGrid w:val="0"/>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w:t>
            </w:r>
          </w:p>
          <w:p>
            <w:pPr>
              <w:snapToGrid w:val="0"/>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术</w:t>
            </w:r>
          </w:p>
          <w:p>
            <w:pPr>
              <w:snapToGrid w:val="0"/>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和</w:t>
            </w:r>
          </w:p>
          <w:p>
            <w:pPr>
              <w:snapToGrid w:val="0"/>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w:t>
            </w:r>
          </w:p>
          <w:p>
            <w:pPr>
              <w:snapToGrid w:val="0"/>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务</w:t>
            </w:r>
          </w:p>
          <w:p>
            <w:pPr>
              <w:snapToGrid w:val="0"/>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w:t>
            </w:r>
          </w:p>
          <w:p>
            <w:pPr>
              <w:snapToGrid w:val="0"/>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案</w:t>
            </w:r>
          </w:p>
          <w:p>
            <w:pPr>
              <w:snapToGrid w:val="0"/>
              <w:spacing w:line="240" w:lineRule="auto"/>
              <w:jc w:val="center"/>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部</w:t>
            </w:r>
          </w:p>
          <w:p>
            <w:pPr>
              <w:snapToGrid w:val="0"/>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w:t>
            </w:r>
          </w:p>
          <w:p>
            <w:pPr>
              <w:snapToGrid w:val="0"/>
              <w:spacing w:line="240" w:lineRule="auto"/>
              <w:jc w:val="center"/>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p>
          <w:p>
            <w:pPr>
              <w:snapToGrid w:val="0"/>
              <w:spacing w:line="240" w:lineRule="auto"/>
              <w:jc w:val="center"/>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w:t>
            </w:r>
          </w:p>
          <w:p>
            <w:pPr>
              <w:snapToGrid w:val="0"/>
              <w:spacing w:line="240" w:lineRule="auto"/>
              <w:jc w:val="center"/>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分）</w:t>
            </w:r>
          </w:p>
        </w:tc>
        <w:tc>
          <w:tcPr>
            <w:tcW w:w="555" w:type="dxa"/>
            <w:vMerge w:val="restart"/>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1611" w:type="dxa"/>
            <w:vMerge w:val="restart"/>
            <w:shd w:val="clear" w:color="auto" w:fill="FFFFFF"/>
            <w:noWrap w:val="0"/>
            <w:vAlign w:val="center"/>
          </w:tcPr>
          <w:p>
            <w:pPr>
              <w:pStyle w:val="232"/>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投标方案的合理性、科学性、全面性（根据对投标项目的理解程度、总体设计、组织实施、独到优势等情况综合评定）</w:t>
            </w:r>
          </w:p>
        </w:tc>
        <w:tc>
          <w:tcPr>
            <w:tcW w:w="5124" w:type="dxa"/>
            <w:shd w:val="clear" w:color="auto"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制定全面、健全、稳定、成熟可行的养护计划和方案，符合本项目实际：</w:t>
            </w:r>
          </w:p>
          <w:p>
            <w:pPr>
              <w:widowControl/>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根据方案中的对项目的日常养护计划、各类照明设施和机房设备养护采用的养护维修工艺和处理手法、设备和车辆的分配管理合理程度，</w:t>
            </w:r>
            <w:r>
              <w:rPr>
                <w:rFonts w:hint="eastAsia" w:ascii="仿宋" w:hAnsi="仿宋" w:eastAsia="仿宋" w:cs="仿宋"/>
                <w:color w:val="auto"/>
                <w:kern w:val="0"/>
                <w:sz w:val="24"/>
                <w:szCs w:val="24"/>
                <w:highlight w:val="none"/>
                <w:lang w:val="en-US" w:eastAsia="zh-CN"/>
              </w:rPr>
              <w:t>得</w:t>
            </w:r>
            <w:r>
              <w:rPr>
                <w:rFonts w:hint="eastAsia" w:ascii="仿宋" w:hAnsi="仿宋" w:eastAsia="仿宋" w:cs="仿宋"/>
                <w:color w:val="auto"/>
                <w:kern w:val="0"/>
                <w:sz w:val="24"/>
                <w:szCs w:val="24"/>
                <w:highlight w:val="none"/>
              </w:rPr>
              <w:t>1-5分。</w:t>
            </w:r>
          </w:p>
        </w:tc>
        <w:tc>
          <w:tcPr>
            <w:tcW w:w="750" w:type="dxa"/>
            <w:shd w:val="clear" w:color="auto" w:fill="auto"/>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5</w:t>
            </w:r>
          </w:p>
        </w:tc>
        <w:tc>
          <w:tcPr>
            <w:tcW w:w="102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403" w:hRule="atLeast"/>
          <w:jc w:val="center"/>
        </w:trPr>
        <w:tc>
          <w:tcPr>
            <w:tcW w:w="657"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55" w:type="dxa"/>
            <w:vMerge w:val="continue"/>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p>
        </w:tc>
        <w:tc>
          <w:tcPr>
            <w:tcW w:w="1611"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124" w:type="dxa"/>
            <w:shd w:val="clear" w:color="auto"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根据方案中对日常巡查和养护作业安全管理制度（包括亮灯监控和网络安全）、环境保护措施和文明养护措施内容的完善程度，</w:t>
            </w:r>
            <w:r>
              <w:rPr>
                <w:rFonts w:hint="eastAsia" w:ascii="仿宋" w:hAnsi="仿宋" w:eastAsia="仿宋" w:cs="仿宋"/>
                <w:color w:val="auto"/>
                <w:kern w:val="0"/>
                <w:sz w:val="24"/>
                <w:szCs w:val="24"/>
                <w:highlight w:val="none"/>
                <w:lang w:val="en-US" w:eastAsia="zh-CN"/>
              </w:rPr>
              <w:t>得</w:t>
            </w:r>
            <w:r>
              <w:rPr>
                <w:rFonts w:hint="eastAsia" w:ascii="仿宋" w:hAnsi="仿宋" w:eastAsia="仿宋" w:cs="仿宋"/>
                <w:color w:val="auto"/>
                <w:kern w:val="0"/>
                <w:sz w:val="24"/>
                <w:szCs w:val="24"/>
                <w:highlight w:val="none"/>
              </w:rPr>
              <w:t>1-5分。</w:t>
            </w:r>
          </w:p>
        </w:tc>
        <w:tc>
          <w:tcPr>
            <w:tcW w:w="750"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102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403" w:hRule="atLeast"/>
          <w:jc w:val="center"/>
        </w:trPr>
        <w:tc>
          <w:tcPr>
            <w:tcW w:w="657"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55" w:type="dxa"/>
            <w:vMerge w:val="continue"/>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p>
        </w:tc>
        <w:tc>
          <w:tcPr>
            <w:tcW w:w="1611"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124" w:type="dxa"/>
            <w:shd w:val="clear" w:color="auto" w:fill="FFFFFF"/>
            <w:noWrap w:val="0"/>
            <w:vAlign w:val="center"/>
          </w:tcPr>
          <w:p>
            <w:pPr>
              <w:widowControl/>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质量管理制度完善，制定有科学合理，符合本项目实际的内部管理考核制度，有专门的的组织机构对本项目进行质量监管，</w:t>
            </w:r>
            <w:r>
              <w:rPr>
                <w:rFonts w:hint="eastAsia" w:ascii="仿宋" w:hAnsi="仿宋" w:eastAsia="仿宋" w:cs="仿宋"/>
                <w:color w:val="auto"/>
                <w:kern w:val="0"/>
                <w:sz w:val="24"/>
                <w:szCs w:val="24"/>
                <w:highlight w:val="none"/>
                <w:lang w:val="en-US" w:eastAsia="zh-CN"/>
              </w:rPr>
              <w:t>得</w:t>
            </w:r>
            <w:r>
              <w:rPr>
                <w:rFonts w:hint="eastAsia" w:ascii="仿宋" w:hAnsi="仿宋" w:eastAsia="仿宋" w:cs="仿宋"/>
                <w:color w:val="auto"/>
                <w:kern w:val="0"/>
                <w:sz w:val="24"/>
                <w:szCs w:val="24"/>
                <w:highlight w:val="none"/>
              </w:rPr>
              <w:t>1-5分。</w:t>
            </w:r>
          </w:p>
        </w:tc>
        <w:tc>
          <w:tcPr>
            <w:tcW w:w="750" w:type="dxa"/>
            <w:shd w:val="clear" w:color="auto" w:fill="auto"/>
            <w:noWrap w:val="0"/>
            <w:vAlign w:val="center"/>
          </w:tcPr>
          <w:p>
            <w:pPr>
              <w:widowControl/>
              <w:spacing w:line="240" w:lineRule="auto"/>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02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270" w:hRule="atLeast"/>
          <w:jc w:val="center"/>
        </w:trPr>
        <w:tc>
          <w:tcPr>
            <w:tcW w:w="657"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55" w:type="dxa"/>
            <w:vMerge w:val="continue"/>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p>
        </w:tc>
        <w:tc>
          <w:tcPr>
            <w:tcW w:w="1611"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124" w:type="dxa"/>
            <w:shd w:val="clear" w:color="auto" w:fill="FFFFFF"/>
            <w:noWrap w:val="0"/>
            <w:vAlign w:val="center"/>
          </w:tcPr>
          <w:p>
            <w:pPr>
              <w:widowControl/>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中标后养护移交平稳过渡计划实施方案全面科学，并具有可操作性，得</w:t>
            </w:r>
            <w:r>
              <w:rPr>
                <w:rFonts w:hint="eastAsia" w:ascii="仿宋" w:hAnsi="仿宋" w:eastAsia="仿宋" w:cs="仿宋"/>
                <w:color w:val="auto"/>
                <w:kern w:val="0"/>
                <w:sz w:val="24"/>
                <w:szCs w:val="24"/>
                <w:highlight w:val="none"/>
                <w:lang w:val="en-US" w:eastAsia="zh-CN"/>
              </w:rPr>
              <w:t>1-5</w:t>
            </w:r>
            <w:r>
              <w:rPr>
                <w:rFonts w:hint="eastAsia" w:ascii="仿宋" w:hAnsi="仿宋" w:eastAsia="仿宋" w:cs="仿宋"/>
                <w:color w:val="auto"/>
                <w:kern w:val="0"/>
                <w:sz w:val="24"/>
                <w:szCs w:val="24"/>
                <w:highlight w:val="none"/>
              </w:rPr>
              <w:t>分。</w:t>
            </w:r>
          </w:p>
        </w:tc>
        <w:tc>
          <w:tcPr>
            <w:tcW w:w="750" w:type="dxa"/>
            <w:shd w:val="clear" w:color="auto" w:fill="auto"/>
            <w:noWrap w:val="0"/>
            <w:vAlign w:val="center"/>
          </w:tcPr>
          <w:p>
            <w:pPr>
              <w:widowControl/>
              <w:spacing w:line="240" w:lineRule="auto"/>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02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536" w:hRule="atLeast"/>
          <w:jc w:val="center"/>
        </w:trPr>
        <w:tc>
          <w:tcPr>
            <w:tcW w:w="657"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55" w:type="dxa"/>
            <w:vMerge w:val="continue"/>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p>
        </w:tc>
        <w:tc>
          <w:tcPr>
            <w:tcW w:w="1611"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124" w:type="dxa"/>
            <w:shd w:val="clear" w:color="auto" w:fill="FFFFFF"/>
            <w:noWrap w:val="0"/>
            <w:vAlign w:val="center"/>
          </w:tcPr>
          <w:p>
            <w:pPr>
              <w:widowControl/>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养护台账和资料管理方案：日常养护、设备维修、检测、技术状况评价等资料的整理归档方案是否符合相关规范要求。达到项目预定要求，科学合理、具有针对性及可操作性，</w:t>
            </w:r>
            <w:r>
              <w:rPr>
                <w:rFonts w:hint="eastAsia" w:ascii="仿宋" w:hAnsi="仿宋" w:eastAsia="仿宋" w:cs="仿宋"/>
                <w:color w:val="auto"/>
                <w:kern w:val="0"/>
                <w:sz w:val="24"/>
                <w:szCs w:val="24"/>
                <w:highlight w:val="none"/>
                <w:lang w:val="en-US" w:eastAsia="zh-CN"/>
              </w:rPr>
              <w:t>得</w:t>
            </w:r>
            <w:r>
              <w:rPr>
                <w:rFonts w:hint="eastAsia" w:ascii="仿宋" w:hAnsi="仿宋" w:eastAsia="仿宋" w:cs="仿宋"/>
                <w:color w:val="auto"/>
                <w:kern w:val="0"/>
                <w:sz w:val="24"/>
                <w:szCs w:val="24"/>
                <w:highlight w:val="none"/>
              </w:rPr>
              <w:t>1-5</w:t>
            </w:r>
            <w:r>
              <w:rPr>
                <w:rFonts w:hint="eastAsia" w:ascii="仿宋" w:hAnsi="仿宋" w:eastAsia="仿宋" w:cs="仿宋"/>
                <w:color w:val="auto"/>
                <w:sz w:val="24"/>
                <w:szCs w:val="24"/>
                <w:highlight w:val="none"/>
              </w:rPr>
              <w:t>分。</w:t>
            </w:r>
          </w:p>
        </w:tc>
        <w:tc>
          <w:tcPr>
            <w:tcW w:w="750" w:type="dxa"/>
            <w:shd w:val="clear" w:color="auto" w:fill="auto"/>
            <w:noWrap w:val="0"/>
            <w:vAlign w:val="center"/>
          </w:tcPr>
          <w:p>
            <w:pPr>
              <w:widowControl/>
              <w:spacing w:line="240" w:lineRule="auto"/>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02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199"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1611" w:type="dxa"/>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拟投入本项目的设施设备</w:t>
            </w:r>
          </w:p>
        </w:tc>
        <w:tc>
          <w:tcPr>
            <w:tcW w:w="5124" w:type="dxa"/>
            <w:shd w:val="clear" w:color="auto" w:fill="FFFFFF"/>
            <w:noWrap w:val="0"/>
            <w:vAlign w:val="center"/>
          </w:tcPr>
          <w:p>
            <w:pPr>
              <w:spacing w:line="240" w:lineRule="auto"/>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招标需求基础上，</w:t>
            </w:r>
            <w:r>
              <w:rPr>
                <w:rFonts w:hint="eastAsia" w:ascii="仿宋" w:hAnsi="仿宋" w:eastAsia="仿宋" w:cs="仿宋"/>
                <w:color w:val="auto"/>
                <w:kern w:val="0"/>
                <w:sz w:val="24"/>
                <w:szCs w:val="24"/>
                <w:highlight w:val="none"/>
              </w:rPr>
              <w:t>额外配置与本项目相关的其他类型车辆（如抢险车或巡查车等），自有的每提供一辆得1分，</w:t>
            </w:r>
            <w:r>
              <w:rPr>
                <w:rFonts w:hint="eastAsia" w:ascii="仿宋" w:hAnsi="仿宋" w:eastAsia="仿宋" w:cs="仿宋"/>
                <w:color w:val="auto"/>
                <w:sz w:val="24"/>
                <w:szCs w:val="24"/>
                <w:highlight w:val="none"/>
              </w:rPr>
              <w:t>租赁的</w:t>
            </w:r>
            <w:r>
              <w:rPr>
                <w:rFonts w:hint="eastAsia" w:ascii="仿宋" w:hAnsi="仿宋" w:eastAsia="仿宋" w:cs="仿宋"/>
                <w:color w:val="auto"/>
                <w:kern w:val="0"/>
                <w:sz w:val="24"/>
                <w:szCs w:val="24"/>
                <w:highlight w:val="none"/>
              </w:rPr>
              <w:t>每提供一辆得0.5分，最多计5辆，最高得5分。</w:t>
            </w:r>
          </w:p>
          <w:p>
            <w:pPr>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①如自有的提供车辆的行驶证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车辆登记证</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购买原始发票</w:t>
            </w:r>
            <w:r>
              <w:rPr>
                <w:rFonts w:hint="eastAsia" w:ascii="仿宋" w:hAnsi="仿宋" w:eastAsia="仿宋" w:cs="仿宋"/>
                <w:color w:val="auto"/>
                <w:sz w:val="24"/>
                <w:szCs w:val="24"/>
                <w:highlight w:val="none"/>
                <w:lang w:val="en-US" w:eastAsia="zh-CN"/>
              </w:rPr>
              <w:t>材料</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不提供或提供不全的不得分</w:t>
            </w:r>
            <w:r>
              <w:rPr>
                <w:rFonts w:hint="eastAsia" w:ascii="仿宋" w:hAnsi="仿宋" w:eastAsia="仿宋" w:cs="仿宋"/>
                <w:color w:val="auto"/>
                <w:sz w:val="24"/>
                <w:szCs w:val="24"/>
                <w:highlight w:val="none"/>
              </w:rPr>
              <w:t>；②如租赁的提供租赁协议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行驶证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车辆登记证</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购买原始发票</w:t>
            </w:r>
            <w:r>
              <w:rPr>
                <w:rFonts w:hint="eastAsia" w:ascii="仿宋" w:hAnsi="仿宋" w:eastAsia="仿宋" w:cs="仿宋"/>
                <w:color w:val="auto"/>
                <w:sz w:val="24"/>
                <w:szCs w:val="24"/>
                <w:highlight w:val="none"/>
                <w:lang w:val="en-US" w:eastAsia="zh-CN"/>
              </w:rPr>
              <w:t>材料</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不提供或提供不全的不得分</w:t>
            </w:r>
            <w:r>
              <w:rPr>
                <w:rFonts w:hint="eastAsia" w:ascii="仿宋" w:hAnsi="仿宋" w:eastAsia="仿宋" w:cs="仿宋"/>
                <w:color w:val="auto"/>
                <w:sz w:val="24"/>
                <w:szCs w:val="24"/>
                <w:highlight w:val="none"/>
                <w:lang w:eastAsia="zh-CN"/>
              </w:rPr>
              <w:t>）</w:t>
            </w:r>
          </w:p>
        </w:tc>
        <w:tc>
          <w:tcPr>
            <w:tcW w:w="750" w:type="dxa"/>
            <w:shd w:val="clear" w:color="auto" w:fill="auto"/>
            <w:noWrap w:val="0"/>
            <w:vAlign w:val="center"/>
          </w:tcPr>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021" w:type="dxa"/>
            <w:shd w:val="clear" w:color="auto" w:fill="auto"/>
            <w:noWrap w:val="0"/>
            <w:vAlign w:val="center"/>
          </w:tcPr>
          <w:p>
            <w:pPr>
              <w:spacing w:line="240" w:lineRule="auto"/>
              <w:jc w:val="center"/>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537"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1611" w:type="dxa"/>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保证进度和项目完成的方案和措施等综合评定 </w:t>
            </w:r>
          </w:p>
        </w:tc>
        <w:tc>
          <w:tcPr>
            <w:tcW w:w="5124" w:type="dxa"/>
            <w:shd w:val="clear" w:color="auto" w:fill="FFFFFF"/>
            <w:noWrap w:val="0"/>
            <w:vAlign w:val="center"/>
          </w:tcPr>
          <w:p>
            <w:pPr>
              <w:widowControl/>
              <w:spacing w:line="240" w:lineRule="auto"/>
              <w:textAlignment w:val="baseline"/>
              <w:rPr>
                <w:rFonts w:hint="eastAsia" w:ascii="仿宋" w:hAnsi="仿宋" w:eastAsia="仿宋" w:cs="仿宋"/>
                <w:bCs/>
                <w:color w:val="auto"/>
                <w:kern w:val="0"/>
                <w:sz w:val="24"/>
                <w:szCs w:val="24"/>
                <w:highlight w:val="none"/>
              </w:rPr>
            </w:pPr>
            <w:r>
              <w:rPr>
                <w:rFonts w:hint="eastAsia" w:ascii="仿宋" w:hAnsi="仿宋" w:eastAsia="仿宋" w:cs="仿宋"/>
                <w:color w:val="auto"/>
                <w:sz w:val="24"/>
                <w:szCs w:val="24"/>
                <w:highlight w:val="none"/>
                <w:lang w:val="en-US" w:eastAsia="zh-CN"/>
              </w:rPr>
              <w:t>具</w:t>
            </w:r>
            <w:r>
              <w:rPr>
                <w:rFonts w:hint="eastAsia" w:ascii="仿宋" w:hAnsi="仿宋" w:eastAsia="仿宋" w:cs="仿宋"/>
                <w:color w:val="auto"/>
                <w:sz w:val="24"/>
                <w:szCs w:val="24"/>
                <w:highlight w:val="none"/>
              </w:rPr>
              <w:t>有具体可行的保证项目进度和完成的方案、措施等的，</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lang w:eastAsia="zh-CN"/>
              </w:rPr>
            </w:pPr>
            <w:r>
              <w:rPr>
                <w:rFonts w:hint="eastAsia" w:ascii="仿宋" w:hAnsi="仿宋" w:eastAsia="仿宋" w:cs="仿宋"/>
                <w:bCs/>
                <w:color w:val="auto"/>
                <w:kern w:val="0"/>
                <w:sz w:val="24"/>
                <w:szCs w:val="24"/>
                <w:highlight w:val="none"/>
                <w:lang w:val="en-US" w:eastAsia="zh-CN"/>
              </w:rPr>
              <w:t>4</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668"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vMerge w:val="restart"/>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611" w:type="dxa"/>
            <w:vMerge w:val="restart"/>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项目负责人及技术力量安排等（综合评定）</w:t>
            </w:r>
          </w:p>
        </w:tc>
        <w:tc>
          <w:tcPr>
            <w:tcW w:w="5124" w:type="dxa"/>
            <w:shd w:val="clear" w:color="auto" w:fill="FFFFFF"/>
            <w:noWrap w:val="0"/>
            <w:vAlign w:val="center"/>
          </w:tcPr>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拟派项目负责人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具有本科</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rPr>
              <w:t>以上学历</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人社部颁发的电气类专业高级工程师及以上职称</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国家注册一级建造师(机电工程)职业资格的得2分。</w:t>
            </w:r>
          </w:p>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提供学历证书、职称证书、资格证书和所在投标人</w:t>
            </w:r>
            <w:r>
              <w:rPr>
                <w:rFonts w:hint="eastAsia" w:ascii="仿宋" w:hAnsi="仿宋" w:eastAsia="仿宋" w:cs="仿宋"/>
                <w:color w:val="auto"/>
                <w:sz w:val="24"/>
                <w:szCs w:val="24"/>
                <w:highlight w:val="none"/>
              </w:rPr>
              <w:t>近6个月社保缴纳证明</w:t>
            </w:r>
            <w:r>
              <w:rPr>
                <w:rFonts w:hint="eastAsia" w:ascii="仿宋" w:hAnsi="仿宋" w:eastAsia="仿宋" w:cs="仿宋"/>
                <w:color w:val="auto"/>
                <w:sz w:val="24"/>
                <w:szCs w:val="24"/>
                <w:highlight w:val="none"/>
                <w:lang w:val="en-US" w:eastAsia="zh-CN"/>
              </w:rPr>
              <w:t>材料，不提供或提供不全的不得分</w:t>
            </w:r>
            <w:r>
              <w:rPr>
                <w:rFonts w:hint="eastAsia" w:ascii="仿宋" w:hAnsi="仿宋" w:eastAsia="仿宋" w:cs="仿宋"/>
                <w:color w:val="auto"/>
                <w:sz w:val="24"/>
                <w:szCs w:val="24"/>
                <w:highlight w:val="none"/>
                <w:lang w:eastAsia="zh-CN"/>
              </w:rPr>
              <w:t>）</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rPr>
            </w:pPr>
            <w:r>
              <w:rPr>
                <w:rFonts w:hint="eastAsia" w:ascii="仿宋" w:hAnsi="仿宋" w:eastAsia="仿宋" w:cs="仿宋"/>
                <w:color w:val="auto"/>
                <w:kern w:val="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90"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vMerge w:val="continue"/>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p>
        </w:tc>
        <w:tc>
          <w:tcPr>
            <w:tcW w:w="1611"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124" w:type="dxa"/>
            <w:shd w:val="clear" w:color="auto" w:fill="FFFFFF"/>
            <w:noWrap w:val="0"/>
            <w:vAlign w:val="center"/>
          </w:tcPr>
          <w:p>
            <w:pPr>
              <w:widowControl/>
              <w:spacing w:line="240" w:lineRule="auto"/>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技术负责人：具有本科及以上学历</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人社部颁发的电气类专业高级工程师及以上职称的得2分</w:t>
            </w:r>
            <w:r>
              <w:rPr>
                <w:rFonts w:hint="eastAsia" w:ascii="仿宋" w:hAnsi="仿宋" w:eastAsia="仿宋" w:cs="仿宋"/>
                <w:color w:val="auto"/>
                <w:sz w:val="24"/>
                <w:szCs w:val="24"/>
                <w:highlight w:val="none"/>
                <w:lang w:eastAsia="zh-CN"/>
              </w:rPr>
              <w:t>。</w:t>
            </w:r>
          </w:p>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提供学历证书、职称证书和所在投标人</w:t>
            </w:r>
            <w:r>
              <w:rPr>
                <w:rFonts w:hint="eastAsia" w:ascii="仿宋" w:hAnsi="仿宋" w:eastAsia="仿宋" w:cs="仿宋"/>
                <w:color w:val="auto"/>
                <w:sz w:val="24"/>
                <w:szCs w:val="24"/>
                <w:highlight w:val="none"/>
              </w:rPr>
              <w:t>近6个月社保缴纳证明</w:t>
            </w:r>
            <w:r>
              <w:rPr>
                <w:rFonts w:hint="eastAsia" w:ascii="仿宋" w:hAnsi="仿宋" w:eastAsia="仿宋" w:cs="仿宋"/>
                <w:color w:val="auto"/>
                <w:sz w:val="24"/>
                <w:szCs w:val="24"/>
                <w:highlight w:val="none"/>
                <w:lang w:val="en-US" w:eastAsia="zh-CN"/>
              </w:rPr>
              <w:t>材料，不提供或提供不全的不得分</w:t>
            </w:r>
            <w:r>
              <w:rPr>
                <w:rFonts w:hint="eastAsia" w:ascii="仿宋" w:hAnsi="仿宋" w:eastAsia="仿宋" w:cs="仿宋"/>
                <w:color w:val="auto"/>
                <w:sz w:val="24"/>
                <w:szCs w:val="24"/>
                <w:highlight w:val="none"/>
                <w:lang w:eastAsia="zh-CN"/>
              </w:rPr>
              <w:t>）</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2</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rPr>
            </w:pPr>
            <w:r>
              <w:rPr>
                <w:rFonts w:hint="eastAsia" w:ascii="仿宋" w:hAnsi="仿宋" w:eastAsia="仿宋" w:cs="仿宋"/>
                <w:color w:val="auto"/>
                <w:kern w:val="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469"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vMerge w:val="continue"/>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p>
        </w:tc>
        <w:tc>
          <w:tcPr>
            <w:tcW w:w="1611"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124" w:type="dxa"/>
            <w:shd w:val="clear" w:color="auto" w:fill="FFFFFF"/>
            <w:noWrap w:val="0"/>
            <w:vAlign w:val="center"/>
          </w:tcPr>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养护团队：</w:t>
            </w:r>
          </w:p>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1.投入本项目的班组人员需固定，安排数量充足、配置合理，得2分；</w:t>
            </w:r>
            <w:r>
              <w:rPr>
                <w:rFonts w:hint="eastAsia" w:ascii="仿宋" w:hAnsi="仿宋" w:eastAsia="仿宋" w:cs="仿宋"/>
                <w:color w:val="auto"/>
                <w:sz w:val="24"/>
                <w:szCs w:val="24"/>
                <w:highlight w:val="none"/>
                <w:lang w:val="en-US" w:eastAsia="zh-CN"/>
              </w:rPr>
              <w:t>招标需求（10人）基础上</w:t>
            </w:r>
            <w:r>
              <w:rPr>
                <w:rFonts w:hint="eastAsia" w:ascii="仿宋" w:hAnsi="仿宋" w:eastAsia="仿宋" w:cs="仿宋"/>
                <w:color w:val="auto"/>
                <w:sz w:val="24"/>
                <w:szCs w:val="24"/>
                <w:highlight w:val="none"/>
              </w:rPr>
              <w:t>每增加1人</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0.5分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此项最高得4分。</w:t>
            </w:r>
          </w:p>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2.特种作业人员要求：同时</w:t>
            </w:r>
            <w:r>
              <w:rPr>
                <w:rFonts w:hint="eastAsia" w:ascii="仿宋" w:hAnsi="仿宋" w:eastAsia="仿宋" w:cs="仿宋"/>
                <w:color w:val="auto"/>
                <w:sz w:val="24"/>
                <w:szCs w:val="24"/>
                <w:highlight w:val="none"/>
                <w:lang w:val="en-US" w:eastAsia="zh-CN"/>
              </w:rPr>
              <w:t>具有</w:t>
            </w:r>
            <w:r>
              <w:rPr>
                <w:rFonts w:hint="eastAsia" w:ascii="仿宋" w:hAnsi="仿宋" w:eastAsia="仿宋" w:cs="仿宋"/>
                <w:color w:val="auto"/>
                <w:sz w:val="24"/>
                <w:szCs w:val="24"/>
                <w:highlight w:val="none"/>
              </w:rPr>
              <w:t>高空作业证（准操项目：高处安装、维护、拆除作业）和电工证（建筑电工</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低压电工</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高压电工）。养护团队至少有</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名符合双证要求的特种作业人员，满足条件的得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其余</w:t>
            </w:r>
            <w:r>
              <w:rPr>
                <w:rFonts w:hint="eastAsia" w:ascii="仿宋" w:hAnsi="仿宋" w:eastAsia="仿宋" w:cs="仿宋"/>
                <w:color w:val="auto"/>
                <w:sz w:val="24"/>
                <w:szCs w:val="24"/>
                <w:highlight w:val="none"/>
              </w:rPr>
              <w:t>不得分。</w:t>
            </w:r>
          </w:p>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3.安全员要求：</w:t>
            </w:r>
            <w:r>
              <w:rPr>
                <w:rFonts w:hint="eastAsia" w:ascii="仿宋" w:hAnsi="仿宋" w:eastAsia="仿宋" w:cs="仿宋"/>
                <w:color w:val="auto"/>
                <w:sz w:val="24"/>
                <w:szCs w:val="24"/>
                <w:highlight w:val="none"/>
                <w:lang w:val="en-US" w:eastAsia="zh-CN"/>
              </w:rPr>
              <w:t>具有</w:t>
            </w:r>
            <w:r>
              <w:rPr>
                <w:rFonts w:hint="eastAsia" w:ascii="仿宋" w:hAnsi="仿宋" w:eastAsia="仿宋" w:cs="仿宋"/>
                <w:color w:val="auto"/>
                <w:sz w:val="24"/>
                <w:szCs w:val="24"/>
                <w:highlight w:val="none"/>
              </w:rPr>
              <w:t>安全考核C类证书</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电工证（建筑电工</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低压电工</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高压电工）</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每名得1分，最高</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p>
            <w:pPr>
              <w:widowControl/>
              <w:spacing w:line="240" w:lineRule="auto"/>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项目上所有人员不得重复，高空作业证和电工证须由建设行政主管部门或应急管理厅颁发，</w:t>
            </w:r>
            <w:r>
              <w:rPr>
                <w:rFonts w:hint="eastAsia" w:ascii="仿宋" w:hAnsi="仿宋" w:eastAsia="仿宋" w:cs="仿宋"/>
                <w:color w:val="auto"/>
                <w:sz w:val="24"/>
                <w:szCs w:val="24"/>
                <w:highlight w:val="none"/>
                <w:lang w:val="en-US" w:eastAsia="zh-CN"/>
              </w:rPr>
              <w:t>提供人员证书和所在投标人</w:t>
            </w:r>
            <w:r>
              <w:rPr>
                <w:rFonts w:hint="eastAsia" w:ascii="仿宋" w:hAnsi="仿宋" w:eastAsia="仿宋" w:cs="仿宋"/>
                <w:color w:val="auto"/>
                <w:sz w:val="24"/>
                <w:szCs w:val="24"/>
                <w:highlight w:val="none"/>
              </w:rPr>
              <w:t>近6个月社保缴纳证明</w:t>
            </w:r>
            <w:r>
              <w:rPr>
                <w:rFonts w:hint="eastAsia" w:ascii="仿宋" w:hAnsi="仿宋" w:eastAsia="仿宋" w:cs="仿宋"/>
                <w:color w:val="auto"/>
                <w:sz w:val="24"/>
                <w:szCs w:val="24"/>
                <w:highlight w:val="none"/>
                <w:lang w:val="en-US" w:eastAsia="zh-CN"/>
              </w:rPr>
              <w:t>材料，不提供或提供不全的不得分</w:t>
            </w:r>
            <w:r>
              <w:rPr>
                <w:rFonts w:hint="eastAsia" w:ascii="仿宋" w:hAnsi="仿宋" w:eastAsia="仿宋" w:cs="仿宋"/>
                <w:color w:val="auto"/>
                <w:sz w:val="24"/>
                <w:szCs w:val="24"/>
                <w:highlight w:val="none"/>
                <w:lang w:eastAsia="zh-CN"/>
              </w:rPr>
              <w:t>）</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rPr>
            </w:pPr>
            <w:r>
              <w:rPr>
                <w:rFonts w:hint="eastAsia" w:ascii="仿宋" w:hAnsi="仿宋" w:eastAsia="仿宋" w:cs="仿宋"/>
                <w:bCs/>
                <w:color w:val="auto"/>
                <w:kern w:val="0"/>
                <w:sz w:val="24"/>
                <w:szCs w:val="24"/>
                <w:highlight w:val="none"/>
              </w:rPr>
              <w:t>14</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bCs/>
                <w:color w:val="auto"/>
                <w:kern w:val="0"/>
                <w:sz w:val="24"/>
                <w:szCs w:val="24"/>
                <w:highlight w:val="none"/>
              </w:rPr>
            </w:pPr>
            <w:r>
              <w:rPr>
                <w:rFonts w:hint="eastAsia" w:ascii="仿宋" w:hAnsi="仿宋" w:eastAsia="仿宋" w:cs="仿宋"/>
                <w:color w:val="auto"/>
                <w:kern w:val="0"/>
                <w:sz w:val="24"/>
                <w:szCs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582"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w:t>
            </w:r>
          </w:p>
        </w:tc>
        <w:tc>
          <w:tcPr>
            <w:tcW w:w="1611" w:type="dxa"/>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对本项目的合理化建议（综合评定）</w:t>
            </w:r>
          </w:p>
        </w:tc>
        <w:tc>
          <w:tcPr>
            <w:tcW w:w="5124" w:type="dxa"/>
            <w:shd w:val="clear" w:color="auto" w:fill="FFFFFF"/>
            <w:noWrap w:val="0"/>
            <w:vAlign w:val="center"/>
          </w:tcPr>
          <w:p>
            <w:pPr>
              <w:widowControl/>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w:t>
            </w:r>
            <w:r>
              <w:rPr>
                <w:rFonts w:hint="eastAsia" w:ascii="仿宋" w:hAnsi="仿宋" w:eastAsia="仿宋" w:cs="仿宋"/>
                <w:color w:val="auto"/>
                <w:sz w:val="24"/>
                <w:szCs w:val="24"/>
                <w:highlight w:val="none"/>
              </w:rPr>
              <w:t>有切实可行的其它合理化建议和优化建议的，</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801"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611" w:type="dxa"/>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服务质量保证情况（根据质保期限、可实现程度、提供优惠等情况综合评定）</w:t>
            </w:r>
          </w:p>
        </w:tc>
        <w:tc>
          <w:tcPr>
            <w:tcW w:w="5124" w:type="dxa"/>
            <w:shd w:val="clear" w:color="auto" w:fill="FFFFFF"/>
            <w:noWrap w:val="0"/>
            <w:vAlign w:val="center"/>
          </w:tcPr>
          <w:p>
            <w:pPr>
              <w:widowControl/>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w:t>
            </w:r>
            <w:r>
              <w:rPr>
                <w:rFonts w:hint="eastAsia" w:ascii="仿宋" w:hAnsi="仿宋" w:eastAsia="仿宋" w:cs="仿宋"/>
                <w:color w:val="auto"/>
                <w:sz w:val="24"/>
                <w:szCs w:val="24"/>
                <w:highlight w:val="none"/>
              </w:rPr>
              <w:t>有具体可行的保证亮灯设施安全正常运行的服务质量等措施，</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b/>
                <w:bCs/>
                <w:color w:val="auto"/>
                <w:kern w:val="0"/>
                <w:sz w:val="24"/>
                <w:szCs w:val="24"/>
                <w:highlight w:val="none"/>
                <w:lang w:eastAsia="zh-CN"/>
              </w:rPr>
            </w:pPr>
            <w:r>
              <w:rPr>
                <w:rFonts w:hint="eastAsia" w:ascii="仿宋" w:hAnsi="仿宋" w:eastAsia="仿宋" w:cs="仿宋"/>
                <w:bCs/>
                <w:color w:val="auto"/>
                <w:kern w:val="0"/>
                <w:sz w:val="24"/>
                <w:szCs w:val="24"/>
                <w:highlight w:val="none"/>
                <w:lang w:val="en-US" w:eastAsia="zh-CN"/>
              </w:rPr>
              <w:t>3</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b/>
                <w:bCs/>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578"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vMerge w:val="restart"/>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w:t>
            </w:r>
          </w:p>
        </w:tc>
        <w:tc>
          <w:tcPr>
            <w:tcW w:w="1611" w:type="dxa"/>
            <w:vMerge w:val="restart"/>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服务承诺（根据本地化服务能力、售后服务方案、措施、响应等情况综合评定）</w:t>
            </w:r>
          </w:p>
        </w:tc>
        <w:tc>
          <w:tcPr>
            <w:tcW w:w="5124" w:type="dxa"/>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val="en-US" w:eastAsia="zh-CN"/>
              </w:rPr>
              <w:t>杭州市</w:t>
            </w:r>
            <w:r>
              <w:rPr>
                <w:rFonts w:hint="eastAsia" w:ascii="仿宋" w:hAnsi="仿宋" w:eastAsia="仿宋" w:cs="仿宋"/>
                <w:color w:val="auto"/>
                <w:sz w:val="24"/>
                <w:szCs w:val="24"/>
                <w:highlight w:val="none"/>
                <w:lang w:val="en-US"/>
              </w:rPr>
              <w:t>范围内</w:t>
            </w:r>
            <w:r>
              <w:rPr>
                <w:rFonts w:hint="eastAsia" w:ascii="仿宋" w:hAnsi="仿宋" w:eastAsia="仿宋" w:cs="仿宋"/>
                <w:color w:val="auto"/>
                <w:sz w:val="24"/>
                <w:szCs w:val="24"/>
                <w:highlight w:val="none"/>
              </w:rPr>
              <w:t>具有固定的办公和仓储场所，自有</w:t>
            </w:r>
            <w:r>
              <w:rPr>
                <w:rFonts w:hint="eastAsia" w:ascii="仿宋" w:hAnsi="仿宋" w:eastAsia="仿宋" w:cs="仿宋"/>
                <w:color w:val="auto"/>
                <w:sz w:val="24"/>
                <w:szCs w:val="24"/>
                <w:highlight w:val="none"/>
                <w:lang w:val="en-US" w:eastAsia="zh-CN"/>
              </w:rPr>
              <w:t>场所的得3分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租赁场所</w:t>
            </w:r>
            <w:r>
              <w:rPr>
                <w:rFonts w:hint="eastAsia" w:ascii="仿宋" w:hAnsi="仿宋" w:eastAsia="仿宋" w:cs="仿宋"/>
                <w:color w:val="auto"/>
                <w:sz w:val="24"/>
                <w:szCs w:val="24"/>
                <w:highlight w:val="none"/>
                <w:lang w:val="en-US" w:eastAsia="zh-CN"/>
              </w:rPr>
              <w:t>的得1分。（</w:t>
            </w:r>
            <w:r>
              <w:rPr>
                <w:rFonts w:hint="eastAsia" w:ascii="仿宋" w:hAnsi="仿宋" w:eastAsia="仿宋" w:cs="仿宋"/>
                <w:color w:val="auto"/>
                <w:sz w:val="24"/>
                <w:szCs w:val="24"/>
                <w:highlight w:val="none"/>
              </w:rPr>
              <w:t>自有场所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提供自有</w:t>
            </w:r>
            <w:r>
              <w:rPr>
                <w:rFonts w:hint="eastAsia" w:ascii="仿宋" w:hAnsi="仿宋" w:eastAsia="仿宋" w:cs="仿宋"/>
                <w:color w:val="auto"/>
                <w:sz w:val="24"/>
                <w:szCs w:val="24"/>
                <w:highlight w:val="none"/>
              </w:rPr>
              <w:t>房产证</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租赁场所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提供有效</w:t>
            </w:r>
            <w:r>
              <w:rPr>
                <w:rFonts w:hint="eastAsia" w:ascii="仿宋" w:hAnsi="仿宋" w:eastAsia="仿宋" w:cs="仿宋"/>
                <w:color w:val="auto"/>
                <w:sz w:val="24"/>
                <w:szCs w:val="24"/>
                <w:highlight w:val="none"/>
              </w:rPr>
              <w:t>租赁合同</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房产证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不提供或提供不全的不得分）</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1544"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vMerge w:val="continue"/>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p>
        </w:tc>
        <w:tc>
          <w:tcPr>
            <w:tcW w:w="1611" w:type="dxa"/>
            <w:vMerge w:val="continue"/>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p>
        </w:tc>
        <w:tc>
          <w:tcPr>
            <w:tcW w:w="5124" w:type="dxa"/>
            <w:shd w:val="clear" w:color="auto" w:fill="FFFFFF"/>
            <w:noWrap w:val="0"/>
            <w:vAlign w:val="center"/>
          </w:tcPr>
          <w:p>
            <w:pPr>
              <w:widowControl/>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应急保障措施（防汛防台、突发事件应急处理及重大活动保障的人员配备、应急处置方案，落实抢修和巡查人员,信息报送时限等内容），根据方案是否全面、是否科学合理、具有针对性和可操作性等内容，</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750" w:type="dxa"/>
            <w:shd w:val="clear" w:color="auto" w:fill="auto"/>
            <w:noWrap w:val="0"/>
            <w:vAlign w:val="center"/>
          </w:tcPr>
          <w:p>
            <w:pPr>
              <w:widowControl/>
              <w:spacing w:line="240" w:lineRule="auto"/>
              <w:jc w:val="center"/>
              <w:textAlignment w:val="baseline"/>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407" w:hRule="atLeast"/>
          <w:jc w:val="center"/>
        </w:trPr>
        <w:tc>
          <w:tcPr>
            <w:tcW w:w="657" w:type="dxa"/>
            <w:vMerge w:val="continue"/>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rPr>
            </w:pPr>
          </w:p>
        </w:tc>
        <w:tc>
          <w:tcPr>
            <w:tcW w:w="555" w:type="dxa"/>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1611" w:type="dxa"/>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维保方案</w:t>
            </w:r>
          </w:p>
        </w:tc>
        <w:tc>
          <w:tcPr>
            <w:tcW w:w="5124" w:type="dxa"/>
            <w:shd w:val="clear" w:color="auto" w:fill="FFFFFF"/>
            <w:noWrap w:val="0"/>
            <w:vAlign w:val="center"/>
          </w:tcPr>
          <w:p>
            <w:pPr>
              <w:widowControl/>
              <w:spacing w:line="240" w:lineRule="auto"/>
              <w:jc w:val="left"/>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针对</w:t>
            </w:r>
            <w:r>
              <w:rPr>
                <w:rFonts w:hint="eastAsia" w:ascii="仿宋" w:hAnsi="仿宋" w:eastAsia="仿宋" w:cs="仿宋"/>
                <w:color w:val="auto"/>
                <w:sz w:val="24"/>
                <w:szCs w:val="24"/>
                <w:highlight w:val="none"/>
                <w:lang w:val="en-US" w:eastAsia="zh-CN"/>
              </w:rPr>
              <w:t>亚运期间</w:t>
            </w:r>
            <w:r>
              <w:rPr>
                <w:rFonts w:hint="eastAsia" w:ascii="仿宋" w:hAnsi="仿宋" w:eastAsia="仿宋" w:cs="仿宋"/>
                <w:color w:val="auto"/>
                <w:sz w:val="24"/>
                <w:szCs w:val="24"/>
                <w:highlight w:val="none"/>
              </w:rPr>
              <w:t>楼宇的</w:t>
            </w:r>
            <w:r>
              <w:rPr>
                <w:rFonts w:hint="eastAsia" w:ascii="仿宋" w:hAnsi="仿宋" w:eastAsia="仿宋" w:cs="仿宋"/>
                <w:color w:val="auto"/>
                <w:sz w:val="24"/>
                <w:szCs w:val="24"/>
                <w:highlight w:val="none"/>
                <w:lang w:val="en-US" w:eastAsia="zh-CN"/>
              </w:rPr>
              <w:t>特殊</w:t>
            </w:r>
            <w:r>
              <w:rPr>
                <w:rFonts w:hint="eastAsia" w:ascii="仿宋" w:hAnsi="仿宋" w:eastAsia="仿宋" w:cs="仿宋"/>
                <w:color w:val="auto"/>
                <w:sz w:val="24"/>
                <w:szCs w:val="24"/>
                <w:highlight w:val="none"/>
              </w:rPr>
              <w:t>维保方案，根据各单位考虑现状，提出的维保方案综合评定</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得0-5</w:t>
            </w:r>
            <w:r>
              <w:rPr>
                <w:rFonts w:hint="eastAsia" w:ascii="仿宋" w:hAnsi="仿宋" w:eastAsia="仿宋" w:cs="仿宋"/>
                <w:color w:val="auto"/>
                <w:sz w:val="24"/>
                <w:szCs w:val="24"/>
                <w:highlight w:val="none"/>
              </w:rPr>
              <w:t>分。</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b/>
                <w:bCs/>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1" w:type="dxa"/>
            <w:bottom w:w="0" w:type="dxa"/>
            <w:right w:w="51" w:type="dxa"/>
          </w:tblCellMar>
        </w:tblPrEx>
        <w:trPr>
          <w:trHeight w:val="407" w:hRule="atLeast"/>
          <w:jc w:val="center"/>
        </w:trPr>
        <w:tc>
          <w:tcPr>
            <w:tcW w:w="657" w:type="dxa"/>
            <w:shd w:val="clear" w:color="auto" w:fill="FFFFFF"/>
            <w:noWrap w:val="0"/>
            <w:vAlign w:val="center"/>
          </w:tcPr>
          <w:p>
            <w:pPr>
              <w:widowControl/>
              <w:spacing w:line="240" w:lineRule="auto"/>
              <w:jc w:val="left"/>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价</w:t>
            </w:r>
          </w:p>
          <w:p>
            <w:pPr>
              <w:widowControl/>
              <w:spacing w:line="240" w:lineRule="auto"/>
              <w:jc w:val="left"/>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格</w:t>
            </w:r>
          </w:p>
          <w:p>
            <w:pPr>
              <w:widowControl/>
              <w:spacing w:line="240" w:lineRule="auto"/>
              <w:jc w:val="left"/>
              <w:textAlignment w:val="baseline"/>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分（10分）</w:t>
            </w:r>
          </w:p>
        </w:tc>
        <w:tc>
          <w:tcPr>
            <w:tcW w:w="555" w:type="dxa"/>
            <w:shd w:val="clear" w:color="auto" w:fill="FFFFFF"/>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1611" w:type="dxa"/>
            <w:shd w:val="clear" w:color="auto" w:fill="FFFFFF"/>
            <w:noWrap w:val="0"/>
            <w:vAlign w:val="center"/>
          </w:tcPr>
          <w:p>
            <w:pPr>
              <w:snapToGrid w:val="0"/>
              <w:spacing w:line="240" w:lineRule="auto"/>
              <w:jc w:val="left"/>
              <w:textAlignment w:val="baseline"/>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价格权值</w:t>
            </w:r>
            <w:r>
              <w:rPr>
                <w:rFonts w:hint="eastAsia" w:ascii="仿宋" w:hAnsi="仿宋" w:eastAsia="仿宋" w:cs="仿宋"/>
                <w:color w:val="auto"/>
                <w:sz w:val="24"/>
                <w:szCs w:val="24"/>
                <w:highlight w:val="none"/>
                <w:lang w:val="en-US" w:eastAsia="zh-CN"/>
              </w:rPr>
              <w:t>=0.10</w:t>
            </w:r>
          </w:p>
        </w:tc>
        <w:tc>
          <w:tcPr>
            <w:tcW w:w="5124" w:type="dxa"/>
            <w:shd w:val="clear" w:color="auto" w:fill="FFFFFF"/>
            <w:noWrap w:val="0"/>
            <w:vAlign w:val="center"/>
          </w:tcPr>
          <w:p>
            <w:pPr>
              <w:widowControl/>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最低有效投标价格为评标基准价</w:t>
            </w:r>
          </w:p>
          <w:p>
            <w:pPr>
              <w:widowControl/>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投标报价得分=(评标基准价／投标报价)×价格权值×100 </w:t>
            </w:r>
          </w:p>
          <w:p>
            <w:pPr>
              <w:widowControl/>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（计算得分保留小数点后2位）</w:t>
            </w:r>
          </w:p>
          <w:p>
            <w:pPr>
              <w:widowControl/>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评标过程中，不得去掉报价中的最高报价和最低报价。</w:t>
            </w:r>
          </w:p>
          <w:p>
            <w:pPr>
              <w:widowControl/>
              <w:spacing w:line="240" w:lineRule="auto"/>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对于未预留份额专门面向中小企业的政府采购服务项目，以及预留份额政府采购服务项目中的非预留部分标项，对小型和微型企业的投标报价给予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%的扣除，用扣除后的价格参加评审。</w:t>
            </w:r>
          </w:p>
        </w:tc>
        <w:tc>
          <w:tcPr>
            <w:tcW w:w="750" w:type="dxa"/>
            <w:shd w:val="clear" w:color="auto" w:fill="auto"/>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1021" w:type="dxa"/>
            <w:shd w:val="clear" w:color="auto" w:fill="auto"/>
            <w:noWrap w:val="0"/>
            <w:vAlign w:val="center"/>
          </w:tcPr>
          <w:p>
            <w:pPr>
              <w:widowControl/>
              <w:spacing w:line="240" w:lineRule="auto"/>
              <w:jc w:val="center"/>
              <w:textAlignment w:val="baseline"/>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w:t>
            </w:r>
          </w:p>
        </w:tc>
      </w:tr>
    </w:tbl>
    <w:p>
      <w:pPr>
        <w:spacing w:line="360" w:lineRule="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备注：1、评分条款中涉及的业绩、荣誉、人员、社保等分公司均有效。</w:t>
      </w:r>
    </w:p>
    <w:p>
      <w:pPr>
        <w:spacing w:line="360" w:lineRule="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hint="eastAsia" w:ascii="仿宋" w:hAnsi="仿宋" w:eastAsia="仿宋" w:cs="仿宋"/>
          <w:b w:val="0"/>
          <w:bCs/>
          <w:color w:val="auto"/>
          <w:highlight w:val="none"/>
        </w:rPr>
      </w:pPr>
      <w:r>
        <w:rPr>
          <w:rFonts w:hint="eastAsia" w:ascii="仿宋" w:hAnsi="仿宋" w:eastAsia="仿宋" w:cs="仿宋"/>
          <w:b w:val="0"/>
          <w:bCs/>
          <w:color w:val="auto"/>
          <w:sz w:val="24"/>
          <w:highlight w:val="none"/>
        </w:rPr>
        <w:t>3、投标人编制投标文件（商务技术文件部分）时，建议按此目录（序号和内容）提供评标标准相应的商务技术资料。</w:t>
      </w:r>
      <w:r>
        <w:rPr>
          <w:rFonts w:hint="eastAsia" w:ascii="仿宋" w:hAnsi="仿宋" w:eastAsia="仿宋" w:cs="仿宋"/>
          <w:b w:val="0"/>
          <w:bCs/>
          <w:color w:val="auto"/>
          <w:highlight w:val="none"/>
        </w:rPr>
        <w:t> </w:t>
      </w:r>
    </w:p>
    <w:p>
      <w:pPr>
        <w:snapToGrid w:val="0"/>
        <w:spacing w:line="360" w:lineRule="auto"/>
        <w:rPr>
          <w:rFonts w:hint="eastAsia" w:ascii="仿宋" w:hAnsi="仿宋" w:eastAsia="仿宋" w:cs="仿宋"/>
          <w:b/>
          <w:color w:val="auto"/>
          <w:sz w:val="24"/>
          <w:highlight w:val="none"/>
        </w:rPr>
      </w:pPr>
    </w:p>
    <w:p>
      <w:pPr>
        <w:rPr>
          <w:rFonts w:hint="eastAsia" w:ascii="仿宋" w:hAnsi="仿宋" w:eastAsia="仿宋" w:cs="仿宋"/>
          <w:b/>
          <w:color w:val="auto"/>
          <w:sz w:val="32"/>
          <w:highlight w:val="none"/>
        </w:rPr>
      </w:pPr>
      <w:r>
        <w:rPr>
          <w:rFonts w:hint="eastAsia" w:ascii="仿宋" w:hAnsi="仿宋" w:eastAsia="仿宋" w:cs="仿宋"/>
          <w:b/>
          <w:color w:val="auto"/>
          <w:sz w:val="32"/>
          <w:highlight w:val="none"/>
        </w:rPr>
        <w:br w:type="page"/>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28"/>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28"/>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4.2.13投标人未提供样品或提供的样品不满足采购需求实质性条件的，投标无效；</w:t>
      </w:r>
    </w:p>
    <w:p>
      <w:pPr>
        <w:pStyle w:val="4"/>
        <w:ind w:left="862" w:leftChars="205"/>
        <w:rPr>
          <w:rFonts w:hint="eastAsia" w:ascii="仿宋" w:hAnsi="仿宋" w:eastAsia="仿宋" w:cs="仿宋"/>
          <w:color w:val="auto"/>
          <w:highlight w:val="none"/>
        </w:rPr>
      </w:pPr>
      <w:r>
        <w:rPr>
          <w:rFonts w:hint="eastAsia" w:ascii="仿宋" w:hAnsi="仿宋" w:eastAsia="仿宋" w:cs="仿宋"/>
          <w:b w:val="0"/>
          <w:bCs w:val="0"/>
          <w:color w:val="auto"/>
          <w:kern w:val="0"/>
          <w:sz w:val="24"/>
          <w:szCs w:val="24"/>
          <w:highlight w:val="none"/>
          <w:lang w:val="en-US"/>
        </w:rPr>
        <w:t>4.2.14 投标文件不满足招标文件的实质性要求的；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应当将废标理由通知所有投标人。</w:t>
      </w:r>
    </w:p>
    <w:p>
      <w:pPr>
        <w:pStyle w:val="24"/>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沟通并作书面记录。采购人、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确认后，将修改招标文件，重新组织采购活动。</w:t>
      </w:r>
    </w:p>
    <w:p>
      <w:pPr>
        <w:pStyle w:val="24"/>
        <w:snapToGrid w:val="0"/>
        <w:spacing w:line="36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hint="eastAsia" w:ascii="仿宋" w:hAnsi="仿宋" w:eastAsia="仿宋" w:cs="仿宋"/>
          <w:color w:val="auto"/>
          <w:highlight w:val="none"/>
        </w:rPr>
      </w:pPr>
    </w:p>
    <w:bookmarkEnd w:id="29"/>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5" w:name="第五部分"/>
      <w:bookmarkStart w:id="396"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699"/>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before="120" w:line="22" w:lineRule="atLeast"/>
        <w:rPr>
          <w:rFonts w:hint="eastAsia" w:ascii="仿宋" w:hAnsi="仿宋" w:eastAsia="仿宋" w:cs="仿宋"/>
          <w:color w:val="auto"/>
          <w:sz w:val="24"/>
          <w:highlight w:val="none"/>
        </w:rPr>
      </w:pPr>
    </w:p>
    <w:p>
      <w:pPr>
        <w:pStyle w:val="4"/>
        <w:rPr>
          <w:rFonts w:hint="eastAsia" w:ascii="仿宋" w:hAnsi="仿宋" w:eastAsia="仿宋" w:cs="仿宋"/>
          <w:color w:val="auto"/>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6"/>
        <w:spacing w:before="120" w:line="22" w:lineRule="atLeast"/>
        <w:rPr>
          <w:rFonts w:hint="eastAsia" w:ascii="仿宋" w:hAnsi="仿宋" w:eastAsia="仿宋" w:cs="仿宋"/>
          <w:color w:val="auto"/>
          <w:szCs w:val="24"/>
          <w:highlight w:val="none"/>
        </w:rPr>
      </w:pPr>
    </w:p>
    <w:p>
      <w:pPr>
        <w:pStyle w:val="596"/>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rPr>
          <w:rFonts w:hint="eastAsia" w:ascii="仿宋" w:hAnsi="仿宋" w:eastAsia="仿宋" w:cs="仿宋"/>
          <w:b/>
          <w:color w:val="auto"/>
          <w:sz w:val="24"/>
          <w:highlight w:val="none"/>
        </w:rPr>
      </w:pP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t xml:space="preserve">（项目名称）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（中或者成交标供应商名称）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hint="eastAsia" w:ascii="仿宋" w:hAnsi="仿宋" w:eastAsia="仿宋" w:cs="仿宋"/>
          <w:color w:val="auto"/>
          <w:sz w:val="24"/>
          <w:highlight w:val="none"/>
        </w:rPr>
      </w:pPr>
      <w:bookmarkStart w:id="397" w:name="_Toc15367"/>
      <w:bookmarkStart w:id="398" w:name="_Toc22967"/>
      <w:bookmarkStart w:id="399" w:name="_Toc28855"/>
      <w:bookmarkStart w:id="400" w:name="_Toc20421"/>
      <w:bookmarkStart w:id="401" w:name="_Toc19273"/>
      <w:r>
        <w:rPr>
          <w:rFonts w:hint="eastAsia" w:ascii="仿宋" w:hAnsi="仿宋" w:eastAsia="仿宋" w:cs="仿宋"/>
          <w:b/>
          <w:color w:val="auto"/>
          <w:sz w:val="24"/>
          <w:highlight w:val="none"/>
        </w:rPr>
        <w:t>1.1 合同组成部分</w:t>
      </w:r>
      <w:bookmarkEnd w:id="397"/>
      <w:bookmarkEnd w:id="398"/>
      <w:bookmarkEnd w:id="399"/>
      <w:bookmarkEnd w:id="400"/>
      <w:bookmarkEnd w:id="40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中标或者成交通知书；</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投标或者响应文件（含澄清或者说明文件）；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采购文件（含澄清或者修改文件）；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hint="eastAsia" w:ascii="仿宋" w:hAnsi="仿宋" w:eastAsia="仿宋" w:cs="仿宋"/>
          <w:b/>
          <w:color w:val="auto"/>
          <w:sz w:val="24"/>
          <w:highlight w:val="none"/>
        </w:rPr>
      </w:pPr>
      <w:bookmarkStart w:id="402" w:name="_Toc6773"/>
      <w:bookmarkStart w:id="403" w:name="_Toc2918"/>
      <w:bookmarkStart w:id="404" w:name="_Toc6311"/>
      <w:bookmarkStart w:id="405" w:name="_Toc22185"/>
      <w:bookmarkStart w:id="406" w:name="_Toc18585"/>
      <w:r>
        <w:rPr>
          <w:rFonts w:hint="eastAsia" w:ascii="仿宋" w:hAnsi="仿宋" w:eastAsia="仿宋" w:cs="仿宋"/>
          <w:b/>
          <w:color w:val="auto"/>
          <w:sz w:val="24"/>
          <w:highlight w:val="none"/>
        </w:rPr>
        <w:t>1.2 标的</w:t>
      </w:r>
      <w:bookmarkEnd w:id="402"/>
      <w:bookmarkEnd w:id="403"/>
      <w:bookmarkEnd w:id="404"/>
      <w:bookmarkEnd w:id="405"/>
      <w:bookmarkEnd w:id="406"/>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服务内容：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服务标准：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1.2.3 技术保障：</w:t>
      </w:r>
      <w:r>
        <w:rPr>
          <w:rFonts w:hint="eastAsia" w:ascii="仿宋" w:hAnsi="仿宋" w:eastAsia="仿宋" w:cs="仿宋"/>
          <w:color w:val="auto"/>
          <w:sz w:val="24"/>
          <w:highlight w:val="none"/>
          <w:u w:val="single"/>
        </w:rPr>
        <w:t>　　　　　　　　　                      　      ；</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1.2.4 服务人员组成：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957"/>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1.2.5合同</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（是/否）涉及货物。若涉及货物的的，则：</w:t>
      </w:r>
    </w:p>
    <w:p>
      <w:pPr>
        <w:spacing w:line="560" w:lineRule="exact"/>
        <w:ind w:firstLine="480" w:firstLineChars="200"/>
        <w:rPr>
          <w:rFonts w:hint="eastAsia" w:ascii="仿宋" w:hAnsi="仿宋" w:eastAsia="仿宋" w:cs="仿宋"/>
          <w:color w:val="auto"/>
          <w:sz w:val="24"/>
          <w:highlight w:val="none"/>
          <w:u w:val="single"/>
        </w:rPr>
      </w:pPr>
      <w:bookmarkStart w:id="407" w:name="_Toc1386"/>
      <w:bookmarkStart w:id="408" w:name="_Toc4929"/>
      <w:bookmarkStart w:id="409" w:name="_Toc13918"/>
      <w:bookmarkStart w:id="410" w:name="_Toc5635"/>
      <w:bookmarkStart w:id="411" w:name="_Toc21124"/>
      <w:r>
        <w:rPr>
          <w:rFonts w:hint="eastAsia" w:ascii="仿宋" w:hAnsi="仿宋" w:eastAsia="仿宋" w:cs="仿宋"/>
          <w:color w:val="auto"/>
          <w:sz w:val="24"/>
          <w:highlight w:val="none"/>
        </w:rPr>
        <w:t>1.2.5.1 货物名称、品牌、规格型号、花色：</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1.2.5.2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1.2.5.3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 价款</w:t>
      </w:r>
      <w:bookmarkEnd w:id="407"/>
      <w:bookmarkEnd w:id="408"/>
      <w:bookmarkEnd w:id="409"/>
      <w:bookmarkEnd w:id="410"/>
      <w:bookmarkEnd w:id="41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本项目采用以下第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条款规定的计价方式计价。</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1.3.1总价合同，本合同总价（含税）为：￥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pPr>
              <w:pStyle w:val="317"/>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pPr>
              <w:pStyle w:val="317"/>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pPr>
              <w:pStyle w:val="317"/>
              <w:spacing w:line="560" w:lineRule="exact"/>
              <w:ind w:firstLine="200"/>
              <w:jc w:val="center"/>
              <w:rPr>
                <w:rFonts w:hint="eastAsia" w:ascii="仿宋" w:hAnsi="仿宋" w:eastAsia="仿宋" w:cs="仿宋"/>
                <w:color w:val="auto"/>
                <w:sz w:val="24"/>
                <w:szCs w:val="24"/>
                <w:highlight w:val="none"/>
              </w:rPr>
            </w:pPr>
          </w:p>
        </w:tc>
      </w:tr>
    </w:tbl>
    <w:p>
      <w:pPr>
        <w:spacing w:line="560" w:lineRule="exact"/>
        <w:ind w:firstLine="480" w:firstLineChars="200"/>
        <w:rPr>
          <w:rFonts w:hint="eastAsia" w:ascii="仿宋" w:hAnsi="仿宋" w:eastAsia="仿宋" w:cs="仿宋"/>
          <w:color w:val="auto"/>
          <w:sz w:val="24"/>
          <w:highlight w:val="none"/>
        </w:rPr>
      </w:pPr>
      <w:bookmarkStart w:id="412" w:name="_Toc14993"/>
      <w:bookmarkStart w:id="413" w:name="_Toc26916"/>
      <w:bookmarkStart w:id="414" w:name="_Toc30506"/>
      <w:bookmarkStart w:id="415" w:name="_Toc3654"/>
      <w:bookmarkStart w:id="416" w:name="_Toc30158"/>
      <w:r>
        <w:rPr>
          <w:rFonts w:hint="eastAsia" w:ascii="仿宋" w:hAnsi="仿宋" w:eastAsia="仿宋" w:cs="仿宋"/>
          <w:bCs/>
          <w:color w:val="auto"/>
          <w:sz w:val="24"/>
          <w:highlight w:val="none"/>
        </w:rPr>
        <w:t>1.3.2单价合同，本合同单价（含税）标准为：</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。服务工作量的计量方式为：</w:t>
      </w:r>
      <w:r>
        <w:rPr>
          <w:rFonts w:hint="eastAsia" w:ascii="仿宋" w:hAnsi="仿宋" w:eastAsia="仿宋" w:cs="仿宋"/>
          <w:bCs/>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。单价合同，在合同履行期间内，根据实际完成的工作量据实结算，但结算总价上限不得超过预算金额或者双方确定的金额￥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pStyle w:val="4"/>
        <w:rPr>
          <w:rFonts w:hint="eastAsia" w:ascii="仿宋" w:hAnsi="仿宋" w:eastAsia="仿宋" w:cs="仿宋"/>
          <w:color w:val="auto"/>
          <w:highlight w:val="none"/>
          <w:lang w:val="en-US"/>
        </w:rPr>
      </w:pPr>
      <w:r>
        <w:rPr>
          <w:rFonts w:hint="eastAsia" w:ascii="仿宋" w:hAnsi="仿宋" w:eastAsia="仿宋" w:cs="仿宋"/>
          <w:color w:val="auto"/>
          <w:sz w:val="24"/>
          <w:highlight w:val="none"/>
          <w:lang w:val="en-US"/>
        </w:rPr>
        <w:t xml:space="preserve">    </w:t>
      </w:r>
      <w:r>
        <w:rPr>
          <w:rFonts w:hint="eastAsia" w:ascii="仿宋" w:hAnsi="仿宋" w:eastAsia="仿宋" w:cs="仿宋"/>
          <w:b w:val="0"/>
          <w:bCs w:val="0"/>
          <w:color w:val="auto"/>
          <w:sz w:val="24"/>
          <w:highlight w:val="none"/>
          <w:lang w:val="en-US"/>
        </w:rPr>
        <w:t>1.3.3其他计价方式：</w:t>
      </w:r>
      <w:r>
        <w:rPr>
          <w:rFonts w:hint="eastAsia" w:ascii="仿宋" w:hAnsi="仿宋" w:eastAsia="仿宋" w:cs="仿宋"/>
          <w:b w:val="0"/>
          <w:bCs w:val="0"/>
          <w:color w:val="auto"/>
          <w:sz w:val="24"/>
          <w:highlight w:val="none"/>
          <w:u w:val="single"/>
          <w:lang w:val="en-US"/>
        </w:rPr>
        <w:t xml:space="preserve">                   </w:t>
      </w:r>
      <w:r>
        <w:rPr>
          <w:rFonts w:hint="eastAsia" w:ascii="仿宋" w:hAnsi="仿宋" w:eastAsia="仿宋" w:cs="仿宋"/>
          <w:b w:val="0"/>
          <w:bCs w:val="0"/>
          <w:color w:val="auto"/>
          <w:sz w:val="24"/>
          <w:highlight w:val="none"/>
        </w:rPr>
        <w:t>。</w:t>
      </w:r>
    </w:p>
    <w:bookmarkEnd w:id="412"/>
    <w:bookmarkEnd w:id="413"/>
    <w:bookmarkEnd w:id="414"/>
    <w:bookmarkEnd w:id="415"/>
    <w:bookmarkEnd w:id="416"/>
    <w:p>
      <w:pPr>
        <w:pStyle w:val="957"/>
        <w:spacing w:before="0" w:beforeAutospacing="0" w:after="0" w:afterAutospacing="0" w:line="360" w:lineRule="auto"/>
        <w:ind w:firstLine="480"/>
        <w:rPr>
          <w:rFonts w:hint="eastAsia" w:ascii="仿宋" w:hAnsi="仿宋" w:eastAsia="仿宋" w:cs="仿宋"/>
          <w:b/>
          <w:color w:val="auto"/>
          <w:highlight w:val="none"/>
        </w:rPr>
      </w:pPr>
      <w:bookmarkStart w:id="417" w:name="_Toc10340"/>
      <w:bookmarkStart w:id="418" w:name="_Toc1814"/>
      <w:bookmarkStart w:id="419" w:name="_Toc22618"/>
      <w:bookmarkStart w:id="420" w:name="_Toc11108"/>
      <w:bookmarkStart w:id="421" w:name="_Toc31421"/>
      <w:bookmarkStart w:id="422" w:name="_Toc4760"/>
      <w:bookmarkStart w:id="423" w:name="_Toc3625"/>
      <w:bookmarkStart w:id="424" w:name="_Toc8772"/>
      <w:r>
        <w:rPr>
          <w:rFonts w:hint="eastAsia" w:ascii="仿宋" w:hAnsi="仿宋" w:eastAsia="仿宋" w:cs="仿宋"/>
          <w:b/>
          <w:color w:val="auto"/>
          <w:highlight w:val="none"/>
        </w:rPr>
        <w:t>1.4履约保证金</w:t>
      </w:r>
    </w:p>
    <w:p>
      <w:pPr>
        <w:pStyle w:val="957"/>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4"/>
        <w:tabs>
          <w:tab w:val="left" w:pos="0"/>
        </w:tabs>
        <w:spacing w:line="560" w:lineRule="exact"/>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1.4.4甲方在项目验收结束后及时退还履约保证金。甲方在项目通过验收之日起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0.05（可根据情况修改）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20  </w:t>
      </w:r>
      <w:r>
        <w:rPr>
          <w:rFonts w:hint="eastAsia" w:ascii="仿宋" w:hAnsi="仿宋" w:eastAsia="仿宋" w:cs="仿宋"/>
          <w:color w:val="auto"/>
          <w:kern w:val="0"/>
          <w:sz w:val="24"/>
          <w:highlight w:val="none"/>
        </w:rPr>
        <w:t xml:space="preserve"> %。</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w:t>
      </w:r>
      <w:bookmarkEnd w:id="417"/>
      <w:bookmarkEnd w:id="418"/>
      <w:bookmarkEnd w:id="419"/>
      <w:r>
        <w:rPr>
          <w:rFonts w:hint="eastAsia" w:ascii="仿宋" w:hAnsi="仿宋" w:eastAsia="仿宋" w:cs="仿宋"/>
          <w:b/>
          <w:color w:val="auto"/>
          <w:sz w:val="24"/>
          <w:highlight w:val="none"/>
        </w:rPr>
        <w:t>预付款</w:t>
      </w:r>
    </w:p>
    <w:p>
      <w:pPr>
        <w:pStyle w:val="957"/>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957"/>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7"/>
        <w:spacing w:before="0" w:beforeAutospacing="0" w:after="0" w:afterAutospacing="0" w:line="360" w:lineRule="auto"/>
        <w:ind w:firstLine="480"/>
        <w:rPr>
          <w:rFonts w:hint="eastAsia"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7"/>
        <w:spacing w:before="0" w:beforeAutospacing="0" w:after="0" w:afterAutospacing="0" w:line="360" w:lineRule="auto"/>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957"/>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1.7 履行期限、地点和方式</w:t>
      </w:r>
      <w:bookmarkEnd w:id="420"/>
      <w:bookmarkEnd w:id="421"/>
      <w:bookmarkEnd w:id="422"/>
      <w:bookmarkEnd w:id="423"/>
      <w:bookmarkEnd w:id="424"/>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1.7.1 服务交付（实施）的时间（期限）：</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 服务交付（实施）的地点（地域范围）：</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1.7.3 服务交付（实施）的方式：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outlineLvl w:val="0"/>
        <w:rPr>
          <w:rFonts w:hint="eastAsia" w:ascii="仿宋" w:hAnsi="仿宋" w:eastAsia="仿宋" w:cs="仿宋"/>
          <w:bCs/>
          <w:color w:val="auto"/>
          <w:sz w:val="24"/>
          <w:highlight w:val="none"/>
        </w:rPr>
      </w:pPr>
      <w:bookmarkStart w:id="425" w:name="_Toc5698"/>
      <w:bookmarkStart w:id="426" w:name="_Toc3079"/>
      <w:bookmarkStart w:id="427" w:name="_Toc2375"/>
      <w:bookmarkStart w:id="428" w:name="_Toc8586"/>
      <w:bookmarkStart w:id="429" w:name="_Toc24662"/>
      <w:r>
        <w:rPr>
          <w:rFonts w:hint="eastAsia" w:ascii="仿宋" w:hAnsi="仿宋" w:eastAsia="仿宋" w:cs="仿宋"/>
          <w:bCs/>
          <w:color w:val="auto"/>
          <w:sz w:val="24"/>
          <w:highlight w:val="none"/>
        </w:rPr>
        <w:t>1.7.4若服务涉及货物的，则货物的：</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1.7.4.1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color w:val="auto"/>
          <w:sz w:val="24"/>
          <w:highlight w:val="none"/>
          <w:u w:val="single"/>
        </w:rPr>
      </w:pPr>
      <w:r>
        <w:rPr>
          <w:rFonts w:hint="eastAsia" w:ascii="仿宋" w:hAnsi="仿宋" w:eastAsia="仿宋" w:cs="仿宋"/>
          <w:b/>
          <w:color w:val="auto"/>
          <w:sz w:val="24"/>
          <w:highlight w:val="none"/>
        </w:rPr>
        <w:t>1.8违约责任</w:t>
      </w:r>
      <w:bookmarkEnd w:id="425"/>
      <w:bookmarkEnd w:id="426"/>
      <w:bookmarkEnd w:id="427"/>
      <w:bookmarkEnd w:id="428"/>
      <w:bookmarkEnd w:id="429"/>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highlight w:val="none"/>
          <w:u w:val="single"/>
        </w:rPr>
        <w:t xml:space="preserve">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%；迟延履行的违约金计算数额达到前述最高限额之日起，甲方有权在要求乙方支付违约金的同时，书面通知乙方解除本合同；</w:t>
      </w:r>
    </w:p>
    <w:p>
      <w:pPr>
        <w:pStyle w:val="4"/>
        <w:ind w:left="0" w:firstLine="480" w:firstLineChars="2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highlight w:val="none"/>
          <w:u w:val="single"/>
          <w:lang w:val="en-US"/>
        </w:rPr>
        <w:t xml:space="preserve">  0.0</w:t>
      </w:r>
      <w:r>
        <w:rPr>
          <w:rFonts w:hint="eastAsia" w:ascii="仿宋" w:hAnsi="仿宋" w:eastAsia="仿宋" w:cs="仿宋"/>
          <w:b w:val="0"/>
          <w:bCs w:val="0"/>
          <w:color w:val="auto"/>
          <w:sz w:val="24"/>
          <w:szCs w:val="24"/>
          <w:highlight w:val="none"/>
          <w:lang w:val="en-US"/>
        </w:rPr>
        <w:t xml:space="preserve">5（可根据情况修改） </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%计算，最高限额为本合同总价的</w:t>
      </w:r>
      <w:r>
        <w:rPr>
          <w:rFonts w:hint="eastAsia" w:ascii="仿宋" w:hAnsi="仿宋" w:eastAsia="仿宋" w:cs="仿宋"/>
          <w:b w:val="0"/>
          <w:bCs w:val="0"/>
          <w:color w:val="auto"/>
          <w:sz w:val="24"/>
          <w:szCs w:val="24"/>
          <w:highlight w:val="none"/>
          <w:u w:val="single"/>
          <w:lang w:val="en-US"/>
        </w:rPr>
        <w:t xml:space="preserve">  20  </w:t>
      </w:r>
      <w:r>
        <w:rPr>
          <w:rFonts w:hint="eastAsia" w:ascii="仿宋" w:hAnsi="仿宋" w:eastAsia="仿宋" w:cs="仿宋"/>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w:t>
      </w:r>
      <w:r>
        <w:rPr>
          <w:rFonts w:hint="eastAsia" w:ascii="仿宋" w:hAnsi="仿宋" w:eastAsia="仿宋" w:cs="仿宋"/>
          <w:color w:val="auto"/>
          <w:kern w:val="0"/>
          <w:sz w:val="24"/>
          <w:highlight w:val="none"/>
          <w:u w:val="single"/>
        </w:rPr>
        <w:t>（可根据情况修改）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highlight w:val="none"/>
        </w:rPr>
      </w:pPr>
      <w:bookmarkStart w:id="430" w:name="_Toc9497"/>
      <w:bookmarkStart w:id="431" w:name="_Toc30329"/>
      <w:bookmarkStart w:id="432" w:name="_Toc18683"/>
      <w:bookmarkStart w:id="433" w:name="_Toc32454"/>
      <w:bookmarkStart w:id="434" w:name="_Toc26807"/>
      <w:r>
        <w:rPr>
          <w:rFonts w:hint="eastAsia" w:ascii="仿宋" w:hAnsi="仿宋" w:eastAsia="仿宋" w:cs="仿宋"/>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1.8.7违约责任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bookmarkEnd w:id="430"/>
    <w:bookmarkEnd w:id="431"/>
    <w:bookmarkEnd w:id="432"/>
    <w:bookmarkEnd w:id="433"/>
    <w:bookmarkEnd w:id="434"/>
    <w:p>
      <w:pPr>
        <w:spacing w:line="560" w:lineRule="exact"/>
        <w:ind w:firstLine="482" w:firstLineChars="200"/>
        <w:outlineLvl w:val="0"/>
        <w:rPr>
          <w:rFonts w:hint="eastAsia" w:ascii="仿宋" w:hAnsi="仿宋" w:eastAsia="仿宋" w:cs="仿宋"/>
          <w:b/>
          <w:color w:val="auto"/>
          <w:sz w:val="24"/>
          <w:highlight w:val="none"/>
        </w:rPr>
      </w:pPr>
      <w:bookmarkStart w:id="435" w:name="_Toc15583"/>
      <w:bookmarkStart w:id="436" w:name="_Toc28375"/>
      <w:bookmarkStart w:id="437" w:name="_Toc16021"/>
      <w:r>
        <w:rPr>
          <w:rFonts w:hint="eastAsia" w:ascii="仿宋" w:hAnsi="仿宋" w:eastAsia="仿宋" w:cs="仿宋"/>
          <w:b/>
          <w:color w:val="auto"/>
          <w:sz w:val="24"/>
          <w:highlight w:val="none"/>
        </w:rPr>
        <w:t>1.9合同争议的解决</w:t>
      </w:r>
      <w:bookmarkEnd w:id="435"/>
      <w:bookmarkEnd w:id="436"/>
      <w:bookmarkEnd w:id="437"/>
    </w:p>
    <w:p>
      <w:pPr>
        <w:spacing w:line="560" w:lineRule="exact"/>
        <w:ind w:left="-61" w:leftChars="-29" w:right="-420" w:rightChars="-200"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hint="eastAsia" w:ascii="仿宋" w:hAnsi="仿宋" w:eastAsia="仿宋" w:cs="仿宋"/>
          <w:b/>
          <w:color w:val="auto"/>
          <w:sz w:val="24"/>
          <w:highlight w:val="none"/>
        </w:rPr>
      </w:pPr>
      <w:bookmarkStart w:id="438" w:name="_Toc11173"/>
      <w:bookmarkStart w:id="439" w:name="_Toc15322"/>
      <w:bookmarkStart w:id="440" w:name="_Toc7245"/>
      <w:r>
        <w:rPr>
          <w:rFonts w:hint="eastAsia" w:ascii="仿宋" w:hAnsi="仿宋" w:eastAsia="仿宋" w:cs="仿宋"/>
          <w:b/>
          <w:color w:val="auto"/>
          <w:sz w:val="24"/>
          <w:highlight w:val="none"/>
        </w:rPr>
        <w:t>2.0 合同生效</w:t>
      </w:r>
      <w:bookmarkEnd w:id="438"/>
      <w:bookmarkEnd w:id="439"/>
      <w:bookmarkEnd w:id="440"/>
    </w:p>
    <w:p>
      <w:pPr>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hint="eastAsia" w:ascii="仿宋" w:hAnsi="仿宋" w:eastAsia="仿宋" w:cs="仿宋"/>
          <w:color w:val="auto"/>
          <w:sz w:val="24"/>
          <w:highlight w:val="none"/>
          <w:lang w:val="zh-CN"/>
        </w:rPr>
      </w:pP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highlight w:val="none"/>
          <w:lang w:val="zh-CN"/>
        </w:rPr>
      </w:pP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spacing w:line="560" w:lineRule="exact"/>
        <w:jc w:val="left"/>
        <w:rPr>
          <w:rFonts w:hint="eastAsia" w:ascii="仿宋" w:hAnsi="仿宋" w:eastAsia="仿宋" w:cs="仿宋"/>
          <w:b/>
          <w:color w:val="auto"/>
          <w:sz w:val="24"/>
          <w:highlight w:val="none"/>
        </w:rPr>
      </w:pPr>
    </w:p>
    <w:p>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highlight w:val="none"/>
        </w:rPr>
        <w:br w:type="page"/>
      </w:r>
    </w:p>
    <w:p>
      <w:pPr>
        <w:pStyle w:val="699"/>
        <w:spacing w:line="560" w:lineRule="exact"/>
        <w:ind w:firstLine="48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spacing w:line="560" w:lineRule="exact"/>
        <w:ind w:firstLine="482" w:firstLineChars="200"/>
        <w:outlineLvl w:val="0"/>
        <w:rPr>
          <w:rFonts w:hint="eastAsia" w:ascii="仿宋" w:hAnsi="仿宋" w:eastAsia="仿宋" w:cs="仿宋"/>
          <w:b/>
          <w:color w:val="auto"/>
          <w:sz w:val="24"/>
          <w:highlight w:val="none"/>
        </w:rPr>
      </w:pPr>
      <w:bookmarkStart w:id="441" w:name="_Toc14021"/>
      <w:bookmarkStart w:id="442" w:name="_Toc5228"/>
      <w:bookmarkStart w:id="443" w:name="_Toc19680"/>
      <w:bookmarkStart w:id="444" w:name="_Toc31297"/>
      <w:bookmarkStart w:id="445" w:name="_Toc25079"/>
      <w:r>
        <w:rPr>
          <w:rFonts w:hint="eastAsia" w:ascii="仿宋" w:hAnsi="仿宋" w:eastAsia="仿宋" w:cs="仿宋"/>
          <w:b/>
          <w:color w:val="auto"/>
          <w:sz w:val="24"/>
          <w:highlight w:val="none"/>
        </w:rPr>
        <w:t>2.1 定义</w:t>
      </w:r>
      <w:bookmarkEnd w:id="441"/>
      <w:bookmarkEnd w:id="442"/>
      <w:bookmarkEnd w:id="443"/>
      <w:bookmarkEnd w:id="444"/>
      <w:bookmarkEnd w:id="445"/>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 “现场”系指合同约定提供服务的地点。</w:t>
      </w:r>
    </w:p>
    <w:p>
      <w:pPr>
        <w:spacing w:line="560" w:lineRule="exact"/>
        <w:ind w:firstLine="482" w:firstLineChars="200"/>
        <w:outlineLvl w:val="0"/>
        <w:rPr>
          <w:rFonts w:hint="eastAsia" w:ascii="仿宋" w:hAnsi="仿宋" w:eastAsia="仿宋" w:cs="仿宋"/>
          <w:b/>
          <w:color w:val="auto"/>
          <w:sz w:val="24"/>
          <w:highlight w:val="none"/>
        </w:rPr>
      </w:pPr>
      <w:bookmarkStart w:id="446" w:name="_Toc16752"/>
      <w:bookmarkStart w:id="447" w:name="_Toc23289"/>
      <w:bookmarkStart w:id="448" w:name="_Toc31402"/>
      <w:bookmarkStart w:id="449" w:name="_Toc19539"/>
      <w:bookmarkStart w:id="450" w:name="_Toc3769"/>
      <w:r>
        <w:rPr>
          <w:rFonts w:hint="eastAsia" w:ascii="仿宋" w:hAnsi="仿宋" w:eastAsia="仿宋" w:cs="仿宋"/>
          <w:b/>
          <w:color w:val="auto"/>
          <w:sz w:val="24"/>
          <w:highlight w:val="none"/>
        </w:rPr>
        <w:t>2.2 技术规范</w:t>
      </w:r>
      <w:bookmarkEnd w:id="446"/>
      <w:bookmarkEnd w:id="447"/>
      <w:bookmarkEnd w:id="448"/>
      <w:bookmarkEnd w:id="449"/>
      <w:bookmarkEnd w:id="45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highlight w:val="none"/>
        </w:rPr>
      </w:pPr>
      <w:bookmarkStart w:id="451" w:name="_Toc9161"/>
      <w:bookmarkStart w:id="452" w:name="_Toc27945"/>
      <w:bookmarkStart w:id="453" w:name="_Toc12412"/>
      <w:bookmarkStart w:id="454" w:name="_Toc4133"/>
      <w:bookmarkStart w:id="455" w:name="_Toc13673"/>
      <w:r>
        <w:rPr>
          <w:rFonts w:hint="eastAsia" w:ascii="仿宋" w:hAnsi="仿宋" w:eastAsia="仿宋" w:cs="仿宋"/>
          <w:b/>
          <w:color w:val="auto"/>
          <w:sz w:val="24"/>
          <w:highlight w:val="none"/>
        </w:rPr>
        <w:t>2.3 知识产权</w:t>
      </w:r>
      <w:bookmarkEnd w:id="451"/>
      <w:bookmarkEnd w:id="452"/>
      <w:bookmarkEnd w:id="453"/>
      <w:bookmarkEnd w:id="454"/>
      <w:bookmarkEnd w:id="455"/>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 合同涉及技术成果的归属和收益的分成办法的，详见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 履约检查和问题反馈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color w:val="auto"/>
          <w:sz w:val="24"/>
          <w:highlight w:val="none"/>
        </w:rPr>
      </w:pPr>
      <w:bookmarkStart w:id="456" w:name="_Toc32670"/>
      <w:bookmarkStart w:id="457" w:name="_Toc15447"/>
      <w:bookmarkStart w:id="458" w:name="_Toc26555"/>
      <w:bookmarkStart w:id="459" w:name="_Toc31233"/>
      <w:bookmarkStart w:id="460" w:name="_Toc22011"/>
      <w:r>
        <w:rPr>
          <w:rFonts w:hint="eastAsia" w:ascii="仿宋" w:hAnsi="仿宋" w:eastAsia="仿宋" w:cs="仿宋"/>
          <w:b/>
          <w:color w:val="auto"/>
          <w:sz w:val="24"/>
          <w:highlight w:val="none"/>
        </w:rPr>
        <w:t>2.5 结算方式和付款条件</w:t>
      </w:r>
      <w:bookmarkEnd w:id="456"/>
      <w:bookmarkEnd w:id="457"/>
      <w:bookmarkEnd w:id="458"/>
      <w:bookmarkEnd w:id="459"/>
      <w:bookmarkEnd w:id="46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61" w:name="_Toc30507"/>
      <w:bookmarkStart w:id="462" w:name="_Toc16163"/>
      <w:bookmarkStart w:id="463" w:name="_Toc13154"/>
      <w:bookmarkStart w:id="464" w:name="_Toc13467"/>
      <w:bookmarkStart w:id="465" w:name="_Toc18990"/>
      <w:r>
        <w:rPr>
          <w:rFonts w:hint="eastAsia" w:ascii="仿宋" w:hAnsi="仿宋" w:eastAsia="仿宋" w:cs="仿宋"/>
          <w:b/>
          <w:color w:val="auto"/>
          <w:sz w:val="24"/>
          <w:highlight w:val="none"/>
        </w:rPr>
        <w:t>2.6 技术资料和保密义务</w:t>
      </w:r>
      <w:bookmarkEnd w:id="461"/>
      <w:bookmarkEnd w:id="462"/>
      <w:bookmarkEnd w:id="463"/>
      <w:bookmarkEnd w:id="464"/>
      <w:bookmarkEnd w:id="465"/>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highlight w:val="none"/>
        </w:rPr>
      </w:pPr>
      <w:bookmarkStart w:id="466" w:name="_Toc19069"/>
      <w:r>
        <w:rPr>
          <w:rFonts w:hint="eastAsia" w:ascii="仿宋" w:hAnsi="仿宋" w:eastAsia="仿宋" w:cs="仿宋"/>
          <w:b/>
          <w:color w:val="auto"/>
          <w:sz w:val="24"/>
          <w:highlight w:val="none"/>
        </w:rPr>
        <w:t>2.7 质量保证</w:t>
      </w:r>
      <w:bookmarkEnd w:id="46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highlight w:val="none"/>
        </w:rPr>
      </w:pPr>
      <w:bookmarkStart w:id="467" w:name="_Toc22267"/>
      <w:r>
        <w:rPr>
          <w:rFonts w:hint="eastAsia" w:ascii="仿宋" w:hAnsi="仿宋" w:eastAsia="仿宋" w:cs="仿宋"/>
          <w:b/>
          <w:color w:val="auto"/>
          <w:sz w:val="24"/>
          <w:highlight w:val="none"/>
        </w:rPr>
        <w:t>2.8 延迟履行</w:t>
      </w:r>
      <w:bookmarkEnd w:id="467"/>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color w:val="auto"/>
          <w:sz w:val="24"/>
          <w:highlight w:val="none"/>
        </w:rPr>
      </w:pPr>
      <w:bookmarkStart w:id="468" w:name="_Toc10611"/>
      <w:r>
        <w:rPr>
          <w:rFonts w:hint="eastAsia" w:ascii="仿宋" w:hAnsi="仿宋" w:eastAsia="仿宋" w:cs="仿宋"/>
          <w:b/>
          <w:color w:val="auto"/>
          <w:sz w:val="24"/>
          <w:highlight w:val="none"/>
        </w:rPr>
        <w:t>2.9 合同变更</w:t>
      </w:r>
      <w:bookmarkEnd w:id="468"/>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bookmarkStart w:id="469" w:name="_Toc23368"/>
      <w:bookmarkStart w:id="470" w:name="_Toc42"/>
      <w:bookmarkStart w:id="471" w:name="_Toc26689"/>
      <w:bookmarkStart w:id="472" w:name="_Toc21830"/>
      <w:bookmarkStart w:id="473" w:name="_Toc10663"/>
      <w:r>
        <w:rPr>
          <w:rFonts w:hint="eastAsia" w:ascii="仿宋" w:hAnsi="仿宋" w:eastAsia="仿宋" w:cs="仿宋"/>
          <w:b/>
          <w:color w:val="auto"/>
          <w:sz w:val="24"/>
          <w:highlight w:val="none"/>
        </w:rPr>
        <w:t>2.10 合同转让和分包</w:t>
      </w:r>
      <w:bookmarkEnd w:id="469"/>
      <w:bookmarkEnd w:id="470"/>
      <w:bookmarkEnd w:id="471"/>
      <w:bookmarkEnd w:id="472"/>
      <w:bookmarkEnd w:id="473"/>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color w:val="auto"/>
          <w:sz w:val="24"/>
          <w:highlight w:val="none"/>
        </w:rPr>
      </w:pPr>
      <w:bookmarkStart w:id="474" w:name="_Toc26633"/>
      <w:bookmarkStart w:id="475" w:name="_Toc14371"/>
      <w:bookmarkStart w:id="476" w:name="_Toc25571"/>
      <w:bookmarkStart w:id="477" w:name="_Toc4720"/>
      <w:bookmarkStart w:id="478" w:name="_Toc32494"/>
      <w:r>
        <w:rPr>
          <w:rFonts w:hint="eastAsia" w:ascii="仿宋" w:hAnsi="仿宋" w:eastAsia="仿宋" w:cs="仿宋"/>
          <w:b/>
          <w:color w:val="auto"/>
          <w:sz w:val="24"/>
          <w:highlight w:val="none"/>
        </w:rPr>
        <w:t>2.11 不可抗力</w:t>
      </w:r>
      <w:bookmarkEnd w:id="474"/>
      <w:bookmarkEnd w:id="475"/>
      <w:bookmarkEnd w:id="476"/>
      <w:bookmarkEnd w:id="477"/>
      <w:bookmarkEnd w:id="478"/>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 因不可抗力致使不能实现合同目的的，当事人可以解除合同；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highlight w:val="none"/>
        </w:rPr>
      </w:pPr>
      <w:bookmarkStart w:id="479" w:name="_Toc24465"/>
      <w:bookmarkStart w:id="480" w:name="_Toc3638"/>
      <w:bookmarkStart w:id="481" w:name="_Toc14115"/>
      <w:bookmarkStart w:id="482" w:name="_Toc23854"/>
      <w:bookmarkStart w:id="483" w:name="_Toc25783"/>
      <w:r>
        <w:rPr>
          <w:rFonts w:hint="eastAsia" w:ascii="仿宋" w:hAnsi="仿宋" w:eastAsia="仿宋" w:cs="仿宋"/>
          <w:b/>
          <w:color w:val="auto"/>
          <w:sz w:val="24"/>
          <w:highlight w:val="none"/>
        </w:rPr>
        <w:t>2.12 税费</w:t>
      </w:r>
      <w:bookmarkEnd w:id="479"/>
      <w:bookmarkEnd w:id="480"/>
      <w:bookmarkEnd w:id="481"/>
      <w:bookmarkEnd w:id="482"/>
      <w:bookmarkEnd w:id="483"/>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color w:val="auto"/>
          <w:sz w:val="24"/>
          <w:highlight w:val="none"/>
        </w:rPr>
      </w:pPr>
      <w:bookmarkStart w:id="484" w:name="_Toc7315"/>
      <w:bookmarkStart w:id="485" w:name="_Toc30105"/>
      <w:bookmarkStart w:id="486" w:name="_Toc25525"/>
      <w:bookmarkStart w:id="487" w:name="_Toc26883"/>
      <w:bookmarkStart w:id="488" w:name="_Toc14814"/>
      <w:r>
        <w:rPr>
          <w:rFonts w:hint="eastAsia" w:ascii="仿宋" w:hAnsi="仿宋" w:eastAsia="仿宋" w:cs="仿宋"/>
          <w:b/>
          <w:color w:val="auto"/>
          <w:sz w:val="24"/>
          <w:highlight w:val="none"/>
        </w:rPr>
        <w:t>2.13 乙方破产</w:t>
      </w:r>
      <w:bookmarkEnd w:id="484"/>
      <w:bookmarkEnd w:id="485"/>
      <w:bookmarkEnd w:id="486"/>
      <w:bookmarkEnd w:id="487"/>
      <w:bookmarkEnd w:id="488"/>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highlight w:val="none"/>
        </w:rPr>
      </w:pPr>
      <w:bookmarkStart w:id="489" w:name="_Toc1123"/>
      <w:bookmarkStart w:id="490" w:name="_Toc23323"/>
      <w:bookmarkStart w:id="491" w:name="_Toc2016"/>
      <w:r>
        <w:rPr>
          <w:rFonts w:hint="eastAsia" w:ascii="仿宋" w:hAnsi="仿宋" w:eastAsia="仿宋" w:cs="仿宋"/>
          <w:b/>
          <w:color w:val="auto"/>
          <w:sz w:val="24"/>
          <w:highlight w:val="none"/>
        </w:rPr>
        <w:t>2.14 合同中止、终止</w:t>
      </w:r>
      <w:bookmarkEnd w:id="489"/>
      <w:bookmarkEnd w:id="490"/>
      <w:bookmarkEnd w:id="49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2.14.1 双方当事人不得擅自中止或者终止合同；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bookmarkStart w:id="492" w:name="_Toc17363"/>
      <w:bookmarkStart w:id="493" w:name="_Toc14525"/>
      <w:bookmarkStart w:id="494" w:name="_Toc1969"/>
      <w:r>
        <w:rPr>
          <w:rFonts w:hint="eastAsia" w:ascii="仿宋" w:hAnsi="仿宋" w:eastAsia="仿宋" w:cs="仿宋"/>
          <w:b/>
          <w:color w:val="auto"/>
          <w:sz w:val="24"/>
          <w:highlight w:val="none"/>
        </w:rPr>
        <w:t>2.15 检验和验收</w:t>
      </w:r>
      <w:bookmarkEnd w:id="492"/>
      <w:bookmarkEnd w:id="493"/>
      <w:bookmarkEnd w:id="494"/>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2.15.1 乙方按照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的约定，定期提交服务报告，甲方按照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95" w:name="_Toc25198"/>
      <w:bookmarkStart w:id="496" w:name="_Toc9808"/>
      <w:bookmarkStart w:id="497" w:name="_Toc12666"/>
      <w:bookmarkStart w:id="498" w:name="_Toc2308"/>
      <w:bookmarkStart w:id="499" w:name="_Toc31892"/>
      <w:r>
        <w:rPr>
          <w:rFonts w:hint="eastAsia" w:ascii="仿宋" w:hAnsi="仿宋" w:eastAsia="仿宋" w:cs="仿宋"/>
          <w:b/>
          <w:color w:val="auto"/>
          <w:sz w:val="24"/>
          <w:highlight w:val="none"/>
        </w:rPr>
        <w:t>2.16 通知和送达</w:t>
      </w:r>
      <w:bookmarkEnd w:id="495"/>
      <w:bookmarkEnd w:id="496"/>
      <w:bookmarkEnd w:id="497"/>
      <w:bookmarkEnd w:id="498"/>
      <w:bookmarkEnd w:id="499"/>
    </w:p>
    <w:p>
      <w:pPr>
        <w:spacing w:line="560" w:lineRule="exact"/>
        <w:ind w:firstLine="480" w:firstLineChars="200"/>
        <w:rPr>
          <w:rFonts w:hint="eastAsia" w:ascii="仿宋" w:hAnsi="仿宋" w:eastAsia="仿宋" w:cs="仿宋"/>
          <w:color w:val="auto"/>
          <w:sz w:val="24"/>
          <w:highlight w:val="none"/>
        </w:rPr>
      </w:pPr>
      <w:bookmarkStart w:id="500" w:name="_Toc27674"/>
      <w:bookmarkStart w:id="501" w:name="_Toc18401"/>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0"/>
      <w:bookmarkEnd w:id="501"/>
    </w:p>
    <w:p>
      <w:pPr>
        <w:spacing w:line="560" w:lineRule="exact"/>
        <w:ind w:firstLine="482" w:firstLineChars="200"/>
        <w:outlineLvl w:val="0"/>
        <w:rPr>
          <w:rFonts w:hint="eastAsia" w:ascii="仿宋" w:hAnsi="仿宋" w:eastAsia="仿宋" w:cs="仿宋"/>
          <w:b/>
          <w:color w:val="auto"/>
          <w:sz w:val="24"/>
          <w:highlight w:val="none"/>
        </w:rPr>
      </w:pPr>
      <w:bookmarkStart w:id="502" w:name="_Toc20808"/>
      <w:bookmarkStart w:id="503" w:name="_Toc28906"/>
      <w:bookmarkStart w:id="504" w:name="_Toc27644"/>
      <w:bookmarkStart w:id="505" w:name="_Toc5063"/>
      <w:bookmarkStart w:id="506" w:name="_Toc12254"/>
      <w:r>
        <w:rPr>
          <w:rFonts w:hint="eastAsia" w:ascii="仿宋" w:hAnsi="仿宋" w:eastAsia="仿宋" w:cs="仿宋"/>
          <w:b/>
          <w:color w:val="auto"/>
          <w:sz w:val="24"/>
          <w:highlight w:val="none"/>
        </w:rPr>
        <w:t>2.17 合同使用的文字和适用的法律</w:t>
      </w:r>
      <w:bookmarkEnd w:id="502"/>
      <w:bookmarkEnd w:id="503"/>
      <w:bookmarkEnd w:id="504"/>
      <w:bookmarkEnd w:id="505"/>
      <w:bookmarkEnd w:id="50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2.17.1 合同使用汉语书就、变更和解释；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 合同适用中华人民共和国法律。</w:t>
      </w:r>
    </w:p>
    <w:p>
      <w:pPr>
        <w:spacing w:line="560" w:lineRule="exact"/>
        <w:ind w:firstLine="482" w:firstLineChars="200"/>
        <w:outlineLvl w:val="0"/>
        <w:rPr>
          <w:rFonts w:hint="eastAsia" w:ascii="仿宋" w:hAnsi="仿宋" w:eastAsia="仿宋" w:cs="仿宋"/>
          <w:b/>
          <w:color w:val="auto"/>
          <w:sz w:val="24"/>
          <w:highlight w:val="none"/>
        </w:rPr>
      </w:pPr>
      <w:bookmarkStart w:id="507" w:name="_Toc18540"/>
      <w:bookmarkStart w:id="508" w:name="_Toc30599"/>
      <w:bookmarkStart w:id="509" w:name="_Toc4355"/>
      <w:r>
        <w:rPr>
          <w:rFonts w:hint="eastAsia" w:ascii="仿宋" w:hAnsi="仿宋" w:eastAsia="仿宋" w:cs="仿宋"/>
          <w:b/>
          <w:color w:val="auto"/>
          <w:sz w:val="24"/>
          <w:highlight w:val="none"/>
        </w:rPr>
        <w:t>2.18 计量单位</w:t>
      </w:r>
      <w:bookmarkEnd w:id="507"/>
      <w:bookmarkEnd w:id="508"/>
      <w:bookmarkEnd w:id="509"/>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2.19合同份数</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pacing w:line="360" w:lineRule="auto"/>
        <w:jc w:val="center"/>
        <w:outlineLvl w:val="0"/>
        <w:rPr>
          <w:rFonts w:hint="eastAsia" w:ascii="仿宋" w:hAnsi="仿宋" w:eastAsia="仿宋" w:cs="仿宋"/>
          <w:b/>
          <w:color w:val="auto"/>
          <w:sz w:val="24"/>
          <w:highlight w:val="none"/>
        </w:rPr>
      </w:pPr>
      <w:r>
        <w:rPr>
          <w:rFonts w:hint="eastAsia" w:ascii="仿宋" w:hAnsi="仿宋" w:eastAsia="仿宋" w:cs="仿宋"/>
          <w:color w:val="auto"/>
          <w:kern w:val="0"/>
          <w:highlight w:val="none"/>
        </w:rPr>
        <w:br w:type="page"/>
      </w:r>
      <w:bookmarkStart w:id="510" w:name="_Toc331685784"/>
      <w:r>
        <w:rPr>
          <w:rFonts w:hint="eastAsia" w:ascii="仿宋" w:hAnsi="仿宋" w:eastAsia="仿宋" w:cs="仿宋"/>
          <w:b/>
          <w:color w:val="auto"/>
          <w:sz w:val="24"/>
          <w:highlight w:val="none"/>
        </w:rPr>
        <w:t xml:space="preserve"> </w:t>
      </w:r>
      <w:bookmarkEnd w:id="510"/>
      <w:r>
        <w:rPr>
          <w:rFonts w:hint="eastAsia" w:ascii="仿宋" w:hAnsi="仿宋" w:eastAsia="仿宋" w:cs="仿宋"/>
          <w:b/>
          <w:color w:val="auto"/>
          <w:sz w:val="24"/>
          <w:highlight w:val="none"/>
        </w:rPr>
        <w:t>第三部分  合同专用条款</w:t>
      </w:r>
    </w:p>
    <w:p>
      <w:pPr>
        <w:spacing w:line="560" w:lineRule="exact"/>
        <w:ind w:left="-420" w:leftChars="-200"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4464" w:type="pct"/>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1.7.3</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1.7.4.1</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1.7.4.3</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1.8.7</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1.9.1</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2.11.3</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2.11.4 </w:t>
            </w:r>
          </w:p>
        </w:tc>
        <w:tc>
          <w:tcPr>
            <w:tcW w:w="4464" w:type="pct"/>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2.15.1</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2.15.3</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2.19</w:t>
            </w:r>
          </w:p>
        </w:tc>
        <w:tc>
          <w:tcPr>
            <w:tcW w:w="4464" w:type="pct"/>
          </w:tcPr>
          <w:p>
            <w:pPr>
              <w:spacing w:line="360" w:lineRule="auto"/>
              <w:rPr>
                <w:rFonts w:hint="eastAsia" w:ascii="仿宋" w:hAnsi="仿宋" w:eastAsia="仿宋" w:cs="仿宋"/>
                <w:color w:val="auto"/>
                <w:sz w:val="24"/>
                <w:highlight w:val="none"/>
              </w:rPr>
            </w:pPr>
          </w:p>
        </w:tc>
      </w:tr>
    </w:tbl>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widowControl/>
        <w:adjustRightInd/>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5"/>
      <w:r>
        <w:rPr>
          <w:rFonts w:hint="eastAsia" w:ascii="仿宋" w:hAnsi="仿宋" w:eastAsia="仿宋" w:cs="仿宋"/>
          <w:b/>
          <w:color w:val="auto"/>
          <w:sz w:val="36"/>
          <w:szCs w:val="20"/>
          <w:highlight w:val="none"/>
        </w:rPr>
        <w:t xml:space="preserve"> </w:t>
      </w:r>
      <w:bookmarkEnd w:id="396"/>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rPr>
        <w:t>、（采购代理机构）：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rPr>
        <w:t>（采购编号）</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firstLine="559" w:firstLineChars="233"/>
        <w:jc w:val="left"/>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p>
    <w:p>
      <w:pPr>
        <w:widowControl/>
        <w:spacing w:line="360" w:lineRule="auto"/>
        <w:ind w:firstLine="643" w:firstLineChars="20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w:t>
      </w:r>
      <w:r>
        <w:rPr>
          <w:rFonts w:hint="eastAsia" w:ascii="仿宋" w:hAnsi="仿宋" w:eastAsia="仿宋" w:cs="仿宋"/>
          <w:b/>
          <w:color w:val="auto"/>
          <w:kern w:val="0"/>
          <w:sz w:val="32"/>
          <w:szCs w:val="32"/>
          <w:highlight w:val="none"/>
        </w:rPr>
        <w:t>（如果有）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rPr>
          <w:rFonts w:hint="eastAsia" w:ascii="仿宋" w:hAnsi="仿宋" w:eastAsia="仿宋" w:cs="仿宋"/>
          <w:b/>
          <w:color w:val="auto"/>
          <w:kern w:val="0"/>
          <w:sz w:val="32"/>
          <w:szCs w:val="32"/>
          <w:highlight w:val="none"/>
          <w:lang w:val="zh-CN"/>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rPr>
        <w:t>、（采购代理机构）：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rPr>
        <w:t>（采购编号）</w:t>
      </w:r>
      <w:r>
        <w:rPr>
          <w:rFonts w:hint="eastAsia" w:ascii="仿宋" w:hAnsi="仿宋" w:eastAsia="仿宋" w:cs="仿宋"/>
          <w:color w:val="auto"/>
          <w:sz w:val="24"/>
          <w:highlight w:val="none"/>
        </w:rPr>
        <w:t>】招标的有关活动，并对此项目进行投标。为此：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11" w:name="_Hlk101257010"/>
      <w:r>
        <w:rPr>
          <w:rFonts w:hint="eastAsia" w:ascii="仿宋" w:hAnsi="仿宋" w:eastAsia="仿宋" w:cs="仿宋"/>
          <w:color w:val="auto"/>
          <w:sz w:val="24"/>
          <w:highlight w:val="none"/>
        </w:rPr>
        <w:t>（如果有)</w:t>
      </w:r>
      <w:bookmarkEnd w:id="511"/>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w:t>
      </w:r>
      <w:r>
        <w:rPr>
          <w:rFonts w:hint="eastAsia" w:ascii="仿宋" w:hAnsi="仿宋" w:eastAsia="仿宋" w:cs="仿宋"/>
          <w:color w:val="auto"/>
          <w:sz w:val="24"/>
          <w:highlight w:val="none"/>
        </w:rPr>
        <w:t>（如果有）</w:t>
      </w:r>
      <w:r>
        <w:rPr>
          <w:rFonts w:hint="eastAsia" w:ascii="仿宋" w:hAnsi="仿宋" w:eastAsia="仿宋" w:cs="仿宋"/>
          <w:color w:val="auto"/>
          <w:sz w:val="24"/>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w:t>
      </w:r>
      <w:r>
        <w:rPr>
          <w:rFonts w:hint="eastAsia" w:ascii="仿宋" w:hAnsi="仿宋" w:eastAsia="仿宋" w:cs="仿宋"/>
          <w:color w:val="auto"/>
          <w:sz w:val="24"/>
          <w:highlight w:val="none"/>
        </w:rPr>
        <w:t>（如果有)</w:t>
      </w:r>
      <w:r>
        <w:rPr>
          <w:rFonts w:hint="eastAsia" w:ascii="仿宋" w:hAnsi="仿宋" w:eastAsia="仿宋" w:cs="仿宋"/>
          <w:color w:val="auto"/>
          <w:sz w:val="24"/>
          <w:highlight w:val="none"/>
        </w:rPr>
        <w:t>。</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w:t>
      </w:r>
      <w:r>
        <w:rPr>
          <w:rFonts w:hint="eastAsia" w:ascii="仿宋" w:hAnsi="仿宋" w:eastAsia="仿宋" w:cs="仿宋"/>
          <w:color w:val="auto"/>
          <w:sz w:val="24"/>
          <w:highlight w:val="none"/>
        </w:rPr>
        <w:t>（如果有)</w:t>
      </w:r>
      <w:r>
        <w:rPr>
          <w:rFonts w:hint="eastAsia" w:ascii="仿宋" w:hAnsi="仿宋" w:eastAsia="仿宋" w:cs="仿宋"/>
          <w:color w:val="auto"/>
          <w:sz w:val="24"/>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4"/>
        <w:rPr>
          <w:rFonts w:hint="eastAsia" w:ascii="仿宋" w:hAnsi="仿宋" w:eastAsia="仿宋" w:cs="仿宋"/>
          <w:color w:val="auto"/>
          <w:highlight w:val="none"/>
          <w:lang w:val="en-US"/>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注：</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lang w:val="zh-CN"/>
        </w:rPr>
        <w:t>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仿宋" w:hAnsi="仿宋" w:eastAsia="仿宋" w:cs="仿宋"/>
          <w:color w:val="auto"/>
          <w:sz w:val="24"/>
          <w:highlight w:val="none"/>
        </w:rPr>
      </w:pP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rPr>
        <w:t>、（采购代理机构）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rPr>
        <w:t>（采购编号）</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rPr>
        <w:t>、（采购代理机构）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rPr>
        <w:t>（采购编号）</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6"/>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w:t>
      </w:r>
      <w:r>
        <w:rPr>
          <w:rFonts w:hint="eastAsia" w:ascii="仿宋" w:hAnsi="仿宋" w:eastAsia="仿宋" w:cs="仿宋"/>
          <w:b/>
          <w:color w:val="auto"/>
          <w:kern w:val="0"/>
          <w:sz w:val="32"/>
          <w:szCs w:val="32"/>
          <w:highlight w:val="none"/>
        </w:rPr>
        <w:t>（如果有）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hint="eastAsia"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widowControl/>
        <w:adjustRightInd/>
        <w:jc w:val="left"/>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rPr>
        <w:t>、（采购代理机构）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w:t>
      </w:r>
      <w:r>
        <w:rPr>
          <w:rFonts w:hint="eastAsia" w:ascii="仿宋" w:hAnsi="仿宋" w:eastAsia="仿宋" w:cs="仿宋"/>
          <w:color w:val="auto"/>
          <w:sz w:val="24"/>
          <w:highlight w:val="none"/>
        </w:rPr>
        <w:t>、（采购代理机构）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92"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268"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2410"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26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2126"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2127"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服务人数</w:t>
            </w:r>
          </w:p>
        </w:tc>
        <w:tc>
          <w:tcPr>
            <w:tcW w:w="2126"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992"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992"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2"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highlight w:val="none"/>
              </w:rPr>
            </w:pPr>
          </w:p>
        </w:tc>
        <w:tc>
          <w:tcPr>
            <w:tcW w:w="992"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highlight w:val="none"/>
              </w:rPr>
            </w:pPr>
          </w:p>
        </w:tc>
        <w:tc>
          <w:tcPr>
            <w:tcW w:w="992"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8647" w:type="dxa"/>
            <w:gridSpan w:val="4"/>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8647" w:type="dxa"/>
            <w:gridSpan w:val="4"/>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5、特别说明：</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rPr>
        <w:t>供应商报价低于项目预算50%的，应当在报价文件中详细阐述不影响产品质量或者诚信履约的具体原因</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未做阐述说明的，投标无效。</w:t>
      </w:r>
    </w:p>
    <w:p>
      <w:pPr>
        <w:spacing w:line="360" w:lineRule="auto"/>
        <w:ind w:firstLine="482" w:firstLineChars="200"/>
        <w:rPr>
          <w:rFonts w:hint="eastAsia" w:ascii="仿宋" w:hAnsi="仿宋" w:eastAsia="仿宋" w:cs="仿宋"/>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12" w:name="OLE_LINK13"/>
      <w:bookmarkStart w:id="513" w:name="OLE_LINK14"/>
      <w:r>
        <w:rPr>
          <w:rFonts w:hint="eastAsia" w:ascii="仿宋" w:hAnsi="仿宋" w:eastAsia="仿宋" w:cs="仿宋"/>
          <w:b/>
          <w:color w:val="auto"/>
          <w:spacing w:val="6"/>
          <w:sz w:val="32"/>
          <w:szCs w:val="32"/>
          <w:highlight w:val="none"/>
        </w:rPr>
        <w:t>残疾人福利性单位声明函</w:t>
      </w:r>
    </w:p>
    <w:bookmarkEnd w:id="512"/>
    <w:bookmarkEnd w:id="513"/>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w:t>
      </w:r>
      <w:r>
        <w:rPr>
          <w:rFonts w:hint="eastAsia" w:ascii="仿宋" w:hAnsi="仿宋" w:eastAsia="仿宋" w:cs="仿宋"/>
          <w:color w:val="auto"/>
          <w:sz w:val="24"/>
          <w:highlight w:val="none"/>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u w:val="single"/>
        </w:rPr>
        <w:t>、（采购代理机构）：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rPr>
        <w:t>（采购编号）</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rPr>
        <w:t>（采购编号）</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14" w:name="_Hlk101131882"/>
      <w:r>
        <w:rPr>
          <w:rFonts w:hint="eastAsia" w:ascii="仿宋" w:hAnsi="仿宋" w:eastAsia="仿宋" w:cs="仿宋"/>
          <w:color w:val="auto"/>
          <w:kern w:val="0"/>
          <w:sz w:val="24"/>
          <w:highlight w:val="none"/>
          <w:u w:val="single"/>
        </w:rPr>
        <w:t>联合体成员X,……</w:t>
      </w:r>
      <w:bookmarkEnd w:id="514"/>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15" w:name="_Hlk101133598"/>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15"/>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16"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16"/>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ind w:firstLine="3666" w:firstLineChars="1100"/>
        <w:rPr>
          <w:rFonts w:hint="eastAsia" w:ascii="仿宋" w:hAnsi="仿宋" w:eastAsia="仿宋" w:cs="仿宋"/>
          <w:b/>
          <w:color w:val="auto"/>
          <w:spacing w:val="6"/>
          <w:sz w:val="32"/>
          <w:szCs w:val="32"/>
          <w:highlight w:val="none"/>
        </w:rPr>
      </w:pPr>
    </w:p>
    <w:p>
      <w:pPr>
        <w:widowControl/>
        <w:adjustRightInd/>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napToGrid w:val="0"/>
        <w:spacing w:line="360" w:lineRule="auto"/>
        <w:ind w:firstLine="3666"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rPr>
        <w:t>（采购编号）</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pacing w:line="360" w:lineRule="auto"/>
        <w:jc w:val="left"/>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w:t>
      </w:r>
      <w:r>
        <w:rPr>
          <w:rFonts w:hint="eastAsia" w:ascii="仿宋" w:hAnsi="仿宋" w:eastAsia="仿宋" w:cs="仿宋"/>
          <w:color w:val="auto"/>
          <w:sz w:val="24"/>
          <w:highlight w:val="none"/>
        </w:rPr>
        <w:t>工程的施工单位全部为符合政策要求的中小企业（或者：服务全部由符合政策要求的中小企业承接）</w:t>
      </w:r>
      <w:r>
        <w:rPr>
          <w:rFonts w:hint="eastAsia" w:ascii="仿宋" w:hAnsi="仿宋" w:eastAsia="仿宋" w:cs="仿宋"/>
          <w:color w:val="auto"/>
          <w:sz w:val="24"/>
          <w:highlight w:val="none"/>
        </w:rPr>
        <w:t>。相关企业（含联合体中的中小企业、签订分包意向协议的中小企业）的具体情况如下：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rPr>
        <w:t>承建（承接）</w:t>
      </w:r>
      <w:r>
        <w:rPr>
          <w:rFonts w:hint="eastAsia" w:ascii="仿宋" w:hAnsi="仿宋" w:eastAsia="仿宋" w:cs="仿宋"/>
          <w:color w:val="auto"/>
          <w:sz w:val="24"/>
          <w:highlight w:val="none"/>
        </w:rPr>
        <w:t xml:space="preserve">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w:t>
      </w:r>
      <w:r>
        <w:rPr>
          <w:rFonts w:hint="eastAsia" w:ascii="仿宋" w:hAnsi="仿宋" w:eastAsia="仿宋" w:cs="仿宋"/>
          <w:color w:val="auto"/>
          <w:sz w:val="24"/>
          <w:highlight w:val="none"/>
        </w:rPr>
        <w:t>承建（承接）</w:t>
      </w:r>
      <w:r>
        <w:rPr>
          <w:rFonts w:hint="eastAsia" w:ascii="仿宋" w:hAnsi="仿宋" w:eastAsia="仿宋" w:cs="仿宋"/>
          <w:color w:val="auto"/>
          <w:sz w:val="24"/>
          <w:highlight w:val="none"/>
        </w:rPr>
        <w:t xml:space="preserve">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4"/>
        <w:jc w:val="left"/>
        <w:rPr>
          <w:rFonts w:hint="eastAsia" w:ascii="仿宋" w:hAnsi="仿宋" w:eastAsia="仿宋" w:cs="仿宋"/>
          <w:color w:val="auto"/>
          <w:sz w:val="24"/>
          <w:highlight w:val="none"/>
        </w:rPr>
      </w:pPr>
      <w:r>
        <w:rPr>
          <w:rFonts w:hint="eastAsia" w:ascii="仿宋" w:hAnsi="仿宋" w:eastAsia="仿宋" w:cs="仿宋"/>
          <w:color w:val="auto"/>
          <w:highlight w:val="none"/>
        </w:rPr>
        <w:t>附件</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样品（演示）授权委托书</w:t>
      </w:r>
    </w:p>
    <w:p>
      <w:pPr>
        <w:jc w:val="center"/>
        <w:rPr>
          <w:rFonts w:hint="eastAsia" w:ascii="仿宋" w:hAnsi="仿宋" w:eastAsia="仿宋" w:cs="仿宋"/>
          <w:color w:val="auto"/>
          <w:sz w:val="40"/>
          <w:highlight w:val="none"/>
        </w:rPr>
      </w:pPr>
      <w:r>
        <w:rPr>
          <w:rFonts w:hint="eastAsia" w:ascii="仿宋" w:hAnsi="仿宋" w:eastAsia="仿宋" w:cs="仿宋"/>
          <w:color w:val="auto"/>
          <w:sz w:val="40"/>
          <w:highlight w:val="none"/>
        </w:rPr>
        <w:t>样品（演示）授权委托书</w:t>
      </w:r>
    </w:p>
    <w:p>
      <w:pPr>
        <w:jc w:val="center"/>
        <w:rPr>
          <w:rFonts w:hint="eastAsia" w:ascii="仿宋" w:hAnsi="仿宋" w:eastAsia="仿宋" w:cs="仿宋"/>
          <w:color w:val="auto"/>
          <w:sz w:val="40"/>
          <w:highlight w:val="none"/>
        </w:rPr>
      </w:pP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54" w:leftChars="121" w:firstLine="420" w:firstLineChars="200"/>
        <w:rPr>
          <w:rFonts w:hint="eastAsia"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54" w:leftChars="121"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w:t>
      </w:r>
      <w:r>
        <w:rPr>
          <w:rFonts w:hint="eastAsia" w:ascii="仿宋" w:hAnsi="仿宋" w:eastAsia="仿宋" w:cs="仿宋"/>
          <w:color w:val="auto"/>
          <w:highlight w:val="none"/>
          <w:lang w:val="zh-CN"/>
        </w:rPr>
        <w:t>样品或参加演示</w:t>
      </w:r>
      <w:r>
        <w:rPr>
          <w:rFonts w:hint="eastAsia" w:ascii="仿宋" w:hAnsi="仿宋" w:eastAsia="仿宋" w:cs="仿宋"/>
          <w:color w:val="auto"/>
          <w:highlight w:val="none"/>
          <w:lang w:val="zh-CN"/>
        </w:rPr>
        <w:t>，并全权负责标后取回样品等其他处理事宜。</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投标人名称(公章)：</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1920"/>
        <w:rPr>
          <w:rFonts w:hint="eastAsia" w:ascii="仿宋" w:hAnsi="仿宋" w:eastAsia="仿宋" w:cs="仿宋"/>
          <w:color w:val="auto"/>
          <w:highlight w:val="none"/>
          <w:lang w:val="zh-CN"/>
        </w:rPr>
      </w:pP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同时有样品和演示的，可委托不同人员。</w:t>
      </w:r>
    </w:p>
    <w:p>
      <w:pPr>
        <w:pStyle w:val="4"/>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32"/>
          <w:szCs w:val="32"/>
          <w:highlight w:val="none"/>
        </w:rPr>
      </w:pPr>
    </w:p>
    <w:p>
      <w:pPr>
        <w:pStyle w:val="4"/>
        <w:rPr>
          <w:rFonts w:hint="eastAsia" w:ascii="仿宋" w:hAnsi="仿宋" w:eastAsia="仿宋" w:cs="仿宋"/>
          <w:color w:val="auto"/>
          <w:highlight w:val="none"/>
        </w:rPr>
      </w:pPr>
    </w:p>
    <w:p>
      <w:pPr>
        <w:pStyle w:val="4"/>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131845147"/>
    <w:bookmarkStart w:id="518" w:name="_Toc91899912"/>
    <w:bookmarkStart w:id="519" w:name="_Toc36110187"/>
    <w:bookmarkStart w:id="520" w:name="_Toc164085800"/>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NTJiODcwZTAyMmI2NTZjM2JiMmMxNzFiOGQ5Yj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464A4"/>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552EC2"/>
    <w:rsid w:val="2DD15014"/>
    <w:rsid w:val="2DF72DE4"/>
    <w:rsid w:val="2E0220AF"/>
    <w:rsid w:val="2E4B082A"/>
    <w:rsid w:val="2E4D79B5"/>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95482B"/>
    <w:rsid w:val="4019356B"/>
    <w:rsid w:val="40592157"/>
    <w:rsid w:val="406E1CAE"/>
    <w:rsid w:val="40A0133A"/>
    <w:rsid w:val="40C31A53"/>
    <w:rsid w:val="40FF545D"/>
    <w:rsid w:val="410067C8"/>
    <w:rsid w:val="418F0D2A"/>
    <w:rsid w:val="41D01505"/>
    <w:rsid w:val="41F1092B"/>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487C2D"/>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4812CE"/>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7"/>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0"/>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2"/>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5"/>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6"/>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5"/>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8"/>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5"/>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9"/>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5"/>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2"/>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6"/>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2"/>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5"/>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5"/>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2"/>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2"/>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6"/>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2">
    <w:name w:val="不明显强调1"/>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84</Pages>
  <Words>39869</Words>
  <Characters>44645</Characters>
  <Lines>281</Lines>
  <Paragraphs>79</Paragraphs>
  <TotalTime>0</TotalTime>
  <ScaleCrop>false</ScaleCrop>
  <LinksUpToDate>false</LinksUpToDate>
  <CharactersWithSpaces>50058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DELL</cp:lastModifiedBy>
  <cp:lastPrinted>2021-12-27T03:06:00Z</cp:lastPrinted>
  <dcterms:modified xsi:type="dcterms:W3CDTF">2023-06-14T07:33:28Z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