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pStyle w:val="966"/>
        <w:spacing w:line="760" w:lineRule="exact"/>
        <w:rPr>
          <w:rFonts w:ascii="宋体" w:eastAsia="宋体"/>
          <w:color w:val="auto"/>
          <w:sz w:val="48"/>
          <w:szCs w:val="48"/>
        </w:rPr>
      </w:pPr>
    </w:p>
    <w:p>
      <w:pPr>
        <w:pStyle w:val="966"/>
        <w:spacing w:line="760" w:lineRule="exact"/>
        <w:rPr>
          <w:rFonts w:ascii="宋体" w:eastAsia="宋体"/>
          <w:color w:val="auto"/>
          <w:sz w:val="48"/>
          <w:szCs w:val="48"/>
        </w:rPr>
      </w:pPr>
      <w:r>
        <w:rPr>
          <w:rFonts w:hint="eastAsia" w:ascii="宋体" w:eastAsia="宋体"/>
          <w:color w:val="auto"/>
          <w:sz w:val="48"/>
          <w:szCs w:val="48"/>
        </w:rPr>
        <w:t>萧山区碳中和产业发展探索课题研究项目</w:t>
      </w:r>
    </w:p>
    <w:p>
      <w:pPr>
        <w:adjustRightInd/>
        <w:spacing w:line="360" w:lineRule="auto"/>
        <w:jc w:val="center"/>
        <w:rPr>
          <w:rFonts w:ascii="宋体" w:hAnsi="宋体" w:cs="宋体"/>
          <w:b/>
          <w:color w:val="auto"/>
          <w:spacing w:val="-23"/>
          <w:sz w:val="52"/>
          <w:szCs w:val="52"/>
        </w:rPr>
      </w:pPr>
    </w:p>
    <w:p>
      <w:pPr>
        <w:pStyle w:val="3"/>
        <w:rPr>
          <w:rFonts w:hAnsi="宋体" w:cs="宋体"/>
          <w:b/>
          <w:bCs/>
          <w:color w:val="auto"/>
        </w:rPr>
      </w:pPr>
    </w:p>
    <w:p>
      <w:pPr>
        <w:adjustRightInd/>
        <w:spacing w:line="360" w:lineRule="auto"/>
        <w:jc w:val="center"/>
        <w:rPr>
          <w:rFonts w:ascii="宋体" w:hAnsi="宋体" w:cs="宋体"/>
          <w:b/>
          <w:bCs/>
          <w:color w:val="auto"/>
          <w:sz w:val="72"/>
          <w:szCs w:val="72"/>
        </w:rPr>
      </w:pPr>
      <w:r>
        <w:rPr>
          <w:rFonts w:hint="eastAsia" w:ascii="宋体" w:hAnsi="宋体" w:cs="宋体"/>
          <w:b/>
          <w:bCs/>
          <w:color w:val="auto"/>
          <w:sz w:val="72"/>
          <w:szCs w:val="72"/>
        </w:rPr>
        <w:t>交易文件</w:t>
      </w:r>
    </w:p>
    <w:p>
      <w:pPr>
        <w:adjustRightInd/>
        <w:spacing w:line="360" w:lineRule="auto"/>
        <w:jc w:val="center"/>
        <w:rPr>
          <w:rFonts w:ascii="宋体" w:hAnsi="宋体" w:cs="宋体"/>
          <w:b/>
          <w:color w:val="auto"/>
          <w:sz w:val="44"/>
          <w:szCs w:val="44"/>
        </w:rPr>
      </w:pPr>
    </w:p>
    <w:p>
      <w:pPr>
        <w:snapToGrid w:val="0"/>
        <w:spacing w:line="360" w:lineRule="auto"/>
        <w:jc w:val="center"/>
        <w:rPr>
          <w:rFonts w:ascii="宋体" w:hAnsi="宋体" w:cs="宋体"/>
          <w:b/>
          <w:bCs/>
          <w:color w:val="auto"/>
          <w:sz w:val="30"/>
          <w:szCs w:val="30"/>
        </w:rPr>
      </w:pPr>
      <w:r>
        <w:rPr>
          <w:rFonts w:hint="eastAsia" w:ascii="宋体" w:hAnsi="宋体" w:cs="宋体"/>
          <w:b/>
          <w:bCs/>
          <w:color w:val="auto"/>
          <w:sz w:val="30"/>
          <w:szCs w:val="30"/>
        </w:rPr>
        <w:t>交易编号：BWZB2022-GK-126</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rPr>
          <w:rFonts w:ascii="宋体" w:hAnsi="宋体" w:cs="宋体"/>
          <w:color w:val="auto"/>
          <w:sz w:val="24"/>
        </w:rPr>
      </w:pPr>
    </w:p>
    <w:p>
      <w:pPr>
        <w:pStyle w:val="83"/>
        <w:rPr>
          <w:rFonts w:cs="宋体"/>
          <w:color w:val="auto"/>
        </w:rPr>
      </w:pPr>
    </w:p>
    <w:p>
      <w:pPr>
        <w:pStyle w:val="83"/>
        <w:rPr>
          <w:rFonts w:cs="宋体"/>
          <w:color w:val="auto"/>
        </w:rPr>
      </w:pPr>
    </w:p>
    <w:p>
      <w:pPr>
        <w:pStyle w:val="83"/>
        <w:rPr>
          <w:rFonts w:cs="宋体"/>
          <w:color w:val="auto"/>
        </w:rPr>
      </w:pPr>
    </w:p>
    <w:p>
      <w:pPr>
        <w:pStyle w:val="83"/>
        <w:rPr>
          <w:rFonts w:cs="宋体"/>
          <w:color w:val="auto"/>
        </w:rPr>
      </w:pPr>
    </w:p>
    <w:p>
      <w:pPr>
        <w:spacing w:line="360" w:lineRule="auto"/>
        <w:ind w:firstLine="964" w:firstLineChars="300"/>
        <w:rPr>
          <w:rFonts w:ascii="宋体" w:hAnsi="宋体" w:cs="宋体"/>
          <w:b/>
          <w:color w:val="auto"/>
          <w:sz w:val="32"/>
          <w:szCs w:val="30"/>
        </w:rPr>
      </w:pPr>
    </w:p>
    <w:p>
      <w:pPr>
        <w:spacing w:line="360" w:lineRule="auto"/>
        <w:ind w:firstLine="964" w:firstLineChars="300"/>
        <w:rPr>
          <w:rFonts w:ascii="宋体" w:hAnsi="宋体" w:cs="宋体"/>
          <w:b/>
          <w:color w:val="auto"/>
          <w:sz w:val="32"/>
          <w:szCs w:val="30"/>
        </w:rPr>
      </w:pPr>
      <w:r>
        <w:rPr>
          <w:rFonts w:hint="eastAsia" w:ascii="宋体" w:hAnsi="宋体" w:cs="宋体"/>
          <w:b/>
          <w:color w:val="auto"/>
          <w:sz w:val="32"/>
          <w:szCs w:val="30"/>
        </w:rPr>
        <w:t>交 易 人：杭州市萧山区发展和改革局</w:t>
      </w:r>
    </w:p>
    <w:p>
      <w:pPr>
        <w:spacing w:line="360" w:lineRule="auto"/>
        <w:jc w:val="center"/>
        <w:rPr>
          <w:rFonts w:ascii="宋体" w:hAnsi="宋体" w:cs="宋体"/>
          <w:b/>
          <w:color w:val="auto"/>
          <w:sz w:val="32"/>
          <w:szCs w:val="32"/>
        </w:rPr>
      </w:pPr>
      <w:r>
        <w:rPr>
          <w:rFonts w:hint="eastAsia" w:ascii="宋体" w:hAnsi="宋体" w:cs="宋体"/>
          <w:b/>
          <w:color w:val="auto"/>
          <w:sz w:val="32"/>
          <w:szCs w:val="30"/>
        </w:rPr>
        <w:t xml:space="preserve"> 采购机构：杭州博望建设工程招标投标代理有限公司</w:t>
      </w:r>
    </w:p>
    <w:p>
      <w:pPr>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二〇二二年九月</w:t>
      </w:r>
      <w:r>
        <w:rPr>
          <w:rFonts w:hint="eastAsia" w:ascii="宋体" w:hAnsi="宋体" w:cs="宋体"/>
          <w:b/>
          <w:color w:val="auto"/>
          <w:sz w:val="32"/>
          <w:szCs w:val="32"/>
          <w:lang w:val="en-US" w:eastAsia="zh-CN"/>
        </w:rPr>
        <w:t>二十九</w:t>
      </w:r>
      <w:r>
        <w:rPr>
          <w:rFonts w:hint="eastAsia" w:ascii="宋体" w:hAnsi="宋体" w:cs="宋体"/>
          <w:b/>
          <w:color w:val="auto"/>
          <w:sz w:val="32"/>
          <w:szCs w:val="32"/>
        </w:rPr>
        <w:t>日</w:t>
      </w:r>
    </w:p>
    <w:p>
      <w:pPr>
        <w:pStyle w:val="3"/>
        <w:rPr>
          <w:rFonts w:hAnsi="宋体" w:cs="宋体"/>
          <w:color w:val="auto"/>
        </w:rPr>
      </w:pPr>
    </w:p>
    <w:p>
      <w:pPr>
        <w:pStyle w:val="2"/>
        <w:rPr>
          <w:rFonts w:hAnsi="宋体" w:cs="宋体"/>
          <w:color w:val="auto"/>
        </w:rPr>
      </w:pPr>
    </w:p>
    <w:p>
      <w:pPr>
        <w:pStyle w:val="51"/>
        <w:rPr>
          <w:rFonts w:ascii="宋体" w:hAnsi="宋体" w:cs="宋体"/>
          <w:color w:val="auto"/>
        </w:rPr>
      </w:pPr>
    </w:p>
    <w:p>
      <w:pPr>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交易公告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交易需求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交易办法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0" w:name="_Hlt91233176"/>
      <w:bookmarkEnd w:id="0"/>
      <w:bookmarkStart w:id="1"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2" w:name="第一部分"/>
      <w:r>
        <w:rPr>
          <w:rFonts w:hint="eastAsia" w:ascii="宋体" w:hAnsi="宋体" w:cs="宋体"/>
          <w:b/>
          <w:color w:val="auto"/>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rPr>
        <w:t>第一部分 交易公告</w:t>
      </w:r>
    </w:p>
    <w:p>
      <w:pPr>
        <w:spacing w:line="360" w:lineRule="auto"/>
        <w:rPr>
          <w:rFonts w:ascii="宋体" w:hAnsi="宋体" w:cs="宋体"/>
          <w:b/>
          <w:color w:val="auto"/>
          <w:sz w:val="24"/>
        </w:rPr>
      </w:pPr>
      <w:r>
        <w:rPr>
          <w:rFonts w:hint="eastAsia" w:ascii="宋体" w:hAnsi="宋体" w:cs="宋体"/>
          <w:b/>
          <w:color w:val="auto"/>
          <w:sz w:val="24"/>
        </w:rPr>
        <w:t>一、基本情况</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交易编号：</w:t>
      </w:r>
      <w:r>
        <w:rPr>
          <w:rFonts w:hint="eastAsia" w:ascii="宋体" w:hAnsi="宋体" w:cs="宋体"/>
          <w:bCs/>
          <w:color w:val="auto"/>
          <w:sz w:val="24"/>
        </w:rPr>
        <w:t>BWZB2022-GK-126</w:t>
      </w:r>
    </w:p>
    <w:p>
      <w:pPr>
        <w:spacing w:line="360" w:lineRule="auto"/>
        <w:ind w:firstLine="482" w:firstLineChars="200"/>
        <w:rPr>
          <w:rFonts w:ascii="宋体" w:hAnsi="宋体" w:cs="宋体"/>
          <w:color w:val="auto"/>
          <w:sz w:val="24"/>
        </w:rPr>
      </w:pPr>
      <w:r>
        <w:rPr>
          <w:rFonts w:hint="eastAsia" w:ascii="宋体" w:hAnsi="宋体" w:cs="宋体"/>
          <w:b/>
          <w:color w:val="auto"/>
          <w:sz w:val="24"/>
        </w:rPr>
        <w:t>交易名称：</w:t>
      </w:r>
      <w:r>
        <w:rPr>
          <w:rFonts w:hint="eastAsia" w:ascii="宋体" w:hAnsi="宋体" w:cs="宋体"/>
          <w:color w:val="auto"/>
          <w:sz w:val="24"/>
        </w:rPr>
        <w:t>萧山区碳中和产业发展探索课题研究项目</w:t>
      </w:r>
    </w:p>
    <w:p>
      <w:pPr>
        <w:spacing w:line="360" w:lineRule="auto"/>
        <w:ind w:firstLine="482" w:firstLineChars="200"/>
        <w:rPr>
          <w:rFonts w:ascii="宋体" w:hAnsi="宋体" w:cs="宋体"/>
          <w:color w:val="auto"/>
          <w:sz w:val="24"/>
        </w:rPr>
      </w:pPr>
      <w:r>
        <w:rPr>
          <w:rFonts w:hint="eastAsia" w:ascii="宋体" w:hAnsi="宋体" w:cs="宋体"/>
          <w:b/>
          <w:color w:val="auto"/>
          <w:sz w:val="24"/>
        </w:rPr>
        <w:t>预算金额：</w:t>
      </w:r>
      <w:r>
        <w:rPr>
          <w:rFonts w:hint="eastAsia" w:ascii="宋体" w:hAnsi="宋体" w:cs="宋体"/>
          <w:color w:val="auto"/>
          <w:sz w:val="24"/>
          <w:szCs w:val="28"/>
        </w:rPr>
        <w:t>28.00万</w:t>
      </w:r>
      <w:r>
        <w:rPr>
          <w:rFonts w:hint="eastAsia" w:ascii="宋体" w:hAnsi="宋体" w:cs="宋体"/>
          <w:color w:val="auto"/>
          <w:sz w:val="24"/>
        </w:rPr>
        <w:t>元</w:t>
      </w:r>
    </w:p>
    <w:p>
      <w:pPr>
        <w:spacing w:line="360" w:lineRule="auto"/>
        <w:ind w:firstLine="482" w:firstLineChars="200"/>
        <w:rPr>
          <w:rFonts w:ascii="宋体" w:hAnsi="宋体" w:cs="宋体"/>
          <w:color w:val="auto"/>
          <w:sz w:val="24"/>
        </w:rPr>
      </w:pPr>
      <w:r>
        <w:rPr>
          <w:rFonts w:hint="eastAsia" w:ascii="宋体" w:hAnsi="宋体" w:cs="宋体"/>
          <w:b/>
          <w:color w:val="auto"/>
          <w:sz w:val="24"/>
        </w:rPr>
        <w:t>最高限价：</w:t>
      </w:r>
      <w:r>
        <w:rPr>
          <w:rFonts w:hint="eastAsia" w:ascii="宋体" w:hAnsi="宋体" w:cs="宋体"/>
          <w:color w:val="auto"/>
          <w:sz w:val="24"/>
          <w:szCs w:val="28"/>
        </w:rPr>
        <w:t>28.00万</w:t>
      </w:r>
      <w:r>
        <w:rPr>
          <w:rFonts w:hint="eastAsia" w:ascii="宋体" w:hAnsi="宋体" w:cs="宋体"/>
          <w:color w:val="auto"/>
          <w:sz w:val="24"/>
        </w:rPr>
        <w:t>元</w:t>
      </w:r>
    </w:p>
    <w:p>
      <w:pPr>
        <w:pStyle w:val="17"/>
        <w:spacing w:line="360" w:lineRule="auto"/>
        <w:ind w:firstLine="482" w:firstLineChars="200"/>
        <w:rPr>
          <w:rFonts w:hAnsi="宋体" w:cs="宋体"/>
          <w:b/>
          <w:color w:val="auto"/>
          <w:sz w:val="24"/>
        </w:rPr>
      </w:pPr>
      <w:r>
        <w:rPr>
          <w:rFonts w:hint="eastAsia" w:hAnsi="宋体" w:cs="宋体"/>
          <w:b/>
          <w:color w:val="auto"/>
          <w:sz w:val="24"/>
        </w:rPr>
        <w:t>交易需求：</w:t>
      </w:r>
      <w:r>
        <w:rPr>
          <w:rFonts w:hint="eastAsia" w:hAnsi="宋体" w:cs="宋体"/>
          <w:color w:val="auto"/>
          <w:sz w:val="24"/>
        </w:rPr>
        <w:t>萧山区碳中和产业发展探索课题研究，1项，详见交易需求</w:t>
      </w:r>
    </w:p>
    <w:p>
      <w:pPr>
        <w:pStyle w:val="17"/>
        <w:spacing w:line="360" w:lineRule="auto"/>
        <w:ind w:firstLine="482" w:firstLineChars="200"/>
        <w:rPr>
          <w:rFonts w:hAnsi="宋体" w:cs="宋体"/>
          <w:color w:val="auto"/>
        </w:rPr>
      </w:pPr>
      <w:r>
        <w:rPr>
          <w:rFonts w:hint="eastAsia" w:hAnsi="宋体" w:cs="宋体"/>
          <w:b/>
          <w:color w:val="auto"/>
          <w:sz w:val="24"/>
          <w:szCs w:val="18"/>
        </w:rPr>
        <w:t>合同履约期限：</w:t>
      </w:r>
      <w:r>
        <w:rPr>
          <w:rFonts w:hint="eastAsia" w:hAnsi="宋体" w:cs="宋体"/>
          <w:color w:val="auto"/>
          <w:sz w:val="24"/>
          <w:szCs w:val="28"/>
        </w:rPr>
        <w:t>详见交易文件</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本项目接受联合体投标：（  ）是；（√）否。</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rPr>
          <w:rFonts w:ascii="宋体" w:hAnsi="宋体" w:cs="宋体"/>
          <w:color w:val="auto"/>
          <w:sz w:val="24"/>
        </w:rPr>
      </w:pPr>
      <w:r>
        <w:rPr>
          <w:rFonts w:hint="eastAsia" w:ascii="宋体" w:hAnsi="宋体" w:cs="宋体"/>
          <w:color w:val="auto"/>
          <w:sz w:val="24"/>
        </w:rPr>
        <w:t>5、参加采购活动前三年内，在经营活动中没有重大违法记录；</w:t>
      </w:r>
    </w:p>
    <w:p>
      <w:pPr>
        <w:spacing w:line="360" w:lineRule="auto"/>
        <w:ind w:firstLine="480" w:firstLineChars="200"/>
        <w:rPr>
          <w:rFonts w:ascii="宋体" w:hAnsi="宋体" w:cs="宋体"/>
          <w:color w:val="auto"/>
          <w:sz w:val="24"/>
        </w:rPr>
      </w:pPr>
      <w:r>
        <w:rPr>
          <w:rFonts w:hint="eastAsia" w:ascii="宋体" w:hAnsi="宋体" w:cs="宋体"/>
          <w:color w:val="auto"/>
          <w:sz w:val="24"/>
        </w:rPr>
        <w:t>6、法律、行政法规规定的其他条件；</w:t>
      </w:r>
    </w:p>
    <w:p>
      <w:pPr>
        <w:pStyle w:val="2"/>
        <w:ind w:firstLine="480" w:firstLineChars="200"/>
        <w:rPr>
          <w:rFonts w:hAnsi="宋体" w:cs="宋体"/>
          <w:color w:val="auto"/>
          <w:lang w:val="en-US"/>
        </w:rPr>
      </w:pPr>
      <w:r>
        <w:rPr>
          <w:rFonts w:hint="eastAsia" w:hAnsi="宋体" w:cs="宋体"/>
          <w:color w:val="auto"/>
        </w:rPr>
        <w:t>7、本项目不接受联合体参与（潜在供应商能独立完成本项目）</w:t>
      </w:r>
      <w:r>
        <w:rPr>
          <w:rFonts w:hint="eastAsia" w:hAnsi="宋体" w:cs="宋体"/>
          <w:color w:val="auto"/>
          <w:lang w:val="en-US"/>
        </w:rPr>
        <w:t>。</w:t>
      </w:r>
    </w:p>
    <w:p>
      <w:pPr>
        <w:spacing w:line="360" w:lineRule="auto"/>
        <w:rPr>
          <w:rFonts w:ascii="宋体" w:hAnsi="宋体" w:cs="宋体"/>
          <w:b/>
          <w:color w:val="auto"/>
          <w:sz w:val="24"/>
        </w:rPr>
      </w:pPr>
      <w:r>
        <w:rPr>
          <w:rFonts w:hint="eastAsia" w:ascii="宋体" w:hAnsi="宋体" w:cs="宋体"/>
          <w:b/>
          <w:color w:val="auto"/>
          <w:sz w:val="24"/>
        </w:rPr>
        <w:t xml:space="preserve">三、获取交易文件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2022年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四、提交响应文件截止时间、交易时间和地点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日14点30分</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交易时间：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日14点30分</w:t>
      </w:r>
      <w:bookmarkStart w:id="383" w:name="_GoBack"/>
      <w:bookmarkEnd w:id="383"/>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b/>
          <w:color w:val="auto"/>
          <w:sz w:val="24"/>
        </w:rPr>
      </w:pPr>
      <w:r>
        <w:rPr>
          <w:rFonts w:hint="eastAsia" w:ascii="宋体" w:hAnsi="宋体" w:cs="宋体"/>
          <w:b/>
          <w:color w:val="auto"/>
          <w:sz w:val="24"/>
        </w:rPr>
        <w:t>五、其他补充事宜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1.供应商认为交易文件使自己的权益受到损害的，可以自获取交易文件之日起3个工作日内，以书面形式向交易人和采购代理机构提出质疑</w:t>
      </w:r>
    </w:p>
    <w:p>
      <w:pPr>
        <w:spacing w:line="360" w:lineRule="auto"/>
        <w:ind w:firstLine="480" w:firstLineChars="200"/>
        <w:rPr>
          <w:rFonts w:ascii="宋体" w:hAnsi="宋体" w:cs="宋体"/>
          <w:color w:val="auto"/>
          <w:sz w:val="24"/>
        </w:rPr>
      </w:pPr>
      <w:r>
        <w:rPr>
          <w:rFonts w:hint="eastAsia" w:ascii="宋体" w:hAnsi="宋体" w:cs="宋体"/>
          <w:color w:val="auto"/>
          <w:sz w:val="24"/>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rPr>
      </w:pPr>
      <w:r>
        <w:rPr>
          <w:rFonts w:hint="eastAsia" w:ascii="宋体" w:hAnsi="宋体" w:cs="宋体"/>
          <w:b/>
          <w:color w:val="auto"/>
          <w:sz w:val="24"/>
        </w:rPr>
        <w:t>六、联系方式</w:t>
      </w:r>
    </w:p>
    <w:p>
      <w:pPr>
        <w:widowControl/>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1.交易人信息</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名称：杭州市萧山区发展和改革局</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地址：萧山区政府综合楼6楼</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项目联系人（询问）：黄迪金</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rPr>
        <w:t>项目联系方式（询问）：0571-82898913</w:t>
      </w:r>
    </w:p>
    <w:p>
      <w:pPr>
        <w:spacing w:line="360" w:lineRule="auto"/>
        <w:ind w:firstLine="480" w:firstLineChars="200"/>
        <w:jc w:val="left"/>
        <w:rPr>
          <w:rFonts w:ascii="宋体" w:hAnsi="宋体" w:cs="宋体"/>
          <w:color w:val="auto"/>
          <w:sz w:val="24"/>
          <w:szCs w:val="28"/>
        </w:rPr>
      </w:pPr>
      <w:bookmarkStart w:id="10" w:name="_Toc28359086"/>
      <w:bookmarkStart w:id="11" w:name="_Toc28359009"/>
      <w:r>
        <w:rPr>
          <w:rFonts w:hint="eastAsia" w:ascii="宋体" w:hAnsi="宋体" w:cs="宋体"/>
          <w:color w:val="auto"/>
          <w:sz w:val="24"/>
          <w:szCs w:val="28"/>
        </w:rPr>
        <w:t>2.</w:t>
      </w:r>
      <w:bookmarkEnd w:id="10"/>
      <w:bookmarkEnd w:id="11"/>
      <w:r>
        <w:rPr>
          <w:rFonts w:hint="eastAsia" w:ascii="宋体" w:hAnsi="宋体" w:cs="宋体"/>
          <w:color w:val="auto"/>
          <w:sz w:val="24"/>
          <w:szCs w:val="28"/>
        </w:rPr>
        <w:t>采购机构信息</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名称：杭州博望建设工程招标投标代理有限公司</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地址：杭州市萧山区金城路433号天汇园一幢A座5楼</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传真：0571-83881208</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项目联系人（询问）：赵鑫华</w:t>
      </w:r>
    </w:p>
    <w:p>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项目联系方式（询问）：0571-83881208</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br w:type="page"/>
      </w: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供应商须知</w:t>
      </w:r>
      <w:bookmarkEnd w:id="8"/>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 xml:space="preserve">  </w:t>
            </w:r>
            <w:r>
              <w:rPr>
                <w:rFonts w:hint="eastAsia" w:ascii="宋体" w:hAnsi="宋体" w:cs="宋体"/>
                <w:color w:val="auto"/>
                <w:kern w:val="0"/>
                <w:sz w:val="24"/>
              </w:rPr>
              <w:t>)A货物类</w:t>
            </w:r>
            <w:r>
              <w:rPr>
                <w:rFonts w:hint="eastAsia" w:ascii="宋体" w:hAnsi="宋体" w:cs="宋体"/>
                <w:color w:val="auto"/>
                <w:sz w:val="24"/>
              </w:rPr>
              <w:t>。</w:t>
            </w:r>
          </w:p>
          <w:p>
            <w:pPr>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w:t>
            </w:r>
            <w:r>
              <w:rPr>
                <w:rFonts w:hint="eastAsia" w:ascii="宋体" w:hAnsi="宋体" w:cs="宋体"/>
                <w:color w:val="auto"/>
                <w:kern w:val="0"/>
                <w:sz w:val="24"/>
              </w:rPr>
              <w:t>)B服务类</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w:t>
            </w:r>
            <w:r>
              <w:rPr>
                <w:rFonts w:hint="eastAsia" w:ascii="宋体" w:hAnsi="宋体" w:cs="宋体"/>
                <w:color w:val="auto"/>
                <w:kern w:val="0"/>
                <w:sz w:val="24"/>
              </w:rPr>
              <w:t>)A不适用</w:t>
            </w:r>
            <w:r>
              <w:rPr>
                <w:rFonts w:hint="eastAsia" w:ascii="宋体" w:hAnsi="宋体" w:cs="宋体"/>
                <w:color w:val="auto"/>
                <w:sz w:val="24"/>
              </w:rPr>
              <w:t>。</w:t>
            </w:r>
          </w:p>
          <w:p>
            <w:pP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 xml:space="preserve">  </w:t>
            </w:r>
            <w:r>
              <w:rPr>
                <w:rFonts w:hint="eastAsia" w:ascii="宋体" w:hAnsi="宋体" w:cs="宋体"/>
                <w:color w:val="auto"/>
                <w:kern w:val="0"/>
                <w:sz w:val="24"/>
              </w:rPr>
              <w:t>)B使用</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rPr>
            </w:pPr>
            <w:r>
              <w:rPr>
                <w:rFonts w:hint="eastAsia" w:ascii="宋体" w:hAnsi="宋体" w:cs="宋体"/>
                <w:bCs/>
                <w:color w:val="auto"/>
                <w:sz w:val="24"/>
              </w:rPr>
              <w:t>（√）</w:t>
            </w:r>
            <w:r>
              <w:rPr>
                <w:rFonts w:hint="eastAsia" w:ascii="宋体" w:hAnsi="宋体" w:cs="宋体"/>
                <w:color w:val="auto"/>
                <w:sz w:val="24"/>
                <w:szCs w:val="32"/>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kern w:val="0"/>
                <w:sz w:val="24"/>
              </w:rPr>
              <w:t>B</w:t>
            </w:r>
            <w:r>
              <w:rPr>
                <w:rFonts w:hint="eastAsia" w:ascii="宋体" w:hAnsi="宋体" w:cs="宋体"/>
                <w:bCs/>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rPr>
            </w:pPr>
            <w:r>
              <w:rPr>
                <w:rFonts w:hint="eastAsia" w:ascii="宋体" w:hAnsi="宋体" w:cs="宋体"/>
                <w:bCs/>
                <w:color w:val="auto"/>
                <w:sz w:val="24"/>
              </w:rPr>
              <w:t>（√）</w:t>
            </w:r>
            <w:r>
              <w:rPr>
                <w:rFonts w:hint="eastAsia" w:ascii="宋体" w:hAnsi="宋体" w:cs="宋体"/>
                <w:bCs/>
                <w:color w:val="auto"/>
                <w:kern w:val="0"/>
                <w:sz w:val="24"/>
              </w:rPr>
              <w:t>A</w:t>
            </w:r>
            <w:r>
              <w:rPr>
                <w:rFonts w:hint="eastAsia" w:ascii="宋体" w:hAnsi="宋体" w:cs="宋体"/>
                <w:bCs/>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rPr>
            </w:pPr>
            <w:r>
              <w:rPr>
                <w:rFonts w:hint="eastAsia" w:ascii="宋体" w:hAnsi="宋体" w:cs="宋体"/>
                <w:bCs/>
                <w:color w:val="auto"/>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
                <w:color w:val="auto"/>
                <w:kern w:val="0"/>
                <w:sz w:val="24"/>
                <w:lang w:val="zh-CN"/>
              </w:rPr>
            </w:pPr>
            <w:r>
              <w:rPr>
                <w:rFonts w:hint="eastAsia" w:ascii="宋体" w:hAnsi="宋体" w:cs="宋体"/>
                <w:color w:val="auto"/>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color w:val="auto"/>
                <w:sz w:val="24"/>
              </w:rPr>
              <w:t>（1）资格证明文件：见交易文件第二部分10.1。</w:t>
            </w:r>
          </w:p>
          <w:p>
            <w:pPr>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有关本项目实施所需的所有费用（含税费）均计入报价。</w:t>
            </w:r>
            <w:r>
              <w:rPr>
                <w:rFonts w:hint="eastAsia" w:ascii="宋体" w:hAnsi="宋体" w:cs="宋体"/>
                <w:bCs/>
                <w:color w:val="auto"/>
                <w:kern w:val="0"/>
                <w:sz w:val="24"/>
              </w:rPr>
              <w:t>交易一览表（报价表）是报价的唯一载体</w:t>
            </w:r>
            <w:r>
              <w:rPr>
                <w:rFonts w:hint="eastAsia" w:ascii="宋体" w:hAnsi="宋体" w:cs="宋体"/>
                <w:bCs/>
                <w:color w:val="auto"/>
                <w:kern w:val="0"/>
                <w:sz w:val="24"/>
                <w:lang w:val="zh-CN"/>
              </w:rPr>
              <w:t>。响应文件中价格全部采用人民币报价。交易文件未列明，而供应商认为必需的费用也需列入报价。</w:t>
            </w:r>
          </w:p>
          <w:p>
            <w:pPr>
              <w:rPr>
                <w:rFonts w:ascii="宋体" w:hAnsi="宋体" w:cs="宋体"/>
                <w:bCs/>
                <w:color w:val="auto"/>
                <w:kern w:val="0"/>
                <w:sz w:val="24"/>
                <w:lang w:val="zh-CN"/>
              </w:rPr>
            </w:pPr>
            <w:r>
              <w:rPr>
                <w:rFonts w:hint="eastAsia" w:ascii="宋体" w:hAnsi="宋体" w:cs="宋体"/>
                <w:bCs/>
                <w:color w:val="auto"/>
                <w:kern w:val="0"/>
                <w:sz w:val="24"/>
                <w:lang w:val="zh-CN"/>
              </w:rPr>
              <w:t>交易报价出现下列情形的，交易无效：</w:t>
            </w:r>
          </w:p>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响应文件出现不是唯一的、有选择性交易报价的；</w:t>
            </w:r>
          </w:p>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交易报价超过交易文件中规定的预算金额或者最高限价的；</w:t>
            </w:r>
          </w:p>
          <w:p>
            <w:pPr>
              <w:ind w:firstLine="480" w:firstLineChars="200"/>
              <w:rPr>
                <w:rFonts w:ascii="宋体" w:hAnsi="宋体" w:cs="宋体"/>
                <w:bCs/>
                <w:color w:val="auto"/>
                <w:kern w:val="0"/>
                <w:sz w:val="24"/>
              </w:rPr>
            </w:pPr>
            <w:r>
              <w:rPr>
                <w:rFonts w:hint="eastAsia" w:ascii="宋体" w:hAnsi="宋体" w:cs="宋体"/>
                <w:bCs/>
                <w:color w:val="auto"/>
                <w:kern w:val="0"/>
                <w:sz w:val="24"/>
              </w:rPr>
              <w:t>报价明显低于其他通过符合性审查供应商的报价，有可能影响产品质量或者不能诚信履约的，未能按要求提供书面说明或者提交相关证明材料证明其报价合理性的;</w:t>
            </w:r>
          </w:p>
          <w:p>
            <w:pPr>
              <w:rPr>
                <w:rFonts w:ascii="宋体" w:hAnsi="宋体" w:cs="宋体"/>
                <w:color w:val="auto"/>
                <w:kern w:val="0"/>
                <w:sz w:val="24"/>
                <w:lang w:val="zh-CN"/>
              </w:rPr>
            </w:pPr>
            <w:r>
              <w:rPr>
                <w:rFonts w:hint="eastAsia" w:ascii="宋体" w:hAnsi="宋体" w:cs="宋体"/>
                <w:bCs/>
                <w:color w:val="auto"/>
                <w:kern w:val="0"/>
                <w:sz w:val="24"/>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auto"/>
                <w:kern w:val="28"/>
                <w:sz w:val="24"/>
                <w:szCs w:val="24"/>
              </w:rPr>
            </w:pPr>
            <w:r>
              <w:rPr>
                <w:rFonts w:hint="eastAsia" w:hAnsi="宋体" w:cs="宋体"/>
                <w:color w:val="auto"/>
                <w:kern w:val="28"/>
                <w:sz w:val="24"/>
                <w:szCs w:val="24"/>
              </w:rPr>
              <w:t>备份文件是否收取：不收取。</w:t>
            </w:r>
          </w:p>
          <w:p>
            <w:pPr>
              <w:pStyle w:val="33"/>
              <w:ind w:hanging="4"/>
              <w:rPr>
                <w:rFonts w:hAnsi="宋体" w:cs="宋体"/>
                <w:color w:val="auto"/>
                <w:kern w:val="28"/>
                <w:sz w:val="24"/>
                <w:szCs w:val="24"/>
              </w:rPr>
            </w:pPr>
            <w:r>
              <w:rPr>
                <w:rFonts w:hint="eastAsia" w:hAnsi="宋体" w:cs="宋体"/>
                <w:b/>
                <w:color w:val="auto"/>
                <w:sz w:val="24"/>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rPr>
            </w:pPr>
            <w:r>
              <w:rPr>
                <w:rFonts w:hint="eastAsia" w:ascii="宋体" w:hAnsi="宋体" w:cs="宋体"/>
                <w:bCs/>
                <w:color w:val="auto"/>
                <w:kern w:val="0"/>
                <w:sz w:val="24"/>
                <w:lang w:val="zh-CN"/>
              </w:rPr>
              <w:t>本项目代理服务费由</w:t>
            </w:r>
            <w:r>
              <w:rPr>
                <w:rFonts w:hint="eastAsia" w:ascii="宋体" w:hAnsi="宋体" w:cs="宋体"/>
                <w:bCs/>
                <w:color w:val="auto"/>
                <w:kern w:val="0"/>
                <w:sz w:val="24"/>
              </w:rPr>
              <w:t>交易人</w:t>
            </w:r>
            <w:r>
              <w:rPr>
                <w:rFonts w:hint="eastAsia" w:ascii="宋体" w:hAnsi="宋体" w:cs="宋体"/>
                <w:bCs/>
                <w:color w:val="auto"/>
                <w:kern w:val="0"/>
                <w:sz w:val="24"/>
                <w:lang w:val="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rPr>
            </w:pPr>
            <w:r>
              <w:rPr>
                <w:rFonts w:hint="eastAsia" w:ascii="宋体" w:hAnsi="宋体" w:cs="宋体"/>
                <w:bCs/>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rPr>
            </w:pPr>
            <w:r>
              <w:rPr>
                <w:rFonts w:hint="eastAsia" w:ascii="宋体" w:hAnsi="宋体" w:cs="宋体"/>
                <w:bCs/>
                <w:color w:val="auto"/>
                <w:kern w:val="0"/>
                <w:sz w:val="24"/>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rPr>
            </w:pPr>
            <w:r>
              <w:rPr>
                <w:rFonts w:hint="eastAsia" w:ascii="宋体" w:hAnsi="宋体" w:cs="宋体"/>
                <w:bCs/>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rPr>
            </w:pPr>
            <w:r>
              <w:rPr>
                <w:rFonts w:hint="eastAsia" w:ascii="宋体" w:hAnsi="宋体" w:cs="宋体"/>
                <w:bCs/>
                <w:color w:val="auto"/>
                <w:kern w:val="0"/>
                <w:sz w:val="24"/>
              </w:rPr>
              <w:t>本项目由交易人进行资格文件及信用信息查询。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rPr>
            </w:pPr>
            <w:r>
              <w:rPr>
                <w:rFonts w:hint="eastAsia" w:ascii="宋体" w:hAnsi="宋体" w:cs="宋体"/>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rPr>
            </w:pPr>
            <w:r>
              <w:rPr>
                <w:rFonts w:hint="eastAsia" w:ascii="宋体" w:hAnsi="宋体" w:cs="宋体"/>
                <w:color w:val="auto"/>
                <w:sz w:val="24"/>
              </w:rPr>
              <w:t>交易人质疑接收人：胡金红 联系方式：</w:t>
            </w:r>
            <w:r>
              <w:rPr>
                <w:rFonts w:hint="eastAsia" w:ascii="宋体" w:hAnsi="宋体" w:cs="宋体"/>
                <w:color w:val="auto"/>
                <w:sz w:val="24"/>
                <w:szCs w:val="28"/>
              </w:rPr>
              <w:t>0571-83897031</w:t>
            </w:r>
          </w:p>
          <w:p>
            <w:pPr>
              <w:snapToGrid w:val="0"/>
              <w:rPr>
                <w:rFonts w:ascii="宋体" w:hAnsi="宋体" w:cs="宋体"/>
                <w:color w:val="auto"/>
                <w:sz w:val="24"/>
              </w:rPr>
            </w:pPr>
            <w:r>
              <w:rPr>
                <w:rFonts w:hint="eastAsia" w:ascii="宋体" w:hAnsi="宋体" w:cs="宋体"/>
                <w:color w:val="auto"/>
                <w:sz w:val="24"/>
              </w:rPr>
              <w:t>地址：萧山区政府综合楼6楼</w:t>
            </w:r>
          </w:p>
          <w:p>
            <w:pPr>
              <w:snapToGrid w:val="0"/>
              <w:rPr>
                <w:rFonts w:ascii="宋体" w:hAnsi="宋体" w:cs="宋体"/>
                <w:color w:val="auto"/>
                <w:sz w:val="24"/>
              </w:rPr>
            </w:pPr>
            <w:r>
              <w:rPr>
                <w:rFonts w:hint="eastAsia" w:ascii="宋体" w:hAnsi="宋体" w:cs="宋体"/>
                <w:color w:val="auto"/>
                <w:sz w:val="24"/>
              </w:rPr>
              <w:t>采购机构质疑接收人：高华萍 联系方式：0571-83881208</w:t>
            </w:r>
          </w:p>
          <w:p>
            <w:pPr>
              <w:snapToGrid w:val="0"/>
              <w:rPr>
                <w:rFonts w:ascii="宋体" w:hAnsi="宋体" w:cs="宋体"/>
                <w:color w:val="auto"/>
                <w:sz w:val="24"/>
              </w:rPr>
            </w:pPr>
            <w:r>
              <w:rPr>
                <w:rFonts w:hint="eastAsia" w:ascii="宋体" w:hAnsi="宋体" w:cs="宋体"/>
                <w:color w:val="auto"/>
                <w:sz w:val="24"/>
              </w:rPr>
              <w:t>地址：杭州市萧山区金城路433号天汇园一幢A座5楼</w:t>
            </w:r>
          </w:p>
          <w:p>
            <w:pPr>
              <w:tabs>
                <w:tab w:val="center" w:pos="3019"/>
              </w:tabs>
              <w:snapToGrid w:val="0"/>
              <w:rPr>
                <w:rFonts w:ascii="宋体" w:hAnsi="宋体" w:cs="宋体"/>
                <w:color w:val="auto"/>
                <w:sz w:val="24"/>
              </w:rPr>
            </w:pPr>
            <w:r>
              <w:rPr>
                <w:rFonts w:hint="eastAsia" w:ascii="宋体" w:hAnsi="宋体" w:cs="宋体"/>
                <w:color w:val="auto"/>
                <w:sz w:val="24"/>
              </w:rPr>
              <w:t>邮箱：751200605@qq.com</w:t>
            </w:r>
          </w:p>
          <w:p>
            <w:pPr>
              <w:snapToGrid w:val="0"/>
              <w:rPr>
                <w:rFonts w:ascii="宋体" w:hAnsi="宋体" w:cs="宋体"/>
                <w:b/>
                <w:color w:val="auto"/>
                <w:sz w:val="24"/>
              </w:rPr>
            </w:pPr>
            <w:r>
              <w:rPr>
                <w:rFonts w:hint="eastAsia" w:ascii="宋体" w:hAnsi="宋体" w:cs="宋体"/>
                <w:b/>
                <w:color w:val="auto"/>
                <w:sz w:val="24"/>
              </w:rPr>
              <w:t>如通过邮箱方式发送质疑，须提交符合法规及交易文件要求的质疑文件（参考附件2），盖章扫描后发送，质疑的受理按答复主体划分以交易人或采购机构邮箱回复确认受理为准。</w:t>
            </w:r>
          </w:p>
          <w:p>
            <w:pPr>
              <w:snapToGrid w:val="0"/>
              <w:rPr>
                <w:rFonts w:ascii="宋体" w:hAnsi="宋体" w:cs="宋体"/>
                <w:color w:val="auto"/>
                <w:sz w:val="24"/>
              </w:rPr>
            </w:pPr>
            <w:r>
              <w:rPr>
                <w:rFonts w:hint="eastAsia" w:ascii="宋体" w:hAnsi="宋体" w:cs="宋体"/>
                <w:color w:val="auto"/>
                <w:sz w:val="24"/>
              </w:rPr>
              <w:t>本项目涉及资格条件、交易需求、评分办法及交易过程中有关现场考察或开标前答疑会事项由交易人进行答复。</w:t>
            </w:r>
          </w:p>
          <w:p>
            <w:pPr>
              <w:pStyle w:val="33"/>
              <w:ind w:hanging="4"/>
              <w:rPr>
                <w:rFonts w:hAnsi="宋体" w:cs="宋体"/>
                <w:color w:val="auto"/>
                <w:sz w:val="24"/>
              </w:rPr>
            </w:pPr>
            <w:r>
              <w:rPr>
                <w:rFonts w:hint="eastAsia" w:hAnsi="宋体" w:cs="宋体"/>
                <w:color w:val="auto"/>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2" w:firstLineChars="200"/>
              <w:rPr>
                <w:rFonts w:ascii="宋体" w:hAnsi="宋体" w:cs="宋体"/>
                <w:snapToGrid w:val="0"/>
                <w:color w:val="auto"/>
                <w:kern w:val="28"/>
                <w:sz w:val="24"/>
              </w:rPr>
            </w:pPr>
            <w:r>
              <w:rPr>
                <w:rFonts w:hint="eastAsia" w:ascii="宋体" w:hAnsi="宋体" w:cs="宋体"/>
                <w:b/>
                <w:color w:val="auto"/>
                <w:sz w:val="24"/>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rPr>
      </w:pPr>
    </w:p>
    <w:bookmarkEnd w:id="9"/>
    <w:p>
      <w:pPr>
        <w:rPr>
          <w:rFonts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br w:type="page"/>
      </w: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480" w:lineRule="exact"/>
        <w:jc w:val="left"/>
        <w:outlineLvl w:val="1"/>
        <w:rPr>
          <w:rFonts w:ascii="宋体" w:hAnsi="宋体" w:cs="宋体"/>
          <w:b/>
          <w:color w:val="auto"/>
          <w:sz w:val="24"/>
        </w:rPr>
      </w:pPr>
      <w:r>
        <w:rPr>
          <w:rFonts w:hint="eastAsia" w:ascii="宋体" w:hAnsi="宋体" w:cs="宋体"/>
          <w:b/>
          <w:color w:val="auto"/>
          <w:sz w:val="24"/>
        </w:rPr>
        <w:t>1.适用范围</w:t>
      </w:r>
    </w:p>
    <w:p>
      <w:pPr>
        <w:snapToGrid w:val="0"/>
        <w:spacing w:line="480" w:lineRule="exact"/>
        <w:ind w:firstLine="420" w:firstLineChars="175"/>
        <w:jc w:val="left"/>
        <w:rPr>
          <w:rFonts w:ascii="宋体" w:hAnsi="宋体" w:cs="宋体"/>
          <w:color w:val="auto"/>
          <w:sz w:val="24"/>
        </w:rPr>
      </w:pPr>
      <w:r>
        <w:rPr>
          <w:rFonts w:hint="eastAsia" w:ascii="宋体" w:hAnsi="宋体" w:cs="宋体"/>
          <w:color w:val="auto"/>
          <w:sz w:val="24"/>
        </w:rPr>
        <w:t>本交易文件适用于该项目的交易、响应、评审、资格审查及信用信息查询、评审、定标、合同、验收等行为（法律、法规另有规定的，从其规定）。</w:t>
      </w:r>
    </w:p>
    <w:p>
      <w:pPr>
        <w:adjustRightInd/>
        <w:spacing w:line="480" w:lineRule="exact"/>
        <w:outlineLvl w:val="0"/>
        <w:rPr>
          <w:rFonts w:ascii="宋体" w:hAnsi="宋体" w:cs="宋体"/>
          <w:b/>
          <w:color w:val="auto"/>
          <w:sz w:val="24"/>
        </w:rPr>
      </w:pPr>
      <w:r>
        <w:rPr>
          <w:rFonts w:hint="eastAsia" w:ascii="宋体" w:hAnsi="宋体" w:cs="宋体"/>
          <w:b/>
          <w:color w:val="auto"/>
          <w:sz w:val="24"/>
        </w:rPr>
        <w:t>2.定义</w:t>
      </w:r>
    </w:p>
    <w:p>
      <w:pPr>
        <w:spacing w:line="480" w:lineRule="exact"/>
        <w:ind w:firstLine="420" w:firstLineChars="175"/>
        <w:rPr>
          <w:rFonts w:ascii="宋体" w:hAnsi="宋体" w:cs="宋体"/>
          <w:color w:val="auto"/>
          <w:sz w:val="24"/>
        </w:rPr>
      </w:pPr>
      <w:r>
        <w:rPr>
          <w:rFonts w:hint="eastAsia" w:ascii="宋体" w:hAnsi="宋体" w:cs="宋体"/>
          <w:color w:val="auto"/>
          <w:sz w:val="24"/>
        </w:rPr>
        <w:t>2.1“交易人”系指交易公告中载明的本项目的交易人。</w:t>
      </w:r>
    </w:p>
    <w:p>
      <w:pPr>
        <w:spacing w:line="480" w:lineRule="exact"/>
        <w:ind w:firstLine="420" w:firstLineChars="175"/>
        <w:rPr>
          <w:rFonts w:ascii="宋体" w:hAnsi="宋体" w:cs="宋体"/>
          <w:color w:val="auto"/>
          <w:sz w:val="24"/>
        </w:rPr>
      </w:pPr>
      <w:r>
        <w:rPr>
          <w:rFonts w:hint="eastAsia" w:ascii="宋体" w:hAnsi="宋体" w:cs="宋体"/>
          <w:color w:val="auto"/>
          <w:sz w:val="24"/>
        </w:rPr>
        <w:t>2.2“采购机构”系指交易公告中载明的本项目的采购机构。</w:t>
      </w:r>
    </w:p>
    <w:p>
      <w:pPr>
        <w:spacing w:line="480" w:lineRule="exact"/>
        <w:ind w:firstLine="420" w:firstLineChars="175"/>
        <w:rPr>
          <w:rFonts w:ascii="宋体" w:hAnsi="宋体" w:cs="宋体"/>
          <w:color w:val="auto"/>
          <w:sz w:val="24"/>
        </w:rPr>
      </w:pPr>
      <w:r>
        <w:rPr>
          <w:rFonts w:hint="eastAsia" w:ascii="宋体" w:hAnsi="宋体" w:cs="宋体"/>
          <w:color w:val="auto"/>
          <w:sz w:val="24"/>
        </w:rPr>
        <w:t>2.3“供应商”系指是指响应招标、参加投标竞争的法人、其他组织或者自然人。</w:t>
      </w:r>
    </w:p>
    <w:p>
      <w:pPr>
        <w:spacing w:line="480" w:lineRule="exact"/>
        <w:ind w:firstLine="420" w:firstLineChars="175"/>
        <w:rPr>
          <w:rFonts w:ascii="宋体" w:hAnsi="宋体" w:cs="宋体"/>
          <w:color w:val="auto"/>
          <w:sz w:val="24"/>
        </w:rPr>
      </w:pPr>
      <w:r>
        <w:rPr>
          <w:rFonts w:hint="eastAsia" w:ascii="宋体" w:hAnsi="宋体" w:cs="宋体"/>
          <w:color w:val="auto"/>
          <w:sz w:val="24"/>
        </w:rPr>
        <w:t>2.4“负责人”系指法人企业的法定负责人，或其他组织为法律、行政法规规定代表单位行使职权的主要负责人，或自然人本人。</w:t>
      </w:r>
    </w:p>
    <w:p>
      <w:pPr>
        <w:spacing w:line="480" w:lineRule="exact"/>
        <w:ind w:firstLine="420" w:firstLineChars="175"/>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pPr>
        <w:spacing w:line="480" w:lineRule="exact"/>
        <w:ind w:firstLine="420" w:firstLineChars="175"/>
        <w:jc w:val="left"/>
        <w:rPr>
          <w:rFonts w:ascii="宋体" w:hAnsi="宋体" w:cs="宋体"/>
          <w:color w:val="auto"/>
          <w:sz w:val="24"/>
        </w:rPr>
      </w:pPr>
      <w:r>
        <w:rPr>
          <w:rFonts w:hint="eastAsia" w:ascii="宋体" w:hAnsi="宋体" w:cs="宋体"/>
          <w:color w:val="auto"/>
          <w:sz w:val="24"/>
        </w:rPr>
        <w:t>2.6“电子交易平台”是指本项目采购活动所依托的政府采购云平台（https://www.zcygov.cn/）。</w:t>
      </w:r>
    </w:p>
    <w:p>
      <w:pPr>
        <w:spacing w:line="480" w:lineRule="exact"/>
        <w:ind w:firstLine="420" w:firstLineChars="175"/>
        <w:rPr>
          <w:rFonts w:ascii="宋体" w:hAnsi="宋体" w:cs="宋体"/>
          <w:color w:val="auto"/>
          <w:sz w:val="24"/>
        </w:rPr>
      </w:pPr>
      <w:r>
        <w:rPr>
          <w:rFonts w:hint="eastAsia" w:ascii="宋体" w:hAnsi="宋体" w:cs="宋体"/>
          <w:color w:val="auto"/>
          <w:sz w:val="24"/>
        </w:rPr>
        <w:t>2.7“▲” 系指实质性要求条款，“（</w:t>
      </w:r>
      <w:r>
        <w:rPr>
          <w:rFonts w:hint="eastAsia" w:ascii="宋体" w:hAnsi="宋体" w:cs="宋体"/>
          <w:bCs/>
          <w:color w:val="auto"/>
          <w:sz w:val="24"/>
        </w:rPr>
        <w:t>√</w:t>
      </w:r>
      <w:r>
        <w:rPr>
          <w:rFonts w:hint="eastAsia" w:ascii="宋体" w:hAnsi="宋体" w:cs="宋体"/>
          <w:color w:val="auto"/>
          <w:sz w:val="24"/>
        </w:rPr>
        <w:t>）” 系指适用本项目的要求，“（  ）”系指不适用本项目的要求。</w:t>
      </w:r>
    </w:p>
    <w:p>
      <w:pPr>
        <w:spacing w:line="480" w:lineRule="exact"/>
        <w:rPr>
          <w:rFonts w:ascii="宋体" w:hAnsi="宋体" w:cs="宋体"/>
          <w:b/>
          <w:color w:val="auto"/>
          <w:sz w:val="24"/>
        </w:rPr>
      </w:pPr>
      <w:r>
        <w:rPr>
          <w:rFonts w:hint="eastAsia" w:ascii="宋体" w:hAnsi="宋体" w:cs="宋体"/>
          <w:b/>
          <w:color w:val="auto"/>
          <w:sz w:val="24"/>
        </w:rPr>
        <w:t>3.询问、质疑、投诉</w:t>
      </w:r>
    </w:p>
    <w:p>
      <w:pPr>
        <w:autoSpaceDE w:val="0"/>
        <w:autoSpaceDN w:val="0"/>
        <w:spacing w:line="480" w:lineRule="exact"/>
        <w:ind w:firstLine="420" w:firstLineChars="175"/>
        <w:jc w:val="left"/>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.1供应商询问</w:t>
      </w:r>
    </w:p>
    <w:p>
      <w:pPr>
        <w:autoSpaceDE w:val="0"/>
        <w:autoSpaceDN w:val="0"/>
        <w:spacing w:line="480" w:lineRule="exact"/>
        <w:ind w:firstLine="420" w:firstLineChars="175"/>
        <w:jc w:val="left"/>
        <w:rPr>
          <w:rFonts w:ascii="宋体" w:hAnsi="宋体" w:cs="宋体"/>
          <w:color w:val="auto"/>
          <w:kern w:val="0"/>
          <w:sz w:val="24"/>
          <w:lang w:val="zh-CN"/>
        </w:rPr>
      </w:pPr>
      <w:r>
        <w:rPr>
          <w:rFonts w:hint="eastAsia" w:ascii="宋体" w:hAnsi="宋体" w:cs="宋体"/>
          <w:color w:val="auto"/>
          <w:kern w:val="0"/>
          <w:sz w:val="24"/>
          <w:lang w:val="zh-CN"/>
        </w:rPr>
        <w:t>供应商对</w:t>
      </w:r>
      <w:r>
        <w:rPr>
          <w:rFonts w:hint="eastAsia" w:ascii="宋体" w:hAnsi="宋体" w:cs="宋体"/>
          <w:color w:val="auto"/>
          <w:kern w:val="0"/>
          <w:sz w:val="24"/>
        </w:rPr>
        <w:t>交易</w:t>
      </w:r>
      <w:r>
        <w:rPr>
          <w:rFonts w:hint="eastAsia" w:ascii="宋体" w:hAnsi="宋体" w:cs="宋体"/>
          <w:color w:val="auto"/>
          <w:kern w:val="0"/>
          <w:sz w:val="24"/>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autoSpaceDE w:val="0"/>
        <w:autoSpaceDN w:val="0"/>
        <w:spacing w:line="480" w:lineRule="exact"/>
        <w:ind w:firstLine="420" w:firstLineChars="175"/>
        <w:jc w:val="left"/>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.2供应商质疑</w:t>
      </w:r>
    </w:p>
    <w:p>
      <w:pPr>
        <w:pStyle w:val="33"/>
        <w:spacing w:line="480" w:lineRule="exact"/>
        <w:ind w:firstLine="420" w:firstLineChars="175"/>
        <w:rPr>
          <w:rFonts w:hAnsi="宋体" w:cs="宋体"/>
          <w:color w:val="auto"/>
          <w:sz w:val="24"/>
        </w:rPr>
      </w:pPr>
      <w:r>
        <w:rPr>
          <w:rFonts w:hint="eastAsia" w:hAnsi="宋体" w:cs="宋体"/>
          <w:color w:val="auto"/>
          <w:kern w:val="0"/>
          <w:sz w:val="24"/>
        </w:rPr>
        <w:t>3</w:t>
      </w:r>
      <w:r>
        <w:rPr>
          <w:rFonts w:hint="eastAsia" w:hAnsi="宋体" w:cs="宋体"/>
          <w:color w:val="auto"/>
          <w:kern w:val="0"/>
          <w:sz w:val="24"/>
          <w:lang w:val="zh-CN"/>
        </w:rPr>
        <w:t>.2</w:t>
      </w:r>
      <w:r>
        <w:rPr>
          <w:rFonts w:hint="eastAsia" w:hAnsi="宋体" w:cs="宋体"/>
          <w:color w:val="auto"/>
          <w:sz w:val="24"/>
        </w:rPr>
        <w:t>.1提出质疑的供应商应当是参与所质疑项目交易活动的供应商。潜在供应商已依法获取其可质疑的交易文件的，可以对该文件提出质疑。</w:t>
      </w:r>
    </w:p>
    <w:p>
      <w:pPr>
        <w:pStyle w:val="33"/>
        <w:spacing w:line="480" w:lineRule="exact"/>
        <w:ind w:firstLine="420" w:firstLineChars="175"/>
        <w:rPr>
          <w:rFonts w:hAnsi="宋体" w:cs="宋体"/>
          <w:color w:val="auto"/>
          <w:sz w:val="24"/>
        </w:rPr>
      </w:pPr>
      <w:r>
        <w:rPr>
          <w:rFonts w:hint="eastAsia" w:hAnsi="宋体" w:cs="宋体"/>
          <w:color w:val="auto"/>
          <w:kern w:val="0"/>
          <w:sz w:val="24"/>
        </w:rPr>
        <w:t>3</w:t>
      </w:r>
      <w:r>
        <w:rPr>
          <w:rFonts w:hint="eastAsia" w:hAnsi="宋体" w:cs="宋体"/>
          <w:color w:val="auto"/>
          <w:kern w:val="0"/>
          <w:sz w:val="24"/>
          <w:lang w:val="zh-CN"/>
        </w:rPr>
        <w:t>.2</w:t>
      </w:r>
      <w:r>
        <w:rPr>
          <w:rFonts w:hint="eastAsia" w:hAnsi="宋体" w:cs="宋体"/>
          <w:color w:val="auto"/>
          <w:sz w:val="24"/>
        </w:rPr>
        <w:t>.2供应商认为交易文件、交易过程和成交结果使自己的权益受到损害的，可以在知道或者应知其权益受到损害之日起三天内，以书面形式向交易人或者采购机构提出质疑，否则，交易人或者采购机构不予受理：</w:t>
      </w:r>
    </w:p>
    <w:p>
      <w:pPr>
        <w:pStyle w:val="33"/>
        <w:spacing w:line="480" w:lineRule="exact"/>
        <w:ind w:firstLine="420" w:firstLineChars="175"/>
        <w:rPr>
          <w:rFonts w:hAnsi="宋体" w:cs="宋体"/>
          <w:color w:val="auto"/>
          <w:sz w:val="24"/>
        </w:rPr>
      </w:pPr>
      <w:r>
        <w:rPr>
          <w:rFonts w:hint="eastAsia" w:hAnsi="宋体" w:cs="宋体"/>
          <w:color w:val="auto"/>
          <w:sz w:val="24"/>
        </w:rPr>
        <w:t>3.2.2.1对采购过程提出质疑的，质疑期限为各采购程序环节结束之日起计算。对同一采购程序环节的质疑，供应商须一次性提出。</w:t>
      </w:r>
    </w:p>
    <w:p>
      <w:pPr>
        <w:pStyle w:val="33"/>
        <w:spacing w:line="48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w:t>
      </w:r>
      <w:r>
        <w:rPr>
          <w:rFonts w:hint="eastAsia" w:hAnsi="宋体" w:cs="宋体"/>
          <w:color w:val="auto"/>
          <w:sz w:val="24"/>
        </w:rPr>
        <w:t>供应商提出质疑应当提交质疑函和必要的证明材料。质疑函应当包括下列内容：</w:t>
      </w:r>
    </w:p>
    <w:p>
      <w:pPr>
        <w:pStyle w:val="33"/>
        <w:spacing w:line="48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.2.3.1供应商的姓名或者名称、地址、邮编、联系人及联系电话；</w:t>
      </w:r>
    </w:p>
    <w:p>
      <w:pPr>
        <w:pStyle w:val="33"/>
        <w:spacing w:line="48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.2.3.2质疑项目的名称、编号；</w:t>
      </w:r>
    </w:p>
    <w:p>
      <w:pPr>
        <w:pStyle w:val="33"/>
        <w:spacing w:line="48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.2.3.3具体、明确的质疑事项和与质疑事项相关的请求；</w:t>
      </w:r>
    </w:p>
    <w:p>
      <w:pPr>
        <w:pStyle w:val="33"/>
        <w:spacing w:line="48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.2.3.4事实依据；</w:t>
      </w:r>
    </w:p>
    <w:p>
      <w:pPr>
        <w:pStyle w:val="33"/>
        <w:spacing w:line="48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.2.3.5必要的法律依据；</w:t>
      </w:r>
    </w:p>
    <w:p>
      <w:pPr>
        <w:pStyle w:val="33"/>
        <w:spacing w:line="480" w:lineRule="exact"/>
        <w:ind w:firstLine="420" w:firstLineChars="175"/>
        <w:rPr>
          <w:rFonts w:hAnsi="宋体" w:cs="宋体"/>
          <w:color w:val="auto"/>
          <w:kern w:val="0"/>
          <w:sz w:val="24"/>
          <w:lang w:val="zh-CN"/>
        </w:rPr>
      </w:pPr>
      <w:r>
        <w:rPr>
          <w:rFonts w:hint="eastAsia" w:hAnsi="宋体" w:cs="宋体"/>
          <w:color w:val="auto"/>
          <w:kern w:val="0"/>
          <w:sz w:val="24"/>
        </w:rPr>
        <w:t>3</w:t>
      </w:r>
      <w:r>
        <w:rPr>
          <w:rFonts w:hint="eastAsia" w:hAnsi="宋体" w:cs="宋体"/>
          <w:color w:val="auto"/>
          <w:kern w:val="0"/>
          <w:sz w:val="24"/>
          <w:lang w:val="zh-CN"/>
        </w:rPr>
        <w:t>.2.3.6提出质疑的日期。</w:t>
      </w:r>
    </w:p>
    <w:p>
      <w:pPr>
        <w:pStyle w:val="889"/>
        <w:shd w:val="clear" w:color="auto" w:fill="FFFFFF"/>
        <w:snapToGrid w:val="0"/>
        <w:spacing w:after="240" w:afterAutospacing="0" w:line="480" w:lineRule="exact"/>
        <w:ind w:firstLine="420" w:firstLineChars="175"/>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480" w:lineRule="exact"/>
        <w:ind w:firstLine="420" w:firstLineChars="175"/>
        <w:contextualSpacing/>
        <w:rPr>
          <w:color w:val="auto"/>
        </w:rPr>
      </w:pPr>
      <w:r>
        <w:rPr>
          <w:rFonts w:hint="eastAsia"/>
          <w:color w:val="auto"/>
        </w:rPr>
        <w:t>质疑函范本及制作说明详见附件1。</w:t>
      </w:r>
    </w:p>
    <w:p>
      <w:pPr>
        <w:pStyle w:val="889"/>
        <w:shd w:val="clear" w:color="auto" w:fill="FFFFFF"/>
        <w:snapToGrid w:val="0"/>
        <w:spacing w:after="240" w:afterAutospacing="0" w:line="480" w:lineRule="exact"/>
        <w:ind w:firstLine="420" w:firstLineChars="175"/>
        <w:contextualSpacing/>
        <w:rPr>
          <w:color w:val="auto"/>
        </w:rPr>
      </w:pPr>
      <w:r>
        <w:rPr>
          <w:rFonts w:hint="eastAsia"/>
          <w:color w:val="auto"/>
        </w:rPr>
        <w:t>3</w:t>
      </w:r>
      <w:r>
        <w:rPr>
          <w:rFonts w:hint="eastAsia"/>
          <w:color w:val="auto"/>
          <w:lang w:val="zh-CN"/>
        </w:rPr>
        <w:t>.2</w:t>
      </w:r>
      <w:r>
        <w:rPr>
          <w:rFonts w:hint="eastAsia"/>
          <w:color w:val="auto"/>
        </w:rPr>
        <w:t>.4交易人或者采购机构应当在收到供应商的书面质疑后七个工作日内作出答复，并以书面形式通知质疑供应商和其他与质疑处理结果有利害关系的采购当事人，但答复的内容不得涉及商业秘密。</w:t>
      </w:r>
    </w:p>
    <w:p>
      <w:pPr>
        <w:pStyle w:val="889"/>
        <w:shd w:val="clear" w:color="auto" w:fill="FFFFFF"/>
        <w:snapToGrid w:val="0"/>
        <w:spacing w:after="240" w:afterAutospacing="0" w:line="480" w:lineRule="exact"/>
        <w:ind w:firstLine="420" w:firstLineChars="175"/>
        <w:contextualSpacing/>
        <w:rPr>
          <w:color w:val="auto"/>
        </w:rPr>
      </w:pPr>
      <w:r>
        <w:rPr>
          <w:rFonts w:hint="eastAsia"/>
          <w:color w:val="auto"/>
        </w:rPr>
        <w:t>3</w:t>
      </w:r>
      <w:r>
        <w:rPr>
          <w:rFonts w:hint="eastAsia"/>
          <w:color w:val="auto"/>
          <w:lang w:val="zh-CN"/>
        </w:rPr>
        <w:t>.2</w:t>
      </w:r>
      <w:r>
        <w:rPr>
          <w:rFonts w:hint="eastAsia"/>
          <w:color w:val="auto"/>
        </w:rPr>
        <w:t>.5询问或者质疑事项可能影响交易结果的，交易人应当暂停签订合同，已经签订合同的，应当中止履行合同。</w:t>
      </w:r>
    </w:p>
    <w:p>
      <w:pPr>
        <w:pStyle w:val="889"/>
        <w:shd w:val="clear" w:color="auto" w:fill="FFFFFF"/>
        <w:snapToGrid w:val="0"/>
        <w:spacing w:after="240" w:afterAutospacing="0" w:line="480" w:lineRule="exact"/>
        <w:ind w:firstLine="420" w:firstLineChars="175"/>
        <w:contextualSpacing/>
        <w:rPr>
          <w:color w:val="auto"/>
          <w:lang w:val="zh-CN"/>
        </w:rPr>
      </w:pPr>
      <w:r>
        <w:rPr>
          <w:rFonts w:hint="eastAsia"/>
          <w:color w:val="auto"/>
        </w:rPr>
        <w:t>3</w:t>
      </w:r>
      <w:r>
        <w:rPr>
          <w:rFonts w:hint="eastAsia"/>
          <w:color w:val="auto"/>
          <w:lang w:val="zh-CN"/>
        </w:rPr>
        <w:t>.3供应商投诉</w:t>
      </w:r>
    </w:p>
    <w:p>
      <w:pPr>
        <w:pStyle w:val="889"/>
        <w:shd w:val="clear" w:color="auto" w:fill="FFFFFF"/>
        <w:snapToGrid w:val="0"/>
        <w:spacing w:after="240" w:afterAutospacing="0" w:line="480" w:lineRule="exact"/>
        <w:ind w:firstLine="420" w:firstLineChars="175"/>
        <w:contextualSpacing/>
        <w:rPr>
          <w:color w:val="auto"/>
        </w:rPr>
      </w:pPr>
      <w:r>
        <w:rPr>
          <w:rFonts w:hint="eastAsia"/>
          <w:color w:val="auto"/>
        </w:rPr>
        <w:t>3.3.1质疑供应商对交易人、采购机构的答复不满意或者交易人、采购机构未在规定的时间内作出答复的，可以在答复期满后十五个工作日内向同级采购监督管理部门提出投诉。</w:t>
      </w:r>
    </w:p>
    <w:p>
      <w:pPr>
        <w:pStyle w:val="889"/>
        <w:shd w:val="clear" w:color="auto" w:fill="FFFFFF"/>
        <w:snapToGrid w:val="0"/>
        <w:spacing w:after="240" w:afterAutospacing="0" w:line="480" w:lineRule="exact"/>
        <w:ind w:firstLine="420" w:firstLineChars="175"/>
        <w:contextualSpacing/>
        <w:rPr>
          <w:color w:val="auto"/>
        </w:rPr>
      </w:pPr>
      <w:r>
        <w:rPr>
          <w:rFonts w:hint="eastAsia"/>
          <w:color w:val="auto"/>
        </w:rPr>
        <w:t>3.3.</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480" w:lineRule="exact"/>
        <w:ind w:firstLine="420" w:firstLineChars="175"/>
        <w:contextualSpacing/>
        <w:rPr>
          <w:color w:val="auto"/>
        </w:rPr>
      </w:pPr>
      <w:r>
        <w:rPr>
          <w:rFonts w:hint="eastAsia"/>
          <w:color w:val="auto"/>
        </w:rPr>
        <w:t>3.3.3供应商投诉应当有明确的请求和必要的证明材料。</w:t>
      </w:r>
    </w:p>
    <w:p>
      <w:pPr>
        <w:pStyle w:val="889"/>
        <w:shd w:val="clear" w:color="auto" w:fill="FFFFFF"/>
        <w:snapToGrid w:val="0"/>
        <w:spacing w:after="240" w:afterAutospacing="0" w:line="480" w:lineRule="exact"/>
        <w:ind w:firstLine="420" w:firstLineChars="175"/>
        <w:contextualSpacing/>
        <w:rPr>
          <w:color w:val="auto"/>
          <w:sz w:val="18"/>
          <w:szCs w:val="18"/>
        </w:rPr>
      </w:pPr>
      <w:r>
        <w:rPr>
          <w:rFonts w:hint="eastAsia"/>
          <w:color w:val="auto"/>
        </w:rPr>
        <w:t>3.3.4以联合体形式参加采购活动的，其投诉应当由组成联合体的所有供应商共同提出。</w:t>
      </w: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二、交易文件的构成、澄清、修改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4．交易文件的构成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4.1交易文件包括下列文件及附件：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4.1.1交易公告；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4.1.2供应商须知；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4.1.3交易需求；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4.1.4交易办法；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4.1.5拟签订的合同文本；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4.1.6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4.2与本项目有关的</w:t>
      </w:r>
      <w:r>
        <w:rPr>
          <w:rFonts w:hint="eastAsia" w:ascii="宋体" w:hAnsi="宋体" w:cs="宋体"/>
          <w:bCs/>
          <w:color w:val="auto"/>
          <w:sz w:val="24"/>
        </w:rPr>
        <w:t>澄清或者修改的内容为交易文件的组成部分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5.交易文件的澄清、修改</w:t>
      </w:r>
    </w:p>
    <w:p>
      <w:pPr>
        <w:pStyle w:val="133"/>
        <w:snapToGrid w:val="0"/>
        <w:spacing w:before="0"/>
        <w:ind w:firstLine="480"/>
        <w:rPr>
          <w:rFonts w:ascii="宋体" w:hAnsi="宋体" w:cs="宋体"/>
          <w:color w:val="auto"/>
        </w:rPr>
      </w:pPr>
      <w:r>
        <w:rPr>
          <w:rFonts w:hint="eastAsia" w:ascii="宋体" w:hAnsi="宋体" w:cs="宋体"/>
          <w:color w:val="auto"/>
        </w:rPr>
        <w:t>5.1已获取交易文件的潜在供应商，若有问题需要澄清，应于投标截止时间前，以书面形式向采购机构提出。</w:t>
      </w:r>
    </w:p>
    <w:p>
      <w:pPr>
        <w:pStyle w:val="133"/>
        <w:snapToGrid w:val="0"/>
        <w:spacing w:before="0"/>
        <w:ind w:firstLine="480"/>
        <w:rPr>
          <w:rFonts w:ascii="宋体" w:hAnsi="宋体" w:cs="宋体"/>
          <w:color w:val="auto"/>
        </w:rPr>
      </w:pPr>
      <w:r>
        <w:rPr>
          <w:rFonts w:hint="eastAsia" w:ascii="宋体" w:hAnsi="宋体" w:cs="宋体"/>
          <w:color w:val="auto"/>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pPr>
        <w:adjustRightInd/>
        <w:spacing w:line="360" w:lineRule="auto"/>
        <w:jc w:val="center"/>
        <w:outlineLvl w:val="0"/>
        <w:rPr>
          <w:rFonts w:ascii="宋体" w:hAnsi="宋体" w:cs="宋体"/>
          <w:b/>
          <w:color w:val="auto"/>
          <w:sz w:val="30"/>
          <w:szCs w:val="20"/>
        </w:rPr>
      </w:pP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三、响应</w:t>
      </w:r>
    </w:p>
    <w:p>
      <w:pPr>
        <w:pStyle w:val="33"/>
        <w:spacing w:line="360" w:lineRule="auto"/>
        <w:rPr>
          <w:rFonts w:hAnsi="宋体" w:cs="宋体"/>
          <w:b/>
          <w:color w:val="auto"/>
          <w:sz w:val="24"/>
          <w:szCs w:val="24"/>
        </w:rPr>
      </w:pPr>
      <w:r>
        <w:rPr>
          <w:rFonts w:hint="eastAsia" w:hAnsi="宋体" w:cs="宋体"/>
          <w:b/>
          <w:color w:val="auto"/>
          <w:sz w:val="24"/>
          <w:szCs w:val="24"/>
        </w:rPr>
        <w:t>6.交易文件的获取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详见交易公告中获取交易文件的时间期限、地点、方式及交易文件售价。</w:t>
      </w:r>
    </w:p>
    <w:p>
      <w:pPr>
        <w:pStyle w:val="33"/>
        <w:spacing w:line="360" w:lineRule="auto"/>
        <w:rPr>
          <w:rFonts w:hAnsi="宋体" w:cs="宋体"/>
          <w:b/>
          <w:color w:val="auto"/>
          <w:sz w:val="24"/>
          <w:szCs w:val="24"/>
        </w:rPr>
      </w:pPr>
      <w:r>
        <w:rPr>
          <w:rFonts w:hint="eastAsia" w:hAnsi="宋体" w:cs="宋体"/>
          <w:b/>
          <w:color w:val="auto"/>
          <w:sz w:val="24"/>
          <w:szCs w:val="24"/>
        </w:rPr>
        <w:t>7.交易前答疑会或现场考察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交易人组织潜在供应商现场考察或者召开交易前答疑会的，潜在供应商按第二部分供应商须知前附表的规定参加现场考察或者开标前答疑会。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8.交易保证金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本项目不需缴纳交易保证金。</w:t>
      </w:r>
    </w:p>
    <w:p>
      <w:pPr>
        <w:pStyle w:val="33"/>
        <w:spacing w:line="360" w:lineRule="auto"/>
        <w:rPr>
          <w:rFonts w:hAnsi="宋体" w:cs="宋体"/>
          <w:b/>
          <w:color w:val="auto"/>
          <w:sz w:val="24"/>
          <w:szCs w:val="24"/>
        </w:rPr>
      </w:pPr>
      <w:r>
        <w:rPr>
          <w:rFonts w:hint="eastAsia" w:hAnsi="宋体" w:cs="宋体"/>
          <w:b/>
          <w:color w:val="auto"/>
          <w:sz w:val="24"/>
          <w:szCs w:val="24"/>
        </w:rPr>
        <w:t>9.响应文件的语言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响应文件及供应商与交易有关的来往通知、函件和文件均应使用中文。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10.响应文件的组成</w:t>
      </w:r>
    </w:p>
    <w:p>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10.1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10.1.1符合参加交易活动应当具备的一般条件的承诺函；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10.1.2本项目的特定资格要求。</w:t>
      </w:r>
    </w:p>
    <w:p>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w:t>
      </w:r>
      <w:r>
        <w:rPr>
          <w:rFonts w:hint="eastAsia" w:ascii="宋体" w:hAnsi="宋体" w:cs="宋体"/>
          <w:b/>
          <w:bCs/>
          <w:color w:val="auto"/>
          <w:sz w:val="24"/>
        </w:rPr>
        <w:t>0</w:t>
      </w:r>
      <w:r>
        <w:rPr>
          <w:rFonts w:hint="eastAsia" w:ascii="宋体" w:hAnsi="宋体" w:cs="宋体"/>
          <w:b/>
          <w:bCs/>
          <w:color w:val="auto"/>
          <w:sz w:val="24"/>
          <w:lang w:val="zh-CN"/>
        </w:rPr>
        <w:t>.</w:t>
      </w:r>
      <w:r>
        <w:rPr>
          <w:rFonts w:hint="eastAsia" w:ascii="宋体" w:hAnsi="宋体" w:cs="宋体"/>
          <w:b/>
          <w:bCs/>
          <w:color w:val="auto"/>
          <w:sz w:val="24"/>
        </w:rPr>
        <w:t>2商务技术</w:t>
      </w:r>
      <w:r>
        <w:rPr>
          <w:rFonts w:hint="eastAsia" w:ascii="宋体" w:hAnsi="宋体" w:cs="宋体"/>
          <w:b/>
          <w:bCs/>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10.2.1交易函；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10.2.3营业执照；</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10.2.4符合性审查资料；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10.2.5评标标准相应的商务技术资料；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10.2.6商务技术偏离表；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10.2.7</w:t>
      </w:r>
      <w:r>
        <w:rPr>
          <w:rFonts w:hint="eastAsia" w:ascii="宋体" w:hAnsi="宋体" w:cs="宋体"/>
          <w:color w:val="auto"/>
          <w:sz w:val="24"/>
          <w:lang w:val="zh-CN"/>
        </w:rPr>
        <w:t>供应商廉洁自律承诺书。</w:t>
      </w:r>
    </w:p>
    <w:p>
      <w:pPr>
        <w:snapToGrid w:val="0"/>
        <w:spacing w:line="360" w:lineRule="auto"/>
        <w:ind w:firstLine="482" w:firstLineChars="200"/>
        <w:rPr>
          <w:rFonts w:ascii="宋体" w:hAnsi="宋体" w:cs="宋体"/>
          <w:b/>
          <w:bCs/>
          <w:color w:val="auto"/>
          <w:sz w:val="24"/>
          <w:u w:val="single"/>
          <w:lang w:val="zh-CN"/>
        </w:rPr>
      </w:pPr>
      <w:r>
        <w:rPr>
          <w:rFonts w:hint="eastAsia" w:ascii="宋体" w:hAnsi="宋体" w:cs="宋体"/>
          <w:b/>
          <w:bCs/>
          <w:color w:val="auto"/>
          <w:kern w:val="0"/>
          <w:sz w:val="24"/>
          <w:lang w:val="zh-CN"/>
        </w:rPr>
        <w:t>1</w:t>
      </w:r>
      <w:r>
        <w:rPr>
          <w:rFonts w:hint="eastAsia" w:ascii="宋体" w:hAnsi="宋体" w:cs="宋体"/>
          <w:b/>
          <w:bCs/>
          <w:color w:val="auto"/>
          <w:kern w:val="0"/>
          <w:sz w:val="24"/>
        </w:rPr>
        <w:t>0</w:t>
      </w:r>
      <w:r>
        <w:rPr>
          <w:rFonts w:hint="eastAsia" w:ascii="宋体" w:hAnsi="宋体" w:cs="宋体"/>
          <w:b/>
          <w:bCs/>
          <w:color w:val="auto"/>
          <w:kern w:val="0"/>
          <w:sz w:val="24"/>
          <w:lang w:val="zh-CN"/>
        </w:rPr>
        <w:t>.</w:t>
      </w:r>
      <w:r>
        <w:rPr>
          <w:rFonts w:hint="eastAsia" w:ascii="宋体" w:hAnsi="宋体" w:cs="宋体"/>
          <w:b/>
          <w:bCs/>
          <w:color w:val="auto"/>
          <w:kern w:val="0"/>
          <w:sz w:val="24"/>
        </w:rPr>
        <w:t>3</w:t>
      </w:r>
      <w:r>
        <w:rPr>
          <w:rFonts w:hint="eastAsia" w:ascii="宋体" w:hAnsi="宋体" w:cs="宋体"/>
          <w:b/>
          <w:bCs/>
          <w:color w:val="auto"/>
          <w:sz w:val="24"/>
        </w:rPr>
        <w:t>报价文件：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10.3.1交易一览表（报价表）。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响应文件含有交易人不能接受的附加条件的，交易无效；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供应商提供虚假材料投标的，交易无效。</w:t>
      </w:r>
    </w:p>
    <w:p>
      <w:pPr>
        <w:pStyle w:val="13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11</w:t>
      </w:r>
      <w:r>
        <w:rPr>
          <w:rFonts w:hint="eastAsia" w:ascii="宋体" w:hAnsi="宋体" w:cs="宋体"/>
          <w:b/>
          <w:color w:val="auto"/>
          <w:kern w:val="0"/>
          <w:szCs w:val="24"/>
          <w:lang w:val="zh-CN"/>
        </w:rPr>
        <w:t>.</w:t>
      </w:r>
      <w:r>
        <w:rPr>
          <w:rFonts w:hint="eastAsia" w:ascii="宋体" w:hAnsi="宋体" w:cs="宋体"/>
          <w:b/>
          <w:color w:val="auto"/>
          <w:szCs w:val="24"/>
        </w:rPr>
        <w:t>响应文件的编制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1</w:t>
      </w:r>
      <w:r>
        <w:rPr>
          <w:rFonts w:hint="eastAsia" w:ascii="宋体" w:hAnsi="宋体" w:cs="宋体"/>
          <w:color w:val="auto"/>
          <w:kern w:val="0"/>
          <w:sz w:val="24"/>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12.响应文件的签署、盖章</w:t>
      </w:r>
    </w:p>
    <w:p>
      <w:pPr>
        <w:pStyle w:val="133"/>
        <w:snapToGrid w:val="0"/>
        <w:spacing w:before="0"/>
        <w:ind w:firstLine="480"/>
        <w:rPr>
          <w:rFonts w:ascii="宋体" w:hAnsi="宋体" w:cs="宋体"/>
          <w:b/>
          <w:color w:val="auto"/>
        </w:rPr>
      </w:pPr>
      <w:r>
        <w:rPr>
          <w:rFonts w:hint="eastAsia" w:ascii="宋体" w:hAnsi="宋体" w:cs="宋体"/>
          <w:color w:val="auto"/>
          <w:szCs w:val="24"/>
        </w:rPr>
        <w:t>12.1响应文件按照交易文件第六部分格式要</w:t>
      </w:r>
      <w:r>
        <w:rPr>
          <w:rFonts w:hint="eastAsia" w:ascii="宋体" w:hAnsi="宋体" w:cs="宋体"/>
          <w:color w:val="auto"/>
        </w:rPr>
        <w:t>求进行签署、盖章。</w:t>
      </w:r>
      <w:r>
        <w:rPr>
          <w:rFonts w:hint="eastAsia" w:ascii="宋体" w:hAnsi="宋体" w:cs="宋体"/>
          <w:b/>
          <w:color w:val="auto"/>
        </w:rPr>
        <w:t>▲供应商的响应文件未按照交易文件要求签署、盖章的，其交易无效</w:t>
      </w:r>
      <w:r>
        <w:rPr>
          <w:rFonts w:hint="eastAsia" w:ascii="宋体" w:hAnsi="宋体" w:cs="宋体"/>
          <w:color w:val="auto"/>
          <w:szCs w:val="24"/>
        </w:rPr>
        <w:t>。</w:t>
      </w:r>
    </w:p>
    <w:p>
      <w:pPr>
        <w:pStyle w:val="133"/>
        <w:snapToGrid w:val="0"/>
        <w:spacing w:before="0"/>
        <w:ind w:firstLine="480"/>
        <w:rPr>
          <w:rFonts w:ascii="宋体" w:hAnsi="宋体" w:cs="宋体"/>
          <w:color w:val="auto"/>
        </w:rPr>
      </w:pPr>
      <w:r>
        <w:rPr>
          <w:rFonts w:hint="eastAsia" w:ascii="宋体" w:hAnsi="宋体" w:cs="宋体"/>
          <w:color w:val="auto"/>
        </w:rPr>
        <w:t>12.2为确保网上操作合法、有效和安全，供应商应当在投标截止时间前完成在“政府采购云平台”的身份认证，确保在电子投标过程中能够对相关数据电文进行加密和使用电子签名。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rPr>
      </w:pPr>
      <w:r>
        <w:rPr>
          <w:rFonts w:hint="eastAsia" w:ascii="宋体" w:hAnsi="宋体" w:cs="宋体"/>
          <w:color w:val="auto"/>
        </w:rPr>
        <w:t>12.3交易文件对响应文件签署、盖章的要求适用于电子签名。</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13.响应文件的提交、补充、修改、撤回</w:t>
      </w:r>
    </w:p>
    <w:p>
      <w:pPr>
        <w:pStyle w:val="133"/>
        <w:ind w:firstLine="480"/>
        <w:rPr>
          <w:rFonts w:ascii="宋体" w:hAnsi="宋体" w:cs="宋体"/>
          <w:color w:val="auto"/>
          <w:szCs w:val="24"/>
        </w:rPr>
      </w:pPr>
      <w:r>
        <w:rPr>
          <w:rFonts w:hint="eastAsia" w:ascii="宋体" w:hAnsi="宋体" w:cs="宋体"/>
          <w:color w:val="auto"/>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133"/>
        <w:spacing w:before="0"/>
        <w:ind w:firstLine="480"/>
        <w:rPr>
          <w:rFonts w:ascii="宋体" w:hAnsi="宋体" w:cs="宋体"/>
          <w:color w:val="auto"/>
          <w:szCs w:val="24"/>
        </w:rPr>
      </w:pPr>
      <w:r>
        <w:rPr>
          <w:rFonts w:hint="eastAsia" w:ascii="宋体" w:hAnsi="宋体" w:cs="宋体"/>
          <w:color w:val="auto"/>
          <w:szCs w:val="24"/>
        </w:rPr>
        <w:t>13.2电子交易平台收到响应文件，将妥善保存并即时向供应商发出确认回执通知。在投标截止时间前，除供应商补充、修改或者撤回响应文件外，任何单位和个人不得解密或提取响应文件。</w:t>
      </w:r>
    </w:p>
    <w:p>
      <w:pPr>
        <w:pStyle w:val="133"/>
        <w:spacing w:before="0"/>
        <w:ind w:firstLine="480"/>
        <w:rPr>
          <w:rFonts w:ascii="宋体" w:hAnsi="宋体" w:cs="宋体"/>
          <w:color w:val="auto"/>
          <w:szCs w:val="24"/>
        </w:rPr>
      </w:pPr>
      <w:r>
        <w:rPr>
          <w:rFonts w:hint="eastAsia" w:ascii="宋体" w:hAnsi="宋体" w:cs="宋体"/>
          <w:color w:val="auto"/>
          <w:szCs w:val="24"/>
        </w:rPr>
        <w:t>13.3交易人、采购机构可以视情况延长响应文件提交的截止时间。在上述情况下，采购机构与供应商以前在投标截止期方面的全部权利、责任和义务，将适用于延长至新的投标截止期。</w:t>
      </w:r>
    </w:p>
    <w:p>
      <w:pPr>
        <w:pStyle w:val="33"/>
        <w:numPr>
          <w:ilvl w:val="0"/>
          <w:numId w:val="1"/>
        </w:numPr>
        <w:spacing w:line="360" w:lineRule="auto"/>
        <w:rPr>
          <w:rFonts w:hAnsi="宋体" w:cs="宋体"/>
          <w:b/>
          <w:color w:val="auto"/>
          <w:sz w:val="24"/>
          <w:szCs w:val="24"/>
        </w:rPr>
      </w:pPr>
      <w:r>
        <w:rPr>
          <w:rFonts w:hint="eastAsia" w:hAnsi="宋体" w:cs="宋体"/>
          <w:b/>
          <w:color w:val="auto"/>
          <w:sz w:val="24"/>
          <w:szCs w:val="24"/>
        </w:rPr>
        <w:t>备份响应文件</w:t>
      </w:r>
    </w:p>
    <w:p>
      <w:pPr>
        <w:pStyle w:val="33"/>
        <w:spacing w:line="360" w:lineRule="auto"/>
        <w:ind w:firstLine="480" w:firstLineChars="200"/>
        <w:rPr>
          <w:rFonts w:hAnsi="宋体" w:cs="宋体"/>
          <w:b/>
          <w:color w:val="auto"/>
          <w:sz w:val="24"/>
          <w:szCs w:val="24"/>
        </w:rPr>
      </w:pPr>
      <w:r>
        <w:rPr>
          <w:rFonts w:hint="eastAsia" w:hAnsi="宋体" w:cs="宋体"/>
          <w:color w:val="auto"/>
          <w:kern w:val="28"/>
          <w:sz w:val="24"/>
          <w:szCs w:val="24"/>
        </w:rPr>
        <w:t>不收取备份响应文件</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15.响应文件的无效处理</w:t>
      </w:r>
    </w:p>
    <w:p>
      <w:pPr>
        <w:pStyle w:val="25"/>
        <w:spacing w:line="360" w:lineRule="auto"/>
        <w:ind w:firstLine="360" w:firstLineChars="150"/>
        <w:rPr>
          <w:rFonts w:cs="宋体"/>
          <w:color w:val="auto"/>
          <w:szCs w:val="21"/>
        </w:rPr>
      </w:pPr>
      <w:r>
        <w:rPr>
          <w:rFonts w:hint="eastAsia" w:cs="宋体"/>
          <w:color w:val="auto"/>
          <w:szCs w:val="21"/>
        </w:rPr>
        <w:t>有交易文件第四部分</w:t>
      </w:r>
      <w:r>
        <w:rPr>
          <w:rFonts w:hint="eastAsia" w:cs="宋体"/>
          <w:color w:val="auto"/>
        </w:rPr>
        <w:t>4.2规定</w:t>
      </w:r>
      <w:r>
        <w:rPr>
          <w:rFonts w:hint="eastAsia" w:cs="宋体"/>
          <w:color w:val="auto"/>
          <w:szCs w:val="21"/>
        </w:rPr>
        <w:t>的情形之一的，交易无效：</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16.交易有效期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16.1交易有效期为从提交响应文件的截止之日起90天。▲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诺的交易有效期少于交易文件中载明的交易有效期的，交易无效。</w:t>
      </w:r>
    </w:p>
    <w:p>
      <w:pPr>
        <w:pStyle w:val="133"/>
        <w:spacing w:before="0"/>
        <w:ind w:firstLine="480"/>
        <w:rPr>
          <w:rFonts w:ascii="宋体" w:hAnsi="宋体" w:cs="宋体"/>
          <w:color w:val="auto"/>
        </w:rPr>
      </w:pPr>
      <w:r>
        <w:rPr>
          <w:rFonts w:hint="eastAsia" w:ascii="宋体" w:hAnsi="宋体" w:cs="宋体"/>
          <w:color w:val="auto"/>
        </w:rPr>
        <w:t>16.2响应文件合格投递后，自投标截止日期起，在交易有效期内有效。</w:t>
      </w:r>
    </w:p>
    <w:p>
      <w:pPr>
        <w:pStyle w:val="133"/>
        <w:spacing w:before="0"/>
        <w:ind w:firstLine="480"/>
        <w:rPr>
          <w:rFonts w:ascii="宋体" w:hAnsi="宋体" w:cs="宋体"/>
          <w:color w:val="auto"/>
        </w:rPr>
      </w:pPr>
      <w:r>
        <w:rPr>
          <w:rFonts w:hint="eastAsia" w:ascii="宋体" w:hAnsi="宋体" w:cs="宋体"/>
          <w:color w:val="auto"/>
        </w:rPr>
        <w:t>16.3在原定交易有效期满之前，如果出现特殊情况，采购机构可以以书面形式通知供应商延长交易有效期。供应商同意延长的，不得要求或被允许修改其响应文件，供应商拒绝延长的，其交易无效。</w:t>
      </w:r>
    </w:p>
    <w:p>
      <w:pPr>
        <w:pStyle w:val="133"/>
        <w:spacing w:before="0"/>
        <w:ind w:firstLine="643"/>
        <w:rPr>
          <w:rFonts w:ascii="宋体" w:hAnsi="宋体" w:cs="宋体"/>
          <w:b/>
          <w:color w:val="auto"/>
          <w:sz w:val="32"/>
        </w:rPr>
      </w:pPr>
    </w:p>
    <w:p>
      <w:pPr>
        <w:pStyle w:val="133"/>
        <w:spacing w:before="0"/>
        <w:ind w:firstLine="0" w:firstLineChars="0"/>
        <w:jc w:val="center"/>
        <w:rPr>
          <w:rFonts w:ascii="宋体" w:hAnsi="宋体" w:cs="宋体"/>
          <w:b/>
          <w:color w:val="auto"/>
          <w:sz w:val="32"/>
        </w:rPr>
      </w:pPr>
      <w:r>
        <w:rPr>
          <w:rFonts w:hint="eastAsia" w:ascii="宋体" w:hAnsi="宋体" w:cs="宋体"/>
          <w:b/>
          <w:color w:val="auto"/>
          <w:sz w:val="32"/>
        </w:rPr>
        <w:t>四、交易、资格审查</w:t>
      </w:r>
    </w:p>
    <w:p>
      <w:pPr>
        <w:pStyle w:val="557"/>
        <w:spacing w:before="0" w:line="360" w:lineRule="auto"/>
        <w:ind w:left="0" w:firstLine="0"/>
        <w:contextualSpacing/>
        <w:rPr>
          <w:rFonts w:ascii="宋体" w:hAnsi="宋体" w:cs="宋体"/>
          <w:b/>
          <w:color w:val="auto"/>
          <w:kern w:val="2"/>
          <w:sz w:val="24"/>
          <w:szCs w:val="24"/>
        </w:rPr>
      </w:pPr>
      <w:r>
        <w:rPr>
          <w:rFonts w:hint="eastAsia" w:ascii="宋体" w:hAnsi="宋体" w:cs="宋体"/>
          <w:b/>
          <w:color w:val="auto"/>
          <w:kern w:val="2"/>
          <w:sz w:val="24"/>
          <w:szCs w:val="24"/>
        </w:rPr>
        <w:t xml:space="preserve">17.交易 </w:t>
      </w:r>
    </w:p>
    <w:p>
      <w:pPr>
        <w:pStyle w:val="557"/>
        <w:spacing w:before="0" w:line="360" w:lineRule="auto"/>
        <w:ind w:left="0" w:firstLine="420" w:firstLineChars="175"/>
        <w:contextualSpacing/>
        <w:rPr>
          <w:rFonts w:ascii="宋体" w:hAnsi="宋体" w:cs="宋体"/>
          <w:color w:val="auto"/>
          <w:sz w:val="24"/>
        </w:rPr>
      </w:pPr>
      <w:r>
        <w:rPr>
          <w:rFonts w:hint="eastAsia" w:ascii="宋体" w:hAnsi="宋体" w:cs="宋体"/>
          <w:color w:val="auto"/>
          <w:sz w:val="24"/>
        </w:rPr>
        <w:t>17.1采购机构按照交易文件规定的时间通过电子交易平台组织开标，所有供应商均应当准时在线参加。供应商不足3家的，不得开标。</w:t>
      </w:r>
    </w:p>
    <w:p>
      <w:pPr>
        <w:pStyle w:val="557"/>
        <w:spacing w:before="0" w:line="360" w:lineRule="auto"/>
        <w:ind w:left="0" w:firstLine="420" w:firstLineChars="175"/>
        <w:contextualSpacing/>
        <w:rPr>
          <w:rFonts w:ascii="宋体" w:hAnsi="宋体" w:cs="宋体"/>
          <w:color w:val="auto"/>
          <w:sz w:val="24"/>
        </w:rPr>
      </w:pPr>
      <w:r>
        <w:rPr>
          <w:rFonts w:hint="eastAsia" w:ascii="宋体" w:hAnsi="宋体" w:cs="宋体"/>
          <w:color w:val="auto"/>
          <w:sz w:val="24"/>
        </w:rPr>
        <w:t>17.2交易时，电子交易平台按交易时间自动提取所有响应文件。采购机构依托电子交易平台发起开始解密指令，供应商按照平台提示和交易文件的规定在半小时内完成在线解密。</w:t>
      </w:r>
    </w:p>
    <w:p>
      <w:pPr>
        <w:pStyle w:val="557"/>
        <w:spacing w:before="0" w:line="360" w:lineRule="auto"/>
        <w:ind w:left="0" w:firstLine="420" w:firstLineChars="175"/>
        <w:contextualSpacing/>
        <w:rPr>
          <w:rFonts w:ascii="宋体" w:hAnsi="宋体" w:cs="宋体"/>
          <w:b/>
          <w:color w:val="auto"/>
          <w:sz w:val="24"/>
        </w:rPr>
      </w:pPr>
      <w:r>
        <w:rPr>
          <w:rFonts w:hint="eastAsia" w:ascii="宋体" w:hAnsi="宋体" w:cs="宋体"/>
          <w:color w:val="auto"/>
          <w:sz w:val="24"/>
        </w:rPr>
        <w:t>17.3</w:t>
      </w:r>
      <w:r>
        <w:rPr>
          <w:rFonts w:hint="eastAsia" w:ascii="宋体" w:hAnsi="宋体" w:cs="宋体"/>
          <w:b/>
          <w:color w:val="auto"/>
          <w:sz w:val="24"/>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18、资格审查</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18.1交易后，交易人或采购机构将依法对供应商的资格进行审查。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18.2</w:t>
      </w:r>
      <w:r>
        <w:rPr>
          <w:rFonts w:hint="eastAsia" w:ascii="宋体" w:hAnsi="宋体" w:cs="宋体"/>
          <w:color w:val="auto"/>
          <w:sz w:val="24"/>
        </w:rPr>
        <w:t>交易人或采购机构依据法律法规和交易文件的规定，对供应商的基本资格条件、特定资格条件进行审查。</w:t>
      </w:r>
    </w:p>
    <w:p>
      <w:pPr>
        <w:pStyle w:val="133"/>
        <w:spacing w:before="0"/>
        <w:ind w:firstLine="480"/>
        <w:rPr>
          <w:rFonts w:ascii="宋体" w:hAnsi="宋体" w:cs="宋体"/>
          <w:color w:val="auto"/>
        </w:rPr>
      </w:pPr>
      <w:r>
        <w:rPr>
          <w:rFonts w:hint="eastAsia" w:ascii="宋体" w:hAnsi="宋体" w:cs="宋体"/>
          <w:color w:val="auto"/>
          <w:kern w:val="0"/>
          <w:szCs w:val="24"/>
        </w:rPr>
        <w:t>18.3供应商未按照交易文件要求提供与</w:t>
      </w:r>
      <w:r>
        <w:rPr>
          <w:rFonts w:hint="eastAsia" w:ascii="宋体" w:hAnsi="宋体" w:cs="宋体"/>
          <w:color w:val="auto"/>
        </w:rPr>
        <w:t>基本资格条件、特定资格条件相应的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供应商不具备交易文件中规定的资格要求，其交易无效。</w:t>
      </w:r>
    </w:p>
    <w:p>
      <w:pPr>
        <w:pStyle w:val="133"/>
        <w:spacing w:before="0"/>
        <w:ind w:firstLine="480"/>
        <w:rPr>
          <w:rFonts w:ascii="宋体" w:hAnsi="宋体" w:cs="宋体"/>
          <w:color w:val="auto"/>
        </w:rPr>
      </w:pPr>
      <w:r>
        <w:rPr>
          <w:rFonts w:hint="eastAsia" w:ascii="宋体" w:hAnsi="宋体" w:cs="宋体"/>
          <w:color w:val="auto"/>
          <w:kern w:val="0"/>
          <w:szCs w:val="24"/>
        </w:rPr>
        <w:t>18.</w:t>
      </w:r>
      <w:r>
        <w:rPr>
          <w:rFonts w:hint="eastAsia" w:ascii="宋体" w:hAnsi="宋体" w:cs="宋体"/>
          <w:color w:val="auto"/>
        </w:rPr>
        <w:t>4对未通过资格审查的供应商，交易人或采购机构告知其未通过的原因。</w:t>
      </w:r>
    </w:p>
    <w:p>
      <w:pPr>
        <w:pStyle w:val="133"/>
        <w:spacing w:before="0"/>
        <w:ind w:firstLine="480"/>
        <w:rPr>
          <w:rFonts w:ascii="宋体" w:hAnsi="宋体" w:cs="宋体"/>
          <w:color w:val="auto"/>
        </w:rPr>
      </w:pPr>
      <w:r>
        <w:rPr>
          <w:rFonts w:hint="eastAsia" w:ascii="宋体" w:hAnsi="宋体" w:cs="宋体"/>
          <w:color w:val="auto"/>
          <w:kern w:val="0"/>
          <w:szCs w:val="24"/>
        </w:rPr>
        <w:t>18.</w:t>
      </w:r>
      <w:r>
        <w:rPr>
          <w:rFonts w:hint="eastAsia" w:ascii="宋体" w:hAnsi="宋体" w:cs="宋体"/>
          <w:color w:val="auto"/>
        </w:rPr>
        <w:t>5合格供应商不足3家的，不再评标。</w:t>
      </w:r>
    </w:p>
    <w:p>
      <w:pPr>
        <w:pStyle w:val="133"/>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五、评审</w:t>
      </w:r>
    </w:p>
    <w:p>
      <w:pPr>
        <w:spacing w:line="360" w:lineRule="auto"/>
        <w:rPr>
          <w:rFonts w:ascii="宋体" w:hAnsi="宋体" w:cs="宋体"/>
          <w:color w:val="auto"/>
          <w:sz w:val="24"/>
        </w:rPr>
      </w:pPr>
      <w:bookmarkStart w:id="14" w:name="_Toc91899903"/>
      <w:r>
        <w:rPr>
          <w:rFonts w:hint="eastAsia" w:ascii="宋体" w:hAnsi="宋体" w:cs="宋体"/>
          <w:b/>
          <w:color w:val="auto"/>
          <w:sz w:val="24"/>
        </w:rPr>
        <w:t>19.</w:t>
      </w:r>
      <w:r>
        <w:rPr>
          <w:rFonts w:hint="eastAsia" w:ascii="宋体" w:hAnsi="宋体" w:cs="宋体"/>
          <w:color w:val="auto"/>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pPr>
        <w:spacing w:line="360" w:lineRule="auto"/>
        <w:rPr>
          <w:rFonts w:ascii="宋体" w:hAnsi="宋体" w:cs="宋体"/>
          <w:b/>
          <w:color w:val="auto"/>
          <w:sz w:val="24"/>
        </w:rPr>
      </w:pPr>
      <w:r>
        <w:rPr>
          <w:rFonts w:hint="eastAsia" w:ascii="宋体" w:hAnsi="宋体" w:cs="宋体"/>
          <w:b/>
          <w:color w:val="auto"/>
          <w:sz w:val="24"/>
        </w:rPr>
        <w:t>详见交易文件第四部分交易办法。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六、定标</w:t>
      </w:r>
    </w:p>
    <w:p>
      <w:pPr>
        <w:pStyle w:val="25"/>
        <w:spacing w:line="360" w:lineRule="auto"/>
        <w:ind w:left="479" w:hanging="479" w:hangingChars="199"/>
        <w:rPr>
          <w:rFonts w:cs="宋体"/>
          <w:b/>
          <w:color w:val="auto"/>
        </w:rPr>
      </w:pPr>
      <w:r>
        <w:rPr>
          <w:rFonts w:hint="eastAsia" w:cs="宋体"/>
          <w:b/>
          <w:color w:val="auto"/>
        </w:rPr>
        <w:t>20.确定成交供应商</w:t>
      </w:r>
    </w:p>
    <w:p>
      <w:pPr>
        <w:pStyle w:val="133"/>
        <w:snapToGrid w:val="0"/>
        <w:spacing w:before="0"/>
        <w:ind w:firstLine="480"/>
        <w:rPr>
          <w:rFonts w:ascii="宋体" w:hAnsi="宋体" w:cs="宋体"/>
          <w:b/>
          <w:color w:val="auto"/>
          <w:szCs w:val="24"/>
        </w:rPr>
      </w:pPr>
      <w:r>
        <w:rPr>
          <w:rFonts w:hint="eastAsia" w:ascii="宋体" w:hAnsi="宋体" w:cs="宋体"/>
          <w:color w:val="auto"/>
          <w:szCs w:val="24"/>
        </w:rPr>
        <w:t>交易人将自收到评审报告之日起5个工作日内通过电子交易平台在评审报告推荐的成交候选人中按顺序确定成交供应商。</w:t>
      </w:r>
    </w:p>
    <w:p>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21.成交通知与成交结果公告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21.1自成交人确定之日起3天内，采购机构通过电子交易平台向成交人发出成交通知书，同时编制发布采购结果公告。采购机构也可以以纸质形式进行成交通知。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21.2成交结果公告内容包括交易人及其委托的采购机构的名称、地址、联系方式，项目名称和交易编号，成交人名称、地址和成交金额。</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22.</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23.合同的签订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23.1</w:t>
      </w:r>
      <w:r>
        <w:rPr>
          <w:rFonts w:hint="eastAsia" w:ascii="宋体" w:hAnsi="宋体" w:cs="宋体"/>
          <w:color w:val="auto"/>
          <w:kern w:val="0"/>
          <w:sz w:val="24"/>
        </w:rPr>
        <w:t xml:space="preserve"> 交易人与成交人应当通过电子交易平台在成交通知书发出之日起三十日内，按照交易文件确定的事项签订采购合同。</w:t>
      </w:r>
    </w:p>
    <w:p>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.2成交人按规定的日期、时间、地点，由法定代表人或其授权代表与交易人代表签订合同。如成交人为联合体的，由联合体成员各方法定代表人或其授权代表与交易人代表签订合同。</w:t>
      </w:r>
    </w:p>
    <w:p>
      <w:pPr>
        <w:pStyle w:val="133"/>
        <w:snapToGrid w:val="0"/>
        <w:spacing w:before="0"/>
        <w:ind w:firstLine="480"/>
        <w:rPr>
          <w:rFonts w:ascii="宋体" w:hAnsi="宋体" w:cs="宋体"/>
          <w:color w:val="auto"/>
        </w:rPr>
      </w:pPr>
      <w:r>
        <w:rPr>
          <w:rFonts w:hint="eastAsia" w:ascii="宋体" w:hAnsi="宋体" w:cs="宋体"/>
          <w:color w:val="auto"/>
        </w:rPr>
        <w:t>23.3如签订合同并生效后，供应商无故拒绝或延期，除按照合同条款处理外，列入不良行为记录一次，并给予通报。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rPr>
      </w:pPr>
      <w:r>
        <w:rPr>
          <w:rFonts w:hint="eastAsia" w:ascii="宋体" w:hAnsi="宋体" w:cs="宋体"/>
          <w:color w:val="auto"/>
        </w:rPr>
        <w:t>23.4成交供应商拒绝与交易人签订合同的，交易人可以按照评审报告推荐的</w:t>
      </w:r>
      <w:r>
        <w:rPr>
          <w:rFonts w:hint="eastAsia" w:ascii="宋体" w:hAnsi="宋体" w:cs="宋体"/>
          <w:color w:val="auto"/>
          <w:kern w:val="0"/>
        </w:rPr>
        <w:t>成交</w:t>
      </w:r>
      <w:r>
        <w:rPr>
          <w:rFonts w:hint="eastAsia" w:ascii="宋体" w:hAnsi="宋体" w:cs="宋体"/>
          <w:color w:val="auto"/>
        </w:rPr>
        <w:t>或者成交候选人名单排序，确定下一候选人为成交供应商，也可以重新开展采购活动。</w:t>
      </w:r>
    </w:p>
    <w:p>
      <w:pPr>
        <w:pStyle w:val="133"/>
        <w:snapToGrid w:val="0"/>
        <w:spacing w:before="0" w:after="120"/>
        <w:ind w:firstLine="480"/>
        <w:rPr>
          <w:rFonts w:ascii="宋体" w:hAnsi="宋体" w:cs="宋体"/>
          <w:color w:val="auto"/>
        </w:rPr>
      </w:pPr>
      <w:r>
        <w:rPr>
          <w:rFonts w:hint="eastAsia" w:ascii="宋体" w:hAnsi="宋体" w:cs="宋体"/>
          <w:color w:val="auto"/>
        </w:rPr>
        <w:t>23.5采购合同由交易人与成交供应商根据交易文件、响应文件等内容通过政府采购电子交易平台在线签订，自动备案。</w:t>
      </w:r>
    </w:p>
    <w:p>
      <w:pPr>
        <w:pStyle w:val="25"/>
        <w:spacing w:line="360" w:lineRule="auto"/>
        <w:ind w:left="479" w:hanging="479" w:hangingChars="199"/>
        <w:rPr>
          <w:rFonts w:cs="宋体"/>
          <w:b/>
          <w:color w:val="auto"/>
        </w:rPr>
      </w:pPr>
      <w:r>
        <w:rPr>
          <w:rFonts w:hint="eastAsia" w:cs="宋体"/>
          <w:b/>
          <w:color w:val="auto"/>
        </w:rPr>
        <w:t>24.履约保证金</w:t>
      </w:r>
    </w:p>
    <w:p>
      <w:pPr>
        <w:tabs>
          <w:tab w:val="left" w:pos="0"/>
        </w:tabs>
        <w:spacing w:line="360" w:lineRule="auto"/>
        <w:ind w:firstLine="482"/>
        <w:rPr>
          <w:rFonts w:ascii="宋体" w:hAnsi="宋体" w:cs="宋体"/>
          <w:b/>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。履约保证金的数额不得超过采购合同金额的2%。鼓励和支持供应商以银行、保险公司出具的保函形式提供履约保证金。</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3"/>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color w:val="auto"/>
          <w:szCs w:val="24"/>
        </w:rPr>
        <w:t>5.电子交易活动的中止。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宋体" w:hAnsi="宋体" w:cs="宋体"/>
          <w:color w:val="auto"/>
        </w:rPr>
      </w:pPr>
      <w:r>
        <w:rPr>
          <w:rFonts w:hint="eastAsia" w:ascii="宋体" w:hAnsi="宋体" w:cs="宋体"/>
          <w:color w:val="auto"/>
        </w:rPr>
        <w:t xml:space="preserve">25.1电子交易平台发生故障而无法登录访问的； </w:t>
      </w:r>
    </w:p>
    <w:p>
      <w:pPr>
        <w:pStyle w:val="133"/>
        <w:snapToGrid w:val="0"/>
        <w:spacing w:before="0"/>
        <w:ind w:firstLine="480"/>
        <w:rPr>
          <w:rFonts w:ascii="宋体" w:hAnsi="宋体" w:cs="宋体"/>
          <w:color w:val="auto"/>
        </w:rPr>
      </w:pPr>
      <w:r>
        <w:rPr>
          <w:rFonts w:hint="eastAsia" w:ascii="宋体" w:hAnsi="宋体" w:cs="宋体"/>
          <w:color w:val="auto"/>
        </w:rPr>
        <w:t>25.2电子交易平台应用或数据库出现错误，不能进行正常操作的；</w:t>
      </w:r>
    </w:p>
    <w:p>
      <w:pPr>
        <w:pStyle w:val="133"/>
        <w:snapToGrid w:val="0"/>
        <w:spacing w:before="0"/>
        <w:ind w:firstLine="480"/>
        <w:rPr>
          <w:rFonts w:ascii="宋体" w:hAnsi="宋体" w:cs="宋体"/>
          <w:color w:val="auto"/>
        </w:rPr>
      </w:pPr>
      <w:r>
        <w:rPr>
          <w:rFonts w:hint="eastAsia" w:ascii="宋体" w:hAnsi="宋体" w:cs="宋体"/>
          <w:color w:val="auto"/>
        </w:rPr>
        <w:t>25.3电子交易平台发现严重安全漏洞，有潜在泄密危险的；</w:t>
      </w:r>
    </w:p>
    <w:p>
      <w:pPr>
        <w:pStyle w:val="133"/>
        <w:snapToGrid w:val="0"/>
        <w:spacing w:before="0"/>
        <w:ind w:firstLine="480"/>
        <w:rPr>
          <w:rFonts w:ascii="宋体" w:hAnsi="宋体" w:cs="宋体"/>
          <w:color w:val="auto"/>
        </w:rPr>
      </w:pPr>
      <w:r>
        <w:rPr>
          <w:rFonts w:hint="eastAsia" w:ascii="宋体" w:hAnsi="宋体" w:cs="宋体"/>
          <w:color w:val="auto"/>
        </w:rPr>
        <w:t xml:space="preserve">25.4病毒发作导致不能进行正常操作的； </w:t>
      </w:r>
    </w:p>
    <w:p>
      <w:pPr>
        <w:pStyle w:val="133"/>
        <w:snapToGrid w:val="0"/>
        <w:spacing w:before="0"/>
        <w:ind w:firstLine="480"/>
        <w:rPr>
          <w:rFonts w:ascii="宋体" w:hAnsi="宋体" w:cs="宋体"/>
          <w:color w:val="auto"/>
        </w:rPr>
      </w:pPr>
      <w:r>
        <w:rPr>
          <w:rFonts w:hint="eastAsia" w:ascii="宋体" w:hAnsi="宋体" w:cs="宋体"/>
          <w:color w:val="auto"/>
        </w:rPr>
        <w:t>25.5其他无法保证电子交易的公平、公正和安全的情况。</w:t>
      </w:r>
    </w:p>
    <w:p>
      <w:pPr>
        <w:pStyle w:val="133"/>
        <w:snapToGrid w:val="0"/>
        <w:spacing w:before="0"/>
        <w:ind w:firstLine="0" w:firstLineChars="0"/>
        <w:rPr>
          <w:rFonts w:ascii="宋体" w:hAnsi="宋体" w:cs="宋体"/>
          <w:color w:val="auto"/>
        </w:rPr>
      </w:pPr>
      <w:r>
        <w:rPr>
          <w:rFonts w:hint="eastAsia" w:ascii="宋体" w:hAnsi="宋体" w:cs="宋体"/>
          <w:b/>
          <w:bCs/>
          <w:color w:val="auto"/>
        </w:rPr>
        <w:t>26.</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eastAsia" w:cs="宋体"/>
          <w:b/>
          <w:color w:val="auto"/>
        </w:rPr>
        <w:t>27.验收</w:t>
      </w:r>
    </w:p>
    <w:p>
      <w:pPr>
        <w:tabs>
          <w:tab w:val="left" w:pos="0"/>
        </w:tabs>
        <w:spacing w:line="360" w:lineRule="auto"/>
        <w:ind w:firstLine="480"/>
        <w:jc w:val="left"/>
        <w:rPr>
          <w:rFonts w:ascii="宋体" w:hAnsi="宋体" w:cs="宋体"/>
          <w:color w:val="auto"/>
          <w:kern w:val="0"/>
          <w:sz w:val="24"/>
        </w:rPr>
      </w:pPr>
      <w:r>
        <w:rPr>
          <w:rFonts w:hint="eastAsia" w:ascii="宋体" w:hAnsi="宋体" w:cs="宋体"/>
          <w:color w:val="auto"/>
          <w:kern w:val="0"/>
          <w:sz w:val="24"/>
        </w:rPr>
        <w:t>27.1交易人应当组织对供应商履约的验收。</w:t>
      </w:r>
    </w:p>
    <w:bookmarkEnd w:id="12"/>
    <w:bookmarkEnd w:id="13"/>
    <w:bookmarkEnd w:id="14"/>
    <w:p>
      <w:pPr>
        <w:rPr>
          <w:rFonts w:ascii="宋体" w:hAnsi="宋体" w:cs="宋体"/>
          <w:b/>
          <w:color w:val="auto"/>
          <w:sz w:val="36"/>
          <w:szCs w:val="36"/>
        </w:rPr>
      </w:pPr>
      <w:bookmarkStart w:id="15" w:name="第四部分"/>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交易需求</w:t>
      </w:r>
    </w:p>
    <w:p>
      <w:pPr>
        <w:snapToGrid w:val="0"/>
        <w:spacing w:line="360" w:lineRule="auto"/>
        <w:jc w:val="center"/>
        <w:rPr>
          <w:rFonts w:ascii="宋体" w:hAnsi="宋体" w:cs="宋体"/>
          <w:color w:val="auto"/>
          <w:sz w:val="24"/>
        </w:rPr>
      </w:pPr>
      <w:r>
        <w:rPr>
          <w:rFonts w:hint="eastAsia" w:ascii="宋体" w:hAnsi="宋体" w:cs="宋体"/>
          <w:color w:val="auto"/>
          <w:sz w:val="24"/>
        </w:rPr>
        <w:t>属于实质性要求条款的，请用符号“▲”标明，否则属于非实质性要求。</w:t>
      </w:r>
    </w:p>
    <w:p>
      <w:pPr>
        <w:numPr>
          <w:ilvl w:val="0"/>
          <w:numId w:val="2"/>
        </w:numPr>
        <w:spacing w:line="360" w:lineRule="auto"/>
        <w:jc w:val="center"/>
        <w:rPr>
          <w:rFonts w:ascii="宋体" w:hAnsi="宋体" w:cs="宋体"/>
          <w:b/>
          <w:color w:val="auto"/>
          <w:sz w:val="28"/>
          <w:szCs w:val="28"/>
        </w:rPr>
      </w:pPr>
      <w:r>
        <w:rPr>
          <w:rFonts w:hint="eastAsia" w:ascii="宋体" w:hAnsi="宋体" w:cs="宋体"/>
          <w:b/>
          <w:color w:val="auto"/>
          <w:sz w:val="28"/>
          <w:szCs w:val="28"/>
        </w:rPr>
        <w:t>交易一览表</w:t>
      </w:r>
    </w:p>
    <w:p>
      <w:pPr>
        <w:spacing w:after="120"/>
        <w:ind w:firstLine="480" w:firstLineChars="200"/>
        <w:rPr>
          <w:rFonts w:ascii="宋体" w:hAnsi="宋体" w:cs="宋体"/>
          <w:color w:val="auto"/>
        </w:rPr>
      </w:pPr>
      <w:r>
        <w:rPr>
          <w:rFonts w:hint="eastAsia" w:ascii="宋体" w:hAnsi="宋体" w:cs="宋体"/>
          <w:color w:val="auto"/>
          <w:sz w:val="24"/>
        </w:rPr>
        <w:t>标项：1</w:t>
      </w:r>
    </w:p>
    <w:tbl>
      <w:tblPr>
        <w:tblStyle w:val="62"/>
        <w:tblW w:w="9027" w:type="dxa"/>
        <w:jc w:val="center"/>
        <w:tblLayout w:type="fixed"/>
        <w:tblCellMar>
          <w:top w:w="0" w:type="dxa"/>
          <w:left w:w="0" w:type="dxa"/>
          <w:bottom w:w="0" w:type="dxa"/>
          <w:right w:w="0" w:type="dxa"/>
        </w:tblCellMar>
      </w:tblPr>
      <w:tblGrid>
        <w:gridCol w:w="624"/>
        <w:gridCol w:w="4522"/>
        <w:gridCol w:w="1690"/>
        <w:gridCol w:w="773"/>
        <w:gridCol w:w="773"/>
        <w:gridCol w:w="645"/>
      </w:tblGrid>
      <w:tr>
        <w:tblPrEx>
          <w:tblCellMar>
            <w:top w:w="0" w:type="dxa"/>
            <w:left w:w="0" w:type="dxa"/>
            <w:bottom w:w="0" w:type="dxa"/>
            <w:right w:w="0" w:type="dxa"/>
          </w:tblCellMar>
        </w:tblPrEx>
        <w:trPr>
          <w:cantSplit/>
          <w:trHeight w:val="643"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序号</w:t>
            </w:r>
          </w:p>
        </w:tc>
        <w:tc>
          <w:tcPr>
            <w:tcW w:w="45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名称</w:t>
            </w:r>
          </w:p>
        </w:tc>
        <w:tc>
          <w:tcPr>
            <w:tcW w:w="16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数量</w:t>
            </w:r>
          </w:p>
        </w:tc>
        <w:tc>
          <w:tcPr>
            <w:tcW w:w="6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备注</w:t>
            </w:r>
          </w:p>
        </w:tc>
      </w:tr>
      <w:tr>
        <w:tblPrEx>
          <w:tblCellMar>
            <w:top w:w="0" w:type="dxa"/>
            <w:left w:w="0" w:type="dxa"/>
            <w:bottom w:w="0" w:type="dxa"/>
            <w:right w:w="0" w:type="dxa"/>
          </w:tblCellMar>
        </w:tblPrEx>
        <w:trPr>
          <w:cantSplit/>
          <w:trHeight w:val="1117"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1</w:t>
            </w:r>
          </w:p>
        </w:tc>
        <w:tc>
          <w:tcPr>
            <w:tcW w:w="45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萧山区碳中和产业发展探索课题研究项目</w:t>
            </w:r>
          </w:p>
        </w:tc>
        <w:tc>
          <w:tcPr>
            <w:tcW w:w="16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1</w:t>
            </w:r>
          </w:p>
        </w:tc>
        <w:tc>
          <w:tcPr>
            <w:tcW w:w="645"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rPr>
            </w:pPr>
          </w:p>
        </w:tc>
      </w:tr>
    </w:tbl>
    <w:p>
      <w:pPr>
        <w:spacing w:line="360" w:lineRule="auto"/>
        <w:rPr>
          <w:rFonts w:ascii="宋体" w:hAnsi="宋体" w:cs="宋体"/>
          <w:b/>
          <w:color w:val="auto"/>
          <w:sz w:val="24"/>
        </w:rPr>
      </w:pPr>
    </w:p>
    <w:p>
      <w:pPr>
        <w:spacing w:line="360" w:lineRule="auto"/>
        <w:jc w:val="center"/>
        <w:rPr>
          <w:rFonts w:ascii="宋体" w:hAnsi="宋体" w:cs="宋体"/>
          <w:color w:val="auto"/>
          <w:sz w:val="24"/>
        </w:rPr>
      </w:pPr>
      <w:r>
        <w:rPr>
          <w:rFonts w:hint="eastAsia" w:ascii="宋体" w:hAnsi="宋体" w:cs="宋体"/>
          <w:b/>
          <w:color w:val="auto"/>
          <w:sz w:val="28"/>
          <w:szCs w:val="28"/>
        </w:rPr>
        <w:t>二、交易需求</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一、</w:t>
      </w:r>
      <w:r>
        <w:rPr>
          <w:rFonts w:hint="eastAsia" w:ascii="宋体" w:hAnsi="宋体" w:cs="宋体"/>
          <w:b/>
          <w:bCs/>
          <w:color w:val="auto"/>
          <w:sz w:val="24"/>
        </w:rPr>
        <w:t>项目研究背景</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中国作为最大的发展中国家和新兴经济体，二氧化碳排放量位居世界第一。2020年我国正式提出“二氧化碳排放力争于2030年前达到峰值，努力争取2060年前实现碳中和”目标，实施更为严格的减排政策，这对我国的产业结构调整和转型升级，以及我国的产业竞争力提出了新的挑战。随着萧山区“发力新制造中心建设，加快构建现代化产业体系”目标的提出，以新制造为主体的实体经济将作为萧山区经济发展着力点。本课题将立足萧山区未来产业发展实际，注重新制造的</w:t>
      </w:r>
      <w:r>
        <w:rPr>
          <w:rFonts w:ascii="Arial" w:hAnsi="Arial" w:cs="Arial"/>
          <w:color w:val="auto"/>
          <w:spacing w:val="9"/>
          <w:shd w:val="clear" w:color="auto" w:fill="FFFFFF"/>
        </w:rPr>
        <w:t>产业变革，</w:t>
      </w:r>
      <w:r>
        <w:rPr>
          <w:rFonts w:hint="eastAsia" w:ascii="宋体" w:hAnsi="宋体" w:cs="宋体"/>
          <w:color w:val="auto"/>
          <w:sz w:val="24"/>
        </w:rPr>
        <w:t>不再依赖传统产业发展走过的老路，充分挖掘碳中和产业的发展潜力，为产业碳中和打造发展基础。</w:t>
      </w:r>
    </w:p>
    <w:p>
      <w:pPr>
        <w:pStyle w:val="133"/>
        <w:spacing w:before="0"/>
        <w:ind w:firstLine="482"/>
        <w:rPr>
          <w:rFonts w:ascii="宋体" w:hAnsi="宋体" w:cs="宋体"/>
          <w:b/>
          <w:bCs/>
          <w:color w:val="auto"/>
          <w:szCs w:val="24"/>
        </w:rPr>
      </w:pPr>
      <w:r>
        <w:rPr>
          <w:rFonts w:hint="eastAsia" w:ascii="宋体" w:hAnsi="宋体" w:cs="宋体"/>
          <w:b/>
          <w:bCs/>
          <w:color w:val="auto"/>
          <w:szCs w:val="24"/>
        </w:rPr>
        <w:t>二、项目任务技术要求</w:t>
      </w:r>
    </w:p>
    <w:p>
      <w:pPr>
        <w:pStyle w:val="133"/>
        <w:spacing w:before="0"/>
        <w:ind w:firstLine="482"/>
        <w:rPr>
          <w:rFonts w:ascii="宋体" w:hAnsi="宋体" w:cs="宋体"/>
          <w:b/>
          <w:bCs/>
          <w:color w:val="auto"/>
          <w:szCs w:val="24"/>
        </w:rPr>
      </w:pPr>
      <w:r>
        <w:rPr>
          <w:rFonts w:hint="eastAsia" w:ascii="宋体" w:hAnsi="宋体" w:cs="宋体"/>
          <w:b/>
          <w:bCs/>
          <w:color w:val="auto"/>
          <w:szCs w:val="24"/>
        </w:rPr>
        <w:t>1.项目概况</w:t>
      </w:r>
    </w:p>
    <w:p>
      <w:pPr>
        <w:pStyle w:val="133"/>
        <w:spacing w:before="0"/>
        <w:ind w:firstLine="480"/>
        <w:rPr>
          <w:rFonts w:ascii="宋体" w:hAnsi="宋体" w:cs="宋体"/>
          <w:color w:val="auto"/>
          <w:szCs w:val="24"/>
        </w:rPr>
      </w:pPr>
      <w:r>
        <w:rPr>
          <w:rFonts w:hint="eastAsia" w:ascii="宋体" w:hAnsi="宋体" w:cs="宋体"/>
          <w:color w:val="auto"/>
          <w:szCs w:val="24"/>
        </w:rPr>
        <w:t>《</w:t>
      </w:r>
      <w:r>
        <w:rPr>
          <w:rFonts w:hint="eastAsia" w:ascii="宋体" w:hAnsi="宋体" w:cs="宋体"/>
          <w:bCs/>
          <w:color w:val="auto"/>
          <w:szCs w:val="24"/>
        </w:rPr>
        <w:t>萧山区碳中和产业发展探索课题研究</w:t>
      </w:r>
      <w:r>
        <w:rPr>
          <w:rFonts w:hint="eastAsia" w:ascii="宋体" w:hAnsi="宋体" w:cs="宋体"/>
          <w:color w:val="auto"/>
          <w:szCs w:val="24"/>
        </w:rPr>
        <w:t>》。</w:t>
      </w:r>
    </w:p>
    <w:p>
      <w:pPr>
        <w:pStyle w:val="133"/>
        <w:spacing w:before="0"/>
        <w:ind w:firstLine="482"/>
        <w:rPr>
          <w:rFonts w:ascii="宋体" w:hAnsi="宋体" w:cs="宋体"/>
          <w:b/>
          <w:bCs/>
          <w:color w:val="auto"/>
          <w:szCs w:val="24"/>
        </w:rPr>
      </w:pPr>
      <w:r>
        <w:rPr>
          <w:rFonts w:hint="eastAsia" w:ascii="宋体" w:hAnsi="宋体" w:cs="宋体"/>
          <w:b/>
          <w:bCs/>
          <w:color w:val="auto"/>
          <w:szCs w:val="24"/>
        </w:rPr>
        <w:t>2.项目目标</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基于萧山区产业发展现状，精准分析萧山区现有碳中和产业的发展潜力，提出切实可行的发展路径和对策举措，有效助力提升碳中和产业融合，建设碳中和产业发展</w:t>
      </w:r>
      <w:r>
        <w:rPr>
          <w:rFonts w:ascii="宋体" w:hAnsi="宋体" w:cs="宋体"/>
          <w:color w:val="auto"/>
          <w:sz w:val="24"/>
        </w:rPr>
        <w:t>。</w:t>
      </w:r>
    </w:p>
    <w:p>
      <w:pPr>
        <w:pStyle w:val="133"/>
        <w:snapToGrid w:val="0"/>
        <w:spacing w:before="0"/>
        <w:ind w:firstLine="482"/>
        <w:rPr>
          <w:rFonts w:ascii="宋体" w:hAnsi="宋体" w:cs="宋体"/>
          <w:b/>
          <w:color w:val="auto"/>
          <w:szCs w:val="24"/>
        </w:rPr>
      </w:pPr>
      <w:r>
        <w:rPr>
          <w:rFonts w:hint="eastAsia" w:ascii="宋体" w:hAnsi="宋体" w:cs="宋体"/>
          <w:b/>
          <w:color w:val="auto"/>
          <w:szCs w:val="24"/>
        </w:rPr>
        <w:t>3.项目编制内容及要求</w:t>
      </w:r>
    </w:p>
    <w:p>
      <w:pPr>
        <w:shd w:val="clear" w:color="auto" w:fill="FFFFFF"/>
        <w:spacing w:line="360" w:lineRule="auto"/>
        <w:ind w:firstLine="482" w:firstLineChars="200"/>
        <w:rPr>
          <w:rFonts w:ascii="宋体" w:hAnsi="宋体" w:cs="宋体"/>
          <w:b/>
          <w:bCs/>
          <w:color w:val="auto"/>
          <w:sz w:val="24"/>
        </w:rPr>
      </w:pPr>
      <w:r>
        <w:rPr>
          <w:rFonts w:hint="eastAsia" w:ascii="宋体" w:hAnsi="宋体" w:cs="宋体"/>
          <w:b/>
          <w:color w:val="auto"/>
          <w:sz w:val="24"/>
        </w:rPr>
        <w:t>专项课题</w:t>
      </w:r>
      <w:r>
        <w:rPr>
          <w:rFonts w:hint="eastAsia" w:ascii="宋体" w:hAnsi="宋体" w:cs="宋体"/>
          <w:b/>
          <w:bCs/>
          <w:color w:val="auto"/>
          <w:sz w:val="24"/>
        </w:rPr>
        <w:t>：萧山区碳中和产业发展探索课题研究</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研究重点：参照国际国内碳中和产业发展方式，结合萧山区现有产业发展模式，以区内碳中和产业发展目标基础，积极探索区内碳中和产业发展的主要路径和前景，为萧山区数智建设提供低碳发展推动力。</w:t>
      </w:r>
    </w:p>
    <w:p>
      <w:pPr>
        <w:pStyle w:val="133"/>
        <w:snapToGrid w:val="0"/>
        <w:spacing w:before="0"/>
        <w:ind w:firstLine="482"/>
        <w:rPr>
          <w:rFonts w:ascii="宋体" w:hAnsi="宋体" w:cs="宋体"/>
          <w:b/>
          <w:color w:val="auto"/>
          <w:szCs w:val="24"/>
        </w:rPr>
      </w:pPr>
      <w:r>
        <w:rPr>
          <w:rFonts w:hint="eastAsia" w:ascii="宋体" w:hAnsi="宋体" w:cs="宋体"/>
          <w:b/>
          <w:color w:val="auto"/>
          <w:szCs w:val="24"/>
        </w:rPr>
        <w:t>4.提交成果要求</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课题成果归交易人所有，供应商须向交易人提供如下研究成果：</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《萧山区碳中和产业发展探索课题研究》文本及相关图件（如有）；</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《萧山区碳中和产业发展探索课题研究》电子文件。</w:t>
      </w:r>
    </w:p>
    <w:p>
      <w:pPr>
        <w:pStyle w:val="133"/>
        <w:spacing w:before="0"/>
        <w:ind w:firstLine="482"/>
        <w:rPr>
          <w:rFonts w:ascii="宋体" w:hAnsi="宋体" w:cs="宋体"/>
          <w:b/>
          <w:bCs/>
          <w:color w:val="auto"/>
          <w:szCs w:val="24"/>
        </w:rPr>
      </w:pPr>
      <w:r>
        <w:rPr>
          <w:rFonts w:hint="eastAsia" w:ascii="宋体" w:hAnsi="宋体" w:cs="宋体"/>
          <w:b/>
          <w:bCs/>
          <w:color w:val="auto"/>
          <w:szCs w:val="24"/>
        </w:rPr>
        <w:t>三、项目进度要求</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1.2022年</w:t>
      </w:r>
      <w:r>
        <w:rPr>
          <w:rFonts w:hint="eastAsia" w:ascii="宋体" w:hAnsi="宋体" w:cs="宋体"/>
          <w:bCs/>
          <w:color w:val="auto"/>
          <w:szCs w:val="24"/>
          <w:lang w:val="en-US" w:eastAsia="zh-CN"/>
        </w:rPr>
        <w:t>10</w:t>
      </w:r>
      <w:r>
        <w:rPr>
          <w:rFonts w:hint="eastAsia" w:ascii="宋体" w:hAnsi="宋体" w:cs="宋体"/>
          <w:bCs/>
          <w:color w:val="auto"/>
          <w:szCs w:val="24"/>
        </w:rPr>
        <w:t>月</w:t>
      </w:r>
      <w:r>
        <w:rPr>
          <w:rFonts w:hint="eastAsia" w:ascii="宋体" w:hAnsi="宋体" w:cs="宋体"/>
          <w:bCs/>
          <w:color w:val="auto"/>
          <w:szCs w:val="24"/>
          <w:lang w:val="en-US" w:eastAsia="zh-CN"/>
        </w:rPr>
        <w:t>20</w:t>
      </w:r>
      <w:r>
        <w:rPr>
          <w:rFonts w:hint="eastAsia" w:ascii="宋体" w:hAnsi="宋体" w:cs="宋体"/>
          <w:bCs/>
          <w:color w:val="auto"/>
          <w:szCs w:val="24"/>
        </w:rPr>
        <w:t>日前，形成初稿、征求意见稿；</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2.2022年</w:t>
      </w:r>
      <w:r>
        <w:rPr>
          <w:rFonts w:hint="eastAsia" w:ascii="宋体" w:hAnsi="宋体" w:cs="宋体"/>
          <w:bCs/>
          <w:color w:val="auto"/>
          <w:szCs w:val="24"/>
          <w:lang w:val="en-US" w:eastAsia="zh-CN"/>
        </w:rPr>
        <w:t>10</w:t>
      </w:r>
      <w:r>
        <w:rPr>
          <w:rFonts w:hint="eastAsia" w:ascii="宋体" w:hAnsi="宋体" w:cs="宋体"/>
          <w:bCs/>
          <w:color w:val="auto"/>
          <w:szCs w:val="24"/>
        </w:rPr>
        <w:t>月</w:t>
      </w:r>
      <w:r>
        <w:rPr>
          <w:rFonts w:hint="eastAsia" w:ascii="宋体" w:hAnsi="宋体" w:cs="宋体"/>
          <w:bCs/>
          <w:color w:val="auto"/>
          <w:szCs w:val="24"/>
          <w:lang w:val="en-US" w:eastAsia="zh-CN"/>
        </w:rPr>
        <w:t>30</w:t>
      </w:r>
      <w:r>
        <w:rPr>
          <w:rFonts w:hint="eastAsia" w:ascii="宋体" w:hAnsi="宋体" w:cs="宋体"/>
          <w:bCs/>
          <w:color w:val="auto"/>
          <w:szCs w:val="24"/>
        </w:rPr>
        <w:t>日前，组织专家评审，形成送审稿。</w:t>
      </w:r>
    </w:p>
    <w:p>
      <w:pPr>
        <w:pStyle w:val="133"/>
        <w:snapToGrid w:val="0"/>
        <w:spacing w:before="0"/>
        <w:ind w:firstLine="482"/>
        <w:rPr>
          <w:rFonts w:ascii="宋体" w:hAnsi="宋体" w:cs="宋体"/>
          <w:b/>
          <w:color w:val="auto"/>
          <w:szCs w:val="24"/>
        </w:rPr>
      </w:pPr>
      <w:r>
        <w:rPr>
          <w:rFonts w:hint="eastAsia" w:ascii="宋体" w:hAnsi="宋体" w:cs="宋体"/>
          <w:b/>
          <w:color w:val="auto"/>
          <w:szCs w:val="24"/>
        </w:rPr>
        <w:t>四、实施方案要求</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1.课题相关的调研、思路汇报等重要关键性工作必须由项目负责人带队负责；项目实施期间，项目负责人及项目组成员在杭工作时间应不少于30天，若有特殊情况离杭，应指定相应人员做好工作衔接；</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2.成交人须安排相关人员配合好交易人（业主单位）对本项目进行中相关联的工作，如项目成果汇报，征求意见等；</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3.供应商须简明扼要的列出实施方案与质量保证梗概，并在要求递交的文件中进行详细论述；供应商未递交交易文件要求的文件与内容，由供应商承担其响应风险。</w:t>
      </w:r>
    </w:p>
    <w:p>
      <w:pPr>
        <w:pStyle w:val="133"/>
        <w:snapToGrid w:val="0"/>
        <w:spacing w:before="0"/>
        <w:ind w:firstLine="482"/>
        <w:rPr>
          <w:rFonts w:ascii="宋体" w:hAnsi="宋体" w:cs="宋体"/>
          <w:b/>
          <w:color w:val="auto"/>
          <w:szCs w:val="24"/>
        </w:rPr>
      </w:pPr>
      <w:r>
        <w:rPr>
          <w:rFonts w:hint="eastAsia" w:ascii="宋体" w:hAnsi="宋体" w:cs="宋体"/>
          <w:b/>
          <w:color w:val="auto"/>
          <w:szCs w:val="24"/>
        </w:rPr>
        <w:t>五、人员团队的相关要求</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项目负责人应具备相应的专业能力。</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项目小组成员（除负责人外）至少3人。</w:t>
      </w:r>
    </w:p>
    <w:p>
      <w:pPr>
        <w:pStyle w:val="133"/>
        <w:snapToGrid w:val="0"/>
        <w:spacing w:before="0"/>
        <w:ind w:firstLine="480"/>
        <w:rPr>
          <w:rFonts w:ascii="宋体" w:hAnsi="宋体" w:cs="宋体"/>
          <w:bCs/>
          <w:color w:val="auto"/>
          <w:szCs w:val="24"/>
        </w:rPr>
      </w:pPr>
      <w:r>
        <w:rPr>
          <w:rFonts w:hint="eastAsia" w:ascii="宋体" w:hAnsi="宋体" w:cs="宋体"/>
          <w:bCs/>
          <w:color w:val="auto"/>
          <w:szCs w:val="24"/>
        </w:rPr>
        <w:t>以上需提供相关证明材料、近3个月社保证明材料、或返聘证明及退休证书（社保缴纳单位需与供应商一致）复印件加盖公章。</w:t>
      </w:r>
    </w:p>
    <w:p>
      <w:pPr>
        <w:pStyle w:val="133"/>
        <w:snapToGrid w:val="0"/>
        <w:spacing w:before="0"/>
        <w:ind w:firstLine="482"/>
        <w:rPr>
          <w:rFonts w:ascii="宋体" w:hAnsi="宋体" w:cs="宋体"/>
          <w:b/>
          <w:color w:val="auto"/>
          <w:szCs w:val="24"/>
        </w:rPr>
      </w:pPr>
      <w:r>
        <w:rPr>
          <w:rFonts w:hint="eastAsia" w:ascii="宋体" w:hAnsi="宋体" w:cs="宋体"/>
          <w:b/>
          <w:color w:val="auto"/>
          <w:szCs w:val="24"/>
        </w:rPr>
        <w:t>六、结算及付款方式</w:t>
      </w:r>
    </w:p>
    <w:p>
      <w:pPr>
        <w:autoSpaceDE w:val="0"/>
        <w:autoSpaceDN w:val="0"/>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在合同生效后且交易人收到成交人正规合法等额发票之日起15日内，交易人向成交人支付合同价款总金额的60%；最终成果审查合格（专家评审）并提交完整成果文件后且交易人收到成交人正规合法等额发票之日起15 日内，交易人向成交人支付合同价款总金额的40%。</w:t>
      </w:r>
    </w:p>
    <w:p>
      <w:pPr>
        <w:autoSpaceDE w:val="0"/>
        <w:autoSpaceDN w:val="0"/>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七、项目验收</w:t>
      </w:r>
    </w:p>
    <w:p>
      <w:pPr>
        <w:spacing w:line="360" w:lineRule="auto"/>
        <w:ind w:firstLine="480" w:firstLineChars="200"/>
        <w:rPr>
          <w:rFonts w:ascii="宋体" w:hAnsi="宋体" w:cs="宋体"/>
          <w:color w:val="auto"/>
          <w:sz w:val="24"/>
        </w:rPr>
      </w:pPr>
      <w:r>
        <w:rPr>
          <w:rFonts w:hint="eastAsia" w:ascii="宋体" w:hAnsi="宋体" w:cs="宋体"/>
          <w:color w:val="auto"/>
          <w:sz w:val="24"/>
        </w:rPr>
        <w:t>交易人按照交易文件要求进行验收。</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八、服务标准</w:t>
      </w:r>
    </w:p>
    <w:p>
      <w:pPr>
        <w:spacing w:line="360" w:lineRule="auto"/>
        <w:ind w:firstLine="480" w:firstLineChars="200"/>
        <w:rPr>
          <w:color w:val="auto"/>
          <w:sz w:val="24"/>
        </w:rPr>
      </w:pPr>
      <w:r>
        <w:rPr>
          <w:rFonts w:hint="eastAsia" w:ascii="宋体" w:hAnsi="宋体" w:cs="宋体"/>
          <w:color w:val="auto"/>
          <w:sz w:val="24"/>
        </w:rPr>
        <w:t>本项目需执行的国家相关标准、行业标准、地方标准或者其他标准、规范。</w:t>
      </w:r>
    </w:p>
    <w:p>
      <w:pPr>
        <w:spacing w:line="360" w:lineRule="auto"/>
        <w:ind w:firstLine="480" w:firstLineChars="200"/>
        <w:rPr>
          <w:rFonts w:ascii="宋体" w:hAnsi="宋体" w:cs="宋体"/>
          <w:b/>
          <w:color w:val="auto"/>
          <w:sz w:val="36"/>
          <w:szCs w:val="36"/>
        </w:rPr>
      </w:pPr>
      <w:r>
        <w:rPr>
          <w:rFonts w:hint="eastAsia"/>
          <w:color w:val="auto"/>
          <w:sz w:val="24"/>
        </w:rPr>
        <w:t>注：交易文件中打▲内容为实质性要求，不允许有负偏离，否则将以涉及无效响应条款作无效响应。</w:t>
      </w:r>
      <w:r>
        <w:rPr>
          <w:rFonts w:hint="eastAsia" w:ascii="宋体" w:hAnsi="宋体" w:cs="宋体"/>
          <w:b/>
          <w:color w:val="auto"/>
          <w:sz w:val="36"/>
          <w:szCs w:val="36"/>
        </w:rPr>
        <w:br w:type="page"/>
      </w:r>
    </w:p>
    <w:p>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16" w:name="_Toc184314478"/>
      <w:bookmarkEnd w:id="16"/>
      <w:bookmarkStart w:id="17" w:name="_Toc184313255"/>
      <w:bookmarkEnd w:id="17"/>
      <w:bookmarkStart w:id="18" w:name="_Toc184313243"/>
      <w:bookmarkEnd w:id="18"/>
      <w:bookmarkStart w:id="19" w:name="_Toc184312070"/>
      <w:bookmarkEnd w:id="19"/>
      <w:bookmarkStart w:id="20" w:name="_Toc184313276"/>
      <w:bookmarkEnd w:id="20"/>
      <w:bookmarkStart w:id="21" w:name="_Toc184313270"/>
      <w:bookmarkEnd w:id="21"/>
      <w:bookmarkStart w:id="22" w:name="_Toc184313297"/>
      <w:bookmarkEnd w:id="22"/>
      <w:bookmarkStart w:id="23" w:name="_Toc184314460"/>
      <w:bookmarkEnd w:id="23"/>
      <w:bookmarkStart w:id="24" w:name="_Toc184308095"/>
      <w:bookmarkEnd w:id="24"/>
      <w:bookmarkStart w:id="25" w:name="_Toc184312102"/>
      <w:bookmarkEnd w:id="25"/>
      <w:bookmarkStart w:id="26" w:name="_Toc184313284"/>
      <w:bookmarkEnd w:id="26"/>
      <w:bookmarkStart w:id="27" w:name="_Toc184308075"/>
      <w:bookmarkEnd w:id="27"/>
      <w:bookmarkStart w:id="28" w:name="_Toc184314445"/>
      <w:bookmarkEnd w:id="28"/>
      <w:bookmarkStart w:id="29" w:name="_Toc184314421"/>
      <w:bookmarkEnd w:id="29"/>
      <w:bookmarkStart w:id="30" w:name="_Toc184312132"/>
      <w:bookmarkEnd w:id="30"/>
      <w:bookmarkStart w:id="31" w:name="_Toc184308052"/>
      <w:bookmarkEnd w:id="31"/>
      <w:bookmarkStart w:id="32" w:name="_Toc184314437"/>
      <w:bookmarkEnd w:id="32"/>
      <w:bookmarkStart w:id="33" w:name="_Toc184308061"/>
      <w:bookmarkEnd w:id="33"/>
      <w:bookmarkStart w:id="34" w:name="_Toc184310326"/>
      <w:bookmarkEnd w:id="34"/>
      <w:bookmarkStart w:id="35" w:name="_Toc184314476"/>
      <w:bookmarkEnd w:id="35"/>
      <w:bookmarkStart w:id="36" w:name="_Toc184314472"/>
      <w:bookmarkEnd w:id="36"/>
      <w:bookmarkStart w:id="37" w:name="_Toc184313249"/>
      <w:bookmarkEnd w:id="37"/>
      <w:bookmarkStart w:id="38" w:name="_Toc184312101"/>
      <w:bookmarkEnd w:id="38"/>
      <w:bookmarkStart w:id="39" w:name="_Toc184310341"/>
      <w:bookmarkEnd w:id="39"/>
      <w:bookmarkStart w:id="40" w:name="_Toc184314461"/>
      <w:bookmarkEnd w:id="40"/>
      <w:bookmarkStart w:id="41" w:name="_Toc184313246"/>
      <w:bookmarkEnd w:id="41"/>
      <w:bookmarkStart w:id="42" w:name="_Toc184310342"/>
      <w:bookmarkEnd w:id="42"/>
      <w:bookmarkStart w:id="43" w:name="_Toc184308067"/>
      <w:bookmarkEnd w:id="43"/>
      <w:bookmarkStart w:id="44" w:name="_Toc184310272"/>
      <w:bookmarkEnd w:id="44"/>
      <w:bookmarkStart w:id="45" w:name="_Toc184314449"/>
      <w:bookmarkEnd w:id="45"/>
      <w:bookmarkStart w:id="46" w:name="_Toc184314434"/>
      <w:bookmarkEnd w:id="46"/>
      <w:bookmarkStart w:id="47" w:name="_Toc184308088"/>
      <w:bookmarkEnd w:id="47"/>
      <w:bookmarkStart w:id="48" w:name="_Toc184308068"/>
      <w:bookmarkEnd w:id="48"/>
      <w:bookmarkStart w:id="49" w:name="_Toc184312088"/>
      <w:bookmarkEnd w:id="49"/>
      <w:bookmarkStart w:id="50" w:name="_Toc184312073"/>
      <w:bookmarkEnd w:id="50"/>
      <w:bookmarkStart w:id="51" w:name="_Toc184308065"/>
      <w:bookmarkEnd w:id="51"/>
      <w:bookmarkStart w:id="52" w:name="_Toc184313266"/>
      <w:bookmarkEnd w:id="52"/>
      <w:bookmarkStart w:id="53" w:name="_Toc184313274"/>
      <w:bookmarkEnd w:id="53"/>
      <w:bookmarkStart w:id="54" w:name="_Toc184314458"/>
      <w:bookmarkEnd w:id="54"/>
      <w:bookmarkStart w:id="55" w:name="_Toc184314448"/>
      <w:bookmarkEnd w:id="55"/>
      <w:bookmarkStart w:id="56" w:name="_Toc184308081"/>
      <w:bookmarkEnd w:id="56"/>
      <w:bookmarkStart w:id="57" w:name="_Toc184314433"/>
      <w:bookmarkEnd w:id="57"/>
      <w:bookmarkStart w:id="58" w:name="_Toc184308089"/>
      <w:bookmarkEnd w:id="58"/>
      <w:bookmarkStart w:id="59" w:name="_Toc184313278"/>
      <w:bookmarkEnd w:id="59"/>
      <w:bookmarkStart w:id="60" w:name="_Toc184308043"/>
      <w:bookmarkEnd w:id="60"/>
      <w:bookmarkStart w:id="61" w:name="_Toc184310316"/>
      <w:bookmarkEnd w:id="61"/>
      <w:bookmarkStart w:id="62" w:name="_Toc184314482"/>
      <w:bookmarkEnd w:id="62"/>
      <w:bookmarkStart w:id="63" w:name="_Toc184313267"/>
      <w:bookmarkEnd w:id="63"/>
      <w:bookmarkStart w:id="64" w:name="_Toc184313265"/>
      <w:bookmarkEnd w:id="64"/>
      <w:bookmarkStart w:id="65" w:name="_Toc184310344"/>
      <w:bookmarkEnd w:id="65"/>
      <w:bookmarkStart w:id="66" w:name="_Toc184310343"/>
      <w:bookmarkEnd w:id="66"/>
      <w:bookmarkStart w:id="67" w:name="_Toc184312113"/>
      <w:bookmarkEnd w:id="67"/>
      <w:bookmarkStart w:id="68" w:name="_Toc184310303"/>
      <w:bookmarkEnd w:id="68"/>
      <w:bookmarkStart w:id="69" w:name="_Toc184310278"/>
      <w:bookmarkEnd w:id="69"/>
      <w:bookmarkStart w:id="70" w:name="_Toc184313256"/>
      <w:bookmarkEnd w:id="70"/>
      <w:bookmarkStart w:id="71" w:name="_Toc184313304"/>
      <w:bookmarkEnd w:id="71"/>
      <w:bookmarkStart w:id="72" w:name="_Toc184314473"/>
      <w:bookmarkEnd w:id="72"/>
      <w:bookmarkStart w:id="73" w:name="_Toc184313240"/>
      <w:bookmarkEnd w:id="73"/>
      <w:bookmarkStart w:id="74" w:name="_Toc184308101"/>
      <w:bookmarkEnd w:id="74"/>
      <w:bookmarkStart w:id="75" w:name="_Toc184308098"/>
      <w:bookmarkEnd w:id="75"/>
      <w:bookmarkStart w:id="76" w:name="_Toc184310314"/>
      <w:bookmarkEnd w:id="76"/>
      <w:bookmarkStart w:id="77" w:name="_Toc184314459"/>
      <w:bookmarkEnd w:id="77"/>
      <w:bookmarkStart w:id="78" w:name="_Toc184308055"/>
      <w:bookmarkEnd w:id="78"/>
      <w:bookmarkStart w:id="79" w:name="_Toc184314419"/>
      <w:bookmarkEnd w:id="79"/>
      <w:bookmarkStart w:id="80" w:name="_Toc184312071"/>
      <w:bookmarkEnd w:id="80"/>
      <w:bookmarkStart w:id="81" w:name="_Toc184312131"/>
      <w:bookmarkEnd w:id="81"/>
      <w:bookmarkStart w:id="82" w:name="_Toc184308079"/>
      <w:bookmarkEnd w:id="82"/>
      <w:bookmarkStart w:id="83" w:name="_Toc184310334"/>
      <w:bookmarkEnd w:id="83"/>
      <w:bookmarkStart w:id="84" w:name="_Toc184314436"/>
      <w:bookmarkEnd w:id="84"/>
      <w:bookmarkStart w:id="85" w:name="_Toc184314410"/>
      <w:bookmarkEnd w:id="85"/>
      <w:bookmarkStart w:id="86" w:name="_Toc184310300"/>
      <w:bookmarkEnd w:id="86"/>
      <w:bookmarkStart w:id="87" w:name="_Toc184313257"/>
      <w:bookmarkEnd w:id="87"/>
      <w:bookmarkStart w:id="88" w:name="_Toc184312137"/>
      <w:bookmarkEnd w:id="88"/>
      <w:bookmarkStart w:id="89" w:name="_Toc184314450"/>
      <w:bookmarkEnd w:id="89"/>
      <w:bookmarkStart w:id="90" w:name="_Toc184308040"/>
      <w:bookmarkEnd w:id="90"/>
      <w:bookmarkStart w:id="91" w:name="_Toc184314442"/>
      <w:bookmarkEnd w:id="91"/>
      <w:bookmarkStart w:id="92" w:name="_Toc184313287"/>
      <w:bookmarkEnd w:id="92"/>
      <w:bookmarkStart w:id="93" w:name="_Toc184313245"/>
      <w:bookmarkEnd w:id="93"/>
      <w:bookmarkStart w:id="94" w:name="_Toc184312128"/>
      <w:bookmarkEnd w:id="94"/>
      <w:bookmarkStart w:id="95" w:name="_Toc184312120"/>
      <w:bookmarkEnd w:id="95"/>
      <w:bookmarkStart w:id="96" w:name="_Toc184308064"/>
      <w:bookmarkEnd w:id="96"/>
      <w:bookmarkStart w:id="97" w:name="_Toc184308069"/>
      <w:bookmarkEnd w:id="97"/>
      <w:bookmarkStart w:id="98" w:name="_Toc184308058"/>
      <w:bookmarkEnd w:id="98"/>
      <w:bookmarkStart w:id="99" w:name="_Toc184308085"/>
      <w:bookmarkEnd w:id="99"/>
      <w:bookmarkStart w:id="100" w:name="_Toc184312136"/>
      <w:bookmarkEnd w:id="100"/>
      <w:bookmarkStart w:id="101" w:name="_Toc184314423"/>
      <w:bookmarkEnd w:id="101"/>
      <w:bookmarkStart w:id="102" w:name="_Toc184310301"/>
      <w:bookmarkEnd w:id="102"/>
      <w:bookmarkStart w:id="103" w:name="_Toc184312116"/>
      <w:bookmarkEnd w:id="103"/>
      <w:bookmarkStart w:id="104" w:name="_Toc184313251"/>
      <w:bookmarkEnd w:id="104"/>
      <w:bookmarkStart w:id="105" w:name="_Toc184312080"/>
      <w:bookmarkEnd w:id="105"/>
      <w:bookmarkStart w:id="106" w:name="_Toc184308083"/>
      <w:bookmarkEnd w:id="106"/>
      <w:bookmarkStart w:id="107" w:name="_Toc184314425"/>
      <w:bookmarkEnd w:id="107"/>
      <w:bookmarkStart w:id="108" w:name="_Toc184314466"/>
      <w:bookmarkEnd w:id="108"/>
      <w:bookmarkStart w:id="109" w:name="_Toc184308104"/>
      <w:bookmarkEnd w:id="109"/>
      <w:bookmarkStart w:id="110" w:name="_Toc184314475"/>
      <w:bookmarkEnd w:id="110"/>
      <w:bookmarkStart w:id="111" w:name="_Toc184314468"/>
      <w:bookmarkEnd w:id="111"/>
      <w:bookmarkStart w:id="112" w:name="_Toc184312109"/>
      <w:bookmarkEnd w:id="112"/>
      <w:bookmarkStart w:id="113" w:name="_Toc184312135"/>
      <w:bookmarkEnd w:id="113"/>
      <w:bookmarkStart w:id="114" w:name="_Toc184314454"/>
      <w:bookmarkEnd w:id="114"/>
      <w:bookmarkStart w:id="115" w:name="_Toc184310329"/>
      <w:bookmarkEnd w:id="115"/>
      <w:bookmarkStart w:id="116" w:name="_Toc184313288"/>
      <w:bookmarkEnd w:id="116"/>
      <w:bookmarkStart w:id="117" w:name="_Toc184308057"/>
      <w:bookmarkEnd w:id="117"/>
      <w:bookmarkStart w:id="118" w:name="_Toc184308041"/>
      <w:bookmarkEnd w:id="118"/>
      <w:bookmarkStart w:id="119" w:name="_Toc184310274"/>
      <w:bookmarkEnd w:id="119"/>
      <w:bookmarkStart w:id="120" w:name="_Toc184312121"/>
      <w:bookmarkEnd w:id="120"/>
      <w:bookmarkStart w:id="121" w:name="_Toc184312115"/>
      <w:bookmarkEnd w:id="121"/>
      <w:bookmarkStart w:id="122" w:name="_Toc184310321"/>
      <w:bookmarkEnd w:id="122"/>
      <w:bookmarkStart w:id="123" w:name="_Toc184310319"/>
      <w:bookmarkEnd w:id="123"/>
      <w:bookmarkStart w:id="124" w:name="_Toc184313277"/>
      <w:bookmarkEnd w:id="124"/>
      <w:bookmarkStart w:id="125" w:name="_Toc184313279"/>
      <w:bookmarkEnd w:id="125"/>
      <w:bookmarkStart w:id="126" w:name="_Toc184312108"/>
      <w:bookmarkEnd w:id="126"/>
      <w:bookmarkStart w:id="127" w:name="_Toc184310315"/>
      <w:bookmarkEnd w:id="127"/>
      <w:bookmarkStart w:id="128" w:name="_Toc184313253"/>
      <w:bookmarkEnd w:id="128"/>
      <w:bookmarkStart w:id="129" w:name="_Toc184313254"/>
      <w:bookmarkEnd w:id="129"/>
      <w:bookmarkStart w:id="130" w:name="_Toc184308102"/>
      <w:bookmarkEnd w:id="130"/>
      <w:bookmarkStart w:id="131" w:name="_Toc184312112"/>
      <w:bookmarkEnd w:id="131"/>
      <w:bookmarkStart w:id="132" w:name="_Toc184314481"/>
      <w:bookmarkEnd w:id="132"/>
      <w:bookmarkStart w:id="133" w:name="_Toc184314420"/>
      <w:bookmarkEnd w:id="133"/>
      <w:bookmarkStart w:id="134" w:name="_Toc184313241"/>
      <w:bookmarkEnd w:id="134"/>
      <w:bookmarkStart w:id="135" w:name="_Toc184310308"/>
      <w:bookmarkEnd w:id="135"/>
      <w:bookmarkStart w:id="136" w:name="_Toc184314470"/>
      <w:bookmarkEnd w:id="136"/>
      <w:bookmarkStart w:id="137" w:name="_Toc184310340"/>
      <w:bookmarkEnd w:id="137"/>
      <w:bookmarkStart w:id="138" w:name="_Toc184313252"/>
      <w:bookmarkEnd w:id="138"/>
      <w:bookmarkStart w:id="139" w:name="_Toc184312085"/>
      <w:bookmarkEnd w:id="139"/>
      <w:bookmarkStart w:id="140" w:name="_Toc184308039"/>
      <w:bookmarkEnd w:id="140"/>
      <w:bookmarkStart w:id="141" w:name="_Toc184314452"/>
      <w:bookmarkEnd w:id="141"/>
      <w:bookmarkStart w:id="142" w:name="_Toc184310295"/>
      <w:bookmarkEnd w:id="142"/>
      <w:bookmarkStart w:id="143" w:name="_Toc184310322"/>
      <w:bookmarkEnd w:id="143"/>
      <w:bookmarkStart w:id="144" w:name="_Toc184312129"/>
      <w:bookmarkEnd w:id="144"/>
      <w:bookmarkStart w:id="145" w:name="_Toc184310292"/>
      <w:bookmarkEnd w:id="145"/>
      <w:bookmarkStart w:id="146" w:name="_Toc184314416"/>
      <w:bookmarkEnd w:id="146"/>
      <w:bookmarkStart w:id="147" w:name="_Toc184313268"/>
      <w:bookmarkEnd w:id="147"/>
      <w:bookmarkStart w:id="148" w:name="_Toc184308103"/>
      <w:bookmarkEnd w:id="148"/>
      <w:bookmarkStart w:id="149" w:name="_Toc184310339"/>
      <w:bookmarkEnd w:id="149"/>
      <w:bookmarkStart w:id="150" w:name="_Toc184308107"/>
      <w:bookmarkEnd w:id="150"/>
      <w:bookmarkStart w:id="151" w:name="_Toc184313310"/>
      <w:bookmarkEnd w:id="151"/>
      <w:bookmarkStart w:id="152" w:name="_Toc184308105"/>
      <w:bookmarkEnd w:id="152"/>
      <w:bookmarkStart w:id="153" w:name="_Toc184312125"/>
      <w:bookmarkEnd w:id="153"/>
      <w:bookmarkStart w:id="154" w:name="_Toc184310293"/>
      <w:bookmarkEnd w:id="154"/>
      <w:bookmarkStart w:id="155" w:name="_Toc184310305"/>
      <w:bookmarkEnd w:id="155"/>
      <w:bookmarkStart w:id="156" w:name="_Toc184312096"/>
      <w:bookmarkEnd w:id="156"/>
      <w:bookmarkStart w:id="157" w:name="_Toc184312072"/>
      <w:bookmarkEnd w:id="157"/>
      <w:bookmarkStart w:id="158" w:name="_Toc184310313"/>
      <w:bookmarkEnd w:id="158"/>
      <w:bookmarkStart w:id="159" w:name="_Toc184312134"/>
      <w:bookmarkEnd w:id="159"/>
      <w:bookmarkStart w:id="160" w:name="_Toc184313273"/>
      <w:bookmarkEnd w:id="160"/>
      <w:bookmarkStart w:id="161" w:name="_Toc184308084"/>
      <w:bookmarkEnd w:id="161"/>
      <w:bookmarkStart w:id="162" w:name="_Toc184310310"/>
      <w:bookmarkEnd w:id="162"/>
      <w:bookmarkStart w:id="163" w:name="_Toc184308051"/>
      <w:bookmarkEnd w:id="163"/>
      <w:bookmarkStart w:id="164" w:name="_Toc184314444"/>
      <w:bookmarkEnd w:id="164"/>
      <w:bookmarkStart w:id="165" w:name="_Toc184313296"/>
      <w:bookmarkEnd w:id="165"/>
      <w:bookmarkStart w:id="166" w:name="_Toc184313290"/>
      <w:bookmarkEnd w:id="166"/>
      <w:bookmarkStart w:id="167" w:name="_Toc184308099"/>
      <w:bookmarkEnd w:id="167"/>
      <w:bookmarkStart w:id="168" w:name="_Toc184314446"/>
      <w:bookmarkEnd w:id="168"/>
      <w:bookmarkStart w:id="169" w:name="_Toc184314431"/>
      <w:bookmarkEnd w:id="169"/>
      <w:bookmarkStart w:id="170" w:name="_Toc184308037"/>
      <w:bookmarkEnd w:id="170"/>
      <w:bookmarkStart w:id="171" w:name="_Toc184310320"/>
      <w:bookmarkEnd w:id="171"/>
      <w:bookmarkStart w:id="172" w:name="_Toc184314469"/>
      <w:bookmarkEnd w:id="172"/>
      <w:bookmarkStart w:id="173" w:name="_Toc184314477"/>
      <w:bookmarkEnd w:id="173"/>
      <w:bookmarkStart w:id="174" w:name="_Toc184310317"/>
      <w:bookmarkEnd w:id="174"/>
      <w:bookmarkStart w:id="175" w:name="_Toc184314474"/>
      <w:bookmarkEnd w:id="175"/>
      <w:bookmarkStart w:id="176" w:name="_Toc184310288"/>
      <w:bookmarkEnd w:id="176"/>
      <w:bookmarkStart w:id="177" w:name="_Toc184312069"/>
      <w:bookmarkEnd w:id="177"/>
      <w:bookmarkStart w:id="178" w:name="_Toc184308048"/>
      <w:bookmarkEnd w:id="178"/>
      <w:bookmarkStart w:id="179" w:name="_Toc184308072"/>
      <w:bookmarkEnd w:id="179"/>
      <w:bookmarkStart w:id="180" w:name="_Toc184308106"/>
      <w:bookmarkEnd w:id="180"/>
      <w:bookmarkStart w:id="181" w:name="_Toc184314438"/>
      <w:bookmarkEnd w:id="181"/>
      <w:bookmarkStart w:id="182" w:name="_Toc184313263"/>
      <w:bookmarkEnd w:id="182"/>
      <w:bookmarkStart w:id="183" w:name="_Toc184310325"/>
      <w:bookmarkEnd w:id="183"/>
      <w:bookmarkStart w:id="184" w:name="_Toc184314463"/>
      <w:bookmarkEnd w:id="184"/>
      <w:bookmarkStart w:id="185" w:name="_Toc184312098"/>
      <w:bookmarkEnd w:id="185"/>
      <w:bookmarkStart w:id="186" w:name="_Toc184308047"/>
      <w:bookmarkEnd w:id="186"/>
      <w:bookmarkStart w:id="187" w:name="_Toc184314412"/>
      <w:bookmarkEnd w:id="187"/>
      <w:bookmarkStart w:id="188" w:name="_Toc184308066"/>
      <w:bookmarkEnd w:id="188"/>
      <w:bookmarkStart w:id="189" w:name="_Toc184314424"/>
      <w:bookmarkEnd w:id="189"/>
      <w:bookmarkStart w:id="190" w:name="_Toc184308045"/>
      <w:bookmarkEnd w:id="190"/>
      <w:bookmarkStart w:id="191" w:name="_Toc184314418"/>
      <w:bookmarkEnd w:id="191"/>
      <w:bookmarkStart w:id="192" w:name="_Toc184312124"/>
      <w:bookmarkEnd w:id="192"/>
      <w:bookmarkStart w:id="193" w:name="_Toc184308090"/>
      <w:bookmarkEnd w:id="193"/>
      <w:bookmarkStart w:id="194" w:name="_Toc184312093"/>
      <w:bookmarkEnd w:id="194"/>
      <w:bookmarkStart w:id="195" w:name="_Toc184313261"/>
      <w:bookmarkEnd w:id="195"/>
      <w:bookmarkStart w:id="196" w:name="_Toc184312068"/>
      <w:bookmarkEnd w:id="196"/>
      <w:bookmarkStart w:id="197" w:name="_Toc184312123"/>
      <w:bookmarkEnd w:id="197"/>
      <w:bookmarkStart w:id="198" w:name="_Toc184314480"/>
      <w:bookmarkEnd w:id="198"/>
      <w:bookmarkStart w:id="199" w:name="_Toc184310306"/>
      <w:bookmarkEnd w:id="199"/>
      <w:bookmarkStart w:id="200" w:name="_Toc184312078"/>
      <w:bookmarkEnd w:id="200"/>
      <w:bookmarkStart w:id="201" w:name="_Toc184313280"/>
      <w:bookmarkEnd w:id="201"/>
      <w:bookmarkStart w:id="202" w:name="_Toc184312103"/>
      <w:bookmarkEnd w:id="202"/>
      <w:bookmarkStart w:id="203" w:name="_Toc184310279"/>
      <w:bookmarkEnd w:id="203"/>
      <w:bookmarkStart w:id="204" w:name="_Toc184308042"/>
      <w:bookmarkEnd w:id="204"/>
      <w:bookmarkStart w:id="205" w:name="_Toc184308038"/>
      <w:bookmarkEnd w:id="205"/>
      <w:bookmarkStart w:id="206" w:name="_Toc184308054"/>
      <w:bookmarkEnd w:id="206"/>
      <w:bookmarkStart w:id="207" w:name="_Toc184312107"/>
      <w:bookmarkEnd w:id="207"/>
      <w:bookmarkStart w:id="208" w:name="_Toc184308062"/>
      <w:bookmarkEnd w:id="208"/>
      <w:bookmarkStart w:id="209" w:name="_Toc184310280"/>
      <w:bookmarkEnd w:id="209"/>
      <w:bookmarkStart w:id="210" w:name="_Toc184310296"/>
      <w:bookmarkEnd w:id="210"/>
      <w:bookmarkStart w:id="211" w:name="_Toc184308036"/>
      <w:bookmarkEnd w:id="211"/>
      <w:bookmarkStart w:id="212" w:name="_Toc184314465"/>
      <w:bookmarkEnd w:id="212"/>
      <w:bookmarkStart w:id="213" w:name="_Toc184310299"/>
      <w:bookmarkEnd w:id="213"/>
      <w:bookmarkStart w:id="214" w:name="_Toc184314413"/>
      <w:bookmarkEnd w:id="214"/>
      <w:bookmarkStart w:id="215" w:name="_Toc184313291"/>
      <w:bookmarkEnd w:id="215"/>
      <w:bookmarkStart w:id="216" w:name="_Toc184312114"/>
      <w:bookmarkEnd w:id="216"/>
      <w:bookmarkStart w:id="217" w:name="_Toc184314464"/>
      <w:bookmarkEnd w:id="217"/>
      <w:bookmarkStart w:id="218" w:name="_Toc184310304"/>
      <w:bookmarkEnd w:id="218"/>
      <w:bookmarkStart w:id="219" w:name="_Toc184308073"/>
      <w:bookmarkEnd w:id="219"/>
      <w:bookmarkStart w:id="220" w:name="_Toc184314415"/>
      <w:bookmarkEnd w:id="220"/>
      <w:bookmarkStart w:id="221" w:name="_Toc184310287"/>
      <w:bookmarkEnd w:id="221"/>
      <w:bookmarkStart w:id="222" w:name="_Toc184313305"/>
      <w:bookmarkEnd w:id="222"/>
      <w:bookmarkStart w:id="223" w:name="_Toc184308053"/>
      <w:bookmarkEnd w:id="223"/>
      <w:bookmarkStart w:id="224" w:name="_Toc184312095"/>
      <w:bookmarkEnd w:id="224"/>
      <w:bookmarkStart w:id="225" w:name="_Toc184308086"/>
      <w:bookmarkEnd w:id="225"/>
      <w:bookmarkStart w:id="226" w:name="_Toc184313260"/>
      <w:bookmarkEnd w:id="226"/>
      <w:bookmarkStart w:id="227" w:name="_Toc184312090"/>
      <w:bookmarkEnd w:id="227"/>
      <w:bookmarkStart w:id="228" w:name="_Toc184310283"/>
      <w:bookmarkEnd w:id="228"/>
      <w:bookmarkStart w:id="229" w:name="_Toc184312133"/>
      <w:bookmarkEnd w:id="229"/>
      <w:bookmarkStart w:id="230" w:name="_Toc184310318"/>
      <w:bookmarkEnd w:id="230"/>
      <w:bookmarkStart w:id="231" w:name="_Toc184308071"/>
      <w:bookmarkEnd w:id="231"/>
      <w:bookmarkStart w:id="232" w:name="_Toc184314411"/>
      <w:bookmarkEnd w:id="232"/>
      <w:bookmarkStart w:id="233" w:name="_Toc184310328"/>
      <w:bookmarkEnd w:id="233"/>
      <w:bookmarkStart w:id="234" w:name="_Toc184310277"/>
      <w:bookmarkEnd w:id="234"/>
      <w:bookmarkStart w:id="235" w:name="_Toc184314471"/>
      <w:bookmarkEnd w:id="235"/>
      <w:bookmarkStart w:id="236" w:name="_Toc184312092"/>
      <w:bookmarkEnd w:id="236"/>
      <w:bookmarkStart w:id="237" w:name="_Toc184312111"/>
      <w:bookmarkEnd w:id="237"/>
      <w:bookmarkStart w:id="238" w:name="_Toc184310336"/>
      <w:bookmarkEnd w:id="238"/>
      <w:bookmarkStart w:id="239" w:name="_Toc184312074"/>
      <w:bookmarkEnd w:id="239"/>
      <w:bookmarkStart w:id="240" w:name="_Toc184308070"/>
      <w:bookmarkEnd w:id="240"/>
      <w:bookmarkStart w:id="241" w:name="_Toc184310323"/>
      <w:bookmarkEnd w:id="241"/>
      <w:bookmarkStart w:id="242" w:name="_Toc184314451"/>
      <w:bookmarkEnd w:id="242"/>
      <w:bookmarkStart w:id="243" w:name="_Toc184312097"/>
      <w:bookmarkEnd w:id="243"/>
      <w:bookmarkStart w:id="244" w:name="_Toc184310284"/>
      <w:bookmarkEnd w:id="244"/>
      <w:bookmarkStart w:id="245" w:name="_Toc184312079"/>
      <w:bookmarkEnd w:id="245"/>
      <w:bookmarkStart w:id="246" w:name="_Toc184313299"/>
      <w:bookmarkEnd w:id="246"/>
      <w:bookmarkStart w:id="247" w:name="_Toc184310282"/>
      <w:bookmarkEnd w:id="247"/>
      <w:bookmarkStart w:id="248" w:name="_Toc184312106"/>
      <w:bookmarkEnd w:id="248"/>
      <w:bookmarkStart w:id="249" w:name="_Toc184314430"/>
      <w:bookmarkEnd w:id="249"/>
      <w:bookmarkStart w:id="250" w:name="_Toc184310333"/>
      <w:bookmarkEnd w:id="250"/>
      <w:bookmarkStart w:id="251" w:name="_Toc184310312"/>
      <w:bookmarkEnd w:id="251"/>
      <w:bookmarkStart w:id="252" w:name="_Toc184308108"/>
      <w:bookmarkEnd w:id="252"/>
      <w:bookmarkStart w:id="253" w:name="_Toc184310286"/>
      <w:bookmarkEnd w:id="253"/>
      <w:bookmarkStart w:id="254" w:name="_Toc184313301"/>
      <w:bookmarkEnd w:id="254"/>
      <w:bookmarkStart w:id="255" w:name="_Toc184308056"/>
      <w:bookmarkEnd w:id="255"/>
      <w:bookmarkStart w:id="256" w:name="_Toc184312091"/>
      <w:bookmarkEnd w:id="256"/>
      <w:bookmarkStart w:id="257" w:name="_Toc184313283"/>
      <w:bookmarkEnd w:id="257"/>
      <w:bookmarkStart w:id="258" w:name="_Toc184312139"/>
      <w:bookmarkEnd w:id="258"/>
      <w:bookmarkStart w:id="259" w:name="_Toc184312119"/>
      <w:bookmarkEnd w:id="259"/>
      <w:bookmarkStart w:id="260" w:name="_Toc184310330"/>
      <w:bookmarkEnd w:id="260"/>
      <w:bookmarkStart w:id="261" w:name="_Toc184312082"/>
      <w:bookmarkEnd w:id="261"/>
      <w:bookmarkStart w:id="262" w:name="_Toc184312084"/>
      <w:bookmarkEnd w:id="262"/>
      <w:bookmarkStart w:id="263" w:name="_Toc184314439"/>
      <w:bookmarkEnd w:id="263"/>
      <w:bookmarkStart w:id="264" w:name="_Toc184313238"/>
      <w:bookmarkEnd w:id="264"/>
      <w:bookmarkStart w:id="265" w:name="_Toc184312104"/>
      <w:bookmarkEnd w:id="265"/>
      <w:bookmarkStart w:id="266" w:name="_Toc184313302"/>
      <w:bookmarkEnd w:id="266"/>
      <w:bookmarkStart w:id="267" w:name="_Toc184308074"/>
      <w:bookmarkEnd w:id="267"/>
      <w:bookmarkStart w:id="268" w:name="_Toc184314429"/>
      <w:bookmarkEnd w:id="268"/>
      <w:bookmarkStart w:id="269" w:name="_Toc184313309"/>
      <w:bookmarkEnd w:id="269"/>
      <w:bookmarkStart w:id="270" w:name="_Toc184313264"/>
      <w:bookmarkEnd w:id="270"/>
      <w:bookmarkStart w:id="271" w:name="_Toc184314455"/>
      <w:bookmarkEnd w:id="271"/>
      <w:bookmarkStart w:id="272" w:name="_Toc184308093"/>
      <w:bookmarkEnd w:id="272"/>
      <w:bookmarkStart w:id="273" w:name="_Toc184312099"/>
      <w:bookmarkEnd w:id="273"/>
      <w:bookmarkStart w:id="274" w:name="_Toc184313262"/>
      <w:bookmarkEnd w:id="274"/>
      <w:bookmarkStart w:id="275" w:name="_Toc184313258"/>
      <w:bookmarkEnd w:id="275"/>
      <w:bookmarkStart w:id="276" w:name="_Toc184312087"/>
      <w:bookmarkEnd w:id="276"/>
      <w:bookmarkStart w:id="277" w:name="_Toc184313292"/>
      <w:bookmarkEnd w:id="277"/>
      <w:bookmarkStart w:id="278" w:name="_Toc184313259"/>
      <w:bookmarkEnd w:id="278"/>
      <w:bookmarkStart w:id="279" w:name="_Toc184308096"/>
      <w:bookmarkEnd w:id="279"/>
      <w:bookmarkStart w:id="280" w:name="_Toc184310290"/>
      <w:bookmarkEnd w:id="280"/>
      <w:bookmarkStart w:id="281" w:name="_Toc184314422"/>
      <w:bookmarkEnd w:id="281"/>
      <w:bookmarkStart w:id="282" w:name="_Toc184308059"/>
      <w:bookmarkEnd w:id="282"/>
      <w:bookmarkStart w:id="283" w:name="_Toc184308060"/>
      <w:bookmarkEnd w:id="283"/>
      <w:bookmarkStart w:id="284" w:name="_Toc184312077"/>
      <w:bookmarkEnd w:id="284"/>
      <w:bookmarkStart w:id="285" w:name="_Toc184314462"/>
      <w:bookmarkEnd w:id="285"/>
      <w:bookmarkStart w:id="286" w:name="_Toc184314428"/>
      <w:bookmarkEnd w:id="286"/>
      <w:bookmarkStart w:id="287" w:name="_Toc184308044"/>
      <w:bookmarkEnd w:id="287"/>
      <w:bookmarkStart w:id="288" w:name="_Toc184310309"/>
      <w:bookmarkEnd w:id="288"/>
      <w:bookmarkStart w:id="289" w:name="_Toc184314447"/>
      <w:bookmarkEnd w:id="289"/>
      <w:bookmarkStart w:id="290" w:name="_Toc184312117"/>
      <w:bookmarkEnd w:id="290"/>
      <w:bookmarkStart w:id="291" w:name="_Toc184310276"/>
      <w:bookmarkEnd w:id="291"/>
      <w:bookmarkStart w:id="292" w:name="_Toc184314435"/>
      <w:bookmarkEnd w:id="292"/>
      <w:bookmarkStart w:id="293" w:name="_Toc184313282"/>
      <w:bookmarkEnd w:id="293"/>
      <w:bookmarkStart w:id="294" w:name="_Toc184314457"/>
      <w:bookmarkEnd w:id="294"/>
      <w:bookmarkStart w:id="295" w:name="_Toc184308082"/>
      <w:bookmarkEnd w:id="295"/>
      <w:bookmarkStart w:id="296" w:name="_Toc184313269"/>
      <w:bookmarkEnd w:id="296"/>
      <w:bookmarkStart w:id="297" w:name="_Toc184310298"/>
      <w:bookmarkEnd w:id="297"/>
      <w:bookmarkStart w:id="298" w:name="_Toc184314427"/>
      <w:bookmarkEnd w:id="298"/>
      <w:bookmarkStart w:id="299" w:name="_Toc184310302"/>
      <w:bookmarkEnd w:id="299"/>
      <w:bookmarkStart w:id="300" w:name="_Toc184314417"/>
      <w:bookmarkEnd w:id="300"/>
      <w:bookmarkStart w:id="301" w:name="_Toc184310273"/>
      <w:bookmarkEnd w:id="301"/>
      <w:bookmarkStart w:id="302" w:name="_Toc184312100"/>
      <w:bookmarkEnd w:id="302"/>
      <w:bookmarkStart w:id="303" w:name="_Toc184312086"/>
      <w:bookmarkEnd w:id="303"/>
      <w:bookmarkStart w:id="304" w:name="_Toc184314414"/>
      <w:bookmarkEnd w:id="304"/>
      <w:bookmarkStart w:id="305" w:name="_Toc184310324"/>
      <w:bookmarkEnd w:id="305"/>
      <w:bookmarkStart w:id="306" w:name="_Toc184308100"/>
      <w:bookmarkEnd w:id="306"/>
      <w:bookmarkStart w:id="307" w:name="_Toc184310337"/>
      <w:bookmarkEnd w:id="307"/>
      <w:bookmarkStart w:id="308" w:name="_Toc184310311"/>
      <w:bookmarkEnd w:id="308"/>
      <w:bookmarkStart w:id="309" w:name="_Toc184312081"/>
      <w:bookmarkEnd w:id="309"/>
      <w:bookmarkStart w:id="310" w:name="_Toc184313271"/>
      <w:bookmarkEnd w:id="310"/>
      <w:bookmarkStart w:id="311" w:name="_Toc184312105"/>
      <w:bookmarkEnd w:id="311"/>
      <w:bookmarkStart w:id="312" w:name="_Toc184308092"/>
      <w:bookmarkEnd w:id="312"/>
      <w:bookmarkStart w:id="313" w:name="_Toc184313275"/>
      <w:bookmarkEnd w:id="313"/>
      <w:bookmarkStart w:id="314" w:name="_Toc184308097"/>
      <w:bookmarkEnd w:id="314"/>
      <w:bookmarkStart w:id="315" w:name="_Toc184308063"/>
      <w:bookmarkEnd w:id="315"/>
      <w:bookmarkStart w:id="316" w:name="_Toc184313289"/>
      <w:bookmarkEnd w:id="316"/>
      <w:bookmarkStart w:id="317" w:name="_Toc184310307"/>
      <w:bookmarkEnd w:id="317"/>
      <w:bookmarkStart w:id="318" w:name="_Toc184312075"/>
      <w:bookmarkEnd w:id="318"/>
      <w:bookmarkStart w:id="319" w:name="_Toc184313306"/>
      <w:bookmarkEnd w:id="319"/>
      <w:bookmarkStart w:id="320" w:name="_Toc184313272"/>
      <w:bookmarkEnd w:id="320"/>
      <w:bookmarkStart w:id="321" w:name="_Toc184308076"/>
      <w:bookmarkEnd w:id="321"/>
      <w:bookmarkStart w:id="322" w:name="_Toc184313239"/>
      <w:bookmarkEnd w:id="322"/>
      <w:bookmarkStart w:id="323" w:name="_Toc184308077"/>
      <w:bookmarkEnd w:id="323"/>
      <w:bookmarkStart w:id="324" w:name="_Toc184313293"/>
      <w:bookmarkEnd w:id="324"/>
      <w:bookmarkStart w:id="325" w:name="_Toc184314441"/>
      <w:bookmarkEnd w:id="325"/>
      <w:bookmarkStart w:id="326" w:name="_Toc184312094"/>
      <w:bookmarkEnd w:id="326"/>
      <w:bookmarkStart w:id="327" w:name="_Toc184310291"/>
      <w:bookmarkEnd w:id="327"/>
      <w:bookmarkStart w:id="328" w:name="_Toc184313248"/>
      <w:bookmarkEnd w:id="328"/>
      <w:bookmarkStart w:id="329" w:name="_Toc184314456"/>
      <w:bookmarkEnd w:id="329"/>
      <w:bookmarkStart w:id="330" w:name="_Toc184308091"/>
      <w:bookmarkEnd w:id="330"/>
      <w:bookmarkStart w:id="331" w:name="_Toc184310331"/>
      <w:bookmarkEnd w:id="331"/>
      <w:bookmarkStart w:id="332" w:name="_Toc184308049"/>
      <w:bookmarkEnd w:id="332"/>
      <w:bookmarkStart w:id="333" w:name="_Toc184313303"/>
      <w:bookmarkEnd w:id="333"/>
      <w:bookmarkStart w:id="334" w:name="_Toc184313307"/>
      <w:bookmarkEnd w:id="334"/>
      <w:bookmarkStart w:id="335" w:name="_Toc184310294"/>
      <w:bookmarkEnd w:id="335"/>
      <w:bookmarkStart w:id="336" w:name="_Toc184314426"/>
      <w:bookmarkEnd w:id="336"/>
      <w:bookmarkStart w:id="337" w:name="_Toc184308078"/>
      <w:bookmarkEnd w:id="337"/>
      <w:bookmarkStart w:id="338" w:name="_Toc184314432"/>
      <w:bookmarkEnd w:id="338"/>
      <w:bookmarkStart w:id="339" w:name="_Toc184312126"/>
      <w:bookmarkEnd w:id="339"/>
      <w:bookmarkStart w:id="340" w:name="_Toc184314443"/>
      <w:bookmarkEnd w:id="340"/>
      <w:bookmarkStart w:id="341" w:name="_Toc184313247"/>
      <w:bookmarkEnd w:id="341"/>
      <w:bookmarkStart w:id="342" w:name="_Toc184312089"/>
      <w:bookmarkEnd w:id="342"/>
      <w:bookmarkStart w:id="343" w:name="_Toc184314440"/>
      <w:bookmarkEnd w:id="343"/>
      <w:bookmarkStart w:id="344" w:name="_Toc184312110"/>
      <w:bookmarkEnd w:id="344"/>
      <w:bookmarkStart w:id="345" w:name="_Toc184314467"/>
      <w:bookmarkEnd w:id="345"/>
      <w:bookmarkStart w:id="346" w:name="_Toc184308080"/>
      <w:bookmarkEnd w:id="346"/>
      <w:bookmarkStart w:id="347" w:name="_Toc184313244"/>
      <w:bookmarkEnd w:id="347"/>
      <w:bookmarkStart w:id="348" w:name="_Toc184313242"/>
      <w:bookmarkEnd w:id="348"/>
      <w:bookmarkStart w:id="349" w:name="_Toc184313286"/>
      <w:bookmarkEnd w:id="349"/>
      <w:bookmarkStart w:id="350" w:name="_Toc184312138"/>
      <w:bookmarkEnd w:id="350"/>
      <w:bookmarkStart w:id="351" w:name="_Toc184310275"/>
      <w:bookmarkEnd w:id="351"/>
      <w:bookmarkStart w:id="352" w:name="_Toc184312083"/>
      <w:bookmarkEnd w:id="352"/>
      <w:bookmarkStart w:id="353" w:name="_Toc184312076"/>
      <w:bookmarkEnd w:id="353"/>
      <w:bookmarkStart w:id="354" w:name="_Toc184310327"/>
      <w:bookmarkEnd w:id="354"/>
      <w:bookmarkStart w:id="355" w:name="_Toc184313250"/>
      <w:bookmarkEnd w:id="355"/>
      <w:bookmarkStart w:id="356" w:name="_Toc184313298"/>
      <w:bookmarkEnd w:id="356"/>
      <w:bookmarkStart w:id="357" w:name="_Toc184313294"/>
      <w:bookmarkEnd w:id="357"/>
      <w:bookmarkStart w:id="358" w:name="_Toc184314479"/>
      <w:bookmarkEnd w:id="358"/>
      <w:bookmarkStart w:id="359" w:name="_Toc184312122"/>
      <w:bookmarkEnd w:id="359"/>
      <w:bookmarkStart w:id="360" w:name="_Toc184313300"/>
      <w:bookmarkEnd w:id="360"/>
      <w:bookmarkStart w:id="361" w:name="_Toc184314453"/>
      <w:bookmarkEnd w:id="361"/>
      <w:bookmarkStart w:id="362" w:name="_Toc184310335"/>
      <w:bookmarkEnd w:id="362"/>
      <w:bookmarkStart w:id="363" w:name="_Toc184313285"/>
      <w:bookmarkEnd w:id="363"/>
      <w:bookmarkStart w:id="364" w:name="_Toc184310332"/>
      <w:bookmarkEnd w:id="364"/>
      <w:bookmarkStart w:id="365" w:name="_Toc184310297"/>
      <w:bookmarkEnd w:id="365"/>
      <w:bookmarkStart w:id="366" w:name="_Toc184313308"/>
      <w:bookmarkEnd w:id="366"/>
      <w:bookmarkStart w:id="367" w:name="_Toc184308046"/>
      <w:bookmarkEnd w:id="367"/>
      <w:bookmarkStart w:id="368" w:name="_Toc184312130"/>
      <w:bookmarkEnd w:id="368"/>
      <w:bookmarkStart w:id="369" w:name="_Toc184312067"/>
      <w:bookmarkEnd w:id="369"/>
      <w:bookmarkStart w:id="370" w:name="_Toc184313295"/>
      <w:bookmarkEnd w:id="370"/>
      <w:bookmarkStart w:id="371" w:name="_Toc184308087"/>
      <w:bookmarkEnd w:id="371"/>
      <w:bookmarkStart w:id="372" w:name="_Toc184310338"/>
      <w:bookmarkEnd w:id="372"/>
      <w:bookmarkStart w:id="373" w:name="_Toc184308094"/>
      <w:bookmarkEnd w:id="373"/>
      <w:bookmarkStart w:id="374" w:name="_Toc184310289"/>
      <w:bookmarkEnd w:id="374"/>
      <w:bookmarkStart w:id="375" w:name="_Toc184313281"/>
      <w:bookmarkEnd w:id="375"/>
      <w:bookmarkStart w:id="376" w:name="_Toc184310281"/>
      <w:bookmarkEnd w:id="376"/>
      <w:bookmarkStart w:id="377" w:name="_Toc184312118"/>
      <w:bookmarkEnd w:id="377"/>
      <w:bookmarkStart w:id="378" w:name="_Toc184310285"/>
      <w:bookmarkEnd w:id="378"/>
      <w:bookmarkStart w:id="379" w:name="_Toc184308050"/>
      <w:bookmarkEnd w:id="379"/>
      <w:bookmarkStart w:id="380" w:name="_Toc184312127"/>
      <w:bookmarkEnd w:id="380"/>
      <w:r>
        <w:rPr>
          <w:rFonts w:hint="eastAsia" w:ascii="宋体" w:hAnsi="宋体" w:cs="宋体"/>
          <w:b/>
          <w:color w:val="auto"/>
          <w:sz w:val="36"/>
          <w:szCs w:val="36"/>
        </w:rPr>
        <w:t>交易办法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交易办法前附表</w:t>
      </w:r>
    </w:p>
    <w:p>
      <w:pPr>
        <w:spacing w:line="360" w:lineRule="auto"/>
        <w:rPr>
          <w:rFonts w:ascii="宋体" w:hAnsi="宋体" w:cs="宋体"/>
          <w:b/>
          <w:color w:val="auto"/>
          <w:sz w:val="24"/>
        </w:rPr>
      </w:pPr>
      <w:r>
        <w:rPr>
          <w:rFonts w:hint="eastAsia" w:ascii="宋体" w:hAnsi="宋体" w:cs="宋体"/>
          <w:color w:val="auto"/>
          <w:sz w:val="24"/>
        </w:rPr>
        <w:t>1、商务技术评分表（90分）</w:t>
      </w:r>
    </w:p>
    <w:tbl>
      <w:tblPr>
        <w:tblStyle w:val="62"/>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22"/>
        <w:gridCol w:w="5593"/>
        <w:gridCol w:w="74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4"/>
              </w:rPr>
            </w:pPr>
            <w:r>
              <w:rPr>
                <w:rFonts w:hint="eastAsia" w:ascii="宋体" w:hAnsi="宋体" w:cs="宋体"/>
                <w:b/>
                <w:color w:val="auto"/>
                <w:kern w:val="0"/>
                <w:sz w:val="24"/>
              </w:rPr>
              <w:t>分项</w:t>
            </w:r>
          </w:p>
          <w:p>
            <w:pPr>
              <w:widowControl/>
              <w:jc w:val="center"/>
              <w:rPr>
                <w:rFonts w:ascii="宋体" w:hAnsi="宋体" w:cs="宋体"/>
                <w:b/>
                <w:color w:val="auto"/>
                <w:kern w:val="0"/>
                <w:sz w:val="24"/>
              </w:rPr>
            </w:pPr>
            <w:r>
              <w:rPr>
                <w:rFonts w:hint="eastAsia" w:ascii="宋体" w:hAnsi="宋体" w:cs="宋体"/>
                <w:b/>
                <w:color w:val="auto"/>
                <w:kern w:val="0"/>
                <w:sz w:val="24"/>
              </w:rPr>
              <w:t>内容</w:t>
            </w:r>
          </w:p>
        </w:tc>
        <w:tc>
          <w:tcPr>
            <w:tcW w:w="55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4"/>
              </w:rPr>
            </w:pPr>
            <w:r>
              <w:rPr>
                <w:rFonts w:hint="eastAsia" w:ascii="宋体" w:hAnsi="宋体" w:cs="宋体"/>
                <w:b/>
                <w:color w:val="auto"/>
                <w:kern w:val="0"/>
                <w:sz w:val="24"/>
              </w:rPr>
              <w:t>评分内容和标准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分值区间</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722" w:type="dxa"/>
            <w:tcBorders>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经营业绩</w:t>
            </w:r>
          </w:p>
        </w:tc>
        <w:tc>
          <w:tcPr>
            <w:tcW w:w="5593" w:type="dxa"/>
            <w:vAlign w:val="center"/>
          </w:tcPr>
          <w:p>
            <w:pPr>
              <w:jc w:val="left"/>
              <w:rPr>
                <w:rFonts w:ascii="宋体" w:hAnsi="宋体" w:cs="宋体"/>
                <w:color w:val="auto"/>
                <w:kern w:val="0"/>
                <w:sz w:val="24"/>
              </w:rPr>
            </w:pPr>
            <w:r>
              <w:rPr>
                <w:rFonts w:hint="eastAsia" w:ascii="宋体" w:hAnsi="宋体" w:cs="宋体"/>
                <w:color w:val="auto"/>
                <w:kern w:val="0"/>
                <w:sz w:val="24"/>
              </w:rPr>
              <w:t>1、供应商自2019年1月1日以来同时参与过应对气候变化规划、绿色发展规划、产业发展规划、低碳发展经济规划项目的，得基础分</w:t>
            </w:r>
            <w:r>
              <w:rPr>
                <w:rFonts w:ascii="宋体" w:hAnsi="宋体" w:cs="宋体"/>
                <w:color w:val="auto"/>
                <w:kern w:val="0"/>
                <w:sz w:val="24"/>
              </w:rPr>
              <w:t>5</w:t>
            </w:r>
            <w:r>
              <w:rPr>
                <w:rFonts w:hint="eastAsia" w:ascii="宋体" w:hAnsi="宋体" w:cs="宋体"/>
                <w:color w:val="auto"/>
                <w:kern w:val="0"/>
                <w:sz w:val="24"/>
              </w:rPr>
              <w:t>分，在此基础上，每提供1个以上类型业绩得</w:t>
            </w:r>
            <w:r>
              <w:rPr>
                <w:rFonts w:ascii="宋体" w:hAnsi="宋体" w:cs="宋体"/>
                <w:color w:val="auto"/>
                <w:kern w:val="0"/>
                <w:sz w:val="24"/>
              </w:rPr>
              <w:t>1</w:t>
            </w:r>
            <w:r>
              <w:rPr>
                <w:rFonts w:hint="eastAsia" w:ascii="宋体" w:hAnsi="宋体" w:cs="宋体"/>
                <w:color w:val="auto"/>
                <w:kern w:val="0"/>
                <w:sz w:val="24"/>
              </w:rPr>
              <w:t>分。</w:t>
            </w:r>
          </w:p>
          <w:p>
            <w:pPr>
              <w:jc w:val="left"/>
              <w:rPr>
                <w:rFonts w:ascii="宋体" w:hAnsi="宋体" w:cs="宋体"/>
                <w:color w:val="auto"/>
                <w:kern w:val="0"/>
                <w:sz w:val="24"/>
              </w:rPr>
            </w:pPr>
            <w:r>
              <w:rPr>
                <w:rFonts w:hint="eastAsia" w:ascii="宋体" w:hAnsi="宋体" w:cs="宋体"/>
                <w:color w:val="auto"/>
                <w:kern w:val="0"/>
                <w:sz w:val="24"/>
              </w:rPr>
              <w:t>本项最多计</w:t>
            </w:r>
            <w:r>
              <w:rPr>
                <w:rFonts w:ascii="宋体" w:hAnsi="宋体" w:cs="宋体"/>
                <w:color w:val="auto"/>
                <w:kern w:val="0"/>
                <w:sz w:val="24"/>
              </w:rPr>
              <w:t>1</w:t>
            </w:r>
            <w:r>
              <w:rPr>
                <w:rFonts w:hint="eastAsia" w:ascii="宋体" w:hAnsi="宋体" w:cs="宋体"/>
                <w:color w:val="auto"/>
                <w:kern w:val="0"/>
                <w:sz w:val="24"/>
              </w:rPr>
              <w:t>0分，未提供不计分。以供应商提供的有效合同复印件或项目业主单位出具的证明材料为准。</w:t>
            </w:r>
          </w:p>
        </w:tc>
        <w:tc>
          <w:tcPr>
            <w:tcW w:w="747" w:type="dxa"/>
            <w:vAlign w:val="center"/>
          </w:tcPr>
          <w:p>
            <w:pPr>
              <w:widowControl/>
              <w:jc w:val="center"/>
              <w:rPr>
                <w:rFonts w:ascii="宋体" w:hAnsi="宋体" w:cs="宋体"/>
                <w:color w:val="auto"/>
                <w:sz w:val="24"/>
              </w:rPr>
            </w:pPr>
            <w:r>
              <w:rPr>
                <w:rFonts w:hint="eastAsia" w:ascii="宋体" w:hAnsi="宋体" w:cs="宋体"/>
                <w:color w:val="auto"/>
                <w:kern w:val="0"/>
                <w:sz w:val="24"/>
              </w:rPr>
              <w:t>0-</w:t>
            </w:r>
            <w:r>
              <w:rPr>
                <w:rFonts w:ascii="宋体" w:hAnsi="宋体" w:cs="宋体"/>
                <w:color w:val="auto"/>
                <w:kern w:val="0"/>
                <w:sz w:val="24"/>
              </w:rPr>
              <w:t>1</w:t>
            </w:r>
            <w:r>
              <w:rPr>
                <w:rFonts w:hint="eastAsia" w:ascii="宋体" w:hAnsi="宋体" w:cs="宋体"/>
                <w:color w:val="auto"/>
                <w:kern w:val="0"/>
                <w:sz w:val="24"/>
              </w:rPr>
              <w:t>0</w:t>
            </w:r>
          </w:p>
        </w:tc>
        <w:tc>
          <w:tcPr>
            <w:tcW w:w="985"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722" w:type="dxa"/>
            <w:tcBorders>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企业实力</w:t>
            </w:r>
          </w:p>
        </w:tc>
        <w:tc>
          <w:tcPr>
            <w:tcW w:w="5593" w:type="dxa"/>
            <w:vAlign w:val="center"/>
          </w:tcPr>
          <w:p>
            <w:pPr>
              <w:jc w:val="left"/>
              <w:rPr>
                <w:rFonts w:ascii="宋体" w:hAnsi="宋体" w:cs="宋体"/>
                <w:color w:val="auto"/>
                <w:kern w:val="0"/>
                <w:sz w:val="24"/>
              </w:rPr>
            </w:pPr>
            <w:r>
              <w:rPr>
                <w:rFonts w:hint="eastAsia" w:ascii="宋体" w:hAnsi="宋体" w:cs="宋体"/>
                <w:color w:val="auto"/>
                <w:kern w:val="0"/>
                <w:sz w:val="24"/>
              </w:rPr>
              <w:t>1、供应商具有ISO9001质量管理体系、ISO14001环境管理体系和ISO45001职业健康安全管理体系证书并在有效期内的，且认证范围包含碳达峰路径及碳达峰模型研究的，得5分。（评审依据：提供证书扫描件及全国认证认可信息公共服务平台官网证书信息查询截图加盖供应商公章，未提供或提供不全的不得分）。</w:t>
            </w:r>
          </w:p>
          <w:p>
            <w:pPr>
              <w:jc w:val="left"/>
              <w:rPr>
                <w:rFonts w:ascii="宋体" w:hAnsi="宋体" w:cs="宋体"/>
                <w:color w:val="auto"/>
                <w:kern w:val="0"/>
                <w:sz w:val="24"/>
              </w:rPr>
            </w:pPr>
            <w:r>
              <w:rPr>
                <w:rFonts w:hint="eastAsia" w:ascii="宋体" w:hAnsi="宋体" w:cs="宋体"/>
                <w:color w:val="auto"/>
                <w:kern w:val="0"/>
                <w:sz w:val="24"/>
              </w:rPr>
              <w:t>2、供应商积极参与生态保护，具有较强的社会参与能力，作为技术支持单位参与过生态文明建设领域政策法规修订的得</w:t>
            </w:r>
            <w:r>
              <w:rPr>
                <w:rFonts w:hint="eastAsia" w:ascii="宋体" w:hAnsi="宋体" w:cs="宋体"/>
                <w:color w:val="auto"/>
                <w:kern w:val="0"/>
                <w:sz w:val="24"/>
                <w:lang w:val="en-US" w:eastAsia="zh-CN"/>
              </w:rPr>
              <w:t>5</w:t>
            </w:r>
            <w:r>
              <w:rPr>
                <w:rFonts w:hint="eastAsia" w:ascii="宋体" w:hAnsi="宋体" w:cs="宋体"/>
                <w:color w:val="auto"/>
                <w:kern w:val="0"/>
                <w:sz w:val="24"/>
              </w:rPr>
              <w:t>分，提供</w:t>
            </w:r>
            <w:r>
              <w:rPr>
                <w:rFonts w:hint="eastAsia" w:ascii="宋体" w:hAnsi="宋体" w:cs="宋体"/>
                <w:color w:val="auto"/>
                <w:kern w:val="0"/>
                <w:sz w:val="24"/>
                <w:lang w:val="en-US" w:eastAsia="zh-CN"/>
              </w:rPr>
              <w:t>2019</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1</w:t>
            </w:r>
            <w:r>
              <w:rPr>
                <w:rFonts w:hint="eastAsia" w:ascii="宋体" w:hAnsi="宋体" w:cs="宋体"/>
                <w:color w:val="auto"/>
                <w:kern w:val="0"/>
                <w:sz w:val="24"/>
              </w:rPr>
              <w:t>日以来的技术支持合同证明及条例发布证明。（评审依据：相关证明材料提供加盖供应商公章的扫描件，未提供或提供不全的不得分）。</w:t>
            </w:r>
          </w:p>
          <w:p>
            <w:pPr>
              <w:jc w:val="left"/>
              <w:rPr>
                <w:rFonts w:ascii="仿宋_GB2312" w:hAnsi="仿宋_GB2312" w:eastAsia="仿宋_GB2312" w:cs="仿宋_GB2312"/>
                <w:color w:val="auto"/>
                <w:sz w:val="28"/>
                <w:szCs w:val="28"/>
              </w:rPr>
            </w:pPr>
            <w:r>
              <w:rPr>
                <w:rFonts w:hint="eastAsia" w:ascii="宋体" w:hAnsi="宋体" w:cs="宋体"/>
                <w:color w:val="auto"/>
                <w:kern w:val="0"/>
                <w:sz w:val="24"/>
              </w:rPr>
              <w:t>3、供应商为省级或以上碳排放评价指南主要起草单位的，得</w:t>
            </w:r>
            <w:r>
              <w:rPr>
                <w:rFonts w:hint="eastAsia" w:ascii="宋体" w:hAnsi="宋体" w:cs="宋体"/>
                <w:color w:val="auto"/>
                <w:kern w:val="0"/>
                <w:sz w:val="24"/>
                <w:lang w:val="en-US" w:eastAsia="zh-CN"/>
              </w:rPr>
              <w:t>10</w:t>
            </w:r>
            <w:r>
              <w:rPr>
                <w:rFonts w:hint="eastAsia" w:ascii="宋体" w:hAnsi="宋体" w:cs="宋体"/>
                <w:color w:val="auto"/>
                <w:kern w:val="0"/>
                <w:sz w:val="24"/>
              </w:rPr>
              <w:t>分；供应商为地市级及以上碳排放相关评价指南主要起草单位的，得</w:t>
            </w:r>
            <w:r>
              <w:rPr>
                <w:rFonts w:hint="eastAsia" w:ascii="宋体" w:hAnsi="宋体" w:cs="宋体"/>
                <w:color w:val="auto"/>
                <w:kern w:val="0"/>
                <w:sz w:val="24"/>
                <w:lang w:val="en-US" w:eastAsia="zh-CN"/>
              </w:rPr>
              <w:t>5</w:t>
            </w:r>
            <w:r>
              <w:rPr>
                <w:rFonts w:hint="eastAsia" w:ascii="宋体" w:hAnsi="宋体" w:cs="宋体"/>
                <w:color w:val="auto"/>
                <w:kern w:val="0"/>
                <w:sz w:val="24"/>
              </w:rPr>
              <w:t>分；本项</w:t>
            </w:r>
            <w:r>
              <w:rPr>
                <w:rFonts w:hint="eastAsia" w:ascii="宋体" w:hAnsi="宋体" w:cs="宋体"/>
                <w:color w:val="auto"/>
                <w:kern w:val="0"/>
                <w:sz w:val="24"/>
                <w:lang w:val="en-US" w:eastAsia="zh-CN"/>
              </w:rPr>
              <w:t>最高10</w:t>
            </w:r>
            <w:r>
              <w:rPr>
                <w:rFonts w:hint="eastAsia" w:ascii="宋体" w:hAnsi="宋体" w:cs="宋体"/>
                <w:color w:val="auto"/>
                <w:kern w:val="0"/>
                <w:sz w:val="24"/>
              </w:rPr>
              <w:t>分。需提供相关部门印发的通知文件及指南中重要截图。（评审依据：相关证明材料提供加盖供应商公章的扫描件，未提供或提供不全的不得分）。</w:t>
            </w:r>
          </w:p>
        </w:tc>
        <w:tc>
          <w:tcPr>
            <w:tcW w:w="74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0-</w:t>
            </w:r>
            <w:r>
              <w:rPr>
                <w:rFonts w:ascii="宋体" w:hAnsi="宋体" w:cs="宋体"/>
                <w:color w:val="auto"/>
                <w:kern w:val="0"/>
                <w:sz w:val="24"/>
              </w:rPr>
              <w:t>20</w:t>
            </w:r>
          </w:p>
        </w:tc>
        <w:tc>
          <w:tcPr>
            <w:tcW w:w="985"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客观分</w:t>
            </w:r>
          </w:p>
        </w:tc>
      </w:tr>
    </w:tbl>
    <w:p>
      <w:pPr>
        <w:spacing w:line="440" w:lineRule="exact"/>
        <w:ind w:firstLine="482" w:firstLineChars="200"/>
        <w:rPr>
          <w:rFonts w:ascii="宋体" w:hAnsi="宋体" w:cs="宋体"/>
          <w:b/>
          <w:color w:val="auto"/>
          <w:sz w:val="24"/>
        </w:rPr>
      </w:pPr>
    </w:p>
    <w:tbl>
      <w:tblPr>
        <w:tblStyle w:val="62"/>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22"/>
        <w:gridCol w:w="5593"/>
        <w:gridCol w:w="74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4"/>
              </w:rPr>
            </w:pPr>
            <w:r>
              <w:rPr>
                <w:rFonts w:hint="eastAsia" w:ascii="宋体" w:hAnsi="宋体" w:cs="宋体"/>
                <w:b/>
                <w:color w:val="auto"/>
                <w:kern w:val="0"/>
                <w:sz w:val="24"/>
              </w:rPr>
              <w:t>分项</w:t>
            </w:r>
          </w:p>
          <w:p>
            <w:pPr>
              <w:widowControl/>
              <w:jc w:val="center"/>
              <w:rPr>
                <w:rFonts w:ascii="宋体" w:hAnsi="宋体" w:cs="宋体"/>
                <w:b/>
                <w:color w:val="auto"/>
                <w:kern w:val="0"/>
                <w:sz w:val="24"/>
              </w:rPr>
            </w:pPr>
            <w:r>
              <w:rPr>
                <w:rFonts w:hint="eastAsia" w:ascii="宋体" w:hAnsi="宋体" w:cs="宋体"/>
                <w:b/>
                <w:color w:val="auto"/>
                <w:kern w:val="0"/>
                <w:sz w:val="24"/>
              </w:rPr>
              <w:t>内容</w:t>
            </w:r>
          </w:p>
        </w:tc>
        <w:tc>
          <w:tcPr>
            <w:tcW w:w="55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4"/>
              </w:rPr>
            </w:pPr>
            <w:r>
              <w:rPr>
                <w:rFonts w:hint="eastAsia" w:ascii="宋体" w:hAnsi="宋体" w:cs="宋体"/>
                <w:b/>
                <w:color w:val="auto"/>
                <w:kern w:val="0"/>
                <w:sz w:val="24"/>
              </w:rPr>
              <w:t>评分内容和标准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分值区间</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72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响应方案的合理性、科学性、全面性</w:t>
            </w:r>
          </w:p>
        </w:tc>
        <w:tc>
          <w:tcPr>
            <w:tcW w:w="55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4"/>
              </w:rPr>
            </w:pPr>
            <w:r>
              <w:rPr>
                <w:rFonts w:hint="eastAsia" w:ascii="宋体" w:hAnsi="宋体" w:cs="宋体"/>
                <w:color w:val="auto"/>
                <w:kern w:val="0"/>
                <w:sz w:val="24"/>
              </w:rPr>
              <w:t>根据供应商对本项目分析工作内容是否丰富，对相关内容研究设置是否合理、全面、有针对性，是否符合相关技术规范、符合工作要求等打分：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p>
        </w:tc>
        <w:tc>
          <w:tcPr>
            <w:tcW w:w="98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主观分</w:t>
            </w:r>
          </w:p>
          <w:p>
            <w:pPr>
              <w:widowControl/>
              <w:jc w:val="center"/>
              <w:rPr>
                <w:rFonts w:ascii="宋体" w:hAnsi="宋体" w:cs="宋体"/>
                <w:color w:val="auto"/>
                <w:kern w:val="0"/>
                <w:sz w:val="24"/>
              </w:rPr>
            </w:pPr>
            <w:r>
              <w:rPr>
                <w:rFonts w:hint="eastAsia" w:ascii="宋体" w:hAnsi="宋体" w:cs="宋体"/>
                <w:color w:val="auto"/>
                <w:kern w:val="0"/>
                <w:sz w:val="24"/>
              </w:rPr>
              <w:t>主观分</w:t>
            </w:r>
          </w:p>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4"/>
              </w:rPr>
            </w:pPr>
          </w:p>
        </w:tc>
        <w:tc>
          <w:tcPr>
            <w:tcW w:w="1722"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55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4"/>
              </w:rPr>
            </w:pPr>
            <w:r>
              <w:rPr>
                <w:rFonts w:hint="eastAsia" w:ascii="宋体" w:hAnsi="宋体" w:cs="宋体"/>
                <w:color w:val="auto"/>
                <w:kern w:val="0"/>
                <w:sz w:val="24"/>
              </w:rPr>
              <w:t>1）投标人对本项目背景、主要内容理解、工作思路分析是否准确、到位。</w:t>
            </w:r>
          </w:p>
          <w:p>
            <w:pPr>
              <w:jc w:val="left"/>
              <w:rPr>
                <w:rFonts w:ascii="宋体" w:hAnsi="宋体" w:cs="宋体"/>
                <w:color w:val="auto"/>
                <w:kern w:val="0"/>
                <w:sz w:val="24"/>
              </w:rPr>
            </w:pPr>
            <w:r>
              <w:rPr>
                <w:rFonts w:hint="eastAsia" w:ascii="宋体" w:hAnsi="宋体" w:cs="宋体"/>
                <w:color w:val="auto"/>
                <w:kern w:val="0"/>
                <w:sz w:val="24"/>
              </w:rPr>
              <w:t>优秀得10分，良好得6-9分，一般得3-5分，较差得0-2分。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4"/>
              </w:rPr>
            </w:pPr>
            <w:r>
              <w:rPr>
                <w:rFonts w:hint="eastAsia" w:ascii="宋体" w:hAnsi="宋体" w:cs="宋体"/>
                <w:bCs/>
                <w:color w:val="auto"/>
                <w:kern w:val="0"/>
                <w:sz w:val="24"/>
              </w:rPr>
              <w:t>0-10</w:t>
            </w:r>
          </w:p>
        </w:tc>
        <w:tc>
          <w:tcPr>
            <w:tcW w:w="985" w:type="dxa"/>
            <w:vMerge w:val="continue"/>
            <w:tcBorders>
              <w:left w:val="single" w:color="auto" w:sz="4" w:space="0"/>
              <w:right w:val="single" w:color="auto" w:sz="4" w:space="0"/>
            </w:tcBorders>
            <w:vAlign w:val="center"/>
          </w:tcPr>
          <w:p>
            <w:pPr>
              <w:widowControl/>
              <w:jc w:val="center"/>
              <w:rPr>
                <w:rFonts w:ascii="宋体" w:hAnsi="宋体" w:cs="宋体"/>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0"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4"/>
              </w:rPr>
            </w:pPr>
          </w:p>
        </w:tc>
        <w:tc>
          <w:tcPr>
            <w:tcW w:w="1722"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rPr>
            </w:pPr>
          </w:p>
        </w:tc>
        <w:tc>
          <w:tcPr>
            <w:tcW w:w="55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4"/>
              </w:rPr>
            </w:pPr>
            <w:r>
              <w:rPr>
                <w:rFonts w:hint="eastAsia" w:ascii="宋体" w:hAnsi="宋体" w:cs="宋体"/>
                <w:color w:val="auto"/>
                <w:kern w:val="0"/>
                <w:sz w:val="24"/>
              </w:rPr>
              <w:t>2）投标人对本项目实施过程流程现状、主要特征、现存问题的分析是否准确、到位。</w:t>
            </w:r>
          </w:p>
          <w:p>
            <w:pPr>
              <w:jc w:val="left"/>
              <w:rPr>
                <w:rFonts w:ascii="宋体" w:hAnsi="宋体" w:cs="宋体"/>
                <w:color w:val="auto"/>
                <w:kern w:val="0"/>
                <w:sz w:val="24"/>
              </w:rPr>
            </w:pPr>
            <w:r>
              <w:rPr>
                <w:rFonts w:hint="eastAsia" w:ascii="宋体" w:hAnsi="宋体" w:cs="宋体"/>
                <w:color w:val="auto"/>
                <w:kern w:val="0"/>
                <w:sz w:val="24"/>
              </w:rPr>
              <w:t>优秀得10分，良好得6-9分，一般得3-5分，较差得0-2分。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 w:val="24"/>
              </w:rPr>
            </w:pPr>
            <w:r>
              <w:rPr>
                <w:rFonts w:hint="eastAsia" w:ascii="宋体" w:hAnsi="宋体" w:cs="宋体"/>
                <w:bCs/>
                <w:color w:val="auto"/>
                <w:kern w:val="0"/>
                <w:sz w:val="24"/>
              </w:rPr>
              <w:t>0-10</w:t>
            </w:r>
          </w:p>
        </w:tc>
        <w:tc>
          <w:tcPr>
            <w:tcW w:w="985" w:type="dxa"/>
            <w:vMerge w:val="continue"/>
            <w:tcBorders>
              <w:left w:val="single" w:color="auto" w:sz="4" w:space="0"/>
              <w:right w:val="single" w:color="auto" w:sz="4" w:space="0"/>
            </w:tcBorders>
            <w:vAlign w:val="center"/>
          </w:tcPr>
          <w:p>
            <w:pPr>
              <w:widowControl/>
              <w:jc w:val="center"/>
              <w:rPr>
                <w:rFonts w:ascii="宋体" w:hAnsi="宋体" w:cs="宋体"/>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kern w:val="0"/>
                <w:sz w:val="24"/>
              </w:rPr>
              <w:t>项目进度控制</w:t>
            </w:r>
          </w:p>
        </w:tc>
        <w:tc>
          <w:tcPr>
            <w:tcW w:w="55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4"/>
              </w:rPr>
            </w:pPr>
            <w:r>
              <w:rPr>
                <w:rFonts w:hint="eastAsia" w:ascii="宋体" w:hAnsi="宋体" w:cs="宋体"/>
                <w:color w:val="auto"/>
                <w:kern w:val="0"/>
                <w:sz w:val="24"/>
              </w:rPr>
              <w:t>1）课题编制进度管理：课题编制进度方案详实、合理，方案中的实施组织管理、实施进度计划的可行性与合理性；</w:t>
            </w:r>
          </w:p>
          <w:p>
            <w:pPr>
              <w:jc w:val="left"/>
              <w:rPr>
                <w:rFonts w:ascii="宋体" w:hAnsi="宋体" w:cs="宋体"/>
                <w:color w:val="auto"/>
                <w:kern w:val="0"/>
                <w:sz w:val="24"/>
              </w:rPr>
            </w:pPr>
            <w:r>
              <w:rPr>
                <w:rFonts w:hint="eastAsia" w:ascii="宋体" w:hAnsi="宋体" w:cs="宋体"/>
                <w:color w:val="auto"/>
                <w:kern w:val="0"/>
                <w:sz w:val="24"/>
              </w:rPr>
              <w:t>2）项目整体工作阶段及任务划分：进度控制合理、关键时间节点把握科学准确。</w:t>
            </w:r>
          </w:p>
          <w:p>
            <w:pPr>
              <w:jc w:val="left"/>
              <w:rPr>
                <w:rFonts w:ascii="宋体" w:hAnsi="宋体" w:cs="宋体"/>
                <w:color w:val="auto"/>
                <w:kern w:val="0"/>
                <w:sz w:val="24"/>
              </w:rPr>
            </w:pPr>
            <w:r>
              <w:rPr>
                <w:rFonts w:hint="eastAsia" w:ascii="宋体" w:hAnsi="宋体" w:cs="宋体"/>
                <w:color w:val="auto"/>
                <w:kern w:val="0"/>
                <w:sz w:val="24"/>
              </w:rPr>
              <w:t>优秀得5分，良好得4分，较差得0-3分。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0-5</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质量保证措施</w:t>
            </w:r>
          </w:p>
        </w:tc>
        <w:tc>
          <w:tcPr>
            <w:tcW w:w="55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4"/>
              </w:rPr>
            </w:pPr>
            <w:r>
              <w:rPr>
                <w:rFonts w:hint="eastAsia" w:ascii="宋体" w:hAnsi="宋体" w:cs="宋体"/>
                <w:color w:val="auto"/>
                <w:kern w:val="0"/>
                <w:sz w:val="24"/>
              </w:rPr>
              <w:t>1）质量保证体系完备周全；</w:t>
            </w:r>
          </w:p>
          <w:p>
            <w:pPr>
              <w:jc w:val="left"/>
              <w:rPr>
                <w:rFonts w:ascii="宋体" w:hAnsi="宋体" w:cs="宋体"/>
                <w:color w:val="auto"/>
                <w:kern w:val="0"/>
                <w:sz w:val="24"/>
              </w:rPr>
            </w:pPr>
            <w:r>
              <w:rPr>
                <w:rFonts w:hint="eastAsia" w:ascii="宋体" w:hAnsi="宋体" w:cs="宋体"/>
                <w:color w:val="auto"/>
                <w:kern w:val="0"/>
                <w:sz w:val="24"/>
              </w:rPr>
              <w:t>2）并具有针对性应对措施；</w:t>
            </w:r>
          </w:p>
          <w:p>
            <w:pPr>
              <w:jc w:val="left"/>
              <w:rPr>
                <w:rFonts w:ascii="宋体" w:hAnsi="宋体" w:cs="宋体"/>
                <w:color w:val="auto"/>
                <w:kern w:val="0"/>
                <w:sz w:val="24"/>
              </w:rPr>
            </w:pPr>
            <w:r>
              <w:rPr>
                <w:rFonts w:hint="eastAsia" w:ascii="宋体" w:hAnsi="宋体" w:cs="宋体"/>
                <w:color w:val="auto"/>
                <w:kern w:val="0"/>
                <w:sz w:val="24"/>
              </w:rPr>
              <w:t>优秀得5分，良好得4分，较差得0-3分。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0-5</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主观分</w:t>
            </w:r>
          </w:p>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服务保障措施</w:t>
            </w:r>
          </w:p>
        </w:tc>
        <w:tc>
          <w:tcPr>
            <w:tcW w:w="55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4"/>
              </w:rPr>
            </w:pPr>
            <w:r>
              <w:rPr>
                <w:rFonts w:hint="eastAsia" w:ascii="宋体" w:hAnsi="宋体" w:cs="宋体"/>
                <w:color w:val="auto"/>
                <w:kern w:val="0"/>
                <w:sz w:val="24"/>
              </w:rPr>
              <w:t>1）有专职人员驻点，应对措施具有科学性，与交易人日常配合能高效落实。</w:t>
            </w:r>
          </w:p>
          <w:p>
            <w:pPr>
              <w:jc w:val="left"/>
              <w:rPr>
                <w:rFonts w:ascii="宋体" w:hAnsi="宋体" w:cs="宋体"/>
                <w:color w:val="auto"/>
                <w:kern w:val="0"/>
                <w:sz w:val="24"/>
              </w:rPr>
            </w:pPr>
            <w:r>
              <w:rPr>
                <w:rFonts w:hint="eastAsia" w:ascii="宋体" w:hAnsi="宋体" w:cs="宋体"/>
                <w:color w:val="auto"/>
                <w:kern w:val="0"/>
                <w:sz w:val="24"/>
              </w:rPr>
              <w:t>2）后续服务有专人负责、联络方便、响应时间快速；</w:t>
            </w:r>
          </w:p>
          <w:p>
            <w:pPr>
              <w:jc w:val="left"/>
              <w:rPr>
                <w:rFonts w:ascii="宋体" w:hAnsi="宋体" w:cs="宋体"/>
                <w:color w:val="auto"/>
                <w:kern w:val="0"/>
                <w:sz w:val="24"/>
              </w:rPr>
            </w:pPr>
            <w:r>
              <w:rPr>
                <w:rFonts w:hint="eastAsia" w:ascii="宋体" w:hAnsi="宋体" w:cs="宋体"/>
                <w:color w:val="auto"/>
                <w:kern w:val="0"/>
                <w:sz w:val="24"/>
              </w:rPr>
              <w:t>3）有该项目详细的后续服务方案，后续服务体系，后续服务保障措施周全。</w:t>
            </w:r>
          </w:p>
          <w:p>
            <w:pPr>
              <w:jc w:val="left"/>
              <w:rPr>
                <w:rFonts w:ascii="宋体" w:hAnsi="宋体" w:cs="宋体"/>
                <w:color w:val="auto"/>
                <w:kern w:val="0"/>
                <w:sz w:val="24"/>
              </w:rPr>
            </w:pPr>
            <w:r>
              <w:rPr>
                <w:rFonts w:hint="eastAsia" w:ascii="宋体" w:hAnsi="宋体" w:cs="宋体"/>
                <w:color w:val="auto"/>
                <w:kern w:val="0"/>
                <w:sz w:val="24"/>
              </w:rPr>
              <w:t>优秀得5分，良好得4分，较差得0-3分。</w:t>
            </w: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sz w:val="24"/>
              </w:rPr>
              <w:t>0-5</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172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团队实力</w:t>
            </w:r>
          </w:p>
        </w:tc>
        <w:tc>
          <w:tcPr>
            <w:tcW w:w="55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4"/>
              </w:rPr>
            </w:pPr>
            <w:r>
              <w:rPr>
                <w:rFonts w:hint="eastAsia" w:ascii="宋体" w:hAnsi="宋体" w:cs="宋体"/>
                <w:color w:val="auto"/>
                <w:kern w:val="0"/>
                <w:sz w:val="24"/>
              </w:rPr>
              <w:t>1、具备低碳咨询(或低碳研发或低碳管理)专业高级及以上职称的得</w:t>
            </w:r>
            <w:r>
              <w:rPr>
                <w:rFonts w:ascii="宋体" w:hAnsi="宋体" w:cs="宋体"/>
                <w:color w:val="auto"/>
                <w:kern w:val="0"/>
                <w:sz w:val="24"/>
              </w:rPr>
              <w:t>5</w:t>
            </w:r>
            <w:r>
              <w:rPr>
                <w:rFonts w:hint="eastAsia" w:ascii="宋体" w:hAnsi="宋体" w:cs="宋体"/>
                <w:color w:val="auto"/>
                <w:kern w:val="0"/>
                <w:sz w:val="24"/>
              </w:rPr>
              <w:t xml:space="preserve">分；具备低碳咨询(或低碳研发或低碳管理)专业中级职称的得 </w:t>
            </w:r>
            <w:r>
              <w:rPr>
                <w:rFonts w:ascii="宋体" w:hAnsi="宋体" w:cs="宋体"/>
                <w:color w:val="auto"/>
                <w:kern w:val="0"/>
                <w:sz w:val="24"/>
              </w:rPr>
              <w:t>3</w:t>
            </w:r>
            <w:r>
              <w:rPr>
                <w:rFonts w:hint="eastAsia" w:ascii="宋体" w:hAnsi="宋体" w:cs="宋体"/>
                <w:color w:val="auto"/>
                <w:kern w:val="0"/>
                <w:sz w:val="24"/>
              </w:rPr>
              <w:t xml:space="preserve">分，不提供不得分。最高得 </w:t>
            </w:r>
            <w:r>
              <w:rPr>
                <w:rFonts w:ascii="宋体" w:hAnsi="宋体" w:cs="宋体"/>
                <w:color w:val="auto"/>
                <w:kern w:val="0"/>
                <w:sz w:val="24"/>
              </w:rPr>
              <w:t>5</w:t>
            </w:r>
            <w:r>
              <w:rPr>
                <w:rFonts w:hint="eastAsia" w:ascii="宋体" w:hAnsi="宋体" w:cs="宋体"/>
                <w:color w:val="auto"/>
                <w:kern w:val="0"/>
                <w:sz w:val="24"/>
              </w:rPr>
              <w:t xml:space="preserve"> 分；</w:t>
            </w:r>
          </w:p>
          <w:p>
            <w:pPr>
              <w:jc w:val="left"/>
              <w:rPr>
                <w:rFonts w:ascii="宋体" w:hAnsi="宋体" w:cs="宋体"/>
                <w:color w:val="auto"/>
                <w:kern w:val="0"/>
                <w:sz w:val="24"/>
              </w:rPr>
            </w:pPr>
            <w:r>
              <w:rPr>
                <w:rFonts w:hint="eastAsia" w:ascii="宋体" w:hAnsi="宋体" w:cs="宋体"/>
                <w:color w:val="auto"/>
                <w:kern w:val="0"/>
                <w:sz w:val="24"/>
              </w:rPr>
              <w:t>2、项目负责人具有博士学位证书的，得</w:t>
            </w:r>
            <w:r>
              <w:rPr>
                <w:rFonts w:ascii="宋体" w:hAnsi="宋体" w:cs="宋体"/>
                <w:color w:val="auto"/>
                <w:kern w:val="0"/>
                <w:sz w:val="24"/>
              </w:rPr>
              <w:t>3</w:t>
            </w:r>
            <w:r>
              <w:rPr>
                <w:rFonts w:hint="eastAsia" w:ascii="宋体" w:hAnsi="宋体" w:cs="宋体"/>
                <w:color w:val="auto"/>
                <w:kern w:val="0"/>
                <w:sz w:val="24"/>
              </w:rPr>
              <w:t>分，不提供不得分。</w:t>
            </w:r>
          </w:p>
          <w:p>
            <w:pPr>
              <w:jc w:val="left"/>
              <w:rPr>
                <w:rFonts w:ascii="宋体" w:hAnsi="宋体" w:cs="宋体"/>
                <w:color w:val="auto"/>
                <w:kern w:val="0"/>
                <w:sz w:val="24"/>
              </w:rPr>
            </w:pPr>
            <w:r>
              <w:rPr>
                <w:rFonts w:hint="eastAsia" w:ascii="宋体" w:hAnsi="宋体" w:cs="宋体"/>
                <w:color w:val="auto"/>
                <w:kern w:val="0"/>
                <w:sz w:val="24"/>
              </w:rPr>
              <w:t>3、项目负责人具有参与碳中和行动方案编制项目经验的，得</w:t>
            </w:r>
            <w:r>
              <w:rPr>
                <w:rFonts w:ascii="宋体" w:hAnsi="宋体" w:cs="宋体"/>
                <w:color w:val="auto"/>
                <w:kern w:val="0"/>
                <w:sz w:val="24"/>
              </w:rPr>
              <w:t>3</w:t>
            </w:r>
            <w:r>
              <w:rPr>
                <w:rFonts w:hint="eastAsia" w:ascii="宋体" w:hAnsi="宋体" w:cs="宋体"/>
                <w:color w:val="auto"/>
                <w:kern w:val="0"/>
                <w:sz w:val="24"/>
              </w:rPr>
              <w:t>分，不提供不得分。</w:t>
            </w:r>
          </w:p>
          <w:p>
            <w:pPr>
              <w:jc w:val="left"/>
              <w:rPr>
                <w:rFonts w:ascii="宋体" w:hAnsi="宋体" w:cs="宋体"/>
                <w:color w:val="auto"/>
                <w:kern w:val="0"/>
                <w:sz w:val="24"/>
              </w:rPr>
            </w:pPr>
            <w:r>
              <w:rPr>
                <w:rFonts w:hint="eastAsia" w:ascii="宋体" w:hAnsi="宋体" w:cs="宋体"/>
                <w:color w:val="auto"/>
                <w:kern w:val="0"/>
                <w:sz w:val="24"/>
              </w:rPr>
              <w:t>评审依据：提供本人身份证、学位证及职称证书和本单位缴纳的近六个月社保证明，以及业绩合同、或其它业主出具的证明材料，证明材料扫描件需加盖投标人公章。</w:t>
            </w:r>
          </w:p>
        </w:tc>
        <w:tc>
          <w:tcPr>
            <w:tcW w:w="74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sz w:val="24"/>
              </w:rPr>
            </w:pPr>
            <w:r>
              <w:rPr>
                <w:rFonts w:hint="eastAsia" w:ascii="宋体" w:hAnsi="宋体" w:cs="宋体"/>
                <w:color w:val="auto"/>
                <w:kern w:val="0"/>
                <w:sz w:val="24"/>
              </w:rPr>
              <w:t>0-2</w:t>
            </w:r>
            <w:r>
              <w:rPr>
                <w:rFonts w:ascii="宋体" w:hAnsi="宋体" w:cs="宋体"/>
                <w:color w:val="auto"/>
                <w:kern w:val="0"/>
                <w:sz w:val="24"/>
              </w:rPr>
              <w:t>5</w:t>
            </w:r>
          </w:p>
        </w:tc>
        <w:tc>
          <w:tcPr>
            <w:tcW w:w="98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vMerge w:val="continue"/>
            <w:tcBorders>
              <w:left w:val="single" w:color="auto" w:sz="4" w:space="0"/>
              <w:right w:val="single" w:color="auto" w:sz="4" w:space="0"/>
            </w:tcBorders>
          </w:tcPr>
          <w:p>
            <w:pPr>
              <w:widowControl/>
              <w:jc w:val="center"/>
              <w:rPr>
                <w:rFonts w:ascii="宋体" w:hAnsi="宋体" w:cs="宋体"/>
                <w:color w:val="auto"/>
                <w:kern w:val="0"/>
                <w:sz w:val="24"/>
              </w:rPr>
            </w:pPr>
          </w:p>
        </w:tc>
        <w:tc>
          <w:tcPr>
            <w:tcW w:w="1722" w:type="dxa"/>
            <w:vMerge w:val="continue"/>
            <w:tcBorders>
              <w:left w:val="single" w:color="auto" w:sz="4" w:space="0"/>
              <w:right w:val="single" w:color="auto" w:sz="4" w:space="0"/>
            </w:tcBorders>
          </w:tcPr>
          <w:p>
            <w:pPr>
              <w:widowControl/>
              <w:jc w:val="center"/>
              <w:rPr>
                <w:rFonts w:ascii="宋体" w:hAnsi="宋体" w:cs="宋体"/>
                <w:color w:val="auto"/>
                <w:kern w:val="0"/>
                <w:sz w:val="24"/>
              </w:rPr>
            </w:pPr>
          </w:p>
        </w:tc>
        <w:tc>
          <w:tcPr>
            <w:tcW w:w="5593" w:type="dxa"/>
            <w:vAlign w:val="center"/>
          </w:tcPr>
          <w:p>
            <w:pPr>
              <w:jc w:val="left"/>
              <w:rPr>
                <w:rFonts w:ascii="宋体" w:hAnsi="宋体" w:cs="宋体"/>
                <w:color w:val="auto"/>
                <w:kern w:val="0"/>
                <w:sz w:val="24"/>
              </w:rPr>
            </w:pPr>
            <w:r>
              <w:rPr>
                <w:rFonts w:hint="eastAsia" w:ascii="宋体" w:hAnsi="宋体" w:cs="宋体"/>
                <w:color w:val="auto"/>
                <w:kern w:val="0"/>
                <w:sz w:val="24"/>
              </w:rPr>
              <w:t>1、拟投入本项目人数要求在10人或以上且成员中每具备1名高级职称人员或1名博士学历人员的得2分；最高得6分。</w:t>
            </w:r>
          </w:p>
          <w:p>
            <w:pPr>
              <w:jc w:val="left"/>
              <w:rPr>
                <w:rFonts w:ascii="宋体" w:hAnsi="宋体" w:cs="宋体"/>
                <w:color w:val="auto"/>
                <w:kern w:val="0"/>
                <w:sz w:val="24"/>
              </w:rPr>
            </w:pPr>
            <w:r>
              <w:rPr>
                <w:rFonts w:hint="eastAsia" w:ascii="宋体" w:hAnsi="宋体" w:cs="宋体"/>
                <w:color w:val="auto"/>
                <w:kern w:val="0"/>
                <w:sz w:val="24"/>
              </w:rPr>
              <w:t>2、拟投入本项目团队每配备一名低碳或环境相关专业中级技术职称的，每人计2分；最高得8分。</w:t>
            </w:r>
          </w:p>
          <w:p>
            <w:pPr>
              <w:jc w:val="left"/>
              <w:rPr>
                <w:rFonts w:ascii="宋体" w:hAnsi="宋体" w:cs="宋体"/>
                <w:color w:val="auto"/>
                <w:kern w:val="0"/>
                <w:sz w:val="24"/>
              </w:rPr>
            </w:pPr>
            <w:r>
              <w:rPr>
                <w:rFonts w:hint="eastAsia" w:ascii="宋体" w:hAnsi="宋体" w:cs="宋体"/>
                <w:color w:val="auto"/>
                <w:kern w:val="0"/>
                <w:sz w:val="24"/>
              </w:rPr>
              <w:t>评审依据：提供在本公司缴纳近六个月的社保证明及相应人员学历或职称证明文件加盖投标人公章（同一人员的学历与职称不得重复计分）。</w:t>
            </w:r>
          </w:p>
        </w:tc>
        <w:tc>
          <w:tcPr>
            <w:tcW w:w="747" w:type="dxa"/>
            <w:vMerge w:val="continue"/>
            <w:tcBorders>
              <w:left w:val="single" w:color="auto" w:sz="4" w:space="0"/>
              <w:right w:val="single" w:color="auto" w:sz="4" w:space="0"/>
            </w:tcBorders>
          </w:tcPr>
          <w:p>
            <w:pPr>
              <w:widowControl/>
              <w:jc w:val="center"/>
              <w:rPr>
                <w:rFonts w:ascii="宋体" w:hAnsi="宋体" w:cs="宋体"/>
                <w:color w:val="auto"/>
                <w:sz w:val="24"/>
              </w:rPr>
            </w:pPr>
          </w:p>
        </w:tc>
        <w:tc>
          <w:tcPr>
            <w:tcW w:w="985" w:type="dxa"/>
            <w:vMerge w:val="continue"/>
            <w:tcBorders>
              <w:left w:val="single" w:color="auto" w:sz="4" w:space="0"/>
              <w:right w:val="single" w:color="auto" w:sz="4" w:space="0"/>
            </w:tcBorders>
          </w:tcPr>
          <w:p>
            <w:pPr>
              <w:widowControl/>
              <w:jc w:val="center"/>
              <w:rPr>
                <w:rFonts w:ascii="宋体" w:hAnsi="宋体" w:cs="宋体"/>
                <w:color w:val="auto"/>
                <w:kern w:val="0"/>
                <w:sz w:val="24"/>
              </w:rPr>
            </w:pPr>
          </w:p>
        </w:tc>
      </w:tr>
    </w:tbl>
    <w:p>
      <w:pPr>
        <w:spacing w:line="440" w:lineRule="exact"/>
        <w:ind w:firstLine="482" w:firstLineChars="200"/>
        <w:rPr>
          <w:rFonts w:ascii="宋体" w:hAnsi="宋体" w:cs="宋体"/>
          <w:b/>
          <w:color w:val="auto"/>
          <w:sz w:val="24"/>
        </w:rPr>
      </w:pPr>
      <w:r>
        <w:rPr>
          <w:rFonts w:hint="eastAsia" w:ascii="宋体" w:hAnsi="宋体" w:cs="宋体"/>
          <w:b/>
          <w:color w:val="auto"/>
          <w:sz w:val="24"/>
        </w:rPr>
        <w:t>注：1）若交易人对供应商提供的证明资料要求为原件的，另行提出。</w:t>
      </w:r>
    </w:p>
    <w:p>
      <w:pPr>
        <w:spacing w:line="440" w:lineRule="exact"/>
        <w:ind w:firstLine="482" w:firstLineChars="200"/>
        <w:rPr>
          <w:rFonts w:ascii="宋体" w:hAnsi="宋体" w:cs="宋体"/>
          <w:color w:val="auto"/>
          <w:sz w:val="24"/>
        </w:rPr>
      </w:pPr>
      <w:r>
        <w:rPr>
          <w:rFonts w:hint="eastAsia" w:ascii="宋体" w:hAnsi="宋体" w:cs="宋体"/>
          <w:b/>
          <w:color w:val="auto"/>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napToGrid w:val="0"/>
        <w:spacing w:line="570" w:lineRule="exact"/>
        <w:rPr>
          <w:rFonts w:ascii="宋体" w:hAnsi="宋体" w:cs="宋体"/>
          <w:color w:val="auto"/>
          <w:sz w:val="24"/>
        </w:rPr>
      </w:pPr>
      <w:r>
        <w:rPr>
          <w:rFonts w:hint="eastAsia" w:ascii="宋体" w:hAnsi="宋体" w:cs="宋体"/>
          <w:color w:val="auto"/>
          <w:sz w:val="24"/>
        </w:rPr>
        <w:t>2、价格部分评分方法（10分）：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360" w:lineRule="exact"/>
              <w:jc w:val="center"/>
              <w:rPr>
                <w:rFonts w:ascii="宋体" w:hAnsi="宋体" w:cs="宋体"/>
                <w:color w:val="auto"/>
                <w:sz w:val="24"/>
              </w:rPr>
            </w:pPr>
            <w:r>
              <w:rPr>
                <w:rFonts w:hint="eastAsia" w:ascii="宋体" w:hAnsi="宋体" w:cs="宋体"/>
                <w:color w:val="auto"/>
                <w:sz w:val="24"/>
              </w:rPr>
              <w:t>价格权值</w:t>
            </w:r>
          </w:p>
        </w:tc>
        <w:tc>
          <w:tcPr>
            <w:tcW w:w="6971" w:type="dxa"/>
            <w:vAlign w:val="center"/>
          </w:tcPr>
          <w:p>
            <w:pPr>
              <w:adjustRightInd/>
              <w:spacing w:line="360" w:lineRule="exact"/>
              <w:jc w:val="center"/>
              <w:rPr>
                <w:rFonts w:ascii="宋体" w:hAnsi="宋体" w:cs="宋体"/>
                <w:color w:val="auto"/>
                <w:sz w:val="24"/>
              </w:rPr>
            </w:pPr>
            <w:r>
              <w:rPr>
                <w:rFonts w:hint="eastAsia" w:ascii="宋体" w:hAnsi="宋体" w:cs="宋体"/>
                <w:color w:val="auto"/>
                <w:sz w:val="24"/>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spacing w:line="360" w:lineRule="exact"/>
              <w:jc w:val="center"/>
              <w:rPr>
                <w:rFonts w:ascii="宋体" w:hAnsi="宋体" w:cs="宋体"/>
                <w:color w:val="auto"/>
                <w:sz w:val="24"/>
              </w:rPr>
            </w:pPr>
            <w:r>
              <w:rPr>
                <w:rFonts w:hint="eastAsia" w:ascii="宋体" w:hAnsi="宋体" w:cs="宋体"/>
                <w:color w:val="auto"/>
                <w:sz w:val="24"/>
              </w:rPr>
              <w:t>价格权值=0.10</w:t>
            </w:r>
          </w:p>
        </w:tc>
        <w:tc>
          <w:tcPr>
            <w:tcW w:w="6971" w:type="dxa"/>
            <w:vAlign w:val="center"/>
          </w:tcPr>
          <w:p>
            <w:pPr>
              <w:adjustRightInd/>
              <w:spacing w:line="360" w:lineRule="exact"/>
              <w:jc w:val="left"/>
              <w:rPr>
                <w:rFonts w:ascii="宋体" w:hAnsi="宋体" w:cs="宋体"/>
                <w:color w:val="auto"/>
                <w:sz w:val="24"/>
              </w:rPr>
            </w:pPr>
            <w:r>
              <w:rPr>
                <w:rFonts w:hint="eastAsia" w:ascii="宋体" w:hAnsi="宋体" w:cs="宋体"/>
                <w:color w:val="auto"/>
                <w:sz w:val="24"/>
              </w:rPr>
              <w:t>最低有效响应价格为评标基准价</w:t>
            </w:r>
          </w:p>
          <w:p>
            <w:pPr>
              <w:adjustRightInd/>
              <w:spacing w:line="360" w:lineRule="exact"/>
              <w:jc w:val="left"/>
              <w:rPr>
                <w:rFonts w:ascii="宋体" w:hAnsi="宋体" w:cs="宋体"/>
                <w:color w:val="auto"/>
                <w:sz w:val="24"/>
              </w:rPr>
            </w:pPr>
            <w:r>
              <w:rPr>
                <w:rFonts w:hint="eastAsia" w:ascii="宋体" w:hAnsi="宋体" w:cs="宋体"/>
                <w:color w:val="auto"/>
                <w:sz w:val="24"/>
              </w:rPr>
              <w:t>响应报价得分=(评标基准价／响应报价)×价格权值×100</w:t>
            </w:r>
          </w:p>
          <w:p>
            <w:pPr>
              <w:adjustRightInd/>
              <w:spacing w:line="360" w:lineRule="exact"/>
              <w:jc w:val="left"/>
              <w:rPr>
                <w:rFonts w:ascii="宋体" w:hAnsi="宋体" w:cs="宋体"/>
                <w:color w:val="auto"/>
                <w:sz w:val="24"/>
              </w:rPr>
            </w:pPr>
            <w:r>
              <w:rPr>
                <w:rFonts w:hint="eastAsia" w:ascii="宋体" w:hAnsi="宋体" w:cs="宋体"/>
                <w:color w:val="auto"/>
                <w:sz w:val="24"/>
              </w:rPr>
              <w:t>（计算得分保留小数点后2位）</w:t>
            </w:r>
          </w:p>
        </w:tc>
      </w:tr>
    </w:tbl>
    <w:p>
      <w:pPr>
        <w:rPr>
          <w:rFonts w:ascii="宋体" w:hAnsi="宋体" w:cs="宋体"/>
          <w:b/>
          <w:color w:val="auto"/>
          <w:sz w:val="32"/>
        </w:rPr>
      </w:pPr>
      <w:r>
        <w:rPr>
          <w:rFonts w:hint="eastAsia" w:ascii="宋体" w:hAnsi="宋体" w:cs="宋体"/>
          <w:b/>
          <w:color w:val="auto"/>
          <w:sz w:val="32"/>
        </w:rPr>
        <w:br w:type="page"/>
      </w:r>
    </w:p>
    <w:p>
      <w:pPr>
        <w:snapToGrid w:val="0"/>
        <w:spacing w:line="570" w:lineRule="exact"/>
        <w:rPr>
          <w:rFonts w:ascii="宋体" w:hAnsi="宋体" w:cs="宋体"/>
          <w:b/>
          <w:color w:val="auto"/>
          <w:sz w:val="28"/>
          <w:szCs w:val="28"/>
        </w:rPr>
      </w:pPr>
      <w:r>
        <w:rPr>
          <w:rFonts w:hint="eastAsia" w:ascii="宋体" w:hAnsi="宋体" w:cs="宋体"/>
          <w:b/>
          <w:color w:val="auto"/>
          <w:sz w:val="32"/>
        </w:rPr>
        <w:t>一、交易方法</w:t>
      </w:r>
    </w:p>
    <w:p>
      <w:pPr>
        <w:adjustRightInd/>
        <w:spacing w:line="570" w:lineRule="exact"/>
        <w:ind w:firstLine="482" w:firstLineChars="200"/>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综合评分法，是指响应文件满足交易文件全部实质性要求，且按照评审因素的量化指标评审得分最高的供应商为成交候选人的评标方法。</w:t>
      </w:r>
    </w:p>
    <w:p>
      <w:pPr>
        <w:adjustRightInd/>
        <w:spacing w:line="570" w:lineRule="exact"/>
        <w:rPr>
          <w:rFonts w:ascii="宋体" w:hAnsi="宋体" w:cs="宋体"/>
          <w:color w:val="auto"/>
          <w:kern w:val="0"/>
          <w:sz w:val="24"/>
        </w:rPr>
      </w:pPr>
      <w:r>
        <w:rPr>
          <w:rFonts w:hint="eastAsia" w:ascii="宋体" w:hAnsi="宋体" w:cs="宋体"/>
          <w:b/>
          <w:color w:val="auto"/>
          <w:sz w:val="32"/>
        </w:rPr>
        <w:t>二、交易标准</w:t>
      </w:r>
    </w:p>
    <w:p>
      <w:pPr>
        <w:spacing w:line="570" w:lineRule="exact"/>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见交易办法前附表。</w:t>
      </w:r>
    </w:p>
    <w:p>
      <w:pPr>
        <w:spacing w:line="570" w:lineRule="exact"/>
        <w:outlineLvl w:val="0"/>
        <w:rPr>
          <w:rFonts w:ascii="宋体" w:hAnsi="宋体" w:cs="宋体"/>
          <w:b/>
          <w:color w:val="auto"/>
          <w:sz w:val="36"/>
          <w:szCs w:val="36"/>
        </w:rPr>
      </w:pPr>
      <w:r>
        <w:rPr>
          <w:rFonts w:hint="eastAsia" w:ascii="宋体" w:hAnsi="宋体" w:cs="宋体"/>
          <w:b/>
          <w:color w:val="auto"/>
          <w:sz w:val="36"/>
          <w:szCs w:val="36"/>
        </w:rPr>
        <w:t>三、</w:t>
      </w:r>
      <w:r>
        <w:rPr>
          <w:rFonts w:hint="eastAsia" w:ascii="宋体" w:hAnsi="宋体" w:cs="宋体"/>
          <w:b/>
          <w:color w:val="auto"/>
          <w:sz w:val="32"/>
        </w:rPr>
        <w:t>交易程序</w:t>
      </w:r>
    </w:p>
    <w:bookmarkEnd w:id="15"/>
    <w:p>
      <w:pPr>
        <w:spacing w:line="570" w:lineRule="exact"/>
        <w:ind w:firstLine="472" w:firstLineChars="196"/>
        <w:rPr>
          <w:rFonts w:ascii="宋体" w:hAnsi="宋体" w:cs="宋体"/>
          <w:color w:val="auto"/>
          <w:kern w:val="0"/>
          <w:sz w:val="24"/>
        </w:rPr>
      </w:pPr>
      <w:bookmarkStart w:id="381" w:name="第五部分"/>
      <w:bookmarkStart w:id="382" w:name="_Toc86217003"/>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评标委员会应当对符合资格的供应商的响应文件进行符合性审查，以确定其是否满足交易文件的实质性要求。不满足交易文件的实质性要求的，交易无效。</w:t>
      </w:r>
    </w:p>
    <w:p>
      <w:pPr>
        <w:spacing w:line="570" w:lineRule="exact"/>
        <w:ind w:firstLine="472" w:firstLineChars="196"/>
        <w:rPr>
          <w:rFonts w:ascii="宋体" w:hAnsi="宋体" w:cs="宋体"/>
          <w:color w:val="auto"/>
          <w:kern w:val="0"/>
          <w:sz w:val="24"/>
        </w:rPr>
      </w:pPr>
      <w:r>
        <w:rPr>
          <w:rFonts w:hint="eastAsia" w:ascii="宋体" w:hAnsi="宋体" w:cs="宋体"/>
          <w:b/>
          <w:color w:val="auto"/>
          <w:kern w:val="0"/>
          <w:sz w:val="24"/>
        </w:rPr>
        <w:t>3.2比较与评价。</w:t>
      </w:r>
      <w:r>
        <w:rPr>
          <w:rFonts w:hint="eastAsia" w:ascii="宋体" w:hAnsi="宋体" w:cs="宋体"/>
          <w:color w:val="auto"/>
          <w:kern w:val="0"/>
          <w:sz w:val="24"/>
        </w:rPr>
        <w:t>评标委员会应当按照交易文件中规定的评标方法和标准，对符合性审查合格的响应文件进行商务和技术评估，综合比较与评价。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评标委员会各成员应当独立对每个供应商的商务和技术文件进行评价，并汇总商务技术得分情况。</w:t>
      </w:r>
    </w:p>
    <w:p>
      <w:pPr>
        <w:spacing w:line="570" w:lineRule="exact"/>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3"/>
        <w:spacing w:before="0" w:line="570" w:lineRule="exact"/>
        <w:ind w:firstLine="508" w:firstLineChars="212"/>
        <w:rPr>
          <w:rFonts w:ascii="宋体" w:hAnsi="宋体" w:cs="宋体"/>
          <w:color w:val="auto"/>
          <w:kern w:val="0"/>
        </w:rPr>
      </w:pPr>
      <w:r>
        <w:rPr>
          <w:rFonts w:hint="eastAsia" w:ascii="宋体" w:hAnsi="宋体" w:cs="宋体"/>
          <w:color w:val="auto"/>
          <w:kern w:val="0"/>
        </w:rPr>
        <w:t>3.4.1响应文件报价出现前后不一致的，按照下列规定修正：</w:t>
      </w:r>
    </w:p>
    <w:p>
      <w:pPr>
        <w:pStyle w:val="133"/>
        <w:spacing w:before="0" w:line="570" w:lineRule="exact"/>
        <w:ind w:firstLine="480"/>
        <w:rPr>
          <w:rFonts w:ascii="宋体" w:hAnsi="宋体" w:cs="宋体"/>
          <w:color w:val="auto"/>
          <w:kern w:val="0"/>
          <w:szCs w:val="24"/>
        </w:rPr>
      </w:pPr>
      <w:r>
        <w:rPr>
          <w:rFonts w:hint="eastAsia" w:ascii="宋体" w:hAnsi="宋体" w:cs="宋体"/>
          <w:color w:val="auto"/>
          <w:kern w:val="0"/>
          <w:szCs w:val="24"/>
        </w:rPr>
        <w:t>3.4.1.1响应文件中交易一览表(报价表)内容与响应文件中相应内容不一致的，以交易一览表(报价表)为准;</w:t>
      </w:r>
    </w:p>
    <w:p>
      <w:pPr>
        <w:pStyle w:val="133"/>
        <w:spacing w:before="0" w:line="570" w:lineRule="exact"/>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3"/>
        <w:spacing w:before="0" w:line="570" w:lineRule="exact"/>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3.4.1.3单价金额小数点或者百分比有明显错位的，以交易一览表的总价为准，并修改单价;</w:t>
      </w:r>
    </w:p>
    <w:p>
      <w:pPr>
        <w:pStyle w:val="133"/>
        <w:spacing w:before="0" w:line="570" w:lineRule="exact"/>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3"/>
        <w:spacing w:before="0" w:line="570" w:lineRule="exact"/>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570" w:lineRule="exact"/>
        <w:ind w:firstLine="480" w:firstLineChars="200"/>
        <w:jc w:val="left"/>
        <w:rPr>
          <w:rFonts w:ascii="宋体" w:hAnsi="宋体" w:cs="宋体"/>
          <w:color w:val="auto"/>
          <w:kern w:val="0"/>
          <w:sz w:val="24"/>
        </w:rPr>
      </w:pPr>
      <w:r>
        <w:rPr>
          <w:rFonts w:hint="eastAsia" w:ascii="宋体" w:hAnsi="宋体" w:cs="宋体"/>
          <w:color w:val="auto"/>
          <w:kern w:val="0"/>
          <w:sz w:val="24"/>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rPr>
      </w:pPr>
      <w:r>
        <w:rPr>
          <w:rFonts w:hint="eastAsia" w:ascii="宋体" w:hAnsi="宋体" w:cs="宋体"/>
          <w:color w:val="auto"/>
          <w:kern w:val="0"/>
          <w:sz w:val="24"/>
        </w:rPr>
        <w:t>3.4.3交易报价超过交易文件中规定的预算金额或者最高限价的，交易无效。</w:t>
      </w:r>
    </w:p>
    <w:p>
      <w:pPr>
        <w:pStyle w:val="133"/>
        <w:spacing w:before="0" w:line="570" w:lineRule="exact"/>
        <w:ind w:firstLine="480"/>
        <w:rPr>
          <w:rFonts w:ascii="宋体" w:hAnsi="宋体" w:cs="宋体"/>
          <w:color w:val="auto"/>
          <w:kern w:val="0"/>
          <w:szCs w:val="24"/>
        </w:rPr>
      </w:pPr>
      <w:r>
        <w:rPr>
          <w:rFonts w:hint="eastAsia" w:ascii="宋体" w:hAnsi="宋体" w:cs="宋体"/>
          <w:color w:val="auto"/>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pacing w:line="570" w:lineRule="exact"/>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pPr>
        <w:spacing w:line="570" w:lineRule="exact"/>
        <w:rPr>
          <w:rFonts w:ascii="宋体" w:hAnsi="宋体" w:cs="宋体"/>
          <w:b/>
          <w:color w:val="auto"/>
          <w:kern w:val="0"/>
          <w:sz w:val="24"/>
        </w:rPr>
      </w:pPr>
      <w:r>
        <w:rPr>
          <w:rFonts w:hint="eastAsia" w:ascii="宋体" w:hAnsi="宋体" w:cs="宋体"/>
          <w:color w:val="auto"/>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pPr>
        <w:spacing w:line="570" w:lineRule="exact"/>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570" w:lineRule="exact"/>
        <w:jc w:val="left"/>
        <w:rPr>
          <w:rFonts w:ascii="宋体" w:hAnsi="宋体" w:cs="宋体"/>
          <w:b/>
          <w:color w:val="auto"/>
          <w:sz w:val="32"/>
        </w:rPr>
      </w:pPr>
      <w:r>
        <w:rPr>
          <w:rFonts w:hint="eastAsia" w:ascii="宋体" w:hAnsi="宋体" w:cs="宋体"/>
          <w:b/>
          <w:color w:val="auto"/>
          <w:sz w:val="32"/>
        </w:rPr>
        <w:t>四、评标中的其他事项</w:t>
      </w:r>
    </w:p>
    <w:p>
      <w:pPr>
        <w:pStyle w:val="133"/>
        <w:spacing w:before="0" w:line="570" w:lineRule="exact"/>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570" w:lineRule="exact"/>
        <w:ind w:left="954" w:leftChars="226" w:hanging="479" w:firstLineChars="0"/>
        <w:rPr>
          <w:rFonts w:cs="宋体"/>
          <w:color w:val="auto"/>
          <w:szCs w:val="21"/>
        </w:rPr>
      </w:pPr>
      <w:r>
        <w:rPr>
          <w:rFonts w:hint="eastAsia" w:cs="宋体"/>
          <w:b/>
          <w:color w:val="auto"/>
          <w:kern w:val="0"/>
        </w:rPr>
        <w:t>4.2交易无效。</w:t>
      </w:r>
      <w:r>
        <w:rPr>
          <w:rFonts w:hint="eastAsia" w:cs="宋体"/>
          <w:color w:val="auto"/>
          <w:szCs w:val="21"/>
        </w:rPr>
        <w:t>有下列情形之一的，交易无效：</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4.2.1供应商不具备交易文件中规定的资格要求的（供应商未提供有效的资格文件的，视为供应商不具备交易文件中规定的资格要求）；</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4.2.2响应文件未按照交易文件要求签署、盖章的；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4.2.3交易人拟采购的产品属于政府强制采购的节能产品品目清单范围的，供应商未按交易文件要求提供国家确定的认证机构出具的、处于有效期之内的节能产品认证证书的；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4.2.4响应文件含有交易人不能接受的附加条件的；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4.2.5响应文件中承诺的交易有效期少于交易文件中载明的交易有效期的；</w:t>
      </w:r>
    </w:p>
    <w:p>
      <w:pPr>
        <w:snapToGrid w:val="0"/>
        <w:spacing w:line="570" w:lineRule="exact"/>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4.2.6响应文件出现不是唯一的、有选择性交易报价的;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4.2.7交易报价超过交易文件中规定的预算金额或者最高限价的;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4.2.10供应商提供虚假材料投标的；</w:t>
      </w:r>
    </w:p>
    <w:p>
      <w:pPr>
        <w:spacing w:line="570" w:lineRule="exact"/>
        <w:ind w:firstLine="240" w:firstLineChars="100"/>
        <w:rPr>
          <w:rFonts w:ascii="宋体" w:hAnsi="宋体" w:cs="宋体"/>
          <w:color w:val="auto"/>
          <w:kern w:val="0"/>
          <w:sz w:val="24"/>
        </w:rPr>
      </w:pPr>
      <w:r>
        <w:rPr>
          <w:rFonts w:hint="eastAsia" w:ascii="宋体" w:hAnsi="宋体" w:cs="宋体"/>
          <w:color w:val="auto"/>
          <w:kern w:val="0"/>
          <w:sz w:val="24"/>
        </w:rPr>
        <w:t xml:space="preserve">  4.2.11供应商有恶意串通、妨碍其他供应商的竞争行为、损害交易人或者其他供应商的合法权益情形的；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4.2.12供应商仅提交备份响应文件，未在电子交易平台传输递交响应文件的，交易无效；</w:t>
      </w:r>
    </w:p>
    <w:p>
      <w:pPr>
        <w:pStyle w:val="5"/>
        <w:spacing w:line="570" w:lineRule="exact"/>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4.2.13响应文件不满足交易文件的其它实质性要求的；</w:t>
      </w:r>
    </w:p>
    <w:p>
      <w:pPr>
        <w:spacing w:line="570" w:lineRule="exact"/>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5"/>
        <w:snapToGrid w:val="0"/>
        <w:spacing w:line="570" w:lineRule="exact"/>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570" w:lineRule="exact"/>
        <w:rPr>
          <w:rFonts w:cs="宋体"/>
          <w:color w:val="auto"/>
        </w:rPr>
      </w:pPr>
      <w:r>
        <w:rPr>
          <w:rFonts w:hint="eastAsia" w:cs="宋体"/>
          <w:color w:val="auto"/>
        </w:rPr>
        <w:t>5.1符合专业条件的供应商或者对交易文件作实质响应的供应商不足3家的；</w:t>
      </w:r>
    </w:p>
    <w:p>
      <w:pPr>
        <w:pStyle w:val="25"/>
        <w:snapToGrid w:val="0"/>
        <w:spacing w:line="570" w:lineRule="exact"/>
        <w:rPr>
          <w:rFonts w:cs="宋体"/>
          <w:color w:val="auto"/>
        </w:rPr>
      </w:pPr>
      <w:r>
        <w:rPr>
          <w:rFonts w:hint="eastAsia" w:cs="宋体"/>
          <w:color w:val="auto"/>
        </w:rPr>
        <w:t>5.2出现影响采购公正的违法、违规行为的；</w:t>
      </w:r>
    </w:p>
    <w:p>
      <w:pPr>
        <w:pStyle w:val="25"/>
        <w:snapToGrid w:val="0"/>
        <w:spacing w:line="570" w:lineRule="exact"/>
        <w:rPr>
          <w:rFonts w:cs="宋体"/>
          <w:color w:val="auto"/>
        </w:rPr>
      </w:pPr>
      <w:r>
        <w:rPr>
          <w:rFonts w:hint="eastAsia" w:cs="宋体"/>
          <w:color w:val="auto"/>
        </w:rPr>
        <w:t>5.3供应商的报价均超过了采购预算，交易人不能支付的；</w:t>
      </w:r>
    </w:p>
    <w:p>
      <w:pPr>
        <w:pStyle w:val="25"/>
        <w:snapToGrid w:val="0"/>
        <w:spacing w:line="570" w:lineRule="exact"/>
        <w:rPr>
          <w:rFonts w:cs="宋体"/>
          <w:color w:val="auto"/>
        </w:rPr>
      </w:pPr>
      <w:r>
        <w:rPr>
          <w:rFonts w:hint="eastAsia" w:cs="宋体"/>
          <w:color w:val="auto"/>
        </w:rPr>
        <w:t>5.4因重大变故，采购任务取消的。</w:t>
      </w:r>
    </w:p>
    <w:p>
      <w:pPr>
        <w:pStyle w:val="25"/>
        <w:snapToGrid w:val="0"/>
        <w:spacing w:line="570" w:lineRule="exact"/>
        <w:rPr>
          <w:rFonts w:cs="宋体"/>
          <w:color w:val="auto"/>
        </w:rPr>
      </w:pPr>
      <w:r>
        <w:rPr>
          <w:rFonts w:hint="eastAsia" w:cs="宋体"/>
          <w:color w:val="auto"/>
        </w:rPr>
        <w:t>废标后，采购机构应当将废标理由通知所有供应商。</w:t>
      </w:r>
    </w:p>
    <w:p>
      <w:pPr>
        <w:pStyle w:val="25"/>
        <w:snapToGrid w:val="0"/>
        <w:spacing w:line="570" w:lineRule="exact"/>
        <w:ind w:firstLine="590" w:firstLineChars="245"/>
        <w:rPr>
          <w:rFonts w:cs="宋体"/>
          <w:color w:val="auto"/>
        </w:rPr>
      </w:pPr>
      <w:r>
        <w:rPr>
          <w:rFonts w:hint="eastAsia" w:cs="宋体"/>
          <w:b/>
          <w:color w:val="auto"/>
        </w:rPr>
        <w:t>6.修改交易文件，重新组织采购活动。</w:t>
      </w:r>
      <w:r>
        <w:rPr>
          <w:rFonts w:hint="eastAsia" w:cs="宋体"/>
          <w:color w:val="auto"/>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pPr>
        <w:pStyle w:val="25"/>
        <w:snapToGrid w:val="0"/>
        <w:spacing w:line="570" w:lineRule="exact"/>
        <w:ind w:firstLine="590" w:firstLineChars="245"/>
        <w:rPr>
          <w:rFonts w:cs="宋体"/>
          <w:color w:val="auto"/>
        </w:rPr>
      </w:pPr>
      <w:r>
        <w:rPr>
          <w:rFonts w:hint="eastAsia" w:cs="宋体"/>
          <w:b/>
          <w:color w:val="auto"/>
          <w:kern w:val="0"/>
        </w:rPr>
        <w:t>7.重新开展交易。</w:t>
      </w:r>
      <w:r>
        <w:rPr>
          <w:rFonts w:hint="eastAsia" w:cs="宋体"/>
          <w:color w:val="auto"/>
        </w:rPr>
        <w:t>影响或者可能影响</w:t>
      </w:r>
      <w:r>
        <w:rPr>
          <w:rFonts w:hint="eastAsia" w:cs="宋体"/>
          <w:color w:val="auto"/>
          <w:kern w:val="0"/>
        </w:rPr>
        <w:t>成交</w:t>
      </w:r>
      <w:r>
        <w:rPr>
          <w:rFonts w:hint="eastAsia" w:cs="宋体"/>
          <w:color w:val="auto"/>
        </w:rPr>
        <w:t>、成交结果的，依照下列规定处理：</w:t>
      </w:r>
    </w:p>
    <w:p>
      <w:pPr>
        <w:pStyle w:val="25"/>
        <w:snapToGrid w:val="0"/>
        <w:spacing w:line="570" w:lineRule="exact"/>
        <w:ind w:firstLine="600" w:firstLineChars="250"/>
        <w:rPr>
          <w:rFonts w:cs="宋体"/>
          <w:color w:val="auto"/>
        </w:rPr>
      </w:pPr>
      <w:r>
        <w:rPr>
          <w:rFonts w:hint="eastAsia" w:cs="宋体"/>
          <w:color w:val="auto"/>
        </w:rPr>
        <w:t>7.1未确定</w:t>
      </w:r>
      <w:r>
        <w:rPr>
          <w:rFonts w:hint="eastAsia" w:cs="宋体"/>
          <w:color w:val="auto"/>
          <w:kern w:val="0"/>
        </w:rPr>
        <w:t>成交</w:t>
      </w:r>
      <w:r>
        <w:rPr>
          <w:rFonts w:hint="eastAsia" w:cs="宋体"/>
          <w:color w:val="auto"/>
        </w:rPr>
        <w:t>或者成交人的，终止本次交易活动，重新开展交易活动。</w:t>
      </w:r>
    </w:p>
    <w:p>
      <w:pPr>
        <w:pStyle w:val="25"/>
        <w:snapToGrid w:val="0"/>
        <w:spacing w:line="570" w:lineRule="exact"/>
        <w:ind w:firstLine="600" w:firstLineChars="250"/>
        <w:rPr>
          <w:rFonts w:cs="宋体"/>
          <w:color w:val="auto"/>
        </w:rPr>
      </w:pPr>
      <w:r>
        <w:rPr>
          <w:rFonts w:hint="eastAsia" w:cs="宋体"/>
          <w:color w:val="auto"/>
        </w:rPr>
        <w:t>7.2已确定</w:t>
      </w:r>
      <w:r>
        <w:rPr>
          <w:rFonts w:hint="eastAsia" w:cs="宋体"/>
          <w:color w:val="auto"/>
          <w:kern w:val="0"/>
        </w:rPr>
        <w:t>成交</w:t>
      </w:r>
      <w:r>
        <w:rPr>
          <w:rFonts w:hint="eastAsia" w:cs="宋体"/>
          <w:color w:val="auto"/>
        </w:rPr>
        <w:t>或者成交人但尚未签订合同的，</w:t>
      </w:r>
      <w:r>
        <w:rPr>
          <w:rFonts w:hint="eastAsia" w:cs="宋体"/>
          <w:color w:val="auto"/>
          <w:kern w:val="0"/>
        </w:rPr>
        <w:t>成交</w:t>
      </w:r>
      <w:r>
        <w:rPr>
          <w:rFonts w:hint="eastAsia" w:cs="宋体"/>
          <w:color w:val="auto"/>
        </w:rPr>
        <w:t>或者成交结果无效，从合格的</w:t>
      </w:r>
      <w:r>
        <w:rPr>
          <w:rFonts w:hint="eastAsia" w:cs="宋体"/>
          <w:color w:val="auto"/>
          <w:kern w:val="0"/>
        </w:rPr>
        <w:t>成交</w:t>
      </w:r>
      <w:r>
        <w:rPr>
          <w:rFonts w:hint="eastAsia" w:cs="宋体"/>
          <w:color w:val="auto"/>
        </w:rPr>
        <w:t>或者成交候选人中另行确定</w:t>
      </w:r>
      <w:r>
        <w:rPr>
          <w:rFonts w:hint="eastAsia" w:cs="宋体"/>
          <w:color w:val="auto"/>
          <w:kern w:val="0"/>
        </w:rPr>
        <w:t>成交</w:t>
      </w:r>
      <w:r>
        <w:rPr>
          <w:rFonts w:hint="eastAsia" w:cs="宋体"/>
          <w:color w:val="auto"/>
        </w:rPr>
        <w:t>或者成交人；没有合格的</w:t>
      </w:r>
      <w:r>
        <w:rPr>
          <w:rFonts w:hint="eastAsia" w:cs="宋体"/>
          <w:color w:val="auto"/>
          <w:kern w:val="0"/>
        </w:rPr>
        <w:t>成交</w:t>
      </w:r>
      <w:r>
        <w:rPr>
          <w:rFonts w:hint="eastAsia" w:cs="宋体"/>
          <w:color w:val="auto"/>
        </w:rPr>
        <w:t>或者成交候选人的，重新开展交易活动。</w:t>
      </w:r>
    </w:p>
    <w:p>
      <w:pPr>
        <w:pStyle w:val="25"/>
        <w:snapToGrid w:val="0"/>
        <w:spacing w:line="570" w:lineRule="exact"/>
        <w:ind w:firstLine="600" w:firstLineChars="250"/>
        <w:rPr>
          <w:rFonts w:cs="宋体"/>
          <w:color w:val="auto"/>
        </w:rPr>
      </w:pPr>
      <w:r>
        <w:rPr>
          <w:rFonts w:hint="eastAsia" w:cs="宋体"/>
          <w:color w:val="auto"/>
        </w:rPr>
        <w:t>7.3采购合同已签订但尚未履行的，撤销合同，从合格的</w:t>
      </w:r>
      <w:r>
        <w:rPr>
          <w:rFonts w:hint="eastAsia" w:cs="宋体"/>
          <w:color w:val="auto"/>
          <w:kern w:val="0"/>
        </w:rPr>
        <w:t>成交</w:t>
      </w:r>
      <w:r>
        <w:rPr>
          <w:rFonts w:hint="eastAsia" w:cs="宋体"/>
          <w:color w:val="auto"/>
        </w:rPr>
        <w:t>或者成交候选人中另行确定</w:t>
      </w:r>
      <w:r>
        <w:rPr>
          <w:rFonts w:hint="eastAsia" w:cs="宋体"/>
          <w:color w:val="auto"/>
          <w:kern w:val="0"/>
        </w:rPr>
        <w:t>成交</w:t>
      </w:r>
      <w:r>
        <w:rPr>
          <w:rFonts w:hint="eastAsia" w:cs="宋体"/>
          <w:color w:val="auto"/>
        </w:rPr>
        <w:t>或者成交人；没有合格的</w:t>
      </w:r>
      <w:r>
        <w:rPr>
          <w:rFonts w:hint="eastAsia" w:cs="宋体"/>
          <w:color w:val="auto"/>
          <w:kern w:val="0"/>
        </w:rPr>
        <w:t>成交</w:t>
      </w:r>
      <w:r>
        <w:rPr>
          <w:rFonts w:hint="eastAsia" w:cs="宋体"/>
          <w:color w:val="auto"/>
        </w:rPr>
        <w:t>或者成交候选人的，重新开展交易活动。</w:t>
      </w:r>
    </w:p>
    <w:p>
      <w:pPr>
        <w:pStyle w:val="25"/>
        <w:snapToGrid w:val="0"/>
        <w:spacing w:line="570" w:lineRule="exact"/>
        <w:rPr>
          <w:rFonts w:cs="宋体"/>
          <w:color w:val="auto"/>
        </w:rPr>
      </w:pPr>
      <w:r>
        <w:rPr>
          <w:rFonts w:hint="eastAsia" w:cs="宋体"/>
          <w:color w:val="auto"/>
        </w:rPr>
        <w:t>7.4采购合同已经履行，给交易人、供应商造成损失的，由责任人承担赔偿责任。</w:t>
      </w:r>
    </w:p>
    <w:p>
      <w:pPr>
        <w:pStyle w:val="25"/>
        <w:snapToGrid w:val="0"/>
        <w:spacing w:line="570" w:lineRule="exact"/>
        <w:rPr>
          <w:rFonts w:cs="宋体"/>
          <w:color w:val="auto"/>
        </w:rPr>
      </w:pPr>
      <w:r>
        <w:rPr>
          <w:rFonts w:hint="eastAsia" w:cs="宋体"/>
          <w:color w:val="auto"/>
        </w:rPr>
        <w:t>7.5采购当事人有其他违反政府采购法</w:t>
      </w:r>
      <w:r>
        <w:rPr>
          <w:rFonts w:hint="eastAsia" w:cs="宋体"/>
          <w:color w:val="auto"/>
          <w:kern w:val="0"/>
        </w:rPr>
        <w:t>或者政府采购法实施条例等法律法规规定</w:t>
      </w:r>
      <w:r>
        <w:rPr>
          <w:rFonts w:hint="eastAsia" w:cs="宋体"/>
          <w:color w:val="auto"/>
        </w:rPr>
        <w:t>的行为，经改正后仍然影响或者可能影响</w:t>
      </w:r>
      <w:r>
        <w:rPr>
          <w:rFonts w:hint="eastAsia" w:cs="宋体"/>
          <w:color w:val="auto"/>
          <w:kern w:val="0"/>
        </w:rPr>
        <w:t>成交</w:t>
      </w:r>
      <w:r>
        <w:rPr>
          <w:rFonts w:hint="eastAsia" w:cs="宋体"/>
          <w:color w:val="auto"/>
        </w:rPr>
        <w:t>、成交结果或者依法被认定为</w:t>
      </w:r>
      <w:r>
        <w:rPr>
          <w:rFonts w:hint="eastAsia" w:cs="宋体"/>
          <w:color w:val="auto"/>
          <w:kern w:val="0"/>
        </w:rPr>
        <w:t>成交</w:t>
      </w:r>
      <w:r>
        <w:rPr>
          <w:rFonts w:hint="eastAsia" w:cs="宋体"/>
          <w:color w:val="auto"/>
        </w:rPr>
        <w:t>、成交无效的，依照7.1-7.4规定处理。</w:t>
      </w:r>
    </w:p>
    <w:p>
      <w:pPr>
        <w:pStyle w:val="25"/>
        <w:snapToGrid w:val="0"/>
        <w:spacing w:line="360" w:lineRule="auto"/>
        <w:rPr>
          <w:rFonts w:cs="宋体"/>
          <w:color w:val="auto"/>
        </w:rPr>
      </w:pPr>
      <w:r>
        <w:rPr>
          <w:rFonts w:hint="eastAsia" w:cs="宋体"/>
          <w:color w:val="auto"/>
        </w:rPr>
        <w:t xml:space="preserve"> </w:t>
      </w:r>
    </w:p>
    <w:p>
      <w:pPr>
        <w:pStyle w:val="17"/>
        <w:rPr>
          <w:rFonts w:hAnsi="宋体" w:cs="宋体"/>
          <w:color w:val="auto"/>
        </w:rPr>
      </w:pPr>
    </w:p>
    <w:p>
      <w:pPr>
        <w:rPr>
          <w:rFonts w:ascii="宋体" w:hAnsi="宋体" w:cs="宋体"/>
          <w:color w:val="auto"/>
        </w:rPr>
      </w:pPr>
    </w:p>
    <w:p>
      <w:pPr>
        <w:rPr>
          <w:rFonts w:ascii="宋体" w:hAnsi="宋体" w:cs="宋体"/>
          <w:b/>
          <w:color w:val="auto"/>
          <w:sz w:val="36"/>
          <w:szCs w:val="36"/>
        </w:rPr>
      </w:pPr>
      <w:r>
        <w:rPr>
          <w:rFonts w:hint="eastAsia" w:ascii="宋体" w:hAnsi="宋体" w:cs="宋体"/>
          <w:b/>
          <w:color w:val="auto"/>
          <w:sz w:val="36"/>
          <w:szCs w:val="36"/>
        </w:rPr>
        <w:br w:type="page"/>
      </w:r>
    </w:p>
    <w:p>
      <w:pPr>
        <w:spacing w:line="360" w:lineRule="auto"/>
        <w:ind w:left="718" w:leftChars="342" w:firstLine="119" w:firstLineChars="33"/>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spacing w:line="360" w:lineRule="auto"/>
        <w:ind w:firstLine="480" w:firstLineChars="200"/>
        <w:rPr>
          <w:rFonts w:ascii="宋体" w:hAnsi="宋体" w:cs="宋体"/>
          <w:color w:val="auto"/>
          <w:sz w:val="24"/>
        </w:rPr>
      </w:pPr>
      <w:r>
        <w:rPr>
          <w:rFonts w:hint="eastAsia" w:ascii="宋体" w:hAnsi="宋体" w:cs="宋体"/>
          <w:color w:val="auto"/>
          <w:sz w:val="24"/>
        </w:rPr>
        <w:t>合同编号：</w:t>
      </w:r>
    </w:p>
    <w:p>
      <w:pPr>
        <w:spacing w:line="360" w:lineRule="auto"/>
        <w:ind w:firstLine="480" w:firstLineChars="200"/>
        <w:rPr>
          <w:rFonts w:ascii="宋体" w:hAnsi="宋体" w:cs="宋体"/>
          <w:color w:val="auto"/>
          <w:sz w:val="24"/>
        </w:rPr>
      </w:pPr>
      <w:r>
        <w:rPr>
          <w:rFonts w:hint="eastAsia" w:ascii="宋体" w:hAnsi="宋体" w:cs="宋体"/>
          <w:color w:val="auto"/>
          <w:sz w:val="24"/>
        </w:rPr>
        <w:t>签订地点：                                 签订时间：20</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ind w:firstLine="480" w:firstLineChars="200"/>
        <w:rPr>
          <w:rFonts w:ascii="宋体" w:hAnsi="宋体" w:cs="宋体"/>
          <w:color w:val="auto"/>
          <w:sz w:val="24"/>
        </w:rPr>
      </w:pPr>
      <w:r>
        <w:rPr>
          <w:rFonts w:hint="eastAsia" w:ascii="宋体" w:hAnsi="宋体" w:cs="宋体"/>
          <w:color w:val="auto"/>
          <w:sz w:val="24"/>
        </w:rPr>
        <w:t>项目名称：</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甲方（需方）：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乙方（供方）：                                     </w:t>
      </w:r>
    </w:p>
    <w:p>
      <w:pPr>
        <w:spacing w:line="360" w:lineRule="auto"/>
        <w:ind w:firstLine="480" w:firstLineChars="200"/>
        <w:rPr>
          <w:rFonts w:ascii="宋体" w:hAnsi="宋体" w:cs="宋体"/>
          <w:color w:val="auto"/>
          <w:sz w:val="24"/>
        </w:rPr>
      </w:pPr>
      <w:r>
        <w:rPr>
          <w:rFonts w:hint="eastAsia" w:ascii="宋体" w:hAnsi="宋体" w:cs="宋体"/>
          <w:color w:val="auto"/>
          <w:sz w:val="24"/>
        </w:rPr>
        <w:t>供、需双方根据杭州市萧山区</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）交易结果和交易文件的要求，并经双方协调一致，订立本合同。</w:t>
      </w:r>
    </w:p>
    <w:p>
      <w:pPr>
        <w:spacing w:line="360" w:lineRule="auto"/>
        <w:ind w:firstLine="480" w:firstLineChars="200"/>
        <w:rPr>
          <w:rFonts w:ascii="宋体" w:hAnsi="宋体" w:cs="宋体"/>
          <w:color w:val="auto"/>
          <w:sz w:val="24"/>
        </w:rPr>
      </w:pPr>
      <w:r>
        <w:rPr>
          <w:rFonts w:hint="eastAsia" w:ascii="宋体" w:hAnsi="宋体" w:cs="宋体"/>
          <w:color w:val="auto"/>
          <w:sz w:val="24"/>
        </w:rPr>
        <w:t>一、合同文件：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1、合同条款。</w:t>
      </w:r>
    </w:p>
    <w:p>
      <w:pPr>
        <w:spacing w:line="360" w:lineRule="auto"/>
        <w:ind w:firstLine="480" w:firstLineChars="200"/>
        <w:rPr>
          <w:rFonts w:ascii="宋体" w:hAnsi="宋体" w:cs="宋体"/>
          <w:color w:val="auto"/>
          <w:sz w:val="24"/>
        </w:rPr>
      </w:pPr>
      <w:r>
        <w:rPr>
          <w:rFonts w:hint="eastAsia" w:ascii="宋体" w:hAnsi="宋体" w:cs="宋体"/>
          <w:color w:val="auto"/>
          <w:sz w:val="24"/>
        </w:rPr>
        <w:t>2、成交通知书。</w:t>
      </w:r>
    </w:p>
    <w:p>
      <w:pPr>
        <w:spacing w:line="360" w:lineRule="auto"/>
        <w:ind w:firstLine="480" w:firstLineChars="200"/>
        <w:rPr>
          <w:rFonts w:ascii="宋体" w:hAnsi="宋体" w:cs="宋体"/>
          <w:color w:val="auto"/>
          <w:sz w:val="24"/>
        </w:rPr>
      </w:pPr>
      <w:r>
        <w:rPr>
          <w:rFonts w:hint="eastAsia" w:ascii="宋体" w:hAnsi="宋体" w:cs="宋体"/>
          <w:color w:val="auto"/>
          <w:sz w:val="24"/>
        </w:rPr>
        <w:t>3、交易文件。</w:t>
      </w:r>
    </w:p>
    <w:p>
      <w:pPr>
        <w:spacing w:line="360" w:lineRule="auto"/>
        <w:ind w:firstLine="480" w:firstLineChars="200"/>
        <w:rPr>
          <w:rFonts w:ascii="宋体" w:hAnsi="宋体" w:cs="宋体"/>
          <w:color w:val="auto"/>
          <w:sz w:val="24"/>
        </w:rPr>
      </w:pPr>
      <w:r>
        <w:rPr>
          <w:rFonts w:hint="eastAsia" w:ascii="宋体" w:hAnsi="宋体" w:cs="宋体"/>
          <w:color w:val="auto"/>
          <w:sz w:val="24"/>
        </w:rPr>
        <w:t>4、更正公告。</w:t>
      </w:r>
    </w:p>
    <w:p>
      <w:pPr>
        <w:spacing w:line="360" w:lineRule="auto"/>
        <w:ind w:firstLine="480" w:firstLineChars="200"/>
        <w:rPr>
          <w:rFonts w:ascii="宋体" w:hAnsi="宋体" w:cs="宋体"/>
          <w:color w:val="auto"/>
          <w:sz w:val="24"/>
        </w:rPr>
      </w:pPr>
      <w:r>
        <w:rPr>
          <w:rFonts w:hint="eastAsia" w:ascii="宋体" w:hAnsi="宋体" w:cs="宋体"/>
          <w:color w:val="auto"/>
          <w:sz w:val="24"/>
        </w:rPr>
        <w:t>5、成交单位响应文件。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6、其他。</w:t>
      </w:r>
    </w:p>
    <w:p>
      <w:pPr>
        <w:spacing w:line="360" w:lineRule="auto"/>
        <w:ind w:left="479" w:leftChars="228"/>
        <w:rPr>
          <w:rFonts w:ascii="宋体" w:hAnsi="宋体" w:cs="宋体"/>
          <w:color w:val="auto"/>
          <w:sz w:val="24"/>
        </w:rPr>
      </w:pPr>
      <w:r>
        <w:rPr>
          <w:rFonts w:hint="eastAsia" w:ascii="宋体" w:hAnsi="宋体" w:cs="宋体"/>
          <w:color w:val="auto"/>
          <w:sz w:val="24"/>
        </w:rPr>
        <w:t>二、合同金额: 本合同金额为(大写)_________________元（￥</w:t>
      </w:r>
      <w:r>
        <w:rPr>
          <w:rFonts w:hint="eastAsia" w:ascii="宋体" w:hAnsi="宋体" w:cs="宋体"/>
          <w:color w:val="auto"/>
          <w:sz w:val="24"/>
          <w:u w:val="single"/>
        </w:rPr>
        <w:t>　　　　</w:t>
      </w:r>
      <w:r>
        <w:rPr>
          <w:rFonts w:hint="eastAsia" w:ascii="宋体" w:hAnsi="宋体" w:cs="宋体"/>
          <w:color w:val="auto"/>
          <w:sz w:val="24"/>
        </w:rPr>
        <w:t>元）人民币附：</w:t>
      </w:r>
    </w:p>
    <w:p>
      <w:pPr>
        <w:spacing w:line="360" w:lineRule="auto"/>
        <w:jc w:val="center"/>
        <w:rPr>
          <w:rFonts w:ascii="宋体" w:hAnsi="宋体" w:cs="宋体"/>
          <w:color w:val="auto"/>
          <w:sz w:val="24"/>
        </w:rPr>
      </w:pPr>
      <w:r>
        <w:rPr>
          <w:rFonts w:hint="eastAsia" w:ascii="宋体" w:hAnsi="宋体" w:cs="宋体"/>
          <w:color w:val="auto"/>
          <w:sz w:val="24"/>
        </w:rPr>
        <w:t>《项目清单内容》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bl>
    <w:p>
      <w:pPr>
        <w:spacing w:line="360" w:lineRule="auto"/>
        <w:ind w:firstLine="480" w:firstLineChars="200"/>
        <w:rPr>
          <w:rFonts w:ascii="宋体" w:hAnsi="宋体" w:cs="宋体"/>
          <w:color w:val="auto"/>
          <w:sz w:val="24"/>
        </w:rPr>
      </w:pPr>
      <w:r>
        <w:rPr>
          <w:rFonts w:hint="eastAsia" w:ascii="宋体" w:hAnsi="宋体" w:cs="宋体"/>
          <w:color w:val="auto"/>
          <w:sz w:val="24"/>
        </w:rPr>
        <w:t>三、技术资料</w:t>
      </w:r>
    </w:p>
    <w:p>
      <w:pPr>
        <w:spacing w:line="360" w:lineRule="auto"/>
        <w:ind w:firstLine="480" w:firstLineChars="200"/>
        <w:rPr>
          <w:rFonts w:ascii="宋体" w:hAnsi="宋体" w:cs="宋体"/>
          <w:color w:val="auto"/>
          <w:sz w:val="24"/>
        </w:rPr>
      </w:pPr>
      <w:r>
        <w:rPr>
          <w:rFonts w:hint="eastAsia" w:ascii="宋体" w:hAnsi="宋体" w:cs="宋体"/>
          <w:color w:val="auto"/>
          <w:sz w:val="24"/>
        </w:rPr>
        <w:t>1.乙方应按交易文件规定的时间向甲方提供有关技术资料。</w:t>
      </w:r>
    </w:p>
    <w:p>
      <w:pPr>
        <w:spacing w:line="360" w:lineRule="auto"/>
        <w:ind w:firstLine="480" w:firstLineChars="200"/>
        <w:rPr>
          <w:rFonts w:ascii="宋体" w:hAnsi="宋体" w:cs="宋体"/>
          <w:color w:val="auto"/>
          <w:sz w:val="24"/>
        </w:rPr>
      </w:pPr>
      <w:r>
        <w:rPr>
          <w:rFonts w:hint="eastAsia" w:ascii="宋体" w:hAnsi="宋体" w:cs="宋体"/>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ascii="宋体" w:hAnsi="宋体" w:cs="宋体"/>
          <w:color w:val="auto"/>
          <w:sz w:val="24"/>
        </w:rPr>
      </w:pPr>
      <w:r>
        <w:rPr>
          <w:rFonts w:hint="eastAsia" w:ascii="宋体" w:hAnsi="宋体" w:cs="宋体"/>
          <w:color w:val="auto"/>
          <w:sz w:val="24"/>
        </w:rPr>
        <w:t>四、知识产权</w:t>
      </w:r>
    </w:p>
    <w:p>
      <w:pPr>
        <w:spacing w:line="360" w:lineRule="auto"/>
        <w:ind w:firstLine="480" w:firstLineChars="200"/>
        <w:rPr>
          <w:rFonts w:ascii="宋体" w:hAnsi="宋体" w:cs="宋体"/>
          <w:color w:val="auto"/>
          <w:sz w:val="24"/>
        </w:rPr>
      </w:pPr>
      <w:r>
        <w:rPr>
          <w:rFonts w:hint="eastAsia" w:ascii="宋体" w:hAnsi="宋体" w:cs="宋体"/>
          <w:color w:val="auto"/>
          <w:sz w:val="24"/>
        </w:rPr>
        <w:t>乙方应保证提供服务过程中不会侵犯任何第三方的知识产权。</w:t>
      </w:r>
    </w:p>
    <w:p>
      <w:pPr>
        <w:spacing w:line="360" w:lineRule="auto"/>
        <w:ind w:firstLine="480" w:firstLineChars="200"/>
        <w:rPr>
          <w:rFonts w:ascii="宋体" w:hAnsi="宋体" w:cs="宋体"/>
          <w:color w:val="auto"/>
          <w:sz w:val="24"/>
        </w:rPr>
      </w:pPr>
      <w:r>
        <w:rPr>
          <w:rFonts w:hint="eastAsia" w:ascii="宋体" w:hAnsi="宋体" w:cs="宋体"/>
          <w:color w:val="auto"/>
          <w:sz w:val="24"/>
        </w:rPr>
        <w:t>五、履约保证金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乙方交纳人民币</w:t>
      </w:r>
      <w:r>
        <w:rPr>
          <w:rFonts w:hint="eastAsia" w:ascii="宋体" w:hAnsi="宋体" w:cs="宋体"/>
          <w:color w:val="auto"/>
          <w:sz w:val="24"/>
          <w:u w:val="single"/>
        </w:rPr>
        <w:t xml:space="preserve">        </w:t>
      </w:r>
      <w:r>
        <w:rPr>
          <w:rFonts w:hint="eastAsia" w:ascii="宋体" w:hAnsi="宋体" w:cs="宋体"/>
          <w:color w:val="auto"/>
          <w:sz w:val="24"/>
        </w:rPr>
        <w:t>元作为本合同的履约保证金。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六、转包或分包</w:t>
      </w:r>
    </w:p>
    <w:p>
      <w:pPr>
        <w:spacing w:line="360" w:lineRule="auto"/>
        <w:ind w:firstLine="480" w:firstLineChars="200"/>
        <w:rPr>
          <w:rFonts w:ascii="宋体" w:hAnsi="宋体" w:cs="宋体"/>
          <w:color w:val="auto"/>
          <w:sz w:val="24"/>
        </w:rPr>
      </w:pPr>
      <w:r>
        <w:rPr>
          <w:rFonts w:hint="eastAsia" w:ascii="宋体" w:hAnsi="宋体" w:cs="宋体"/>
          <w:color w:val="auto"/>
          <w:sz w:val="24"/>
        </w:rPr>
        <w:t>1.本合同范围的服务，应由乙方直接供应，不得转让他人供应；</w:t>
      </w:r>
    </w:p>
    <w:p>
      <w:pPr>
        <w:spacing w:line="360" w:lineRule="auto"/>
        <w:ind w:firstLine="480" w:firstLineChars="200"/>
        <w:rPr>
          <w:rFonts w:ascii="宋体" w:hAnsi="宋体" w:cs="宋体"/>
          <w:color w:val="auto"/>
          <w:sz w:val="24"/>
        </w:rPr>
      </w:pPr>
      <w:r>
        <w:rPr>
          <w:rFonts w:hint="eastAsia" w:ascii="宋体" w:hAnsi="宋体" w:cs="宋体"/>
          <w:color w:val="auto"/>
          <w:sz w:val="24"/>
        </w:rPr>
        <w:t>2.除非得到甲方的书面同意，乙方不得将本合同范围的服务全部或部分分包给他人供应；</w:t>
      </w:r>
    </w:p>
    <w:p>
      <w:pPr>
        <w:spacing w:line="360" w:lineRule="auto"/>
        <w:ind w:firstLine="480" w:firstLineChars="200"/>
        <w:rPr>
          <w:rFonts w:ascii="宋体" w:hAnsi="宋体" w:cs="宋体"/>
          <w:color w:val="auto"/>
          <w:sz w:val="24"/>
        </w:rPr>
      </w:pPr>
      <w:r>
        <w:rPr>
          <w:rFonts w:hint="eastAsia" w:ascii="宋体" w:hAnsi="宋体" w:cs="宋体"/>
          <w:color w:val="auto"/>
          <w:sz w:val="24"/>
        </w:rPr>
        <w:t>3.如有转让和未经甲方同意的分包行为，甲方有权解除合同，没收履约保证金并追究乙方的违约责任。</w:t>
      </w:r>
    </w:p>
    <w:p>
      <w:pPr>
        <w:spacing w:line="360" w:lineRule="auto"/>
        <w:ind w:firstLine="480" w:firstLineChars="200"/>
        <w:rPr>
          <w:rFonts w:ascii="宋体" w:hAnsi="宋体" w:cs="宋体"/>
          <w:color w:val="auto"/>
          <w:sz w:val="24"/>
        </w:rPr>
      </w:pPr>
      <w:r>
        <w:rPr>
          <w:rFonts w:hint="eastAsia" w:ascii="宋体" w:hAnsi="宋体" w:cs="宋体"/>
          <w:color w:val="auto"/>
          <w:sz w:val="24"/>
        </w:rPr>
        <w:t>七、服务质量保证期和服务质量保证金(选用)</w:t>
      </w:r>
    </w:p>
    <w:p>
      <w:pPr>
        <w:spacing w:line="360" w:lineRule="auto"/>
        <w:ind w:firstLine="480" w:firstLineChars="200"/>
        <w:rPr>
          <w:rFonts w:ascii="宋体" w:hAnsi="宋体" w:cs="宋体"/>
          <w:color w:val="auto"/>
          <w:sz w:val="24"/>
        </w:rPr>
      </w:pPr>
      <w:r>
        <w:rPr>
          <w:rFonts w:hint="eastAsia" w:ascii="宋体" w:hAnsi="宋体" w:cs="宋体"/>
          <w:color w:val="auto"/>
          <w:sz w:val="24"/>
        </w:rPr>
        <w:t>1. 服务质量保证期</w:t>
      </w:r>
      <w:r>
        <w:rPr>
          <w:rFonts w:hint="eastAsia" w:ascii="宋体" w:hAnsi="宋体" w:cs="宋体"/>
          <w:color w:val="auto"/>
          <w:sz w:val="24"/>
          <w:u w:val="single"/>
        </w:rPr>
        <w:t xml:space="preserve">      </w:t>
      </w:r>
      <w:r>
        <w:rPr>
          <w:rFonts w:hint="eastAsia" w:ascii="宋体" w:hAnsi="宋体" w:cs="宋体"/>
          <w:color w:val="auto"/>
          <w:sz w:val="24"/>
        </w:rPr>
        <w:t>年。（自验收合格之日起计）</w:t>
      </w:r>
    </w:p>
    <w:p>
      <w:pPr>
        <w:spacing w:line="360" w:lineRule="auto"/>
        <w:ind w:firstLine="480" w:firstLineChars="200"/>
        <w:rPr>
          <w:rFonts w:ascii="宋体" w:hAnsi="宋体" w:cs="宋体"/>
          <w:color w:val="auto"/>
          <w:sz w:val="24"/>
        </w:rPr>
      </w:pPr>
      <w:r>
        <w:rPr>
          <w:rFonts w:hint="eastAsia" w:ascii="宋体" w:hAnsi="宋体" w:cs="宋体"/>
          <w:color w:val="auto"/>
          <w:sz w:val="24"/>
        </w:rPr>
        <w:t>2. 服务质量保证金</w:t>
      </w:r>
      <w:r>
        <w:rPr>
          <w:rFonts w:hint="eastAsia" w:ascii="宋体" w:hAnsi="宋体" w:cs="宋体"/>
          <w:color w:val="auto"/>
          <w:sz w:val="24"/>
          <w:u w:val="single"/>
        </w:rPr>
        <w:t xml:space="preserve">            </w:t>
      </w:r>
      <w:r>
        <w:rPr>
          <w:rFonts w:hint="eastAsia" w:ascii="宋体" w:hAnsi="宋体" w:cs="宋体"/>
          <w:color w:val="auto"/>
          <w:sz w:val="24"/>
        </w:rPr>
        <w:t>元。</w:t>
      </w:r>
    </w:p>
    <w:p>
      <w:pPr>
        <w:spacing w:line="360" w:lineRule="auto"/>
        <w:ind w:firstLine="480" w:firstLineChars="200"/>
        <w:rPr>
          <w:rFonts w:ascii="宋体" w:hAnsi="宋体" w:cs="宋体"/>
          <w:color w:val="auto"/>
          <w:sz w:val="24"/>
        </w:rPr>
      </w:pPr>
      <w:r>
        <w:rPr>
          <w:rFonts w:hint="eastAsia" w:ascii="宋体" w:hAnsi="宋体" w:cs="宋体"/>
          <w:color w:val="auto"/>
          <w:sz w:val="24"/>
        </w:rPr>
        <w:t>八、合同履行时间、履行方式及履行地点</w:t>
      </w:r>
    </w:p>
    <w:p>
      <w:pPr>
        <w:spacing w:line="360" w:lineRule="auto"/>
        <w:ind w:firstLine="480" w:firstLineChars="200"/>
        <w:rPr>
          <w:rFonts w:ascii="宋体" w:hAnsi="宋体" w:cs="宋体"/>
          <w:color w:val="auto"/>
          <w:sz w:val="24"/>
        </w:rPr>
      </w:pPr>
      <w:r>
        <w:rPr>
          <w:rFonts w:hint="eastAsia" w:ascii="宋体" w:hAnsi="宋体" w:cs="宋体"/>
          <w:color w:val="auto"/>
          <w:sz w:val="24"/>
        </w:rPr>
        <w:t>1. 履行时间：</w:t>
      </w:r>
    </w:p>
    <w:p>
      <w:pPr>
        <w:spacing w:line="360" w:lineRule="auto"/>
        <w:ind w:firstLine="480" w:firstLineChars="200"/>
        <w:rPr>
          <w:rFonts w:ascii="宋体" w:hAnsi="宋体" w:cs="宋体"/>
          <w:color w:val="auto"/>
          <w:sz w:val="24"/>
        </w:rPr>
      </w:pPr>
      <w:r>
        <w:rPr>
          <w:rFonts w:hint="eastAsia" w:ascii="宋体" w:hAnsi="宋体" w:cs="宋体"/>
          <w:color w:val="auto"/>
          <w:sz w:val="24"/>
        </w:rPr>
        <w:t>2. 履行方式：</w:t>
      </w:r>
    </w:p>
    <w:p>
      <w:pPr>
        <w:spacing w:line="360" w:lineRule="auto"/>
        <w:ind w:firstLine="480" w:firstLineChars="200"/>
        <w:rPr>
          <w:rFonts w:ascii="宋体" w:hAnsi="宋体" w:cs="宋体"/>
          <w:color w:val="auto"/>
          <w:sz w:val="24"/>
        </w:rPr>
      </w:pPr>
      <w:r>
        <w:rPr>
          <w:rFonts w:hint="eastAsia" w:ascii="宋体" w:hAnsi="宋体" w:cs="宋体"/>
          <w:color w:val="auto"/>
          <w:sz w:val="24"/>
        </w:rPr>
        <w:t>3. 履行地点：</w:t>
      </w:r>
    </w:p>
    <w:p>
      <w:pPr>
        <w:spacing w:line="360" w:lineRule="auto"/>
        <w:ind w:firstLine="480" w:firstLineChars="200"/>
        <w:rPr>
          <w:rFonts w:ascii="宋体" w:hAnsi="宋体" w:cs="宋体"/>
          <w:color w:val="auto"/>
          <w:sz w:val="24"/>
        </w:rPr>
      </w:pPr>
      <w:r>
        <w:rPr>
          <w:rFonts w:hint="eastAsia" w:ascii="宋体" w:hAnsi="宋体" w:cs="宋体"/>
          <w:color w:val="auto"/>
          <w:sz w:val="24"/>
        </w:rPr>
        <w:t>九、款项支付</w:t>
      </w:r>
    </w:p>
    <w:p>
      <w:pPr>
        <w:spacing w:line="360" w:lineRule="auto"/>
        <w:ind w:firstLine="480" w:firstLineChars="200"/>
        <w:rPr>
          <w:rFonts w:ascii="宋体" w:hAnsi="宋体" w:cs="宋体"/>
          <w:color w:val="auto"/>
          <w:sz w:val="24"/>
        </w:rPr>
      </w:pPr>
      <w:r>
        <w:rPr>
          <w:rFonts w:hint="eastAsia" w:ascii="宋体" w:hAnsi="宋体" w:cs="宋体"/>
          <w:color w:val="auto"/>
          <w:sz w:val="24"/>
        </w:rPr>
        <w:t>1.付款方式：</w:t>
      </w:r>
    </w:p>
    <w:p>
      <w:pPr>
        <w:spacing w:line="360" w:lineRule="auto"/>
        <w:ind w:firstLine="480" w:firstLineChars="200"/>
        <w:rPr>
          <w:rFonts w:ascii="宋体" w:hAnsi="宋体" w:cs="宋体"/>
          <w:color w:val="auto"/>
          <w:sz w:val="24"/>
        </w:rPr>
      </w:pPr>
      <w:r>
        <w:rPr>
          <w:rFonts w:hint="eastAsia" w:ascii="宋体" w:hAnsi="宋体" w:cs="宋体"/>
          <w:color w:val="auto"/>
          <w:sz w:val="24"/>
        </w:rPr>
        <w:t>2.合同履行完毕，需方根据合同进行验收，验收合格后供应商按结算要求办理货款结算手续。</w:t>
      </w:r>
    </w:p>
    <w:p>
      <w:pPr>
        <w:spacing w:line="360" w:lineRule="auto"/>
        <w:ind w:firstLine="480" w:firstLineChars="200"/>
        <w:rPr>
          <w:rFonts w:ascii="宋体" w:hAnsi="宋体" w:cs="宋体"/>
          <w:color w:val="auto"/>
          <w:sz w:val="24"/>
        </w:rPr>
      </w:pPr>
      <w:r>
        <w:rPr>
          <w:rFonts w:hint="eastAsia" w:ascii="宋体" w:hAnsi="宋体" w:cs="宋体"/>
          <w:color w:val="auto"/>
          <w:sz w:val="24"/>
        </w:rPr>
        <w:t>十、税费</w:t>
      </w:r>
    </w:p>
    <w:p>
      <w:pPr>
        <w:spacing w:line="360" w:lineRule="auto"/>
        <w:ind w:firstLine="480" w:firstLineChars="200"/>
        <w:rPr>
          <w:rFonts w:ascii="宋体" w:hAnsi="宋体" w:cs="宋体"/>
          <w:color w:val="auto"/>
          <w:sz w:val="24"/>
        </w:rPr>
      </w:pPr>
      <w:r>
        <w:rPr>
          <w:rFonts w:hint="eastAsia" w:ascii="宋体" w:hAnsi="宋体" w:cs="宋体"/>
          <w:color w:val="auto"/>
          <w:sz w:val="24"/>
        </w:rPr>
        <w:t>本合同执行中相关的一切税费均由乙方负担。</w:t>
      </w:r>
    </w:p>
    <w:p>
      <w:pPr>
        <w:spacing w:line="360" w:lineRule="auto"/>
        <w:ind w:firstLine="480" w:firstLineChars="200"/>
        <w:rPr>
          <w:rFonts w:ascii="宋体" w:hAnsi="宋体" w:cs="宋体"/>
          <w:color w:val="auto"/>
          <w:sz w:val="24"/>
        </w:rPr>
      </w:pPr>
      <w:r>
        <w:rPr>
          <w:rFonts w:hint="eastAsia" w:ascii="宋体" w:hAnsi="宋体" w:cs="宋体"/>
          <w:color w:val="auto"/>
          <w:sz w:val="24"/>
        </w:rPr>
        <w:t>十一、质量保证及后续服务</w:t>
      </w:r>
    </w:p>
    <w:p>
      <w:pPr>
        <w:spacing w:line="360" w:lineRule="auto"/>
        <w:ind w:firstLine="480" w:firstLineChars="200"/>
        <w:rPr>
          <w:rFonts w:ascii="宋体" w:hAnsi="宋体" w:cs="宋体"/>
          <w:color w:val="auto"/>
          <w:sz w:val="24"/>
        </w:rPr>
      </w:pPr>
      <w:r>
        <w:rPr>
          <w:rFonts w:hint="eastAsia" w:ascii="宋体" w:hAnsi="宋体" w:cs="宋体"/>
          <w:color w:val="auto"/>
          <w:sz w:val="24"/>
        </w:rPr>
        <w:t>1. 乙方应按交易文件规定向甲方提供服务。</w:t>
      </w:r>
    </w:p>
    <w:p>
      <w:pPr>
        <w:spacing w:line="360" w:lineRule="auto"/>
        <w:ind w:firstLine="480" w:firstLineChars="200"/>
        <w:rPr>
          <w:rFonts w:ascii="宋体" w:hAnsi="宋体" w:cs="宋体"/>
          <w:color w:val="auto"/>
          <w:sz w:val="24"/>
        </w:rPr>
      </w:pPr>
      <w:r>
        <w:rPr>
          <w:rFonts w:hint="eastAsia" w:ascii="宋体" w:hAnsi="宋体" w:cs="宋体"/>
          <w:color w:val="auto"/>
          <w:sz w:val="24"/>
        </w:rPr>
        <w:t>2.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ascii="宋体" w:hAnsi="宋体" w:cs="宋体"/>
          <w:color w:val="auto"/>
          <w:sz w:val="24"/>
        </w:rPr>
      </w:pPr>
      <w:r>
        <w:rPr>
          <w:rFonts w:hint="eastAsia" w:ascii="宋体" w:hAnsi="宋体" w:cs="宋体"/>
          <w:color w:val="auto"/>
          <w:sz w:val="24"/>
        </w:rPr>
        <w:t>⑴重做：由乙方承担所发生的全部费用。</w:t>
      </w:r>
    </w:p>
    <w:p>
      <w:pPr>
        <w:spacing w:line="360" w:lineRule="auto"/>
        <w:ind w:firstLine="480" w:firstLineChars="200"/>
        <w:rPr>
          <w:rFonts w:ascii="宋体" w:hAnsi="宋体" w:cs="宋体"/>
          <w:color w:val="auto"/>
          <w:sz w:val="24"/>
        </w:rPr>
      </w:pPr>
      <w:r>
        <w:rPr>
          <w:rFonts w:hint="eastAsia" w:ascii="宋体" w:hAnsi="宋体" w:cs="宋体"/>
          <w:color w:val="auto"/>
          <w:sz w:val="24"/>
        </w:rPr>
        <w:t>⑵贬值处理：由甲乙双方合议定价。</w:t>
      </w:r>
    </w:p>
    <w:p>
      <w:pPr>
        <w:spacing w:line="360" w:lineRule="auto"/>
        <w:ind w:firstLine="480" w:firstLineChars="200"/>
        <w:rPr>
          <w:rFonts w:ascii="宋体" w:hAnsi="宋体" w:cs="宋体"/>
          <w:color w:val="auto"/>
          <w:sz w:val="24"/>
        </w:rPr>
      </w:pPr>
      <w:r>
        <w:rPr>
          <w:rFonts w:hint="eastAsia" w:ascii="宋体" w:hAnsi="宋体" w:cs="宋体"/>
          <w:color w:val="auto"/>
          <w:sz w:val="24"/>
        </w:rPr>
        <w:t>⑶解除合同。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 如在使用过程中发生问题，乙方在接到甲方通知后在</w:t>
      </w:r>
      <w:r>
        <w:rPr>
          <w:rFonts w:hint="eastAsia" w:ascii="宋体" w:hAnsi="宋体" w:cs="宋体"/>
          <w:color w:val="auto"/>
          <w:sz w:val="24"/>
          <w:u w:val="single"/>
        </w:rPr>
        <w:t xml:space="preserve">   </w:t>
      </w:r>
      <w:r>
        <w:rPr>
          <w:rFonts w:hint="eastAsia" w:ascii="宋体" w:hAnsi="宋体" w:cs="宋体"/>
          <w:color w:val="auto"/>
          <w:sz w:val="24"/>
        </w:rPr>
        <w:t>小时内到达甲方现场。</w:t>
      </w:r>
    </w:p>
    <w:p>
      <w:pPr>
        <w:spacing w:line="360" w:lineRule="auto"/>
        <w:ind w:firstLine="480" w:firstLineChars="200"/>
        <w:rPr>
          <w:rFonts w:ascii="宋体" w:hAnsi="宋体" w:cs="宋体"/>
          <w:color w:val="auto"/>
          <w:sz w:val="24"/>
        </w:rPr>
      </w:pPr>
      <w:r>
        <w:rPr>
          <w:rFonts w:hint="eastAsia" w:ascii="宋体" w:hAnsi="宋体" w:cs="宋体"/>
          <w:color w:val="auto"/>
          <w:sz w:val="24"/>
        </w:rPr>
        <w:t>4.在服务质量保证期内，乙方应对出现的质量及安全问题负责处理解决并承担一切费用。</w:t>
      </w:r>
    </w:p>
    <w:p>
      <w:pPr>
        <w:spacing w:line="360" w:lineRule="auto"/>
        <w:ind w:firstLine="480" w:firstLineChars="200"/>
        <w:rPr>
          <w:rFonts w:ascii="宋体" w:hAnsi="宋体" w:cs="宋体"/>
          <w:color w:val="auto"/>
          <w:sz w:val="24"/>
        </w:rPr>
      </w:pPr>
      <w:r>
        <w:rPr>
          <w:rFonts w:hint="eastAsia" w:ascii="宋体" w:hAnsi="宋体" w:cs="宋体"/>
          <w:color w:val="auto"/>
          <w:sz w:val="24"/>
        </w:rPr>
        <w:t>十二、违约责任</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1.甲方无正当理由拒绝接收服务的，甲方向乙方偿付合同款项百分之</w:t>
      </w:r>
      <w:r>
        <w:rPr>
          <w:rFonts w:hint="eastAsia" w:ascii="宋体" w:hAnsi="宋体" w:cs="宋体"/>
          <w:color w:val="auto"/>
          <w:sz w:val="24"/>
          <w:u w:val="single"/>
        </w:rPr>
        <w:t xml:space="preserve">   </w:t>
      </w:r>
      <w:r>
        <w:rPr>
          <w:rFonts w:hint="eastAsia" w:ascii="宋体" w:hAnsi="宋体" w:cs="宋体"/>
          <w:color w:val="auto"/>
          <w:sz w:val="24"/>
        </w:rPr>
        <w:t>作为违约金。</w:t>
      </w:r>
    </w:p>
    <w:p>
      <w:pPr>
        <w:spacing w:line="360" w:lineRule="auto"/>
        <w:ind w:firstLine="480" w:firstLineChars="200"/>
        <w:rPr>
          <w:rFonts w:ascii="宋体" w:hAnsi="宋体" w:cs="宋体"/>
          <w:color w:val="auto"/>
          <w:sz w:val="24"/>
        </w:rPr>
      </w:pPr>
      <w:r>
        <w:rPr>
          <w:rFonts w:hint="eastAsia" w:ascii="宋体" w:hAnsi="宋体" w:cs="宋体"/>
          <w:color w:val="auto"/>
          <w:sz w:val="24"/>
        </w:rPr>
        <w:t>2.甲方无故逾期验收和办理款项支付手续的，甲方应按逾期付款总额每日万分之</w:t>
      </w:r>
      <w:r>
        <w:rPr>
          <w:rFonts w:hint="eastAsia" w:ascii="宋体" w:hAnsi="宋体" w:cs="宋体"/>
          <w:color w:val="auto"/>
          <w:sz w:val="24"/>
          <w:u w:val="single"/>
        </w:rPr>
        <w:t xml:space="preserve"> </w:t>
      </w:r>
      <w:r>
        <w:rPr>
          <w:rFonts w:hint="eastAsia" w:ascii="宋体" w:hAnsi="宋体" w:cs="宋体"/>
          <w:color w:val="auto"/>
          <w:sz w:val="24"/>
        </w:rPr>
        <w:t>向乙方支付违约金。</w:t>
      </w:r>
    </w:p>
    <w:p>
      <w:pPr>
        <w:spacing w:line="360" w:lineRule="auto"/>
        <w:ind w:firstLine="480" w:firstLineChars="200"/>
        <w:rPr>
          <w:rFonts w:ascii="宋体" w:hAnsi="宋体" w:cs="宋体"/>
          <w:color w:val="auto"/>
          <w:sz w:val="24"/>
        </w:rPr>
      </w:pPr>
      <w:r>
        <w:rPr>
          <w:rFonts w:hint="eastAsia" w:ascii="宋体" w:hAnsi="宋体" w:cs="宋体"/>
          <w:color w:val="auto"/>
          <w:sz w:val="24"/>
        </w:rPr>
        <w:t>3.乙方未能如期提供服务的，每日向甲方支付合同款项的千分之</w:t>
      </w:r>
      <w:r>
        <w:rPr>
          <w:rFonts w:hint="eastAsia" w:ascii="宋体" w:hAnsi="宋体" w:cs="宋体"/>
          <w:color w:val="auto"/>
          <w:sz w:val="24"/>
          <w:u w:val="single"/>
        </w:rPr>
        <w:t xml:space="preserve">   </w:t>
      </w:r>
      <w:r>
        <w:rPr>
          <w:rFonts w:hint="eastAsia" w:ascii="宋体" w:hAnsi="宋体" w:cs="宋体"/>
          <w:color w:val="auto"/>
          <w:sz w:val="24"/>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ascii="宋体" w:hAnsi="宋体" w:cs="宋体"/>
          <w:color w:val="auto"/>
          <w:sz w:val="24"/>
        </w:rPr>
      </w:pPr>
      <w:r>
        <w:rPr>
          <w:rFonts w:hint="eastAsia" w:ascii="宋体" w:hAnsi="宋体" w:cs="宋体"/>
          <w:color w:val="auto"/>
          <w:sz w:val="24"/>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ascii="宋体" w:hAnsi="宋体" w:cs="宋体"/>
          <w:color w:val="auto"/>
          <w:sz w:val="24"/>
        </w:rPr>
      </w:pPr>
      <w:r>
        <w:rPr>
          <w:rFonts w:hint="eastAsia" w:ascii="宋体" w:hAnsi="宋体" w:cs="宋体"/>
          <w:color w:val="auto"/>
          <w:sz w:val="24"/>
        </w:rPr>
        <w:t>5．如发现乙方违反交易文件和合同的有关规定，甲方有权根据约定对乙方进行处罚，并有权提前终止合同。</w:t>
      </w:r>
    </w:p>
    <w:p>
      <w:pPr>
        <w:spacing w:line="360" w:lineRule="auto"/>
        <w:ind w:firstLine="360" w:firstLineChars="150"/>
        <w:rPr>
          <w:rFonts w:ascii="宋体" w:hAnsi="宋体" w:cs="宋体"/>
          <w:color w:val="auto"/>
          <w:sz w:val="24"/>
        </w:rPr>
      </w:pPr>
      <w:r>
        <w:rPr>
          <w:rFonts w:hint="eastAsia" w:ascii="宋体" w:hAnsi="宋体" w:cs="宋体"/>
          <w:color w:val="auto"/>
          <w:sz w:val="24"/>
        </w:rPr>
        <w:t>十三、争议的解决</w:t>
      </w:r>
    </w:p>
    <w:p>
      <w:pPr>
        <w:spacing w:line="360" w:lineRule="auto"/>
        <w:ind w:firstLine="480" w:firstLineChars="200"/>
        <w:rPr>
          <w:rFonts w:ascii="宋体" w:hAnsi="宋体" w:cs="宋体"/>
          <w:color w:val="auto"/>
          <w:sz w:val="24"/>
        </w:rPr>
      </w:pPr>
      <w:r>
        <w:rPr>
          <w:rFonts w:hint="eastAsia" w:ascii="宋体" w:hAnsi="宋体" w:cs="宋体"/>
          <w:color w:val="auto"/>
          <w:sz w:val="24"/>
        </w:rPr>
        <w:t>因本合同引起的或与本合同有关的任何争议，合同双方应首先通过协商解决，达成书面协议，如协商不成，可选择下列第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pPr>
        <w:spacing w:line="360" w:lineRule="auto"/>
        <w:ind w:firstLine="480" w:firstLineChars="200"/>
        <w:rPr>
          <w:rFonts w:ascii="宋体" w:hAnsi="宋体" w:cs="宋体"/>
          <w:color w:val="auto"/>
          <w:sz w:val="24"/>
        </w:rPr>
      </w:pPr>
      <w:r>
        <w:rPr>
          <w:rFonts w:hint="eastAsia" w:ascii="宋体" w:hAnsi="宋体" w:cs="宋体"/>
          <w:color w:val="auto"/>
          <w:sz w:val="24"/>
        </w:rPr>
        <w:t>（1）提请杭州仲裁委员会按照该会仲裁规则进行仲裁，仲裁裁决是终局的，对合同双方均有约束力。</w:t>
      </w:r>
    </w:p>
    <w:p>
      <w:pPr>
        <w:spacing w:line="360" w:lineRule="auto"/>
        <w:ind w:firstLine="480" w:firstLineChars="200"/>
        <w:rPr>
          <w:rFonts w:ascii="宋体" w:hAnsi="宋体" w:cs="宋体"/>
          <w:color w:val="auto"/>
          <w:sz w:val="24"/>
        </w:rPr>
      </w:pPr>
      <w:r>
        <w:rPr>
          <w:rFonts w:hint="eastAsia" w:ascii="宋体" w:hAnsi="宋体" w:cs="宋体"/>
          <w:color w:val="auto"/>
          <w:sz w:val="24"/>
        </w:rPr>
        <w:t>（2）向有管辖权的人民法院提起诉讼。</w:t>
      </w:r>
    </w:p>
    <w:p>
      <w:pPr>
        <w:spacing w:line="360" w:lineRule="auto"/>
        <w:ind w:firstLine="480" w:firstLineChars="200"/>
        <w:rPr>
          <w:rFonts w:ascii="宋体" w:hAnsi="宋体" w:cs="宋体"/>
          <w:color w:val="auto"/>
          <w:sz w:val="24"/>
        </w:rPr>
      </w:pPr>
      <w:r>
        <w:rPr>
          <w:rFonts w:hint="eastAsia" w:ascii="宋体" w:hAnsi="宋体" w:cs="宋体"/>
          <w:color w:val="auto"/>
          <w:sz w:val="24"/>
        </w:rPr>
        <w:t>十四、合同生效</w:t>
      </w:r>
    </w:p>
    <w:p>
      <w:pPr>
        <w:spacing w:line="360" w:lineRule="auto"/>
        <w:ind w:firstLine="480" w:firstLineChars="200"/>
        <w:rPr>
          <w:rFonts w:ascii="宋体" w:hAnsi="宋体" w:cs="宋体"/>
          <w:color w:val="auto"/>
          <w:sz w:val="24"/>
        </w:rPr>
      </w:pPr>
      <w:r>
        <w:rPr>
          <w:rFonts w:hint="eastAsia" w:ascii="宋体" w:hAnsi="宋体" w:cs="宋体"/>
          <w:color w:val="auto"/>
          <w:sz w:val="24"/>
        </w:rPr>
        <w:t>1.成交供应商持成交通知书作为与需方签订合同的凭证。</w:t>
      </w:r>
    </w:p>
    <w:p>
      <w:pPr>
        <w:spacing w:line="360" w:lineRule="auto"/>
        <w:ind w:firstLine="480" w:firstLineChars="200"/>
        <w:rPr>
          <w:rFonts w:ascii="宋体" w:hAnsi="宋体" w:cs="宋体"/>
          <w:color w:val="auto"/>
          <w:sz w:val="24"/>
        </w:rPr>
      </w:pPr>
      <w:r>
        <w:rPr>
          <w:rFonts w:hint="eastAsia" w:ascii="宋体" w:hAnsi="宋体" w:cs="宋体"/>
          <w:color w:val="auto"/>
          <w:sz w:val="24"/>
        </w:rPr>
        <w:t>2.本合同经需、供双方法定代表人或其授权委托人签字并加盖单位公章后生效。</w:t>
      </w:r>
    </w:p>
    <w:p>
      <w:pPr>
        <w:spacing w:line="360" w:lineRule="auto"/>
        <w:ind w:firstLine="480" w:firstLineChars="200"/>
        <w:rPr>
          <w:rFonts w:ascii="宋体" w:hAnsi="宋体" w:cs="宋体"/>
          <w:color w:val="auto"/>
          <w:sz w:val="24"/>
        </w:rPr>
      </w:pPr>
      <w:r>
        <w:rPr>
          <w:rFonts w:hint="eastAsia" w:ascii="宋体" w:hAnsi="宋体" w:cs="宋体"/>
          <w:color w:val="auto"/>
          <w:sz w:val="24"/>
        </w:rPr>
        <w:t>3.本合同一式四份，需、供双方各执二份。</w:t>
      </w:r>
    </w:p>
    <w:p>
      <w:pPr>
        <w:spacing w:line="360" w:lineRule="auto"/>
        <w:ind w:firstLine="480" w:firstLineChars="200"/>
        <w:rPr>
          <w:rFonts w:ascii="宋体" w:hAnsi="宋体" w:cs="宋体"/>
          <w:color w:val="auto"/>
          <w:sz w:val="24"/>
        </w:rPr>
      </w:pPr>
      <w:r>
        <w:rPr>
          <w:rFonts w:hint="eastAsia" w:ascii="宋体" w:hAnsi="宋体" w:cs="宋体"/>
          <w:color w:val="auto"/>
          <w:sz w:val="24"/>
        </w:rPr>
        <w:t>需方（盖章）：                     供方（盖章）：</w:t>
      </w:r>
    </w:p>
    <w:p>
      <w:pPr>
        <w:spacing w:line="360" w:lineRule="auto"/>
        <w:ind w:firstLine="480" w:firstLineChars="200"/>
        <w:rPr>
          <w:rFonts w:ascii="宋体" w:hAnsi="宋体" w:cs="宋体"/>
          <w:color w:val="auto"/>
          <w:sz w:val="24"/>
        </w:rPr>
      </w:pPr>
      <w:r>
        <w:rPr>
          <w:rFonts w:hint="eastAsia" w:ascii="宋体" w:hAnsi="宋体" w:cs="宋体"/>
          <w:color w:val="auto"/>
          <w:sz w:val="24"/>
        </w:rPr>
        <w:t>地址：                             地址：</w:t>
      </w:r>
    </w:p>
    <w:p>
      <w:pPr>
        <w:spacing w:line="360" w:lineRule="auto"/>
        <w:ind w:firstLine="480" w:firstLineChars="200"/>
        <w:rPr>
          <w:rFonts w:ascii="宋体" w:hAnsi="宋体" w:cs="宋体"/>
          <w:color w:val="auto"/>
          <w:sz w:val="24"/>
        </w:rPr>
      </w:pPr>
      <w:r>
        <w:rPr>
          <w:rFonts w:hint="eastAsia" w:ascii="宋体" w:hAnsi="宋体" w:cs="宋体"/>
          <w:color w:val="auto"/>
          <w:sz w:val="24"/>
        </w:rPr>
        <w:t>法定代表人（或委托代理人）签名：   法定代表人（或委托代理人）签名：</w:t>
      </w:r>
    </w:p>
    <w:p>
      <w:pPr>
        <w:spacing w:line="360" w:lineRule="auto"/>
        <w:ind w:firstLine="480" w:firstLineChars="200"/>
        <w:rPr>
          <w:rFonts w:ascii="宋体" w:hAnsi="宋体" w:cs="宋体"/>
          <w:color w:val="auto"/>
          <w:sz w:val="24"/>
        </w:rPr>
      </w:pPr>
      <w:r>
        <w:rPr>
          <w:rFonts w:hint="eastAsia" w:ascii="宋体" w:hAnsi="宋体" w:cs="宋体"/>
          <w:color w:val="auto"/>
          <w:sz w:val="24"/>
        </w:rPr>
        <w:t>联系电话：                         联系电话：</w:t>
      </w:r>
    </w:p>
    <w:p>
      <w:pPr>
        <w:spacing w:line="360" w:lineRule="auto"/>
        <w:ind w:firstLine="480" w:firstLineChars="200"/>
        <w:rPr>
          <w:rFonts w:ascii="宋体" w:hAnsi="宋体" w:cs="宋体"/>
          <w:color w:val="auto"/>
          <w:sz w:val="24"/>
        </w:rPr>
      </w:pPr>
      <w:r>
        <w:rPr>
          <w:rFonts w:hint="eastAsia" w:ascii="宋体" w:hAnsi="宋体" w:cs="宋体"/>
          <w:color w:val="auto"/>
          <w:sz w:val="24"/>
        </w:rPr>
        <w:t>邮政编码：                         邮政编码：</w:t>
      </w:r>
    </w:p>
    <w:p>
      <w:pPr>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pPr>
        <w:spacing w:line="360" w:lineRule="auto"/>
        <w:ind w:firstLine="480" w:firstLineChars="200"/>
        <w:rPr>
          <w:rFonts w:ascii="宋体" w:hAnsi="宋体" w:cs="宋体"/>
          <w:color w:val="auto"/>
          <w:sz w:val="24"/>
        </w:rPr>
      </w:pPr>
      <w:r>
        <w:rPr>
          <w:rFonts w:hint="eastAsia" w:ascii="宋体" w:hAnsi="宋体" w:cs="宋体"/>
          <w:color w:val="auto"/>
          <w:sz w:val="24"/>
        </w:rPr>
        <w:t>帐号：                             帐号：</w:t>
      </w:r>
    </w:p>
    <w:p>
      <w:pPr>
        <w:spacing w:line="360" w:lineRule="auto"/>
        <w:rPr>
          <w:rFonts w:ascii="宋体" w:hAnsi="宋体" w:cs="宋体"/>
          <w:color w:val="auto"/>
          <w:sz w:val="24"/>
        </w:rPr>
        <w:sectPr>
          <w:footerReference r:id="rId5" w:type="first"/>
          <w:headerReference r:id="rId3" w:type="default"/>
          <w:footerReference r:id="rId4" w:type="default"/>
          <w:pgSz w:w="11906" w:h="16838"/>
          <w:pgMar w:top="1418" w:right="1286" w:bottom="935" w:left="1418" w:header="851" w:footer="992" w:gutter="0"/>
          <w:cols w:space="720" w:num="1"/>
          <w:docGrid w:linePitch="312" w:charSpace="0"/>
        </w:sectPr>
      </w:pPr>
    </w:p>
    <w:p>
      <w:pPr>
        <w:pStyle w:val="51"/>
        <w:rPr>
          <w:rFonts w:ascii="宋体" w:hAnsi="宋体" w:cs="宋体"/>
          <w:color w:val="auto"/>
          <w:sz w:val="24"/>
        </w:rPr>
      </w:pPr>
    </w:p>
    <w:p>
      <w:pPr>
        <w:spacing w:line="360" w:lineRule="auto"/>
        <w:ind w:left="720" w:firstLine="723" w:firstLineChars="200"/>
        <w:outlineLvl w:val="0"/>
        <w:rPr>
          <w:rFonts w:ascii="宋体" w:hAnsi="宋体" w:cs="宋体"/>
          <w:b/>
          <w:color w:val="auto"/>
          <w:sz w:val="36"/>
          <w:szCs w:val="20"/>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81"/>
      <w:r>
        <w:rPr>
          <w:rFonts w:hint="eastAsia" w:ascii="宋体" w:hAnsi="宋体" w:cs="宋体"/>
          <w:b/>
          <w:color w:val="auto"/>
          <w:sz w:val="36"/>
          <w:szCs w:val="20"/>
        </w:rPr>
        <w:t xml:space="preserve"> </w:t>
      </w:r>
      <w:bookmarkEnd w:id="382"/>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（1）符合参加交易活动应当具备的一般条件的承诺函…………………（页码）</w:t>
      </w:r>
    </w:p>
    <w:p>
      <w:pPr>
        <w:snapToGrid w:val="0"/>
        <w:spacing w:line="360" w:lineRule="auto"/>
        <w:rPr>
          <w:rFonts w:ascii="宋体" w:hAnsi="宋体" w:cs="宋体"/>
          <w:color w:val="auto"/>
          <w:sz w:val="24"/>
        </w:rPr>
      </w:pPr>
      <w:r>
        <w:rPr>
          <w:rFonts w:hint="eastAsia" w:ascii="宋体" w:hAnsi="宋体" w:cs="宋体"/>
          <w:color w:val="auto"/>
          <w:sz w:val="24"/>
        </w:rPr>
        <w:t>（2）本项目的特定资格要求………………………………………………（页码）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符合参加交易活动应当具备的一般条件的承诺函</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u w:val="single"/>
        </w:rPr>
      </w:pPr>
      <w:r>
        <w:rPr>
          <w:rFonts w:hint="eastAsia" w:ascii="宋体" w:hAnsi="宋体" w:cs="宋体"/>
          <w:color w:val="auto"/>
          <w:sz w:val="24"/>
          <w:u w:val="single"/>
        </w:rPr>
        <w:t>（交易人）、（采购机构）：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（项目名称）【交易编号：    】</w:t>
      </w:r>
      <w:r>
        <w:rPr>
          <w:rFonts w:hint="eastAsia" w:ascii="宋体" w:hAnsi="宋体" w:cs="宋体"/>
          <w:color w:val="auto"/>
          <w:sz w:val="24"/>
        </w:rPr>
        <w:t>交易活动，郑重承诺：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（一）具备以下条件：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5520" w:firstLineChars="230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二、本项目的特定资格要求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（根据交易公告本项目的特定资格要求提供相应的材料；未要求的，无需提供）</w:t>
      </w:r>
    </w:p>
    <w:p>
      <w:pPr>
        <w:spacing w:line="360" w:lineRule="auto"/>
        <w:jc w:val="center"/>
        <w:rPr>
          <w:rFonts w:ascii="宋体" w:hAnsi="宋体" w:cs="宋体"/>
          <w:color w:val="auto"/>
          <w:kern w:val="0"/>
          <w:sz w:val="24"/>
          <w:lang w:val="zh-CN"/>
        </w:rPr>
      </w:pPr>
    </w:p>
    <w:p>
      <w:pPr>
        <w:widowControl/>
        <w:spacing w:line="360" w:lineRule="auto"/>
        <w:ind w:left="15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（1）交易函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（3）营业执照</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（4）符合性审查资料</w:t>
      </w:r>
      <w:r>
        <w:rPr>
          <w:rFonts w:hint="eastAsia" w:ascii="宋体" w:hAnsi="宋体" w:cs="宋体"/>
          <w:color w:val="auto"/>
        </w:rPr>
        <w:t>………………………………………………………………………（页码）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zh-CN"/>
        </w:rPr>
        <w:t>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一、交易函</w:t>
      </w:r>
    </w:p>
    <w:p>
      <w:pPr>
        <w:snapToGrid w:val="0"/>
        <w:spacing w:line="360" w:lineRule="auto"/>
        <w:rPr>
          <w:rFonts w:ascii="宋体" w:hAnsi="宋体" w:cs="宋体"/>
          <w:color w:val="auto"/>
          <w:sz w:val="24"/>
          <w:u w:val="single"/>
        </w:rPr>
      </w:pPr>
      <w:r>
        <w:rPr>
          <w:rFonts w:hint="eastAsia" w:ascii="宋体" w:hAnsi="宋体" w:cs="宋体"/>
          <w:color w:val="auto"/>
          <w:sz w:val="24"/>
          <w:u w:val="single"/>
        </w:rPr>
        <w:t>（交易人）、（采购代理机构）：</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（项目名称）【交易编号：（采购编号）】</w:t>
      </w:r>
      <w:r>
        <w:rPr>
          <w:rFonts w:hint="eastAsia" w:ascii="宋体" w:hAnsi="宋体" w:cs="宋体"/>
          <w:color w:val="auto"/>
          <w:sz w:val="24"/>
        </w:rPr>
        <w:t>招标的有关活动，并对此项目进行投标。为此：</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1、我方承诺交易有效期从提交响应文件的截止之日起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本响应文件在交易有效期满之前均具有约束力。</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2、我方的响应文件包括以下内容：</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2.1.2本项目的特定资格要求（如果有）。</w:t>
      </w:r>
    </w:p>
    <w:p>
      <w:pPr>
        <w:snapToGrid w:val="0"/>
        <w:spacing w:line="440" w:lineRule="exact"/>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2.2.1交易函；</w:t>
      </w:r>
      <w:r>
        <w:rPr>
          <w:rFonts w:hint="eastAsia" w:ascii="宋体" w:hAnsi="宋体" w:cs="宋体"/>
          <w:color w:val="auto"/>
          <w:sz w:val="24"/>
          <w:lang w:val="zh-CN"/>
        </w:rPr>
        <w:t xml:space="preserve"> </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2.2.3营业执照；</w:t>
      </w:r>
    </w:p>
    <w:p>
      <w:pPr>
        <w:snapToGrid w:val="0"/>
        <w:spacing w:line="440" w:lineRule="exact"/>
        <w:ind w:left="420" w:leftChars="200" w:firstLine="480" w:firstLineChars="200"/>
        <w:rPr>
          <w:rFonts w:ascii="宋体" w:hAnsi="宋体" w:cs="宋体"/>
          <w:color w:val="auto"/>
        </w:rPr>
      </w:pPr>
      <w:r>
        <w:rPr>
          <w:rFonts w:hint="eastAsia" w:ascii="宋体" w:hAnsi="宋体" w:cs="宋体"/>
          <w:color w:val="auto"/>
          <w:sz w:val="24"/>
        </w:rPr>
        <w:t>2.2.4符合性审查资料；</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2.2.5评标标准相应的商务技术资料；</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2.2.7</w:t>
      </w:r>
      <w:r>
        <w:rPr>
          <w:rFonts w:hint="eastAsia" w:ascii="宋体" w:hAnsi="宋体" w:cs="宋体"/>
          <w:color w:val="auto"/>
          <w:sz w:val="24"/>
          <w:lang w:val="zh-CN"/>
        </w:rPr>
        <w:t>供应商廉洁自律承诺书</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440" w:lineRule="exact"/>
        <w:ind w:left="420" w:leftChars="200" w:firstLine="480" w:firstLineChars="200"/>
        <w:rPr>
          <w:rFonts w:ascii="宋体" w:hAnsi="宋体" w:cs="宋体"/>
          <w:color w:val="auto"/>
          <w:sz w:val="24"/>
        </w:rPr>
      </w:pPr>
      <w:r>
        <w:rPr>
          <w:rFonts w:hint="eastAsia" w:ascii="宋体" w:hAnsi="宋体" w:cs="宋体"/>
          <w:color w:val="auto"/>
          <w:sz w:val="24"/>
        </w:rPr>
        <w:t>2.3.1交易一览表（报价表）；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3、我方承诺除商务技术偏离表列出的偏离外，我方响应交易文件的全部要求。</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4、如我方成交，我方承诺：</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4.3按照交易文件要求提交履约保证金； </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440" w:lineRule="exact"/>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pPr>
        <w:spacing w:line="440" w:lineRule="exact"/>
        <w:jc w:val="center"/>
        <w:rPr>
          <w:rFonts w:ascii="宋体" w:hAnsi="宋体" w:cs="宋体"/>
          <w:color w:val="auto"/>
          <w:kern w:val="0"/>
          <w:sz w:val="24"/>
          <w:u w:val="single"/>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color w:val="auto"/>
          <w:sz w:val="24"/>
        </w:rPr>
        <w:t>注：按本格式和要求提供。</w:t>
      </w:r>
    </w:p>
    <w:p>
      <w:pPr>
        <w:pStyle w:val="3"/>
        <w:rPr>
          <w:rFonts w:hAnsi="宋体" w:cs="宋体"/>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u w:val="single"/>
        </w:rPr>
        <w:t>（交易人）、（采购代理机构）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（项目名称）【交易编号：（采购编号）】</w:t>
      </w:r>
      <w:r>
        <w:rPr>
          <w:rFonts w:hint="eastAsia" w:ascii="宋体" w:hAnsi="宋体" w:cs="宋体"/>
          <w:color w:val="auto"/>
          <w:kern w:val="0"/>
          <w:sz w:val="24"/>
          <w:lang w:val="zh-CN"/>
        </w:rPr>
        <w:t>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lang w:val="zh-CN"/>
        </w:rPr>
      </w:pPr>
      <w:r>
        <w:rPr>
          <w:rFonts w:hint="eastAsia" w:ascii="宋体" w:hAnsi="宋体" w:cs="宋体"/>
          <w:b/>
          <w:color w:val="auto"/>
          <w:kern w:val="0"/>
          <w:sz w:val="32"/>
          <w:szCs w:val="32"/>
          <w:lang w:val="zh-CN"/>
        </w:rPr>
        <w:t xml:space="preserve">    </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的身份证明（适用于法定代表人、单位负责人或者自然人本人代表供应商参加投标）</w:t>
      </w:r>
    </w:p>
    <w:p>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1"/>
              <w:adjustRightInd w:val="0"/>
              <w:spacing w:line="360" w:lineRule="auto"/>
              <w:rPr>
                <w:rFonts w:hAnsi="宋体" w:cs="宋体"/>
                <w:bCs/>
                <w:color w:val="auto"/>
                <w:sz w:val="24"/>
              </w:rPr>
            </w:pPr>
            <w:r>
              <w:rPr>
                <w:rFonts w:hint="eastAsia" w:hAnsi="宋体" w:cs="宋体"/>
                <w:bCs/>
                <w:color w:val="auto"/>
                <w:sz w:val="24"/>
              </w:rPr>
              <w:t>正面：                                 反面：</w:t>
            </w:r>
          </w:p>
          <w:p>
            <w:pPr>
              <w:pStyle w:val="151"/>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三、营业执照</w:t>
      </w:r>
    </w:p>
    <w:p>
      <w:pPr>
        <w:jc w:val="center"/>
        <w:rPr>
          <w:rFonts w:ascii="宋体" w:hAnsi="宋体" w:cs="宋体"/>
          <w:b/>
          <w:color w:val="auto"/>
          <w:kern w:val="0"/>
          <w:sz w:val="32"/>
          <w:szCs w:val="32"/>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1"/>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p>
    <w:p>
      <w:pPr>
        <w:snapToGrid w:val="0"/>
        <w:spacing w:line="360" w:lineRule="auto"/>
        <w:ind w:firstLine="576"/>
        <w:jc w:val="center"/>
        <w:rPr>
          <w:rFonts w:ascii="宋体" w:hAnsi="宋体" w:cs="宋体"/>
          <w:color w:val="auto"/>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供应商名称(电子签名)：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97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56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3976"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响应文件按照交易文件要求签署、盖章。</w:t>
            </w:r>
          </w:p>
        </w:tc>
        <w:tc>
          <w:tcPr>
            <w:tcW w:w="3566" w:type="dxa"/>
            <w:vAlign w:val="center"/>
          </w:tcPr>
          <w:p>
            <w:pPr>
              <w:jc w:val="cente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pPr>
              <w:jc w:val="cente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见响应文件</w:t>
            </w:r>
          </w:p>
          <w:p>
            <w:pPr>
              <w:jc w:val="cente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3976"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响应文件中承诺的交易有效期不少于交易文件中载明的交易有效期。</w:t>
            </w:r>
          </w:p>
        </w:tc>
        <w:tc>
          <w:tcPr>
            <w:tcW w:w="3566" w:type="dxa"/>
            <w:vAlign w:val="center"/>
          </w:tcPr>
          <w:p>
            <w:pPr>
              <w:jc w:val="center"/>
              <w:rPr>
                <w:rFonts w:ascii="宋体" w:hAnsi="宋体" w:cs="宋体"/>
                <w:color w:val="auto"/>
                <w:sz w:val="24"/>
              </w:rPr>
            </w:pPr>
            <w:r>
              <w:rPr>
                <w:rFonts w:hint="eastAsia" w:ascii="宋体" w:hAnsi="宋体" w:cs="宋体"/>
                <w:color w:val="auto"/>
                <w:sz w:val="24"/>
              </w:rPr>
              <w:t>交易函</w:t>
            </w:r>
          </w:p>
        </w:tc>
        <w:tc>
          <w:tcPr>
            <w:tcW w:w="1418" w:type="dxa"/>
            <w:vAlign w:val="center"/>
          </w:tcPr>
          <w:p>
            <w:pPr>
              <w:jc w:val="cente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3976"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响应文件满足交易文件的其它实质性要求。</w:t>
            </w:r>
          </w:p>
        </w:tc>
        <w:tc>
          <w:tcPr>
            <w:tcW w:w="3566" w:type="dxa"/>
            <w:vAlign w:val="center"/>
          </w:tcPr>
          <w:p>
            <w:pPr>
              <w:jc w:val="center"/>
              <w:rPr>
                <w:rFonts w:ascii="宋体" w:hAnsi="宋体" w:cs="宋体"/>
                <w:color w:val="auto"/>
                <w:sz w:val="24"/>
              </w:rPr>
            </w:pPr>
            <w:r>
              <w:rPr>
                <w:rFonts w:hint="eastAsia" w:ascii="宋体" w:hAnsi="宋体" w:cs="宋体"/>
                <w:color w:val="auto"/>
                <w:kern w:val="0"/>
                <w:sz w:val="24"/>
              </w:rPr>
              <w:t>交易文件其它实质性要求相应的材料（“▲” 系指实质性要求条款，交易文件无其它实质性要求的，无需提供）</w:t>
            </w:r>
          </w:p>
        </w:tc>
        <w:tc>
          <w:tcPr>
            <w:tcW w:w="1418" w:type="dxa"/>
            <w:vAlign w:val="center"/>
          </w:tcPr>
          <w:p>
            <w:pPr>
              <w:jc w:val="cente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（按交易文件第四部分交易办法前附表中“响应文件中评标标准相应的商务技术资料目录”提供资料。）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rPr>
          <w:rFonts w:hAnsi="宋体" w:cs="宋体"/>
          <w:b/>
          <w:color w:val="auto"/>
          <w:kern w:val="0"/>
          <w:sz w:val="32"/>
          <w:szCs w:val="32"/>
        </w:rPr>
      </w:pPr>
    </w:p>
    <w:p>
      <w:pPr>
        <w:pStyle w:val="51"/>
        <w:rPr>
          <w:rFonts w:ascii="宋体" w:hAnsi="宋体" w:cs="宋体"/>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pacing w:line="360" w:lineRule="auto"/>
        <w:ind w:right="420"/>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交易文件章节及具体内容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供应商保证：除商务技术偏离表列出的偏离外，供应商响应交易文件的全部要求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rPr>
          <w:rFonts w:ascii="宋体" w:hAnsi="宋体" w:cs="宋体"/>
          <w:b/>
          <w:bCs/>
          <w:color w:val="auto"/>
          <w:sz w:val="32"/>
          <w:szCs w:val="32"/>
        </w:rPr>
      </w:pPr>
      <w:r>
        <w:rPr>
          <w:rFonts w:hint="eastAsia" w:ascii="宋体" w:hAnsi="宋体" w:cs="宋体"/>
          <w:b/>
          <w:bCs/>
          <w:color w:val="auto"/>
          <w:sz w:val="32"/>
          <w:szCs w:val="32"/>
        </w:rPr>
        <w:br w:type="page"/>
      </w:r>
    </w:p>
    <w:p>
      <w:pPr>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u w:val="single"/>
        </w:rPr>
        <w:t>（交易人）、（采购代理机构）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w:t>
      </w:r>
      <w:r>
        <w:rPr>
          <w:rFonts w:hint="eastAsia" w:ascii="宋体" w:hAnsi="宋体" w:cs="宋体"/>
          <w:color w:val="auto"/>
          <w:kern w:val="0"/>
          <w:sz w:val="24"/>
        </w:rPr>
        <w:t>成交</w:t>
      </w:r>
      <w:r>
        <w:rPr>
          <w:rFonts w:hint="eastAsia" w:ascii="宋体" w:hAnsi="宋体" w:cs="宋体"/>
          <w:color w:val="auto"/>
          <w:kern w:val="0"/>
          <w:sz w:val="24"/>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w:t>
      </w:r>
      <w:r>
        <w:rPr>
          <w:rFonts w:hint="eastAsia" w:ascii="宋体" w:hAnsi="宋体" w:cs="宋体"/>
          <w:color w:val="auto"/>
          <w:kern w:val="0"/>
          <w:sz w:val="24"/>
        </w:rPr>
        <w:t>成交</w:t>
      </w:r>
      <w:r>
        <w:rPr>
          <w:rFonts w:hint="eastAsia" w:ascii="宋体" w:hAnsi="宋体" w:cs="宋体"/>
          <w:color w:val="auto"/>
          <w:kern w:val="0"/>
          <w:sz w:val="24"/>
          <w:lang w:val="zh-CN"/>
        </w:rPr>
        <w:t>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（1）交易一览表（报价表）………………………………………………………（页码）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一、交易一览表（报价表）</w:t>
      </w:r>
    </w:p>
    <w:p>
      <w:pPr>
        <w:snapToGrid w:val="0"/>
        <w:spacing w:line="360" w:lineRule="auto"/>
        <w:rPr>
          <w:rFonts w:ascii="宋体" w:hAnsi="宋体" w:cs="宋体"/>
          <w:color w:val="auto"/>
          <w:kern w:val="0"/>
          <w:sz w:val="24"/>
        </w:rPr>
      </w:pPr>
      <w:r>
        <w:rPr>
          <w:rFonts w:hint="eastAsia" w:ascii="宋体" w:hAnsi="宋体" w:cs="宋体"/>
          <w:color w:val="auto"/>
          <w:sz w:val="24"/>
          <w:u w:val="single"/>
        </w:rPr>
        <w:t>（交易人）、（采购代理机构）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按你方交易文件要求，我们，本响应文件签字方，谨此向你方发出要约如下：如你方接受本投标，我方承诺按照如下交易一览表（报价表）的价格完成</w:t>
      </w:r>
      <w:r>
        <w:rPr>
          <w:rFonts w:hint="eastAsia" w:ascii="宋体" w:hAnsi="宋体" w:cs="宋体"/>
          <w:color w:val="auto"/>
          <w:sz w:val="24"/>
          <w:u w:val="single"/>
        </w:rPr>
        <w:t>（项目名称）</w:t>
      </w:r>
      <w:r>
        <w:rPr>
          <w:rFonts w:hint="eastAsia" w:ascii="宋体" w:hAnsi="宋体" w:cs="宋体"/>
          <w:color w:val="auto"/>
          <w:kern w:val="0"/>
          <w:sz w:val="24"/>
          <w:u w:val="single"/>
          <w:lang w:val="zh-CN"/>
        </w:rPr>
        <w:t>【交易编号：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pPr>
        <w:snapToGrid w:val="0"/>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交易一览表（报价表）(单位均为人民币元)</w:t>
      </w:r>
    </w:p>
    <w:tbl>
      <w:tblPr>
        <w:tblStyle w:val="6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sz w:val="24"/>
              </w:rPr>
            </w:pPr>
            <w:r>
              <w:rPr>
                <w:rFonts w:hint="eastAsia" w:ascii="宋体" w:hAnsi="宋体" w:cs="宋体"/>
                <w:b/>
                <w:color w:val="auto"/>
                <w:sz w:val="24"/>
              </w:rPr>
              <w:t>质保要求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1、供应商需按本表格式填写，不得自行更改。</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交易人将以合同形式有偿取得货物或服务，不接受供应商给予的赠品、回扣或者与采购无关的其他商品、服务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响应文件含有交易人不能接受的附加条件的，交易无效</w:t>
      </w:r>
      <w:r>
        <w:rPr>
          <w:rFonts w:hint="eastAsia" w:ascii="宋体" w:hAnsi="宋体" w:cs="宋体"/>
          <w:b/>
          <w:color w:val="auto"/>
          <w:kern w:val="0"/>
          <w:sz w:val="24"/>
          <w:lang w:val="zh-CN"/>
        </w:rPr>
        <w:t>；采购内容未包含在《交易一览表（报价表）》名称栏中，供应商不能作出合理解释的，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响应文件含有交易人不能接受的附加条件的，交易无效。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4、特别提示：采购机构将对项目名称和项目编号，成交供应商名称、地址和</w:t>
      </w:r>
      <w:r>
        <w:rPr>
          <w:rFonts w:hint="eastAsia" w:ascii="宋体" w:hAnsi="宋体" w:cs="宋体"/>
          <w:color w:val="auto"/>
          <w:kern w:val="0"/>
          <w:sz w:val="24"/>
        </w:rPr>
        <w:t>成交</w:t>
      </w:r>
      <w:r>
        <w:rPr>
          <w:rFonts w:hint="eastAsia" w:ascii="宋体" w:hAnsi="宋体" w:cs="宋体"/>
          <w:color w:val="auto"/>
          <w:kern w:val="0"/>
          <w:sz w:val="24"/>
          <w:lang w:val="zh-CN"/>
        </w:rPr>
        <w:t>金额等予以公示。</w:t>
      </w:r>
    </w:p>
    <w:p>
      <w:pPr>
        <w:spacing w:line="360" w:lineRule="auto"/>
        <w:ind w:firstLine="482" w:firstLineChars="200"/>
        <w:rPr>
          <w:rFonts w:ascii="宋体" w:hAnsi="宋体" w:cs="宋体"/>
          <w:b/>
          <w:color w:val="auto"/>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w:t>
      </w:r>
    </w:p>
    <w:p>
      <w:pPr>
        <w:autoSpaceDE w:val="0"/>
        <w:autoSpaceDN w:val="0"/>
        <w:spacing w:line="360" w:lineRule="auto"/>
        <w:ind w:left="2" w:leftChars="1" w:right="1120" w:firstLine="4560" w:firstLineChars="1900"/>
        <w:jc w:val="left"/>
        <w:rPr>
          <w:rFonts w:ascii="宋体" w:hAnsi="宋体" w:cs="宋体"/>
          <w:color w:val="auto"/>
          <w:sz w:val="32"/>
          <w:szCs w:val="32"/>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交易人名称：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autoSpaceDE w:val="0"/>
        <w:autoSpaceDN w:val="0"/>
        <w:jc w:val="left"/>
        <w:rPr>
          <w:rFonts w:ascii="宋体" w:hAnsi="宋体" w:cs="宋体"/>
          <w:b/>
          <w:color w:val="auto"/>
          <w:spacing w:val="6"/>
          <w:sz w:val="32"/>
          <w:szCs w:val="32"/>
        </w:rPr>
      </w:pPr>
      <w:r>
        <w:rPr>
          <w:rFonts w:hint="eastAsia" w:ascii="宋体" w:hAnsi="宋体" w:cs="宋体"/>
          <w:b/>
          <w:color w:val="auto"/>
          <w:spacing w:val="6"/>
          <w:sz w:val="32"/>
          <w:szCs w:val="32"/>
        </w:rPr>
        <w:t>附件2：</w:t>
      </w:r>
    </w:p>
    <w:p>
      <w:pPr>
        <w:autoSpaceDE w:val="0"/>
        <w:autoSpaceDN w:val="0"/>
        <w:jc w:val="center"/>
        <w:rPr>
          <w:rFonts w:ascii="宋体" w:hAnsi="宋体" w:cs="宋体"/>
          <w:b/>
          <w:bCs/>
          <w:color w:val="auto"/>
          <w:sz w:val="32"/>
          <w:szCs w:val="32"/>
        </w:rPr>
      </w:pPr>
    </w:p>
    <w:p>
      <w:pPr>
        <w:autoSpaceDE w:val="0"/>
        <w:autoSpaceDN w:val="0"/>
        <w:jc w:val="center"/>
        <w:rPr>
          <w:rFonts w:ascii="宋体" w:hAnsi="宋体" w:cs="宋体"/>
          <w:b/>
          <w:bCs/>
          <w:color w:val="auto"/>
          <w:sz w:val="32"/>
          <w:szCs w:val="32"/>
        </w:rPr>
      </w:pP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（交易人）、（采购代理机构）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（项目名称）项目【交易编号：（采购编号）】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ODJlNmZiY2I1ZTkzNWMwMjExYjFiYzFlNjNi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1BE"/>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B9F"/>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1C6"/>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8B2"/>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1E"/>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25F0711"/>
    <w:rsid w:val="026B2E25"/>
    <w:rsid w:val="02824D4D"/>
    <w:rsid w:val="02DC4B10"/>
    <w:rsid w:val="02DD76CE"/>
    <w:rsid w:val="02F36323"/>
    <w:rsid w:val="02F5619C"/>
    <w:rsid w:val="03154A32"/>
    <w:rsid w:val="0326446A"/>
    <w:rsid w:val="032D5555"/>
    <w:rsid w:val="036634D2"/>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FE18F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86C5C"/>
    <w:rsid w:val="0ABC5606"/>
    <w:rsid w:val="0AC42692"/>
    <w:rsid w:val="0ADE3108"/>
    <w:rsid w:val="0ADF4EB4"/>
    <w:rsid w:val="0AF51683"/>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D5D7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13864"/>
    <w:rsid w:val="139B1A0A"/>
    <w:rsid w:val="139D25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204A74"/>
    <w:rsid w:val="16A8729C"/>
    <w:rsid w:val="16B33777"/>
    <w:rsid w:val="16BC70A7"/>
    <w:rsid w:val="16C6339E"/>
    <w:rsid w:val="16C730F7"/>
    <w:rsid w:val="16D6012D"/>
    <w:rsid w:val="16E81DEE"/>
    <w:rsid w:val="16FE2244"/>
    <w:rsid w:val="172F2D79"/>
    <w:rsid w:val="17557BEF"/>
    <w:rsid w:val="17852075"/>
    <w:rsid w:val="17D349C1"/>
    <w:rsid w:val="1830729E"/>
    <w:rsid w:val="185134E3"/>
    <w:rsid w:val="1870062C"/>
    <w:rsid w:val="18817102"/>
    <w:rsid w:val="18830A15"/>
    <w:rsid w:val="18852B28"/>
    <w:rsid w:val="188B5321"/>
    <w:rsid w:val="18EE574D"/>
    <w:rsid w:val="19341F4D"/>
    <w:rsid w:val="19932372"/>
    <w:rsid w:val="19A20DD5"/>
    <w:rsid w:val="19AE03F1"/>
    <w:rsid w:val="19D16EBE"/>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B77507"/>
    <w:rsid w:val="1BD75AB8"/>
    <w:rsid w:val="1BE22A26"/>
    <w:rsid w:val="1C0459C2"/>
    <w:rsid w:val="1C1B3B4A"/>
    <w:rsid w:val="1C88086E"/>
    <w:rsid w:val="1CC47A8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47F15"/>
    <w:rsid w:val="20173E4B"/>
    <w:rsid w:val="204E48BC"/>
    <w:rsid w:val="208921B3"/>
    <w:rsid w:val="2093370A"/>
    <w:rsid w:val="20973DEB"/>
    <w:rsid w:val="20B26522"/>
    <w:rsid w:val="20B34C6B"/>
    <w:rsid w:val="20B44310"/>
    <w:rsid w:val="20DF1008"/>
    <w:rsid w:val="211116EB"/>
    <w:rsid w:val="211E01F0"/>
    <w:rsid w:val="216133FC"/>
    <w:rsid w:val="218944CA"/>
    <w:rsid w:val="21D56769"/>
    <w:rsid w:val="21D62C50"/>
    <w:rsid w:val="21E52EF3"/>
    <w:rsid w:val="21FB5D7B"/>
    <w:rsid w:val="220B1C3D"/>
    <w:rsid w:val="221D1D20"/>
    <w:rsid w:val="22334A87"/>
    <w:rsid w:val="22BE6801"/>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4E3031"/>
    <w:rsid w:val="266E6AE8"/>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5559A"/>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D15014"/>
    <w:rsid w:val="2DE802CF"/>
    <w:rsid w:val="2DF72DE4"/>
    <w:rsid w:val="2DF87A7C"/>
    <w:rsid w:val="2E0220AF"/>
    <w:rsid w:val="2E4B082A"/>
    <w:rsid w:val="2E5D4E86"/>
    <w:rsid w:val="2E5D790B"/>
    <w:rsid w:val="2E776A61"/>
    <w:rsid w:val="2E9A3C18"/>
    <w:rsid w:val="2EBB0FEE"/>
    <w:rsid w:val="2EC63002"/>
    <w:rsid w:val="2F064D1A"/>
    <w:rsid w:val="2F0A6B38"/>
    <w:rsid w:val="2F0E78D3"/>
    <w:rsid w:val="2F946CCB"/>
    <w:rsid w:val="2FD25781"/>
    <w:rsid w:val="2FF346DE"/>
    <w:rsid w:val="2FFD7934"/>
    <w:rsid w:val="30733ACD"/>
    <w:rsid w:val="308C3862"/>
    <w:rsid w:val="309379D8"/>
    <w:rsid w:val="30A270F7"/>
    <w:rsid w:val="30DF1478"/>
    <w:rsid w:val="30EA055D"/>
    <w:rsid w:val="30EC586F"/>
    <w:rsid w:val="31377457"/>
    <w:rsid w:val="319C6071"/>
    <w:rsid w:val="31AC537E"/>
    <w:rsid w:val="31B420C4"/>
    <w:rsid w:val="31B82C24"/>
    <w:rsid w:val="31C549B6"/>
    <w:rsid w:val="31E3679B"/>
    <w:rsid w:val="31E732FD"/>
    <w:rsid w:val="323116EF"/>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BD1A5A"/>
    <w:rsid w:val="37EE7094"/>
    <w:rsid w:val="38296C89"/>
    <w:rsid w:val="383002EB"/>
    <w:rsid w:val="38586797"/>
    <w:rsid w:val="388843DC"/>
    <w:rsid w:val="38BC0149"/>
    <w:rsid w:val="38D87D1C"/>
    <w:rsid w:val="391F535F"/>
    <w:rsid w:val="394474B9"/>
    <w:rsid w:val="39636459"/>
    <w:rsid w:val="396B7F6C"/>
    <w:rsid w:val="39B417A9"/>
    <w:rsid w:val="39F5707E"/>
    <w:rsid w:val="39FC5695"/>
    <w:rsid w:val="3A006D8E"/>
    <w:rsid w:val="3A3651E5"/>
    <w:rsid w:val="3A4E2342"/>
    <w:rsid w:val="3A744481"/>
    <w:rsid w:val="3A8C7BEF"/>
    <w:rsid w:val="3A906246"/>
    <w:rsid w:val="3B2349B7"/>
    <w:rsid w:val="3B463CE2"/>
    <w:rsid w:val="3B616CFF"/>
    <w:rsid w:val="3B6259F6"/>
    <w:rsid w:val="3B976654"/>
    <w:rsid w:val="3BC01EFC"/>
    <w:rsid w:val="3BCA786A"/>
    <w:rsid w:val="3BD31E2F"/>
    <w:rsid w:val="3BF15831"/>
    <w:rsid w:val="3C105946"/>
    <w:rsid w:val="3C471448"/>
    <w:rsid w:val="3C5F759A"/>
    <w:rsid w:val="3C6C525A"/>
    <w:rsid w:val="3CCE23CB"/>
    <w:rsid w:val="3CD17D17"/>
    <w:rsid w:val="3CEE635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92734"/>
    <w:rsid w:val="3E9A59DE"/>
    <w:rsid w:val="3EAF4836"/>
    <w:rsid w:val="3EC33DFA"/>
    <w:rsid w:val="3EF66285"/>
    <w:rsid w:val="3F060E16"/>
    <w:rsid w:val="3F1D1096"/>
    <w:rsid w:val="3F2F0234"/>
    <w:rsid w:val="3F6363FE"/>
    <w:rsid w:val="3F756B8F"/>
    <w:rsid w:val="3F8D4B70"/>
    <w:rsid w:val="3F95482B"/>
    <w:rsid w:val="3FAF4907"/>
    <w:rsid w:val="3FD71055"/>
    <w:rsid w:val="3FE413B8"/>
    <w:rsid w:val="4019356B"/>
    <w:rsid w:val="40592157"/>
    <w:rsid w:val="406E1CAE"/>
    <w:rsid w:val="40A0133A"/>
    <w:rsid w:val="40C31A53"/>
    <w:rsid w:val="40FF545D"/>
    <w:rsid w:val="410067C8"/>
    <w:rsid w:val="413C45E3"/>
    <w:rsid w:val="4147433B"/>
    <w:rsid w:val="418F0D2A"/>
    <w:rsid w:val="41D01505"/>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12A9B"/>
    <w:rsid w:val="452410C9"/>
    <w:rsid w:val="452E1696"/>
    <w:rsid w:val="45317DFB"/>
    <w:rsid w:val="454E1099"/>
    <w:rsid w:val="456D3CE4"/>
    <w:rsid w:val="4579042C"/>
    <w:rsid w:val="457F0571"/>
    <w:rsid w:val="45851176"/>
    <w:rsid w:val="45C63B94"/>
    <w:rsid w:val="45F134FD"/>
    <w:rsid w:val="46093936"/>
    <w:rsid w:val="460E7DA5"/>
    <w:rsid w:val="461F33BF"/>
    <w:rsid w:val="46422483"/>
    <w:rsid w:val="4659254A"/>
    <w:rsid w:val="465B0637"/>
    <w:rsid w:val="465E3F0D"/>
    <w:rsid w:val="466A16E6"/>
    <w:rsid w:val="46893F2B"/>
    <w:rsid w:val="46C4686E"/>
    <w:rsid w:val="473D0E4D"/>
    <w:rsid w:val="477B778F"/>
    <w:rsid w:val="478203EC"/>
    <w:rsid w:val="47B025FA"/>
    <w:rsid w:val="4809698F"/>
    <w:rsid w:val="48097DF4"/>
    <w:rsid w:val="480C2553"/>
    <w:rsid w:val="4811697D"/>
    <w:rsid w:val="482D4401"/>
    <w:rsid w:val="487A3E25"/>
    <w:rsid w:val="487B0FC2"/>
    <w:rsid w:val="48833F78"/>
    <w:rsid w:val="488B5503"/>
    <w:rsid w:val="48937E21"/>
    <w:rsid w:val="48975AF1"/>
    <w:rsid w:val="489A0361"/>
    <w:rsid w:val="48B94FF3"/>
    <w:rsid w:val="48E37AAB"/>
    <w:rsid w:val="48FD4B4C"/>
    <w:rsid w:val="490606C8"/>
    <w:rsid w:val="490A68E0"/>
    <w:rsid w:val="491055FE"/>
    <w:rsid w:val="494C6EA1"/>
    <w:rsid w:val="494D4D8B"/>
    <w:rsid w:val="495F5B3E"/>
    <w:rsid w:val="496F77D7"/>
    <w:rsid w:val="497654FD"/>
    <w:rsid w:val="49982747"/>
    <w:rsid w:val="49B64211"/>
    <w:rsid w:val="49F6167F"/>
    <w:rsid w:val="4A064FA0"/>
    <w:rsid w:val="4A16615C"/>
    <w:rsid w:val="4A4424D7"/>
    <w:rsid w:val="4A657B8A"/>
    <w:rsid w:val="4A6E0CA4"/>
    <w:rsid w:val="4A83134F"/>
    <w:rsid w:val="4AB82D0F"/>
    <w:rsid w:val="4AEB7664"/>
    <w:rsid w:val="4AFD7C19"/>
    <w:rsid w:val="4B0567D1"/>
    <w:rsid w:val="4B236AAE"/>
    <w:rsid w:val="4B555D27"/>
    <w:rsid w:val="4B707271"/>
    <w:rsid w:val="4B9739F7"/>
    <w:rsid w:val="4B9C1FA2"/>
    <w:rsid w:val="4BE96C25"/>
    <w:rsid w:val="4BEE2503"/>
    <w:rsid w:val="4C245A30"/>
    <w:rsid w:val="4C5D53ED"/>
    <w:rsid w:val="4C676029"/>
    <w:rsid w:val="4CAF7256"/>
    <w:rsid w:val="4CB6685F"/>
    <w:rsid w:val="4CC367FE"/>
    <w:rsid w:val="4D077F3C"/>
    <w:rsid w:val="4D123355"/>
    <w:rsid w:val="4D2A3B31"/>
    <w:rsid w:val="4D312C52"/>
    <w:rsid w:val="4D4B0F25"/>
    <w:rsid w:val="4D905305"/>
    <w:rsid w:val="4D964A72"/>
    <w:rsid w:val="4D9C1254"/>
    <w:rsid w:val="4E1B2133"/>
    <w:rsid w:val="4E526455"/>
    <w:rsid w:val="4E79371D"/>
    <w:rsid w:val="4E793892"/>
    <w:rsid w:val="4E800872"/>
    <w:rsid w:val="4E9A20A5"/>
    <w:rsid w:val="4EC569ED"/>
    <w:rsid w:val="4ED50EA1"/>
    <w:rsid w:val="4EEC050C"/>
    <w:rsid w:val="4F104EC3"/>
    <w:rsid w:val="4F47354A"/>
    <w:rsid w:val="4F911C54"/>
    <w:rsid w:val="4FE625E0"/>
    <w:rsid w:val="5021480F"/>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24BF3"/>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1813F7"/>
    <w:rsid w:val="58917D2F"/>
    <w:rsid w:val="5894085C"/>
    <w:rsid w:val="58AE4F0C"/>
    <w:rsid w:val="58B85899"/>
    <w:rsid w:val="58C0702C"/>
    <w:rsid w:val="58E363A9"/>
    <w:rsid w:val="59272ECB"/>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7422AE"/>
    <w:rsid w:val="5C80234E"/>
    <w:rsid w:val="5C8A680C"/>
    <w:rsid w:val="5CE45C2B"/>
    <w:rsid w:val="5D0C4701"/>
    <w:rsid w:val="5D0F0395"/>
    <w:rsid w:val="5D221076"/>
    <w:rsid w:val="5D397964"/>
    <w:rsid w:val="5D5A391C"/>
    <w:rsid w:val="5D5F10C0"/>
    <w:rsid w:val="5D891B7B"/>
    <w:rsid w:val="5D8A5E82"/>
    <w:rsid w:val="5DAD38EE"/>
    <w:rsid w:val="5E006862"/>
    <w:rsid w:val="5E0207B9"/>
    <w:rsid w:val="5E093CEF"/>
    <w:rsid w:val="5E1834A1"/>
    <w:rsid w:val="5E261785"/>
    <w:rsid w:val="5E4A7017"/>
    <w:rsid w:val="5E552BBA"/>
    <w:rsid w:val="5E611C10"/>
    <w:rsid w:val="5E626095"/>
    <w:rsid w:val="5E74631F"/>
    <w:rsid w:val="5E7A0F3F"/>
    <w:rsid w:val="5EF50A1B"/>
    <w:rsid w:val="5EFC7377"/>
    <w:rsid w:val="5F012A1A"/>
    <w:rsid w:val="5F06174D"/>
    <w:rsid w:val="5F3A3602"/>
    <w:rsid w:val="5F45733B"/>
    <w:rsid w:val="5F6277C6"/>
    <w:rsid w:val="5F6D0B1D"/>
    <w:rsid w:val="5F8D0B82"/>
    <w:rsid w:val="5FCC5339"/>
    <w:rsid w:val="5FE34A5B"/>
    <w:rsid w:val="5FFE1E36"/>
    <w:rsid w:val="60232584"/>
    <w:rsid w:val="602927ED"/>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85958"/>
    <w:rsid w:val="628903DB"/>
    <w:rsid w:val="62F40B65"/>
    <w:rsid w:val="62FC2CFE"/>
    <w:rsid w:val="63024505"/>
    <w:rsid w:val="63540CCD"/>
    <w:rsid w:val="635B1DB5"/>
    <w:rsid w:val="63711FED"/>
    <w:rsid w:val="63880DDC"/>
    <w:rsid w:val="638D750D"/>
    <w:rsid w:val="63AC52D2"/>
    <w:rsid w:val="63AC6CC0"/>
    <w:rsid w:val="64055776"/>
    <w:rsid w:val="64175397"/>
    <w:rsid w:val="64240056"/>
    <w:rsid w:val="643E143A"/>
    <w:rsid w:val="648B6EEF"/>
    <w:rsid w:val="64C158BF"/>
    <w:rsid w:val="64CE2EAA"/>
    <w:rsid w:val="653C3090"/>
    <w:rsid w:val="65854376"/>
    <w:rsid w:val="658767BE"/>
    <w:rsid w:val="65882CD5"/>
    <w:rsid w:val="65892531"/>
    <w:rsid w:val="66153939"/>
    <w:rsid w:val="66195831"/>
    <w:rsid w:val="662E75B1"/>
    <w:rsid w:val="66342C2E"/>
    <w:rsid w:val="663E784C"/>
    <w:rsid w:val="66551A38"/>
    <w:rsid w:val="666D1F69"/>
    <w:rsid w:val="667133EA"/>
    <w:rsid w:val="668B6A4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043042"/>
    <w:rsid w:val="693E15D3"/>
    <w:rsid w:val="69627681"/>
    <w:rsid w:val="6977531D"/>
    <w:rsid w:val="69B51747"/>
    <w:rsid w:val="69CC2BFF"/>
    <w:rsid w:val="69D327F2"/>
    <w:rsid w:val="69FD55B8"/>
    <w:rsid w:val="6A0B1C62"/>
    <w:rsid w:val="6A0D3F4C"/>
    <w:rsid w:val="6A2406C8"/>
    <w:rsid w:val="6A4B328A"/>
    <w:rsid w:val="6A8F2B46"/>
    <w:rsid w:val="6ABA3454"/>
    <w:rsid w:val="6ADE0BD1"/>
    <w:rsid w:val="6AE96859"/>
    <w:rsid w:val="6B147746"/>
    <w:rsid w:val="6B24787C"/>
    <w:rsid w:val="6B573233"/>
    <w:rsid w:val="6B5B6274"/>
    <w:rsid w:val="6B694FD4"/>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B74327"/>
    <w:rsid w:val="6ED446C5"/>
    <w:rsid w:val="6F2A7D94"/>
    <w:rsid w:val="6F8331F1"/>
    <w:rsid w:val="6FAE1A09"/>
    <w:rsid w:val="6FD75BF8"/>
    <w:rsid w:val="707723D0"/>
    <w:rsid w:val="70DB77AC"/>
    <w:rsid w:val="70F5661B"/>
    <w:rsid w:val="70FF0D7D"/>
    <w:rsid w:val="71360107"/>
    <w:rsid w:val="713B688E"/>
    <w:rsid w:val="71D43752"/>
    <w:rsid w:val="71D7083C"/>
    <w:rsid w:val="71F1796A"/>
    <w:rsid w:val="72154626"/>
    <w:rsid w:val="72262B5D"/>
    <w:rsid w:val="72283FF7"/>
    <w:rsid w:val="722E7212"/>
    <w:rsid w:val="723A0474"/>
    <w:rsid w:val="725923E4"/>
    <w:rsid w:val="72864BF7"/>
    <w:rsid w:val="729023FC"/>
    <w:rsid w:val="73C0646E"/>
    <w:rsid w:val="742222F5"/>
    <w:rsid w:val="74273B85"/>
    <w:rsid w:val="74476126"/>
    <w:rsid w:val="74706664"/>
    <w:rsid w:val="747F3682"/>
    <w:rsid w:val="749C4185"/>
    <w:rsid w:val="74BE006A"/>
    <w:rsid w:val="75067759"/>
    <w:rsid w:val="752E6DCD"/>
    <w:rsid w:val="7551380D"/>
    <w:rsid w:val="75600BE5"/>
    <w:rsid w:val="7564475C"/>
    <w:rsid w:val="7583797F"/>
    <w:rsid w:val="75D20F1D"/>
    <w:rsid w:val="75DA2C18"/>
    <w:rsid w:val="75F54412"/>
    <w:rsid w:val="760B737A"/>
    <w:rsid w:val="761969BC"/>
    <w:rsid w:val="761D08E0"/>
    <w:rsid w:val="765D347C"/>
    <w:rsid w:val="76826699"/>
    <w:rsid w:val="76C87133"/>
    <w:rsid w:val="76CD08D5"/>
    <w:rsid w:val="76DB4B92"/>
    <w:rsid w:val="76FF4961"/>
    <w:rsid w:val="77052AA4"/>
    <w:rsid w:val="77136511"/>
    <w:rsid w:val="77340A39"/>
    <w:rsid w:val="77351FD0"/>
    <w:rsid w:val="77472422"/>
    <w:rsid w:val="777F31F2"/>
    <w:rsid w:val="77BC4C63"/>
    <w:rsid w:val="77D1700D"/>
    <w:rsid w:val="77E4568D"/>
    <w:rsid w:val="77EC04CC"/>
    <w:rsid w:val="78775729"/>
    <w:rsid w:val="78A42DB0"/>
    <w:rsid w:val="78A656AB"/>
    <w:rsid w:val="78B2245C"/>
    <w:rsid w:val="78E172CC"/>
    <w:rsid w:val="78EA1D1F"/>
    <w:rsid w:val="7904172F"/>
    <w:rsid w:val="79062AD2"/>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AD6DD7"/>
    <w:rsid w:val="7DB57A34"/>
    <w:rsid w:val="7DDB10A1"/>
    <w:rsid w:val="7DE60973"/>
    <w:rsid w:val="7DEF0916"/>
    <w:rsid w:val="7E1E5218"/>
    <w:rsid w:val="7E7514D4"/>
    <w:rsid w:val="7E9A4E1F"/>
    <w:rsid w:val="7EA7723A"/>
    <w:rsid w:val="7EF56FBB"/>
    <w:rsid w:val="7F067E4D"/>
    <w:rsid w:val="7F0768EB"/>
    <w:rsid w:val="7F143BEC"/>
    <w:rsid w:val="7F6137FA"/>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0"/>
    <w:qFormat/>
    <w:uiPriority w:val="0"/>
    <w:rPr>
      <w:b/>
      <w:bCs/>
    </w:rPr>
  </w:style>
  <w:style w:type="paragraph" w:styleId="61">
    <w:name w:val="Body Text First Indent 2"/>
    <w:basedOn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Char"/>
    <w:qFormat/>
    <w:uiPriority w:val="0"/>
    <w:rPr>
      <w:rFonts w:ascii="Arial" w:hAnsi="Arial" w:eastAsia="黑体"/>
      <w:b/>
      <w:kern w:val="2"/>
      <w:sz w:val="28"/>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标题 3 字符"/>
    <w:qFormat/>
    <w:uiPriority w:val="9"/>
    <w:rPr>
      <w:b/>
      <w:bCs/>
      <w:kern w:val="2"/>
      <w:sz w:val="32"/>
      <w:szCs w:val="32"/>
    </w:rPr>
  </w:style>
  <w:style w:type="character" w:customStyle="1" w:styleId="82">
    <w:name w:val="标题 1 字符1"/>
    <w:link w:val="4"/>
    <w:qFormat/>
    <w:uiPriority w:val="9"/>
    <w:rPr>
      <w:b/>
      <w:bCs/>
      <w:kern w:val="44"/>
      <w:sz w:val="44"/>
      <w:szCs w:val="44"/>
    </w:rPr>
  </w:style>
  <w:style w:type="paragraph" w:customStyle="1" w:styleId="83">
    <w:name w:val="[Normal]"/>
    <w:qFormat/>
    <w:uiPriority w:val="0"/>
    <w:rPr>
      <w:rFonts w:ascii="宋体" w:hAnsi="宋体" w:eastAsia="宋体" w:cs="Times New Roman"/>
      <w:sz w:val="24"/>
      <w:lang w:val="zh-CN" w:eastAsia="zh-CN" w:bidi="ar-SA"/>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paragraph" w:customStyle="1" w:styleId="85">
    <w:name w:val="正文文本首行缩进 21"/>
    <w:basedOn w:val="25"/>
    <w:qFormat/>
    <w:uiPriority w:val="99"/>
    <w:pPr>
      <w:spacing w:line="200" w:lineRule="atLeast"/>
      <w:ind w:firstLine="420"/>
    </w:pPr>
    <w:rPr>
      <w:rFonts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4"/>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spacing w:line="391" w:lineRule="auto"/>
      <w:ind w:firstLine="400"/>
    </w:pPr>
    <w:rPr>
      <w:rFonts w:ascii="宋体" w:hAnsi="宋体" w:cs="宋体"/>
      <w:lang w:val="zh-TW" w:eastAsia="zh-TW" w:bidi="zh-TW"/>
    </w:rPr>
  </w:style>
  <w:style w:type="character" w:customStyle="1" w:styleId="965">
    <w:name w:val="font101"/>
    <w:basedOn w:val="69"/>
    <w:qFormat/>
    <w:uiPriority w:val="0"/>
    <w:rPr>
      <w:rFonts w:hint="eastAsia" w:ascii="宋体" w:hAnsi="宋体" w:eastAsia="宋体" w:cs="宋体"/>
      <w:color w:val="FF0000"/>
      <w:sz w:val="20"/>
      <w:szCs w:val="20"/>
      <w:u w:val="none"/>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42</Pages>
  <Words>17495</Words>
  <Characters>18564</Characters>
  <Lines>154</Lines>
  <Paragraphs>43</Paragraphs>
  <TotalTime>1</TotalTime>
  <ScaleCrop>false</ScaleCrop>
  <LinksUpToDate>false</LinksUpToDate>
  <CharactersWithSpaces>20708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2022-09-29T02:33:49Z</dcterms:modified>
  <dc:title>杭州市市民卡扩大发卡工程</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4AB224A9DCD749B7A41FEFFB1F1B517C</vt:lpwstr>
  </property>
  <property fmtid="{D5CDD505-2E9C-101B-9397-08002B2CF9AE}" pid="5" name="commondata">
    <vt:lpwstr>eyJoZGlkIjoiMzdkYTNjODAzOWEyZTBjZWI2OWE0Y2U2MTNhOGNiNmUifQ==</vt:lpwstr>
  </property>
</Properties>
</file>