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lang w:val="en-US"/>
        </w:rPr>
      </w:pPr>
    </w:p>
    <w:p>
      <w:pPr>
        <w:pStyle w:val="966"/>
        <w:spacing w:line="760" w:lineRule="exact"/>
        <w:rPr>
          <w:rFonts w:hint="eastAsia" w:ascii="宋体" w:hAnsi="宋体" w:eastAsia="宋体" w:cs="宋体"/>
          <w:b/>
          <w:bCs/>
          <w:color w:val="auto"/>
          <w:spacing w:val="0"/>
          <w:sz w:val="48"/>
          <w:szCs w:val="48"/>
          <w:highlight w:val="none"/>
          <w:lang w:eastAsia="zh-CN"/>
        </w:rPr>
      </w:pPr>
    </w:p>
    <w:p>
      <w:pPr>
        <w:pStyle w:val="966"/>
        <w:spacing w:line="760" w:lineRule="exact"/>
        <w:rPr>
          <w:rFonts w:hint="eastAsia" w:ascii="宋体" w:hAnsi="宋体" w:eastAsia="宋体" w:cs="宋体"/>
          <w:b/>
          <w:bCs/>
          <w:color w:val="auto"/>
          <w:spacing w:val="0"/>
          <w:sz w:val="48"/>
          <w:szCs w:val="48"/>
          <w:highlight w:val="none"/>
          <w:lang w:eastAsia="zh-CN"/>
        </w:rPr>
      </w:pPr>
      <w:r>
        <w:rPr>
          <w:rFonts w:hint="eastAsia" w:ascii="宋体" w:eastAsia="宋体" w:cs="宋体"/>
          <w:b/>
          <w:bCs/>
          <w:color w:val="auto"/>
          <w:spacing w:val="0"/>
          <w:sz w:val="48"/>
          <w:szCs w:val="48"/>
          <w:highlight w:val="none"/>
          <w:lang w:eastAsia="zh-CN"/>
        </w:rPr>
        <w:t>萧山区2022年度电梯维保质量抽查服务采购项目</w:t>
      </w:r>
    </w:p>
    <w:p>
      <w:pPr>
        <w:adjustRightInd/>
        <w:spacing w:line="360" w:lineRule="auto"/>
        <w:jc w:val="center"/>
        <w:rPr>
          <w:rFonts w:hint="eastAsia" w:ascii="宋体" w:hAnsi="宋体" w:eastAsia="宋体" w:cs="宋体"/>
          <w:b/>
          <w:bCs w:val="0"/>
          <w:color w:val="auto"/>
          <w:spacing w:val="-23"/>
          <w:sz w:val="52"/>
          <w:szCs w:val="52"/>
          <w:highlight w:val="none"/>
          <w:lang w:eastAsia="zh-CN"/>
        </w:rPr>
      </w:pPr>
    </w:p>
    <w:p>
      <w:pPr>
        <w:pStyle w:val="23"/>
        <w:rPr>
          <w:rFonts w:hint="eastAsia" w:ascii="宋体" w:hAnsi="宋体" w:eastAsia="宋体" w:cs="宋体"/>
          <w:b/>
          <w:bCs/>
          <w:color w:val="auto"/>
          <w:highlight w:val="none"/>
        </w:rPr>
      </w:pPr>
    </w:p>
    <w:p>
      <w:pPr>
        <w:adjustRightInd/>
        <w:spacing w:line="360" w:lineRule="auto"/>
        <w:jc w:val="center"/>
        <w:rPr>
          <w:rFonts w:hint="eastAsia" w:ascii="宋体" w:hAnsi="宋体" w:eastAsia="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交易文件</w:t>
      </w:r>
    </w:p>
    <w:p>
      <w:pPr>
        <w:adjustRightInd/>
        <w:spacing w:line="360" w:lineRule="auto"/>
        <w:jc w:val="center"/>
        <w:rPr>
          <w:rFonts w:hint="eastAsia" w:ascii="宋体" w:hAnsi="宋体" w:eastAsia="宋体" w:cs="宋体"/>
          <w:b/>
          <w:color w:val="auto"/>
          <w:sz w:val="44"/>
          <w:szCs w:val="44"/>
          <w:highlight w:val="none"/>
        </w:rPr>
      </w:pPr>
    </w:p>
    <w:p>
      <w:pPr>
        <w:snapToGrid w:val="0"/>
        <w:spacing w:line="360" w:lineRule="auto"/>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交易</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sz w:val="30"/>
          <w:szCs w:val="30"/>
          <w:highlight w:val="none"/>
          <w:lang w:eastAsia="zh-CN"/>
        </w:rPr>
        <w:t>：BWZB2022-GK-106</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spacing w:line="360" w:lineRule="auto"/>
        <w:jc w:val="both"/>
        <w:rPr>
          <w:rFonts w:hint="eastAsia" w:ascii="宋体" w:hAnsi="宋体" w:eastAsia="宋体" w:cs="宋体"/>
          <w:color w:val="auto"/>
          <w:sz w:val="24"/>
          <w:highlight w:val="none"/>
        </w:rPr>
      </w:pPr>
    </w:p>
    <w:p>
      <w:pPr>
        <w:pStyle w:val="79"/>
        <w:rPr>
          <w:rFonts w:hint="eastAsia" w:ascii="宋体" w:hAnsi="宋体" w:eastAsia="宋体" w:cs="宋体"/>
          <w:color w:val="auto"/>
          <w:sz w:val="24"/>
          <w:highlight w:val="none"/>
        </w:rPr>
      </w:pPr>
    </w:p>
    <w:p>
      <w:pPr>
        <w:pStyle w:val="79"/>
        <w:rPr>
          <w:rFonts w:hint="eastAsia" w:ascii="宋体" w:hAnsi="宋体" w:eastAsia="宋体" w:cs="宋体"/>
          <w:color w:val="auto"/>
          <w:sz w:val="24"/>
          <w:highlight w:val="none"/>
        </w:rPr>
      </w:pPr>
    </w:p>
    <w:p>
      <w:pPr>
        <w:pStyle w:val="79"/>
        <w:rPr>
          <w:rFonts w:hint="eastAsia" w:ascii="宋体" w:hAnsi="宋体" w:eastAsia="宋体" w:cs="宋体"/>
          <w:color w:val="auto"/>
          <w:sz w:val="24"/>
          <w:highlight w:val="none"/>
        </w:rPr>
      </w:pPr>
    </w:p>
    <w:p>
      <w:pPr>
        <w:pStyle w:val="79"/>
        <w:rPr>
          <w:rFonts w:hint="eastAsia" w:ascii="宋体" w:hAnsi="宋体" w:eastAsia="宋体" w:cs="宋体"/>
          <w:color w:val="auto"/>
          <w:sz w:val="24"/>
          <w:highlight w:val="none"/>
        </w:rPr>
      </w:pPr>
    </w:p>
    <w:p>
      <w:pPr>
        <w:spacing w:line="360" w:lineRule="auto"/>
        <w:ind w:firstLine="964" w:firstLineChars="300"/>
        <w:jc w:val="both"/>
        <w:rPr>
          <w:rFonts w:hint="eastAsia" w:ascii="宋体" w:hAnsi="宋体" w:eastAsia="宋体" w:cs="宋体"/>
          <w:b/>
          <w:color w:val="auto"/>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kern w:val="2"/>
          <w:sz w:val="32"/>
          <w:szCs w:val="30"/>
          <w:highlight w:val="none"/>
          <w:lang w:val="en-US" w:eastAsia="zh-CN"/>
        </w:rPr>
      </w:pPr>
    </w:p>
    <w:p>
      <w:pPr>
        <w:spacing w:line="360" w:lineRule="auto"/>
        <w:ind w:firstLine="964" w:firstLineChars="300"/>
        <w:jc w:val="both"/>
        <w:rPr>
          <w:rFonts w:hint="eastAsia" w:ascii="宋体" w:hAnsi="宋体" w:eastAsia="宋体" w:cs="宋体"/>
          <w:b/>
          <w:color w:val="auto"/>
          <w:kern w:val="2"/>
          <w:sz w:val="32"/>
          <w:szCs w:val="30"/>
          <w:highlight w:val="none"/>
          <w:lang w:eastAsia="zh-CN"/>
        </w:rPr>
      </w:pPr>
      <w:r>
        <w:rPr>
          <w:rFonts w:hint="eastAsia" w:ascii="宋体" w:hAnsi="宋体" w:eastAsia="宋体" w:cs="宋体"/>
          <w:b/>
          <w:color w:val="auto"/>
          <w:kern w:val="2"/>
          <w:sz w:val="32"/>
          <w:szCs w:val="30"/>
          <w:highlight w:val="none"/>
          <w:lang w:val="en-US" w:eastAsia="zh-CN"/>
        </w:rPr>
        <w:t xml:space="preserve">交 易 </w:t>
      </w:r>
      <w:r>
        <w:rPr>
          <w:rFonts w:hint="eastAsia" w:ascii="宋体" w:hAnsi="宋体" w:eastAsia="宋体" w:cs="宋体"/>
          <w:b/>
          <w:color w:val="auto"/>
          <w:kern w:val="2"/>
          <w:sz w:val="32"/>
          <w:szCs w:val="30"/>
          <w:highlight w:val="none"/>
          <w:lang w:eastAsia="zh-CN"/>
        </w:rPr>
        <w:t>人：</w:t>
      </w:r>
      <w:r>
        <w:rPr>
          <w:rFonts w:hint="eastAsia" w:ascii="宋体" w:hAnsi="宋体" w:eastAsia="宋体" w:cs="宋体"/>
          <w:b/>
          <w:color w:val="auto"/>
          <w:spacing w:val="68"/>
          <w:sz w:val="32"/>
          <w:szCs w:val="30"/>
          <w:highlight w:val="none"/>
          <w:lang w:eastAsia="zh-CN"/>
        </w:rPr>
        <w:t>杭州市萧山区市场监督管理</w:t>
      </w:r>
      <w:r>
        <w:rPr>
          <w:rFonts w:hint="eastAsia" w:ascii="宋体" w:hAnsi="宋体" w:eastAsia="宋体" w:cs="宋体"/>
          <w:b/>
          <w:color w:val="auto"/>
          <w:sz w:val="32"/>
          <w:szCs w:val="30"/>
          <w:highlight w:val="none"/>
          <w:lang w:eastAsia="zh-CN"/>
        </w:rPr>
        <w:t>局</w:t>
      </w:r>
    </w:p>
    <w:p>
      <w:pPr>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0"/>
          <w:highlight w:val="none"/>
          <w:lang w:val="en-US" w:eastAsia="zh-CN"/>
        </w:rPr>
        <w:t xml:space="preserve"> 采购机构</w:t>
      </w:r>
      <w:r>
        <w:rPr>
          <w:rFonts w:hint="eastAsia" w:ascii="宋体" w:hAnsi="宋体" w:eastAsia="宋体" w:cs="宋体"/>
          <w:b/>
          <w:bCs w:val="0"/>
          <w:color w:val="auto"/>
          <w:sz w:val="32"/>
          <w:szCs w:val="30"/>
          <w:highlight w:val="none"/>
          <w:lang w:eastAsia="zh-CN"/>
        </w:rPr>
        <w:t>：杭州博望建设工程招标投标代理有限公司</w:t>
      </w:r>
    </w:p>
    <w:p>
      <w:pPr>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二〇二二年</w:t>
      </w:r>
      <w:r>
        <w:rPr>
          <w:rFonts w:hint="eastAsia" w:ascii="宋体" w:hAnsi="宋体" w:eastAsia="宋体" w:cs="宋体"/>
          <w:b/>
          <w:bCs w:val="0"/>
          <w:color w:val="auto"/>
          <w:sz w:val="32"/>
          <w:szCs w:val="32"/>
          <w:highlight w:val="none"/>
          <w:lang w:val="en-US" w:eastAsia="zh-CN"/>
        </w:rPr>
        <w:t>八</w:t>
      </w:r>
      <w:r>
        <w:rPr>
          <w:rFonts w:hint="eastAsia" w:ascii="宋体" w:hAnsi="宋体" w:eastAsia="宋体" w:cs="宋体"/>
          <w:b/>
          <w:bCs w:val="0"/>
          <w:color w:val="auto"/>
          <w:sz w:val="32"/>
          <w:szCs w:val="32"/>
          <w:highlight w:val="none"/>
        </w:rPr>
        <w:t>月</w:t>
      </w:r>
      <w:r>
        <w:rPr>
          <w:rFonts w:hint="eastAsia" w:ascii="宋体" w:hAnsi="宋体" w:cs="宋体"/>
          <w:b/>
          <w:bCs w:val="0"/>
          <w:color w:val="auto"/>
          <w:sz w:val="32"/>
          <w:szCs w:val="32"/>
          <w:highlight w:val="none"/>
          <w:lang w:val="en-US" w:eastAsia="zh-CN"/>
        </w:rPr>
        <w:t>十九</w:t>
      </w:r>
      <w:r>
        <w:rPr>
          <w:rFonts w:hint="eastAsia" w:ascii="宋体" w:hAnsi="宋体" w:eastAsia="宋体" w:cs="宋体"/>
          <w:b/>
          <w:bCs w:val="0"/>
          <w:color w:val="auto"/>
          <w:sz w:val="32"/>
          <w:szCs w:val="32"/>
          <w:highlight w:val="none"/>
          <w:lang w:eastAsia="zh-CN"/>
        </w:rPr>
        <w:t>日</w:t>
      </w:r>
    </w:p>
    <w:p>
      <w:pPr>
        <w:pStyle w:val="23"/>
        <w:rPr>
          <w:rFonts w:hint="eastAsia" w:ascii="宋体" w:hAnsi="宋体" w:eastAsia="宋体" w:cs="宋体"/>
          <w:color w:val="auto"/>
          <w:highlight w:val="none"/>
        </w:rPr>
      </w:pPr>
    </w:p>
    <w:p>
      <w:pPr>
        <w:pStyle w:val="24"/>
        <w:rPr>
          <w:rFonts w:hint="eastAsia" w:ascii="宋体" w:hAnsi="宋体" w:eastAsia="宋体" w:cs="宋体"/>
          <w:color w:val="auto"/>
          <w:highlight w:val="none"/>
        </w:rPr>
      </w:pPr>
    </w:p>
    <w:p>
      <w:pPr>
        <w:pStyle w:val="51"/>
        <w:rPr>
          <w:rFonts w:hint="eastAsia" w:ascii="宋体" w:hAnsi="宋体" w:eastAsia="宋体" w:cs="宋体"/>
          <w:color w:val="auto"/>
          <w:highlight w:val="none"/>
        </w:rPr>
      </w:pPr>
    </w:p>
    <w:p>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第一部分      </w:t>
      </w:r>
      <w:r>
        <w:rPr>
          <w:rFonts w:hint="eastAsia" w:ascii="宋体" w:hAnsi="宋体" w:eastAsia="宋体" w:cs="宋体"/>
          <w:color w:val="auto"/>
          <w:sz w:val="32"/>
          <w:szCs w:val="32"/>
          <w:highlight w:val="none"/>
          <w:lang w:eastAsia="zh-CN"/>
        </w:rPr>
        <w:t>交易公告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第二部分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第三部分      </w:t>
      </w:r>
      <w:r>
        <w:rPr>
          <w:rFonts w:hint="eastAsia" w:ascii="宋体" w:hAnsi="宋体" w:eastAsia="宋体" w:cs="宋体"/>
          <w:color w:val="auto"/>
          <w:sz w:val="32"/>
          <w:szCs w:val="32"/>
          <w:highlight w:val="none"/>
          <w:lang w:val="en-US" w:eastAsia="zh-CN"/>
        </w:rPr>
        <w:t>交易</w:t>
      </w:r>
      <w:r>
        <w:rPr>
          <w:rFonts w:hint="eastAsia" w:ascii="宋体" w:hAnsi="宋体" w:eastAsia="宋体" w:cs="宋体"/>
          <w:color w:val="auto"/>
          <w:sz w:val="32"/>
          <w:szCs w:val="32"/>
          <w:highlight w:val="none"/>
        </w:rPr>
        <w:t>需求</w:t>
      </w:r>
    </w:p>
    <w:p>
      <w:pPr>
        <w:spacing w:line="360" w:lineRule="auto"/>
        <w:ind w:firstLine="1280" w:firstLineChars="40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 xml:space="preserve">第四部分      </w:t>
      </w:r>
      <w:r>
        <w:rPr>
          <w:rFonts w:hint="eastAsia" w:ascii="宋体" w:hAnsi="宋体" w:eastAsia="宋体" w:cs="宋体"/>
          <w:color w:val="auto"/>
          <w:sz w:val="32"/>
          <w:szCs w:val="32"/>
          <w:highlight w:val="none"/>
          <w:lang w:eastAsia="zh-CN"/>
        </w:rPr>
        <w:t>交易办法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lang w:eastAsia="zh-CN"/>
        </w:rPr>
      </w:pPr>
      <w:bookmarkStart w:id="2" w:name="第一部分"/>
      <w:r>
        <w:rPr>
          <w:rFonts w:hint="eastAsia" w:ascii="宋体" w:hAnsi="宋体" w:eastAsia="宋体" w:cs="宋体"/>
          <w:b/>
          <w:color w:val="auto"/>
          <w:sz w:val="36"/>
          <w:szCs w:val="36"/>
          <w:highlight w:val="none"/>
        </w:rPr>
        <w:br w:type="page"/>
      </w:r>
      <w:bookmarkEnd w:id="1"/>
      <w:bookmarkEnd w:id="2"/>
      <w:bookmarkStart w:id="3" w:name="_Hlt74649545"/>
      <w:bookmarkEnd w:id="3"/>
      <w:bookmarkStart w:id="4" w:name="_Hlt74728647"/>
      <w:bookmarkEnd w:id="4"/>
      <w:bookmarkStart w:id="5" w:name="_Hlt74729822"/>
      <w:bookmarkEnd w:id="5"/>
      <w:bookmarkStart w:id="6" w:name="_Hlt74707423"/>
      <w:bookmarkEnd w:id="6"/>
      <w:bookmarkStart w:id="7" w:name="第二部分"/>
      <w:bookmarkStart w:id="8" w:name="_Toc91899870"/>
      <w:bookmarkStart w:id="9" w:name="_Toc91899871"/>
      <w:r>
        <w:rPr>
          <w:rFonts w:hint="eastAsia" w:ascii="宋体" w:hAnsi="宋体" w:eastAsia="宋体" w:cs="宋体"/>
          <w:b/>
          <w:color w:val="auto"/>
          <w:sz w:val="36"/>
          <w:szCs w:val="20"/>
          <w:highlight w:val="none"/>
        </w:rPr>
        <w:t xml:space="preserve">第一部分 </w:t>
      </w:r>
      <w:r>
        <w:rPr>
          <w:rFonts w:hint="eastAsia" w:ascii="宋体" w:hAnsi="宋体" w:eastAsia="宋体" w:cs="宋体"/>
          <w:b/>
          <w:color w:val="auto"/>
          <w:sz w:val="36"/>
          <w:szCs w:val="20"/>
          <w:highlight w:val="none"/>
          <w:lang w:eastAsia="zh-CN"/>
        </w:rPr>
        <w:t>交易公告</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一、基本情况</w:t>
      </w:r>
    </w:p>
    <w:p>
      <w:pPr>
        <w:keepNext w:val="0"/>
        <w:keepLines w:val="0"/>
        <w:pageBreakBefore w:val="0"/>
        <w:kinsoku/>
        <w:wordWrap/>
        <w:overflowPunct/>
        <w:topLinePunct w:val="0"/>
        <w:bidi w:val="0"/>
        <w:adjustRightInd w:val="0"/>
        <w:spacing w:line="360" w:lineRule="auto"/>
        <w:ind w:firstLine="482" w:firstLineChars="200"/>
        <w:textAlignment w:val="auto"/>
        <w:rPr>
          <w:rFonts w:hint="default" w:ascii="宋体" w:hAnsi="宋体" w:eastAsia="宋体" w:cs="宋体"/>
          <w:b/>
          <w:color w:val="auto"/>
          <w:sz w:val="24"/>
          <w:highlight w:val="none"/>
          <w:u w:val="none"/>
          <w:lang w:val="en-US"/>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编号：</w:t>
      </w:r>
      <w:r>
        <w:rPr>
          <w:rFonts w:hint="eastAsia" w:ascii="宋体" w:hAnsi="宋体" w:eastAsia="宋体" w:cs="宋体"/>
          <w:b w:val="0"/>
          <w:bCs/>
          <w:color w:val="auto"/>
          <w:sz w:val="24"/>
          <w:highlight w:val="none"/>
          <w:u w:val="none"/>
          <w:lang w:eastAsia="zh-CN"/>
        </w:rPr>
        <w:t>BWZB2022-GK-</w:t>
      </w:r>
      <w:r>
        <w:rPr>
          <w:rFonts w:hint="eastAsia" w:ascii="宋体" w:hAnsi="宋体" w:cs="宋体"/>
          <w:b w:val="0"/>
          <w:bCs/>
          <w:color w:val="auto"/>
          <w:sz w:val="24"/>
          <w:highlight w:val="none"/>
          <w:u w:val="none"/>
          <w:lang w:val="en-US" w:eastAsia="zh-CN"/>
        </w:rPr>
        <w:t>106</w:t>
      </w:r>
      <w:bookmarkStart w:id="385" w:name="_GoBack"/>
      <w:bookmarkEnd w:id="385"/>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lang w:eastAsia="zh-CN"/>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名称：</w:t>
      </w:r>
      <w:r>
        <w:rPr>
          <w:rFonts w:hint="eastAsia" w:ascii="宋体" w:hAnsi="宋体" w:cs="宋体"/>
          <w:color w:val="auto"/>
          <w:sz w:val="24"/>
          <w:highlight w:val="none"/>
          <w:u w:val="none"/>
          <w:lang w:eastAsia="zh-CN"/>
        </w:rPr>
        <w:t>萧山区2022年度电梯维保质量抽查服务采购项目</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预算金额：</w:t>
      </w:r>
      <w:r>
        <w:rPr>
          <w:rFonts w:hint="eastAsia" w:ascii="宋体" w:hAnsi="宋体" w:cs="宋体"/>
          <w:color w:val="auto"/>
          <w:sz w:val="24"/>
          <w:szCs w:val="28"/>
          <w:highlight w:val="none"/>
          <w:u w:val="none"/>
          <w:lang w:val="en-US" w:eastAsia="zh-CN"/>
        </w:rPr>
        <w:t>29.75</w:t>
      </w:r>
      <w:r>
        <w:rPr>
          <w:rFonts w:hint="eastAsia" w:ascii="宋体" w:hAnsi="宋体" w:eastAsia="宋体" w:cs="宋体"/>
          <w:color w:val="auto"/>
          <w:sz w:val="24"/>
          <w:szCs w:val="28"/>
          <w:highlight w:val="none"/>
          <w:u w:val="none"/>
          <w:lang w:val="en-US" w:eastAsia="zh-CN"/>
        </w:rPr>
        <w:t>万</w:t>
      </w:r>
      <w:r>
        <w:rPr>
          <w:rFonts w:hint="eastAsia" w:ascii="宋体" w:hAnsi="宋体" w:eastAsia="宋体" w:cs="宋体"/>
          <w:color w:val="auto"/>
          <w:sz w:val="24"/>
          <w:szCs w:val="24"/>
          <w:highlight w:val="none"/>
          <w:u w:val="none"/>
          <w:lang w:eastAsia="zh-CN"/>
        </w:rPr>
        <w:t>元</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u w:val="none"/>
        </w:rPr>
      </w:pPr>
      <w:r>
        <w:rPr>
          <w:rFonts w:hint="eastAsia" w:ascii="宋体" w:hAnsi="宋体" w:eastAsia="宋体" w:cs="宋体"/>
          <w:b/>
          <w:color w:val="auto"/>
          <w:sz w:val="24"/>
          <w:highlight w:val="none"/>
          <w:u w:val="none"/>
        </w:rPr>
        <w:t>最高限价：</w:t>
      </w:r>
      <w:r>
        <w:rPr>
          <w:rFonts w:hint="eastAsia" w:ascii="宋体" w:hAnsi="宋体" w:cs="宋体"/>
          <w:color w:val="auto"/>
          <w:sz w:val="24"/>
          <w:szCs w:val="28"/>
          <w:highlight w:val="none"/>
          <w:u w:val="none"/>
          <w:lang w:val="en-US" w:eastAsia="zh-CN"/>
        </w:rPr>
        <w:t>29.75</w:t>
      </w:r>
      <w:r>
        <w:rPr>
          <w:rFonts w:hint="eastAsia" w:ascii="宋体" w:hAnsi="宋体" w:eastAsia="宋体" w:cs="宋体"/>
          <w:color w:val="auto"/>
          <w:sz w:val="24"/>
          <w:szCs w:val="28"/>
          <w:highlight w:val="none"/>
          <w:u w:val="none"/>
          <w:lang w:val="en-US" w:eastAsia="zh-CN"/>
        </w:rPr>
        <w:t>万</w:t>
      </w:r>
      <w:r>
        <w:rPr>
          <w:rFonts w:hint="eastAsia" w:ascii="宋体" w:hAnsi="宋体" w:eastAsia="宋体" w:cs="宋体"/>
          <w:color w:val="auto"/>
          <w:sz w:val="24"/>
          <w:szCs w:val="24"/>
          <w:highlight w:val="none"/>
          <w:u w:val="none"/>
          <w:lang w:eastAsia="zh-CN"/>
        </w:rPr>
        <w:t>元</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u w:val="none"/>
          <w:lang w:val="en-US"/>
        </w:rPr>
      </w:pPr>
      <w:r>
        <w:rPr>
          <w:rFonts w:hint="eastAsia" w:ascii="宋体" w:hAnsi="宋体" w:eastAsia="宋体" w:cs="宋体"/>
          <w:b/>
          <w:color w:val="auto"/>
          <w:sz w:val="24"/>
          <w:highlight w:val="none"/>
          <w:u w:val="none"/>
          <w:lang w:val="en-US" w:eastAsia="zh-CN"/>
        </w:rPr>
        <w:t>交易</w:t>
      </w:r>
      <w:r>
        <w:rPr>
          <w:rFonts w:hint="eastAsia" w:ascii="宋体" w:hAnsi="宋体" w:eastAsia="宋体" w:cs="宋体"/>
          <w:b/>
          <w:color w:val="auto"/>
          <w:sz w:val="24"/>
          <w:highlight w:val="none"/>
          <w:u w:val="none"/>
        </w:rPr>
        <w:t>需求：</w:t>
      </w:r>
      <w:r>
        <w:rPr>
          <w:rFonts w:hint="eastAsia" w:ascii="宋体" w:hAnsi="宋体" w:eastAsia="宋体" w:cs="宋体"/>
          <w:color w:val="auto"/>
          <w:sz w:val="24"/>
          <w:highlight w:val="none"/>
          <w:u w:val="none"/>
          <w:lang w:eastAsia="zh-CN"/>
        </w:rPr>
        <w:t>食堂服务，</w:t>
      </w:r>
      <w:r>
        <w:rPr>
          <w:rFonts w:hint="eastAsia" w:ascii="宋体" w:hAnsi="宋体" w:eastAsia="宋体" w:cs="宋体"/>
          <w:color w:val="auto"/>
          <w:sz w:val="24"/>
          <w:highlight w:val="none"/>
          <w:u w:val="none"/>
          <w:lang w:val="en-US" w:eastAsia="zh-CN"/>
        </w:rPr>
        <w:t>1年，详见交易需求</w:t>
      </w:r>
    </w:p>
    <w:p>
      <w:pPr>
        <w:pStyle w:val="15"/>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highlight w:val="none"/>
          <w:lang w:eastAsia="zh-CN"/>
        </w:rPr>
      </w:pPr>
      <w:r>
        <w:rPr>
          <w:rFonts w:hint="eastAsia" w:ascii="宋体" w:hAnsi="宋体" w:eastAsia="宋体" w:cs="宋体"/>
          <w:b/>
          <w:color w:val="auto"/>
          <w:sz w:val="24"/>
          <w:szCs w:val="18"/>
          <w:highlight w:val="none"/>
        </w:rPr>
        <w:t>合同履约期限：</w:t>
      </w:r>
      <w:r>
        <w:rPr>
          <w:rFonts w:hint="eastAsia" w:ascii="宋体" w:hAnsi="宋体" w:eastAsia="宋体" w:cs="宋体"/>
          <w:color w:val="auto"/>
          <w:sz w:val="24"/>
          <w:szCs w:val="28"/>
          <w:highlight w:val="none"/>
        </w:rPr>
        <w:t>详见</w:t>
      </w:r>
      <w:r>
        <w:rPr>
          <w:rFonts w:hint="eastAsia" w:ascii="宋体" w:hAnsi="宋体" w:eastAsia="宋体" w:cs="宋体"/>
          <w:color w:val="auto"/>
          <w:sz w:val="24"/>
          <w:szCs w:val="28"/>
          <w:highlight w:val="none"/>
          <w:lang w:eastAsia="zh-CN"/>
        </w:rPr>
        <w:t>交易文件</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 xml:space="preserve">本项目接受联合体投标：（ </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）是；（√）否</w:t>
      </w:r>
      <w:r>
        <w:rPr>
          <w:rFonts w:hint="eastAsia" w:ascii="宋体" w:hAnsi="宋体" w:eastAsia="宋体" w:cs="宋体"/>
          <w:b/>
          <w:color w:val="auto"/>
          <w:sz w:val="24"/>
          <w:highlight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活动前三年内，在经营活动中没有重大违法记录；</w:t>
      </w:r>
    </w:p>
    <w:p>
      <w:pPr>
        <w:keepNext w:val="0"/>
        <w:keepLines w:val="0"/>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24"/>
        <w:keepNext w:val="0"/>
        <w:keepLines w:val="0"/>
        <w:pageBreakBefore w:val="0"/>
        <w:kinsoku/>
        <w:wordWrap/>
        <w:overflowPunct/>
        <w:topLinePunct w:val="0"/>
        <w:bidi w:val="0"/>
        <w:adjustRightInd w:val="0"/>
        <w:ind w:left="0" w:leftChars="0"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7、本项目的特定资格要求：</w:t>
      </w:r>
      <w:r>
        <w:rPr>
          <w:rFonts w:hint="eastAsia" w:hAnsi="宋体" w:cs="宋体"/>
          <w:color w:val="auto"/>
          <w:sz w:val="24"/>
          <w:highlight w:val="none"/>
          <w:lang w:val="en-US" w:eastAsia="zh-CN"/>
        </w:rPr>
        <w:t>具有特种设备检验检测机构核准证（检验类型含电梯检测，检验项目含T1（不含防爆型））；</w:t>
      </w:r>
    </w:p>
    <w:p>
      <w:pPr>
        <w:pStyle w:val="24"/>
        <w:keepNext w:val="0"/>
        <w:keepLines w:val="0"/>
        <w:pageBreakBefore w:val="0"/>
        <w:kinsoku/>
        <w:wordWrap/>
        <w:overflowPunct/>
        <w:topLinePunct w:val="0"/>
        <w:bidi w:val="0"/>
        <w:adjustRightInd w:val="0"/>
        <w:ind w:left="0" w:leftChars="0" w:firstLine="480" w:firstLineChars="200"/>
        <w:textAlignment w:val="auto"/>
        <w:rPr>
          <w:rFonts w:hint="eastAsia" w:ascii="宋体" w:hAnsi="宋体" w:eastAsia="宋体" w:cs="宋体"/>
          <w:color w:val="auto"/>
          <w:highlight w:val="none"/>
          <w:u w:val="none"/>
          <w:lang w:val="en-US" w:eastAsia="zh-CN"/>
        </w:rPr>
      </w:pPr>
      <w:r>
        <w:rPr>
          <w:rFonts w:hint="eastAsia" w:hAnsi="宋体" w:cs="宋体"/>
          <w:color w:val="auto"/>
          <w:sz w:val="24"/>
          <w:highlight w:val="none"/>
          <w:lang w:val="en-US" w:eastAsia="zh-CN"/>
        </w:rPr>
        <w:t>8、</w:t>
      </w:r>
      <w:r>
        <w:rPr>
          <w:rFonts w:hint="eastAsia" w:ascii="宋体" w:hAnsi="宋体" w:eastAsia="宋体" w:cs="宋体"/>
          <w:color w:val="auto"/>
          <w:sz w:val="24"/>
          <w:highlight w:val="none"/>
        </w:rPr>
        <w:t>本项目不接受联合体参与（潜在供应商能独立完成本项目）</w:t>
      </w:r>
      <w:r>
        <w:rPr>
          <w:rFonts w:hint="eastAsia" w:ascii="宋体" w:hAnsi="宋体" w:eastAsia="宋体" w:cs="宋体"/>
          <w:color w:val="auto"/>
          <w:sz w:val="24"/>
          <w:highlight w:val="none"/>
          <w:u w:val="none"/>
          <w:lang w:eastAsia="zh-CN"/>
        </w:rPr>
        <w:t>。</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 xml:space="preserve">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和地点</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截止时间：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lang w:eastAsia="zh-CN"/>
        </w:rPr>
        <w:t>交易时间</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08</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p>
    <w:p>
      <w:pPr>
        <w:keepNext w:val="0"/>
        <w:keepLines w:val="0"/>
        <w:pageBreakBefore w:val="0"/>
        <w:kinsoku/>
        <w:wordWrap/>
        <w:overflowPunct/>
        <w:topLinePunct w:val="0"/>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五</w:t>
      </w:r>
      <w:r>
        <w:rPr>
          <w:rFonts w:hint="eastAsia" w:ascii="宋体" w:hAnsi="宋体" w:eastAsia="宋体" w:cs="宋体"/>
          <w:b/>
          <w:color w:val="auto"/>
          <w:sz w:val="24"/>
          <w:highlight w:val="none"/>
        </w:rPr>
        <w:t>、其他补充事宜</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使自己的权益受到损害的，可以自获取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和采购代理机构提出质疑。质疑供应商对</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、采购代理机构的答复不满意或者</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、采购代理机构未在规定的时间内作出答复的，可以在答复期满后十五个工作日内向采购监督管理部门投诉。质疑函范本、投诉书范本请到浙江政府采购网下载专区下载。</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2.其他事项：电子招投标的说明：①电子招投标：本项目以数据电文形式，依托“政府采购云平台（www.zcygov.cn）”进行招投标活动，不接受纸质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的获取：使用账号登录或者使用CA登录政采云平台；进入“项目采购”应用，在获取采购文件菜单中选择项目，获取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的制作：在“政采云电子交易客户端”中完成“填写基本信息”、“导入</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”、“标书关联”、“标书检查”、“电子签名”、“生成电子标书”等操作；⑤</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、采购机构将依托政采云平台完成本项目的电子交易活动，平台不接受未按上述方式获取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的供应商进行投标活动； ⑥对未按上述方式获取</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的供应商对该文件提出的质疑，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或采购代理机构将不予处理；⑦不提供</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纸质版；⑧</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的传输递交：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在投标截止时间前将加密的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上传至政府采购云平台，还可以在投标截止时间前直接提交或者以邮政快递方式递交备份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1份。备份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的制作、存储、密封详见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第二部分第15点—“备份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”；⑨</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的解密：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无法按时解密，投标供应商递交了备份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的，以备份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为依据，否则视为</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撤回。通过“政府采购云平台”上传递交的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已按时解密的，备份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自动失效。</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仅提交备份</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，未在电子交易平台传输递交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交易无效</w:t>
      </w:r>
      <w:r>
        <w:rPr>
          <w:rFonts w:hint="eastAsia" w:ascii="宋体" w:hAnsi="宋体" w:eastAsia="宋体" w:cs="宋体"/>
          <w:color w:val="auto"/>
          <w:sz w:val="24"/>
          <w:highlight w:val="none"/>
        </w:rPr>
        <w:t>；⑩具体操作指南：详见政采云平台“服务中心-帮助文档-项目采购-操作流程-电子招投标-政府采购项目电子交易管理操作指南-供应商”。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六</w:t>
      </w:r>
      <w:r>
        <w:rPr>
          <w:rFonts w:hint="eastAsia" w:ascii="宋体" w:hAnsi="宋体" w:eastAsia="宋体" w:cs="宋体"/>
          <w:b/>
          <w:color w:val="auto"/>
          <w:sz w:val="24"/>
          <w:highlight w:val="none"/>
        </w:rPr>
        <w:t>、对本次采购提出询问、质疑、投诉，请按以下方式联系</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lang w:eastAsia="zh-CN"/>
        </w:rPr>
        <w:t>交易人</w:t>
      </w:r>
      <w:r>
        <w:rPr>
          <w:rFonts w:hint="eastAsia" w:ascii="宋体" w:hAnsi="宋体" w:eastAsia="宋体" w:cs="宋体"/>
          <w:color w:val="auto"/>
          <w:sz w:val="24"/>
          <w:szCs w:val="28"/>
          <w:highlight w:val="none"/>
        </w:rPr>
        <w:t>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名称：</w:t>
      </w:r>
      <w:r>
        <w:rPr>
          <w:rFonts w:hint="eastAsia" w:ascii="宋体" w:hAnsi="宋体" w:eastAsia="宋体" w:cs="宋体"/>
          <w:color w:val="auto"/>
          <w:sz w:val="24"/>
          <w:highlight w:val="none"/>
          <w:u w:val="none"/>
          <w:lang w:eastAsia="zh-CN"/>
        </w:rPr>
        <w:t>杭州市萧山区市场监督管理局</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地址：杭州市萧山区金城路255号</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凡伟</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highlight w:val="none"/>
          <w:lang w:val="en-US" w:eastAsia="zh-CN"/>
        </w:rPr>
        <w:t>项目联系方式（询问）：0571-83899090</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val="en-US"/>
        </w:rPr>
      </w:pPr>
      <w:bookmarkStart w:id="10" w:name="_Toc28359009"/>
      <w:bookmarkStart w:id="11" w:name="_Toc28359086"/>
      <w:r>
        <w:rPr>
          <w:rFonts w:hint="eastAsia" w:ascii="宋体" w:hAnsi="宋体" w:eastAsia="宋体" w:cs="宋体"/>
          <w:color w:val="auto"/>
          <w:sz w:val="24"/>
          <w:szCs w:val="28"/>
          <w:highlight w:val="none"/>
        </w:rPr>
        <w:t>2.</w:t>
      </w:r>
      <w:bookmarkEnd w:id="10"/>
      <w:bookmarkEnd w:id="11"/>
      <w:r>
        <w:rPr>
          <w:rFonts w:hint="eastAsia" w:ascii="宋体" w:hAnsi="宋体" w:eastAsia="宋体" w:cs="宋体"/>
          <w:color w:val="auto"/>
          <w:sz w:val="24"/>
          <w:szCs w:val="28"/>
          <w:highlight w:val="none"/>
          <w:lang w:val="en-US" w:eastAsia="zh-CN"/>
        </w:rPr>
        <w:t>采购机构信息</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名称：杭州博望建设工程招标投标代理有限公司</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地址：杭州市萧山区金城路433号天汇园一幢A座5楼</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传真：0571-83881208</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项目联系人（询问）：</w:t>
      </w:r>
      <w:r>
        <w:rPr>
          <w:rFonts w:hint="eastAsia" w:ascii="宋体" w:hAnsi="宋体" w:eastAsia="宋体" w:cs="宋体"/>
          <w:color w:val="auto"/>
          <w:sz w:val="24"/>
          <w:szCs w:val="28"/>
          <w:highlight w:val="none"/>
          <w:lang w:val="en-US" w:eastAsia="zh-CN"/>
        </w:rPr>
        <w:t>赵鑫华</w:t>
      </w:r>
    </w:p>
    <w:p>
      <w:pPr>
        <w:keepNext w:val="0"/>
        <w:keepLines w:val="0"/>
        <w:pageBreakBefore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项目联系方式（询问）：0571-83881208</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7"/>
      <w:r>
        <w:rPr>
          <w:rFonts w:hint="eastAsia" w:ascii="宋体" w:hAnsi="宋体" w:eastAsia="宋体" w:cs="宋体"/>
          <w:b/>
          <w:color w:val="auto"/>
          <w:sz w:val="36"/>
          <w:szCs w:val="20"/>
          <w:highlight w:val="none"/>
        </w:rPr>
        <w:t xml:space="preserve"> </w:t>
      </w:r>
      <w:r>
        <w:rPr>
          <w:rFonts w:hint="eastAsia" w:ascii="宋体" w:hAnsi="宋体" w:eastAsia="宋体" w:cs="宋体"/>
          <w:b/>
          <w:color w:val="auto"/>
          <w:sz w:val="36"/>
          <w:szCs w:val="20"/>
          <w:highlight w:val="none"/>
          <w:lang w:eastAsia="zh-CN"/>
        </w:rPr>
        <w:t>供应商</w:t>
      </w:r>
      <w:r>
        <w:rPr>
          <w:rFonts w:hint="eastAsia" w:ascii="宋体" w:hAnsi="宋体" w:eastAsia="宋体" w:cs="宋体"/>
          <w:b/>
          <w:color w:val="auto"/>
          <w:sz w:val="36"/>
          <w:szCs w:val="20"/>
          <w:highlight w:val="none"/>
        </w:rPr>
        <w:t>须知</w:t>
      </w:r>
      <w:bookmarkEnd w:id="8"/>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A货物类</w:t>
            </w:r>
            <w:r>
              <w:rPr>
                <w:rFonts w:hint="eastAsia" w:ascii="宋体" w:hAnsi="宋体" w:eastAsia="宋体" w:cs="宋体"/>
                <w:color w:val="auto"/>
                <w:sz w:val="24"/>
                <w:highlight w:val="none"/>
              </w:rPr>
              <w:t>。</w:t>
            </w:r>
          </w:p>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B服务类</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p>
          <w:p>
            <w:pPr>
              <w:snapToGrid w:val="0"/>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b w:val="0"/>
                <w:bCs/>
                <w:color w:val="auto"/>
                <w:sz w:val="24"/>
                <w:highlight w:val="none"/>
              </w:rPr>
              <w:t>（</w:t>
            </w:r>
            <w:r>
              <w:rPr>
                <w:rFonts w:hint="eastAsia" w:ascii="宋体" w:hAnsi="宋体" w:cs="宋体"/>
                <w:b w:val="0"/>
                <w:bCs/>
                <w:color w:val="auto"/>
                <w:sz w:val="24"/>
                <w:highlight w:val="none"/>
                <w:lang w:val="en-US" w:eastAsia="zh-CN"/>
              </w:rPr>
              <w:t xml:space="preserve">  </w:t>
            </w: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A适用</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kern w:val="0"/>
                <w:sz w:val="24"/>
                <w:highlight w:val="none"/>
                <w:lang w:val="en-US" w:eastAsia="zh-CN"/>
              </w:rPr>
              <w:t>B不适用</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B</w:t>
            </w:r>
            <w:r>
              <w:rPr>
                <w:rFonts w:hint="eastAsia" w:ascii="宋体" w:hAnsi="宋体" w:eastAsia="宋体" w:cs="宋体"/>
                <w:b w:val="0"/>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szCs w:val="20"/>
                <w:highlight w:val="none"/>
                <w:lang w:val="en-US"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kern w:val="0"/>
                <w:sz w:val="24"/>
                <w:highlight w:val="none"/>
              </w:rPr>
              <w:t>A</w:t>
            </w:r>
            <w:r>
              <w:rPr>
                <w:rFonts w:hint="eastAsia" w:ascii="宋体" w:hAnsi="宋体" w:eastAsia="宋体" w:cs="宋体"/>
                <w:b w:val="0"/>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第二部分1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w:t>
            </w:r>
          </w:p>
          <w:p>
            <w:pPr>
              <w:spacing w:line="24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843" w:type="dxa"/>
            <w:tcBorders>
              <w:top w:val="single" w:color="000000" w:sz="8" w:space="0"/>
              <w:left w:val="single" w:color="auto" w:sz="4" w:space="0"/>
              <w:right w:val="single" w:color="000000" w:sz="8" w:space="0"/>
            </w:tcBorders>
            <w:vAlign w:val="center"/>
          </w:tcPr>
          <w:p>
            <w:pPr>
              <w:snapToGrid w:val="0"/>
              <w:spacing w:line="240" w:lineRule="auto"/>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bCs w:val="0"/>
                <w:color w:val="auto"/>
                <w:sz w:val="24"/>
                <w:highlight w:val="none"/>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有关本项目实施所需的所有费用（含税费）均计入报价。</w:t>
            </w:r>
            <w:r>
              <w:rPr>
                <w:rFonts w:hint="eastAsia" w:ascii="宋体" w:hAnsi="宋体" w:eastAsia="宋体" w:cs="宋体"/>
                <w:b w:val="0"/>
                <w:bCs/>
                <w:color w:val="auto"/>
                <w:kern w:val="0"/>
                <w:sz w:val="24"/>
                <w:highlight w:val="none"/>
                <w:lang w:eastAsia="zh-CN"/>
              </w:rPr>
              <w:t>交易一览表</w:t>
            </w:r>
            <w:r>
              <w:rPr>
                <w:rFonts w:hint="eastAsia" w:ascii="宋体" w:hAnsi="宋体" w:eastAsia="宋体" w:cs="宋体"/>
                <w:b w:val="0"/>
                <w:bCs/>
                <w:color w:val="auto"/>
                <w:kern w:val="0"/>
                <w:sz w:val="24"/>
                <w:highlight w:val="none"/>
              </w:rPr>
              <w:t>（报价表）是报价的唯一载体</w:t>
            </w:r>
            <w:r>
              <w:rPr>
                <w:rFonts w:hint="eastAsia" w:ascii="宋体" w:hAnsi="宋体" w:eastAsia="宋体" w:cs="宋体"/>
                <w:b w:val="0"/>
                <w:bCs/>
                <w:color w:val="auto"/>
                <w:kern w:val="0"/>
                <w:sz w:val="24"/>
                <w:highlight w:val="none"/>
                <w:lang w:val="zh-CN"/>
              </w:rPr>
              <w:t>。响应文件中价格全部采用人民币报价。交易文件未列明，而供应商认为必需的费用也需列入报价。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交易报价出现下列情形的，交易无效：</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响应文件出现不是唯一的、有选择性交易报价的；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lang w:val="zh-CN"/>
              </w:rPr>
            </w:pPr>
            <w:r>
              <w:rPr>
                <w:rFonts w:hint="eastAsia" w:ascii="宋体" w:hAnsi="宋体" w:eastAsia="宋体" w:cs="宋体"/>
                <w:b w:val="0"/>
                <w:bCs/>
                <w:color w:val="auto"/>
                <w:kern w:val="0"/>
                <w:sz w:val="24"/>
                <w:highlight w:val="none"/>
                <w:lang w:val="zh-CN"/>
              </w:rPr>
              <w:t>交易报价超过交易文件中规定的预算金额或者最高限价的；</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textAlignment w:val="auto"/>
              <w:rPr>
                <w:rFonts w:hint="eastAsia" w:ascii="宋体" w:hAnsi="宋体" w:eastAsia="宋体" w:cs="宋体"/>
                <w:b w:val="0"/>
                <w:bCs/>
                <w:color w:val="auto"/>
                <w:kern w:val="0"/>
                <w:sz w:val="24"/>
                <w:highlight w:val="none"/>
              </w:rPr>
            </w:pPr>
            <w:r>
              <w:rPr>
                <w:rFonts w:hint="eastAsia" w:ascii="宋体" w:hAnsi="宋体" w:eastAsia="宋体" w:cs="宋体"/>
                <w:b w:val="0"/>
                <w:bCs/>
                <w:color w:val="auto"/>
                <w:kern w:val="0"/>
                <w:sz w:val="24"/>
                <w:highlight w:val="none"/>
              </w:rPr>
              <w:t>报价明显低于其他通过符合性审查</w:t>
            </w: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的报价，有可能影响产品质量或者不能诚信履约的，未能按要求提供书面说明或者提交相关证明材料证明其报价合理性的;</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b w:val="0"/>
                <w:bCs/>
                <w:color w:val="auto"/>
                <w:kern w:val="0"/>
                <w:sz w:val="24"/>
                <w:highlight w:val="none"/>
                <w:lang w:eastAsia="zh-CN"/>
              </w:rPr>
              <w:t>供应商</w:t>
            </w:r>
            <w:r>
              <w:rPr>
                <w:rFonts w:hint="eastAsia" w:ascii="宋体" w:hAnsi="宋体" w:eastAsia="宋体" w:cs="宋体"/>
                <w:b w:val="0"/>
                <w:bCs/>
                <w:color w:val="auto"/>
                <w:kern w:val="0"/>
                <w:sz w:val="24"/>
                <w:highlight w:val="none"/>
              </w:rPr>
              <w:t>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备份</w:t>
            </w:r>
            <w:r>
              <w:rPr>
                <w:rFonts w:hint="eastAsia" w:ascii="宋体" w:hAnsi="宋体" w:eastAsia="宋体" w:cs="宋体"/>
                <w:b/>
                <w:color w:val="auto"/>
                <w:sz w:val="24"/>
                <w:highlight w:val="none"/>
                <w:lang w:eastAsia="zh-CN"/>
              </w:rPr>
              <w:t>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color w:val="auto"/>
                <w:kern w:val="28"/>
                <w:sz w:val="24"/>
                <w:szCs w:val="24"/>
                <w:highlight w:val="none"/>
                <w:lang w:val="en-US" w:eastAsia="zh-CN"/>
              </w:rPr>
              <w:t>备份文件是否收取：不收取。</w:t>
            </w:r>
          </w:p>
          <w:p>
            <w:pPr>
              <w:pStyle w:val="33"/>
              <w:spacing w:line="240" w:lineRule="auto"/>
              <w:ind w:left="0" w:leftChars="0" w:hanging="4" w:firstLineChars="0"/>
              <w:rPr>
                <w:rFonts w:hint="eastAsia" w:ascii="宋体" w:hAnsi="宋体" w:eastAsia="宋体" w:cs="宋体"/>
                <w:color w:val="auto"/>
                <w:kern w:val="28"/>
                <w:sz w:val="24"/>
                <w:szCs w:val="24"/>
                <w:highlight w:val="none"/>
                <w:lang w:val="en-US" w:eastAsia="zh-CN"/>
              </w:rPr>
            </w:pP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单位在</w:t>
            </w:r>
            <w:r>
              <w:rPr>
                <w:rFonts w:hint="eastAsia" w:ascii="宋体" w:hAnsi="宋体" w:eastAsia="宋体" w:cs="宋体"/>
                <w:b/>
                <w:bCs w:val="0"/>
                <w:color w:val="auto"/>
                <w:sz w:val="24"/>
                <w:highlight w:val="none"/>
                <w:lang w:val="en-US" w:eastAsia="zh-CN"/>
              </w:rPr>
              <w:t>成交</w:t>
            </w:r>
            <w:r>
              <w:rPr>
                <w:rFonts w:hint="eastAsia" w:ascii="宋体" w:hAnsi="宋体" w:eastAsia="宋体" w:cs="宋体"/>
                <w:b/>
                <w:bCs w:val="0"/>
                <w:color w:val="auto"/>
                <w:sz w:val="24"/>
                <w:highlight w:val="none"/>
                <w:lang w:eastAsia="zh-CN"/>
              </w:rPr>
              <w:t>后提供纸质</w:t>
            </w:r>
            <w:r>
              <w:rPr>
                <w:rFonts w:hint="eastAsia" w:ascii="宋体" w:hAnsi="宋体" w:eastAsia="宋体" w:cs="宋体"/>
                <w:b/>
                <w:bCs w:val="0"/>
                <w:color w:val="auto"/>
                <w:sz w:val="24"/>
                <w:highlight w:val="none"/>
                <w:lang w:val="en-US" w:eastAsia="zh-CN"/>
              </w:rPr>
              <w:t>响应</w:t>
            </w:r>
            <w:r>
              <w:rPr>
                <w:rFonts w:hint="eastAsia" w:ascii="宋体" w:hAnsi="宋体" w:eastAsia="宋体" w:cs="宋体"/>
                <w:b/>
                <w:bCs w:val="0"/>
                <w:color w:val="auto"/>
                <w:sz w:val="24"/>
                <w:highlight w:val="none"/>
                <w:lang w:eastAsia="zh-CN"/>
              </w:rPr>
              <w:t>文件一正</w:t>
            </w:r>
            <w:r>
              <w:rPr>
                <w:rFonts w:hint="eastAsia" w:ascii="宋体" w:hAnsi="宋体" w:eastAsia="宋体" w:cs="宋体"/>
                <w:b/>
                <w:bCs w:val="0"/>
                <w:color w:val="auto"/>
                <w:sz w:val="24"/>
                <w:highlight w:val="none"/>
                <w:lang w:val="en-US" w:eastAsia="zh-CN"/>
              </w:rPr>
              <w:t>一副。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15"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val="zh-CN" w:eastAsia="zh-CN"/>
              </w:rPr>
              <w:t>本项目代理服务费由</w:t>
            </w:r>
            <w:r>
              <w:rPr>
                <w:rFonts w:hint="eastAsia" w:ascii="宋体" w:hAnsi="宋体" w:eastAsia="宋体" w:cs="宋体"/>
                <w:b w:val="0"/>
                <w:bCs/>
                <w:color w:val="auto"/>
                <w:kern w:val="0"/>
                <w:sz w:val="24"/>
                <w:highlight w:val="none"/>
                <w:lang w:eastAsia="zh-CN"/>
              </w:rPr>
              <w:t>成交</w:t>
            </w:r>
            <w:r>
              <w:rPr>
                <w:rFonts w:hint="eastAsia" w:ascii="宋体" w:hAnsi="宋体" w:eastAsia="宋体" w:cs="宋体"/>
                <w:b w:val="0"/>
                <w:bCs/>
                <w:color w:val="auto"/>
                <w:kern w:val="0"/>
                <w:sz w:val="24"/>
                <w:highlight w:val="none"/>
                <w:lang w:val="zh-CN" w:eastAsia="zh-CN"/>
              </w:rPr>
              <w:t>人支付。</w:t>
            </w:r>
            <w:r>
              <w:rPr>
                <w:rFonts w:hint="eastAsia" w:ascii="宋体" w:hAnsi="宋体" w:eastAsia="宋体" w:cs="宋体"/>
                <w:b w:val="0"/>
                <w:bCs/>
                <w:color w:val="auto"/>
                <w:kern w:val="0"/>
                <w:sz w:val="24"/>
                <w:highlight w:val="none"/>
                <w:lang w:eastAsia="zh-CN"/>
              </w:rPr>
              <w:t>本次代理服务费按国家发展计划委员会的计价格[2002]1980号文件收费标准下浮20%结算收取，不足3000.00元按3000.00元收取。</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服务费缴纳账号：</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开户银行：上海浦东发展银行萧山支行</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帐户名称：杭州博望建设工程招标投标代理有限公司</w:t>
            </w:r>
          </w:p>
          <w:p>
            <w:pPr>
              <w:snapToGrid w:val="0"/>
              <w:spacing w:line="240" w:lineRule="auto"/>
              <w:rPr>
                <w:rFonts w:hint="eastAsia" w:ascii="宋体" w:hAnsi="宋体" w:eastAsia="宋体" w:cs="宋体"/>
                <w:b w:val="0"/>
                <w:bCs/>
                <w:color w:val="auto"/>
                <w:kern w:val="0"/>
                <w:sz w:val="24"/>
                <w:highlight w:val="none"/>
                <w:lang w:eastAsia="zh-CN"/>
              </w:rPr>
            </w:pPr>
            <w:r>
              <w:rPr>
                <w:rFonts w:hint="eastAsia" w:ascii="宋体" w:hAnsi="宋体" w:eastAsia="宋体" w:cs="宋体"/>
                <w:b w:val="0"/>
                <w:bCs/>
                <w:color w:val="auto"/>
                <w:kern w:val="0"/>
                <w:sz w:val="24"/>
                <w:highlight w:val="none"/>
                <w:lang w:eastAsia="zh-CN"/>
              </w:rPr>
              <w:t>银行帐号：95070154740001005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lang w:val="en-US" w:eastAsia="zh-CN"/>
              </w:rPr>
              <w:t>履约保证金：不收取</w:t>
            </w:r>
            <w:r>
              <w:rPr>
                <w:rFonts w:hint="eastAsia" w:ascii="宋体" w:hAnsi="宋体" w:eastAsia="宋体" w:cs="宋体"/>
                <w:b w:val="0"/>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eastAsia="宋体" w:cs="宋体"/>
                <w:b w:val="0"/>
                <w:bCs/>
                <w:color w:val="auto"/>
                <w:kern w:val="0"/>
                <w:sz w:val="24"/>
                <w:highlight w:val="none"/>
              </w:rPr>
              <w:t>本项目由</w:t>
            </w:r>
            <w:r>
              <w:rPr>
                <w:rFonts w:hint="eastAsia" w:ascii="宋体" w:hAnsi="宋体" w:eastAsia="宋体" w:cs="宋体"/>
                <w:b w:val="0"/>
                <w:bCs/>
                <w:color w:val="auto"/>
                <w:kern w:val="0"/>
                <w:sz w:val="24"/>
                <w:highlight w:val="none"/>
                <w:lang w:eastAsia="zh-CN"/>
              </w:rPr>
              <w:t>交易人</w:t>
            </w:r>
            <w:r>
              <w:rPr>
                <w:rFonts w:hint="eastAsia" w:ascii="宋体" w:hAnsi="宋体" w:eastAsia="宋体" w:cs="宋体"/>
                <w:b w:val="0"/>
                <w:bCs/>
                <w:color w:val="auto"/>
                <w:kern w:val="0"/>
                <w:sz w:val="24"/>
                <w:highlight w:val="none"/>
              </w:rPr>
              <w:t>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质疑接收人及答复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u w:val="none"/>
                <w:lang w:eastAsia="zh-CN"/>
              </w:rPr>
              <w:t>交易人</w:t>
            </w:r>
            <w:r>
              <w:rPr>
                <w:rFonts w:hint="eastAsia" w:ascii="宋体" w:hAnsi="宋体" w:eastAsia="宋体" w:cs="宋体"/>
                <w:color w:val="auto"/>
                <w:sz w:val="24"/>
                <w:highlight w:val="none"/>
                <w:u w:val="none"/>
              </w:rPr>
              <w:t>质疑接收人：</w:t>
            </w:r>
            <w:r>
              <w:rPr>
                <w:rFonts w:hint="eastAsia" w:ascii="宋体" w:hAnsi="宋体" w:eastAsia="宋体" w:cs="宋体"/>
                <w:color w:val="auto"/>
                <w:sz w:val="24"/>
                <w:highlight w:val="none"/>
                <w:u w:val="none"/>
                <w:lang w:val="en-US" w:eastAsia="zh-CN"/>
              </w:rPr>
              <w:t xml:space="preserve">朱宵峰 </w:t>
            </w:r>
            <w:r>
              <w:rPr>
                <w:rFonts w:hint="eastAsia" w:ascii="宋体" w:hAnsi="宋体" w:eastAsia="宋体" w:cs="宋体"/>
                <w:color w:val="auto"/>
                <w:sz w:val="24"/>
                <w:highlight w:val="none"/>
                <w:u w:val="none"/>
              </w:rPr>
              <w:t>联系方式：</w:t>
            </w:r>
            <w:r>
              <w:rPr>
                <w:rFonts w:hint="eastAsia" w:ascii="宋体" w:hAnsi="宋体" w:eastAsia="宋体" w:cs="宋体"/>
                <w:color w:val="auto"/>
                <w:sz w:val="24"/>
                <w:szCs w:val="28"/>
                <w:highlight w:val="none"/>
                <w:u w:val="none"/>
              </w:rPr>
              <w:t>0571-</w:t>
            </w:r>
            <w:r>
              <w:rPr>
                <w:rFonts w:hint="eastAsia" w:ascii="宋体" w:hAnsi="宋体" w:eastAsia="宋体" w:cs="宋体"/>
                <w:color w:val="auto"/>
                <w:sz w:val="24"/>
                <w:szCs w:val="28"/>
                <w:highlight w:val="none"/>
                <w:u w:val="none"/>
                <w:lang w:val="en-US" w:eastAsia="zh-CN"/>
              </w:rPr>
              <w:t>83899079</w:t>
            </w:r>
          </w:p>
          <w:p>
            <w:pPr>
              <w:snapToGrid w:val="0"/>
              <w:spacing w:line="240" w:lineRule="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地址：</w:t>
            </w:r>
            <w:r>
              <w:rPr>
                <w:rFonts w:hint="eastAsia" w:ascii="宋体" w:hAnsi="宋体" w:eastAsia="宋体" w:cs="宋体"/>
                <w:color w:val="auto"/>
                <w:sz w:val="24"/>
                <w:highlight w:val="none"/>
                <w:u w:val="none"/>
                <w:lang w:val="en-US" w:eastAsia="zh-CN"/>
              </w:rPr>
              <w:t>杭州市萧山区金城路255号</w:t>
            </w:r>
          </w:p>
          <w:p>
            <w:pPr>
              <w:snapToGrid w:val="0"/>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采购机构质疑接收人：</w:t>
            </w:r>
            <w:r>
              <w:rPr>
                <w:rFonts w:hint="eastAsia" w:ascii="宋体" w:hAnsi="宋体" w:eastAsia="宋体" w:cs="宋体"/>
                <w:color w:val="auto"/>
                <w:sz w:val="24"/>
                <w:highlight w:val="none"/>
                <w:u w:val="none"/>
                <w:lang w:val="en-US" w:eastAsia="zh-CN"/>
              </w:rPr>
              <w:t>高华萍</w:t>
            </w:r>
            <w:r>
              <w:rPr>
                <w:rFonts w:hint="eastAsia" w:ascii="宋体" w:hAnsi="宋体" w:eastAsia="宋体" w:cs="宋体"/>
                <w:color w:val="auto"/>
                <w:sz w:val="24"/>
                <w:highlight w:val="none"/>
                <w:u w:val="none"/>
              </w:rPr>
              <w:t xml:space="preserve"> 联系方式：0571-83881208</w:t>
            </w:r>
          </w:p>
          <w:p>
            <w:pPr>
              <w:snapToGrid w:val="0"/>
              <w:spacing w:line="240" w:lineRule="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地址：杭州市萧山区金城路433号天汇园一幢A座5楼</w:t>
            </w:r>
          </w:p>
          <w:p>
            <w:pPr>
              <w:tabs>
                <w:tab w:val="center" w:pos="3019"/>
              </w:tabs>
              <w:snapToGrid w:val="0"/>
              <w:spacing w:line="240" w:lineRule="auto"/>
              <w:rPr>
                <w:rFonts w:hint="eastAsia" w:ascii="宋体" w:hAnsi="宋体" w:eastAsia="宋体" w:cs="宋体"/>
                <w:color w:val="auto"/>
                <w:sz w:val="24"/>
                <w:highlight w:val="none"/>
                <w:u w:val="none"/>
                <w:lang w:eastAsia="zh-CN"/>
              </w:rPr>
            </w:pPr>
            <w:r>
              <w:rPr>
                <w:rFonts w:hint="eastAsia" w:ascii="宋体" w:hAnsi="宋体" w:eastAsia="宋体" w:cs="宋体"/>
                <w:color w:val="auto"/>
                <w:sz w:val="24"/>
                <w:highlight w:val="none"/>
                <w:u w:val="none"/>
              </w:rPr>
              <w:t>邮箱：</w:t>
            </w:r>
            <w:r>
              <w:rPr>
                <w:rFonts w:hint="eastAsia" w:ascii="宋体" w:hAnsi="宋体" w:eastAsia="宋体" w:cs="宋体"/>
                <w:color w:val="auto"/>
                <w:sz w:val="24"/>
                <w:highlight w:val="none"/>
                <w:u w:val="none"/>
                <w:lang w:val="en-US" w:eastAsia="zh-CN"/>
              </w:rPr>
              <w:t>751200605</w:t>
            </w:r>
            <w:r>
              <w:rPr>
                <w:rFonts w:hint="eastAsia" w:ascii="宋体" w:hAnsi="宋体" w:eastAsia="宋体" w:cs="宋体"/>
                <w:color w:val="auto"/>
                <w:sz w:val="24"/>
                <w:highlight w:val="none"/>
                <w:u w:val="none"/>
              </w:rPr>
              <w:t>@qq.com</w:t>
            </w:r>
          </w:p>
          <w:p>
            <w:pPr>
              <w:snapToGrid w:val="0"/>
              <w:spacing w:line="24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如通过邮箱方式发送质疑，须提交符合法规及</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要求的质疑文件（参考附件2），盖章扫描后发送，质疑的受理按答复主体划分以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或采购机构邮箱回复确认受理为准。</w:t>
            </w:r>
          </w:p>
          <w:p>
            <w:pPr>
              <w:snapToGrid w:val="0"/>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本项目涉及资格条件、</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需求、评分办法及</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过程中有关现场考察或开标前答疑会事项由</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进行答复。</w:t>
            </w:r>
          </w:p>
          <w:p>
            <w:pPr>
              <w:pStyle w:val="33"/>
              <w:spacing w:line="240" w:lineRule="auto"/>
              <w:ind w:left="0" w:leftChars="0" w:hanging="4"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b/>
                <w:color w:val="auto"/>
                <w:sz w:val="24"/>
                <w:highlight w:val="none"/>
              </w:rPr>
              <w:t>本项目通用总则条款与前附表等专用特别规定有冲突之处，以专用条款（特别规定）为准</w:t>
            </w:r>
            <w:r>
              <w:rPr>
                <w:rFonts w:hint="eastAsia" w:ascii="宋体" w:hAnsi="宋体" w:eastAsia="宋体" w:cs="宋体"/>
                <w:b/>
                <w:color w:val="auto"/>
                <w:sz w:val="24"/>
                <w:highlight w:val="none"/>
                <w:lang w:eastAsia="zh-CN"/>
              </w:rPr>
              <w:t>。</w:t>
            </w:r>
          </w:p>
        </w:tc>
      </w:tr>
    </w:tbl>
    <w:p>
      <w:pPr>
        <w:snapToGrid w:val="0"/>
        <w:spacing w:line="360" w:lineRule="auto"/>
        <w:jc w:val="center"/>
        <w:rPr>
          <w:rFonts w:hint="eastAsia" w:ascii="宋体" w:hAnsi="宋体" w:eastAsia="宋体" w:cs="宋体"/>
          <w:b/>
          <w:color w:val="auto"/>
          <w:sz w:val="32"/>
          <w:szCs w:val="20"/>
          <w:highlight w:val="none"/>
        </w:rPr>
      </w:pPr>
    </w:p>
    <w:bookmarkEnd w:id="9"/>
    <w:p>
      <w:pPr>
        <w:rPr>
          <w:rFonts w:hint="eastAsia" w:ascii="宋体" w:hAnsi="宋体" w:eastAsia="宋体" w:cs="宋体"/>
          <w:b/>
          <w:color w:val="auto"/>
          <w:sz w:val="32"/>
          <w:szCs w:val="20"/>
          <w:highlight w:val="none"/>
        </w:rPr>
      </w:pPr>
      <w:bookmarkStart w:id="12" w:name="第三部分"/>
      <w:bookmarkStart w:id="13" w:name="_Toc164416483"/>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keepNext w:val="0"/>
        <w:keepLines w:val="0"/>
        <w:pageBreakBefore w:val="0"/>
        <w:kinsoku/>
        <w:wordWrap/>
        <w:overflowPunct/>
        <w:topLinePunct w:val="0"/>
        <w:bidi w:val="0"/>
        <w:snapToGrid w:val="0"/>
        <w:spacing w:line="480" w:lineRule="exact"/>
        <w:jc w:val="left"/>
        <w:textAlignment w:val="auto"/>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pPr>
        <w:keepNext w:val="0"/>
        <w:keepLines w:val="0"/>
        <w:pageBreakBefore w:val="0"/>
        <w:kinsoku/>
        <w:wordWrap/>
        <w:overflowPunct/>
        <w:topLinePunct w:val="0"/>
        <w:bidi w:val="0"/>
        <w:snapToGrid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适用于该项目的</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、资格审查及信用信息查询、评</w:t>
      </w:r>
      <w:r>
        <w:rPr>
          <w:rFonts w:hint="eastAsia" w:ascii="宋体" w:hAnsi="宋体" w:eastAsia="宋体" w:cs="宋体"/>
          <w:color w:val="auto"/>
          <w:sz w:val="24"/>
          <w:highlight w:val="none"/>
          <w:lang w:val="en-US" w:eastAsia="zh-CN"/>
        </w:rPr>
        <w:t>审</w:t>
      </w:r>
      <w:r>
        <w:rPr>
          <w:rFonts w:hint="eastAsia" w:ascii="宋体" w:hAnsi="宋体" w:eastAsia="宋体" w:cs="宋体"/>
          <w:color w:val="auto"/>
          <w:sz w:val="24"/>
          <w:highlight w:val="none"/>
        </w:rPr>
        <w:t>、定标、合同、验收等行为（法律、法规另有规定的，从其规定）。</w:t>
      </w:r>
    </w:p>
    <w:p>
      <w:pPr>
        <w:keepNext w:val="0"/>
        <w:keepLines w:val="0"/>
        <w:pageBreakBefore w:val="0"/>
        <w:kinsoku/>
        <w:wordWrap/>
        <w:overflowPunct/>
        <w:topLinePunct w:val="0"/>
        <w:bidi w:val="0"/>
        <w:adjustRightInd/>
        <w:spacing w:line="480" w:lineRule="exact"/>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2.定义</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2.2“采购机构”系指</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中载明的本项目的采购机构。</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”系指是指响应招标、参加投标竞争的法人、其他组织或者自然人。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2.4“负责人”系指法人企业的法定负责人，或其他组织为法律、行政法规规定代表单位行使职权的主要负责人，或自然人本人。</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供应商电子签名指供应商电子公章</w:t>
      </w:r>
      <w:r>
        <w:rPr>
          <w:rFonts w:hint="eastAsia" w:ascii="宋体" w:hAnsi="宋体" w:eastAsia="宋体" w:cs="宋体"/>
          <w:color w:val="auto"/>
          <w:sz w:val="24"/>
          <w:highlight w:val="none"/>
        </w:rPr>
        <w:t>；“公章”系指单位法定名称章。因特殊原因需要使用冠以法定名称的业务专用章的，</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时须提供《业务专用章使用说明函》（附件</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480" w:lineRule="exact"/>
        <w:ind w:left="0" w:leftChars="0" w:firstLine="420" w:firstLineChars="175"/>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2.6“电子交易平台”是指本项目采购活动所依托的政府采购云平台（https://www.zcygov.cn/）。</w:t>
      </w:r>
    </w:p>
    <w:p>
      <w:pPr>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r>
        <w:rPr>
          <w:rFonts w:hint="eastAsia" w:ascii="宋体" w:hAnsi="宋体" w:eastAsia="宋体" w:cs="宋体"/>
          <w:b w:val="0"/>
          <w:bCs/>
          <w:color w:val="auto"/>
          <w:sz w:val="24"/>
          <w:highlight w:val="none"/>
        </w:rPr>
        <w:t>√</w:t>
      </w:r>
      <w:r>
        <w:rPr>
          <w:rFonts w:hint="eastAsia" w:ascii="宋体" w:hAnsi="宋体" w:eastAsia="宋体" w:cs="宋体"/>
          <w:color w:val="auto"/>
          <w:sz w:val="24"/>
          <w:highlight w:val="none"/>
        </w:rPr>
        <w:t>）” 系指适用本项目的要求，“（  ）”系指不适用本项目的要求。</w:t>
      </w:r>
    </w:p>
    <w:p>
      <w:pPr>
        <w:keepNext w:val="0"/>
        <w:keepLines w:val="0"/>
        <w:pageBreakBefore w:val="0"/>
        <w:kinsoku/>
        <w:wordWrap/>
        <w:overflowPunct/>
        <w:topLinePunct w:val="0"/>
        <w:bidi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3.询问、质疑、投诉</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.1供应商询问</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w:t>
      </w:r>
      <w:r>
        <w:rPr>
          <w:rFonts w:hint="eastAsia" w:ascii="宋体" w:hAnsi="宋体" w:eastAsia="宋体" w:cs="宋体"/>
          <w:color w:val="auto"/>
          <w:kern w:val="0"/>
          <w:sz w:val="24"/>
          <w:highlight w:val="none"/>
          <w:lang w:val="en-US" w:eastAsia="zh-CN"/>
        </w:rPr>
        <w:t>交易</w:t>
      </w:r>
      <w:r>
        <w:rPr>
          <w:rFonts w:hint="eastAsia" w:ascii="宋体" w:hAnsi="宋体" w:eastAsia="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keepNext w:val="0"/>
        <w:keepLines w:val="0"/>
        <w:pageBreakBefore w:val="0"/>
        <w:kinsoku/>
        <w:wordWrap/>
        <w:overflowPunct/>
        <w:topLinePunct w:val="0"/>
        <w:autoSpaceDE w:val="0"/>
        <w:autoSpaceDN w:val="0"/>
        <w:bidi w:val="0"/>
        <w:spacing w:line="480" w:lineRule="exact"/>
        <w:ind w:left="0" w:leftChars="0" w:firstLine="420" w:firstLineChars="175"/>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.2供应商质疑</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.1提出质疑的供应商应当是参与所质疑项目</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活动的供应商。潜在供应商已依法获取其可质疑的</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的，可以对该文件提出质疑。</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w:t>
      </w:r>
      <w:r>
        <w:rPr>
          <w:rFonts w:hint="eastAsia" w:ascii="宋体" w:hAnsi="宋体" w:eastAsia="宋体" w:cs="宋体"/>
          <w:color w:val="auto"/>
          <w:sz w:val="24"/>
          <w:highlight w:val="none"/>
        </w:rPr>
        <w:t>.2供应商认为</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过程和</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使自己的权益受到损害的，可以在知道或者应知其权益受到损害之日起</w:t>
      </w:r>
      <w:r>
        <w:rPr>
          <w:rFonts w:hint="eastAsia" w:ascii="宋体" w:hAnsi="宋体" w:eastAsia="宋体" w:cs="宋体"/>
          <w:color w:val="auto"/>
          <w:sz w:val="24"/>
          <w:highlight w:val="none"/>
          <w:lang w:val="en-US" w:eastAsia="zh-CN"/>
        </w:rPr>
        <w:t>三天</w:t>
      </w:r>
      <w:r>
        <w:rPr>
          <w:rFonts w:hint="eastAsia" w:ascii="宋体" w:hAnsi="宋体" w:eastAsia="宋体" w:cs="宋体"/>
          <w:color w:val="auto"/>
          <w:sz w:val="24"/>
          <w:highlight w:val="none"/>
        </w:rPr>
        <w:t>内，以书面形式向</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或者采购机构提出质疑，否则，</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或者采购机构不予受理：</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对采购过程提出质疑的，质疑期限为各采购程序环节结束之日起计算。对同一采购程序环节的质疑，供应商须一次性提出。</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w:t>
      </w:r>
      <w:r>
        <w:rPr>
          <w:rFonts w:hint="eastAsia" w:ascii="宋体" w:hAnsi="宋体" w:eastAsia="宋体" w:cs="宋体"/>
          <w:color w:val="auto"/>
          <w:sz w:val="24"/>
          <w:highlight w:val="none"/>
        </w:rPr>
        <w:t>供应商提出质疑应当提交质疑函和必要的证明材料。质疑函应当包括下列内容：</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.2.3.1供应商的姓名或者名称、地址、邮编、联系人及联系电话；</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.2.3.2质疑项目的名称、编号；</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.2.3.3具体、明确的质疑事项和与质疑事项相关的请求；</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.2.3.4事实依据；</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.2.3.5必要的法律依据；</w:t>
      </w:r>
    </w:p>
    <w:p>
      <w:pPr>
        <w:pStyle w:val="33"/>
        <w:keepNext w:val="0"/>
        <w:keepLines w:val="0"/>
        <w:pageBreakBefore w:val="0"/>
        <w:kinsoku/>
        <w:wordWrap/>
        <w:overflowPunct/>
        <w:topLinePunct w:val="0"/>
        <w:bidi w:val="0"/>
        <w:spacing w:line="480" w:lineRule="exact"/>
        <w:ind w:left="0" w:leftChars="0" w:firstLine="420" w:firstLineChars="175"/>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.2.3.6提出质疑的日期。</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或者采购机构应当在收到供应商的书面质疑后七个工作日内作出答复，并以书面形式通知质疑供应商和其他与质疑处理结果有利害关系的采购当事人，但答复的内容不得涉及商业秘密。</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.5询问或者质疑事项可能影响</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结果的，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应当暂停签订合同，已经签订合同的，应当中止履行合同。</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.3供应商投诉</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.3.1质疑供应商对</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、采购机构的答复不满意或者</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、采购机构未在规定的时间内作出答复的，可以在答复期满后十五个工作日内向同级采购监督管理部门提出投诉。</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.3.3供应商投诉应当有明确的请求和必要的证明材料。</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以联合体形式参加采购活动的，其投诉应当由组成联合体的所有供应商共同提出。</w:t>
      </w:r>
    </w:p>
    <w:p>
      <w:pPr>
        <w:pStyle w:val="889"/>
        <w:keepNext w:val="0"/>
        <w:keepLines w:val="0"/>
        <w:pageBreakBefore w:val="0"/>
        <w:shd w:val="clear" w:color="auto" w:fill="FFFFFF"/>
        <w:kinsoku/>
        <w:wordWrap/>
        <w:overflowPunct/>
        <w:topLinePunct w:val="0"/>
        <w:bidi w:val="0"/>
        <w:snapToGrid w:val="0"/>
        <w:spacing w:after="240" w:afterAutospacing="0" w:line="480" w:lineRule="exact"/>
        <w:ind w:left="0" w:leftChars="0" w:firstLine="420" w:firstLineChars="175"/>
        <w:contextualSpacing/>
        <w:textAlignment w:val="auto"/>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w:t>
      </w:r>
    </w:p>
    <w:p>
      <w:pPr>
        <w:pStyle w:val="131"/>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二、</w:t>
      </w:r>
      <w:r>
        <w:rPr>
          <w:rFonts w:hint="eastAsia" w:ascii="宋体" w:hAnsi="宋体" w:eastAsia="宋体" w:cs="宋体"/>
          <w:b/>
          <w:color w:val="auto"/>
          <w:sz w:val="32"/>
          <w:szCs w:val="20"/>
          <w:highlight w:val="none"/>
          <w:lang w:eastAsia="zh-CN"/>
        </w:rPr>
        <w:t>交易文件</w:t>
      </w:r>
      <w:r>
        <w:rPr>
          <w:rFonts w:hint="eastAsia" w:ascii="宋体" w:hAnsi="宋体" w:eastAsia="宋体" w:cs="宋体"/>
          <w:b/>
          <w:color w:val="auto"/>
          <w:sz w:val="32"/>
          <w:szCs w:val="20"/>
          <w:highlight w:val="none"/>
        </w:rPr>
        <w:t>的构成、澄清、修改</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的构成</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交易文件</w:t>
      </w:r>
      <w:r>
        <w:rPr>
          <w:rFonts w:hint="eastAsia" w:ascii="宋体" w:hAnsi="宋体" w:eastAsia="宋体" w:cs="宋体"/>
          <w:color w:val="auto"/>
          <w:sz w:val="24"/>
          <w:szCs w:val="24"/>
          <w:highlight w:val="none"/>
        </w:rPr>
        <w:t>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交易公告</w:t>
      </w:r>
      <w:r>
        <w:rPr>
          <w:rFonts w:hint="eastAsia" w:ascii="宋体" w:hAnsi="宋体" w:eastAsia="宋体" w:cs="宋体"/>
          <w:color w:val="auto"/>
          <w:sz w:val="24"/>
          <w:szCs w:val="24"/>
          <w:highlight w:val="none"/>
        </w:rPr>
        <w:t>；</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交易</w:t>
      </w:r>
      <w:r>
        <w:rPr>
          <w:rFonts w:hint="eastAsia" w:ascii="宋体" w:hAnsi="宋体" w:eastAsia="宋体" w:cs="宋体"/>
          <w:color w:val="auto"/>
          <w:sz w:val="24"/>
          <w:szCs w:val="24"/>
          <w:highlight w:val="none"/>
        </w:rPr>
        <w:t>需求；</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交易办法</w:t>
      </w:r>
      <w:r>
        <w:rPr>
          <w:rFonts w:hint="eastAsia" w:ascii="宋体" w:hAnsi="宋体" w:eastAsia="宋体" w:cs="宋体"/>
          <w:color w:val="auto"/>
          <w:sz w:val="24"/>
          <w:szCs w:val="24"/>
          <w:highlight w:val="none"/>
        </w:rPr>
        <w:t>；</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.2与本项目有关的</w:t>
      </w:r>
      <w:r>
        <w:rPr>
          <w:rFonts w:hint="eastAsia" w:ascii="宋体" w:hAnsi="宋体" w:eastAsia="宋体" w:cs="宋体"/>
          <w:bCs/>
          <w:color w:val="auto"/>
          <w:sz w:val="24"/>
          <w:highlight w:val="none"/>
        </w:rPr>
        <w:t>澄清或者修改的内容为</w:t>
      </w:r>
      <w:r>
        <w:rPr>
          <w:rFonts w:hint="eastAsia" w:ascii="宋体" w:hAnsi="宋体" w:eastAsia="宋体" w:cs="宋体"/>
          <w:bCs/>
          <w:color w:val="auto"/>
          <w:sz w:val="24"/>
          <w:highlight w:val="none"/>
          <w:lang w:eastAsia="zh-CN"/>
        </w:rPr>
        <w:t>交易文件</w:t>
      </w:r>
      <w:r>
        <w:rPr>
          <w:rFonts w:hint="eastAsia" w:ascii="宋体" w:hAnsi="宋体" w:eastAsia="宋体" w:cs="宋体"/>
          <w:bCs/>
          <w:color w:val="auto"/>
          <w:sz w:val="24"/>
          <w:highlight w:val="none"/>
        </w:rPr>
        <w:t>的组成部分</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的澄清、修改</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，若有问题需要澄清，应于投标截止时间前，以书面形式向采购机构提出。</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 采购机构对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进行澄清或修改的，将同时通过电子交易平台通知已获取</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。依法应当公告的，将按规定公告，同时视情况延长投标截止时间和</w:t>
      </w:r>
      <w:r>
        <w:rPr>
          <w:rFonts w:hint="eastAsia" w:ascii="宋体" w:hAnsi="宋体" w:eastAsia="宋体" w:cs="宋体"/>
          <w:color w:val="auto"/>
          <w:highlight w:val="none"/>
          <w:lang w:eastAsia="zh-CN"/>
        </w:rPr>
        <w:t>交易时间</w:t>
      </w:r>
      <w:r>
        <w:rPr>
          <w:rFonts w:hint="eastAsia" w:ascii="宋体" w:hAnsi="宋体" w:eastAsia="宋体" w:cs="宋体"/>
          <w:color w:val="auto"/>
          <w:highlight w:val="none"/>
        </w:rPr>
        <w:t>。该澄清或者修改的内容为</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的组成部分。</w:t>
      </w:r>
    </w:p>
    <w:p>
      <w:pPr>
        <w:adjustRightInd/>
        <w:spacing w:line="360" w:lineRule="auto"/>
        <w:jc w:val="center"/>
        <w:outlineLvl w:val="0"/>
        <w:rPr>
          <w:rFonts w:hint="eastAsia" w:ascii="宋体" w:hAnsi="宋体" w:eastAsia="宋体" w:cs="宋体"/>
          <w:b/>
          <w:color w:val="auto"/>
          <w:sz w:val="30"/>
          <w:szCs w:val="20"/>
          <w:highlight w:val="none"/>
        </w:rPr>
      </w:pPr>
    </w:p>
    <w:p>
      <w:pPr>
        <w:adjustRightInd/>
        <w:spacing w:line="360" w:lineRule="auto"/>
        <w:jc w:val="center"/>
        <w:outlineLvl w:val="0"/>
        <w:rPr>
          <w:rFonts w:hint="eastAsia" w:ascii="宋体" w:hAnsi="宋体" w:eastAsia="宋体" w:cs="宋体"/>
          <w:b/>
          <w:color w:val="auto"/>
          <w:sz w:val="30"/>
          <w:szCs w:val="20"/>
          <w:highlight w:val="none"/>
          <w:lang w:eastAsia="zh-CN"/>
        </w:rPr>
      </w:pPr>
      <w:r>
        <w:rPr>
          <w:rFonts w:hint="eastAsia" w:ascii="宋体" w:hAnsi="宋体" w:eastAsia="宋体" w:cs="宋体"/>
          <w:b/>
          <w:color w:val="auto"/>
          <w:sz w:val="30"/>
          <w:szCs w:val="20"/>
          <w:highlight w:val="none"/>
        </w:rPr>
        <w:t>三、</w:t>
      </w:r>
      <w:r>
        <w:rPr>
          <w:rFonts w:hint="eastAsia" w:ascii="宋体" w:hAnsi="宋体" w:eastAsia="宋体" w:cs="宋体"/>
          <w:b/>
          <w:color w:val="auto"/>
          <w:sz w:val="30"/>
          <w:szCs w:val="20"/>
          <w:highlight w:val="none"/>
          <w:lang w:val="en-US" w:eastAsia="zh-CN"/>
        </w:rPr>
        <w:t>响应</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交易文件</w:t>
      </w:r>
      <w:r>
        <w:rPr>
          <w:rFonts w:hint="eastAsia" w:ascii="宋体" w:hAnsi="宋体" w:eastAsia="宋体" w:cs="宋体"/>
          <w:b/>
          <w:color w:val="auto"/>
          <w:sz w:val="24"/>
          <w:szCs w:val="24"/>
          <w:highlight w:val="none"/>
        </w:rPr>
        <w:t>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w:t>
      </w:r>
      <w:r>
        <w:rPr>
          <w:rFonts w:hint="eastAsia" w:ascii="宋体" w:hAnsi="宋体" w:eastAsia="宋体" w:cs="宋体"/>
          <w:snapToGrid w:val="0"/>
          <w:color w:val="auto"/>
          <w:kern w:val="28"/>
          <w:sz w:val="24"/>
          <w:highlight w:val="none"/>
          <w:lang w:eastAsia="zh-CN"/>
        </w:rPr>
        <w:t>交易公告</w:t>
      </w:r>
      <w:r>
        <w:rPr>
          <w:rFonts w:hint="eastAsia" w:ascii="宋体" w:hAnsi="宋体" w:eastAsia="宋体" w:cs="宋体"/>
          <w:snapToGrid w:val="0"/>
          <w:color w:val="auto"/>
          <w:kern w:val="28"/>
          <w:sz w:val="24"/>
          <w:highlight w:val="none"/>
        </w:rPr>
        <w:t>中获取</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的时间期限、地点、方式及</w:t>
      </w:r>
      <w:r>
        <w:rPr>
          <w:rFonts w:hint="eastAsia" w:ascii="宋体" w:hAnsi="宋体" w:eastAsia="宋体" w:cs="宋体"/>
          <w:snapToGrid w:val="0"/>
          <w:color w:val="auto"/>
          <w:kern w:val="28"/>
          <w:sz w:val="24"/>
          <w:highlight w:val="none"/>
          <w:lang w:eastAsia="zh-CN"/>
        </w:rPr>
        <w:t>交易文件</w:t>
      </w:r>
      <w:r>
        <w:rPr>
          <w:rFonts w:hint="eastAsia" w:ascii="宋体" w:hAnsi="宋体" w:eastAsia="宋体" w:cs="宋体"/>
          <w:snapToGrid w:val="0"/>
          <w:color w:val="auto"/>
          <w:kern w:val="28"/>
          <w:sz w:val="24"/>
          <w:highlight w:val="none"/>
        </w:rPr>
        <w:t>售价。</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交易</w:t>
      </w:r>
      <w:r>
        <w:rPr>
          <w:rFonts w:hint="eastAsia" w:ascii="宋体" w:hAnsi="宋体" w:eastAsia="宋体" w:cs="宋体"/>
          <w:b/>
          <w:color w:val="auto"/>
          <w:sz w:val="24"/>
          <w:szCs w:val="24"/>
          <w:highlight w:val="none"/>
        </w:rPr>
        <w:t>前答疑会或现场考察</w:t>
      </w:r>
    </w:p>
    <w:p>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交易人</w:t>
      </w:r>
      <w:r>
        <w:rPr>
          <w:rFonts w:hint="eastAsia" w:ascii="宋体" w:hAnsi="宋体" w:eastAsia="宋体" w:cs="宋体"/>
          <w:color w:val="auto"/>
          <w:sz w:val="24"/>
          <w:szCs w:val="24"/>
          <w:highlight w:val="none"/>
        </w:rPr>
        <w:t>组织潜在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现场考察或者召开</w:t>
      </w:r>
      <w:r>
        <w:rPr>
          <w:rFonts w:hint="eastAsia" w:ascii="宋体" w:hAnsi="宋体" w:eastAsia="宋体" w:cs="宋体"/>
          <w:color w:val="auto"/>
          <w:sz w:val="24"/>
          <w:szCs w:val="24"/>
          <w:highlight w:val="none"/>
          <w:lang w:eastAsia="zh-CN"/>
        </w:rPr>
        <w:t>交易</w:t>
      </w:r>
      <w:r>
        <w:rPr>
          <w:rFonts w:hint="eastAsia" w:ascii="宋体" w:hAnsi="宋体" w:eastAsia="宋体" w:cs="宋体"/>
          <w:color w:val="auto"/>
          <w:sz w:val="24"/>
          <w:szCs w:val="24"/>
          <w:highlight w:val="none"/>
        </w:rPr>
        <w:t>前答疑会的，潜在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按第二部分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须知前附表的规定参加现场考察或者开标前答疑会。</w:t>
      </w:r>
    </w:p>
    <w:p>
      <w:pPr>
        <w:pStyle w:val="33"/>
        <w:spacing w:line="360" w:lineRule="auto"/>
        <w:rPr>
          <w:rFonts w:hint="eastAsia" w:ascii="宋体" w:hAnsi="宋体" w:eastAsia="宋体" w:cs="宋体"/>
          <w:b/>
          <w:color w:val="auto"/>
          <w:szCs w:val="24"/>
          <w:highlight w:val="none"/>
          <w:lang w:eastAsia="zh-CN"/>
        </w:rPr>
      </w:pPr>
      <w:r>
        <w:rPr>
          <w:rFonts w:hint="eastAsia" w:ascii="宋体" w:hAnsi="宋体" w:eastAsia="宋体" w:cs="宋体"/>
          <w:b/>
          <w:color w:val="auto"/>
          <w:kern w:val="28"/>
          <w:sz w:val="24"/>
          <w:szCs w:val="24"/>
          <w:highlight w:val="none"/>
          <w:lang w:val="en-US" w:eastAsia="zh-CN"/>
        </w:rPr>
        <w:t>8</w:t>
      </w:r>
      <w:r>
        <w:rPr>
          <w:rFonts w:hint="eastAsia" w:ascii="宋体" w:hAnsi="宋体" w:eastAsia="宋体" w:cs="宋体"/>
          <w:b/>
          <w:color w:val="auto"/>
          <w:kern w:val="28"/>
          <w:sz w:val="24"/>
          <w:szCs w:val="24"/>
          <w:highlight w:val="none"/>
        </w:rPr>
        <w:t>.</w:t>
      </w:r>
      <w:r>
        <w:rPr>
          <w:rFonts w:hint="eastAsia" w:ascii="宋体" w:hAnsi="宋体" w:eastAsia="宋体" w:cs="宋体"/>
          <w:b/>
          <w:color w:val="auto"/>
          <w:kern w:val="28"/>
          <w:sz w:val="24"/>
          <w:szCs w:val="24"/>
          <w:highlight w:val="none"/>
          <w:lang w:eastAsia="zh-CN"/>
        </w:rPr>
        <w:t>交易保证金</w:t>
      </w:r>
    </w:p>
    <w:p>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w:t>
      </w:r>
      <w:r>
        <w:rPr>
          <w:rFonts w:hint="eastAsia" w:ascii="宋体" w:hAnsi="宋体" w:eastAsia="宋体" w:cs="宋体"/>
          <w:color w:val="auto"/>
          <w:sz w:val="24"/>
          <w:highlight w:val="none"/>
          <w:lang w:eastAsia="zh-CN"/>
        </w:rPr>
        <w:t>交易保证金</w:t>
      </w:r>
      <w:r>
        <w:rPr>
          <w:rFonts w:hint="eastAsia" w:ascii="宋体" w:hAnsi="宋体" w:eastAsia="宋体" w:cs="宋体"/>
          <w:color w:val="auto"/>
          <w:sz w:val="24"/>
          <w:highlight w:val="none"/>
        </w:rPr>
        <w:t>。</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有关的来往通知、函件和文件均应使用中文。</w:t>
      </w:r>
    </w:p>
    <w:p>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rPr>
        <w:t>.1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.1.2本项目的特定资格要求。</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10.2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zh-CN"/>
        </w:rPr>
        <w:t>供应商廉洁自律承诺书。</w:t>
      </w:r>
    </w:p>
    <w:p>
      <w:pPr>
        <w:snapToGrid w:val="0"/>
        <w:spacing w:line="360" w:lineRule="auto"/>
        <w:ind w:firstLine="482" w:firstLineChars="200"/>
        <w:rPr>
          <w:rFonts w:hint="eastAsia" w:ascii="宋体" w:hAnsi="宋体" w:eastAsia="宋体" w:cs="宋体"/>
          <w:b/>
          <w:bCs/>
          <w:color w:val="auto"/>
          <w:sz w:val="24"/>
          <w:highlight w:val="none"/>
          <w:u w:val="single"/>
          <w:lang w:val="zh-CN"/>
        </w:rPr>
      </w:pPr>
      <w:r>
        <w:rPr>
          <w:rFonts w:hint="eastAsia" w:ascii="宋体" w:hAnsi="宋体" w:eastAsia="宋体" w:cs="宋体"/>
          <w:b/>
          <w:bCs/>
          <w:color w:val="auto"/>
          <w:kern w:val="0"/>
          <w:sz w:val="24"/>
          <w:highlight w:val="none"/>
          <w:lang w:val="zh-CN"/>
        </w:rPr>
        <w:t>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kern w:val="0"/>
          <w:sz w:val="24"/>
          <w:highlight w:val="none"/>
        </w:rPr>
        <w:t>3</w:t>
      </w:r>
      <w:r>
        <w:rPr>
          <w:rFonts w:hint="eastAsia" w:ascii="宋体" w:hAnsi="宋体" w:eastAsia="宋体" w:cs="宋体"/>
          <w:b/>
          <w:bCs/>
          <w:color w:val="auto"/>
          <w:sz w:val="24"/>
          <w:highlight w:val="none"/>
        </w:rPr>
        <w:t>报价文件：</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val="en-US" w:eastAsia="zh-CN"/>
        </w:rPr>
        <w:t>。</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提供虚假材料投标的，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pStyle w:val="131"/>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kern w:val="0"/>
          <w:szCs w:val="24"/>
          <w:highlight w:val="none"/>
          <w:lang w:val="zh-CN"/>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的签署、盖章</w:t>
      </w:r>
    </w:p>
    <w:p>
      <w:pPr>
        <w:pStyle w:val="131"/>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按照</w:t>
      </w:r>
      <w:r>
        <w:rPr>
          <w:rFonts w:hint="eastAsia" w:ascii="宋体" w:hAnsi="宋体" w:eastAsia="宋体" w:cs="宋体"/>
          <w:color w:val="auto"/>
          <w:szCs w:val="24"/>
          <w:highlight w:val="none"/>
          <w:lang w:eastAsia="zh-CN"/>
        </w:rPr>
        <w:t>交易文件</w:t>
      </w:r>
      <w:r>
        <w:rPr>
          <w:rFonts w:hint="eastAsia" w:ascii="宋体" w:hAnsi="宋体" w:eastAsia="宋体" w:cs="宋体"/>
          <w:color w:val="auto"/>
          <w:szCs w:val="24"/>
          <w:highlight w:val="none"/>
        </w:rPr>
        <w:t>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供应商</w:t>
      </w:r>
      <w:r>
        <w:rPr>
          <w:rFonts w:hint="eastAsia" w:ascii="宋体" w:hAnsi="宋体" w:eastAsia="宋体" w:cs="宋体"/>
          <w:b/>
          <w:color w:val="auto"/>
          <w:highlight w:val="none"/>
        </w:rPr>
        <w:t>的</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未按照</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要求签署、盖章的，其</w:t>
      </w:r>
      <w:r>
        <w:rPr>
          <w:rFonts w:hint="eastAsia" w:ascii="宋体" w:hAnsi="宋体" w:eastAsia="宋体" w:cs="宋体"/>
          <w:b/>
          <w:color w:val="auto"/>
          <w:highlight w:val="none"/>
          <w:lang w:eastAsia="zh-CN"/>
        </w:rPr>
        <w:t>交易无效</w:t>
      </w:r>
      <w:r>
        <w:rPr>
          <w:rFonts w:hint="eastAsia" w:ascii="宋体" w:hAnsi="宋体" w:eastAsia="宋体" w:cs="宋体"/>
          <w:color w:val="auto"/>
          <w:szCs w:val="24"/>
          <w:highlight w:val="none"/>
        </w:rPr>
        <w:t>。</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.2为确保网上操作合法、有效和安全，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应当在投标截止时间前完成在“政府采购云平台”的身份认证，确保在电子投标过程中能够对相关数据电文进行加密和使用电子签名。</w:t>
      </w:r>
    </w:p>
    <w:p>
      <w:pPr>
        <w:pStyle w:val="131"/>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.3</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对</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签署、盖章的要求适用于电子签名。</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3</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的提交、补充、修改、撤回</w:t>
      </w:r>
    </w:p>
    <w:p>
      <w:pPr>
        <w:pStyle w:val="131"/>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.1供应商应当在投标截止时间前完成</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的传输递交，并可以补充、修改或者撤回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。补充或者修改</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的，应当先行撤回原文件，补充、修改后重新传输递交。投标截止时间前未完成传输的，视为撤回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。投标截止时间后递交的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，电子交易平台将拒收。</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.2电子交易平台收到</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，将妥善保存并即时向供应商发出确认回执通知。在投标截止时间前，除供应商补充、修改或者撤回</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外，任何单位和个人不得解密或提取</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w:t>
      </w:r>
    </w:p>
    <w:p>
      <w:pPr>
        <w:pStyle w:val="131"/>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.3</w:t>
      </w: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、采购机构可以视情况延长</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提交的截止时间。在上述情况下，采购机构与</w:t>
      </w:r>
      <w:r>
        <w:rPr>
          <w:rFonts w:hint="eastAsia" w:ascii="宋体" w:hAnsi="宋体" w:eastAsia="宋体" w:cs="宋体"/>
          <w:color w:val="auto"/>
          <w:szCs w:val="24"/>
          <w:highlight w:val="none"/>
          <w:lang w:eastAsia="zh-CN"/>
        </w:rPr>
        <w:t>供应商</w:t>
      </w:r>
      <w:r>
        <w:rPr>
          <w:rFonts w:hint="eastAsia" w:ascii="宋体" w:hAnsi="宋体" w:eastAsia="宋体" w:cs="宋体"/>
          <w:color w:val="auto"/>
          <w:szCs w:val="24"/>
          <w:highlight w:val="none"/>
        </w:rPr>
        <w:t>以前在投标截止期方面的全部权利、责任和义务，将适用于延长至新的投标截止期。</w:t>
      </w:r>
    </w:p>
    <w:p>
      <w:pPr>
        <w:pStyle w:val="33"/>
        <w:numPr>
          <w:ilvl w:val="0"/>
          <w:numId w:val="1"/>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w:t>
      </w:r>
      <w:r>
        <w:rPr>
          <w:rFonts w:hint="eastAsia" w:ascii="宋体" w:hAnsi="宋体" w:eastAsia="宋体" w:cs="宋体"/>
          <w:b/>
          <w:color w:val="auto"/>
          <w:sz w:val="24"/>
          <w:szCs w:val="24"/>
          <w:highlight w:val="none"/>
          <w:lang w:eastAsia="zh-CN"/>
        </w:rPr>
        <w:t>响应文件</w:t>
      </w:r>
    </w:p>
    <w:p>
      <w:pPr>
        <w:pStyle w:val="33"/>
        <w:numPr>
          <w:ilvl w:val="0"/>
          <w:numId w:val="0"/>
        </w:num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28"/>
          <w:sz w:val="24"/>
          <w:szCs w:val="24"/>
          <w:highlight w:val="none"/>
          <w:lang w:val="en-US" w:eastAsia="zh-CN"/>
        </w:rPr>
        <w:t>不收取备份响应文件</w:t>
      </w:r>
    </w:p>
    <w:p>
      <w:pPr>
        <w:pStyle w:val="131"/>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响应文件</w:t>
      </w:r>
      <w:r>
        <w:rPr>
          <w:rFonts w:hint="eastAsia" w:ascii="宋体" w:hAnsi="宋体" w:eastAsia="宋体" w:cs="宋体"/>
          <w:b/>
          <w:color w:val="auto"/>
          <w:szCs w:val="24"/>
          <w:highlight w:val="none"/>
        </w:rPr>
        <w:t>的无效处理</w:t>
      </w:r>
    </w:p>
    <w:p>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w:t>
      </w:r>
      <w:r>
        <w:rPr>
          <w:rFonts w:hint="eastAsia" w:ascii="宋体" w:hAnsi="宋体" w:eastAsia="宋体" w:cs="宋体"/>
          <w:color w:val="auto"/>
          <w:szCs w:val="21"/>
          <w:highlight w:val="none"/>
          <w:lang w:eastAsia="zh-CN"/>
        </w:rPr>
        <w:t>交易文件</w:t>
      </w:r>
      <w:r>
        <w:rPr>
          <w:rFonts w:hint="eastAsia" w:ascii="宋体" w:hAnsi="宋体" w:eastAsia="宋体" w:cs="宋体"/>
          <w:color w:val="auto"/>
          <w:szCs w:val="21"/>
          <w:highlight w:val="none"/>
        </w:rPr>
        <w:t>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Style w:val="131"/>
        <w:spacing w:before="0"/>
        <w:ind w:firstLine="0" w:firstLineChars="0"/>
        <w:rPr>
          <w:rFonts w:hint="eastAsia" w:ascii="宋体" w:hAnsi="宋体" w:eastAsia="宋体" w:cs="宋体"/>
          <w:b/>
          <w:color w:val="auto"/>
          <w:szCs w:val="24"/>
          <w:highlight w:val="none"/>
          <w:lang w:eastAsia="zh-CN"/>
        </w:rPr>
      </w:pPr>
      <w:r>
        <w:rPr>
          <w:rFonts w:hint="eastAsia" w:ascii="宋体" w:hAnsi="宋体" w:eastAsia="宋体" w:cs="宋体"/>
          <w:b/>
          <w:color w:val="auto"/>
          <w:szCs w:val="24"/>
          <w:highlight w:val="none"/>
        </w:rPr>
        <w:t>1</w:t>
      </w:r>
      <w:r>
        <w:rPr>
          <w:rFonts w:hint="eastAsia" w:ascii="宋体" w:hAnsi="宋体" w:eastAsia="宋体" w:cs="宋体"/>
          <w:b/>
          <w:color w:val="auto"/>
          <w:szCs w:val="24"/>
          <w:highlight w:val="none"/>
          <w:lang w:val="en-US" w:eastAsia="zh-CN"/>
        </w:rPr>
        <w:t>6</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交易有效期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val="en-US" w:eastAsia="zh-CN"/>
        </w:rPr>
        <w:t>6</w:t>
      </w: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lang w:eastAsia="zh-CN"/>
        </w:rPr>
        <w:t>交易有效期</w:t>
      </w:r>
      <w:r>
        <w:rPr>
          <w:rFonts w:hint="eastAsia" w:ascii="宋体" w:hAnsi="宋体" w:eastAsia="宋体" w:cs="宋体"/>
          <w:color w:val="auto"/>
          <w:sz w:val="24"/>
          <w:szCs w:val="20"/>
          <w:highlight w:val="none"/>
        </w:rPr>
        <w:t>为从提交</w:t>
      </w:r>
      <w:r>
        <w:rPr>
          <w:rFonts w:hint="eastAsia" w:ascii="宋体" w:hAnsi="宋体" w:eastAsia="宋体" w:cs="宋体"/>
          <w:color w:val="auto"/>
          <w:sz w:val="24"/>
          <w:szCs w:val="20"/>
          <w:highlight w:val="none"/>
          <w:lang w:eastAsia="zh-CN"/>
        </w:rPr>
        <w:t>响应文件</w:t>
      </w:r>
      <w:r>
        <w:rPr>
          <w:rFonts w:hint="eastAsia" w:ascii="宋体" w:hAnsi="宋体" w:eastAsia="宋体" w:cs="宋体"/>
          <w:color w:val="auto"/>
          <w:sz w:val="24"/>
          <w:szCs w:val="20"/>
          <w:highlight w:val="none"/>
        </w:rPr>
        <w:t>的截止之日起90天。▲</w:t>
      </w:r>
      <w:r>
        <w:rPr>
          <w:rFonts w:hint="eastAsia" w:ascii="宋体" w:hAnsi="宋体" w:eastAsia="宋体" w:cs="宋体"/>
          <w:b/>
          <w:color w:val="auto"/>
          <w:sz w:val="24"/>
          <w:szCs w:val="20"/>
          <w:highlight w:val="none"/>
          <w:lang w:eastAsia="zh-CN"/>
        </w:rPr>
        <w:t>供应商</w:t>
      </w:r>
      <w:r>
        <w:rPr>
          <w:rFonts w:hint="eastAsia" w:ascii="宋体" w:hAnsi="宋体" w:eastAsia="宋体" w:cs="宋体"/>
          <w:b/>
          <w:color w:val="auto"/>
          <w:sz w:val="24"/>
          <w:szCs w:val="20"/>
          <w:highlight w:val="none"/>
        </w:rPr>
        <w:t>的</w:t>
      </w:r>
      <w:r>
        <w:rPr>
          <w:rFonts w:hint="eastAsia" w:ascii="宋体" w:hAnsi="宋体" w:eastAsia="宋体" w:cs="宋体"/>
          <w:b/>
          <w:color w:val="auto"/>
          <w:sz w:val="24"/>
          <w:szCs w:val="20"/>
          <w:highlight w:val="none"/>
          <w:lang w:eastAsia="zh-CN"/>
        </w:rPr>
        <w:t>响应文件</w:t>
      </w:r>
      <w:r>
        <w:rPr>
          <w:rFonts w:hint="eastAsia" w:ascii="宋体" w:hAnsi="宋体" w:eastAsia="宋体" w:cs="宋体"/>
          <w:b/>
          <w:color w:val="auto"/>
          <w:sz w:val="24"/>
          <w:szCs w:val="20"/>
          <w:highlight w:val="none"/>
        </w:rPr>
        <w:t>中承</w:t>
      </w:r>
      <w:r>
        <w:rPr>
          <w:rFonts w:hint="eastAsia" w:ascii="宋体" w:hAnsi="宋体" w:eastAsia="宋体" w:cs="宋体"/>
          <w:b/>
          <w:color w:val="auto"/>
          <w:sz w:val="24"/>
          <w:szCs w:val="21"/>
          <w:highlight w:val="none"/>
        </w:rPr>
        <w:t>诺的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少于</w:t>
      </w:r>
      <w:r>
        <w:rPr>
          <w:rFonts w:hint="eastAsia" w:ascii="宋体" w:hAnsi="宋体" w:eastAsia="宋体" w:cs="宋体"/>
          <w:b/>
          <w:color w:val="auto"/>
          <w:sz w:val="24"/>
          <w:szCs w:val="21"/>
          <w:highlight w:val="none"/>
          <w:lang w:eastAsia="zh-CN"/>
        </w:rPr>
        <w:t>交易文件</w:t>
      </w:r>
      <w:r>
        <w:rPr>
          <w:rFonts w:hint="eastAsia" w:ascii="宋体" w:hAnsi="宋体" w:eastAsia="宋体" w:cs="宋体"/>
          <w:b/>
          <w:color w:val="auto"/>
          <w:sz w:val="24"/>
          <w:szCs w:val="21"/>
          <w:highlight w:val="none"/>
        </w:rPr>
        <w:t>中载明的</w:t>
      </w:r>
      <w:r>
        <w:rPr>
          <w:rFonts w:hint="eastAsia" w:ascii="宋体" w:hAnsi="宋体" w:eastAsia="宋体" w:cs="宋体"/>
          <w:b/>
          <w:color w:val="auto"/>
          <w:sz w:val="24"/>
          <w:szCs w:val="21"/>
          <w:highlight w:val="none"/>
          <w:lang w:eastAsia="zh-CN"/>
        </w:rPr>
        <w:t>交易有效期</w:t>
      </w:r>
      <w:r>
        <w:rPr>
          <w:rFonts w:hint="eastAsia" w:ascii="宋体" w:hAnsi="宋体" w:eastAsia="宋体" w:cs="宋体"/>
          <w:b/>
          <w:color w:val="auto"/>
          <w:sz w:val="24"/>
          <w:szCs w:val="21"/>
          <w:highlight w:val="none"/>
        </w:rPr>
        <w:t>的，</w:t>
      </w:r>
      <w:r>
        <w:rPr>
          <w:rFonts w:hint="eastAsia" w:ascii="宋体" w:hAnsi="宋体" w:eastAsia="宋体" w:cs="宋体"/>
          <w:b/>
          <w:color w:val="auto"/>
          <w:sz w:val="24"/>
          <w:szCs w:val="21"/>
          <w:highlight w:val="none"/>
          <w:lang w:eastAsia="zh-CN"/>
        </w:rPr>
        <w:t>交易无效</w:t>
      </w:r>
      <w:r>
        <w:rPr>
          <w:rFonts w:hint="eastAsia" w:ascii="宋体" w:hAnsi="宋体" w:eastAsia="宋体" w:cs="宋体"/>
          <w:b/>
          <w:color w:val="auto"/>
          <w:sz w:val="24"/>
          <w:szCs w:val="21"/>
          <w:highlight w:val="none"/>
        </w:rPr>
        <w:t>。</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.2</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合格投递后，自投标截止日期起，在</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内有效。</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.3在原定</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满之前，如果出现特殊情况，采购机构可以以书面形式通知</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延长</w:t>
      </w:r>
      <w:r>
        <w:rPr>
          <w:rFonts w:hint="eastAsia" w:ascii="宋体" w:hAnsi="宋体" w:eastAsia="宋体" w:cs="宋体"/>
          <w:color w:val="auto"/>
          <w:highlight w:val="none"/>
          <w:lang w:eastAsia="zh-CN"/>
        </w:rPr>
        <w:t>交易有效期</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同意延长的，不得要求或被允许修改其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拒绝延长的，其</w:t>
      </w:r>
      <w:r>
        <w:rPr>
          <w:rFonts w:hint="eastAsia" w:ascii="宋体" w:hAnsi="宋体" w:eastAsia="宋体" w:cs="宋体"/>
          <w:color w:val="auto"/>
          <w:highlight w:val="none"/>
          <w:lang w:eastAsia="zh-CN"/>
        </w:rPr>
        <w:t>交易</w:t>
      </w:r>
      <w:r>
        <w:rPr>
          <w:rFonts w:hint="eastAsia" w:ascii="宋体" w:hAnsi="宋体" w:eastAsia="宋体" w:cs="宋体"/>
          <w:color w:val="auto"/>
          <w:highlight w:val="none"/>
        </w:rPr>
        <w:t>无效。</w:t>
      </w:r>
    </w:p>
    <w:p>
      <w:pPr>
        <w:pStyle w:val="131"/>
        <w:spacing w:before="0"/>
        <w:ind w:firstLine="643"/>
        <w:rPr>
          <w:rFonts w:hint="eastAsia" w:ascii="宋体" w:hAnsi="宋体" w:eastAsia="宋体" w:cs="宋体"/>
          <w:b/>
          <w:color w:val="auto"/>
          <w:sz w:val="32"/>
          <w:highlight w:val="none"/>
        </w:rPr>
      </w:pPr>
    </w:p>
    <w:p>
      <w:pPr>
        <w:pStyle w:val="131"/>
        <w:spacing w:before="0"/>
        <w:ind w:left="0" w:leftChars="0" w:firstLine="0" w:firstLineChars="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、资格审查</w:t>
      </w:r>
    </w:p>
    <w:p>
      <w:pPr>
        <w:pStyle w:val="557"/>
        <w:spacing w:before="0" w:line="360" w:lineRule="auto"/>
        <w:ind w:left="0" w:leftChars="0" w:firstLine="0" w:firstLineChars="0"/>
        <w:contextualSpacing/>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 xml:space="preserve">17.交易 </w:t>
      </w:r>
    </w:p>
    <w:p>
      <w:pPr>
        <w:pStyle w:val="557"/>
        <w:spacing w:before="0" w:line="360" w:lineRule="auto"/>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.1采购机构按照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规定的时间通过电子交易平台组织开标，所有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均应当准时在线参加。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不足3家的，不得开标。</w:t>
      </w:r>
    </w:p>
    <w:p>
      <w:pPr>
        <w:pStyle w:val="557"/>
        <w:spacing w:before="0" w:line="360" w:lineRule="auto"/>
        <w:ind w:left="0" w:leftChars="0" w:firstLine="420" w:firstLineChars="17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交易</w:t>
      </w:r>
      <w:r>
        <w:rPr>
          <w:rFonts w:hint="eastAsia" w:ascii="宋体" w:hAnsi="宋体" w:eastAsia="宋体" w:cs="宋体"/>
          <w:color w:val="auto"/>
          <w:sz w:val="24"/>
          <w:highlight w:val="none"/>
        </w:rPr>
        <w:t>时，电子交易平台按</w:t>
      </w:r>
      <w:r>
        <w:rPr>
          <w:rFonts w:hint="eastAsia" w:ascii="宋体" w:hAnsi="宋体" w:eastAsia="宋体" w:cs="宋体"/>
          <w:color w:val="auto"/>
          <w:sz w:val="24"/>
          <w:highlight w:val="none"/>
          <w:lang w:eastAsia="zh-CN"/>
        </w:rPr>
        <w:t>交易时间</w:t>
      </w:r>
      <w:r>
        <w:rPr>
          <w:rFonts w:hint="eastAsia" w:ascii="宋体" w:hAnsi="宋体" w:eastAsia="宋体" w:cs="宋体"/>
          <w:color w:val="auto"/>
          <w:sz w:val="24"/>
          <w:highlight w:val="none"/>
        </w:rPr>
        <w:t>自动提取所有</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。采购机构依托电子交易平台发起开始解密指令，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按照平台提示和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的规定在半小时内完成在线解密。</w:t>
      </w:r>
    </w:p>
    <w:p>
      <w:pPr>
        <w:pStyle w:val="557"/>
        <w:spacing w:before="0" w:line="360" w:lineRule="auto"/>
        <w:ind w:left="0" w:leftChars="0" w:firstLine="420" w:firstLineChars="175"/>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未按时解密，</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提供了备份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的，以备份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作为依据，否则视为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撤回。</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已按时解密的，备份</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自动失效。</w:t>
      </w:r>
    </w:p>
    <w:p>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1</w:t>
      </w:r>
      <w:r>
        <w:rPr>
          <w:rFonts w:hint="eastAsia" w:ascii="宋体" w:hAnsi="宋体" w:eastAsia="宋体" w:cs="宋体"/>
          <w:b/>
          <w:color w:val="auto"/>
          <w:sz w:val="24"/>
          <w:szCs w:val="20"/>
          <w:highlight w:val="none"/>
          <w:lang w:val="en-US" w:eastAsia="zh-CN"/>
        </w:rPr>
        <w:t>8</w:t>
      </w:r>
      <w:r>
        <w:rPr>
          <w:rFonts w:hint="eastAsia" w:ascii="宋体" w:hAnsi="宋体" w:eastAsia="宋体" w:cs="宋体"/>
          <w:b/>
          <w:color w:val="auto"/>
          <w:sz w:val="24"/>
          <w:szCs w:val="20"/>
          <w:highlight w:val="none"/>
        </w:rPr>
        <w:t>、资格审查</w:t>
      </w:r>
    </w:p>
    <w:p>
      <w:pPr>
        <w:pStyle w:val="131"/>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eastAsia="zh-CN"/>
        </w:rPr>
        <w:t>交易</w:t>
      </w:r>
      <w:r>
        <w:rPr>
          <w:rFonts w:hint="eastAsia" w:ascii="宋体" w:hAnsi="宋体" w:eastAsia="宋体" w:cs="宋体"/>
          <w:color w:val="auto"/>
          <w:kern w:val="0"/>
          <w:szCs w:val="24"/>
          <w:highlight w:val="none"/>
        </w:rPr>
        <w:t>后，</w:t>
      </w:r>
      <w:r>
        <w:rPr>
          <w:rFonts w:hint="eastAsia" w:ascii="宋体" w:hAnsi="宋体" w:eastAsia="宋体" w:cs="宋体"/>
          <w:color w:val="auto"/>
          <w:kern w:val="0"/>
          <w:szCs w:val="24"/>
          <w:highlight w:val="none"/>
          <w:lang w:eastAsia="zh-CN"/>
        </w:rPr>
        <w:t>交易人</w:t>
      </w:r>
      <w:r>
        <w:rPr>
          <w:rFonts w:hint="eastAsia" w:ascii="宋体" w:hAnsi="宋体" w:eastAsia="宋体" w:cs="宋体"/>
          <w:color w:val="auto"/>
          <w:kern w:val="0"/>
          <w:szCs w:val="24"/>
          <w:highlight w:val="none"/>
        </w:rPr>
        <w:t>或采购机构将依法对</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.2</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或采购机构依据法律法规和</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的规定，对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的基本资格条件、特定资格条件进行审查。</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.3</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未按照</w:t>
      </w:r>
      <w:r>
        <w:rPr>
          <w:rFonts w:hint="eastAsia" w:ascii="宋体" w:hAnsi="宋体" w:eastAsia="宋体" w:cs="宋体"/>
          <w:color w:val="auto"/>
          <w:kern w:val="0"/>
          <w:szCs w:val="24"/>
          <w:highlight w:val="none"/>
          <w:lang w:eastAsia="zh-CN"/>
        </w:rPr>
        <w:t>交易文件</w:t>
      </w:r>
      <w:r>
        <w:rPr>
          <w:rFonts w:hint="eastAsia" w:ascii="宋体" w:hAnsi="宋体" w:eastAsia="宋体" w:cs="宋体"/>
          <w:color w:val="auto"/>
          <w:kern w:val="0"/>
          <w:szCs w:val="24"/>
          <w:highlight w:val="none"/>
        </w:rPr>
        <w:t>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不具备</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中规定的资格要求，其</w:t>
      </w:r>
      <w:r>
        <w:rPr>
          <w:rFonts w:hint="eastAsia" w:ascii="宋体" w:hAnsi="宋体" w:eastAsia="宋体" w:cs="宋体"/>
          <w:color w:val="auto"/>
          <w:highlight w:val="none"/>
          <w:lang w:eastAsia="zh-CN"/>
        </w:rPr>
        <w:t>交易无效</w:t>
      </w:r>
      <w:r>
        <w:rPr>
          <w:rFonts w:hint="eastAsia" w:ascii="宋体" w:hAnsi="宋体" w:eastAsia="宋体" w:cs="宋体"/>
          <w:color w:val="auto"/>
          <w:highlight w:val="none"/>
        </w:rPr>
        <w:t>。</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4对未通过资格审查的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或采购机构告知其未通过的原因。</w:t>
      </w:r>
    </w:p>
    <w:p>
      <w:pPr>
        <w:pStyle w:val="131"/>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w:t>
      </w:r>
      <w:r>
        <w:rPr>
          <w:rFonts w:hint="eastAsia" w:ascii="宋体" w:hAnsi="宋体" w:eastAsia="宋体" w:cs="宋体"/>
          <w:color w:val="auto"/>
          <w:kern w:val="0"/>
          <w:szCs w:val="24"/>
          <w:highlight w:val="none"/>
          <w:lang w:val="en-US" w:eastAsia="zh-CN"/>
        </w:rPr>
        <w:t>8</w:t>
      </w:r>
      <w:r>
        <w:rPr>
          <w:rFonts w:hint="eastAsia" w:ascii="宋体" w:hAnsi="宋体" w:eastAsia="宋体" w:cs="宋体"/>
          <w:color w:val="auto"/>
          <w:kern w:val="0"/>
          <w:szCs w:val="24"/>
          <w:highlight w:val="none"/>
        </w:rPr>
        <w:t>.</w:t>
      </w:r>
      <w:r>
        <w:rPr>
          <w:rFonts w:hint="eastAsia" w:ascii="宋体" w:hAnsi="宋体" w:eastAsia="宋体" w:cs="宋体"/>
          <w:color w:val="auto"/>
          <w:highlight w:val="none"/>
        </w:rPr>
        <w:t>5合格</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不足3家的，不再评标。</w:t>
      </w:r>
    </w:p>
    <w:p>
      <w:pPr>
        <w:pStyle w:val="131"/>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五、评</w:t>
      </w:r>
      <w:r>
        <w:rPr>
          <w:rFonts w:hint="eastAsia" w:ascii="宋体" w:hAnsi="宋体" w:eastAsia="宋体" w:cs="宋体"/>
          <w:b/>
          <w:color w:val="auto"/>
          <w:sz w:val="36"/>
          <w:szCs w:val="36"/>
          <w:highlight w:val="none"/>
          <w:lang w:val="en-US" w:eastAsia="zh-CN"/>
        </w:rPr>
        <w:t>审</w:t>
      </w:r>
    </w:p>
    <w:p>
      <w:pPr>
        <w:spacing w:line="360" w:lineRule="auto"/>
        <w:rPr>
          <w:rFonts w:hint="eastAsia" w:ascii="宋体" w:hAnsi="宋体" w:eastAsia="宋体" w:cs="宋体"/>
          <w:color w:val="auto"/>
          <w:sz w:val="24"/>
          <w:highlight w:val="none"/>
        </w:rPr>
      </w:pPr>
      <w:bookmarkStart w:id="14" w:name="_Toc91899903"/>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rPr>
        <w:t>评标委员会将根据</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和有关规定，履行评标工作职责，并按照评标方法及评分标准，全面衡量各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的响应情况。对实质上响应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，按照评审因素的量化指标排出推荐</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的先后顺序，并按顺序提出授标建议。</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pPr>
        <w:pStyle w:val="25"/>
        <w:spacing w:line="360" w:lineRule="auto"/>
        <w:ind w:left="479" w:hanging="479" w:hangingChars="199"/>
        <w:rPr>
          <w:rFonts w:hint="eastAsia" w:ascii="宋体" w:hAnsi="宋体" w:eastAsia="宋体" w:cs="宋体"/>
          <w:b/>
          <w:color w:val="auto"/>
          <w:highlight w:val="none"/>
          <w:lang w:eastAsia="zh-CN"/>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.确定</w:t>
      </w:r>
      <w:r>
        <w:rPr>
          <w:rFonts w:hint="eastAsia" w:ascii="宋体" w:hAnsi="宋体" w:eastAsia="宋体" w:cs="宋体"/>
          <w:b/>
          <w:color w:val="auto"/>
          <w:highlight w:val="none"/>
          <w:lang w:eastAsia="zh-CN"/>
        </w:rPr>
        <w:t>成交供应商</w:t>
      </w:r>
    </w:p>
    <w:p>
      <w:pPr>
        <w:pStyle w:val="131"/>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lang w:eastAsia="zh-CN"/>
        </w:rPr>
        <w:t>交易人</w:t>
      </w:r>
      <w:r>
        <w:rPr>
          <w:rFonts w:hint="eastAsia" w:ascii="宋体" w:hAnsi="宋体" w:eastAsia="宋体" w:cs="宋体"/>
          <w:color w:val="auto"/>
          <w:szCs w:val="24"/>
          <w:highlight w:val="none"/>
        </w:rPr>
        <w:t>将自收到评审报告之日起5个工作日内通过电子交易平台在评审报告推荐的</w:t>
      </w:r>
      <w:r>
        <w:rPr>
          <w:rFonts w:hint="eastAsia" w:ascii="宋体" w:hAnsi="宋体" w:eastAsia="宋体" w:cs="宋体"/>
          <w:color w:val="auto"/>
          <w:szCs w:val="24"/>
          <w:highlight w:val="none"/>
          <w:lang w:eastAsia="zh-CN"/>
        </w:rPr>
        <w:t>成交候选人</w:t>
      </w:r>
      <w:r>
        <w:rPr>
          <w:rFonts w:hint="eastAsia" w:ascii="宋体" w:hAnsi="宋体" w:eastAsia="宋体" w:cs="宋体"/>
          <w:color w:val="auto"/>
          <w:szCs w:val="24"/>
          <w:highlight w:val="none"/>
        </w:rPr>
        <w:t>中按顺序确定</w:t>
      </w:r>
      <w:r>
        <w:rPr>
          <w:rFonts w:hint="eastAsia" w:ascii="宋体" w:hAnsi="宋体" w:eastAsia="宋体" w:cs="宋体"/>
          <w:color w:val="auto"/>
          <w:szCs w:val="24"/>
          <w:highlight w:val="none"/>
          <w:lang w:eastAsia="zh-CN"/>
        </w:rPr>
        <w:t>成交供应商</w:t>
      </w:r>
      <w:r>
        <w:rPr>
          <w:rFonts w:hint="eastAsia" w:ascii="宋体" w:hAnsi="宋体" w:eastAsia="宋体" w:cs="宋体"/>
          <w:color w:val="auto"/>
          <w:szCs w:val="24"/>
          <w:highlight w:val="none"/>
        </w:rPr>
        <w:t>。</w:t>
      </w:r>
    </w:p>
    <w:p>
      <w:pPr>
        <w:pStyle w:val="131"/>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rPr>
        <w:t>.</w:t>
      </w:r>
      <w:r>
        <w:rPr>
          <w:rFonts w:hint="eastAsia" w:ascii="宋体" w:hAnsi="宋体" w:eastAsia="宋体" w:cs="宋体"/>
          <w:b/>
          <w:color w:val="auto"/>
          <w:szCs w:val="24"/>
          <w:highlight w:val="none"/>
          <w:lang w:eastAsia="zh-CN"/>
        </w:rPr>
        <w:t>成交通知</w:t>
      </w:r>
      <w:r>
        <w:rPr>
          <w:rFonts w:hint="eastAsia" w:ascii="宋体" w:hAnsi="宋体" w:eastAsia="宋体" w:cs="宋体"/>
          <w:b/>
          <w:color w:val="auto"/>
          <w:szCs w:val="24"/>
          <w:highlight w:val="none"/>
        </w:rPr>
        <w:t>与</w:t>
      </w:r>
      <w:r>
        <w:rPr>
          <w:rFonts w:hint="eastAsia" w:ascii="宋体" w:hAnsi="宋体" w:eastAsia="宋体" w:cs="宋体"/>
          <w:b/>
          <w:color w:val="auto"/>
          <w:szCs w:val="24"/>
          <w:highlight w:val="none"/>
          <w:lang w:eastAsia="zh-CN"/>
        </w:rPr>
        <w:t>成交结果</w:t>
      </w:r>
      <w:r>
        <w:rPr>
          <w:rFonts w:hint="eastAsia" w:ascii="宋体" w:hAnsi="宋体" w:eastAsia="宋体" w:cs="宋体"/>
          <w:b/>
          <w:color w:val="auto"/>
          <w:szCs w:val="24"/>
          <w:highlight w:val="none"/>
        </w:rPr>
        <w:t>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.1自</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确定之日起</w:t>
      </w:r>
      <w:r>
        <w:rPr>
          <w:rFonts w:hint="eastAsia" w:ascii="宋体" w:hAnsi="宋体" w:eastAsia="宋体" w:cs="宋体"/>
          <w:color w:val="auto"/>
          <w:sz w:val="24"/>
          <w:highlight w:val="none"/>
          <w:lang w:val="en-US" w:eastAsia="zh-CN"/>
        </w:rPr>
        <w:t>3天</w:t>
      </w:r>
      <w:r>
        <w:rPr>
          <w:rFonts w:hint="eastAsia" w:ascii="宋体" w:hAnsi="宋体" w:eastAsia="宋体" w:cs="宋体"/>
          <w:color w:val="auto"/>
          <w:sz w:val="24"/>
          <w:highlight w:val="none"/>
        </w:rPr>
        <w:t>内，采购机构通过电子交易平台向</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发出</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书，同时编制发布采购结果公告。采购机构也可以以纸质形式进行</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成交结果</w:t>
      </w:r>
      <w:r>
        <w:rPr>
          <w:rFonts w:hint="eastAsia" w:ascii="宋体" w:hAnsi="宋体" w:eastAsia="宋体" w:cs="宋体"/>
          <w:color w:val="auto"/>
          <w:sz w:val="24"/>
          <w:highlight w:val="none"/>
        </w:rPr>
        <w:t>公告内容包括</w:t>
      </w: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及其委托的采购机构的名称、地址、联系方式，项目名称和</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编号，</w:t>
      </w:r>
      <w:r>
        <w:rPr>
          <w:rFonts w:hint="eastAsia" w:ascii="宋体" w:hAnsi="宋体" w:eastAsia="宋体" w:cs="宋体"/>
          <w:color w:val="auto"/>
          <w:sz w:val="24"/>
          <w:highlight w:val="none"/>
          <w:lang w:eastAsia="zh-CN"/>
        </w:rPr>
        <w:t>成交人</w:t>
      </w:r>
      <w:r>
        <w:rPr>
          <w:rFonts w:hint="eastAsia" w:ascii="宋体" w:hAnsi="宋体" w:eastAsia="宋体" w:cs="宋体"/>
          <w:color w:val="auto"/>
          <w:sz w:val="24"/>
          <w:highlight w:val="none"/>
        </w:rPr>
        <w:t>名称、地址和</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金额。</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2</w:t>
      </w:r>
      <w:r>
        <w:rPr>
          <w:rFonts w:hint="eastAsia" w:ascii="宋体" w:hAnsi="宋体" w:eastAsia="宋体" w:cs="宋体"/>
          <w:b/>
          <w:color w:val="auto"/>
          <w:highlight w:val="none"/>
        </w:rPr>
        <w:t>.</w:t>
      </w:r>
      <w:r>
        <w:rPr>
          <w:rFonts w:hint="eastAsia" w:ascii="宋体" w:hAnsi="宋体" w:eastAsia="宋体" w:cs="宋体"/>
          <w:color w:val="auto"/>
          <w:highlight w:val="none"/>
        </w:rPr>
        <w:t>合同主要条款详见第五部分拟签订的合同文本。</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3</w:t>
      </w:r>
      <w:r>
        <w:rPr>
          <w:rFonts w:hint="eastAsia" w:ascii="宋体" w:hAnsi="宋体" w:eastAsia="宋体" w:cs="宋体"/>
          <w:b/>
          <w:color w:val="auto"/>
          <w:highlight w:val="none"/>
        </w:rPr>
        <w:t>.合同的签订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应当通过电子交易平台在</w:t>
      </w:r>
      <w:r>
        <w:rPr>
          <w:rFonts w:hint="eastAsia" w:ascii="宋体" w:hAnsi="宋体" w:eastAsia="宋体" w:cs="宋体"/>
          <w:color w:val="auto"/>
          <w:kern w:val="0"/>
          <w:sz w:val="24"/>
          <w:highlight w:val="none"/>
          <w:lang w:eastAsia="zh-CN"/>
        </w:rPr>
        <w:t>成交通知</w:t>
      </w:r>
      <w:r>
        <w:rPr>
          <w:rFonts w:hint="eastAsia" w:ascii="宋体" w:hAnsi="宋体" w:eastAsia="宋体" w:cs="宋体"/>
          <w:color w:val="auto"/>
          <w:kern w:val="0"/>
          <w:sz w:val="24"/>
          <w:highlight w:val="none"/>
        </w:rPr>
        <w:t>书发出之日起三十日内，按照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确定的事项签订采购合同。</w:t>
      </w:r>
    </w:p>
    <w:p>
      <w:pPr>
        <w:pStyle w:val="131"/>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.3如签订合同并生效后，供应商无故拒绝或延期，除按照合同条款处理外，列入不良行为记录一次，并给予通报。</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拒绝与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签订合同的，</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可以按照评审报告推荐的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或者成交候选人名单排序，确定下一候选人为</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，也可以重新开展采购活动。</w:t>
      </w:r>
    </w:p>
    <w:p>
      <w:pPr>
        <w:pStyle w:val="131"/>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.5采购合同由</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与</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根据</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等内容通过政府采购电子交易平台在线签订，自动备案。</w:t>
      </w:r>
    </w:p>
    <w:p>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4</w:t>
      </w:r>
      <w:r>
        <w:rPr>
          <w:rFonts w:hint="eastAsia" w:ascii="宋体" w:hAnsi="宋体" w:eastAsia="宋体" w:cs="宋体"/>
          <w:b/>
          <w:color w:val="auto"/>
          <w:highlight w:val="none"/>
        </w:rPr>
        <w:t>.履约保证金</w:t>
      </w:r>
    </w:p>
    <w:p>
      <w:pPr>
        <w:tabs>
          <w:tab w:val="left" w:pos="0"/>
        </w:tabs>
        <w:spacing w:line="360" w:lineRule="auto"/>
        <w:ind w:firstLine="482"/>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拟签订的合同文本要求</w:t>
      </w:r>
      <w:r>
        <w:rPr>
          <w:rFonts w:hint="eastAsia" w:ascii="宋体" w:hAnsi="宋体" w:eastAsia="宋体" w:cs="宋体"/>
          <w:color w:val="auto"/>
          <w:kern w:val="0"/>
          <w:sz w:val="24"/>
          <w:highlight w:val="none"/>
          <w:lang w:eastAsia="zh-CN"/>
        </w:rPr>
        <w:t>成交供应商</w:t>
      </w:r>
      <w:r>
        <w:rPr>
          <w:rFonts w:hint="eastAsia" w:ascii="宋体" w:hAnsi="宋体" w:eastAsia="宋体" w:cs="宋体"/>
          <w:color w:val="auto"/>
          <w:kern w:val="0"/>
          <w:sz w:val="24"/>
          <w:highlight w:val="none"/>
        </w:rPr>
        <w:t>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。履约保证金的数额不得超过采购合同金额的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%。鼓励和支持供应商以银行、保险公司出具的保函形式提供履约保证金。</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1"/>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color w:val="auto"/>
          <w:szCs w:val="24"/>
          <w:highlight w:val="none"/>
          <w:lang w:val="en-US" w:eastAsia="zh-CN"/>
        </w:rPr>
        <w:t>5</w:t>
      </w:r>
      <w:r>
        <w:rPr>
          <w:rFonts w:hint="eastAsia" w:ascii="宋体" w:hAnsi="宋体" w:eastAsia="宋体" w:cs="宋体"/>
          <w:b/>
          <w:color w:val="auto"/>
          <w:szCs w:val="24"/>
          <w:highlight w:val="none"/>
        </w:rPr>
        <w:t>.电子交易活动的中止。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.1电子交易平台发生故障而无法登录访问的；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.2电子交易平台应用或数据库出现错误，不能进行正常操作的；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.3电子交易平台发现严重安全漏洞，有潜在泄密危险的；</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.4病毒发作导致不能进行正常操作的； </w:t>
      </w:r>
    </w:p>
    <w:p>
      <w:pPr>
        <w:pStyle w:val="131"/>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.5其他无法保证电子交易的公平、公正和安全的情况。</w:t>
      </w:r>
    </w:p>
    <w:p>
      <w:pPr>
        <w:pStyle w:val="131"/>
        <w:snapToGrid w:val="0"/>
        <w:spacing w:before="0"/>
        <w:ind w:firstLine="0" w:firstLineChars="0"/>
        <w:rPr>
          <w:rFonts w:hint="eastAsia" w:ascii="宋体" w:hAnsi="宋体" w:eastAsia="宋体" w:cs="宋体"/>
          <w:color w:val="auto"/>
          <w:sz w:val="24"/>
          <w:highlight w:val="none"/>
        </w:rPr>
      </w:pPr>
      <w:r>
        <w:rPr>
          <w:rFonts w:hint="eastAsia" w:ascii="宋体" w:hAnsi="宋体" w:eastAsia="宋体" w:cs="宋体"/>
          <w:b/>
          <w:bCs/>
          <w:color w:val="auto"/>
          <w:highlight w:val="none"/>
        </w:rPr>
        <w:t>2</w:t>
      </w:r>
      <w:r>
        <w:rPr>
          <w:rFonts w:hint="eastAsia" w:ascii="宋体" w:hAnsi="宋体" w:eastAsia="宋体" w:cs="宋体"/>
          <w:b/>
          <w:bCs/>
          <w:color w:val="auto"/>
          <w:highlight w:val="none"/>
          <w:lang w:val="en-US" w:eastAsia="zh-CN"/>
        </w:rPr>
        <w:t>6</w:t>
      </w:r>
      <w:r>
        <w:rPr>
          <w:rFonts w:hint="eastAsia" w:ascii="宋体" w:hAnsi="宋体" w:eastAsia="宋体" w:cs="宋体"/>
          <w:b/>
          <w:bCs/>
          <w:color w:val="auto"/>
          <w:highlight w:val="none"/>
        </w:rPr>
        <w:t>.</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7</w:t>
      </w:r>
      <w:r>
        <w:rPr>
          <w:rFonts w:hint="eastAsia" w:ascii="宋体" w:hAnsi="宋体" w:eastAsia="宋体" w:cs="宋体"/>
          <w:b/>
          <w:color w:val="auto"/>
          <w:highlight w:val="none"/>
        </w:rPr>
        <w:t>.验收</w:t>
      </w:r>
    </w:p>
    <w:p>
      <w:pPr>
        <w:tabs>
          <w:tab w:val="left" w:pos="0"/>
        </w:tabs>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应当组织对供应商履约的验收。</w:t>
      </w:r>
    </w:p>
    <w:bookmarkEnd w:id="12"/>
    <w:bookmarkEnd w:id="13"/>
    <w:bookmarkEnd w:id="14"/>
    <w:p>
      <w:pPr>
        <w:rPr>
          <w:rFonts w:hint="eastAsia" w:ascii="宋体" w:hAnsi="宋体" w:eastAsia="宋体" w:cs="宋体"/>
          <w:b/>
          <w:color w:val="auto"/>
          <w:sz w:val="36"/>
          <w:szCs w:val="36"/>
          <w:highlight w:val="none"/>
        </w:rPr>
      </w:pPr>
      <w:bookmarkStart w:id="15" w:name="第四部分"/>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第三部分   </w:t>
      </w:r>
      <w:r>
        <w:rPr>
          <w:rFonts w:hint="eastAsia" w:ascii="宋体" w:hAnsi="宋体" w:eastAsia="宋体" w:cs="宋体"/>
          <w:b/>
          <w:color w:val="auto"/>
          <w:sz w:val="36"/>
          <w:szCs w:val="36"/>
          <w:highlight w:val="none"/>
          <w:lang w:val="en-US" w:eastAsia="zh-CN"/>
        </w:rPr>
        <w:t>交易</w:t>
      </w:r>
      <w:r>
        <w:rPr>
          <w:rFonts w:hint="eastAsia" w:ascii="宋体" w:hAnsi="宋体" w:eastAsia="宋体" w:cs="宋体"/>
          <w:b/>
          <w:color w:val="auto"/>
          <w:sz w:val="36"/>
          <w:szCs w:val="36"/>
          <w:highlight w:val="none"/>
        </w:rPr>
        <w:t>需求</w:t>
      </w:r>
    </w:p>
    <w:p>
      <w:pPr>
        <w:snapToGrid w:val="0"/>
        <w:spacing w:line="360" w:lineRule="auto"/>
        <w:jc w:val="center"/>
        <w:rPr>
          <w:rFonts w:hint="eastAsia" w:ascii="宋体" w:hAnsi="宋体" w:eastAsia="宋体" w:cs="宋体"/>
          <w:color w:val="auto"/>
          <w:sz w:val="24"/>
          <w:highlight w:val="none"/>
        </w:rPr>
      </w:pPr>
    </w:p>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属于实质性要求条款的，请用符号“▲”标明，否则属于非实质性要求。</w:t>
      </w:r>
    </w:p>
    <w:p>
      <w:pPr>
        <w:numPr>
          <w:ilvl w:val="0"/>
          <w:numId w:val="2"/>
        </w:num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交易一览表</w:t>
      </w:r>
    </w:p>
    <w:p>
      <w:pPr>
        <w:spacing w:after="120"/>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标项：1</w:t>
      </w:r>
    </w:p>
    <w:tbl>
      <w:tblPr>
        <w:tblStyle w:val="62"/>
        <w:tblW w:w="9155" w:type="dxa"/>
        <w:jc w:val="center"/>
        <w:tblLayout w:type="fixed"/>
        <w:tblCellMar>
          <w:top w:w="0" w:type="dxa"/>
          <w:left w:w="0" w:type="dxa"/>
          <w:bottom w:w="0" w:type="dxa"/>
          <w:right w:w="0" w:type="dxa"/>
        </w:tblCellMar>
      </w:tblPr>
      <w:tblGrid>
        <w:gridCol w:w="717"/>
        <w:gridCol w:w="4285"/>
        <w:gridCol w:w="1834"/>
        <w:gridCol w:w="773"/>
        <w:gridCol w:w="773"/>
        <w:gridCol w:w="773"/>
      </w:tblGrid>
      <w:tr>
        <w:tblPrEx>
          <w:tblCellMar>
            <w:top w:w="0" w:type="dxa"/>
            <w:left w:w="0" w:type="dxa"/>
            <w:bottom w:w="0" w:type="dxa"/>
            <w:right w:w="0" w:type="dxa"/>
          </w:tblCellMar>
        </w:tblPrEx>
        <w:trPr>
          <w:cantSplit/>
          <w:trHeight w:val="643"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73" w:type="dxa"/>
            <w:tcBorders>
              <w:top w:val="single" w:color="auto" w:sz="4" w:space="0"/>
              <w:left w:val="nil"/>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28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萧山区2022年度电梯维保质量抽查服务采购项目</w:t>
            </w:r>
          </w:p>
        </w:tc>
        <w:tc>
          <w:tcPr>
            <w:tcW w:w="18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73" w:type="dxa"/>
            <w:tcBorders>
              <w:top w:val="single" w:color="auto" w:sz="4" w:space="0"/>
              <w:left w:val="nil"/>
              <w:bottom w:val="single" w:color="auto" w:sz="4" w:space="0"/>
              <w:right w:val="single" w:color="auto" w:sz="4" w:space="0"/>
            </w:tcBorders>
            <w:vAlign w:val="center"/>
          </w:tcPr>
          <w:p>
            <w:pPr>
              <w:spacing w:line="24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val="en-US" w:eastAsia="zh-CN"/>
        </w:rPr>
        <w:t>交易</w:t>
      </w:r>
      <w:r>
        <w:rPr>
          <w:rFonts w:hint="eastAsia" w:ascii="宋体" w:hAnsi="宋体" w:eastAsia="宋体" w:cs="宋体"/>
          <w:b/>
          <w:color w:val="auto"/>
          <w:sz w:val="28"/>
          <w:szCs w:val="28"/>
          <w:highlight w:val="none"/>
        </w:rPr>
        <w:t>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一、项目概况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萧山作为亚运筹建的核心区、主战场、主阵地，各类运动场馆、会议酒店内有大量特种设备，为优化亚运会的特种设备安全运行环境，保障亚运会顺利召开。 同时为认真贯彻落实《国务院办公厅关于加强电梯质量安全工作的意见》（国办发〔2018〕8 号）、《浙江省市场监督管理局关于印发 2020 年特种设备安全监察工作要点的通知》（浙市监函〔2020〕46 号）文件要求，针对我区当前电梯本质安全总体状况较好，但由于电梯维保单位参差不齐，部分电梯维保质量不高，导致电梯故障频发、安全事件多发，影响了人民群众人身财产安全和对美好生活的向往需求。我局拟积极推进电梯安全监管方式转变，通过政府购买服务的方式，请专业的检验检测机构及专业技术人员对我区电梯维保单位的维保的电梯进行维保质量抽查和安全评价，探索建立以故障率为主要指标的电梯安全评价体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二、服务时间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 个月（具体时间根据</w:t>
      </w:r>
      <w:r>
        <w:rPr>
          <w:rFonts w:hint="eastAsia" w:ascii="宋体" w:hAnsi="宋体" w:cs="宋体"/>
          <w:bCs/>
          <w:color w:val="auto"/>
          <w:sz w:val="24"/>
          <w:highlight w:val="none"/>
          <w:lang w:val="en-US" w:eastAsia="zh-CN"/>
        </w:rPr>
        <w:t>交易</w:t>
      </w:r>
      <w:r>
        <w:rPr>
          <w:rFonts w:hint="eastAsia" w:ascii="宋体" w:hAnsi="宋体" w:eastAsia="宋体" w:cs="宋体"/>
          <w:bCs/>
          <w:color w:val="auto"/>
          <w:sz w:val="24"/>
          <w:highlight w:val="none"/>
        </w:rPr>
        <w:t>进度，以合同签订为准）。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三、服务地点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交易人</w:t>
      </w:r>
      <w:r>
        <w:rPr>
          <w:rFonts w:hint="eastAsia" w:ascii="宋体" w:hAnsi="宋体" w:eastAsia="宋体" w:cs="宋体"/>
          <w:bCs/>
          <w:color w:val="auto"/>
          <w:sz w:val="24"/>
          <w:highlight w:val="none"/>
        </w:rPr>
        <w:t>指定地点。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eastAsia="宋体" w:cs="宋体"/>
          <w:b/>
          <w:bCs w:val="0"/>
          <w:color w:val="auto"/>
          <w:sz w:val="30"/>
          <w:szCs w:val="30"/>
          <w:highlight w:val="none"/>
        </w:rPr>
        <w:t>四、服务内容及要求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 电梯维保质量监督抽查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1、抽查范围和对象：萧山区辖区内电梯维保单位（以下称“被抽查单位”）维保的 电梯，重点抽查故障率多、隐患多的公众聚集场所和住宅小区。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2、抽查数量：175 台在用电梯。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3、抽查项目、方法及要求：按照监督抽查的要求、规则和程序,依据《电梯维护</w:t>
      </w:r>
      <w:bookmarkStart w:id="16" w:name="_bookmark5"/>
      <w:bookmarkEnd w:id="16"/>
      <w:bookmarkStart w:id="17" w:name="_bookmark4"/>
      <w:bookmarkEnd w:id="17"/>
      <w:r>
        <w:rPr>
          <w:rFonts w:hint="eastAsia" w:ascii="宋体" w:hAnsi="宋体" w:eastAsia="宋体" w:cs="宋体"/>
          <w:bCs/>
          <w:color w:val="auto"/>
          <w:sz w:val="24"/>
          <w:highlight w:val="none"/>
        </w:rPr>
        <w:t>养质量评价规范》  （DB 3301/T 0264—2018）的内容对于抽查范围内的在用电梯使用、 维护保养、设备状态（含电梯平衡系数抽查 10%）等情况进行监督抽查；对于符合市监特 设函〔2021〕564 号文关于鼓式制动器安全隐患专项排查治理范围内的电梯，核查其整改 完成情况</w:t>
      </w:r>
      <w:r>
        <w:rPr>
          <w:rFonts w:hint="eastAsia" w:ascii="宋体" w:hAnsi="宋体" w:eastAsia="宋体" w:cs="宋体"/>
          <w:bCs/>
          <w:color w:val="auto"/>
          <w:sz w:val="24"/>
          <w:highlight w:val="none"/>
          <w:lang w:val="en-US" w:eastAsia="zh-CN"/>
        </w:rPr>
        <w:t>以及电梯规范维保</w:t>
      </w:r>
      <w:r>
        <w:rPr>
          <w:rFonts w:hint="eastAsia" w:ascii="宋体" w:hAnsi="宋体" w:eastAsia="宋体" w:cs="宋体"/>
          <w:bCs/>
          <w:color w:val="auto"/>
          <w:sz w:val="24"/>
          <w:highlight w:val="none"/>
        </w:rPr>
        <w:t>。根据省市场监管局《关于推进“浙江特种设备在线”系统建设应用的通知》（浙市监特【2021】11 号）文件精神，电梯维保单位是否配合使用单位办理赋码工作，是否在轿厢内更新原特种设备使用标志。评价类别为设备本体评价。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 电梯安全评价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1、对每台抽查的电梯出具安全评价报告。服务完毕后，</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须提供经双方确认的 安全评价报告，作为判定</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是否已经履约的依据，同时作为结算的依据。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要帮助维保单位探索建立以故障率为主要指标的电梯安全评价体系，帮助 维保单位提升维保服务质量。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val="en-US" w:eastAsia="zh-CN"/>
        </w:rPr>
        <w:t>五</w:t>
      </w:r>
      <w:r>
        <w:rPr>
          <w:rFonts w:hint="eastAsia" w:ascii="宋体" w:hAnsi="宋体" w:eastAsia="宋体" w:cs="宋体"/>
          <w:b/>
          <w:bCs w:val="0"/>
          <w:color w:val="auto"/>
          <w:sz w:val="30"/>
          <w:szCs w:val="30"/>
          <w:highlight w:val="none"/>
        </w:rPr>
        <w:t>、服务要求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（一）人员配置要求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响应时</w:t>
      </w:r>
      <w:r>
        <w:rPr>
          <w:rFonts w:hint="eastAsia" w:ascii="宋体" w:hAnsi="宋体" w:eastAsia="宋体" w:cs="宋体"/>
          <w:bCs/>
          <w:color w:val="auto"/>
          <w:sz w:val="24"/>
          <w:highlight w:val="none"/>
        </w:rPr>
        <w:t>应充分发挥在人才、技术、信息等方面的优势，抽调电气、机械、安全管理等专业技术人员组建不少于</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rPr>
        <w:t>人的评价专家组，所有评价人员应具有电梯检验师资格以确保安全技术服务工作质量。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（二）工作要求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在实施维保质量评价前应制定相关实施细则并在本单位发布使用。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应提前一天通知被抽查单位，以方便被抽查单位安排维保人员配合维保质 量评价工作。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3、服务中如发现重大安全隐患应及时告知杭州市萧山区市场监督管理局，对于评价 结果为“不符合”的项目应告知相关单位进行整改。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应定期内向杭州市萧山区市场监督管理局报送维保质量安全评价报告。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5、在提供服务过程中，</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对提供服务人员安全问题负责并承担一切费用。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在提供服务过程中发现的维保质量问题，应积极提供技术服务帮助被抽查单 位整改，同时根据企业实际需求，提供电梯安全教育培训、应急演练演示和体验等服务， 指导、协助企业开展电梯安全文化建设；为政府部门开展电梯安全监管工作提供专业宣 传服务等。</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30"/>
          <w:szCs w:val="30"/>
          <w:highlight w:val="none"/>
        </w:rPr>
      </w:pPr>
      <w:r>
        <w:rPr>
          <w:rFonts w:hint="eastAsia" w:ascii="宋体" w:hAnsi="宋体" w:cs="宋体"/>
          <w:b/>
          <w:bCs w:val="0"/>
          <w:color w:val="auto"/>
          <w:sz w:val="30"/>
          <w:szCs w:val="30"/>
          <w:highlight w:val="none"/>
          <w:lang w:val="en-US" w:eastAsia="zh-CN"/>
        </w:rPr>
        <w:t>六</w:t>
      </w:r>
      <w:r>
        <w:rPr>
          <w:rFonts w:hint="eastAsia" w:ascii="宋体" w:hAnsi="宋体" w:eastAsia="宋体" w:cs="宋体"/>
          <w:b/>
          <w:bCs w:val="0"/>
          <w:color w:val="auto"/>
          <w:sz w:val="30"/>
          <w:szCs w:val="30"/>
          <w:highlight w:val="none"/>
        </w:rPr>
        <w:t>、付款方式</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合同签订后十个工作日内付合同总价的30%作为预付款，合同履行完毕验收合格后支付剩余的70%，供应商需按财政结算要求办理资金结算手续。</w:t>
      </w: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bCs/>
          <w:color w:val="auto"/>
          <w:sz w:val="24"/>
          <w:highlight w:val="none"/>
        </w:rPr>
      </w:pPr>
    </w:p>
    <w:p>
      <w:pPr>
        <w:keepNext w:val="0"/>
        <w:keepLines w:val="0"/>
        <w:pageBreakBefore w:val="0"/>
        <w:widowControl w:val="0"/>
        <w:kinsoku/>
        <w:wordWrap/>
        <w:overflowPunct/>
        <w:topLinePunct w:val="0"/>
        <w:bidi w:val="0"/>
        <w:adjustRightInd w:val="0"/>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交易文件中打▲内容为实质性要求，不允许有负偏离，否则将以涉及无效响应条款作无效响应。</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第四部分   </w:t>
      </w:r>
      <w:bookmarkStart w:id="18" w:name="_Toc184313265"/>
      <w:bookmarkEnd w:id="18"/>
      <w:bookmarkStart w:id="19" w:name="_Toc184313280"/>
      <w:bookmarkEnd w:id="19"/>
      <w:bookmarkStart w:id="20" w:name="_Toc184313276"/>
      <w:bookmarkEnd w:id="20"/>
      <w:bookmarkStart w:id="21" w:name="_Toc184308090"/>
      <w:bookmarkEnd w:id="21"/>
      <w:bookmarkStart w:id="22" w:name="_Toc184308041"/>
      <w:bookmarkEnd w:id="22"/>
      <w:bookmarkStart w:id="23" w:name="_Toc184312111"/>
      <w:bookmarkEnd w:id="23"/>
      <w:bookmarkStart w:id="24" w:name="_Toc184312081"/>
      <w:bookmarkEnd w:id="24"/>
      <w:bookmarkStart w:id="25" w:name="_Toc184312097"/>
      <w:bookmarkEnd w:id="25"/>
      <w:bookmarkStart w:id="26" w:name="_Toc184313272"/>
      <w:bookmarkEnd w:id="26"/>
      <w:bookmarkStart w:id="27" w:name="_Toc184313282"/>
      <w:bookmarkEnd w:id="27"/>
      <w:bookmarkStart w:id="28" w:name="_Toc184313266"/>
      <w:bookmarkEnd w:id="28"/>
      <w:bookmarkStart w:id="29" w:name="_Toc184312070"/>
      <w:bookmarkEnd w:id="29"/>
      <w:bookmarkStart w:id="30" w:name="_Toc184312102"/>
      <w:bookmarkEnd w:id="30"/>
      <w:bookmarkStart w:id="31" w:name="_Toc184310336"/>
      <w:bookmarkEnd w:id="31"/>
      <w:bookmarkStart w:id="32" w:name="_Toc184314455"/>
      <w:bookmarkEnd w:id="32"/>
      <w:bookmarkStart w:id="33" w:name="_Toc184314421"/>
      <w:bookmarkEnd w:id="33"/>
      <w:bookmarkStart w:id="34" w:name="_Toc184312082"/>
      <w:bookmarkEnd w:id="34"/>
      <w:bookmarkStart w:id="35" w:name="_Toc184313306"/>
      <w:bookmarkEnd w:id="35"/>
      <w:bookmarkStart w:id="36" w:name="_Toc184313277"/>
      <w:bookmarkEnd w:id="36"/>
      <w:bookmarkStart w:id="37" w:name="_Toc184314462"/>
      <w:bookmarkEnd w:id="37"/>
      <w:bookmarkStart w:id="38" w:name="_Toc184310290"/>
      <w:bookmarkEnd w:id="38"/>
      <w:bookmarkStart w:id="39" w:name="_Toc184308043"/>
      <w:bookmarkEnd w:id="39"/>
      <w:bookmarkStart w:id="40" w:name="_Toc184310282"/>
      <w:bookmarkEnd w:id="40"/>
      <w:bookmarkStart w:id="41" w:name="_Toc184313301"/>
      <w:bookmarkEnd w:id="41"/>
      <w:bookmarkStart w:id="42" w:name="_Toc184312104"/>
      <w:bookmarkEnd w:id="42"/>
      <w:bookmarkStart w:id="43" w:name="_Toc184313274"/>
      <w:bookmarkEnd w:id="43"/>
      <w:bookmarkStart w:id="44" w:name="_Toc184308039"/>
      <w:bookmarkEnd w:id="44"/>
      <w:bookmarkStart w:id="45" w:name="_Toc184314445"/>
      <w:bookmarkEnd w:id="45"/>
      <w:bookmarkStart w:id="46" w:name="_Toc184310311"/>
      <w:bookmarkEnd w:id="46"/>
      <w:bookmarkStart w:id="47" w:name="_Toc184314451"/>
      <w:bookmarkEnd w:id="47"/>
      <w:bookmarkStart w:id="48" w:name="_Toc184314431"/>
      <w:bookmarkEnd w:id="48"/>
      <w:bookmarkStart w:id="49" w:name="_Toc184313293"/>
      <w:bookmarkEnd w:id="49"/>
      <w:bookmarkStart w:id="50" w:name="_Toc184312067"/>
      <w:bookmarkEnd w:id="50"/>
      <w:bookmarkStart w:id="51" w:name="_Toc184308051"/>
      <w:bookmarkEnd w:id="51"/>
      <w:bookmarkStart w:id="52" w:name="_Toc184310323"/>
      <w:bookmarkEnd w:id="52"/>
      <w:bookmarkStart w:id="53" w:name="_Toc184308093"/>
      <w:bookmarkEnd w:id="53"/>
      <w:bookmarkStart w:id="54" w:name="_Toc184308084"/>
      <w:bookmarkEnd w:id="54"/>
      <w:bookmarkStart w:id="55" w:name="_Toc184314452"/>
      <w:bookmarkEnd w:id="55"/>
      <w:bookmarkStart w:id="56" w:name="_Toc184314437"/>
      <w:bookmarkEnd w:id="56"/>
      <w:bookmarkStart w:id="57" w:name="_Toc184313269"/>
      <w:bookmarkEnd w:id="57"/>
      <w:bookmarkStart w:id="58" w:name="_Toc184308052"/>
      <w:bookmarkEnd w:id="58"/>
      <w:bookmarkStart w:id="59" w:name="_Toc184314414"/>
      <w:bookmarkEnd w:id="59"/>
      <w:bookmarkStart w:id="60" w:name="_Toc184310296"/>
      <w:bookmarkEnd w:id="60"/>
      <w:bookmarkStart w:id="61" w:name="_Toc184312086"/>
      <w:bookmarkEnd w:id="61"/>
      <w:bookmarkStart w:id="62" w:name="_Toc184312106"/>
      <w:bookmarkEnd w:id="62"/>
      <w:bookmarkStart w:id="63" w:name="_Toc184312075"/>
      <w:bookmarkEnd w:id="63"/>
      <w:bookmarkStart w:id="64" w:name="_Toc184308096"/>
      <w:bookmarkEnd w:id="64"/>
      <w:bookmarkStart w:id="65" w:name="_Toc184313252"/>
      <w:bookmarkEnd w:id="65"/>
      <w:bookmarkStart w:id="66" w:name="_Toc184314471"/>
      <w:bookmarkEnd w:id="66"/>
      <w:bookmarkStart w:id="67" w:name="_Toc184310312"/>
      <w:bookmarkEnd w:id="67"/>
      <w:bookmarkStart w:id="68" w:name="_Toc184312099"/>
      <w:bookmarkEnd w:id="68"/>
      <w:bookmarkStart w:id="69" w:name="_Toc184314426"/>
      <w:bookmarkEnd w:id="69"/>
      <w:bookmarkStart w:id="70" w:name="_Toc184313264"/>
      <w:bookmarkEnd w:id="70"/>
      <w:bookmarkStart w:id="71" w:name="_Toc184308108"/>
      <w:bookmarkEnd w:id="71"/>
      <w:bookmarkStart w:id="72" w:name="_Toc184308060"/>
      <w:bookmarkEnd w:id="72"/>
      <w:bookmarkStart w:id="73" w:name="_Toc184308072"/>
      <w:bookmarkEnd w:id="73"/>
      <w:bookmarkStart w:id="74" w:name="_Toc184314449"/>
      <w:bookmarkEnd w:id="74"/>
      <w:bookmarkStart w:id="75" w:name="_Toc184310342"/>
      <w:bookmarkEnd w:id="75"/>
      <w:bookmarkStart w:id="76" w:name="_Toc184313259"/>
      <w:bookmarkEnd w:id="76"/>
      <w:bookmarkStart w:id="77" w:name="_Toc184314417"/>
      <w:bookmarkEnd w:id="77"/>
      <w:bookmarkStart w:id="78" w:name="_Toc184313292"/>
      <w:bookmarkEnd w:id="78"/>
      <w:bookmarkStart w:id="79" w:name="_Toc184308053"/>
      <w:bookmarkEnd w:id="79"/>
      <w:bookmarkStart w:id="80" w:name="_Toc184308075"/>
      <w:bookmarkEnd w:id="80"/>
      <w:bookmarkStart w:id="81" w:name="_Toc184314432"/>
      <w:bookmarkEnd w:id="81"/>
      <w:bookmarkStart w:id="82" w:name="_Toc184312093"/>
      <w:bookmarkEnd w:id="82"/>
      <w:bookmarkStart w:id="83" w:name="_Toc184312090"/>
      <w:bookmarkEnd w:id="83"/>
      <w:bookmarkStart w:id="84" w:name="_Toc184312074"/>
      <w:bookmarkEnd w:id="84"/>
      <w:bookmarkStart w:id="85" w:name="_Toc184308074"/>
      <w:bookmarkEnd w:id="85"/>
      <w:bookmarkStart w:id="86" w:name="_Toc184308045"/>
      <w:bookmarkEnd w:id="86"/>
      <w:bookmarkStart w:id="87" w:name="_Toc184314464"/>
      <w:bookmarkEnd w:id="87"/>
      <w:bookmarkStart w:id="88" w:name="_Toc184312073"/>
      <w:bookmarkEnd w:id="88"/>
      <w:bookmarkStart w:id="89" w:name="_Toc184312105"/>
      <w:bookmarkEnd w:id="89"/>
      <w:bookmarkStart w:id="90" w:name="_Toc184313244"/>
      <w:bookmarkEnd w:id="90"/>
      <w:bookmarkStart w:id="91" w:name="_Toc184313262"/>
      <w:bookmarkEnd w:id="91"/>
      <w:bookmarkStart w:id="92" w:name="_Toc184310302"/>
      <w:bookmarkEnd w:id="92"/>
      <w:bookmarkStart w:id="93" w:name="_Toc184313250"/>
      <w:bookmarkEnd w:id="93"/>
      <w:bookmarkStart w:id="94" w:name="_Toc184313302"/>
      <w:bookmarkEnd w:id="94"/>
      <w:bookmarkStart w:id="95" w:name="_Toc184308078"/>
      <w:bookmarkEnd w:id="95"/>
      <w:bookmarkStart w:id="96" w:name="_Toc184313258"/>
      <w:bookmarkEnd w:id="96"/>
      <w:bookmarkStart w:id="97" w:name="_Toc184313309"/>
      <w:bookmarkEnd w:id="97"/>
      <w:bookmarkStart w:id="98" w:name="_Toc184310318"/>
      <w:bookmarkEnd w:id="98"/>
      <w:bookmarkStart w:id="99" w:name="_Toc184314415"/>
      <w:bookmarkEnd w:id="99"/>
      <w:bookmarkStart w:id="100" w:name="_Toc184313261"/>
      <w:bookmarkEnd w:id="100"/>
      <w:bookmarkStart w:id="101" w:name="_Toc184312107"/>
      <w:bookmarkEnd w:id="101"/>
      <w:bookmarkStart w:id="102" w:name="_Toc184308070"/>
      <w:bookmarkEnd w:id="102"/>
      <w:bookmarkStart w:id="103" w:name="_Toc184312092"/>
      <w:bookmarkEnd w:id="103"/>
      <w:bookmarkStart w:id="104" w:name="_Toc184314458"/>
      <w:bookmarkEnd w:id="104"/>
      <w:bookmarkStart w:id="105" w:name="_Toc184312118"/>
      <w:bookmarkEnd w:id="105"/>
      <w:bookmarkStart w:id="106" w:name="_Toc184313286"/>
      <w:bookmarkEnd w:id="106"/>
      <w:bookmarkStart w:id="107" w:name="_Toc184313303"/>
      <w:bookmarkEnd w:id="107"/>
      <w:bookmarkStart w:id="108" w:name="_Toc184310343"/>
      <w:bookmarkEnd w:id="108"/>
      <w:bookmarkStart w:id="109" w:name="_Toc184308079"/>
      <w:bookmarkEnd w:id="109"/>
      <w:bookmarkStart w:id="110" w:name="_Toc184313284"/>
      <w:bookmarkEnd w:id="110"/>
      <w:bookmarkStart w:id="111" w:name="_Toc184312079"/>
      <w:bookmarkEnd w:id="111"/>
      <w:bookmarkStart w:id="112" w:name="_Toc184308071"/>
      <w:bookmarkEnd w:id="112"/>
      <w:bookmarkStart w:id="113" w:name="_Toc184312087"/>
      <w:bookmarkEnd w:id="113"/>
      <w:bookmarkStart w:id="114" w:name="_Toc184308066"/>
      <w:bookmarkEnd w:id="114"/>
      <w:bookmarkStart w:id="115" w:name="_Toc184310284"/>
      <w:bookmarkEnd w:id="115"/>
      <w:bookmarkStart w:id="116" w:name="_Toc184312122"/>
      <w:bookmarkEnd w:id="116"/>
      <w:bookmarkStart w:id="117" w:name="_Toc184312124"/>
      <w:bookmarkEnd w:id="117"/>
      <w:bookmarkStart w:id="118" w:name="_Toc184313291"/>
      <w:bookmarkEnd w:id="118"/>
      <w:bookmarkStart w:id="119" w:name="_Toc184313305"/>
      <w:bookmarkEnd w:id="119"/>
      <w:bookmarkStart w:id="120" w:name="_Toc184313255"/>
      <w:bookmarkEnd w:id="120"/>
      <w:bookmarkStart w:id="121" w:name="_Toc184310283"/>
      <w:bookmarkEnd w:id="121"/>
      <w:bookmarkStart w:id="122" w:name="_Toc184313295"/>
      <w:bookmarkEnd w:id="122"/>
      <w:bookmarkStart w:id="123" w:name="_Toc184308097"/>
      <w:bookmarkEnd w:id="123"/>
      <w:bookmarkStart w:id="124" w:name="_Toc184308050"/>
      <w:bookmarkEnd w:id="124"/>
      <w:bookmarkStart w:id="125" w:name="_Toc184310330"/>
      <w:bookmarkEnd w:id="125"/>
      <w:bookmarkStart w:id="126" w:name="_Toc184312119"/>
      <w:bookmarkEnd w:id="126"/>
      <w:bookmarkStart w:id="127" w:name="_Toc184312137"/>
      <w:bookmarkEnd w:id="127"/>
      <w:bookmarkStart w:id="128" w:name="_Toc184308086"/>
      <w:bookmarkEnd w:id="128"/>
      <w:bookmarkStart w:id="129" w:name="_Toc184312110"/>
      <w:bookmarkEnd w:id="129"/>
      <w:bookmarkStart w:id="130" w:name="_Toc184308077"/>
      <w:bookmarkEnd w:id="130"/>
      <w:bookmarkStart w:id="131" w:name="_Toc184312127"/>
      <w:bookmarkEnd w:id="131"/>
      <w:bookmarkStart w:id="132" w:name="_Toc184310297"/>
      <w:bookmarkEnd w:id="132"/>
      <w:bookmarkStart w:id="133" w:name="_Toc184314429"/>
      <w:bookmarkEnd w:id="133"/>
      <w:bookmarkStart w:id="134" w:name="_Toc184313271"/>
      <w:bookmarkEnd w:id="134"/>
      <w:bookmarkStart w:id="135" w:name="_Toc184314428"/>
      <w:bookmarkEnd w:id="135"/>
      <w:bookmarkStart w:id="136" w:name="_Toc184313285"/>
      <w:bookmarkEnd w:id="136"/>
      <w:bookmarkStart w:id="137" w:name="_Toc184312100"/>
      <w:bookmarkEnd w:id="137"/>
      <w:bookmarkStart w:id="138" w:name="_Toc184308063"/>
      <w:bookmarkEnd w:id="138"/>
      <w:bookmarkStart w:id="139" w:name="_Toc184308082"/>
      <w:bookmarkEnd w:id="139"/>
      <w:bookmarkStart w:id="140" w:name="_Toc184314440"/>
      <w:bookmarkEnd w:id="140"/>
      <w:bookmarkStart w:id="141" w:name="_Toc184312130"/>
      <w:bookmarkEnd w:id="141"/>
      <w:bookmarkStart w:id="142" w:name="_Toc184313260"/>
      <w:bookmarkEnd w:id="142"/>
      <w:bookmarkStart w:id="143" w:name="_Toc184308049"/>
      <w:bookmarkEnd w:id="143"/>
      <w:bookmarkStart w:id="144" w:name="_Toc184312120"/>
      <w:bookmarkEnd w:id="144"/>
      <w:bookmarkStart w:id="145" w:name="_Toc184310333"/>
      <w:bookmarkEnd w:id="145"/>
      <w:bookmarkStart w:id="146" w:name="_Toc184312126"/>
      <w:bookmarkEnd w:id="146"/>
      <w:bookmarkStart w:id="147" w:name="_Toc184314427"/>
      <w:bookmarkEnd w:id="147"/>
      <w:bookmarkStart w:id="148" w:name="_Toc184312071"/>
      <w:bookmarkEnd w:id="148"/>
      <w:bookmarkStart w:id="149" w:name="_Toc184310272"/>
      <w:bookmarkEnd w:id="149"/>
      <w:bookmarkStart w:id="150" w:name="_Toc184308080"/>
      <w:bookmarkEnd w:id="150"/>
      <w:bookmarkStart w:id="151" w:name="_Toc184312083"/>
      <w:bookmarkEnd w:id="151"/>
      <w:bookmarkStart w:id="152" w:name="_Toc184313283"/>
      <w:bookmarkEnd w:id="152"/>
      <w:bookmarkStart w:id="153" w:name="_Toc184310327"/>
      <w:bookmarkEnd w:id="153"/>
      <w:bookmarkStart w:id="154" w:name="_Toc184310294"/>
      <w:bookmarkEnd w:id="154"/>
      <w:bookmarkStart w:id="155" w:name="_Toc184310299"/>
      <w:bookmarkEnd w:id="155"/>
      <w:bookmarkStart w:id="156" w:name="_Toc184313257"/>
      <w:bookmarkEnd w:id="156"/>
      <w:bookmarkStart w:id="157" w:name="_Toc184308092"/>
      <w:bookmarkEnd w:id="157"/>
      <w:bookmarkStart w:id="158" w:name="_Toc184310289"/>
      <w:bookmarkEnd w:id="158"/>
      <w:bookmarkStart w:id="159" w:name="_Toc184312089"/>
      <w:bookmarkEnd w:id="159"/>
      <w:bookmarkStart w:id="160" w:name="_Toc184313294"/>
      <w:bookmarkEnd w:id="160"/>
      <w:bookmarkStart w:id="161" w:name="_Toc184313281"/>
      <w:bookmarkEnd w:id="161"/>
      <w:bookmarkStart w:id="162" w:name="_Toc184313247"/>
      <w:bookmarkEnd w:id="162"/>
      <w:bookmarkStart w:id="163" w:name="_Toc184313275"/>
      <w:bookmarkEnd w:id="163"/>
      <w:bookmarkStart w:id="164" w:name="_Toc184314448"/>
      <w:bookmarkEnd w:id="164"/>
      <w:bookmarkStart w:id="165" w:name="_Toc184308101"/>
      <w:bookmarkEnd w:id="165"/>
      <w:bookmarkStart w:id="166" w:name="_Toc184310273"/>
      <w:bookmarkEnd w:id="166"/>
      <w:bookmarkStart w:id="167" w:name="_Toc184314466"/>
      <w:bookmarkEnd w:id="167"/>
      <w:bookmarkStart w:id="168" w:name="_Toc184310276"/>
      <w:bookmarkEnd w:id="168"/>
      <w:bookmarkStart w:id="169" w:name="_Toc184310298"/>
      <w:bookmarkEnd w:id="169"/>
      <w:bookmarkStart w:id="170" w:name="_Toc184314456"/>
      <w:bookmarkEnd w:id="170"/>
      <w:bookmarkStart w:id="171" w:name="_Toc184313307"/>
      <w:bookmarkEnd w:id="171"/>
      <w:bookmarkStart w:id="172" w:name="_Toc184314443"/>
      <w:bookmarkEnd w:id="172"/>
      <w:bookmarkStart w:id="173" w:name="_Toc184310335"/>
      <w:bookmarkEnd w:id="173"/>
      <w:bookmarkStart w:id="174" w:name="_Toc184313239"/>
      <w:bookmarkEnd w:id="174"/>
      <w:bookmarkStart w:id="175" w:name="_Toc184308059"/>
      <w:bookmarkEnd w:id="175"/>
      <w:bookmarkStart w:id="176" w:name="_Toc184310285"/>
      <w:bookmarkEnd w:id="176"/>
      <w:bookmarkStart w:id="177" w:name="_Toc184310334"/>
      <w:bookmarkEnd w:id="177"/>
      <w:bookmarkStart w:id="178" w:name="_Toc184313300"/>
      <w:bookmarkEnd w:id="178"/>
      <w:bookmarkStart w:id="179" w:name="_Toc184310331"/>
      <w:bookmarkEnd w:id="179"/>
      <w:bookmarkStart w:id="180" w:name="_Toc184308061"/>
      <w:bookmarkEnd w:id="180"/>
      <w:bookmarkStart w:id="181" w:name="_Toc184308056"/>
      <w:bookmarkEnd w:id="181"/>
      <w:bookmarkStart w:id="182" w:name="_Toc184308044"/>
      <w:bookmarkEnd w:id="182"/>
      <w:bookmarkStart w:id="183" w:name="_Toc184314434"/>
      <w:bookmarkEnd w:id="183"/>
      <w:bookmarkStart w:id="184" w:name="_Toc184312129"/>
      <w:bookmarkEnd w:id="184"/>
      <w:bookmarkStart w:id="185" w:name="_Toc184310281"/>
      <w:bookmarkEnd w:id="185"/>
      <w:bookmarkStart w:id="186" w:name="_Toc184314447"/>
      <w:bookmarkEnd w:id="186"/>
      <w:bookmarkStart w:id="187" w:name="_Toc184313289"/>
      <w:bookmarkEnd w:id="187"/>
      <w:bookmarkStart w:id="188" w:name="_Toc184308087"/>
      <w:bookmarkEnd w:id="188"/>
      <w:bookmarkStart w:id="189" w:name="_Toc184313245"/>
      <w:bookmarkEnd w:id="189"/>
      <w:bookmarkStart w:id="190" w:name="_Toc184310337"/>
      <w:bookmarkEnd w:id="190"/>
      <w:bookmarkStart w:id="191" w:name="_Toc184308068"/>
      <w:bookmarkEnd w:id="191"/>
      <w:bookmarkStart w:id="192" w:name="_Toc184312076"/>
      <w:bookmarkEnd w:id="192"/>
      <w:bookmarkStart w:id="193" w:name="_Toc184308057"/>
      <w:bookmarkEnd w:id="193"/>
      <w:bookmarkStart w:id="194" w:name="_Toc184310291"/>
      <w:bookmarkEnd w:id="194"/>
      <w:bookmarkStart w:id="195" w:name="_Toc184312131"/>
      <w:bookmarkEnd w:id="195"/>
      <w:bookmarkStart w:id="196" w:name="_Toc184312117"/>
      <w:bookmarkEnd w:id="196"/>
      <w:bookmarkStart w:id="197" w:name="_Toc184310341"/>
      <w:bookmarkEnd w:id="197"/>
      <w:bookmarkStart w:id="198" w:name="_Toc184308083"/>
      <w:bookmarkEnd w:id="198"/>
      <w:bookmarkStart w:id="199" w:name="_Toc184312077"/>
      <w:bookmarkEnd w:id="199"/>
      <w:bookmarkStart w:id="200" w:name="_Toc184313298"/>
      <w:bookmarkEnd w:id="200"/>
      <w:bookmarkStart w:id="201" w:name="_Toc184312139"/>
      <w:bookmarkEnd w:id="201"/>
      <w:bookmarkStart w:id="202" w:name="_Toc184314482"/>
      <w:bookmarkEnd w:id="202"/>
      <w:bookmarkStart w:id="203" w:name="_Toc184310309"/>
      <w:bookmarkEnd w:id="203"/>
      <w:bookmarkStart w:id="204" w:name="_Toc184314419"/>
      <w:bookmarkEnd w:id="204"/>
      <w:bookmarkStart w:id="205" w:name="_Toc184310303"/>
      <w:bookmarkEnd w:id="205"/>
      <w:bookmarkStart w:id="206" w:name="_Toc184310278"/>
      <w:bookmarkEnd w:id="206"/>
      <w:bookmarkStart w:id="207" w:name="_Toc184308089"/>
      <w:bookmarkEnd w:id="207"/>
      <w:bookmarkStart w:id="208" w:name="_Toc184314439"/>
      <w:bookmarkEnd w:id="208"/>
      <w:bookmarkStart w:id="209" w:name="_Toc184308067"/>
      <w:bookmarkEnd w:id="209"/>
      <w:bookmarkStart w:id="210" w:name="_Toc184314457"/>
      <w:bookmarkEnd w:id="210"/>
      <w:bookmarkStart w:id="211" w:name="_Toc184313242"/>
      <w:bookmarkEnd w:id="211"/>
      <w:bookmarkStart w:id="212" w:name="_Toc184310338"/>
      <w:bookmarkEnd w:id="212"/>
      <w:bookmarkStart w:id="213" w:name="_Toc184314459"/>
      <w:bookmarkEnd w:id="213"/>
      <w:bookmarkStart w:id="214" w:name="_Toc184308076"/>
      <w:bookmarkEnd w:id="214"/>
      <w:bookmarkStart w:id="215" w:name="_Toc184310324"/>
      <w:bookmarkEnd w:id="215"/>
      <w:bookmarkStart w:id="216" w:name="_Toc184310326"/>
      <w:bookmarkEnd w:id="216"/>
      <w:bookmarkStart w:id="217" w:name="_Toc184308040"/>
      <w:bookmarkEnd w:id="217"/>
      <w:bookmarkStart w:id="218" w:name="_Toc184314467"/>
      <w:bookmarkEnd w:id="218"/>
      <w:bookmarkStart w:id="219" w:name="_Toc184312091"/>
      <w:bookmarkEnd w:id="219"/>
      <w:bookmarkStart w:id="220" w:name="_Toc184312084"/>
      <w:bookmarkEnd w:id="220"/>
      <w:bookmarkStart w:id="221" w:name="_Toc184314469"/>
      <w:bookmarkEnd w:id="221"/>
      <w:bookmarkStart w:id="222" w:name="_Toc184310332"/>
      <w:bookmarkEnd w:id="222"/>
      <w:bookmarkStart w:id="223" w:name="_Toc184313304"/>
      <w:bookmarkEnd w:id="223"/>
      <w:bookmarkStart w:id="224" w:name="_Toc184312094"/>
      <w:bookmarkEnd w:id="224"/>
      <w:bookmarkStart w:id="225" w:name="_Toc184313267"/>
      <w:bookmarkEnd w:id="225"/>
      <w:bookmarkStart w:id="226" w:name="_Toc184312103"/>
      <w:bookmarkEnd w:id="226"/>
      <w:bookmarkStart w:id="227" w:name="_Toc184314468"/>
      <w:bookmarkEnd w:id="227"/>
      <w:bookmarkStart w:id="228" w:name="_Toc184310307"/>
      <w:bookmarkEnd w:id="228"/>
      <w:bookmarkStart w:id="229" w:name="_Toc184312072"/>
      <w:bookmarkEnd w:id="229"/>
      <w:bookmarkStart w:id="230" w:name="_Toc184314450"/>
      <w:bookmarkEnd w:id="230"/>
      <w:bookmarkStart w:id="231" w:name="_Toc184314422"/>
      <w:bookmarkEnd w:id="231"/>
      <w:bookmarkStart w:id="232" w:name="_Toc184310344"/>
      <w:bookmarkEnd w:id="232"/>
      <w:bookmarkStart w:id="233" w:name="_Toc184313248"/>
      <w:bookmarkEnd w:id="233"/>
      <w:bookmarkStart w:id="234" w:name="_Toc184312132"/>
      <w:bookmarkEnd w:id="234"/>
      <w:bookmarkStart w:id="235" w:name="_Toc184313241"/>
      <w:bookmarkEnd w:id="235"/>
      <w:bookmarkStart w:id="236" w:name="_Toc184314441"/>
      <w:bookmarkEnd w:id="236"/>
      <w:bookmarkStart w:id="237" w:name="_Toc184313256"/>
      <w:bookmarkEnd w:id="237"/>
      <w:bookmarkStart w:id="238" w:name="_Toc184314435"/>
      <w:bookmarkEnd w:id="238"/>
      <w:bookmarkStart w:id="239" w:name="_Toc184314433"/>
      <w:bookmarkEnd w:id="239"/>
      <w:bookmarkStart w:id="240" w:name="_Toc184308055"/>
      <w:bookmarkEnd w:id="240"/>
      <w:bookmarkStart w:id="241" w:name="_Toc184308091"/>
      <w:bookmarkEnd w:id="241"/>
      <w:bookmarkStart w:id="242" w:name="_Toc184308046"/>
      <w:bookmarkEnd w:id="242"/>
      <w:bookmarkStart w:id="243" w:name="_Toc184314423"/>
      <w:bookmarkEnd w:id="243"/>
      <w:bookmarkStart w:id="244" w:name="_Toc184313308"/>
      <w:bookmarkEnd w:id="244"/>
      <w:bookmarkStart w:id="245" w:name="_Toc184313297"/>
      <w:bookmarkEnd w:id="245"/>
      <w:bookmarkStart w:id="246" w:name="_Toc184308098"/>
      <w:bookmarkEnd w:id="246"/>
      <w:bookmarkStart w:id="247" w:name="_Toc184312116"/>
      <w:bookmarkEnd w:id="247"/>
      <w:bookmarkStart w:id="248" w:name="_Toc184310315"/>
      <w:bookmarkEnd w:id="248"/>
      <w:bookmarkStart w:id="249" w:name="_Toc184313246"/>
      <w:bookmarkEnd w:id="249"/>
      <w:bookmarkStart w:id="250" w:name="_Toc184310274"/>
      <w:bookmarkEnd w:id="250"/>
      <w:bookmarkStart w:id="251" w:name="_Toc184310275"/>
      <w:bookmarkEnd w:id="251"/>
      <w:bookmarkStart w:id="252" w:name="_Toc184314446"/>
      <w:bookmarkEnd w:id="252"/>
      <w:bookmarkStart w:id="253" w:name="_Toc184312096"/>
      <w:bookmarkEnd w:id="253"/>
      <w:bookmarkStart w:id="254" w:name="_Toc184308105"/>
      <w:bookmarkEnd w:id="254"/>
      <w:bookmarkStart w:id="255" w:name="_Toc184313287"/>
      <w:bookmarkEnd w:id="255"/>
      <w:bookmarkStart w:id="256" w:name="_Toc184310313"/>
      <w:bookmarkEnd w:id="256"/>
      <w:bookmarkStart w:id="257" w:name="_Toc184310305"/>
      <w:bookmarkEnd w:id="257"/>
      <w:bookmarkStart w:id="258" w:name="_Toc184312114"/>
      <w:bookmarkEnd w:id="258"/>
      <w:bookmarkStart w:id="259" w:name="_Toc184308036"/>
      <w:bookmarkEnd w:id="259"/>
      <w:bookmarkStart w:id="260" w:name="_Toc184313296"/>
      <w:bookmarkEnd w:id="260"/>
      <w:bookmarkStart w:id="261" w:name="_Toc184312135"/>
      <w:bookmarkEnd w:id="261"/>
      <w:bookmarkStart w:id="262" w:name="_Toc184308064"/>
      <w:bookmarkEnd w:id="262"/>
      <w:bookmarkStart w:id="263" w:name="_Toc184313279"/>
      <w:bookmarkEnd w:id="263"/>
      <w:bookmarkStart w:id="264" w:name="_Toc184312085"/>
      <w:bookmarkEnd w:id="264"/>
      <w:bookmarkStart w:id="265" w:name="_Toc184312121"/>
      <w:bookmarkEnd w:id="265"/>
      <w:bookmarkStart w:id="266" w:name="_Toc184313310"/>
      <w:bookmarkEnd w:id="266"/>
      <w:bookmarkStart w:id="267" w:name="_Toc184310308"/>
      <w:bookmarkEnd w:id="267"/>
      <w:bookmarkStart w:id="268" w:name="_Toc184310314"/>
      <w:bookmarkEnd w:id="268"/>
      <w:bookmarkStart w:id="269" w:name="_Toc184312115"/>
      <w:bookmarkEnd w:id="269"/>
      <w:bookmarkStart w:id="270" w:name="_Toc184314453"/>
      <w:bookmarkEnd w:id="270"/>
      <w:bookmarkStart w:id="271" w:name="_Toc184312136"/>
      <w:bookmarkEnd w:id="271"/>
      <w:bookmarkStart w:id="272" w:name="_Toc184312068"/>
      <w:bookmarkEnd w:id="272"/>
      <w:bookmarkStart w:id="273" w:name="_Toc184310322"/>
      <w:bookmarkEnd w:id="273"/>
      <w:bookmarkStart w:id="274" w:name="_Toc184312069"/>
      <w:bookmarkEnd w:id="274"/>
      <w:bookmarkStart w:id="275" w:name="_Toc184310321"/>
      <w:bookmarkEnd w:id="275"/>
      <w:bookmarkStart w:id="276" w:name="_Toc184314473"/>
      <w:bookmarkEnd w:id="276"/>
      <w:bookmarkStart w:id="277" w:name="_Toc184312123"/>
      <w:bookmarkEnd w:id="277"/>
      <w:bookmarkStart w:id="278" w:name="_Toc184308094"/>
      <w:bookmarkEnd w:id="278"/>
      <w:bookmarkStart w:id="279" w:name="_Toc184312138"/>
      <w:bookmarkEnd w:id="279"/>
      <w:bookmarkStart w:id="280" w:name="_Toc184313240"/>
      <w:bookmarkEnd w:id="280"/>
      <w:bookmarkStart w:id="281" w:name="_Toc184310300"/>
      <w:bookmarkEnd w:id="281"/>
      <w:bookmarkStart w:id="282" w:name="_Toc184314479"/>
      <w:bookmarkEnd w:id="282"/>
      <w:bookmarkStart w:id="283" w:name="_Toc184313290"/>
      <w:bookmarkEnd w:id="283"/>
      <w:bookmarkStart w:id="284" w:name="_Toc184313268"/>
      <w:bookmarkEnd w:id="284"/>
      <w:bookmarkStart w:id="285" w:name="_Toc184312133"/>
      <w:bookmarkEnd w:id="285"/>
      <w:bookmarkStart w:id="286" w:name="_Toc184314475"/>
      <w:bookmarkEnd w:id="286"/>
      <w:bookmarkStart w:id="287" w:name="_Toc184310339"/>
      <w:bookmarkEnd w:id="287"/>
      <w:bookmarkStart w:id="288" w:name="_Toc184314410"/>
      <w:bookmarkEnd w:id="288"/>
      <w:bookmarkStart w:id="289" w:name="_Toc184312088"/>
      <w:bookmarkEnd w:id="289"/>
      <w:bookmarkStart w:id="290" w:name="_Toc184312109"/>
      <w:bookmarkEnd w:id="290"/>
      <w:bookmarkStart w:id="291" w:name="_Toc184310292"/>
      <w:bookmarkEnd w:id="291"/>
      <w:bookmarkStart w:id="292" w:name="_Toc184308065"/>
      <w:bookmarkEnd w:id="292"/>
      <w:bookmarkStart w:id="293" w:name="_Toc184312113"/>
      <w:bookmarkEnd w:id="293"/>
      <w:bookmarkStart w:id="294" w:name="_Toc184313288"/>
      <w:bookmarkEnd w:id="294"/>
      <w:bookmarkStart w:id="295" w:name="_Toc184310325"/>
      <w:bookmarkEnd w:id="295"/>
      <w:bookmarkStart w:id="296" w:name="_Toc184308104"/>
      <w:bookmarkEnd w:id="296"/>
      <w:bookmarkStart w:id="297" w:name="_Toc184310301"/>
      <w:bookmarkEnd w:id="297"/>
      <w:bookmarkStart w:id="298" w:name="_Toc184310329"/>
      <w:bookmarkEnd w:id="298"/>
      <w:bookmarkStart w:id="299" w:name="_Toc184308069"/>
      <w:bookmarkEnd w:id="299"/>
      <w:bookmarkStart w:id="300" w:name="_Toc184312098"/>
      <w:bookmarkEnd w:id="300"/>
      <w:bookmarkStart w:id="301" w:name="_Toc184308073"/>
      <w:bookmarkEnd w:id="301"/>
      <w:bookmarkStart w:id="302" w:name="_Toc184310310"/>
      <w:bookmarkEnd w:id="302"/>
      <w:bookmarkStart w:id="303" w:name="_Toc184313251"/>
      <w:bookmarkEnd w:id="303"/>
      <w:bookmarkStart w:id="304" w:name="_Toc184313253"/>
      <w:bookmarkEnd w:id="304"/>
      <w:bookmarkStart w:id="305" w:name="_Toc184310319"/>
      <w:bookmarkEnd w:id="305"/>
      <w:bookmarkStart w:id="306" w:name="_Toc184314425"/>
      <w:bookmarkEnd w:id="306"/>
      <w:bookmarkStart w:id="307" w:name="_Toc184314436"/>
      <w:bookmarkEnd w:id="307"/>
      <w:bookmarkStart w:id="308" w:name="_Toc184313278"/>
      <w:bookmarkEnd w:id="308"/>
      <w:bookmarkStart w:id="309" w:name="_Toc184314465"/>
      <w:bookmarkEnd w:id="309"/>
      <w:bookmarkStart w:id="310" w:name="_Toc184310340"/>
      <w:bookmarkEnd w:id="310"/>
      <w:bookmarkStart w:id="311" w:name="_Toc184314430"/>
      <w:bookmarkEnd w:id="311"/>
      <w:bookmarkStart w:id="312" w:name="_Toc184308042"/>
      <w:bookmarkEnd w:id="312"/>
      <w:bookmarkStart w:id="313" w:name="_Toc184308099"/>
      <w:bookmarkEnd w:id="313"/>
      <w:bookmarkStart w:id="314" w:name="_Toc184308037"/>
      <w:bookmarkEnd w:id="314"/>
      <w:bookmarkStart w:id="315" w:name="_Toc184312112"/>
      <w:bookmarkEnd w:id="315"/>
      <w:bookmarkStart w:id="316" w:name="_Toc184308062"/>
      <w:bookmarkEnd w:id="316"/>
      <w:bookmarkStart w:id="317" w:name="_Toc184308047"/>
      <w:bookmarkEnd w:id="317"/>
      <w:bookmarkStart w:id="318" w:name="_Toc184310317"/>
      <w:bookmarkEnd w:id="318"/>
      <w:bookmarkStart w:id="319" w:name="_Toc184310279"/>
      <w:bookmarkEnd w:id="319"/>
      <w:bookmarkStart w:id="320" w:name="_Toc184313270"/>
      <w:bookmarkEnd w:id="320"/>
      <w:bookmarkStart w:id="321" w:name="_Toc184310280"/>
      <w:bookmarkEnd w:id="321"/>
      <w:bookmarkStart w:id="322" w:name="_Toc184314416"/>
      <w:bookmarkEnd w:id="322"/>
      <w:bookmarkStart w:id="323" w:name="_Toc184308081"/>
      <w:bookmarkEnd w:id="323"/>
      <w:bookmarkStart w:id="324" w:name="_Toc184314476"/>
      <w:bookmarkEnd w:id="324"/>
      <w:bookmarkStart w:id="325" w:name="_Toc184312108"/>
      <w:bookmarkEnd w:id="325"/>
      <w:bookmarkStart w:id="326" w:name="_Toc184308038"/>
      <w:bookmarkEnd w:id="326"/>
      <w:bookmarkStart w:id="327" w:name="_Toc184314481"/>
      <w:bookmarkEnd w:id="327"/>
      <w:bookmarkStart w:id="328" w:name="_Toc184310295"/>
      <w:bookmarkEnd w:id="328"/>
      <w:bookmarkStart w:id="329" w:name="_Toc184312128"/>
      <w:bookmarkEnd w:id="329"/>
      <w:bookmarkStart w:id="330" w:name="_Toc184313263"/>
      <w:bookmarkEnd w:id="330"/>
      <w:bookmarkStart w:id="331" w:name="_Toc184310288"/>
      <w:bookmarkEnd w:id="331"/>
      <w:bookmarkStart w:id="332" w:name="_Toc184314480"/>
      <w:bookmarkEnd w:id="332"/>
      <w:bookmarkStart w:id="333" w:name="_Toc184310286"/>
      <w:bookmarkEnd w:id="333"/>
      <w:bookmarkStart w:id="334" w:name="_Toc184314460"/>
      <w:bookmarkEnd w:id="334"/>
      <w:bookmarkStart w:id="335" w:name="_Toc184313243"/>
      <w:bookmarkEnd w:id="335"/>
      <w:bookmarkStart w:id="336" w:name="_Toc184310293"/>
      <w:bookmarkEnd w:id="336"/>
      <w:bookmarkStart w:id="337" w:name="_Toc184314411"/>
      <w:bookmarkEnd w:id="337"/>
      <w:bookmarkStart w:id="338" w:name="_Toc184308107"/>
      <w:bookmarkEnd w:id="338"/>
      <w:bookmarkStart w:id="339" w:name="_Toc184314470"/>
      <w:bookmarkEnd w:id="339"/>
      <w:bookmarkStart w:id="340" w:name="_Toc184308088"/>
      <w:bookmarkEnd w:id="340"/>
      <w:bookmarkStart w:id="341" w:name="_Toc184310328"/>
      <w:bookmarkEnd w:id="341"/>
      <w:bookmarkStart w:id="342" w:name="_Toc184312080"/>
      <w:bookmarkEnd w:id="342"/>
      <w:bookmarkStart w:id="343" w:name="_Toc184312125"/>
      <w:bookmarkEnd w:id="343"/>
      <w:bookmarkStart w:id="344" w:name="_Toc184308102"/>
      <w:bookmarkEnd w:id="344"/>
      <w:bookmarkStart w:id="345" w:name="_Toc184313249"/>
      <w:bookmarkEnd w:id="345"/>
      <w:bookmarkStart w:id="346" w:name="_Toc184310304"/>
      <w:bookmarkEnd w:id="346"/>
      <w:bookmarkStart w:id="347" w:name="_Toc184312134"/>
      <w:bookmarkEnd w:id="347"/>
      <w:bookmarkStart w:id="348" w:name="_Toc184308103"/>
      <w:bookmarkEnd w:id="348"/>
      <w:bookmarkStart w:id="349" w:name="_Toc184314424"/>
      <w:bookmarkEnd w:id="349"/>
      <w:bookmarkStart w:id="350" w:name="_Toc184312078"/>
      <w:bookmarkEnd w:id="350"/>
      <w:bookmarkStart w:id="351" w:name="_Toc184314444"/>
      <w:bookmarkEnd w:id="351"/>
      <w:bookmarkStart w:id="352" w:name="_Toc184313238"/>
      <w:bookmarkEnd w:id="352"/>
      <w:bookmarkStart w:id="353" w:name="_Toc184313299"/>
      <w:bookmarkEnd w:id="353"/>
      <w:bookmarkStart w:id="354" w:name="_Toc184314454"/>
      <w:bookmarkEnd w:id="354"/>
      <w:bookmarkStart w:id="355" w:name="_Toc184312101"/>
      <w:bookmarkEnd w:id="355"/>
      <w:bookmarkStart w:id="356" w:name="_Toc184313273"/>
      <w:bookmarkEnd w:id="356"/>
      <w:bookmarkStart w:id="357" w:name="_Toc184314420"/>
      <w:bookmarkEnd w:id="357"/>
      <w:bookmarkStart w:id="358" w:name="_Toc184314418"/>
      <w:bookmarkEnd w:id="358"/>
      <w:bookmarkStart w:id="359" w:name="_Toc184310316"/>
      <w:bookmarkEnd w:id="359"/>
      <w:bookmarkStart w:id="360" w:name="_Toc184310287"/>
      <w:bookmarkEnd w:id="360"/>
      <w:bookmarkStart w:id="361" w:name="_Toc184308058"/>
      <w:bookmarkEnd w:id="361"/>
      <w:bookmarkStart w:id="362" w:name="_Toc184314463"/>
      <w:bookmarkEnd w:id="362"/>
      <w:bookmarkStart w:id="363" w:name="_Toc184314413"/>
      <w:bookmarkEnd w:id="363"/>
      <w:bookmarkStart w:id="364" w:name="_Toc184314461"/>
      <w:bookmarkEnd w:id="364"/>
      <w:bookmarkStart w:id="365" w:name="_Toc184308048"/>
      <w:bookmarkEnd w:id="365"/>
      <w:bookmarkStart w:id="366" w:name="_Toc184312095"/>
      <w:bookmarkEnd w:id="366"/>
      <w:bookmarkStart w:id="367" w:name="_Toc184314472"/>
      <w:bookmarkEnd w:id="367"/>
      <w:bookmarkStart w:id="368" w:name="_Toc184310277"/>
      <w:bookmarkEnd w:id="368"/>
      <w:bookmarkStart w:id="369" w:name="_Toc184308106"/>
      <w:bookmarkEnd w:id="369"/>
      <w:bookmarkStart w:id="370" w:name="_Toc184314412"/>
      <w:bookmarkEnd w:id="370"/>
      <w:bookmarkStart w:id="371" w:name="_Toc184308100"/>
      <w:bookmarkEnd w:id="371"/>
      <w:bookmarkStart w:id="372" w:name="_Toc184314474"/>
      <w:bookmarkEnd w:id="372"/>
      <w:bookmarkStart w:id="373" w:name="_Toc184308095"/>
      <w:bookmarkEnd w:id="373"/>
      <w:bookmarkStart w:id="374" w:name="_Toc184310306"/>
      <w:bookmarkEnd w:id="374"/>
      <w:bookmarkStart w:id="375" w:name="_Toc184310320"/>
      <w:bookmarkEnd w:id="375"/>
      <w:bookmarkStart w:id="376" w:name="_Toc184314438"/>
      <w:bookmarkEnd w:id="376"/>
      <w:bookmarkStart w:id="377" w:name="_Toc184314478"/>
      <w:bookmarkEnd w:id="377"/>
      <w:bookmarkStart w:id="378" w:name="_Toc184314477"/>
      <w:bookmarkEnd w:id="378"/>
      <w:bookmarkStart w:id="379" w:name="_Toc184308054"/>
      <w:bookmarkEnd w:id="379"/>
      <w:bookmarkStart w:id="380" w:name="_Toc184308085"/>
      <w:bookmarkEnd w:id="380"/>
      <w:bookmarkStart w:id="381" w:name="_Toc184314442"/>
      <w:bookmarkEnd w:id="381"/>
      <w:bookmarkStart w:id="382" w:name="_Toc184313254"/>
      <w:bookmarkEnd w:id="382"/>
      <w:r>
        <w:rPr>
          <w:rFonts w:hint="eastAsia" w:ascii="宋体" w:hAnsi="宋体" w:eastAsia="宋体" w:cs="宋体"/>
          <w:b/>
          <w:color w:val="auto"/>
          <w:sz w:val="36"/>
          <w:szCs w:val="36"/>
          <w:highlight w:val="none"/>
          <w:lang w:eastAsia="zh-CN"/>
        </w:rPr>
        <w:t>交易办法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lang w:eastAsia="zh-CN"/>
        </w:rPr>
        <w:t>交易办法</w:t>
      </w:r>
      <w:r>
        <w:rPr>
          <w:rFonts w:hint="eastAsia" w:ascii="宋体" w:hAnsi="宋体" w:eastAsia="宋体" w:cs="宋体"/>
          <w:b/>
          <w:color w:val="auto"/>
          <w:sz w:val="32"/>
          <w:szCs w:val="20"/>
          <w:highlight w:val="none"/>
        </w:rPr>
        <w:t>前附表</w:t>
      </w:r>
    </w:p>
    <w:p>
      <w:pPr>
        <w:widowControl/>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商务技术部分（</w:t>
      </w:r>
      <w:r>
        <w:rPr>
          <w:rFonts w:hint="eastAsia" w:ascii="宋体" w:hAnsi="宋体" w:cs="宋体"/>
          <w:b/>
          <w:bCs/>
          <w:color w:val="auto"/>
          <w:sz w:val="24"/>
          <w:highlight w:val="none"/>
          <w:lang w:val="en-US" w:eastAsia="zh-CN"/>
        </w:rPr>
        <w:t>90</w:t>
      </w:r>
      <w:r>
        <w:rPr>
          <w:rFonts w:hint="eastAsia" w:ascii="宋体" w:hAnsi="宋体" w:eastAsia="宋体" w:cs="宋体"/>
          <w:b/>
          <w:bCs/>
          <w:color w:val="auto"/>
          <w:sz w:val="24"/>
          <w:highlight w:val="none"/>
        </w:rPr>
        <w:t>分）</w:t>
      </w:r>
    </w:p>
    <w:p>
      <w:pPr>
        <w:widowControl/>
        <w:spacing w:line="360" w:lineRule="auto"/>
        <w:rPr>
          <w:rFonts w:hint="eastAsia" w:ascii="宋体" w:hAnsi="宋体" w:eastAsia="宋体" w:cs="宋体"/>
          <w:color w:val="auto"/>
          <w:highlight w:val="none"/>
        </w:rPr>
      </w:pPr>
      <w:r>
        <w:rPr>
          <w:rFonts w:hint="eastAsia" w:ascii="宋体" w:hAnsi="宋体" w:eastAsia="宋体" w:cs="宋体"/>
          <w:color w:val="auto"/>
          <w:sz w:val="24"/>
          <w:szCs w:val="24"/>
          <w:highlight w:val="none"/>
        </w:rPr>
        <w:t>1.1商务资信（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bl>
      <w:tblPr>
        <w:tblStyle w:val="6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00"/>
        <w:gridCol w:w="6437"/>
        <w:gridCol w:w="915"/>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权值</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3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商务资信分（</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rPr>
              <w:t>已经开展电梯检测并出具报告的，</w:t>
            </w:r>
            <w:r>
              <w:rPr>
                <w:rFonts w:hint="eastAsia" w:ascii="宋体" w:hAnsi="宋体" w:cs="宋体"/>
                <w:color w:val="auto"/>
                <w:sz w:val="24"/>
                <w:szCs w:val="24"/>
                <w:highlight w:val="none"/>
                <w:lang w:val="en-US" w:eastAsia="zh-CN"/>
              </w:rPr>
              <w:t>每个</w:t>
            </w:r>
            <w:r>
              <w:rPr>
                <w:rFonts w:hint="eastAsia" w:ascii="宋体" w:hAnsi="宋体" w:eastAsia="宋体" w:cs="宋体"/>
                <w:color w:val="auto"/>
                <w:sz w:val="24"/>
                <w:szCs w:val="24"/>
                <w:highlight w:val="none"/>
              </w:rPr>
              <w:t>地市得</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分，最高不超过5分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未提供不得分。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提供合同、检测报告</w:t>
            </w:r>
            <w:r>
              <w:rPr>
                <w:rFonts w:hint="eastAsia" w:ascii="宋体" w:hAnsi="宋体" w:cs="宋体"/>
                <w:color w:val="auto"/>
                <w:sz w:val="24"/>
                <w:szCs w:val="24"/>
                <w:highlight w:val="none"/>
                <w:lang w:eastAsia="zh-CN"/>
              </w:rPr>
              <w:t>）</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sz w:val="24"/>
                <w:szCs w:val="24"/>
                <w:highlight w:val="none"/>
                <w:lang w:val="en-US" w:eastAsia="zh-CN"/>
              </w:rPr>
              <w:t>5</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bl>
    <w:p>
      <w:pPr>
        <w:rPr>
          <w:rFonts w:hint="eastAsia" w:ascii="宋体" w:hAnsi="宋体" w:eastAsia="宋体" w:cs="宋体"/>
          <w:b/>
          <w:bCs/>
          <w:color w:val="auto"/>
          <w:sz w:val="24"/>
          <w:highlight w:val="none"/>
        </w:rPr>
      </w:pPr>
    </w:p>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1.2技术和服务方案（</w:t>
      </w:r>
      <w:r>
        <w:rPr>
          <w:rFonts w:hint="eastAsia" w:ascii="宋体" w:hAnsi="宋体" w:cs="宋体"/>
          <w:color w:val="auto"/>
          <w:sz w:val="24"/>
          <w:szCs w:val="24"/>
          <w:highlight w:val="none"/>
          <w:lang w:val="en-US" w:eastAsia="zh-CN"/>
        </w:rPr>
        <w:t>85</w:t>
      </w:r>
      <w:r>
        <w:rPr>
          <w:rFonts w:hint="eastAsia" w:ascii="宋体" w:hAnsi="宋体" w:eastAsia="宋体" w:cs="宋体"/>
          <w:color w:val="auto"/>
          <w:sz w:val="24"/>
          <w:szCs w:val="24"/>
          <w:highlight w:val="none"/>
        </w:rPr>
        <w:t>分）</w:t>
      </w:r>
    </w:p>
    <w:tbl>
      <w:tblPr>
        <w:tblStyle w:val="62"/>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00"/>
        <w:gridCol w:w="1211"/>
        <w:gridCol w:w="5223"/>
        <w:gridCol w:w="916"/>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67"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7034" w:type="dxa"/>
            <w:gridSpan w:val="3"/>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评分内容和标准</w:t>
            </w:r>
          </w:p>
        </w:tc>
        <w:tc>
          <w:tcPr>
            <w:tcW w:w="916"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权值</w:t>
            </w:r>
          </w:p>
        </w:tc>
        <w:tc>
          <w:tcPr>
            <w:tcW w:w="104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67" w:type="dxa"/>
            <w:vMerge w:val="restart"/>
            <w:noWrap w:val="0"/>
            <w:vAlign w:val="center"/>
          </w:tcPr>
          <w:p>
            <w:pPr>
              <w:pStyle w:val="25"/>
              <w:keepNext w:val="0"/>
              <w:keepLines w:val="0"/>
              <w:pageBreakBefore w:val="0"/>
              <w:kinsoku/>
              <w:wordWrap/>
              <w:overflowPunct/>
              <w:topLinePunct w:val="0"/>
              <w:bidi w:val="0"/>
              <w:snapToGrid w:val="0"/>
              <w:spacing w:line="240" w:lineRule="auto"/>
              <w:ind w:firstLine="0" w:firstLineChars="0"/>
              <w:jc w:val="center"/>
              <w:textAlignment w:val="auto"/>
              <w:rPr>
                <w:rFonts w:hint="eastAsia" w:ascii="宋体" w:hAnsi="宋体" w:eastAsia="宋体" w:cs="宋体"/>
                <w:color w:val="auto"/>
                <w:kern w:val="0"/>
                <w:highlight w:val="none"/>
              </w:rPr>
            </w:pPr>
            <w:r>
              <w:rPr>
                <w:rFonts w:hint="eastAsia" w:ascii="宋体" w:hAnsi="宋体" w:eastAsia="宋体" w:cs="宋体"/>
                <w:color w:val="auto"/>
                <w:highlight w:val="none"/>
              </w:rPr>
              <w:t>技术和服务方案分（</w:t>
            </w:r>
            <w:r>
              <w:rPr>
                <w:rFonts w:hint="eastAsia" w:cs="宋体"/>
                <w:color w:val="auto"/>
                <w:highlight w:val="none"/>
                <w:lang w:val="en-US" w:eastAsia="zh-CN"/>
              </w:rPr>
              <w:t>85</w:t>
            </w:r>
            <w:r>
              <w:rPr>
                <w:rFonts w:hint="eastAsia" w:ascii="宋体" w:hAnsi="宋体" w:eastAsia="宋体" w:cs="宋体"/>
                <w:color w:val="auto"/>
                <w:highlight w:val="none"/>
              </w:rPr>
              <w:t>分）</w:t>
            </w: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服务方案</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电梯隐患排查治理服务方案的合理性，综合评定。</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20</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质量保证措施</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完整合理的有针对性的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的质量保证措施是否完善合理科学，综合评定。</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仪器设备</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投入的电梯检测设备和仪器的先进性，综合评定。</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vMerge w:val="restart"/>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4</w:t>
            </w:r>
          </w:p>
        </w:tc>
        <w:tc>
          <w:tcPr>
            <w:tcW w:w="1211" w:type="dxa"/>
            <w:vMerge w:val="restart"/>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拟投入服务团队</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 xml:space="preserve">派遣本项目的技术人员，具有电梯专业技能等级二级（技师）及以上的，每人得1分，最高得1分；具有正高级工程师职称电梯检验师的，每人得1分，最高得2分；具有电梯检验师资格证书的，每人得1分，最高得3分。 </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6"/>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vMerge w:val="continue"/>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p>
        </w:tc>
        <w:tc>
          <w:tcPr>
            <w:tcW w:w="1211" w:type="dxa"/>
            <w:vMerge w:val="continue"/>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eastAsia="zh-CN"/>
              </w:rPr>
            </w:pP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检测服务团队的资历，对人员持证情况、职称、专业特长、获奖等进行说明，具有电梯检验员及以上资格且获得区级以上政府部门表彰的，每人得1分，最高得2分；具有电梯检验员及以上资格且电梯工程技术专业或电梯专业技能等级三级（高级工）以上的，每人得1分，最高得4分。</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项目进度安排及保障</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本项目的进度保证措施说明是否完善科学，综合评定。</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合理化建议和改进措施</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对本项目的合理化建议和改进措施合理、可行性，综合评定。</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7" w:type="dxa"/>
            <w:vMerge w:val="continue"/>
            <w:noWrap w:val="0"/>
            <w:vAlign w:val="center"/>
          </w:tcPr>
          <w:p>
            <w:pPr>
              <w:keepNext w:val="0"/>
              <w:keepLines w:val="0"/>
              <w:pageBreakBefore w:val="0"/>
              <w:widowControl/>
              <w:kinsoku/>
              <w:wordWrap/>
              <w:overflowPunct/>
              <w:topLinePunct w:val="0"/>
              <w:bidi w:val="0"/>
              <w:adjustRightInd/>
              <w:spacing w:line="240" w:lineRule="auto"/>
              <w:jc w:val="left"/>
              <w:textAlignment w:val="auto"/>
              <w:rPr>
                <w:rFonts w:hint="eastAsia" w:ascii="宋体" w:hAnsi="宋体" w:eastAsia="宋体" w:cs="宋体"/>
                <w:color w:val="auto"/>
                <w:kern w:val="0"/>
                <w:sz w:val="24"/>
                <w:szCs w:val="24"/>
                <w:highlight w:val="none"/>
              </w:rPr>
            </w:pPr>
          </w:p>
        </w:tc>
        <w:tc>
          <w:tcPr>
            <w:tcW w:w="600" w:type="dxa"/>
            <w:noWrap w:val="0"/>
            <w:vAlign w:val="center"/>
          </w:tcPr>
          <w:p>
            <w:pPr>
              <w:keepNext w:val="0"/>
              <w:keepLines w:val="0"/>
              <w:pageBreakBefore w:val="0"/>
              <w:widowControl/>
              <w:kinsoku/>
              <w:wordWrap/>
              <w:overflowPunct/>
              <w:topLinePunct w:val="0"/>
              <w:bidi w:val="0"/>
              <w:spacing w:line="24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211"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服务效率</w:t>
            </w:r>
          </w:p>
        </w:tc>
        <w:tc>
          <w:tcPr>
            <w:tcW w:w="5223" w:type="dxa"/>
            <w:noWrap w:val="0"/>
            <w:vAlign w:val="center"/>
          </w:tcPr>
          <w:p>
            <w:pPr>
              <w:keepNext w:val="0"/>
              <w:keepLines w:val="0"/>
              <w:pageBreakBefore w:val="0"/>
              <w:kinsoku/>
              <w:wordWrap/>
              <w:overflowPunct/>
              <w:topLinePunct w:val="0"/>
              <w:autoSpaceDE/>
              <w:autoSpaceDN/>
              <w:bidi w:val="0"/>
              <w:snapToGrid/>
              <w:spacing w:line="240" w:lineRule="auto"/>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lang w:eastAsia="zh-CN"/>
              </w:rPr>
              <w:t>接到</w:t>
            </w:r>
            <w:r>
              <w:rPr>
                <w:rFonts w:hint="eastAsia" w:ascii="宋体" w:hAnsi="宋体" w:cs="宋体"/>
                <w:color w:val="auto"/>
                <w:sz w:val="24"/>
                <w:szCs w:val="24"/>
                <w:highlight w:val="none"/>
                <w:lang w:val="en-US" w:eastAsia="zh-CN"/>
              </w:rPr>
              <w:t>交易人</w:t>
            </w:r>
            <w:r>
              <w:rPr>
                <w:rFonts w:hint="eastAsia" w:ascii="宋体" w:hAnsi="宋体" w:cs="宋体"/>
                <w:color w:val="auto"/>
                <w:sz w:val="24"/>
                <w:szCs w:val="24"/>
                <w:highlight w:val="none"/>
                <w:lang w:eastAsia="zh-CN"/>
              </w:rPr>
              <w:t>通知应在不超过</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天内做出响应，不超过</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个工作日内完成检测。3工作日之内完成</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eastAsia="zh-CN"/>
              </w:rPr>
              <w:t>分，4-5工作日完成</w:t>
            </w:r>
            <w:r>
              <w:rPr>
                <w:rFonts w:hint="eastAsia" w:ascii="宋体" w:hAnsi="宋体" w:cs="宋体"/>
                <w:color w:val="auto"/>
                <w:sz w:val="24"/>
                <w:szCs w:val="24"/>
                <w:highlight w:val="none"/>
                <w:lang w:val="en-US" w:eastAsia="zh-CN"/>
              </w:rPr>
              <w:t>6-4</w:t>
            </w:r>
            <w:r>
              <w:rPr>
                <w:rFonts w:hint="eastAsia" w:ascii="宋体" w:hAnsi="宋体" w:cs="宋体"/>
                <w:color w:val="auto"/>
                <w:sz w:val="24"/>
                <w:szCs w:val="24"/>
                <w:highlight w:val="none"/>
                <w:lang w:eastAsia="zh-CN"/>
              </w:rPr>
              <w:t>分，6-7工作日完成</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lang w:eastAsia="zh-CN"/>
              </w:rPr>
              <w:t>分，7工作日以上完成</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lang w:eastAsia="zh-CN"/>
              </w:rPr>
              <w:t>分。</w:t>
            </w:r>
          </w:p>
        </w:tc>
        <w:tc>
          <w:tcPr>
            <w:tcW w:w="916" w:type="dxa"/>
            <w:noWrap w:val="0"/>
            <w:vAlign w:val="center"/>
          </w:tcPr>
          <w:p>
            <w:pPr>
              <w:keepNext w:val="0"/>
              <w:keepLines w:val="0"/>
              <w:pageBreakBefore w:val="0"/>
              <w:kinsoku/>
              <w:wordWrap/>
              <w:overflowPunct/>
              <w:topLinePunct w:val="0"/>
              <w:autoSpaceDE/>
              <w:autoSpaceDN/>
              <w:bidi w:val="0"/>
              <w:snapToGrid/>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1040" w:type="dxa"/>
            <w:noWrap w:val="0"/>
            <w:vAlign w:val="center"/>
          </w:tcPr>
          <w:p>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客观分</w:t>
            </w:r>
          </w:p>
        </w:tc>
      </w:tr>
    </w:tbl>
    <w:p>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注：1）若</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对</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提供的证明资料要求为原件的，另行提出。</w:t>
      </w:r>
    </w:p>
    <w:p>
      <w:pPr>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中如附有外文资料，必须逐一对应翻译成中文并加盖</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公章后附在相关外文资料后面，否则外文资料不予认可。翻译的中文资料与外文资料不符的，均不予认可。翻译严重错误的，将视同提供虚假资料。</w:t>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价格部分评分方法（</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7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价格权值</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6" w:hRule="atLeast"/>
          <w:jc w:val="center"/>
        </w:trPr>
        <w:tc>
          <w:tcPr>
            <w:tcW w:w="216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价格权值=0.</w:t>
            </w:r>
            <w:r>
              <w:rPr>
                <w:rFonts w:hint="eastAsia" w:ascii="宋体" w:hAnsi="宋体" w:cs="宋体"/>
                <w:color w:val="auto"/>
                <w:sz w:val="24"/>
                <w:highlight w:val="none"/>
                <w:lang w:val="en-US" w:eastAsia="zh-CN"/>
              </w:rPr>
              <w:t>10</w:t>
            </w:r>
          </w:p>
        </w:tc>
        <w:tc>
          <w:tcPr>
            <w:tcW w:w="70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最低有效响应价格为评标基准价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响应报价得分=(评标基准价／响应报价)×价格权值×100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（计算得分保留小数点后2位）</w:t>
            </w:r>
          </w:p>
        </w:tc>
      </w:tr>
    </w:tbl>
    <w:p>
      <w:pP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pageBreakBefore w:val="0"/>
        <w:kinsoku/>
        <w:wordWrap/>
        <w:overflowPunct/>
        <w:topLinePunct w:val="0"/>
        <w:autoSpaceDE/>
        <w:autoSpaceDN/>
        <w:bidi w:val="0"/>
        <w:snapToGrid w:val="0"/>
        <w:spacing w:line="570" w:lineRule="exac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方法</w:t>
      </w:r>
    </w:p>
    <w:p>
      <w:pPr>
        <w:pageBreakBefore w:val="0"/>
        <w:kinsoku/>
        <w:wordWrap/>
        <w:overflowPunct/>
        <w:topLinePunct w:val="0"/>
        <w:autoSpaceDE/>
        <w:autoSpaceDN/>
        <w:bidi w:val="0"/>
        <w:adjustRightInd/>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的评标方法。</w:t>
      </w:r>
    </w:p>
    <w:p>
      <w:pPr>
        <w:pageBreakBefore w:val="0"/>
        <w:kinsoku/>
        <w:wordWrap/>
        <w:overflowPunct/>
        <w:topLinePunct w:val="0"/>
        <w:autoSpaceDE/>
        <w:autoSpaceDN/>
        <w:bidi w:val="0"/>
        <w:adjustRightInd/>
        <w:spacing w:line="570" w:lineRule="exact"/>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标准</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w:t>
      </w:r>
      <w:r>
        <w:rPr>
          <w:rFonts w:hint="eastAsia" w:ascii="宋体" w:hAnsi="宋体" w:eastAsia="宋体" w:cs="宋体"/>
          <w:color w:val="auto"/>
          <w:kern w:val="0"/>
          <w:sz w:val="24"/>
          <w:highlight w:val="none"/>
          <w:lang w:eastAsia="zh-CN"/>
        </w:rPr>
        <w:t>交易办法</w:t>
      </w:r>
      <w:r>
        <w:rPr>
          <w:rFonts w:hint="eastAsia" w:ascii="宋体" w:hAnsi="宋体" w:eastAsia="宋体" w:cs="宋体"/>
          <w:color w:val="auto"/>
          <w:kern w:val="0"/>
          <w:sz w:val="24"/>
          <w:highlight w:val="none"/>
        </w:rPr>
        <w:t>前附表。</w:t>
      </w:r>
    </w:p>
    <w:p>
      <w:pPr>
        <w:pageBreakBefore w:val="0"/>
        <w:kinsoku/>
        <w:wordWrap/>
        <w:overflowPunct/>
        <w:topLinePunct w:val="0"/>
        <w:autoSpaceDE/>
        <w:autoSpaceDN/>
        <w:bidi w:val="0"/>
        <w:spacing w:line="570" w:lineRule="exact"/>
        <w:textAlignment w:val="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w:t>
      </w:r>
      <w:r>
        <w:rPr>
          <w:rFonts w:hint="eastAsia" w:ascii="宋体" w:hAnsi="宋体" w:eastAsia="宋体" w:cs="宋体"/>
          <w:b/>
          <w:color w:val="auto"/>
          <w:sz w:val="32"/>
          <w:highlight w:val="none"/>
          <w:lang w:eastAsia="zh-CN"/>
        </w:rPr>
        <w:t>交易</w:t>
      </w:r>
      <w:r>
        <w:rPr>
          <w:rFonts w:hint="eastAsia" w:ascii="宋体" w:hAnsi="宋体" w:eastAsia="宋体" w:cs="宋体"/>
          <w:b/>
          <w:color w:val="auto"/>
          <w:sz w:val="32"/>
          <w:highlight w:val="none"/>
        </w:rPr>
        <w:t>程序</w:t>
      </w:r>
    </w:p>
    <w:bookmarkEnd w:id="15"/>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bookmarkStart w:id="383" w:name="第五部分"/>
      <w:bookmarkStart w:id="384" w:name="_Toc86217003"/>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进行符合性审查，以确定其是否满足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的实质性要求。不满足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的实质性要求的，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中规定的评标方法和标准，对符合性审查合格的</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进行商务和技术评估，综合比较与评价。</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的商务和技术文件进行评价，并汇总商务技术得分情况。</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1"/>
        <w:pageBreakBefore w:val="0"/>
        <w:kinsoku/>
        <w:wordWrap/>
        <w:overflowPunct/>
        <w:topLinePunct w:val="0"/>
        <w:autoSpaceDE/>
        <w:autoSpaceDN/>
        <w:bidi w:val="0"/>
        <w:spacing w:before="0" w:line="570" w:lineRule="exact"/>
        <w:ind w:firstLine="508" w:firstLineChars="212"/>
        <w:textAlignment w:val="auto"/>
        <w:rPr>
          <w:rFonts w:hint="eastAsia" w:ascii="宋体" w:hAnsi="宋体" w:eastAsia="宋体" w:cs="宋体"/>
          <w:color w:val="auto"/>
          <w:kern w:val="0"/>
          <w:highlight w:val="none"/>
        </w:rPr>
      </w:pPr>
      <w:r>
        <w:rPr>
          <w:rFonts w:hint="eastAsia" w:ascii="宋体" w:hAnsi="宋体" w:eastAsia="宋体" w:cs="宋体"/>
          <w:color w:val="auto"/>
          <w:kern w:val="0"/>
          <w:highlight w:val="none"/>
        </w:rPr>
        <w:t>3.4.1</w:t>
      </w:r>
      <w:r>
        <w:rPr>
          <w:rFonts w:hint="eastAsia" w:ascii="宋体" w:hAnsi="宋体" w:eastAsia="宋体" w:cs="宋体"/>
          <w:color w:val="auto"/>
          <w:kern w:val="0"/>
          <w:highlight w:val="none"/>
          <w:lang w:eastAsia="zh-CN"/>
        </w:rPr>
        <w:t>响应文件</w:t>
      </w:r>
      <w:r>
        <w:rPr>
          <w:rFonts w:hint="eastAsia" w:ascii="宋体" w:hAnsi="宋体" w:eastAsia="宋体" w:cs="宋体"/>
          <w:color w:val="auto"/>
          <w:kern w:val="0"/>
          <w:highlight w:val="none"/>
        </w:rPr>
        <w:t>报价出现前后不一致的，按照下列规定修正：</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(报价表)内容与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中相应内容不一致的，以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(报价表)为准;</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w:t>
      </w:r>
      <w:r>
        <w:rPr>
          <w:rFonts w:hint="eastAsia" w:ascii="宋体" w:hAnsi="宋体" w:eastAsia="宋体" w:cs="宋体"/>
          <w:color w:val="auto"/>
          <w:kern w:val="0"/>
          <w:szCs w:val="24"/>
          <w:highlight w:val="none"/>
          <w:lang w:eastAsia="zh-CN"/>
        </w:rPr>
        <w:t>交易一览表</w:t>
      </w:r>
      <w:r>
        <w:rPr>
          <w:rFonts w:hint="eastAsia" w:ascii="宋体" w:hAnsi="宋体" w:eastAsia="宋体" w:cs="宋体"/>
          <w:color w:val="auto"/>
          <w:kern w:val="0"/>
          <w:szCs w:val="24"/>
          <w:highlight w:val="none"/>
        </w:rPr>
        <w:t>的总价为准，并修改单价;</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确认后产生约束力。</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napToGrid w:val="0"/>
        <w:spacing w:line="57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131"/>
        <w:pageBreakBefore w:val="0"/>
        <w:kinsoku/>
        <w:wordWrap/>
        <w:overflowPunct/>
        <w:topLinePunct w:val="0"/>
        <w:autoSpaceDE/>
        <w:autoSpaceDN/>
        <w:bidi w:val="0"/>
        <w:spacing w:before="0" w:line="570" w:lineRule="exact"/>
        <w:ind w:firstLine="48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的报价明显低于其他通过符合性审查</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的报价，有可能影响产品质量或者不能诚信履约的，应当要求其在合理的时间内提供书面说明，必要时提交相关证明材料;</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不能证明其报价合理性的，评标委员会应当将其作为无效投标处理。</w:t>
      </w:r>
    </w:p>
    <w:p>
      <w:pPr>
        <w:pageBreakBefore w:val="0"/>
        <w:kinsoku/>
        <w:wordWrap/>
        <w:overflowPunct/>
        <w:topLinePunct w:val="0"/>
        <w:autoSpaceDE/>
        <w:autoSpaceDN/>
        <w:bidi w:val="0"/>
        <w:spacing w:line="57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由低到高顺序排列。得分且</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相同的并列。</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满足</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全部实质性要求，且按照评审因素的量化指标评审得分最高的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为排名第一的</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textAlignment w:val="auto"/>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提供相同品牌产品（单一产品采购项目中的该产品或者非单一产品采购项目的核心产品）且通过资格审查、符合性审查的不同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参加同一合同项下投标的，按一家</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计算，评审后得分最高的同品牌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获得</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推荐资格；评审得分相同的，采取随机抽取方式确定，其他同品牌</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不作为</w:t>
      </w:r>
      <w:r>
        <w:rPr>
          <w:rFonts w:hint="eastAsia" w:ascii="宋体" w:hAnsi="宋体" w:eastAsia="宋体" w:cs="宋体"/>
          <w:color w:val="auto"/>
          <w:kern w:val="0"/>
          <w:sz w:val="24"/>
          <w:highlight w:val="none"/>
          <w:lang w:eastAsia="zh-CN"/>
        </w:rPr>
        <w:t>成交候选人</w:t>
      </w:r>
      <w:r>
        <w:rPr>
          <w:rFonts w:hint="eastAsia" w:ascii="宋体" w:hAnsi="宋体" w:eastAsia="宋体" w:cs="宋体"/>
          <w:color w:val="auto"/>
          <w:kern w:val="0"/>
          <w:sz w:val="24"/>
          <w:highlight w:val="none"/>
        </w:rPr>
        <w:t>。</w:t>
      </w:r>
    </w:p>
    <w:p>
      <w:pPr>
        <w:pageBreakBefore w:val="0"/>
        <w:kinsoku/>
        <w:wordWrap/>
        <w:overflowPunct/>
        <w:topLinePunct w:val="0"/>
        <w:autoSpaceDE/>
        <w:autoSpaceDN/>
        <w:bidi w:val="0"/>
        <w:spacing w:line="570" w:lineRule="exact"/>
        <w:ind w:firstLine="472" w:firstLineChars="196"/>
        <w:textAlignment w:val="auto"/>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ageBreakBefore w:val="0"/>
        <w:widowControl/>
        <w:shd w:val="clear" w:color="auto" w:fill="FFFFFF"/>
        <w:kinsoku/>
        <w:wordWrap/>
        <w:overflowPunct/>
        <w:topLinePunct w:val="0"/>
        <w:autoSpaceDE/>
        <w:autoSpaceDN/>
        <w:bidi w:val="0"/>
        <w:adjustRightInd/>
        <w:spacing w:after="225" w:line="570" w:lineRule="exact"/>
        <w:jc w:val="left"/>
        <w:textAlignment w:val="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1"/>
        <w:pageBreakBefore w:val="0"/>
        <w:kinsoku/>
        <w:wordWrap/>
        <w:overflowPunct/>
        <w:topLinePunct w:val="0"/>
        <w:autoSpaceDE/>
        <w:autoSpaceDN/>
        <w:bidi w:val="0"/>
        <w:spacing w:before="0" w:line="570" w:lineRule="exact"/>
        <w:ind w:firstLine="472" w:firstLineChars="196"/>
        <w:textAlignment w:val="auto"/>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w:t>
      </w:r>
      <w:r>
        <w:rPr>
          <w:rFonts w:hint="eastAsia" w:ascii="宋体" w:hAnsi="宋体" w:eastAsia="宋体" w:cs="宋体"/>
          <w:b/>
          <w:color w:val="auto"/>
          <w:kern w:val="0"/>
          <w:szCs w:val="24"/>
          <w:highlight w:val="none"/>
          <w:lang w:eastAsia="zh-CN"/>
        </w:rPr>
        <w:t>供应商</w:t>
      </w:r>
      <w:r>
        <w:rPr>
          <w:rFonts w:hint="eastAsia" w:ascii="宋体" w:hAnsi="宋体" w:eastAsia="宋体" w:cs="宋体"/>
          <w:b/>
          <w:color w:val="auto"/>
          <w:kern w:val="0"/>
          <w:szCs w:val="24"/>
          <w:highlight w:val="none"/>
        </w:rPr>
        <w:t>澄清、说明或者补正。</w:t>
      </w:r>
      <w:r>
        <w:rPr>
          <w:rFonts w:hint="eastAsia" w:ascii="宋体" w:hAnsi="宋体" w:eastAsia="宋体" w:cs="宋体"/>
          <w:color w:val="auto"/>
          <w:kern w:val="0"/>
          <w:szCs w:val="24"/>
          <w:highlight w:val="none"/>
        </w:rPr>
        <w:t>对于</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中含义不明确、同类问题表述不一致或者有明显文字和计算错误的内容需要</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作出必要的澄清、说明或者补正的，评标委员会和</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通过电子交易平台交换数据电文，</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提交使用电子签名的相关数据电文或通过平台上传加盖公章的扫描件。给予</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提交澄清、说明或补正的时间不得少于半小时，</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已经明确表示澄清说明或补正完毕的除外。</w:t>
      </w:r>
      <w:r>
        <w:rPr>
          <w:rFonts w:hint="eastAsia" w:ascii="宋体" w:hAnsi="宋体" w:eastAsia="宋体" w:cs="宋体"/>
          <w:color w:val="auto"/>
          <w:kern w:val="0"/>
          <w:szCs w:val="24"/>
          <w:highlight w:val="none"/>
          <w:lang w:eastAsia="zh-CN"/>
        </w:rPr>
        <w:t>供应商</w:t>
      </w:r>
      <w:r>
        <w:rPr>
          <w:rFonts w:hint="eastAsia" w:ascii="宋体" w:hAnsi="宋体" w:eastAsia="宋体" w:cs="宋体"/>
          <w:color w:val="auto"/>
          <w:kern w:val="0"/>
          <w:szCs w:val="24"/>
          <w:highlight w:val="none"/>
        </w:rPr>
        <w:t>的澄清、说明或者补正不得超出</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的范围或者改变</w:t>
      </w:r>
      <w:r>
        <w:rPr>
          <w:rFonts w:hint="eastAsia" w:ascii="宋体" w:hAnsi="宋体" w:eastAsia="宋体" w:cs="宋体"/>
          <w:color w:val="auto"/>
          <w:kern w:val="0"/>
          <w:szCs w:val="24"/>
          <w:highlight w:val="none"/>
          <w:lang w:eastAsia="zh-CN"/>
        </w:rPr>
        <w:t>响应文件</w:t>
      </w:r>
      <w:r>
        <w:rPr>
          <w:rFonts w:hint="eastAsia" w:ascii="宋体" w:hAnsi="宋体" w:eastAsia="宋体" w:cs="宋体"/>
          <w:color w:val="auto"/>
          <w:kern w:val="0"/>
          <w:szCs w:val="24"/>
          <w:highlight w:val="none"/>
        </w:rPr>
        <w:t>的实质性内容。</w:t>
      </w:r>
    </w:p>
    <w:p>
      <w:pPr>
        <w:pStyle w:val="25"/>
        <w:pageBreakBefore w:val="0"/>
        <w:kinsoku/>
        <w:wordWrap/>
        <w:overflowPunct/>
        <w:topLinePunct w:val="0"/>
        <w:autoSpaceDE/>
        <w:autoSpaceDN/>
        <w:bidi w:val="0"/>
        <w:spacing w:line="570" w:lineRule="exact"/>
        <w:ind w:left="954" w:leftChars="226" w:hanging="479" w:firstLineChars="0"/>
        <w:textAlignment w:val="auto"/>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w:t>
      </w:r>
      <w:r>
        <w:rPr>
          <w:rFonts w:hint="eastAsia" w:ascii="宋体" w:hAnsi="宋体" w:eastAsia="宋体" w:cs="宋体"/>
          <w:b/>
          <w:color w:val="auto"/>
          <w:kern w:val="0"/>
          <w:highlight w:val="none"/>
          <w:lang w:eastAsia="zh-CN"/>
        </w:rPr>
        <w:t>交易无效</w:t>
      </w:r>
      <w:r>
        <w:rPr>
          <w:rFonts w:hint="eastAsia" w:ascii="宋体" w:hAnsi="宋体" w:eastAsia="宋体" w:cs="宋体"/>
          <w:b/>
          <w:color w:val="auto"/>
          <w:kern w:val="0"/>
          <w:highlight w:val="none"/>
        </w:rPr>
        <w:t>。</w:t>
      </w:r>
      <w:r>
        <w:rPr>
          <w:rFonts w:hint="eastAsia" w:ascii="宋体" w:hAnsi="宋体" w:eastAsia="宋体" w:cs="宋体"/>
          <w:color w:val="auto"/>
          <w:szCs w:val="21"/>
          <w:highlight w:val="none"/>
        </w:rPr>
        <w:t>有下列情形之一的，</w:t>
      </w:r>
      <w:r>
        <w:rPr>
          <w:rFonts w:hint="eastAsia" w:ascii="宋体" w:hAnsi="宋体" w:eastAsia="宋体" w:cs="宋体"/>
          <w:color w:val="auto"/>
          <w:szCs w:val="21"/>
          <w:highlight w:val="none"/>
          <w:lang w:eastAsia="zh-CN"/>
        </w:rPr>
        <w:t>交易无效</w:t>
      </w:r>
      <w:r>
        <w:rPr>
          <w:rFonts w:hint="eastAsia" w:ascii="宋体" w:hAnsi="宋体" w:eastAsia="宋体" w:cs="宋体"/>
          <w:color w:val="auto"/>
          <w:szCs w:val="21"/>
          <w:highlight w:val="none"/>
        </w:rPr>
        <w:t>：</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未提供有效的资格文件的，视为</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不具备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中规定的资格要求）；</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未按照</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要求签署、盖章的；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拟采购的产品属于政府强制采购的节能产品品目清单范围的，</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未按</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要求提供国家确定的认证机构出具的、处于有效期之内的节能产品认证证书的；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含有</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不能接受的附加条件的；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中承诺的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少于</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中载明的</w:t>
      </w:r>
      <w:r>
        <w:rPr>
          <w:rFonts w:hint="eastAsia" w:ascii="宋体" w:hAnsi="宋体" w:eastAsia="宋体" w:cs="宋体"/>
          <w:color w:val="auto"/>
          <w:kern w:val="0"/>
          <w:sz w:val="24"/>
          <w:highlight w:val="none"/>
          <w:lang w:eastAsia="zh-CN"/>
        </w:rPr>
        <w:t>交易有效期</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napToGrid w:val="0"/>
        <w:spacing w:line="570" w:lineRule="exact"/>
        <w:ind w:firstLine="120" w:firstLineChars="5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出现不是唯一的、有选择性</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w:t>
      </w:r>
      <w:r>
        <w:rPr>
          <w:rFonts w:hint="eastAsia" w:ascii="宋体" w:hAnsi="宋体" w:eastAsia="宋体" w:cs="宋体"/>
          <w:color w:val="auto"/>
          <w:kern w:val="0"/>
          <w:sz w:val="24"/>
          <w:highlight w:val="none"/>
          <w:lang w:eastAsia="zh-CN"/>
        </w:rPr>
        <w:t>交易报价</w:t>
      </w:r>
      <w:r>
        <w:rPr>
          <w:rFonts w:hint="eastAsia" w:ascii="宋体" w:hAnsi="宋体" w:eastAsia="宋体" w:cs="宋体"/>
          <w:color w:val="auto"/>
          <w:kern w:val="0"/>
          <w:sz w:val="24"/>
          <w:highlight w:val="none"/>
        </w:rPr>
        <w:t>超过</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中规定的预算金额或者最高限价的;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的报价，有可能影响产品质量或者不能诚信履约的，未能按要求提供书面说明或者提交相关证明材料，不能证明其报价合理性的;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对根据修正原则修正后的报价不确认的；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提供虚假材料投标的；</w:t>
      </w:r>
    </w:p>
    <w:p>
      <w:pPr>
        <w:pageBreakBefore w:val="0"/>
        <w:kinsoku/>
        <w:wordWrap/>
        <w:overflowPunct/>
        <w:topLinePunct w:val="0"/>
        <w:autoSpaceDE/>
        <w:autoSpaceDN/>
        <w:bidi w:val="0"/>
        <w:spacing w:line="570" w:lineRule="exact"/>
        <w:ind w:firstLine="240" w:firstLineChars="1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有恶意串通、妨碍其他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的竞争行为、损害</w:t>
      </w:r>
      <w:r>
        <w:rPr>
          <w:rFonts w:hint="eastAsia" w:ascii="宋体" w:hAnsi="宋体" w:eastAsia="宋体" w:cs="宋体"/>
          <w:color w:val="auto"/>
          <w:kern w:val="0"/>
          <w:sz w:val="24"/>
          <w:highlight w:val="none"/>
          <w:lang w:eastAsia="zh-CN"/>
        </w:rPr>
        <w:t>交易人</w:t>
      </w:r>
      <w:r>
        <w:rPr>
          <w:rFonts w:hint="eastAsia" w:ascii="宋体" w:hAnsi="宋体" w:eastAsia="宋体" w:cs="宋体"/>
          <w:color w:val="auto"/>
          <w:kern w:val="0"/>
          <w:sz w:val="24"/>
          <w:highlight w:val="none"/>
        </w:rPr>
        <w:t>或者其他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的合法权益情形的；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仅提交备份</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，未在电子交易平台传输递交</w:t>
      </w: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交易无效</w:t>
      </w:r>
      <w:r>
        <w:rPr>
          <w:rFonts w:hint="eastAsia" w:ascii="宋体" w:hAnsi="宋体" w:eastAsia="宋体" w:cs="宋体"/>
          <w:color w:val="auto"/>
          <w:kern w:val="0"/>
          <w:sz w:val="24"/>
          <w:highlight w:val="none"/>
        </w:rPr>
        <w:t>；</w:t>
      </w:r>
    </w:p>
    <w:p>
      <w:pPr>
        <w:pStyle w:val="2"/>
        <w:pageBreakBefore w:val="0"/>
        <w:kinsoku/>
        <w:wordWrap/>
        <w:overflowPunct/>
        <w:topLinePunct w:val="0"/>
        <w:autoSpaceDE/>
        <w:autoSpaceDN/>
        <w:bidi w:val="0"/>
        <w:spacing w:line="570" w:lineRule="exact"/>
        <w:ind w:left="862" w:leftChars="205"/>
        <w:textAlignment w:val="auto"/>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w:t>
      </w:r>
      <w:r>
        <w:rPr>
          <w:rFonts w:hint="eastAsia" w:ascii="宋体" w:hAnsi="宋体" w:eastAsia="宋体" w:cs="宋体"/>
          <w:b w:val="0"/>
          <w:bCs w:val="0"/>
          <w:color w:val="auto"/>
          <w:kern w:val="0"/>
          <w:sz w:val="24"/>
          <w:szCs w:val="24"/>
          <w:highlight w:val="none"/>
          <w:lang w:val="en-US" w:eastAsia="zh-CN"/>
        </w:rPr>
        <w:t>响应文件</w:t>
      </w:r>
      <w:r>
        <w:rPr>
          <w:rFonts w:hint="eastAsia" w:ascii="宋体" w:hAnsi="宋体" w:eastAsia="宋体" w:cs="宋体"/>
          <w:b w:val="0"/>
          <w:bCs w:val="0"/>
          <w:color w:val="auto"/>
          <w:kern w:val="0"/>
          <w:sz w:val="24"/>
          <w:szCs w:val="24"/>
          <w:highlight w:val="none"/>
          <w:lang w:val="en-US"/>
        </w:rPr>
        <w:t>不满足</w:t>
      </w:r>
      <w:r>
        <w:rPr>
          <w:rFonts w:hint="eastAsia" w:ascii="宋体" w:hAnsi="宋体" w:eastAsia="宋体" w:cs="宋体"/>
          <w:b w:val="0"/>
          <w:bCs w:val="0"/>
          <w:color w:val="auto"/>
          <w:kern w:val="0"/>
          <w:sz w:val="24"/>
          <w:szCs w:val="24"/>
          <w:highlight w:val="none"/>
          <w:lang w:val="en-US" w:eastAsia="zh-CN"/>
        </w:rPr>
        <w:t>交易文件</w:t>
      </w:r>
      <w:r>
        <w:rPr>
          <w:rFonts w:hint="eastAsia" w:ascii="宋体" w:hAnsi="宋体" w:eastAsia="宋体" w:cs="宋体"/>
          <w:b w:val="0"/>
          <w:bCs w:val="0"/>
          <w:color w:val="auto"/>
          <w:kern w:val="0"/>
          <w:sz w:val="24"/>
          <w:szCs w:val="24"/>
          <w:highlight w:val="none"/>
          <w:lang w:val="en-US"/>
        </w:rPr>
        <w:t>的其它实质性要求的；</w:t>
      </w:r>
    </w:p>
    <w:p>
      <w:pPr>
        <w:pageBreakBefore w:val="0"/>
        <w:kinsoku/>
        <w:wordWrap/>
        <w:overflowPunct/>
        <w:topLinePunct w:val="0"/>
        <w:autoSpaceDE/>
        <w:autoSpaceDN/>
        <w:bidi w:val="0"/>
        <w:spacing w:line="57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25"/>
        <w:pageBreakBefore w:val="0"/>
        <w:kinsoku/>
        <w:wordWrap/>
        <w:overflowPunct/>
        <w:topLinePunct w:val="0"/>
        <w:autoSpaceDE/>
        <w:autoSpaceDN/>
        <w:bidi w:val="0"/>
        <w:snapToGrid w:val="0"/>
        <w:spacing w:line="570" w:lineRule="exact"/>
        <w:ind w:firstLine="472" w:firstLineChars="196"/>
        <w:textAlignment w:val="auto"/>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作实质响应的供应商不足3家的；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5.3</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的报价均超过了采购预算，</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不能支付的；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highlight w:val="none"/>
        </w:rPr>
        <w:t>6.修改</w:t>
      </w:r>
      <w:r>
        <w:rPr>
          <w:rFonts w:hint="eastAsia" w:ascii="宋体" w:hAnsi="宋体" w:eastAsia="宋体" w:cs="宋体"/>
          <w:b/>
          <w:color w:val="auto"/>
          <w:highlight w:val="none"/>
          <w:lang w:eastAsia="zh-CN"/>
        </w:rPr>
        <w:t>交易文件</w:t>
      </w:r>
      <w:r>
        <w:rPr>
          <w:rFonts w:hint="eastAsia" w:ascii="宋体" w:hAnsi="宋体" w:eastAsia="宋体" w:cs="宋体"/>
          <w:b/>
          <w:color w:val="auto"/>
          <w:highlight w:val="none"/>
        </w:rPr>
        <w:t>，重新组织采购活动。</w:t>
      </w:r>
      <w:r>
        <w:rPr>
          <w:rFonts w:hint="eastAsia" w:ascii="宋体" w:hAnsi="宋体" w:eastAsia="宋体" w:cs="宋体"/>
          <w:color w:val="auto"/>
          <w:highlight w:val="none"/>
        </w:rPr>
        <w:t>评标委员会发现</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存在歧义、重大缺陷导致评标工作无法进行，或者</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内容违反国家有关强制性规定的，将停止评标工作，并与</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、采购机构沟通并作书面记录。</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、采购机构确认后，将修改</w:t>
      </w:r>
      <w:r>
        <w:rPr>
          <w:rFonts w:hint="eastAsia" w:ascii="宋体" w:hAnsi="宋体" w:eastAsia="宋体" w:cs="宋体"/>
          <w:color w:val="auto"/>
          <w:highlight w:val="none"/>
          <w:lang w:eastAsia="zh-CN"/>
        </w:rPr>
        <w:t>交易文件</w:t>
      </w:r>
      <w:r>
        <w:rPr>
          <w:rFonts w:hint="eastAsia" w:ascii="宋体" w:hAnsi="宋体" w:eastAsia="宋体" w:cs="宋体"/>
          <w:color w:val="auto"/>
          <w:highlight w:val="none"/>
        </w:rPr>
        <w:t>，重新组织采购活动。</w:t>
      </w:r>
    </w:p>
    <w:p>
      <w:pPr>
        <w:pStyle w:val="25"/>
        <w:pageBreakBefore w:val="0"/>
        <w:kinsoku/>
        <w:wordWrap/>
        <w:overflowPunct/>
        <w:topLinePunct w:val="0"/>
        <w:autoSpaceDE/>
        <w:autoSpaceDN/>
        <w:bidi w:val="0"/>
        <w:snapToGrid w:val="0"/>
        <w:spacing w:line="570" w:lineRule="exact"/>
        <w:ind w:firstLine="590" w:firstLineChars="245"/>
        <w:textAlignment w:val="auto"/>
        <w:rPr>
          <w:rFonts w:hint="eastAsia" w:ascii="宋体" w:hAnsi="宋体" w:eastAsia="宋体" w:cs="宋体"/>
          <w:color w:val="auto"/>
          <w:highlight w:val="none"/>
        </w:rPr>
      </w:pPr>
      <w:r>
        <w:rPr>
          <w:rFonts w:hint="eastAsia" w:ascii="宋体" w:hAnsi="宋体" w:eastAsia="宋体" w:cs="宋体"/>
          <w:b/>
          <w:color w:val="auto"/>
          <w:kern w:val="0"/>
          <w:highlight w:val="none"/>
        </w:rPr>
        <w:t>7.重新开展</w:t>
      </w:r>
      <w:r>
        <w:rPr>
          <w:rFonts w:hint="eastAsia" w:ascii="宋体" w:hAnsi="宋体" w:eastAsia="宋体" w:cs="宋体"/>
          <w:b/>
          <w:color w:val="auto"/>
          <w:kern w:val="0"/>
          <w:highlight w:val="none"/>
          <w:lang w:val="en-US" w:eastAsia="zh-CN"/>
        </w:rPr>
        <w:t>交易</w:t>
      </w:r>
      <w:r>
        <w:rPr>
          <w:rFonts w:hint="eastAsia" w:ascii="宋体" w:hAnsi="宋体" w:eastAsia="宋体" w:cs="宋体"/>
          <w:b/>
          <w:color w:val="auto"/>
          <w:kern w:val="0"/>
          <w:highlight w:val="none"/>
        </w:rPr>
        <w:t>。</w:t>
      </w:r>
      <w:r>
        <w:rPr>
          <w:rFonts w:hint="eastAsia" w:ascii="宋体" w:hAnsi="宋体" w:eastAsia="宋体" w:cs="宋体"/>
          <w:color w:val="auto"/>
          <w:highlight w:val="none"/>
        </w:rPr>
        <w:t>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、成交结果的，依照下列规定处理：</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7.1未确定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的，终止本次</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7.2已确定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但尚未签订合同的，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或者成交结果无效，从合格的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ind w:firstLine="600" w:firstLineChars="250"/>
        <w:textAlignment w:val="auto"/>
        <w:rPr>
          <w:rFonts w:hint="eastAsia" w:ascii="宋体" w:hAnsi="宋体" w:eastAsia="宋体" w:cs="宋体"/>
          <w:color w:val="auto"/>
          <w:highlight w:val="none"/>
        </w:rPr>
      </w:pPr>
      <w:r>
        <w:rPr>
          <w:rFonts w:hint="eastAsia" w:ascii="宋体" w:hAnsi="宋体" w:eastAsia="宋体" w:cs="宋体"/>
          <w:color w:val="auto"/>
          <w:highlight w:val="none"/>
        </w:rPr>
        <w:t>7.3采购合同已签订但尚未履行的，撤销合同，从合格的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或者成交候选人中另行确定</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w:t>
      </w:r>
      <w:r>
        <w:rPr>
          <w:rFonts w:hint="eastAsia" w:ascii="宋体" w:hAnsi="宋体" w:eastAsia="宋体" w:cs="宋体"/>
          <w:color w:val="auto"/>
          <w:highlight w:val="none"/>
          <w:lang w:eastAsia="zh-CN"/>
        </w:rPr>
        <w:t>成交人</w:t>
      </w:r>
      <w:r>
        <w:rPr>
          <w:rFonts w:hint="eastAsia" w:ascii="宋体" w:hAnsi="宋体" w:eastAsia="宋体" w:cs="宋体"/>
          <w:color w:val="auto"/>
          <w:highlight w:val="none"/>
        </w:rPr>
        <w:t>；没有合格的</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或者成交候选人的，重新开展</w:t>
      </w:r>
      <w:r>
        <w:rPr>
          <w:rFonts w:hint="eastAsia" w:ascii="宋体" w:hAnsi="宋体" w:eastAsia="宋体" w:cs="宋体"/>
          <w:color w:val="auto"/>
          <w:highlight w:val="none"/>
          <w:lang w:val="en-US" w:eastAsia="zh-CN"/>
        </w:rPr>
        <w:t>交易</w:t>
      </w:r>
      <w:r>
        <w:rPr>
          <w:rFonts w:hint="eastAsia" w:ascii="宋体" w:hAnsi="宋体" w:eastAsia="宋体" w:cs="宋体"/>
          <w:color w:val="auto"/>
          <w:highlight w:val="none"/>
        </w:rPr>
        <w:t>活动。</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7.4采购合同已经履行，给</w:t>
      </w:r>
      <w:r>
        <w:rPr>
          <w:rFonts w:hint="eastAsia" w:ascii="宋体" w:hAnsi="宋体" w:eastAsia="宋体" w:cs="宋体"/>
          <w:color w:val="auto"/>
          <w:highlight w:val="none"/>
          <w:lang w:eastAsia="zh-CN"/>
        </w:rPr>
        <w:t>交易人</w:t>
      </w:r>
      <w:r>
        <w:rPr>
          <w:rFonts w:hint="eastAsia" w:ascii="宋体" w:hAnsi="宋体" w:eastAsia="宋体" w:cs="宋体"/>
          <w:color w:val="auto"/>
          <w:highlight w:val="none"/>
        </w:rPr>
        <w:t>、供应商造成损失的，由责任人承担赔偿责任。</w:t>
      </w:r>
    </w:p>
    <w:p>
      <w:pPr>
        <w:pStyle w:val="25"/>
        <w:pageBreakBefore w:val="0"/>
        <w:kinsoku/>
        <w:wordWrap/>
        <w:overflowPunct/>
        <w:topLinePunct w:val="0"/>
        <w:autoSpaceDE/>
        <w:autoSpaceDN/>
        <w:bidi w:val="0"/>
        <w:snapToGrid w:val="0"/>
        <w:spacing w:line="57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7.5采购当事人有其他违反政府采购法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、成交结果或者依法被认定为</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highlight w:val="none"/>
        </w:rPr>
        <w:t>、成交无效的，依照7.1-7.4规定处理。</w:t>
      </w:r>
    </w:p>
    <w:p>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pStyle w:val="15"/>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ind w:left="718" w:leftChars="342" w:firstLine="119" w:firstLineChars="33"/>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合同编号：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                                 签订时间：20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甲方（需方）：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乙方（供方）：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供、需双方根据杭州市萧山区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）交易结果和交易文件的要求，并经双方协调一致，订立本合同。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一、合同文件：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1、合同条款。</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3、交易文件。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4、更正公告。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5、成交单位响应文件。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6、其他。</w:t>
      </w:r>
    </w:p>
    <w:p>
      <w:pPr>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二、合同金额: 本合同金额为(大写)_________________元（￥</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元）人民币附：</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三、技术资料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1.乙方应按交易文件规定的时间向甲方提供有关技术资料。</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乙方应保证提供服务过程中不会侵犯任何第三方的知识产权。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乙方交纳人民币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元作为本合同的履约保证金。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六、转包或分包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1.本合同范围的服务，应由乙方直接供应，不得转让他人供应；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2.除非得到甲方的书面同意，乙方不得将本合同范围的服务全部或部分分包给他人供应；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3.如有转让和未经甲方同意的分包行为，甲方有权解除合同，没收履约保证金并追究乙方的违约责任。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七、服务质量保证期和服务质量保证金(选用)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服务质量保证期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年。（自验收合格之日起计）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服务质量保证金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八、合同履行时间、履行方式及履行地点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履行时间：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履行方式：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履行地点：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九、款项支付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1.付款方式：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2.合同履行完毕，需方根据合同进行验收，验收合格后供应商按结算要求办理货款结算手续。</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十、税费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十一、质量保证及后续服务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乙方应按交易文件规定向甲方提供服务。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⑴重做：由乙方承担所发生的全部费用。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⑵贬值处理：由甲乙双方合议定价。</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⑶解除合同。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如在使用过程中发生问题，乙方在接到甲方通知后在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小时内到达甲方现场。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4.在服务质量保证期内，乙方应对出现的质量及安全问题负责处理解决并承担一切费用。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1.甲方无正当理由拒绝接收服务的，甲方向乙方偿付合同款项百分之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2.甲方无故逾期验收和办理款项支付手续的，甲方应按逾期付款总额每日万分之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向乙方支付违约金。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3.乙方未能如期提供服务的，每日向甲方支付合同款项的千分之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5．如发现乙方违反交易文件和合同的有关规定，甲方有权根据约定对乙方进行处罚，并有权提前终止合同。</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十三、争议的解决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因本合同引起的或与本合同有关的任何争议，合同双方应首先通过协商解决，达成书面协议，如协商不成，可选择下列第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种方式解决。</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（2）向有管辖权的人民法院提起诉讼。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十四、合同生效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1.成交供应商持成交通知书作为与需方签订合同的凭证。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2.本合同经需、供双方法定代表人或其授权委托人签字并加盖单位公章后生效。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3.本合同一式四份，需、供双方各执二份。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需方（盖章）：                     供方（盖章）：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法定代表人（或委托代理人）签名：   法定代表人（或委托代理人）签名：</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                         邮政编码：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开户银行：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帐号：                             帐号：</w:t>
      </w:r>
    </w:p>
    <w:p>
      <w:pPr>
        <w:spacing w:line="360" w:lineRule="auto"/>
        <w:rPr>
          <w:rFonts w:hint="eastAsia" w:ascii="宋体" w:hAnsi="宋体" w:eastAsia="宋体" w:cs="宋体"/>
          <w:color w:val="auto"/>
          <w:sz w:val="24"/>
          <w:highlight w:val="none"/>
        </w:rPr>
        <w:sectPr>
          <w:footerReference r:id="rId5" w:type="first"/>
          <w:headerReference r:id="rId3" w:type="default"/>
          <w:footerReference r:id="rId4" w:type="default"/>
          <w:pgSz w:w="11906" w:h="16838"/>
          <w:pgMar w:top="1418" w:right="1286" w:bottom="935" w:left="1418" w:header="851" w:footer="992" w:gutter="0"/>
          <w:pgNumType w:fmt="decimal"/>
          <w:cols w:space="720" w:num="1"/>
          <w:docGrid w:linePitch="312" w:charSpace="0"/>
        </w:sectPr>
      </w:pPr>
    </w:p>
    <w:p>
      <w:pPr>
        <w:pStyle w:val="51"/>
        <w:rPr>
          <w:rFonts w:hint="eastAsia" w:ascii="宋体" w:hAnsi="宋体" w:eastAsia="宋体" w:cs="宋体"/>
          <w:color w:val="auto"/>
          <w:sz w:val="24"/>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3"/>
      <w:r>
        <w:rPr>
          <w:rFonts w:hint="eastAsia" w:ascii="宋体" w:hAnsi="宋体" w:eastAsia="宋体" w:cs="宋体"/>
          <w:b/>
          <w:color w:val="auto"/>
          <w:sz w:val="36"/>
          <w:szCs w:val="20"/>
          <w:highlight w:val="none"/>
        </w:rPr>
        <w:t xml:space="preserve"> </w:t>
      </w:r>
      <w:bookmarkEnd w:id="384"/>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本项目的特定资格要求………………………………………………（页码）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w:t>
      </w:r>
      <w:r>
        <w:rPr>
          <w:rFonts w:hint="eastAsia" w:ascii="宋体" w:hAnsi="宋体" w:eastAsia="宋体" w:cs="宋体"/>
          <w:b/>
          <w:color w:val="auto"/>
          <w:kern w:val="0"/>
          <w:sz w:val="32"/>
          <w:szCs w:val="32"/>
          <w:highlight w:val="none"/>
          <w:lang w:val="en-US" w:eastAsia="zh-CN"/>
        </w:rPr>
        <w:t>交易</w:t>
      </w:r>
      <w:r>
        <w:rPr>
          <w:rFonts w:hint="eastAsia" w:ascii="宋体" w:hAnsi="宋体" w:eastAsia="宋体" w:cs="宋体"/>
          <w:b/>
          <w:color w:val="auto"/>
          <w:kern w:val="0"/>
          <w:sz w:val="32"/>
          <w:szCs w:val="32"/>
          <w:highlight w:val="none"/>
        </w:rPr>
        <w:t>活动应当具备的一般条件的承诺函</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lang w:val="en-US" w:eastAsia="zh-CN"/>
        </w:rPr>
        <w:t>交易</w:t>
      </w:r>
      <w:r>
        <w:rPr>
          <w:rFonts w:hint="eastAsia" w:ascii="宋体" w:hAnsi="宋体" w:eastAsia="宋体" w:cs="宋体"/>
          <w:color w:val="auto"/>
          <w:sz w:val="24"/>
          <w:highlight w:val="none"/>
        </w:rPr>
        <w:t>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w:t>
      </w:r>
      <w:r>
        <w:rPr>
          <w:rFonts w:hint="eastAsia" w:ascii="宋体" w:hAnsi="宋体" w:eastAsia="宋体" w:cs="宋体"/>
          <w:color w:val="auto"/>
          <w:sz w:val="24"/>
          <w:highlight w:val="none"/>
          <w:lang w:eastAsia="zh-CN"/>
        </w:rPr>
        <w:t>以下</w:t>
      </w:r>
      <w:r>
        <w:rPr>
          <w:rFonts w:hint="eastAsia" w:ascii="宋体" w:hAnsi="宋体" w:eastAsia="宋体" w:cs="宋体"/>
          <w:color w:val="auto"/>
          <w:sz w:val="24"/>
          <w:highlight w:val="none"/>
        </w:rPr>
        <w:t>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lang w:val="zh-CN"/>
        </w:rPr>
      </w:pP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交易公告</w:t>
      </w:r>
      <w:r>
        <w:rPr>
          <w:rFonts w:hint="eastAsia" w:ascii="宋体" w:hAnsi="宋体" w:eastAsia="宋体" w:cs="宋体"/>
          <w:color w:val="auto"/>
          <w:sz w:val="24"/>
          <w:highlight w:val="none"/>
        </w:rPr>
        <w:t>本项目的特定资格要求提供相应的材料；未要求的，无需提供）</w:t>
      </w:r>
    </w:p>
    <w:p>
      <w:pPr>
        <w:spacing w:line="360" w:lineRule="auto"/>
        <w:jc w:val="center"/>
        <w:rPr>
          <w:rFonts w:hint="eastAsia" w:ascii="宋体" w:hAnsi="宋体" w:eastAsia="宋体" w:cs="宋体"/>
          <w:color w:val="auto"/>
          <w:kern w:val="0"/>
          <w:sz w:val="24"/>
          <w:highlight w:val="none"/>
          <w:lang w:val="zh-CN"/>
        </w:rPr>
      </w:pPr>
    </w:p>
    <w:p>
      <w:pPr>
        <w:widowControl/>
        <w:spacing w:line="360" w:lineRule="auto"/>
        <w:ind w:left="15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pacing w:line="360" w:lineRule="auto"/>
        <w:jc w:val="center"/>
        <w:outlineLvl w:val="0"/>
        <w:rPr>
          <w:rFonts w:hint="eastAsia" w:ascii="宋体" w:hAnsi="宋体" w:eastAsia="宋体" w:cs="宋体"/>
          <w:b/>
          <w:color w:val="auto"/>
          <w:kern w:val="0"/>
          <w:sz w:val="36"/>
          <w:szCs w:val="36"/>
          <w:highlight w:val="none"/>
        </w:rPr>
      </w:pPr>
    </w:p>
    <w:p>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pPr>
        <w:snapToGrid w:val="0"/>
        <w:spacing w:line="360" w:lineRule="auto"/>
        <w:ind w:left="479" w:leftChars="228"/>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交易函</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营业执照</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…………（页码）</w:t>
      </w:r>
    </w:p>
    <w:p>
      <w:pPr>
        <w:snapToGrid w:val="0"/>
        <w:spacing w:line="360" w:lineRule="auto"/>
        <w:ind w:firstLine="480" w:firstLineChars="200"/>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jc w:val="distribut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outlineLvl w:val="0"/>
        <w:rPr>
          <w:rFonts w:hint="eastAsia" w:ascii="宋体" w:hAnsi="宋体" w:eastAsia="宋体" w:cs="宋体"/>
          <w:b/>
          <w:color w:val="auto"/>
          <w:sz w:val="32"/>
          <w:szCs w:val="32"/>
          <w:highlight w:val="none"/>
          <w:lang w:eastAsia="zh-CN"/>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eastAsia="zh-CN"/>
        </w:rPr>
        <w:t>交易函</w:t>
      </w:r>
    </w:p>
    <w:p>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从提交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在</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满之前均具有约束力。</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包括以下内容：</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2.1.2本项目的特定资格要求（如果有）。</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z w:val="24"/>
          <w:highlight w:val="none"/>
          <w:lang w:eastAsia="zh-CN"/>
        </w:rPr>
        <w:t>交易函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2.2.3</w:t>
      </w:r>
      <w:r>
        <w:rPr>
          <w:rFonts w:hint="eastAsia" w:ascii="宋体" w:hAnsi="宋体" w:eastAsia="宋体" w:cs="宋体"/>
          <w:color w:val="auto"/>
          <w:sz w:val="24"/>
          <w:highlight w:val="none"/>
          <w:lang w:eastAsia="zh-CN"/>
        </w:rPr>
        <w:t>营业执照；</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w:t>
      </w:r>
      <w:r>
        <w:rPr>
          <w:rFonts w:hint="eastAsia" w:ascii="宋体" w:hAnsi="宋体" w:eastAsia="宋体" w:cs="宋体"/>
          <w:color w:val="auto"/>
          <w:sz w:val="24"/>
          <w:highlight w:val="none"/>
          <w:lang w:val="zh-CN"/>
        </w:rPr>
        <w:t>供应商廉洁自律承诺书。</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440" w:lineRule="exact"/>
        <w:ind w:left="420" w:leftChars="200"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2.3.1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的全部要求。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w:t>
      </w:r>
      <w:r>
        <w:rPr>
          <w:rFonts w:hint="eastAsia" w:ascii="宋体" w:hAnsi="宋体" w:eastAsia="宋体" w:cs="宋体"/>
          <w:color w:val="auto"/>
          <w:sz w:val="24"/>
          <w:highlight w:val="none"/>
          <w:lang w:val="en-US" w:eastAsia="zh-CN"/>
        </w:rPr>
        <w:t>成交</w:t>
      </w:r>
      <w:r>
        <w:rPr>
          <w:rFonts w:hint="eastAsia" w:ascii="宋体" w:hAnsi="宋体" w:eastAsia="宋体" w:cs="宋体"/>
          <w:color w:val="auto"/>
          <w:sz w:val="24"/>
          <w:highlight w:val="none"/>
        </w:rPr>
        <w:t>，我方承诺：</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4.1在收到</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书后，在</w:t>
      </w:r>
      <w:r>
        <w:rPr>
          <w:rFonts w:hint="eastAsia" w:ascii="宋体" w:hAnsi="宋体" w:eastAsia="宋体" w:cs="宋体"/>
          <w:color w:val="auto"/>
          <w:sz w:val="24"/>
          <w:highlight w:val="none"/>
          <w:lang w:eastAsia="zh-CN"/>
        </w:rPr>
        <w:t>成交通知</w:t>
      </w:r>
      <w:r>
        <w:rPr>
          <w:rFonts w:hint="eastAsia" w:ascii="宋体" w:hAnsi="宋体" w:eastAsia="宋体" w:cs="宋体"/>
          <w:color w:val="auto"/>
          <w:sz w:val="24"/>
          <w:highlight w:val="none"/>
        </w:rPr>
        <w:t xml:space="preserve">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 xml:space="preserve">要求提交履约保证金；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440" w:lineRule="exact"/>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440" w:lineRule="exact"/>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440" w:lineRule="exact"/>
        <w:jc w:val="center"/>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Style w:val="23"/>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kern w:val="0"/>
          <w:sz w:val="24"/>
          <w:highlight w:val="none"/>
          <w:lang w:val="zh-CN"/>
        </w:rPr>
        <w:t>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参加投标）</w:t>
      </w:r>
    </w:p>
    <w:p>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三、营业执照</w:t>
      </w:r>
    </w:p>
    <w:p>
      <w:pPr>
        <w:jc w:val="center"/>
        <w:rPr>
          <w:rFonts w:hint="eastAsia" w:ascii="宋体" w:hAnsi="宋体" w:eastAsia="宋体" w:cs="宋体"/>
          <w:b/>
          <w:color w:val="auto"/>
          <w:kern w:val="0"/>
          <w:sz w:val="32"/>
          <w:szCs w:val="32"/>
          <w:highlight w:val="none"/>
          <w:lang w:eastAsia="zh-CN"/>
        </w:rPr>
      </w:pP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lang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97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56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要求签署、盖章。</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的组成部分</w:t>
            </w:r>
          </w:p>
        </w:tc>
        <w:tc>
          <w:tcPr>
            <w:tcW w:w="1418" w:type="dxa"/>
            <w:vAlign w:val="center"/>
          </w:tcPr>
          <w:p>
            <w:pPr>
              <w:jc w:val="center"/>
              <w:rPr>
                <w:rFonts w:hint="eastAsia" w:ascii="宋体" w:hAnsi="宋体" w:eastAsia="宋体" w:cs="宋体"/>
                <w:color w:val="auto"/>
                <w:sz w:val="24"/>
                <w:highlight w:val="none"/>
              </w:rPr>
            </w:pPr>
          </w:p>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中承诺的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不少于</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中载明的</w:t>
            </w:r>
            <w:r>
              <w:rPr>
                <w:rFonts w:hint="eastAsia" w:ascii="宋体" w:hAnsi="宋体" w:eastAsia="宋体" w:cs="宋体"/>
                <w:color w:val="auto"/>
                <w:sz w:val="24"/>
                <w:highlight w:val="none"/>
                <w:lang w:eastAsia="zh-CN"/>
              </w:rPr>
              <w:t>交易有效期</w:t>
            </w:r>
            <w:r>
              <w:rPr>
                <w:rFonts w:hint="eastAsia" w:ascii="宋体" w:hAnsi="宋体" w:eastAsia="宋体" w:cs="宋体"/>
                <w:color w:val="auto"/>
                <w:sz w:val="24"/>
                <w:highlight w:val="none"/>
              </w:rPr>
              <w:t>。</w:t>
            </w:r>
          </w:p>
        </w:tc>
        <w:tc>
          <w:tcPr>
            <w:tcW w:w="3566"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交易函</w:t>
            </w:r>
          </w:p>
        </w:tc>
        <w:tc>
          <w:tcPr>
            <w:tcW w:w="1418" w:type="dxa"/>
            <w:vAlign w:val="center"/>
          </w:tcPr>
          <w:p>
            <w:pPr>
              <w:jc w:val="center"/>
              <w:rPr>
                <w:rFonts w:hint="eastAsia" w:ascii="宋体" w:hAnsi="宋体" w:eastAsia="宋体" w:cs="宋体"/>
                <w:color w:val="auto"/>
                <w:highlight w:val="none"/>
                <w:lang w:val="en-US"/>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97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满足</w:t>
            </w:r>
            <w:r>
              <w:rPr>
                <w:rFonts w:hint="eastAsia" w:ascii="宋体" w:hAnsi="宋体" w:eastAsia="宋体" w:cs="宋体"/>
                <w:color w:val="auto"/>
                <w:sz w:val="24"/>
                <w:highlight w:val="none"/>
                <w:lang w:eastAsia="zh-CN"/>
              </w:rPr>
              <w:t>交易文件</w:t>
            </w:r>
            <w:r>
              <w:rPr>
                <w:rFonts w:hint="eastAsia" w:ascii="宋体" w:hAnsi="宋体" w:eastAsia="宋体" w:cs="宋体"/>
                <w:color w:val="auto"/>
                <w:sz w:val="24"/>
                <w:highlight w:val="none"/>
              </w:rPr>
              <w:t>的其它实质性要求。</w:t>
            </w:r>
          </w:p>
        </w:tc>
        <w:tc>
          <w:tcPr>
            <w:tcW w:w="356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其它实质性要求相应的材料（“▲” 系指实质性要求条款，</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w:t>
      </w:r>
      <w:r>
        <w:rPr>
          <w:rFonts w:hint="eastAsia" w:ascii="宋体" w:hAnsi="宋体" w:eastAsia="宋体" w:cs="宋体"/>
          <w:b/>
          <w:color w:val="auto"/>
          <w:sz w:val="24"/>
          <w:highlight w:val="none"/>
          <w:lang w:eastAsia="zh-CN"/>
        </w:rPr>
        <w:t>交易文件</w:t>
      </w:r>
      <w:r>
        <w:rPr>
          <w:rFonts w:hint="eastAsia" w:ascii="宋体" w:hAnsi="宋体" w:eastAsia="宋体" w:cs="宋体"/>
          <w:b/>
          <w:color w:val="auto"/>
          <w:sz w:val="24"/>
          <w:highlight w:val="none"/>
        </w:rPr>
        <w:t>第四部分</w:t>
      </w:r>
      <w:r>
        <w:rPr>
          <w:rFonts w:hint="eastAsia" w:ascii="宋体" w:hAnsi="宋体" w:eastAsia="宋体" w:cs="宋体"/>
          <w:b/>
          <w:color w:val="auto"/>
          <w:sz w:val="24"/>
          <w:highlight w:val="none"/>
          <w:lang w:eastAsia="zh-CN"/>
        </w:rPr>
        <w:t>交易办法</w:t>
      </w:r>
      <w:r>
        <w:rPr>
          <w:rFonts w:hint="eastAsia" w:ascii="宋体" w:hAnsi="宋体" w:eastAsia="宋体" w:cs="宋体"/>
          <w:b/>
          <w:color w:val="auto"/>
          <w:sz w:val="24"/>
          <w:highlight w:val="none"/>
        </w:rPr>
        <w:t>前附表中“</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4"/>
        <w:rPr>
          <w:rFonts w:hint="eastAsia" w:ascii="宋体" w:hAnsi="宋体" w:eastAsia="宋体" w:cs="宋体"/>
          <w:b/>
          <w:color w:val="auto"/>
          <w:kern w:val="0"/>
          <w:sz w:val="32"/>
          <w:szCs w:val="32"/>
          <w:highlight w:val="none"/>
        </w:rPr>
      </w:pPr>
    </w:p>
    <w:p>
      <w:pPr>
        <w:pStyle w:val="51"/>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pacing w:line="360" w:lineRule="auto"/>
        <w:ind w:right="42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六</w:t>
      </w:r>
      <w:r>
        <w:rPr>
          <w:rFonts w:hint="eastAsia" w:ascii="宋体" w:hAnsi="宋体" w:eastAsia="宋体" w:cs="宋体"/>
          <w:b/>
          <w:color w:val="auto"/>
          <w:kern w:val="0"/>
          <w:sz w:val="32"/>
          <w:szCs w:val="32"/>
          <w:highlight w:val="none"/>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交易文件</w:t>
            </w:r>
            <w:r>
              <w:rPr>
                <w:rFonts w:hint="eastAsia" w:ascii="宋体" w:hAnsi="宋体" w:eastAsia="宋体" w:cs="宋体"/>
                <w:b/>
                <w:bCs/>
                <w:color w:val="auto"/>
                <w:sz w:val="24"/>
                <w:highlight w:val="none"/>
              </w:rPr>
              <w:t>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保证：除商务技术偏离表列出的偏离外，</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eastAsia="zh-CN"/>
        </w:rPr>
        <w:t>交易文件</w:t>
      </w:r>
      <w:r>
        <w:rPr>
          <w:rFonts w:hint="eastAsia" w:ascii="宋体" w:hAnsi="宋体" w:eastAsia="宋体" w:cs="宋体"/>
          <w:color w:val="auto"/>
          <w:kern w:val="0"/>
          <w:sz w:val="24"/>
          <w:highlight w:val="none"/>
        </w:rPr>
        <w:t>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ind w:left="0" w:leftChars="0" w:firstLine="0" w:firstLineChars="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eastAsia="zh-CN"/>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交易一览表</w:t>
      </w:r>
      <w:r>
        <w:rPr>
          <w:rFonts w:hint="eastAsia" w:ascii="宋体" w:hAnsi="宋体" w:eastAsia="宋体" w:cs="宋体"/>
          <w:color w:val="auto"/>
          <w:sz w:val="24"/>
          <w:highlight w:val="none"/>
        </w:rPr>
        <w:t>（报价表）………………………………………………………（页码）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NumType w:fmt="decimal"/>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w:t>
      </w:r>
      <w:r>
        <w:rPr>
          <w:rFonts w:hint="eastAsia" w:ascii="宋体" w:hAnsi="宋体" w:eastAsia="宋体" w:cs="宋体"/>
          <w:color w:val="auto"/>
          <w:kern w:val="2"/>
          <w:sz w:val="32"/>
          <w:szCs w:val="32"/>
          <w:highlight w:val="none"/>
          <w:lang w:eastAsia="zh-CN"/>
        </w:rPr>
        <w:t>交易一览表</w:t>
      </w:r>
      <w:r>
        <w:rPr>
          <w:rFonts w:hint="eastAsia" w:ascii="宋体" w:hAnsi="宋体" w:eastAsia="宋体" w:cs="宋体"/>
          <w:color w:val="auto"/>
          <w:kern w:val="2"/>
          <w:sz w:val="32"/>
          <w:szCs w:val="32"/>
          <w:highlight w:val="none"/>
        </w:rPr>
        <w:t>（报价表）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napToGrid w:val="0"/>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交易一览表（报价表）(单位均为人民币元)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auto"/>
                <w:sz w:val="24"/>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kern w:val="0"/>
          <w:sz w:val="24"/>
          <w:highlight w:val="none"/>
          <w:lang w:val="zh-CN"/>
        </w:rPr>
        <w:t>；采购内容未包含在《交易一览表（报价表）》名称栏中，供应商不能作出合理解释的，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lang w:eastAsia="zh-CN"/>
        </w:rPr>
        <w:t>响应文件</w:t>
      </w:r>
      <w:r>
        <w:rPr>
          <w:rFonts w:hint="eastAsia" w:ascii="宋体" w:hAnsi="宋体" w:eastAsia="宋体" w:cs="宋体"/>
          <w:b/>
          <w:color w:val="auto"/>
          <w:sz w:val="24"/>
          <w:highlight w:val="none"/>
        </w:rPr>
        <w:t>含有</w:t>
      </w:r>
      <w:r>
        <w:rPr>
          <w:rFonts w:hint="eastAsia" w:ascii="宋体" w:hAnsi="宋体" w:eastAsia="宋体" w:cs="宋体"/>
          <w:b/>
          <w:color w:val="auto"/>
          <w:sz w:val="24"/>
          <w:highlight w:val="none"/>
          <w:lang w:eastAsia="zh-CN"/>
        </w:rPr>
        <w:t>交易人</w:t>
      </w:r>
      <w:r>
        <w:rPr>
          <w:rFonts w:hint="eastAsia" w:ascii="宋体" w:hAnsi="宋体" w:eastAsia="宋体" w:cs="宋体"/>
          <w:b/>
          <w:color w:val="auto"/>
          <w:sz w:val="24"/>
          <w:highlight w:val="none"/>
        </w:rPr>
        <w:t>不能接受的附加条件的，</w:t>
      </w:r>
      <w:r>
        <w:rPr>
          <w:rFonts w:hint="eastAsia" w:ascii="宋体" w:hAnsi="宋体" w:eastAsia="宋体" w:cs="宋体"/>
          <w:b/>
          <w:color w:val="auto"/>
          <w:sz w:val="24"/>
          <w:highlight w:val="none"/>
          <w:lang w:eastAsia="zh-CN"/>
        </w:rPr>
        <w:t>交易无效</w:t>
      </w:r>
      <w:r>
        <w:rPr>
          <w:rFonts w:hint="eastAsia" w:ascii="宋体" w:hAnsi="宋体" w:eastAsia="宋体" w:cs="宋体"/>
          <w:b/>
          <w:color w:val="auto"/>
          <w:sz w:val="24"/>
          <w:highlight w:val="none"/>
        </w:rPr>
        <w:t>。</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w:t>
      </w:r>
      <w:r>
        <w:rPr>
          <w:rFonts w:hint="eastAsia" w:ascii="宋体" w:hAnsi="宋体" w:eastAsia="宋体" w:cs="宋体"/>
          <w:color w:val="auto"/>
          <w:kern w:val="0"/>
          <w:sz w:val="24"/>
          <w:highlight w:val="none"/>
          <w:lang w:val="en-US" w:eastAsia="zh-CN"/>
        </w:rPr>
        <w:t>成交</w:t>
      </w:r>
      <w:r>
        <w:rPr>
          <w:rFonts w:hint="eastAsia" w:ascii="宋体" w:hAnsi="宋体" w:eastAsia="宋体" w:cs="宋体"/>
          <w:color w:val="auto"/>
          <w:kern w:val="0"/>
          <w:sz w:val="24"/>
          <w:highlight w:val="none"/>
          <w:lang w:val="zh-CN"/>
        </w:rPr>
        <w:t>金额等予以公示。</w:t>
      </w:r>
    </w:p>
    <w:p>
      <w:pPr>
        <w:spacing w:line="360" w:lineRule="auto"/>
        <w:ind w:firstLine="482" w:firstLineChars="200"/>
        <w:rPr>
          <w:rFonts w:hint="eastAsia" w:ascii="宋体" w:hAnsi="宋体" w:eastAsia="宋体" w:cs="宋体"/>
          <w:b/>
          <w:color w:val="auto"/>
          <w:kern w:val="0"/>
          <w:sz w:val="24"/>
          <w:highlight w:val="none"/>
        </w:rPr>
      </w:pPr>
    </w:p>
    <w:p>
      <w:pPr>
        <w:autoSpaceDE w:val="0"/>
        <w:autoSpaceDN w:val="0"/>
        <w:spacing w:line="360" w:lineRule="auto"/>
        <w:ind w:left="2" w:leftChars="1" w:right="1120" w:firstLine="7680" w:firstLineChars="3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right="1120" w:firstLine="7680" w:firstLineChars="3200"/>
        <w:jc w:val="left"/>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交易人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lang w:eastAsia="zh-CN"/>
        </w:rPr>
        <w:t>交易人</w:t>
      </w:r>
      <w:r>
        <w:rPr>
          <w:rFonts w:hint="eastAsia" w:ascii="宋体" w:hAnsi="宋体" w:eastAsia="宋体" w:cs="宋体"/>
          <w:color w:val="auto"/>
          <w:sz w:val="24"/>
          <w:highlight w:val="none"/>
          <w:u w:val="dotted"/>
        </w:rPr>
        <w:t>/代理机构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p>
    <w:p>
      <w:pPr>
        <w:autoSpaceDE w:val="0"/>
        <w:autoSpaceDN w:val="0"/>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p>
    <w:p>
      <w:pPr>
        <w:autoSpaceDE w:val="0"/>
        <w:autoSpaceDN w:val="0"/>
        <w:jc w:val="center"/>
        <w:rPr>
          <w:rFonts w:hint="eastAsia" w:ascii="宋体" w:hAnsi="宋体" w:eastAsia="宋体" w:cs="宋体"/>
          <w:b/>
          <w:bCs/>
          <w:color w:val="auto"/>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交易人</w:t>
      </w:r>
      <w:r>
        <w:rPr>
          <w:rFonts w:hint="eastAsia" w:ascii="宋体" w:hAnsi="宋体" w:eastAsia="宋体" w:cs="宋体"/>
          <w:color w:val="auto"/>
          <w:sz w:val="24"/>
          <w:highlight w:val="none"/>
          <w:u w:val="single"/>
        </w:rPr>
        <w:t>）、（采购代理机构）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u w:val="single"/>
        </w:rPr>
        <w:t>（项目名称）项目【</w:t>
      </w:r>
      <w:r>
        <w:rPr>
          <w:rFonts w:hint="eastAsia" w:ascii="宋体" w:hAnsi="宋体" w:eastAsia="宋体" w:cs="宋体"/>
          <w:color w:val="auto"/>
          <w:sz w:val="24"/>
          <w:highlight w:val="none"/>
          <w:u w:val="single"/>
          <w:lang w:eastAsia="zh-CN"/>
        </w:rPr>
        <w:t>交易编号</w:t>
      </w:r>
      <w:r>
        <w:rPr>
          <w:rFonts w:hint="eastAsia" w:ascii="宋体" w:hAnsi="宋体" w:eastAsia="宋体" w:cs="宋体"/>
          <w:color w:val="auto"/>
          <w:sz w:val="24"/>
          <w:highlight w:val="none"/>
          <w:u w:val="single"/>
        </w:rPr>
        <w:t>：（采购编号）】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val="en-US" w:eastAsia="zh-CN"/>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default" w:eastAsia="宋体"/>
        <w:lang w:val="en-US" w:eastAsia="zh-CN"/>
      </w:rPr>
    </w:pPr>
    <w:r>
      <w:rPr>
        <w:rFonts w:hint="eastAsia"/>
        <w:lang w:val="en-US" w:eastAsia="zh-CN"/>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lang w:val="en-US" w:eastAsia="zh-CN"/>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t>杭州市采购公开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TJiODcwZTAyMmI2NTZjM2JiMmMxNzFiOGQ5Yj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6F1CF3"/>
    <w:rsid w:val="06930BB8"/>
    <w:rsid w:val="06956198"/>
    <w:rsid w:val="07245D42"/>
    <w:rsid w:val="07264C62"/>
    <w:rsid w:val="0779354C"/>
    <w:rsid w:val="07FE18F3"/>
    <w:rsid w:val="08061376"/>
    <w:rsid w:val="08452D77"/>
    <w:rsid w:val="086401F8"/>
    <w:rsid w:val="08751CAA"/>
    <w:rsid w:val="0876556A"/>
    <w:rsid w:val="087E4C40"/>
    <w:rsid w:val="08A871D0"/>
    <w:rsid w:val="08D66AD6"/>
    <w:rsid w:val="08DA33A3"/>
    <w:rsid w:val="08E80F13"/>
    <w:rsid w:val="092612F3"/>
    <w:rsid w:val="09335624"/>
    <w:rsid w:val="0944690F"/>
    <w:rsid w:val="09535675"/>
    <w:rsid w:val="095F057D"/>
    <w:rsid w:val="09642282"/>
    <w:rsid w:val="09733572"/>
    <w:rsid w:val="09772C16"/>
    <w:rsid w:val="098353B5"/>
    <w:rsid w:val="09A92330"/>
    <w:rsid w:val="09B06B87"/>
    <w:rsid w:val="09C13146"/>
    <w:rsid w:val="09E04166"/>
    <w:rsid w:val="09F81448"/>
    <w:rsid w:val="0A1C0718"/>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6F14E6"/>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13864"/>
    <w:rsid w:val="139B1A0A"/>
    <w:rsid w:val="139D25C7"/>
    <w:rsid w:val="13BF3CE4"/>
    <w:rsid w:val="140F0A5D"/>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FE2244"/>
    <w:rsid w:val="172F2D79"/>
    <w:rsid w:val="17557BEF"/>
    <w:rsid w:val="17852075"/>
    <w:rsid w:val="17D349C1"/>
    <w:rsid w:val="1830729E"/>
    <w:rsid w:val="185134E3"/>
    <w:rsid w:val="1870062C"/>
    <w:rsid w:val="18817102"/>
    <w:rsid w:val="18830A15"/>
    <w:rsid w:val="18852B28"/>
    <w:rsid w:val="188B5321"/>
    <w:rsid w:val="18EE574D"/>
    <w:rsid w:val="19341F4D"/>
    <w:rsid w:val="197524E7"/>
    <w:rsid w:val="19932372"/>
    <w:rsid w:val="19A20DD5"/>
    <w:rsid w:val="19AE03F1"/>
    <w:rsid w:val="19D16EBE"/>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C47A8B"/>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6133FC"/>
    <w:rsid w:val="218944CA"/>
    <w:rsid w:val="21D56769"/>
    <w:rsid w:val="21D62C50"/>
    <w:rsid w:val="21E52EF3"/>
    <w:rsid w:val="21FB5D7B"/>
    <w:rsid w:val="220B1C3D"/>
    <w:rsid w:val="221D1D20"/>
    <w:rsid w:val="22334A87"/>
    <w:rsid w:val="22B83BEE"/>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D15014"/>
    <w:rsid w:val="2DF72DE4"/>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201A01"/>
    <w:rsid w:val="30733ACD"/>
    <w:rsid w:val="308C3862"/>
    <w:rsid w:val="309379D8"/>
    <w:rsid w:val="30A270F7"/>
    <w:rsid w:val="30DF1478"/>
    <w:rsid w:val="30EA055D"/>
    <w:rsid w:val="30EC586F"/>
    <w:rsid w:val="319C6071"/>
    <w:rsid w:val="31AC537E"/>
    <w:rsid w:val="31B420C4"/>
    <w:rsid w:val="31B82C24"/>
    <w:rsid w:val="31C17BA9"/>
    <w:rsid w:val="31C549B6"/>
    <w:rsid w:val="31E3679B"/>
    <w:rsid w:val="31E732FD"/>
    <w:rsid w:val="32517576"/>
    <w:rsid w:val="3262346C"/>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636459"/>
    <w:rsid w:val="396B7F6C"/>
    <w:rsid w:val="39B417A9"/>
    <w:rsid w:val="39F5707E"/>
    <w:rsid w:val="39FC5695"/>
    <w:rsid w:val="3A006D8E"/>
    <w:rsid w:val="3A3651E5"/>
    <w:rsid w:val="3A4E2342"/>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E6358"/>
    <w:rsid w:val="3D3C7F39"/>
    <w:rsid w:val="3D440F09"/>
    <w:rsid w:val="3D4504A0"/>
    <w:rsid w:val="3D64467C"/>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4019356B"/>
    <w:rsid w:val="40592157"/>
    <w:rsid w:val="406E1CAE"/>
    <w:rsid w:val="40A0133A"/>
    <w:rsid w:val="40C31A53"/>
    <w:rsid w:val="40FF545D"/>
    <w:rsid w:val="410067C8"/>
    <w:rsid w:val="413C45E3"/>
    <w:rsid w:val="4147433B"/>
    <w:rsid w:val="418F0D2A"/>
    <w:rsid w:val="419500D6"/>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410C9"/>
    <w:rsid w:val="452E1696"/>
    <w:rsid w:val="45317DFB"/>
    <w:rsid w:val="456D3CE4"/>
    <w:rsid w:val="4579042C"/>
    <w:rsid w:val="457F0571"/>
    <w:rsid w:val="45851176"/>
    <w:rsid w:val="45C63B94"/>
    <w:rsid w:val="45F134FD"/>
    <w:rsid w:val="460E7DA5"/>
    <w:rsid w:val="46422483"/>
    <w:rsid w:val="4659254A"/>
    <w:rsid w:val="465B0637"/>
    <w:rsid w:val="465E3F0D"/>
    <w:rsid w:val="466A16E6"/>
    <w:rsid w:val="46893F2B"/>
    <w:rsid w:val="46C4686E"/>
    <w:rsid w:val="47391126"/>
    <w:rsid w:val="473D0E4D"/>
    <w:rsid w:val="477B778F"/>
    <w:rsid w:val="478203EC"/>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131B61"/>
    <w:rsid w:val="494C6EA1"/>
    <w:rsid w:val="494D4D8B"/>
    <w:rsid w:val="495F5B3E"/>
    <w:rsid w:val="496F77D7"/>
    <w:rsid w:val="497654FD"/>
    <w:rsid w:val="49B64211"/>
    <w:rsid w:val="49F6167F"/>
    <w:rsid w:val="4A064FA0"/>
    <w:rsid w:val="4A16615C"/>
    <w:rsid w:val="4A4424D7"/>
    <w:rsid w:val="4A6E0CA4"/>
    <w:rsid w:val="4A83134F"/>
    <w:rsid w:val="4AB82D0F"/>
    <w:rsid w:val="4AEB7664"/>
    <w:rsid w:val="4AFD7C19"/>
    <w:rsid w:val="4B0567D1"/>
    <w:rsid w:val="4B236AAE"/>
    <w:rsid w:val="4B555D27"/>
    <w:rsid w:val="4B707271"/>
    <w:rsid w:val="4B9739F7"/>
    <w:rsid w:val="4B974368"/>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793892"/>
    <w:rsid w:val="4E800872"/>
    <w:rsid w:val="4E9A20A5"/>
    <w:rsid w:val="4EC569ED"/>
    <w:rsid w:val="4ED50EA1"/>
    <w:rsid w:val="4EEC050C"/>
    <w:rsid w:val="4F104EC3"/>
    <w:rsid w:val="4F47354A"/>
    <w:rsid w:val="4F911C54"/>
    <w:rsid w:val="4FE625E0"/>
    <w:rsid w:val="4FED5402"/>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676980"/>
    <w:rsid w:val="53960CB2"/>
    <w:rsid w:val="5397158E"/>
    <w:rsid w:val="54013861"/>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7422AE"/>
    <w:rsid w:val="5C80234E"/>
    <w:rsid w:val="5C8A680C"/>
    <w:rsid w:val="5CE45C2B"/>
    <w:rsid w:val="5D0C4701"/>
    <w:rsid w:val="5D0F0395"/>
    <w:rsid w:val="5D221076"/>
    <w:rsid w:val="5D397964"/>
    <w:rsid w:val="5D5A391C"/>
    <w:rsid w:val="5D5F10C0"/>
    <w:rsid w:val="5D891B7B"/>
    <w:rsid w:val="5D8A5E82"/>
    <w:rsid w:val="5D945FAA"/>
    <w:rsid w:val="5DAD38EE"/>
    <w:rsid w:val="5E006862"/>
    <w:rsid w:val="5E0207B9"/>
    <w:rsid w:val="5E093CEF"/>
    <w:rsid w:val="5E1834A1"/>
    <w:rsid w:val="5E261785"/>
    <w:rsid w:val="5E4A7017"/>
    <w:rsid w:val="5E552BBA"/>
    <w:rsid w:val="5E611C10"/>
    <w:rsid w:val="5E626095"/>
    <w:rsid w:val="5E74631F"/>
    <w:rsid w:val="5E7A0F3F"/>
    <w:rsid w:val="5E866777"/>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D750D"/>
    <w:rsid w:val="63AC52D2"/>
    <w:rsid w:val="63AC6CC0"/>
    <w:rsid w:val="63B048E8"/>
    <w:rsid w:val="64055776"/>
    <w:rsid w:val="64175397"/>
    <w:rsid w:val="64240056"/>
    <w:rsid w:val="643E143A"/>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A22552"/>
    <w:rsid w:val="67A530AB"/>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85AE5"/>
    <w:rsid w:val="68E937A3"/>
    <w:rsid w:val="693E15D3"/>
    <w:rsid w:val="69627681"/>
    <w:rsid w:val="6977531D"/>
    <w:rsid w:val="69B51747"/>
    <w:rsid w:val="69CC2BFF"/>
    <w:rsid w:val="69D327F2"/>
    <w:rsid w:val="69FD55B8"/>
    <w:rsid w:val="6A0B1C62"/>
    <w:rsid w:val="6A0D3F4C"/>
    <w:rsid w:val="6A2406C8"/>
    <w:rsid w:val="6A4B328A"/>
    <w:rsid w:val="6A8F2B46"/>
    <w:rsid w:val="6ABA3454"/>
    <w:rsid w:val="6ADE0BD1"/>
    <w:rsid w:val="6AE96859"/>
    <w:rsid w:val="6B147746"/>
    <w:rsid w:val="6B24787C"/>
    <w:rsid w:val="6B573233"/>
    <w:rsid w:val="6B5B6274"/>
    <w:rsid w:val="6B694FD4"/>
    <w:rsid w:val="6B935D53"/>
    <w:rsid w:val="6C196F71"/>
    <w:rsid w:val="6C226FCB"/>
    <w:rsid w:val="6C31226F"/>
    <w:rsid w:val="6C390C24"/>
    <w:rsid w:val="6C552F0B"/>
    <w:rsid w:val="6C8C2DF7"/>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7723D0"/>
    <w:rsid w:val="70DB77AC"/>
    <w:rsid w:val="70F5661B"/>
    <w:rsid w:val="70FF0D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C740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lang w:val="zh-CN" w:eastAsia="zh-CN" w:bidi="ar-SA"/>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0"/>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8"/>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widowControl w:val="0"/>
      <w:shd w:val="clear" w:color="auto" w:fill="auto"/>
      <w:spacing w:line="391" w:lineRule="auto"/>
      <w:ind w:firstLine="400"/>
    </w:pPr>
    <w:rPr>
      <w:rFonts w:ascii="宋体" w:hAnsi="宋体" w:eastAsia="宋体" w:cs="宋体"/>
      <w:u w:val="none"/>
      <w:shd w:val="clear" w:color="auto" w:fill="auto"/>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table" w:customStyle="1" w:styleId="96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17906</Words>
  <Characters>18985</Characters>
  <Lines>293</Lines>
  <Paragraphs>82</Paragraphs>
  <TotalTime>17</TotalTime>
  <ScaleCrop>false</ScaleCrop>
  <LinksUpToDate>false</LinksUpToDate>
  <CharactersWithSpaces>22447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2021-12-27T03:06:00Z</cp:lastPrinted>
  <dcterms:modified xsi:type="dcterms:W3CDTF">2022-08-19T02:55:59Z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ies>
</file>